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theme/themeOverride1.xml" ContentType="application/vnd.openxmlformats-officedocument.themeOverride+xml"/>
  <Override PartName="/word/theme/themeOverride2.xml" ContentType="application/vnd.openxmlformats-officedocument.themeOverride+xml"/>
  <Override PartName="/word/theme/themeOverride3.xml" ContentType="application/vnd.openxmlformats-officedocument.themeOverrid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0A156137">
      <w:bookmarkStart w:id="0" w:name="_Toc332727811"/>
      <w:bookmarkStart w:id="1" w:name="_Toc318380465"/>
      <w:bookmarkStart w:id="2" w:name="_Toc164427362"/>
    </w:p>
    <w:p w14:paraId="713F2AC8">
      <w:pPr>
        <w:pStyle w:val="16"/>
        <w:tabs>
          <w:tab w:val="left" w:pos="640"/>
        </w:tabs>
        <w:kinsoku w:val="0"/>
        <w:overflowPunct w:val="0"/>
        <w:jc w:val="center"/>
        <w:rPr>
          <w:rFonts w:hint="eastAsia" w:ascii="宋体" w:hAnsi="宋体" w:cs="宋体"/>
          <w:b/>
          <w:bCs/>
          <w:sz w:val="36"/>
          <w:szCs w:val="36"/>
        </w:rPr>
      </w:pPr>
    </w:p>
    <w:p w14:paraId="1F593684">
      <w:pPr>
        <w:pStyle w:val="16"/>
        <w:tabs>
          <w:tab w:val="left" w:pos="640"/>
        </w:tabs>
        <w:kinsoku w:val="0"/>
        <w:overflowPunct w:val="0"/>
        <w:jc w:val="center"/>
        <w:rPr>
          <w:rFonts w:hint="eastAsia" w:ascii="宋体" w:hAnsi="宋体" w:cs="宋体"/>
          <w:b/>
          <w:bCs/>
          <w:sz w:val="36"/>
          <w:szCs w:val="36"/>
        </w:rPr>
      </w:pPr>
      <w:r>
        <w:rPr>
          <w:rFonts w:hint="eastAsia" w:ascii="宋体" w:hAnsi="宋体" w:cs="宋体"/>
          <w:b/>
          <w:bCs/>
          <w:sz w:val="36"/>
          <w:szCs w:val="36"/>
        </w:rPr>
        <w:t>库尔勒市新如兴环保科技有限公司库尔勒市</w:t>
      </w:r>
    </w:p>
    <w:p w14:paraId="3C8D232C">
      <w:pPr>
        <w:pStyle w:val="16"/>
        <w:tabs>
          <w:tab w:val="left" w:pos="640"/>
        </w:tabs>
        <w:kinsoku w:val="0"/>
        <w:overflowPunct w:val="0"/>
        <w:jc w:val="center"/>
        <w:rPr>
          <w:rFonts w:hint="eastAsia" w:ascii="宋体" w:hAnsi="宋体" w:cs="宋体"/>
          <w:b/>
          <w:bCs/>
          <w:sz w:val="36"/>
          <w:szCs w:val="36"/>
        </w:rPr>
      </w:pPr>
      <w:r>
        <w:rPr>
          <w:rFonts w:hint="eastAsia" w:ascii="宋体" w:hAnsi="宋体" w:cs="宋体"/>
          <w:b/>
          <w:bCs/>
          <w:sz w:val="36"/>
          <w:szCs w:val="36"/>
        </w:rPr>
        <w:t>废旧地膜加工建设项目</w:t>
      </w:r>
    </w:p>
    <w:p w14:paraId="0D8B11D3">
      <w:pPr>
        <w:jc w:val="center"/>
        <w:rPr>
          <w:sz w:val="44"/>
          <w:szCs w:val="44"/>
        </w:rPr>
      </w:pPr>
      <w:r>
        <w:rPr>
          <w:rFonts w:hint="eastAsia" w:ascii="宋体" w:hAnsi="宋体" w:cs="宋体"/>
          <w:b/>
          <w:bCs/>
          <w:sz w:val="44"/>
          <w:szCs w:val="44"/>
        </w:rPr>
        <w:t>环境影响报告书</w:t>
      </w:r>
    </w:p>
    <w:p w14:paraId="2B378007">
      <w:pPr>
        <w:pStyle w:val="16"/>
        <w:tabs>
          <w:tab w:val="left" w:pos="640"/>
        </w:tabs>
        <w:kinsoku w:val="0"/>
        <w:overflowPunct w:val="0"/>
        <w:jc w:val="center"/>
        <w:rPr>
          <w:b/>
          <w:w w:val="95"/>
          <w:sz w:val="36"/>
          <w:szCs w:val="36"/>
        </w:rPr>
      </w:pPr>
      <w:r>
        <w:rPr>
          <w:rFonts w:hint="eastAsia"/>
          <w:b/>
          <w:w w:val="95"/>
          <w:sz w:val="36"/>
          <w:szCs w:val="36"/>
        </w:rPr>
        <w:t>（报批稿）</w:t>
      </w:r>
    </w:p>
    <w:p w14:paraId="0B37651D">
      <w:pPr>
        <w:pStyle w:val="16"/>
        <w:tabs>
          <w:tab w:val="left" w:pos="640"/>
        </w:tabs>
        <w:kinsoku w:val="0"/>
        <w:overflowPunct w:val="0"/>
        <w:ind w:firstLine="613"/>
        <w:jc w:val="center"/>
        <w:rPr>
          <w:b/>
          <w:w w:val="95"/>
          <w:sz w:val="32"/>
        </w:rPr>
      </w:pPr>
    </w:p>
    <w:p w14:paraId="672EB178">
      <w:pPr>
        <w:pStyle w:val="16"/>
        <w:tabs>
          <w:tab w:val="left" w:pos="640"/>
        </w:tabs>
        <w:kinsoku w:val="0"/>
        <w:overflowPunct w:val="0"/>
        <w:ind w:firstLine="613"/>
        <w:jc w:val="center"/>
        <w:rPr>
          <w:b/>
          <w:w w:val="95"/>
          <w:sz w:val="32"/>
        </w:rPr>
      </w:pPr>
    </w:p>
    <w:p w14:paraId="055B41AF">
      <w:pPr>
        <w:pStyle w:val="16"/>
        <w:tabs>
          <w:tab w:val="left" w:pos="640"/>
        </w:tabs>
        <w:kinsoku w:val="0"/>
        <w:overflowPunct w:val="0"/>
        <w:ind w:firstLine="613"/>
        <w:jc w:val="center"/>
        <w:rPr>
          <w:b/>
          <w:w w:val="95"/>
          <w:sz w:val="32"/>
        </w:rPr>
      </w:pPr>
    </w:p>
    <w:p w14:paraId="18F37812">
      <w:pPr>
        <w:pStyle w:val="16"/>
        <w:tabs>
          <w:tab w:val="left" w:pos="640"/>
        </w:tabs>
        <w:kinsoku w:val="0"/>
        <w:overflowPunct w:val="0"/>
        <w:ind w:firstLine="613"/>
        <w:jc w:val="center"/>
        <w:rPr>
          <w:b/>
          <w:w w:val="95"/>
          <w:sz w:val="32"/>
        </w:rPr>
      </w:pPr>
    </w:p>
    <w:p w14:paraId="4F52056F">
      <w:pPr>
        <w:rPr>
          <w:b/>
          <w:w w:val="95"/>
          <w:sz w:val="32"/>
        </w:rPr>
      </w:pPr>
    </w:p>
    <w:p w14:paraId="18A74453">
      <w:pPr>
        <w:rPr>
          <w:b/>
          <w:w w:val="95"/>
          <w:sz w:val="32"/>
        </w:rPr>
      </w:pPr>
    </w:p>
    <w:p w14:paraId="63F4E530">
      <w:pPr>
        <w:rPr>
          <w:b/>
          <w:w w:val="95"/>
          <w:sz w:val="32"/>
        </w:rPr>
      </w:pPr>
    </w:p>
    <w:p w14:paraId="450955C1">
      <w:pPr>
        <w:rPr>
          <w:b/>
          <w:w w:val="95"/>
          <w:sz w:val="32"/>
        </w:rPr>
      </w:pPr>
    </w:p>
    <w:p w14:paraId="122B957F">
      <w:pPr>
        <w:rPr>
          <w:b/>
          <w:w w:val="95"/>
          <w:sz w:val="32"/>
        </w:rPr>
      </w:pPr>
    </w:p>
    <w:p w14:paraId="2D12EE72">
      <w:pPr>
        <w:rPr>
          <w:b/>
          <w:w w:val="95"/>
          <w:sz w:val="28"/>
          <w:szCs w:val="28"/>
        </w:rPr>
      </w:pPr>
    </w:p>
    <w:p w14:paraId="4A5265ED">
      <w:pPr>
        <w:jc w:val="center"/>
        <w:rPr>
          <w:b/>
          <w:w w:val="95"/>
          <w:sz w:val="28"/>
          <w:szCs w:val="28"/>
        </w:rPr>
      </w:pPr>
      <w:r>
        <w:rPr>
          <w:rFonts w:hint="eastAsia"/>
          <w:b/>
          <w:w w:val="95"/>
          <w:sz w:val="28"/>
          <w:szCs w:val="28"/>
        </w:rPr>
        <w:t>建设单位：库尔勒市新如兴环保科技有限公司</w:t>
      </w:r>
    </w:p>
    <w:p w14:paraId="561D1F1F">
      <w:pPr>
        <w:jc w:val="center"/>
        <w:rPr>
          <w:b/>
          <w:w w:val="95"/>
          <w:sz w:val="28"/>
          <w:szCs w:val="28"/>
        </w:rPr>
      </w:pPr>
      <w:r>
        <w:rPr>
          <w:rFonts w:hint="eastAsia"/>
          <w:b/>
          <w:w w:val="95"/>
          <w:sz w:val="28"/>
          <w:szCs w:val="28"/>
        </w:rPr>
        <w:t>评价单位：新疆中测环保科技有限公司</w:t>
      </w:r>
    </w:p>
    <w:p w14:paraId="363FC2ED">
      <w:pPr>
        <w:jc w:val="center"/>
        <w:rPr>
          <w:b/>
          <w:w w:val="95"/>
          <w:sz w:val="28"/>
          <w:szCs w:val="28"/>
        </w:rPr>
      </w:pPr>
      <w:r>
        <w:rPr>
          <w:rFonts w:hint="eastAsia"/>
          <w:b/>
          <w:w w:val="95"/>
          <w:sz w:val="28"/>
          <w:szCs w:val="28"/>
        </w:rPr>
        <w:t>编制时间：202</w:t>
      </w:r>
      <w:r>
        <w:rPr>
          <w:rFonts w:hint="eastAsia"/>
          <w:b/>
          <w:w w:val="95"/>
          <w:sz w:val="28"/>
          <w:szCs w:val="28"/>
          <w:lang w:val="en-US" w:eastAsia="zh-CN"/>
        </w:rPr>
        <w:t>6</w:t>
      </w:r>
      <w:r>
        <w:rPr>
          <w:rFonts w:hint="eastAsia"/>
          <w:b/>
          <w:w w:val="95"/>
          <w:sz w:val="28"/>
          <w:szCs w:val="28"/>
        </w:rPr>
        <w:t>年</w:t>
      </w:r>
      <w:r>
        <w:rPr>
          <w:rFonts w:hint="eastAsia"/>
          <w:b/>
          <w:w w:val="95"/>
          <w:sz w:val="28"/>
          <w:szCs w:val="28"/>
          <w:lang w:val="en-US" w:eastAsia="zh-CN"/>
        </w:rPr>
        <w:t>1</w:t>
      </w:r>
      <w:r>
        <w:rPr>
          <w:rFonts w:hint="eastAsia"/>
          <w:b/>
          <w:w w:val="95"/>
          <w:sz w:val="28"/>
          <w:szCs w:val="28"/>
        </w:rPr>
        <w:t>月</w:t>
      </w:r>
    </w:p>
    <w:p w14:paraId="4725CFB2">
      <w:pPr>
        <w:pStyle w:val="16"/>
        <w:tabs>
          <w:tab w:val="left" w:pos="640"/>
        </w:tabs>
        <w:kinsoku w:val="0"/>
        <w:overflowPunct w:val="0"/>
        <w:spacing w:after="0"/>
        <w:ind w:firstLine="613"/>
        <w:jc w:val="center"/>
        <w:rPr>
          <w:b/>
          <w:w w:val="95"/>
          <w:sz w:val="32"/>
        </w:rPr>
        <w:sectPr>
          <w:headerReference r:id="rId5" w:type="first"/>
          <w:footerReference r:id="rId8" w:type="first"/>
          <w:headerReference r:id="rId3" w:type="default"/>
          <w:footerReference r:id="rId6" w:type="default"/>
          <w:headerReference r:id="rId4" w:type="even"/>
          <w:footerReference r:id="rId7" w:type="even"/>
          <w:pgSz w:w="11906" w:h="16838"/>
          <w:pgMar w:top="1440" w:right="1797" w:bottom="1440" w:left="1797" w:header="851" w:footer="992" w:gutter="0"/>
          <w:pgBorders>
            <w:top w:val="none" w:sz="0" w:space="0"/>
            <w:left w:val="none" w:sz="0" w:space="0"/>
            <w:bottom w:val="none" w:sz="0" w:space="0"/>
            <w:right w:val="none" w:sz="0" w:space="0"/>
          </w:pgBorders>
          <w:pgNumType w:fmt="upperRoman" w:start="1"/>
          <w:cols w:space="720" w:num="1"/>
          <w:docGrid w:type="lines" w:linePitch="312" w:charSpace="0"/>
        </w:sectPr>
      </w:pPr>
    </w:p>
    <w:p w14:paraId="109DB217">
      <w:pPr>
        <w:pStyle w:val="42"/>
        <w:adjustRightInd w:val="0"/>
        <w:snapToGrid w:val="0"/>
        <w:spacing w:line="360" w:lineRule="auto"/>
        <w:ind w:left="0"/>
        <w:jc w:val="center"/>
        <w:rPr>
          <w:rFonts w:hint="eastAsia" w:ascii="宋体" w:hAnsi="宋体" w:eastAsia="宋体" w:cs="宋体"/>
          <w:b/>
          <w:sz w:val="28"/>
          <w:szCs w:val="28"/>
        </w:rPr>
      </w:pPr>
      <w:r>
        <w:rPr>
          <w:rFonts w:hint="eastAsia" w:ascii="宋体" w:hAnsi="宋体" w:eastAsia="宋体" w:cs="宋体"/>
          <w:b/>
          <w:sz w:val="28"/>
          <w:szCs w:val="28"/>
        </w:rPr>
        <w:t>目    录</w:t>
      </w:r>
    </w:p>
    <w:p w14:paraId="2A117B15">
      <w:pPr>
        <w:pStyle w:val="36"/>
        <w:keepNext w:val="0"/>
        <w:keepLines w:val="0"/>
        <w:pageBreakBefore w:val="0"/>
        <w:widowControl w:val="0"/>
        <w:tabs>
          <w:tab w:val="right" w:leader="dot" w:pos="8312"/>
        </w:tabs>
        <w:kinsoku/>
        <w:wordWrap/>
        <w:overflowPunct/>
        <w:topLinePunct w:val="0"/>
        <w:autoSpaceDE/>
        <w:autoSpaceDN/>
        <w:bidi w:val="0"/>
        <w:adjustRightInd/>
        <w:snapToGrid/>
        <w:spacing w:before="0" w:after="0" w:line="360" w:lineRule="auto"/>
        <w:textAlignment w:val="auto"/>
        <w:rPr>
          <w:rFonts w:hint="eastAsia" w:ascii="宋体" w:hAnsi="宋体" w:eastAsia="宋体" w:cs="宋体"/>
          <w:sz w:val="24"/>
          <w:szCs w:val="24"/>
        </w:rPr>
      </w:pPr>
      <w:r>
        <w:rPr>
          <w:rFonts w:hint="eastAsia" w:ascii="宋体" w:hAnsi="宋体" w:eastAsia="宋体" w:cs="宋体"/>
          <w:b w:val="0"/>
          <w:bCs w:val="0"/>
          <w:caps w:val="0"/>
          <w:sz w:val="24"/>
          <w:szCs w:val="24"/>
        </w:rPr>
        <w:fldChar w:fldCharType="begin"/>
      </w:r>
      <w:r>
        <w:rPr>
          <w:rFonts w:hint="eastAsia" w:ascii="宋体" w:hAnsi="宋体" w:eastAsia="宋体" w:cs="宋体"/>
          <w:b w:val="0"/>
          <w:bCs w:val="0"/>
          <w:caps w:val="0"/>
          <w:sz w:val="24"/>
          <w:szCs w:val="24"/>
        </w:rPr>
        <w:instrText xml:space="preserve"> TOC \o "1-2" \h \z \u </w:instrText>
      </w:r>
      <w:r>
        <w:rPr>
          <w:rFonts w:hint="eastAsia" w:ascii="宋体" w:hAnsi="宋体" w:eastAsia="宋体" w:cs="宋体"/>
          <w:b w:val="0"/>
          <w:bCs w:val="0"/>
          <w:caps w:val="0"/>
          <w:sz w:val="24"/>
          <w:szCs w:val="24"/>
        </w:rPr>
        <w:fldChar w:fldCharType="separate"/>
      </w:r>
      <w:r>
        <w:rPr>
          <w:rFonts w:hint="eastAsia" w:ascii="宋体" w:hAnsi="宋体" w:eastAsia="宋体" w:cs="宋体"/>
          <w:bCs w:val="0"/>
          <w:caps w:val="0"/>
          <w:sz w:val="24"/>
          <w:szCs w:val="24"/>
        </w:rPr>
        <w:fldChar w:fldCharType="begin"/>
      </w:r>
      <w:r>
        <w:rPr>
          <w:rFonts w:hint="eastAsia" w:ascii="宋体" w:hAnsi="宋体" w:eastAsia="宋体" w:cs="宋体"/>
          <w:bCs w:val="0"/>
          <w:caps w:val="0"/>
          <w:sz w:val="24"/>
          <w:szCs w:val="24"/>
        </w:rPr>
        <w:instrText xml:space="preserve"> HYPERLINK \l _Toc6392 </w:instrText>
      </w:r>
      <w:r>
        <w:rPr>
          <w:rFonts w:hint="eastAsia" w:ascii="宋体" w:hAnsi="宋体" w:eastAsia="宋体" w:cs="宋体"/>
          <w:bCs w:val="0"/>
          <w:caps w:val="0"/>
          <w:sz w:val="24"/>
          <w:szCs w:val="24"/>
        </w:rPr>
        <w:fldChar w:fldCharType="separate"/>
      </w:r>
      <w:r>
        <w:rPr>
          <w:rFonts w:hint="eastAsia" w:ascii="宋体" w:hAnsi="宋体" w:eastAsia="宋体" w:cs="宋体"/>
          <w:kern w:val="0"/>
          <w:sz w:val="24"/>
          <w:szCs w:val="24"/>
          <w:lang w:bidi="zh-CN"/>
        </w:rPr>
        <w:t>1概述</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_Toc6392 \h </w:instrText>
      </w:r>
      <w:r>
        <w:rPr>
          <w:rFonts w:hint="eastAsia" w:ascii="宋体" w:hAnsi="宋体" w:eastAsia="宋体" w:cs="宋体"/>
          <w:sz w:val="24"/>
          <w:szCs w:val="24"/>
        </w:rPr>
        <w:fldChar w:fldCharType="separate"/>
      </w:r>
      <w:r>
        <w:rPr>
          <w:rFonts w:hint="eastAsia" w:ascii="宋体" w:hAnsi="宋体" w:eastAsia="宋体" w:cs="宋体"/>
          <w:sz w:val="24"/>
          <w:szCs w:val="24"/>
        </w:rPr>
        <w:t>1</w:t>
      </w:r>
      <w:r>
        <w:rPr>
          <w:rFonts w:hint="eastAsia" w:ascii="宋体" w:hAnsi="宋体" w:eastAsia="宋体" w:cs="宋体"/>
          <w:sz w:val="24"/>
          <w:szCs w:val="24"/>
        </w:rPr>
        <w:fldChar w:fldCharType="end"/>
      </w:r>
      <w:r>
        <w:rPr>
          <w:rFonts w:hint="eastAsia" w:ascii="宋体" w:hAnsi="宋体" w:eastAsia="宋体" w:cs="宋体"/>
          <w:bCs w:val="0"/>
          <w:caps w:val="0"/>
          <w:sz w:val="24"/>
          <w:szCs w:val="24"/>
        </w:rPr>
        <w:fldChar w:fldCharType="end"/>
      </w:r>
    </w:p>
    <w:p w14:paraId="027C9D89">
      <w:pPr>
        <w:pStyle w:val="42"/>
        <w:keepNext w:val="0"/>
        <w:keepLines w:val="0"/>
        <w:pageBreakBefore w:val="0"/>
        <w:widowControl w:val="0"/>
        <w:tabs>
          <w:tab w:val="right" w:leader="dot" w:pos="8312"/>
        </w:tabs>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bCs/>
          <w:caps/>
          <w:sz w:val="24"/>
          <w:szCs w:val="24"/>
        </w:rPr>
        <w:fldChar w:fldCharType="begin"/>
      </w:r>
      <w:r>
        <w:rPr>
          <w:rFonts w:hint="eastAsia" w:ascii="宋体" w:hAnsi="宋体" w:eastAsia="宋体" w:cs="宋体"/>
          <w:bCs/>
          <w:caps/>
          <w:sz w:val="24"/>
          <w:szCs w:val="24"/>
        </w:rPr>
        <w:instrText xml:space="preserve"> HYPERLINK \l _Toc20206 </w:instrText>
      </w:r>
      <w:r>
        <w:rPr>
          <w:rFonts w:hint="eastAsia" w:ascii="宋体" w:hAnsi="宋体" w:eastAsia="宋体" w:cs="宋体"/>
          <w:bCs/>
          <w:caps/>
          <w:sz w:val="24"/>
          <w:szCs w:val="24"/>
        </w:rPr>
        <w:fldChar w:fldCharType="separate"/>
      </w:r>
      <w:r>
        <w:rPr>
          <w:rFonts w:hint="eastAsia" w:ascii="宋体" w:hAnsi="宋体" w:eastAsia="宋体" w:cs="宋体"/>
          <w:kern w:val="0"/>
          <w:sz w:val="24"/>
          <w:szCs w:val="24"/>
          <w:lang w:val="en-US" w:bidi="zh-CN"/>
        </w:rPr>
        <w:t>1.1建设项目背景及其特点</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_Toc20206 \h </w:instrText>
      </w:r>
      <w:r>
        <w:rPr>
          <w:rFonts w:hint="eastAsia" w:ascii="宋体" w:hAnsi="宋体" w:eastAsia="宋体" w:cs="宋体"/>
          <w:sz w:val="24"/>
          <w:szCs w:val="24"/>
        </w:rPr>
        <w:fldChar w:fldCharType="separate"/>
      </w:r>
      <w:r>
        <w:rPr>
          <w:rFonts w:hint="eastAsia" w:ascii="宋体" w:hAnsi="宋体" w:eastAsia="宋体" w:cs="宋体"/>
          <w:sz w:val="24"/>
          <w:szCs w:val="24"/>
        </w:rPr>
        <w:t>1</w:t>
      </w:r>
      <w:r>
        <w:rPr>
          <w:rFonts w:hint="eastAsia" w:ascii="宋体" w:hAnsi="宋体" w:eastAsia="宋体" w:cs="宋体"/>
          <w:sz w:val="24"/>
          <w:szCs w:val="24"/>
        </w:rPr>
        <w:fldChar w:fldCharType="end"/>
      </w:r>
      <w:r>
        <w:rPr>
          <w:rFonts w:hint="eastAsia" w:ascii="宋体" w:hAnsi="宋体" w:eastAsia="宋体" w:cs="宋体"/>
          <w:bCs/>
          <w:caps/>
          <w:sz w:val="24"/>
          <w:szCs w:val="24"/>
        </w:rPr>
        <w:fldChar w:fldCharType="end"/>
      </w:r>
    </w:p>
    <w:p w14:paraId="1D6539C7">
      <w:pPr>
        <w:pStyle w:val="42"/>
        <w:keepNext w:val="0"/>
        <w:keepLines w:val="0"/>
        <w:pageBreakBefore w:val="0"/>
        <w:widowControl w:val="0"/>
        <w:tabs>
          <w:tab w:val="right" w:leader="dot" w:pos="8312"/>
        </w:tabs>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bCs/>
          <w:caps/>
          <w:sz w:val="24"/>
          <w:szCs w:val="24"/>
        </w:rPr>
        <w:fldChar w:fldCharType="begin"/>
      </w:r>
      <w:r>
        <w:rPr>
          <w:rFonts w:hint="eastAsia" w:ascii="宋体" w:hAnsi="宋体" w:eastAsia="宋体" w:cs="宋体"/>
          <w:bCs/>
          <w:caps/>
          <w:sz w:val="24"/>
          <w:szCs w:val="24"/>
        </w:rPr>
        <w:instrText xml:space="preserve"> HYPERLINK \l _Toc31514 </w:instrText>
      </w:r>
      <w:r>
        <w:rPr>
          <w:rFonts w:hint="eastAsia" w:ascii="宋体" w:hAnsi="宋体" w:eastAsia="宋体" w:cs="宋体"/>
          <w:bCs/>
          <w:caps/>
          <w:sz w:val="24"/>
          <w:szCs w:val="24"/>
        </w:rPr>
        <w:fldChar w:fldCharType="separate"/>
      </w:r>
      <w:r>
        <w:rPr>
          <w:rFonts w:hint="eastAsia" w:ascii="宋体" w:hAnsi="宋体" w:eastAsia="宋体" w:cs="宋体"/>
          <w:kern w:val="0"/>
          <w:sz w:val="24"/>
          <w:szCs w:val="24"/>
          <w:lang w:val="en-US" w:bidi="zh-CN"/>
        </w:rPr>
        <w:t>1.2环境影响评价的工作过程</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_Toc31514 \h </w:instrText>
      </w:r>
      <w:r>
        <w:rPr>
          <w:rFonts w:hint="eastAsia" w:ascii="宋体" w:hAnsi="宋体" w:eastAsia="宋体" w:cs="宋体"/>
          <w:sz w:val="24"/>
          <w:szCs w:val="24"/>
        </w:rPr>
        <w:fldChar w:fldCharType="separate"/>
      </w:r>
      <w:r>
        <w:rPr>
          <w:rFonts w:hint="eastAsia" w:ascii="宋体" w:hAnsi="宋体" w:eastAsia="宋体" w:cs="宋体"/>
          <w:sz w:val="24"/>
          <w:szCs w:val="24"/>
        </w:rPr>
        <w:t>2</w:t>
      </w:r>
      <w:r>
        <w:rPr>
          <w:rFonts w:hint="eastAsia" w:ascii="宋体" w:hAnsi="宋体" w:eastAsia="宋体" w:cs="宋体"/>
          <w:sz w:val="24"/>
          <w:szCs w:val="24"/>
        </w:rPr>
        <w:fldChar w:fldCharType="end"/>
      </w:r>
      <w:r>
        <w:rPr>
          <w:rFonts w:hint="eastAsia" w:ascii="宋体" w:hAnsi="宋体" w:eastAsia="宋体" w:cs="宋体"/>
          <w:bCs/>
          <w:caps/>
          <w:sz w:val="24"/>
          <w:szCs w:val="24"/>
        </w:rPr>
        <w:fldChar w:fldCharType="end"/>
      </w:r>
    </w:p>
    <w:p w14:paraId="63E935D1">
      <w:pPr>
        <w:pStyle w:val="42"/>
        <w:keepNext w:val="0"/>
        <w:keepLines w:val="0"/>
        <w:pageBreakBefore w:val="0"/>
        <w:widowControl w:val="0"/>
        <w:tabs>
          <w:tab w:val="right" w:leader="dot" w:pos="8312"/>
        </w:tabs>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bCs/>
          <w:caps/>
          <w:sz w:val="24"/>
          <w:szCs w:val="24"/>
        </w:rPr>
        <w:fldChar w:fldCharType="begin"/>
      </w:r>
      <w:r>
        <w:rPr>
          <w:rFonts w:hint="eastAsia" w:ascii="宋体" w:hAnsi="宋体" w:eastAsia="宋体" w:cs="宋体"/>
          <w:bCs/>
          <w:caps/>
          <w:sz w:val="24"/>
          <w:szCs w:val="24"/>
        </w:rPr>
        <w:instrText xml:space="preserve"> HYPERLINK \l _Toc7456 </w:instrText>
      </w:r>
      <w:r>
        <w:rPr>
          <w:rFonts w:hint="eastAsia" w:ascii="宋体" w:hAnsi="宋体" w:eastAsia="宋体" w:cs="宋体"/>
          <w:bCs/>
          <w:caps/>
          <w:sz w:val="24"/>
          <w:szCs w:val="24"/>
        </w:rPr>
        <w:fldChar w:fldCharType="separate"/>
      </w:r>
      <w:r>
        <w:rPr>
          <w:rFonts w:hint="eastAsia" w:ascii="宋体" w:hAnsi="宋体" w:eastAsia="宋体" w:cs="宋体"/>
          <w:kern w:val="0"/>
          <w:sz w:val="24"/>
          <w:szCs w:val="24"/>
          <w:lang w:val="en-US" w:bidi="zh-CN"/>
        </w:rPr>
        <w:t>1.3分析判定相关情况</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_Toc7456 \h </w:instrText>
      </w:r>
      <w:r>
        <w:rPr>
          <w:rFonts w:hint="eastAsia" w:ascii="宋体" w:hAnsi="宋体" w:eastAsia="宋体" w:cs="宋体"/>
          <w:sz w:val="24"/>
          <w:szCs w:val="24"/>
        </w:rPr>
        <w:fldChar w:fldCharType="separate"/>
      </w:r>
      <w:r>
        <w:rPr>
          <w:rFonts w:hint="eastAsia" w:ascii="宋体" w:hAnsi="宋体" w:eastAsia="宋体" w:cs="宋体"/>
          <w:sz w:val="24"/>
          <w:szCs w:val="24"/>
        </w:rPr>
        <w:t>3</w:t>
      </w:r>
      <w:r>
        <w:rPr>
          <w:rFonts w:hint="eastAsia" w:ascii="宋体" w:hAnsi="宋体" w:eastAsia="宋体" w:cs="宋体"/>
          <w:sz w:val="24"/>
          <w:szCs w:val="24"/>
        </w:rPr>
        <w:fldChar w:fldCharType="end"/>
      </w:r>
      <w:r>
        <w:rPr>
          <w:rFonts w:hint="eastAsia" w:ascii="宋体" w:hAnsi="宋体" w:eastAsia="宋体" w:cs="宋体"/>
          <w:bCs/>
          <w:caps/>
          <w:sz w:val="24"/>
          <w:szCs w:val="24"/>
        </w:rPr>
        <w:fldChar w:fldCharType="end"/>
      </w:r>
    </w:p>
    <w:p w14:paraId="092A628B">
      <w:pPr>
        <w:pStyle w:val="42"/>
        <w:keepNext w:val="0"/>
        <w:keepLines w:val="0"/>
        <w:pageBreakBefore w:val="0"/>
        <w:widowControl w:val="0"/>
        <w:tabs>
          <w:tab w:val="right" w:leader="dot" w:pos="8312"/>
        </w:tabs>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bCs/>
          <w:caps/>
          <w:sz w:val="24"/>
          <w:szCs w:val="24"/>
        </w:rPr>
        <w:fldChar w:fldCharType="begin"/>
      </w:r>
      <w:r>
        <w:rPr>
          <w:rFonts w:hint="eastAsia" w:ascii="宋体" w:hAnsi="宋体" w:eastAsia="宋体" w:cs="宋体"/>
          <w:bCs/>
          <w:caps/>
          <w:sz w:val="24"/>
          <w:szCs w:val="24"/>
        </w:rPr>
        <w:instrText xml:space="preserve"> HYPERLINK \l _Toc20830 </w:instrText>
      </w:r>
      <w:r>
        <w:rPr>
          <w:rFonts w:hint="eastAsia" w:ascii="宋体" w:hAnsi="宋体" w:eastAsia="宋体" w:cs="宋体"/>
          <w:bCs/>
          <w:caps/>
          <w:sz w:val="24"/>
          <w:szCs w:val="24"/>
        </w:rPr>
        <w:fldChar w:fldCharType="separate"/>
      </w:r>
      <w:r>
        <w:rPr>
          <w:rFonts w:hint="eastAsia" w:ascii="宋体" w:hAnsi="宋体" w:eastAsia="宋体" w:cs="宋体"/>
          <w:kern w:val="0"/>
          <w:sz w:val="24"/>
          <w:szCs w:val="24"/>
          <w:lang w:val="en-US" w:bidi="zh-CN"/>
        </w:rPr>
        <w:t>1.4关注的主要环境问题及环境影响</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_Toc20830 \h </w:instrText>
      </w:r>
      <w:r>
        <w:rPr>
          <w:rFonts w:hint="eastAsia" w:ascii="宋体" w:hAnsi="宋体" w:eastAsia="宋体" w:cs="宋体"/>
          <w:sz w:val="24"/>
          <w:szCs w:val="24"/>
        </w:rPr>
        <w:fldChar w:fldCharType="separate"/>
      </w:r>
      <w:r>
        <w:rPr>
          <w:rFonts w:hint="eastAsia" w:ascii="宋体" w:hAnsi="宋体" w:eastAsia="宋体" w:cs="宋体"/>
          <w:sz w:val="24"/>
          <w:szCs w:val="24"/>
        </w:rPr>
        <w:t>5</w:t>
      </w:r>
      <w:r>
        <w:rPr>
          <w:rFonts w:hint="eastAsia" w:ascii="宋体" w:hAnsi="宋体" w:eastAsia="宋体" w:cs="宋体"/>
          <w:sz w:val="24"/>
          <w:szCs w:val="24"/>
        </w:rPr>
        <w:fldChar w:fldCharType="end"/>
      </w:r>
      <w:r>
        <w:rPr>
          <w:rFonts w:hint="eastAsia" w:ascii="宋体" w:hAnsi="宋体" w:eastAsia="宋体" w:cs="宋体"/>
          <w:bCs/>
          <w:caps/>
          <w:sz w:val="24"/>
          <w:szCs w:val="24"/>
        </w:rPr>
        <w:fldChar w:fldCharType="end"/>
      </w:r>
    </w:p>
    <w:p w14:paraId="226C2911">
      <w:pPr>
        <w:pStyle w:val="42"/>
        <w:keepNext w:val="0"/>
        <w:keepLines w:val="0"/>
        <w:pageBreakBefore w:val="0"/>
        <w:widowControl w:val="0"/>
        <w:tabs>
          <w:tab w:val="right" w:leader="dot" w:pos="8312"/>
        </w:tabs>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bCs/>
          <w:caps/>
          <w:sz w:val="24"/>
          <w:szCs w:val="24"/>
        </w:rPr>
        <w:fldChar w:fldCharType="begin"/>
      </w:r>
      <w:r>
        <w:rPr>
          <w:rFonts w:hint="eastAsia" w:ascii="宋体" w:hAnsi="宋体" w:eastAsia="宋体" w:cs="宋体"/>
          <w:bCs/>
          <w:caps/>
          <w:sz w:val="24"/>
          <w:szCs w:val="24"/>
        </w:rPr>
        <w:instrText xml:space="preserve"> HYPERLINK \l _Toc31716 </w:instrText>
      </w:r>
      <w:r>
        <w:rPr>
          <w:rFonts w:hint="eastAsia" w:ascii="宋体" w:hAnsi="宋体" w:eastAsia="宋体" w:cs="宋体"/>
          <w:bCs/>
          <w:caps/>
          <w:sz w:val="24"/>
          <w:szCs w:val="24"/>
        </w:rPr>
        <w:fldChar w:fldCharType="separate"/>
      </w:r>
      <w:r>
        <w:rPr>
          <w:rFonts w:hint="eastAsia" w:ascii="宋体" w:hAnsi="宋体" w:eastAsia="宋体" w:cs="宋体"/>
          <w:kern w:val="0"/>
          <w:sz w:val="24"/>
          <w:szCs w:val="24"/>
          <w:lang w:bidi="zh-CN"/>
        </w:rPr>
        <w:t>1.5环境影响评价的主要结论</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_Toc31716 \h </w:instrText>
      </w:r>
      <w:r>
        <w:rPr>
          <w:rFonts w:hint="eastAsia" w:ascii="宋体" w:hAnsi="宋体" w:eastAsia="宋体" w:cs="宋体"/>
          <w:sz w:val="24"/>
          <w:szCs w:val="24"/>
        </w:rPr>
        <w:fldChar w:fldCharType="separate"/>
      </w:r>
      <w:r>
        <w:rPr>
          <w:rFonts w:hint="eastAsia" w:ascii="宋体" w:hAnsi="宋体" w:eastAsia="宋体" w:cs="宋体"/>
          <w:sz w:val="24"/>
          <w:szCs w:val="24"/>
        </w:rPr>
        <w:t>5</w:t>
      </w:r>
      <w:r>
        <w:rPr>
          <w:rFonts w:hint="eastAsia" w:ascii="宋体" w:hAnsi="宋体" w:eastAsia="宋体" w:cs="宋体"/>
          <w:sz w:val="24"/>
          <w:szCs w:val="24"/>
        </w:rPr>
        <w:fldChar w:fldCharType="end"/>
      </w:r>
      <w:r>
        <w:rPr>
          <w:rFonts w:hint="eastAsia" w:ascii="宋体" w:hAnsi="宋体" w:eastAsia="宋体" w:cs="宋体"/>
          <w:bCs/>
          <w:caps/>
          <w:sz w:val="24"/>
          <w:szCs w:val="24"/>
        </w:rPr>
        <w:fldChar w:fldCharType="end"/>
      </w:r>
    </w:p>
    <w:p w14:paraId="536059D3">
      <w:pPr>
        <w:pStyle w:val="36"/>
        <w:keepNext w:val="0"/>
        <w:keepLines w:val="0"/>
        <w:pageBreakBefore w:val="0"/>
        <w:widowControl w:val="0"/>
        <w:tabs>
          <w:tab w:val="right" w:leader="dot" w:pos="8312"/>
        </w:tabs>
        <w:kinsoku/>
        <w:wordWrap/>
        <w:overflowPunct/>
        <w:topLinePunct w:val="0"/>
        <w:autoSpaceDE/>
        <w:autoSpaceDN/>
        <w:bidi w:val="0"/>
        <w:adjustRightInd/>
        <w:snapToGrid/>
        <w:spacing w:before="0" w:after="0" w:line="360" w:lineRule="auto"/>
        <w:textAlignment w:val="auto"/>
        <w:rPr>
          <w:rFonts w:hint="eastAsia" w:ascii="宋体" w:hAnsi="宋体" w:eastAsia="宋体" w:cs="宋体"/>
          <w:sz w:val="24"/>
          <w:szCs w:val="24"/>
        </w:rPr>
      </w:pPr>
      <w:r>
        <w:rPr>
          <w:rFonts w:hint="eastAsia" w:ascii="宋体" w:hAnsi="宋体" w:eastAsia="宋体" w:cs="宋体"/>
          <w:bCs/>
          <w:caps/>
          <w:sz w:val="24"/>
          <w:szCs w:val="24"/>
        </w:rPr>
        <w:fldChar w:fldCharType="begin"/>
      </w:r>
      <w:r>
        <w:rPr>
          <w:rFonts w:hint="eastAsia" w:ascii="宋体" w:hAnsi="宋体" w:eastAsia="宋体" w:cs="宋体"/>
          <w:bCs/>
          <w:caps/>
          <w:sz w:val="24"/>
          <w:szCs w:val="24"/>
        </w:rPr>
        <w:instrText xml:space="preserve"> HYPERLINK \l _Toc9217 </w:instrText>
      </w:r>
      <w:r>
        <w:rPr>
          <w:rFonts w:hint="eastAsia" w:ascii="宋体" w:hAnsi="宋体" w:eastAsia="宋体" w:cs="宋体"/>
          <w:bCs/>
          <w:caps/>
          <w:sz w:val="24"/>
          <w:szCs w:val="24"/>
        </w:rPr>
        <w:fldChar w:fldCharType="separate"/>
      </w:r>
      <w:r>
        <w:rPr>
          <w:rFonts w:hint="eastAsia" w:ascii="宋体" w:hAnsi="宋体" w:eastAsia="宋体" w:cs="宋体"/>
          <w:kern w:val="0"/>
          <w:sz w:val="24"/>
          <w:szCs w:val="24"/>
          <w:lang w:bidi="zh-CN"/>
        </w:rPr>
        <w:t>2总则</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_Toc9217 \h </w:instrText>
      </w:r>
      <w:r>
        <w:rPr>
          <w:rFonts w:hint="eastAsia" w:ascii="宋体" w:hAnsi="宋体" w:eastAsia="宋体" w:cs="宋体"/>
          <w:sz w:val="24"/>
          <w:szCs w:val="24"/>
        </w:rPr>
        <w:fldChar w:fldCharType="separate"/>
      </w:r>
      <w:r>
        <w:rPr>
          <w:rFonts w:hint="eastAsia" w:ascii="宋体" w:hAnsi="宋体" w:eastAsia="宋体" w:cs="宋体"/>
          <w:sz w:val="24"/>
          <w:szCs w:val="24"/>
        </w:rPr>
        <w:t>6</w:t>
      </w:r>
      <w:r>
        <w:rPr>
          <w:rFonts w:hint="eastAsia" w:ascii="宋体" w:hAnsi="宋体" w:eastAsia="宋体" w:cs="宋体"/>
          <w:sz w:val="24"/>
          <w:szCs w:val="24"/>
        </w:rPr>
        <w:fldChar w:fldCharType="end"/>
      </w:r>
      <w:r>
        <w:rPr>
          <w:rFonts w:hint="eastAsia" w:ascii="宋体" w:hAnsi="宋体" w:eastAsia="宋体" w:cs="宋体"/>
          <w:bCs/>
          <w:caps/>
          <w:sz w:val="24"/>
          <w:szCs w:val="24"/>
        </w:rPr>
        <w:fldChar w:fldCharType="end"/>
      </w:r>
    </w:p>
    <w:p w14:paraId="3821E8EB">
      <w:pPr>
        <w:pStyle w:val="42"/>
        <w:keepNext w:val="0"/>
        <w:keepLines w:val="0"/>
        <w:pageBreakBefore w:val="0"/>
        <w:widowControl w:val="0"/>
        <w:tabs>
          <w:tab w:val="right" w:leader="dot" w:pos="8312"/>
        </w:tabs>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bCs/>
          <w:caps/>
          <w:sz w:val="24"/>
          <w:szCs w:val="24"/>
        </w:rPr>
        <w:fldChar w:fldCharType="begin"/>
      </w:r>
      <w:r>
        <w:rPr>
          <w:rFonts w:hint="eastAsia" w:ascii="宋体" w:hAnsi="宋体" w:eastAsia="宋体" w:cs="宋体"/>
          <w:bCs/>
          <w:caps/>
          <w:sz w:val="24"/>
          <w:szCs w:val="24"/>
        </w:rPr>
        <w:instrText xml:space="preserve"> HYPERLINK \l _Toc31824 </w:instrText>
      </w:r>
      <w:r>
        <w:rPr>
          <w:rFonts w:hint="eastAsia" w:ascii="宋体" w:hAnsi="宋体" w:eastAsia="宋体" w:cs="宋体"/>
          <w:bCs/>
          <w:caps/>
          <w:sz w:val="24"/>
          <w:szCs w:val="24"/>
        </w:rPr>
        <w:fldChar w:fldCharType="separate"/>
      </w:r>
      <w:r>
        <w:rPr>
          <w:rFonts w:hint="eastAsia" w:ascii="宋体" w:hAnsi="宋体" w:eastAsia="宋体" w:cs="宋体"/>
          <w:kern w:val="0"/>
          <w:sz w:val="24"/>
          <w:szCs w:val="24"/>
          <w:lang w:val="en-US" w:bidi="zh-CN"/>
        </w:rPr>
        <w:t>2.1</w:t>
      </w:r>
      <w:r>
        <w:rPr>
          <w:rFonts w:hint="eastAsia" w:ascii="宋体" w:hAnsi="宋体" w:eastAsia="宋体" w:cs="宋体"/>
          <w:kern w:val="0"/>
          <w:sz w:val="24"/>
          <w:szCs w:val="24"/>
          <w:lang w:bidi="zh-CN"/>
        </w:rPr>
        <w:t>编制依据</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_Toc31824 \h </w:instrText>
      </w:r>
      <w:r>
        <w:rPr>
          <w:rFonts w:hint="eastAsia" w:ascii="宋体" w:hAnsi="宋体" w:eastAsia="宋体" w:cs="宋体"/>
          <w:sz w:val="24"/>
          <w:szCs w:val="24"/>
        </w:rPr>
        <w:fldChar w:fldCharType="separate"/>
      </w:r>
      <w:r>
        <w:rPr>
          <w:rFonts w:hint="eastAsia" w:ascii="宋体" w:hAnsi="宋体" w:eastAsia="宋体" w:cs="宋体"/>
          <w:sz w:val="24"/>
          <w:szCs w:val="24"/>
        </w:rPr>
        <w:t>6</w:t>
      </w:r>
      <w:r>
        <w:rPr>
          <w:rFonts w:hint="eastAsia" w:ascii="宋体" w:hAnsi="宋体" w:eastAsia="宋体" w:cs="宋体"/>
          <w:sz w:val="24"/>
          <w:szCs w:val="24"/>
        </w:rPr>
        <w:fldChar w:fldCharType="end"/>
      </w:r>
      <w:r>
        <w:rPr>
          <w:rFonts w:hint="eastAsia" w:ascii="宋体" w:hAnsi="宋体" w:eastAsia="宋体" w:cs="宋体"/>
          <w:bCs/>
          <w:caps/>
          <w:sz w:val="24"/>
          <w:szCs w:val="24"/>
        </w:rPr>
        <w:fldChar w:fldCharType="end"/>
      </w:r>
    </w:p>
    <w:p w14:paraId="2B1C5CE4">
      <w:pPr>
        <w:pStyle w:val="42"/>
        <w:keepNext w:val="0"/>
        <w:keepLines w:val="0"/>
        <w:pageBreakBefore w:val="0"/>
        <w:widowControl w:val="0"/>
        <w:tabs>
          <w:tab w:val="right" w:leader="dot" w:pos="8312"/>
        </w:tabs>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bCs/>
          <w:caps/>
          <w:sz w:val="24"/>
          <w:szCs w:val="24"/>
        </w:rPr>
        <w:fldChar w:fldCharType="begin"/>
      </w:r>
      <w:r>
        <w:rPr>
          <w:rFonts w:hint="eastAsia" w:ascii="宋体" w:hAnsi="宋体" w:eastAsia="宋体" w:cs="宋体"/>
          <w:bCs/>
          <w:caps/>
          <w:sz w:val="24"/>
          <w:szCs w:val="24"/>
        </w:rPr>
        <w:instrText xml:space="preserve"> HYPERLINK \l _Toc27233 </w:instrText>
      </w:r>
      <w:r>
        <w:rPr>
          <w:rFonts w:hint="eastAsia" w:ascii="宋体" w:hAnsi="宋体" w:eastAsia="宋体" w:cs="宋体"/>
          <w:bCs/>
          <w:caps/>
          <w:sz w:val="24"/>
          <w:szCs w:val="24"/>
        </w:rPr>
        <w:fldChar w:fldCharType="separate"/>
      </w:r>
      <w:r>
        <w:rPr>
          <w:rFonts w:hint="eastAsia" w:ascii="宋体" w:hAnsi="宋体" w:eastAsia="宋体" w:cs="宋体"/>
          <w:kern w:val="0"/>
          <w:sz w:val="24"/>
          <w:szCs w:val="24"/>
          <w:lang w:val="en-US" w:bidi="zh-CN"/>
        </w:rPr>
        <w:t>2.2评价原则及评价目的</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_Toc27233 \h </w:instrText>
      </w:r>
      <w:r>
        <w:rPr>
          <w:rFonts w:hint="eastAsia" w:ascii="宋体" w:hAnsi="宋体" w:eastAsia="宋体" w:cs="宋体"/>
          <w:sz w:val="24"/>
          <w:szCs w:val="24"/>
        </w:rPr>
        <w:fldChar w:fldCharType="separate"/>
      </w:r>
      <w:r>
        <w:rPr>
          <w:rFonts w:hint="eastAsia" w:ascii="宋体" w:hAnsi="宋体" w:eastAsia="宋体" w:cs="宋体"/>
          <w:sz w:val="24"/>
          <w:szCs w:val="24"/>
        </w:rPr>
        <w:t>9</w:t>
      </w:r>
      <w:r>
        <w:rPr>
          <w:rFonts w:hint="eastAsia" w:ascii="宋体" w:hAnsi="宋体" w:eastAsia="宋体" w:cs="宋体"/>
          <w:sz w:val="24"/>
          <w:szCs w:val="24"/>
        </w:rPr>
        <w:fldChar w:fldCharType="end"/>
      </w:r>
      <w:r>
        <w:rPr>
          <w:rFonts w:hint="eastAsia" w:ascii="宋体" w:hAnsi="宋体" w:eastAsia="宋体" w:cs="宋体"/>
          <w:bCs/>
          <w:caps/>
          <w:sz w:val="24"/>
          <w:szCs w:val="24"/>
        </w:rPr>
        <w:fldChar w:fldCharType="end"/>
      </w:r>
    </w:p>
    <w:p w14:paraId="0FB8A1EE">
      <w:pPr>
        <w:pStyle w:val="42"/>
        <w:keepNext w:val="0"/>
        <w:keepLines w:val="0"/>
        <w:pageBreakBefore w:val="0"/>
        <w:widowControl w:val="0"/>
        <w:tabs>
          <w:tab w:val="right" w:leader="dot" w:pos="8312"/>
        </w:tabs>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bCs/>
          <w:caps/>
          <w:sz w:val="24"/>
          <w:szCs w:val="24"/>
        </w:rPr>
        <w:fldChar w:fldCharType="begin"/>
      </w:r>
      <w:r>
        <w:rPr>
          <w:rFonts w:hint="eastAsia" w:ascii="宋体" w:hAnsi="宋体" w:eastAsia="宋体" w:cs="宋体"/>
          <w:bCs/>
          <w:caps/>
          <w:sz w:val="24"/>
          <w:szCs w:val="24"/>
        </w:rPr>
        <w:instrText xml:space="preserve"> HYPERLINK \l _Toc16481 </w:instrText>
      </w:r>
      <w:r>
        <w:rPr>
          <w:rFonts w:hint="eastAsia" w:ascii="宋体" w:hAnsi="宋体" w:eastAsia="宋体" w:cs="宋体"/>
          <w:bCs/>
          <w:caps/>
          <w:sz w:val="24"/>
          <w:szCs w:val="24"/>
        </w:rPr>
        <w:fldChar w:fldCharType="separate"/>
      </w:r>
      <w:r>
        <w:rPr>
          <w:rFonts w:hint="eastAsia" w:ascii="宋体" w:hAnsi="宋体" w:eastAsia="宋体" w:cs="宋体"/>
          <w:kern w:val="0"/>
          <w:sz w:val="24"/>
          <w:szCs w:val="24"/>
          <w:lang w:val="en-US" w:bidi="zh-CN"/>
        </w:rPr>
        <w:t>2.3评价时段及重点</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_Toc16481 \h </w:instrText>
      </w:r>
      <w:r>
        <w:rPr>
          <w:rFonts w:hint="eastAsia" w:ascii="宋体" w:hAnsi="宋体" w:eastAsia="宋体" w:cs="宋体"/>
          <w:sz w:val="24"/>
          <w:szCs w:val="24"/>
        </w:rPr>
        <w:fldChar w:fldCharType="separate"/>
      </w:r>
      <w:r>
        <w:rPr>
          <w:rFonts w:hint="eastAsia" w:ascii="宋体" w:hAnsi="宋体" w:eastAsia="宋体" w:cs="宋体"/>
          <w:sz w:val="24"/>
          <w:szCs w:val="24"/>
        </w:rPr>
        <w:t>10</w:t>
      </w:r>
      <w:r>
        <w:rPr>
          <w:rFonts w:hint="eastAsia" w:ascii="宋体" w:hAnsi="宋体" w:eastAsia="宋体" w:cs="宋体"/>
          <w:sz w:val="24"/>
          <w:szCs w:val="24"/>
        </w:rPr>
        <w:fldChar w:fldCharType="end"/>
      </w:r>
      <w:r>
        <w:rPr>
          <w:rFonts w:hint="eastAsia" w:ascii="宋体" w:hAnsi="宋体" w:eastAsia="宋体" w:cs="宋体"/>
          <w:bCs/>
          <w:caps/>
          <w:sz w:val="24"/>
          <w:szCs w:val="24"/>
        </w:rPr>
        <w:fldChar w:fldCharType="end"/>
      </w:r>
    </w:p>
    <w:p w14:paraId="18B6BEF3">
      <w:pPr>
        <w:pStyle w:val="42"/>
        <w:keepNext w:val="0"/>
        <w:keepLines w:val="0"/>
        <w:pageBreakBefore w:val="0"/>
        <w:widowControl w:val="0"/>
        <w:tabs>
          <w:tab w:val="right" w:leader="dot" w:pos="8312"/>
        </w:tabs>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bCs/>
          <w:caps/>
          <w:sz w:val="24"/>
          <w:szCs w:val="24"/>
        </w:rPr>
        <w:fldChar w:fldCharType="begin"/>
      </w:r>
      <w:r>
        <w:rPr>
          <w:rFonts w:hint="eastAsia" w:ascii="宋体" w:hAnsi="宋体" w:eastAsia="宋体" w:cs="宋体"/>
          <w:bCs/>
          <w:caps/>
          <w:sz w:val="24"/>
          <w:szCs w:val="24"/>
        </w:rPr>
        <w:instrText xml:space="preserve"> HYPERLINK \l _Toc3643 </w:instrText>
      </w:r>
      <w:r>
        <w:rPr>
          <w:rFonts w:hint="eastAsia" w:ascii="宋体" w:hAnsi="宋体" w:eastAsia="宋体" w:cs="宋体"/>
          <w:bCs/>
          <w:caps/>
          <w:sz w:val="24"/>
          <w:szCs w:val="24"/>
        </w:rPr>
        <w:fldChar w:fldCharType="separate"/>
      </w:r>
      <w:r>
        <w:rPr>
          <w:rFonts w:hint="eastAsia" w:ascii="宋体" w:hAnsi="宋体" w:eastAsia="宋体" w:cs="宋体"/>
          <w:kern w:val="0"/>
          <w:sz w:val="24"/>
          <w:szCs w:val="24"/>
          <w:lang w:val="en-US" w:bidi="zh-CN"/>
        </w:rPr>
        <w:t>2.4环境影响识别与评价因子筛选</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_Toc3643 \h </w:instrText>
      </w:r>
      <w:r>
        <w:rPr>
          <w:rFonts w:hint="eastAsia" w:ascii="宋体" w:hAnsi="宋体" w:eastAsia="宋体" w:cs="宋体"/>
          <w:sz w:val="24"/>
          <w:szCs w:val="24"/>
        </w:rPr>
        <w:fldChar w:fldCharType="separate"/>
      </w:r>
      <w:r>
        <w:rPr>
          <w:rFonts w:hint="eastAsia" w:ascii="宋体" w:hAnsi="宋体" w:eastAsia="宋体" w:cs="宋体"/>
          <w:sz w:val="24"/>
          <w:szCs w:val="24"/>
        </w:rPr>
        <w:t>10</w:t>
      </w:r>
      <w:r>
        <w:rPr>
          <w:rFonts w:hint="eastAsia" w:ascii="宋体" w:hAnsi="宋体" w:eastAsia="宋体" w:cs="宋体"/>
          <w:sz w:val="24"/>
          <w:szCs w:val="24"/>
        </w:rPr>
        <w:fldChar w:fldCharType="end"/>
      </w:r>
      <w:r>
        <w:rPr>
          <w:rFonts w:hint="eastAsia" w:ascii="宋体" w:hAnsi="宋体" w:eastAsia="宋体" w:cs="宋体"/>
          <w:bCs/>
          <w:caps/>
          <w:sz w:val="24"/>
          <w:szCs w:val="24"/>
        </w:rPr>
        <w:fldChar w:fldCharType="end"/>
      </w:r>
    </w:p>
    <w:p w14:paraId="0E0F1F23">
      <w:pPr>
        <w:pStyle w:val="42"/>
        <w:keepNext w:val="0"/>
        <w:keepLines w:val="0"/>
        <w:pageBreakBefore w:val="0"/>
        <w:widowControl w:val="0"/>
        <w:tabs>
          <w:tab w:val="right" w:leader="dot" w:pos="8312"/>
        </w:tabs>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bCs/>
          <w:caps/>
          <w:sz w:val="24"/>
          <w:szCs w:val="24"/>
        </w:rPr>
        <w:fldChar w:fldCharType="begin"/>
      </w:r>
      <w:r>
        <w:rPr>
          <w:rFonts w:hint="eastAsia" w:ascii="宋体" w:hAnsi="宋体" w:eastAsia="宋体" w:cs="宋体"/>
          <w:bCs/>
          <w:caps/>
          <w:sz w:val="24"/>
          <w:szCs w:val="24"/>
        </w:rPr>
        <w:instrText xml:space="preserve"> HYPERLINK \l _Toc25545 </w:instrText>
      </w:r>
      <w:r>
        <w:rPr>
          <w:rFonts w:hint="eastAsia" w:ascii="宋体" w:hAnsi="宋体" w:eastAsia="宋体" w:cs="宋体"/>
          <w:bCs/>
          <w:caps/>
          <w:sz w:val="24"/>
          <w:szCs w:val="24"/>
        </w:rPr>
        <w:fldChar w:fldCharType="separate"/>
      </w:r>
      <w:r>
        <w:rPr>
          <w:rFonts w:hint="eastAsia" w:ascii="宋体" w:hAnsi="宋体" w:eastAsia="宋体" w:cs="宋体"/>
          <w:kern w:val="0"/>
          <w:sz w:val="24"/>
          <w:szCs w:val="24"/>
          <w:lang w:val="en-US" w:bidi="zh-CN"/>
        </w:rPr>
        <w:t>2.5评价工作等级和评价范围</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_Toc25545 \h </w:instrText>
      </w:r>
      <w:r>
        <w:rPr>
          <w:rFonts w:hint="eastAsia" w:ascii="宋体" w:hAnsi="宋体" w:eastAsia="宋体" w:cs="宋体"/>
          <w:sz w:val="24"/>
          <w:szCs w:val="24"/>
        </w:rPr>
        <w:fldChar w:fldCharType="separate"/>
      </w:r>
      <w:r>
        <w:rPr>
          <w:rFonts w:hint="eastAsia" w:ascii="宋体" w:hAnsi="宋体" w:eastAsia="宋体" w:cs="宋体"/>
          <w:sz w:val="24"/>
          <w:szCs w:val="24"/>
        </w:rPr>
        <w:t>11</w:t>
      </w:r>
      <w:r>
        <w:rPr>
          <w:rFonts w:hint="eastAsia" w:ascii="宋体" w:hAnsi="宋体" w:eastAsia="宋体" w:cs="宋体"/>
          <w:sz w:val="24"/>
          <w:szCs w:val="24"/>
        </w:rPr>
        <w:fldChar w:fldCharType="end"/>
      </w:r>
      <w:r>
        <w:rPr>
          <w:rFonts w:hint="eastAsia" w:ascii="宋体" w:hAnsi="宋体" w:eastAsia="宋体" w:cs="宋体"/>
          <w:bCs/>
          <w:caps/>
          <w:sz w:val="24"/>
          <w:szCs w:val="24"/>
        </w:rPr>
        <w:fldChar w:fldCharType="end"/>
      </w:r>
    </w:p>
    <w:p w14:paraId="1B510244">
      <w:pPr>
        <w:pStyle w:val="42"/>
        <w:keepNext w:val="0"/>
        <w:keepLines w:val="0"/>
        <w:pageBreakBefore w:val="0"/>
        <w:widowControl w:val="0"/>
        <w:tabs>
          <w:tab w:val="right" w:leader="dot" w:pos="8312"/>
        </w:tabs>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bCs/>
          <w:caps/>
          <w:sz w:val="24"/>
          <w:szCs w:val="24"/>
        </w:rPr>
        <w:fldChar w:fldCharType="begin"/>
      </w:r>
      <w:r>
        <w:rPr>
          <w:rFonts w:hint="eastAsia" w:ascii="宋体" w:hAnsi="宋体" w:eastAsia="宋体" w:cs="宋体"/>
          <w:bCs/>
          <w:caps/>
          <w:sz w:val="24"/>
          <w:szCs w:val="24"/>
        </w:rPr>
        <w:instrText xml:space="preserve"> HYPERLINK \l _Toc22972 </w:instrText>
      </w:r>
      <w:r>
        <w:rPr>
          <w:rFonts w:hint="eastAsia" w:ascii="宋体" w:hAnsi="宋体" w:eastAsia="宋体" w:cs="宋体"/>
          <w:bCs/>
          <w:caps/>
          <w:sz w:val="24"/>
          <w:szCs w:val="24"/>
        </w:rPr>
        <w:fldChar w:fldCharType="separate"/>
      </w:r>
      <w:r>
        <w:rPr>
          <w:rFonts w:hint="eastAsia" w:ascii="宋体" w:hAnsi="宋体" w:eastAsia="宋体" w:cs="宋体"/>
          <w:kern w:val="0"/>
          <w:sz w:val="24"/>
          <w:szCs w:val="24"/>
          <w:lang w:val="en-US" w:bidi="zh-CN"/>
        </w:rPr>
        <w:t>2.6评价标准</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_Toc22972 \h </w:instrText>
      </w:r>
      <w:r>
        <w:rPr>
          <w:rFonts w:hint="eastAsia" w:ascii="宋体" w:hAnsi="宋体" w:eastAsia="宋体" w:cs="宋体"/>
          <w:sz w:val="24"/>
          <w:szCs w:val="24"/>
        </w:rPr>
        <w:fldChar w:fldCharType="separate"/>
      </w:r>
      <w:r>
        <w:rPr>
          <w:rFonts w:hint="eastAsia" w:ascii="宋体" w:hAnsi="宋体" w:eastAsia="宋体" w:cs="宋体"/>
          <w:sz w:val="24"/>
          <w:szCs w:val="24"/>
        </w:rPr>
        <w:t>18</w:t>
      </w:r>
      <w:r>
        <w:rPr>
          <w:rFonts w:hint="eastAsia" w:ascii="宋体" w:hAnsi="宋体" w:eastAsia="宋体" w:cs="宋体"/>
          <w:sz w:val="24"/>
          <w:szCs w:val="24"/>
        </w:rPr>
        <w:fldChar w:fldCharType="end"/>
      </w:r>
      <w:r>
        <w:rPr>
          <w:rFonts w:hint="eastAsia" w:ascii="宋体" w:hAnsi="宋体" w:eastAsia="宋体" w:cs="宋体"/>
          <w:bCs/>
          <w:caps/>
          <w:sz w:val="24"/>
          <w:szCs w:val="24"/>
        </w:rPr>
        <w:fldChar w:fldCharType="end"/>
      </w:r>
    </w:p>
    <w:p w14:paraId="3BFE1E33">
      <w:pPr>
        <w:pStyle w:val="42"/>
        <w:keepNext w:val="0"/>
        <w:keepLines w:val="0"/>
        <w:pageBreakBefore w:val="0"/>
        <w:widowControl w:val="0"/>
        <w:tabs>
          <w:tab w:val="right" w:leader="dot" w:pos="8312"/>
        </w:tabs>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bCs/>
          <w:caps/>
          <w:sz w:val="24"/>
          <w:szCs w:val="24"/>
        </w:rPr>
        <w:fldChar w:fldCharType="begin"/>
      </w:r>
      <w:r>
        <w:rPr>
          <w:rFonts w:hint="eastAsia" w:ascii="宋体" w:hAnsi="宋体" w:eastAsia="宋体" w:cs="宋体"/>
          <w:bCs/>
          <w:caps/>
          <w:sz w:val="24"/>
          <w:szCs w:val="24"/>
        </w:rPr>
        <w:instrText xml:space="preserve"> HYPERLINK \l _Toc14401 </w:instrText>
      </w:r>
      <w:r>
        <w:rPr>
          <w:rFonts w:hint="eastAsia" w:ascii="宋体" w:hAnsi="宋体" w:eastAsia="宋体" w:cs="宋体"/>
          <w:bCs/>
          <w:caps/>
          <w:sz w:val="24"/>
          <w:szCs w:val="24"/>
        </w:rPr>
        <w:fldChar w:fldCharType="separate"/>
      </w:r>
      <w:r>
        <w:rPr>
          <w:rFonts w:hint="eastAsia" w:ascii="宋体" w:hAnsi="宋体" w:eastAsia="宋体" w:cs="宋体"/>
          <w:kern w:val="0"/>
          <w:sz w:val="24"/>
          <w:szCs w:val="24"/>
          <w:lang w:val="en-US" w:bidi="zh-CN"/>
        </w:rPr>
        <w:t>2.7环境功能区划</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_Toc14401 \h </w:instrText>
      </w:r>
      <w:r>
        <w:rPr>
          <w:rFonts w:hint="eastAsia" w:ascii="宋体" w:hAnsi="宋体" w:eastAsia="宋体" w:cs="宋体"/>
          <w:sz w:val="24"/>
          <w:szCs w:val="24"/>
        </w:rPr>
        <w:fldChar w:fldCharType="separate"/>
      </w:r>
      <w:r>
        <w:rPr>
          <w:rFonts w:hint="eastAsia" w:ascii="宋体" w:hAnsi="宋体" w:eastAsia="宋体" w:cs="宋体"/>
          <w:sz w:val="24"/>
          <w:szCs w:val="24"/>
        </w:rPr>
        <w:t>23</w:t>
      </w:r>
      <w:r>
        <w:rPr>
          <w:rFonts w:hint="eastAsia" w:ascii="宋体" w:hAnsi="宋体" w:eastAsia="宋体" w:cs="宋体"/>
          <w:sz w:val="24"/>
          <w:szCs w:val="24"/>
        </w:rPr>
        <w:fldChar w:fldCharType="end"/>
      </w:r>
      <w:r>
        <w:rPr>
          <w:rFonts w:hint="eastAsia" w:ascii="宋体" w:hAnsi="宋体" w:eastAsia="宋体" w:cs="宋体"/>
          <w:bCs/>
          <w:caps/>
          <w:sz w:val="24"/>
          <w:szCs w:val="24"/>
        </w:rPr>
        <w:fldChar w:fldCharType="end"/>
      </w:r>
    </w:p>
    <w:p w14:paraId="138BF8A2">
      <w:pPr>
        <w:pStyle w:val="42"/>
        <w:keepNext w:val="0"/>
        <w:keepLines w:val="0"/>
        <w:pageBreakBefore w:val="0"/>
        <w:widowControl w:val="0"/>
        <w:tabs>
          <w:tab w:val="right" w:leader="dot" w:pos="8312"/>
        </w:tabs>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bCs/>
          <w:caps/>
          <w:sz w:val="24"/>
          <w:szCs w:val="24"/>
        </w:rPr>
        <w:fldChar w:fldCharType="begin"/>
      </w:r>
      <w:r>
        <w:rPr>
          <w:rFonts w:hint="eastAsia" w:ascii="宋体" w:hAnsi="宋体" w:eastAsia="宋体" w:cs="宋体"/>
          <w:bCs/>
          <w:caps/>
          <w:sz w:val="24"/>
          <w:szCs w:val="24"/>
        </w:rPr>
        <w:instrText xml:space="preserve"> HYPERLINK \l _Toc12039 </w:instrText>
      </w:r>
      <w:r>
        <w:rPr>
          <w:rFonts w:hint="eastAsia" w:ascii="宋体" w:hAnsi="宋体" w:eastAsia="宋体" w:cs="宋体"/>
          <w:bCs/>
          <w:caps/>
          <w:sz w:val="24"/>
          <w:szCs w:val="24"/>
        </w:rPr>
        <w:fldChar w:fldCharType="separate"/>
      </w:r>
      <w:r>
        <w:rPr>
          <w:rFonts w:hint="eastAsia" w:ascii="宋体" w:hAnsi="宋体" w:eastAsia="宋体" w:cs="宋体"/>
          <w:kern w:val="0"/>
          <w:sz w:val="24"/>
          <w:szCs w:val="24"/>
          <w:lang w:val="en-US" w:bidi="zh-CN"/>
        </w:rPr>
        <w:t>2.8环境保护目标</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_Toc12039 \h </w:instrText>
      </w:r>
      <w:r>
        <w:rPr>
          <w:rFonts w:hint="eastAsia" w:ascii="宋体" w:hAnsi="宋体" w:eastAsia="宋体" w:cs="宋体"/>
          <w:sz w:val="24"/>
          <w:szCs w:val="24"/>
        </w:rPr>
        <w:fldChar w:fldCharType="separate"/>
      </w:r>
      <w:r>
        <w:rPr>
          <w:rFonts w:hint="eastAsia" w:ascii="宋体" w:hAnsi="宋体" w:eastAsia="宋体" w:cs="宋体"/>
          <w:sz w:val="24"/>
          <w:szCs w:val="24"/>
        </w:rPr>
        <w:t>24</w:t>
      </w:r>
      <w:r>
        <w:rPr>
          <w:rFonts w:hint="eastAsia" w:ascii="宋体" w:hAnsi="宋体" w:eastAsia="宋体" w:cs="宋体"/>
          <w:sz w:val="24"/>
          <w:szCs w:val="24"/>
        </w:rPr>
        <w:fldChar w:fldCharType="end"/>
      </w:r>
      <w:r>
        <w:rPr>
          <w:rFonts w:hint="eastAsia" w:ascii="宋体" w:hAnsi="宋体" w:eastAsia="宋体" w:cs="宋体"/>
          <w:bCs/>
          <w:caps/>
          <w:sz w:val="24"/>
          <w:szCs w:val="24"/>
        </w:rPr>
        <w:fldChar w:fldCharType="end"/>
      </w:r>
    </w:p>
    <w:p w14:paraId="27BE0CFF">
      <w:pPr>
        <w:pStyle w:val="42"/>
        <w:keepNext w:val="0"/>
        <w:keepLines w:val="0"/>
        <w:pageBreakBefore w:val="0"/>
        <w:widowControl w:val="0"/>
        <w:tabs>
          <w:tab w:val="right" w:leader="dot" w:pos="8312"/>
        </w:tabs>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bCs/>
          <w:caps/>
          <w:sz w:val="24"/>
          <w:szCs w:val="24"/>
        </w:rPr>
        <w:fldChar w:fldCharType="begin"/>
      </w:r>
      <w:r>
        <w:rPr>
          <w:rFonts w:hint="eastAsia" w:ascii="宋体" w:hAnsi="宋体" w:eastAsia="宋体" w:cs="宋体"/>
          <w:bCs/>
          <w:caps/>
          <w:sz w:val="24"/>
          <w:szCs w:val="24"/>
        </w:rPr>
        <w:instrText xml:space="preserve"> HYPERLINK \l _Toc22885 </w:instrText>
      </w:r>
      <w:r>
        <w:rPr>
          <w:rFonts w:hint="eastAsia" w:ascii="宋体" w:hAnsi="宋体" w:eastAsia="宋体" w:cs="宋体"/>
          <w:bCs/>
          <w:caps/>
          <w:sz w:val="24"/>
          <w:szCs w:val="24"/>
        </w:rPr>
        <w:fldChar w:fldCharType="separate"/>
      </w:r>
      <w:r>
        <w:rPr>
          <w:rFonts w:hint="eastAsia" w:ascii="宋体" w:hAnsi="宋体" w:eastAsia="宋体" w:cs="宋体"/>
          <w:kern w:val="0"/>
          <w:sz w:val="24"/>
          <w:szCs w:val="24"/>
          <w:lang w:val="en-US" w:bidi="zh-CN"/>
        </w:rPr>
        <w:t>2.9相关政策、规划及规范符合性分析</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_Toc22885 \h </w:instrText>
      </w:r>
      <w:r>
        <w:rPr>
          <w:rFonts w:hint="eastAsia" w:ascii="宋体" w:hAnsi="宋体" w:eastAsia="宋体" w:cs="宋体"/>
          <w:sz w:val="24"/>
          <w:szCs w:val="24"/>
        </w:rPr>
        <w:fldChar w:fldCharType="separate"/>
      </w:r>
      <w:r>
        <w:rPr>
          <w:rFonts w:hint="eastAsia" w:ascii="宋体" w:hAnsi="宋体" w:eastAsia="宋体" w:cs="宋体"/>
          <w:sz w:val="24"/>
          <w:szCs w:val="24"/>
        </w:rPr>
        <w:t>24</w:t>
      </w:r>
      <w:r>
        <w:rPr>
          <w:rFonts w:hint="eastAsia" w:ascii="宋体" w:hAnsi="宋体" w:eastAsia="宋体" w:cs="宋体"/>
          <w:sz w:val="24"/>
          <w:szCs w:val="24"/>
        </w:rPr>
        <w:fldChar w:fldCharType="end"/>
      </w:r>
      <w:r>
        <w:rPr>
          <w:rFonts w:hint="eastAsia" w:ascii="宋体" w:hAnsi="宋体" w:eastAsia="宋体" w:cs="宋体"/>
          <w:bCs/>
          <w:caps/>
          <w:sz w:val="24"/>
          <w:szCs w:val="24"/>
        </w:rPr>
        <w:fldChar w:fldCharType="end"/>
      </w:r>
    </w:p>
    <w:p w14:paraId="5721F02F">
      <w:pPr>
        <w:pStyle w:val="36"/>
        <w:keepNext w:val="0"/>
        <w:keepLines w:val="0"/>
        <w:pageBreakBefore w:val="0"/>
        <w:widowControl w:val="0"/>
        <w:tabs>
          <w:tab w:val="right" w:leader="dot" w:pos="8312"/>
        </w:tabs>
        <w:kinsoku/>
        <w:wordWrap/>
        <w:overflowPunct/>
        <w:topLinePunct w:val="0"/>
        <w:autoSpaceDE/>
        <w:autoSpaceDN/>
        <w:bidi w:val="0"/>
        <w:adjustRightInd/>
        <w:snapToGrid/>
        <w:spacing w:before="0" w:after="0" w:line="360" w:lineRule="auto"/>
        <w:textAlignment w:val="auto"/>
        <w:rPr>
          <w:rFonts w:hint="eastAsia" w:ascii="宋体" w:hAnsi="宋体" w:eastAsia="宋体" w:cs="宋体"/>
          <w:sz w:val="24"/>
          <w:szCs w:val="24"/>
        </w:rPr>
      </w:pPr>
      <w:r>
        <w:rPr>
          <w:rFonts w:hint="eastAsia" w:ascii="宋体" w:hAnsi="宋体" w:eastAsia="宋体" w:cs="宋体"/>
          <w:bCs/>
          <w:caps/>
          <w:sz w:val="24"/>
          <w:szCs w:val="24"/>
        </w:rPr>
        <w:fldChar w:fldCharType="begin"/>
      </w:r>
      <w:r>
        <w:rPr>
          <w:rFonts w:hint="eastAsia" w:ascii="宋体" w:hAnsi="宋体" w:eastAsia="宋体" w:cs="宋体"/>
          <w:bCs/>
          <w:caps/>
          <w:sz w:val="24"/>
          <w:szCs w:val="24"/>
        </w:rPr>
        <w:instrText xml:space="preserve"> HYPERLINK \l _Toc31836 </w:instrText>
      </w:r>
      <w:r>
        <w:rPr>
          <w:rFonts w:hint="eastAsia" w:ascii="宋体" w:hAnsi="宋体" w:eastAsia="宋体" w:cs="宋体"/>
          <w:bCs/>
          <w:caps/>
          <w:sz w:val="24"/>
          <w:szCs w:val="24"/>
        </w:rPr>
        <w:fldChar w:fldCharType="separate"/>
      </w:r>
      <w:r>
        <w:rPr>
          <w:rFonts w:hint="eastAsia" w:ascii="宋体" w:hAnsi="宋体" w:eastAsia="宋体" w:cs="宋体"/>
          <w:kern w:val="0"/>
          <w:sz w:val="24"/>
          <w:szCs w:val="24"/>
          <w:lang w:bidi="zh-CN"/>
        </w:rPr>
        <w:t>3建设项目工程分析</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_Toc31836 \h </w:instrText>
      </w:r>
      <w:r>
        <w:rPr>
          <w:rFonts w:hint="eastAsia" w:ascii="宋体" w:hAnsi="宋体" w:eastAsia="宋体" w:cs="宋体"/>
          <w:sz w:val="24"/>
          <w:szCs w:val="24"/>
        </w:rPr>
        <w:fldChar w:fldCharType="separate"/>
      </w:r>
      <w:r>
        <w:rPr>
          <w:rFonts w:hint="eastAsia" w:ascii="宋体" w:hAnsi="宋体" w:eastAsia="宋体" w:cs="宋体"/>
          <w:sz w:val="24"/>
          <w:szCs w:val="24"/>
        </w:rPr>
        <w:t>44</w:t>
      </w:r>
      <w:r>
        <w:rPr>
          <w:rFonts w:hint="eastAsia" w:ascii="宋体" w:hAnsi="宋体" w:eastAsia="宋体" w:cs="宋体"/>
          <w:sz w:val="24"/>
          <w:szCs w:val="24"/>
        </w:rPr>
        <w:fldChar w:fldCharType="end"/>
      </w:r>
      <w:r>
        <w:rPr>
          <w:rFonts w:hint="eastAsia" w:ascii="宋体" w:hAnsi="宋体" w:eastAsia="宋体" w:cs="宋体"/>
          <w:bCs/>
          <w:caps/>
          <w:sz w:val="24"/>
          <w:szCs w:val="24"/>
        </w:rPr>
        <w:fldChar w:fldCharType="end"/>
      </w:r>
    </w:p>
    <w:p w14:paraId="51113713">
      <w:pPr>
        <w:pStyle w:val="42"/>
        <w:keepNext w:val="0"/>
        <w:keepLines w:val="0"/>
        <w:pageBreakBefore w:val="0"/>
        <w:widowControl w:val="0"/>
        <w:tabs>
          <w:tab w:val="right" w:leader="dot" w:pos="8312"/>
        </w:tabs>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bCs/>
          <w:caps/>
          <w:sz w:val="24"/>
          <w:szCs w:val="24"/>
        </w:rPr>
        <w:fldChar w:fldCharType="begin"/>
      </w:r>
      <w:r>
        <w:rPr>
          <w:rFonts w:hint="eastAsia" w:ascii="宋体" w:hAnsi="宋体" w:eastAsia="宋体" w:cs="宋体"/>
          <w:bCs/>
          <w:caps/>
          <w:sz w:val="24"/>
          <w:szCs w:val="24"/>
        </w:rPr>
        <w:instrText xml:space="preserve"> HYPERLINK \l _Toc17834 </w:instrText>
      </w:r>
      <w:r>
        <w:rPr>
          <w:rFonts w:hint="eastAsia" w:ascii="宋体" w:hAnsi="宋体" w:eastAsia="宋体" w:cs="宋体"/>
          <w:bCs/>
          <w:caps/>
          <w:sz w:val="24"/>
          <w:szCs w:val="24"/>
        </w:rPr>
        <w:fldChar w:fldCharType="separate"/>
      </w:r>
      <w:r>
        <w:rPr>
          <w:rFonts w:hint="eastAsia" w:ascii="宋体" w:hAnsi="宋体" w:eastAsia="宋体" w:cs="宋体"/>
          <w:kern w:val="0"/>
          <w:sz w:val="24"/>
          <w:szCs w:val="24"/>
          <w:lang w:val="en-US" w:bidi="zh-CN"/>
        </w:rPr>
        <w:t>3.1建设项目基本情况</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_Toc17834 \h </w:instrText>
      </w:r>
      <w:r>
        <w:rPr>
          <w:rFonts w:hint="eastAsia" w:ascii="宋体" w:hAnsi="宋体" w:eastAsia="宋体" w:cs="宋体"/>
          <w:sz w:val="24"/>
          <w:szCs w:val="24"/>
        </w:rPr>
        <w:fldChar w:fldCharType="separate"/>
      </w:r>
      <w:r>
        <w:rPr>
          <w:rFonts w:hint="eastAsia" w:ascii="宋体" w:hAnsi="宋体" w:eastAsia="宋体" w:cs="宋体"/>
          <w:sz w:val="24"/>
          <w:szCs w:val="24"/>
        </w:rPr>
        <w:t>44</w:t>
      </w:r>
      <w:r>
        <w:rPr>
          <w:rFonts w:hint="eastAsia" w:ascii="宋体" w:hAnsi="宋体" w:eastAsia="宋体" w:cs="宋体"/>
          <w:sz w:val="24"/>
          <w:szCs w:val="24"/>
        </w:rPr>
        <w:fldChar w:fldCharType="end"/>
      </w:r>
      <w:r>
        <w:rPr>
          <w:rFonts w:hint="eastAsia" w:ascii="宋体" w:hAnsi="宋体" w:eastAsia="宋体" w:cs="宋体"/>
          <w:bCs/>
          <w:caps/>
          <w:sz w:val="24"/>
          <w:szCs w:val="24"/>
        </w:rPr>
        <w:fldChar w:fldCharType="end"/>
      </w:r>
    </w:p>
    <w:p w14:paraId="001ECC8E">
      <w:pPr>
        <w:pStyle w:val="42"/>
        <w:keepNext w:val="0"/>
        <w:keepLines w:val="0"/>
        <w:pageBreakBefore w:val="0"/>
        <w:widowControl w:val="0"/>
        <w:tabs>
          <w:tab w:val="right" w:leader="dot" w:pos="8312"/>
        </w:tabs>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bCs/>
          <w:caps/>
          <w:sz w:val="24"/>
          <w:szCs w:val="24"/>
        </w:rPr>
        <w:fldChar w:fldCharType="begin"/>
      </w:r>
      <w:r>
        <w:rPr>
          <w:rFonts w:hint="eastAsia" w:ascii="宋体" w:hAnsi="宋体" w:eastAsia="宋体" w:cs="宋体"/>
          <w:bCs/>
          <w:caps/>
          <w:sz w:val="24"/>
          <w:szCs w:val="24"/>
        </w:rPr>
        <w:instrText xml:space="preserve"> HYPERLINK \l _Toc16863 </w:instrText>
      </w:r>
      <w:r>
        <w:rPr>
          <w:rFonts w:hint="eastAsia" w:ascii="宋体" w:hAnsi="宋体" w:eastAsia="宋体" w:cs="宋体"/>
          <w:bCs/>
          <w:caps/>
          <w:sz w:val="24"/>
          <w:szCs w:val="24"/>
        </w:rPr>
        <w:fldChar w:fldCharType="separate"/>
      </w:r>
      <w:r>
        <w:rPr>
          <w:rFonts w:hint="eastAsia" w:ascii="宋体" w:hAnsi="宋体" w:eastAsia="宋体" w:cs="宋体"/>
          <w:kern w:val="0"/>
          <w:sz w:val="24"/>
          <w:szCs w:val="24"/>
          <w:lang w:val="en-US" w:bidi="zh-CN"/>
        </w:rPr>
        <w:t>3.2工艺流程及产污环节分析</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_Toc16863 \h </w:instrText>
      </w:r>
      <w:r>
        <w:rPr>
          <w:rFonts w:hint="eastAsia" w:ascii="宋体" w:hAnsi="宋体" w:eastAsia="宋体" w:cs="宋体"/>
          <w:sz w:val="24"/>
          <w:szCs w:val="24"/>
        </w:rPr>
        <w:fldChar w:fldCharType="separate"/>
      </w:r>
      <w:r>
        <w:rPr>
          <w:rFonts w:hint="eastAsia" w:ascii="宋体" w:hAnsi="宋体" w:eastAsia="宋体" w:cs="宋体"/>
          <w:sz w:val="24"/>
          <w:szCs w:val="24"/>
        </w:rPr>
        <w:t>52</w:t>
      </w:r>
      <w:r>
        <w:rPr>
          <w:rFonts w:hint="eastAsia" w:ascii="宋体" w:hAnsi="宋体" w:eastAsia="宋体" w:cs="宋体"/>
          <w:sz w:val="24"/>
          <w:szCs w:val="24"/>
        </w:rPr>
        <w:fldChar w:fldCharType="end"/>
      </w:r>
      <w:r>
        <w:rPr>
          <w:rFonts w:hint="eastAsia" w:ascii="宋体" w:hAnsi="宋体" w:eastAsia="宋体" w:cs="宋体"/>
          <w:bCs/>
          <w:caps/>
          <w:sz w:val="24"/>
          <w:szCs w:val="24"/>
        </w:rPr>
        <w:fldChar w:fldCharType="end"/>
      </w:r>
    </w:p>
    <w:p w14:paraId="341375CE">
      <w:pPr>
        <w:pStyle w:val="42"/>
        <w:keepNext w:val="0"/>
        <w:keepLines w:val="0"/>
        <w:pageBreakBefore w:val="0"/>
        <w:widowControl w:val="0"/>
        <w:tabs>
          <w:tab w:val="right" w:leader="dot" w:pos="8312"/>
        </w:tabs>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bCs/>
          <w:caps/>
          <w:sz w:val="24"/>
          <w:szCs w:val="24"/>
        </w:rPr>
        <w:fldChar w:fldCharType="begin"/>
      </w:r>
      <w:r>
        <w:rPr>
          <w:rFonts w:hint="eastAsia" w:ascii="宋体" w:hAnsi="宋体" w:eastAsia="宋体" w:cs="宋体"/>
          <w:bCs/>
          <w:caps/>
          <w:sz w:val="24"/>
          <w:szCs w:val="24"/>
        </w:rPr>
        <w:instrText xml:space="preserve"> HYPERLINK \l _Toc24279 </w:instrText>
      </w:r>
      <w:r>
        <w:rPr>
          <w:rFonts w:hint="eastAsia" w:ascii="宋体" w:hAnsi="宋体" w:eastAsia="宋体" w:cs="宋体"/>
          <w:bCs/>
          <w:caps/>
          <w:sz w:val="24"/>
          <w:szCs w:val="24"/>
        </w:rPr>
        <w:fldChar w:fldCharType="separate"/>
      </w:r>
      <w:r>
        <w:rPr>
          <w:rFonts w:hint="eastAsia" w:ascii="宋体" w:hAnsi="宋体" w:eastAsia="宋体" w:cs="宋体"/>
          <w:bCs w:val="0"/>
          <w:sz w:val="24"/>
          <w:szCs w:val="24"/>
          <w:lang w:val="en-US" w:bidi="zh-CN"/>
        </w:rPr>
        <w:t>固体</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_Toc24279 \h </w:instrText>
      </w:r>
      <w:r>
        <w:rPr>
          <w:rFonts w:hint="eastAsia" w:ascii="宋体" w:hAnsi="宋体" w:eastAsia="宋体" w:cs="宋体"/>
          <w:sz w:val="24"/>
          <w:szCs w:val="24"/>
        </w:rPr>
        <w:fldChar w:fldCharType="separate"/>
      </w:r>
      <w:r>
        <w:rPr>
          <w:rFonts w:hint="eastAsia" w:ascii="宋体" w:hAnsi="宋体" w:eastAsia="宋体" w:cs="宋体"/>
          <w:sz w:val="24"/>
          <w:szCs w:val="24"/>
        </w:rPr>
        <w:t>57</w:t>
      </w:r>
      <w:r>
        <w:rPr>
          <w:rFonts w:hint="eastAsia" w:ascii="宋体" w:hAnsi="宋体" w:eastAsia="宋体" w:cs="宋体"/>
          <w:sz w:val="24"/>
          <w:szCs w:val="24"/>
        </w:rPr>
        <w:fldChar w:fldCharType="end"/>
      </w:r>
      <w:r>
        <w:rPr>
          <w:rFonts w:hint="eastAsia" w:ascii="宋体" w:hAnsi="宋体" w:eastAsia="宋体" w:cs="宋体"/>
          <w:bCs/>
          <w:caps/>
          <w:sz w:val="24"/>
          <w:szCs w:val="24"/>
        </w:rPr>
        <w:fldChar w:fldCharType="end"/>
      </w:r>
    </w:p>
    <w:p w14:paraId="284BF195">
      <w:pPr>
        <w:pStyle w:val="42"/>
        <w:keepNext w:val="0"/>
        <w:keepLines w:val="0"/>
        <w:pageBreakBefore w:val="0"/>
        <w:widowControl w:val="0"/>
        <w:tabs>
          <w:tab w:val="right" w:leader="dot" w:pos="8312"/>
        </w:tabs>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bCs/>
          <w:caps/>
          <w:sz w:val="24"/>
          <w:szCs w:val="24"/>
        </w:rPr>
        <w:fldChar w:fldCharType="begin"/>
      </w:r>
      <w:r>
        <w:rPr>
          <w:rFonts w:hint="eastAsia" w:ascii="宋体" w:hAnsi="宋体" w:eastAsia="宋体" w:cs="宋体"/>
          <w:bCs/>
          <w:caps/>
          <w:sz w:val="24"/>
          <w:szCs w:val="24"/>
        </w:rPr>
        <w:instrText xml:space="preserve"> HYPERLINK \l _Toc17755 </w:instrText>
      </w:r>
      <w:r>
        <w:rPr>
          <w:rFonts w:hint="eastAsia" w:ascii="宋体" w:hAnsi="宋体" w:eastAsia="宋体" w:cs="宋体"/>
          <w:bCs/>
          <w:caps/>
          <w:sz w:val="24"/>
          <w:szCs w:val="24"/>
        </w:rPr>
        <w:fldChar w:fldCharType="separate"/>
      </w:r>
      <w:r>
        <w:rPr>
          <w:rFonts w:hint="eastAsia" w:ascii="宋体" w:hAnsi="宋体" w:eastAsia="宋体" w:cs="宋体"/>
          <w:bCs w:val="0"/>
          <w:sz w:val="24"/>
          <w:szCs w:val="24"/>
          <w:lang w:val="en-US" w:bidi="zh-CN"/>
        </w:rPr>
        <w:t>废物</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_Toc17755 \h </w:instrText>
      </w:r>
      <w:r>
        <w:rPr>
          <w:rFonts w:hint="eastAsia" w:ascii="宋体" w:hAnsi="宋体" w:eastAsia="宋体" w:cs="宋体"/>
          <w:sz w:val="24"/>
          <w:szCs w:val="24"/>
        </w:rPr>
        <w:fldChar w:fldCharType="separate"/>
      </w:r>
      <w:r>
        <w:rPr>
          <w:rFonts w:hint="eastAsia" w:ascii="宋体" w:hAnsi="宋体" w:eastAsia="宋体" w:cs="宋体"/>
          <w:sz w:val="24"/>
          <w:szCs w:val="24"/>
        </w:rPr>
        <w:t>57</w:t>
      </w:r>
      <w:r>
        <w:rPr>
          <w:rFonts w:hint="eastAsia" w:ascii="宋体" w:hAnsi="宋体" w:eastAsia="宋体" w:cs="宋体"/>
          <w:sz w:val="24"/>
          <w:szCs w:val="24"/>
        </w:rPr>
        <w:fldChar w:fldCharType="end"/>
      </w:r>
      <w:r>
        <w:rPr>
          <w:rFonts w:hint="eastAsia" w:ascii="宋体" w:hAnsi="宋体" w:eastAsia="宋体" w:cs="宋体"/>
          <w:bCs/>
          <w:caps/>
          <w:sz w:val="24"/>
          <w:szCs w:val="24"/>
        </w:rPr>
        <w:fldChar w:fldCharType="end"/>
      </w:r>
    </w:p>
    <w:p w14:paraId="6B336F76">
      <w:pPr>
        <w:pStyle w:val="42"/>
        <w:keepNext w:val="0"/>
        <w:keepLines w:val="0"/>
        <w:pageBreakBefore w:val="0"/>
        <w:widowControl w:val="0"/>
        <w:tabs>
          <w:tab w:val="right" w:leader="dot" w:pos="8312"/>
        </w:tabs>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bCs/>
          <w:caps/>
          <w:sz w:val="24"/>
          <w:szCs w:val="24"/>
        </w:rPr>
        <w:fldChar w:fldCharType="begin"/>
      </w:r>
      <w:r>
        <w:rPr>
          <w:rFonts w:hint="eastAsia" w:ascii="宋体" w:hAnsi="宋体" w:eastAsia="宋体" w:cs="宋体"/>
          <w:bCs/>
          <w:caps/>
          <w:sz w:val="24"/>
          <w:szCs w:val="24"/>
        </w:rPr>
        <w:instrText xml:space="preserve"> HYPERLINK \l _Toc17147 </w:instrText>
      </w:r>
      <w:r>
        <w:rPr>
          <w:rFonts w:hint="eastAsia" w:ascii="宋体" w:hAnsi="宋体" w:eastAsia="宋体" w:cs="宋体"/>
          <w:bCs/>
          <w:caps/>
          <w:sz w:val="24"/>
          <w:szCs w:val="24"/>
        </w:rPr>
        <w:fldChar w:fldCharType="separate"/>
      </w:r>
      <w:r>
        <w:rPr>
          <w:rFonts w:hint="eastAsia" w:ascii="宋体" w:hAnsi="宋体" w:eastAsia="宋体" w:cs="宋体"/>
          <w:kern w:val="0"/>
          <w:sz w:val="24"/>
          <w:szCs w:val="24"/>
          <w:lang w:val="en-US" w:bidi="zh-CN"/>
        </w:rPr>
        <w:t>3.3物料平衡及水平衡</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_Toc17147 \h </w:instrText>
      </w:r>
      <w:r>
        <w:rPr>
          <w:rFonts w:hint="eastAsia" w:ascii="宋体" w:hAnsi="宋体" w:eastAsia="宋体" w:cs="宋体"/>
          <w:sz w:val="24"/>
          <w:szCs w:val="24"/>
        </w:rPr>
        <w:fldChar w:fldCharType="separate"/>
      </w:r>
      <w:r>
        <w:rPr>
          <w:rFonts w:hint="eastAsia" w:ascii="宋体" w:hAnsi="宋体" w:eastAsia="宋体" w:cs="宋体"/>
          <w:sz w:val="24"/>
          <w:szCs w:val="24"/>
        </w:rPr>
        <w:t>57</w:t>
      </w:r>
      <w:r>
        <w:rPr>
          <w:rFonts w:hint="eastAsia" w:ascii="宋体" w:hAnsi="宋体" w:eastAsia="宋体" w:cs="宋体"/>
          <w:sz w:val="24"/>
          <w:szCs w:val="24"/>
        </w:rPr>
        <w:fldChar w:fldCharType="end"/>
      </w:r>
      <w:r>
        <w:rPr>
          <w:rFonts w:hint="eastAsia" w:ascii="宋体" w:hAnsi="宋体" w:eastAsia="宋体" w:cs="宋体"/>
          <w:bCs/>
          <w:caps/>
          <w:sz w:val="24"/>
          <w:szCs w:val="24"/>
        </w:rPr>
        <w:fldChar w:fldCharType="end"/>
      </w:r>
    </w:p>
    <w:p w14:paraId="0D8628C2">
      <w:pPr>
        <w:pStyle w:val="42"/>
        <w:keepNext w:val="0"/>
        <w:keepLines w:val="0"/>
        <w:pageBreakBefore w:val="0"/>
        <w:widowControl w:val="0"/>
        <w:tabs>
          <w:tab w:val="right" w:leader="dot" w:pos="8312"/>
        </w:tabs>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bCs/>
          <w:caps/>
          <w:sz w:val="24"/>
          <w:szCs w:val="24"/>
        </w:rPr>
        <w:fldChar w:fldCharType="begin"/>
      </w:r>
      <w:r>
        <w:rPr>
          <w:rFonts w:hint="eastAsia" w:ascii="宋体" w:hAnsi="宋体" w:eastAsia="宋体" w:cs="宋体"/>
          <w:bCs/>
          <w:caps/>
          <w:sz w:val="24"/>
          <w:szCs w:val="24"/>
        </w:rPr>
        <w:instrText xml:space="preserve"> HYPERLINK \l _Toc14914 </w:instrText>
      </w:r>
      <w:r>
        <w:rPr>
          <w:rFonts w:hint="eastAsia" w:ascii="宋体" w:hAnsi="宋体" w:eastAsia="宋体" w:cs="宋体"/>
          <w:bCs/>
          <w:caps/>
          <w:sz w:val="24"/>
          <w:szCs w:val="24"/>
        </w:rPr>
        <w:fldChar w:fldCharType="separate"/>
      </w:r>
      <w:r>
        <w:rPr>
          <w:rFonts w:hint="eastAsia" w:ascii="宋体" w:hAnsi="宋体" w:eastAsia="宋体" w:cs="宋体"/>
          <w:kern w:val="0"/>
          <w:sz w:val="24"/>
          <w:szCs w:val="24"/>
          <w:lang w:val="en-US" w:bidi="zh-CN"/>
        </w:rPr>
        <w:t>3.4污染源源强核算</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_Toc14914 \h </w:instrText>
      </w:r>
      <w:r>
        <w:rPr>
          <w:rFonts w:hint="eastAsia" w:ascii="宋体" w:hAnsi="宋体" w:eastAsia="宋体" w:cs="宋体"/>
          <w:sz w:val="24"/>
          <w:szCs w:val="24"/>
        </w:rPr>
        <w:fldChar w:fldCharType="separate"/>
      </w:r>
      <w:r>
        <w:rPr>
          <w:rFonts w:hint="eastAsia" w:ascii="宋体" w:hAnsi="宋体" w:eastAsia="宋体" w:cs="宋体"/>
          <w:sz w:val="24"/>
          <w:szCs w:val="24"/>
        </w:rPr>
        <w:t>59</w:t>
      </w:r>
      <w:r>
        <w:rPr>
          <w:rFonts w:hint="eastAsia" w:ascii="宋体" w:hAnsi="宋体" w:eastAsia="宋体" w:cs="宋体"/>
          <w:sz w:val="24"/>
          <w:szCs w:val="24"/>
        </w:rPr>
        <w:fldChar w:fldCharType="end"/>
      </w:r>
      <w:r>
        <w:rPr>
          <w:rFonts w:hint="eastAsia" w:ascii="宋体" w:hAnsi="宋体" w:eastAsia="宋体" w:cs="宋体"/>
          <w:bCs/>
          <w:caps/>
          <w:sz w:val="24"/>
          <w:szCs w:val="24"/>
        </w:rPr>
        <w:fldChar w:fldCharType="end"/>
      </w:r>
    </w:p>
    <w:p w14:paraId="58B44E9C">
      <w:pPr>
        <w:pStyle w:val="42"/>
        <w:keepNext w:val="0"/>
        <w:keepLines w:val="0"/>
        <w:pageBreakBefore w:val="0"/>
        <w:widowControl w:val="0"/>
        <w:tabs>
          <w:tab w:val="right" w:leader="dot" w:pos="8312"/>
        </w:tabs>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bCs/>
          <w:caps/>
          <w:sz w:val="24"/>
          <w:szCs w:val="24"/>
        </w:rPr>
        <w:fldChar w:fldCharType="begin"/>
      </w:r>
      <w:r>
        <w:rPr>
          <w:rFonts w:hint="eastAsia" w:ascii="宋体" w:hAnsi="宋体" w:eastAsia="宋体" w:cs="宋体"/>
          <w:bCs/>
          <w:caps/>
          <w:sz w:val="24"/>
          <w:szCs w:val="24"/>
        </w:rPr>
        <w:instrText xml:space="preserve"> HYPERLINK \l _Toc14565 </w:instrText>
      </w:r>
      <w:r>
        <w:rPr>
          <w:rFonts w:hint="eastAsia" w:ascii="宋体" w:hAnsi="宋体" w:eastAsia="宋体" w:cs="宋体"/>
          <w:bCs/>
          <w:caps/>
          <w:sz w:val="24"/>
          <w:szCs w:val="24"/>
        </w:rPr>
        <w:fldChar w:fldCharType="separate"/>
      </w:r>
      <w:r>
        <w:rPr>
          <w:rFonts w:hint="eastAsia" w:ascii="宋体" w:hAnsi="宋体" w:eastAsia="宋体" w:cs="宋体"/>
          <w:kern w:val="0"/>
          <w:sz w:val="24"/>
          <w:szCs w:val="24"/>
          <w:lang w:val="en-US" w:bidi="zh-CN"/>
        </w:rPr>
        <w:t>3.5营运期污染源汇总</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_Toc14565 \h </w:instrText>
      </w:r>
      <w:r>
        <w:rPr>
          <w:rFonts w:hint="eastAsia" w:ascii="宋体" w:hAnsi="宋体" w:eastAsia="宋体" w:cs="宋体"/>
          <w:sz w:val="24"/>
          <w:szCs w:val="24"/>
        </w:rPr>
        <w:fldChar w:fldCharType="separate"/>
      </w:r>
      <w:r>
        <w:rPr>
          <w:rFonts w:hint="eastAsia" w:ascii="宋体" w:hAnsi="宋体" w:eastAsia="宋体" w:cs="宋体"/>
          <w:sz w:val="24"/>
          <w:szCs w:val="24"/>
        </w:rPr>
        <w:t>68</w:t>
      </w:r>
      <w:r>
        <w:rPr>
          <w:rFonts w:hint="eastAsia" w:ascii="宋体" w:hAnsi="宋体" w:eastAsia="宋体" w:cs="宋体"/>
          <w:sz w:val="24"/>
          <w:szCs w:val="24"/>
        </w:rPr>
        <w:fldChar w:fldCharType="end"/>
      </w:r>
      <w:r>
        <w:rPr>
          <w:rFonts w:hint="eastAsia" w:ascii="宋体" w:hAnsi="宋体" w:eastAsia="宋体" w:cs="宋体"/>
          <w:bCs/>
          <w:caps/>
          <w:sz w:val="24"/>
          <w:szCs w:val="24"/>
        </w:rPr>
        <w:fldChar w:fldCharType="end"/>
      </w:r>
    </w:p>
    <w:p w14:paraId="55B62F2E">
      <w:pPr>
        <w:pStyle w:val="42"/>
        <w:keepNext w:val="0"/>
        <w:keepLines w:val="0"/>
        <w:pageBreakBefore w:val="0"/>
        <w:widowControl w:val="0"/>
        <w:tabs>
          <w:tab w:val="right" w:leader="dot" w:pos="8312"/>
        </w:tabs>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bCs/>
          <w:caps/>
          <w:sz w:val="24"/>
          <w:szCs w:val="24"/>
        </w:rPr>
        <w:fldChar w:fldCharType="begin"/>
      </w:r>
      <w:r>
        <w:rPr>
          <w:rFonts w:hint="eastAsia" w:ascii="宋体" w:hAnsi="宋体" w:eastAsia="宋体" w:cs="宋体"/>
          <w:bCs/>
          <w:caps/>
          <w:sz w:val="24"/>
          <w:szCs w:val="24"/>
        </w:rPr>
        <w:instrText xml:space="preserve"> HYPERLINK \l _Toc12490 </w:instrText>
      </w:r>
      <w:r>
        <w:rPr>
          <w:rFonts w:hint="eastAsia" w:ascii="宋体" w:hAnsi="宋体" w:eastAsia="宋体" w:cs="宋体"/>
          <w:bCs/>
          <w:caps/>
          <w:sz w:val="24"/>
          <w:szCs w:val="24"/>
        </w:rPr>
        <w:fldChar w:fldCharType="separate"/>
      </w:r>
      <w:r>
        <w:rPr>
          <w:rFonts w:hint="eastAsia" w:ascii="宋体" w:hAnsi="宋体" w:eastAsia="宋体" w:cs="宋体"/>
          <w:kern w:val="0"/>
          <w:sz w:val="24"/>
          <w:szCs w:val="24"/>
          <w:lang w:val="en-US" w:bidi="zh-CN"/>
        </w:rPr>
        <w:t>3.6非正常工况分析</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_Toc12490 \h </w:instrText>
      </w:r>
      <w:r>
        <w:rPr>
          <w:rFonts w:hint="eastAsia" w:ascii="宋体" w:hAnsi="宋体" w:eastAsia="宋体" w:cs="宋体"/>
          <w:sz w:val="24"/>
          <w:szCs w:val="24"/>
        </w:rPr>
        <w:fldChar w:fldCharType="separate"/>
      </w:r>
      <w:r>
        <w:rPr>
          <w:rFonts w:hint="eastAsia" w:ascii="宋体" w:hAnsi="宋体" w:eastAsia="宋体" w:cs="宋体"/>
          <w:sz w:val="24"/>
          <w:szCs w:val="24"/>
        </w:rPr>
        <w:t>69</w:t>
      </w:r>
      <w:r>
        <w:rPr>
          <w:rFonts w:hint="eastAsia" w:ascii="宋体" w:hAnsi="宋体" w:eastAsia="宋体" w:cs="宋体"/>
          <w:sz w:val="24"/>
          <w:szCs w:val="24"/>
        </w:rPr>
        <w:fldChar w:fldCharType="end"/>
      </w:r>
      <w:r>
        <w:rPr>
          <w:rFonts w:hint="eastAsia" w:ascii="宋体" w:hAnsi="宋体" w:eastAsia="宋体" w:cs="宋体"/>
          <w:bCs/>
          <w:caps/>
          <w:sz w:val="24"/>
          <w:szCs w:val="24"/>
        </w:rPr>
        <w:fldChar w:fldCharType="end"/>
      </w:r>
    </w:p>
    <w:p w14:paraId="5491CADD">
      <w:pPr>
        <w:pStyle w:val="42"/>
        <w:keepNext w:val="0"/>
        <w:keepLines w:val="0"/>
        <w:pageBreakBefore w:val="0"/>
        <w:widowControl w:val="0"/>
        <w:tabs>
          <w:tab w:val="right" w:leader="dot" w:pos="8312"/>
        </w:tabs>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bCs/>
          <w:caps/>
          <w:sz w:val="24"/>
          <w:szCs w:val="24"/>
        </w:rPr>
        <w:fldChar w:fldCharType="begin"/>
      </w:r>
      <w:r>
        <w:rPr>
          <w:rFonts w:hint="eastAsia" w:ascii="宋体" w:hAnsi="宋体" w:eastAsia="宋体" w:cs="宋体"/>
          <w:bCs/>
          <w:caps/>
          <w:sz w:val="24"/>
          <w:szCs w:val="24"/>
        </w:rPr>
        <w:instrText xml:space="preserve"> HYPERLINK \l _Toc18981 </w:instrText>
      </w:r>
      <w:r>
        <w:rPr>
          <w:rFonts w:hint="eastAsia" w:ascii="宋体" w:hAnsi="宋体" w:eastAsia="宋体" w:cs="宋体"/>
          <w:bCs/>
          <w:caps/>
          <w:sz w:val="24"/>
          <w:szCs w:val="24"/>
        </w:rPr>
        <w:fldChar w:fldCharType="separate"/>
      </w:r>
      <w:r>
        <w:rPr>
          <w:rFonts w:hint="eastAsia" w:ascii="宋体" w:hAnsi="宋体" w:eastAsia="宋体" w:cs="宋体"/>
          <w:kern w:val="0"/>
          <w:sz w:val="24"/>
          <w:szCs w:val="24"/>
          <w:lang w:val="en-US" w:bidi="zh-CN"/>
        </w:rPr>
        <w:t>3.7清洁生产概述</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_Toc18981 \h </w:instrText>
      </w:r>
      <w:r>
        <w:rPr>
          <w:rFonts w:hint="eastAsia" w:ascii="宋体" w:hAnsi="宋体" w:eastAsia="宋体" w:cs="宋体"/>
          <w:sz w:val="24"/>
          <w:szCs w:val="24"/>
        </w:rPr>
        <w:fldChar w:fldCharType="separate"/>
      </w:r>
      <w:r>
        <w:rPr>
          <w:rFonts w:hint="eastAsia" w:ascii="宋体" w:hAnsi="宋体" w:eastAsia="宋体" w:cs="宋体"/>
          <w:sz w:val="24"/>
          <w:szCs w:val="24"/>
        </w:rPr>
        <w:t>69</w:t>
      </w:r>
      <w:r>
        <w:rPr>
          <w:rFonts w:hint="eastAsia" w:ascii="宋体" w:hAnsi="宋体" w:eastAsia="宋体" w:cs="宋体"/>
          <w:sz w:val="24"/>
          <w:szCs w:val="24"/>
        </w:rPr>
        <w:fldChar w:fldCharType="end"/>
      </w:r>
      <w:r>
        <w:rPr>
          <w:rFonts w:hint="eastAsia" w:ascii="宋体" w:hAnsi="宋体" w:eastAsia="宋体" w:cs="宋体"/>
          <w:bCs/>
          <w:caps/>
          <w:sz w:val="24"/>
          <w:szCs w:val="24"/>
        </w:rPr>
        <w:fldChar w:fldCharType="end"/>
      </w:r>
    </w:p>
    <w:p w14:paraId="1236B3A3">
      <w:pPr>
        <w:pStyle w:val="36"/>
        <w:keepNext w:val="0"/>
        <w:keepLines w:val="0"/>
        <w:pageBreakBefore w:val="0"/>
        <w:widowControl w:val="0"/>
        <w:tabs>
          <w:tab w:val="right" w:leader="dot" w:pos="8312"/>
        </w:tabs>
        <w:kinsoku/>
        <w:wordWrap/>
        <w:overflowPunct/>
        <w:topLinePunct w:val="0"/>
        <w:autoSpaceDE/>
        <w:autoSpaceDN/>
        <w:bidi w:val="0"/>
        <w:adjustRightInd/>
        <w:snapToGrid/>
        <w:spacing w:before="0" w:after="0" w:line="360" w:lineRule="auto"/>
        <w:textAlignment w:val="auto"/>
        <w:rPr>
          <w:rFonts w:hint="eastAsia" w:ascii="宋体" w:hAnsi="宋体" w:eastAsia="宋体" w:cs="宋体"/>
          <w:sz w:val="24"/>
          <w:szCs w:val="24"/>
        </w:rPr>
      </w:pPr>
      <w:r>
        <w:rPr>
          <w:rFonts w:hint="eastAsia" w:ascii="宋体" w:hAnsi="宋体" w:eastAsia="宋体" w:cs="宋体"/>
          <w:bCs/>
          <w:caps/>
          <w:sz w:val="24"/>
          <w:szCs w:val="24"/>
        </w:rPr>
        <w:fldChar w:fldCharType="begin"/>
      </w:r>
      <w:r>
        <w:rPr>
          <w:rFonts w:hint="eastAsia" w:ascii="宋体" w:hAnsi="宋体" w:eastAsia="宋体" w:cs="宋体"/>
          <w:bCs/>
          <w:caps/>
          <w:sz w:val="24"/>
          <w:szCs w:val="24"/>
        </w:rPr>
        <w:instrText xml:space="preserve"> HYPERLINK \l _Toc9633 </w:instrText>
      </w:r>
      <w:r>
        <w:rPr>
          <w:rFonts w:hint="eastAsia" w:ascii="宋体" w:hAnsi="宋体" w:eastAsia="宋体" w:cs="宋体"/>
          <w:bCs/>
          <w:caps/>
          <w:sz w:val="24"/>
          <w:szCs w:val="24"/>
        </w:rPr>
        <w:fldChar w:fldCharType="separate"/>
      </w:r>
      <w:r>
        <w:rPr>
          <w:rFonts w:hint="eastAsia" w:ascii="宋体" w:hAnsi="宋体" w:eastAsia="宋体" w:cs="宋体"/>
          <w:kern w:val="0"/>
          <w:sz w:val="24"/>
          <w:szCs w:val="24"/>
          <w:lang w:val="en-US" w:bidi="zh-CN"/>
        </w:rPr>
        <w:t>4</w:t>
      </w:r>
      <w:r>
        <w:rPr>
          <w:rFonts w:hint="eastAsia" w:ascii="宋体" w:hAnsi="宋体" w:eastAsia="宋体" w:cs="宋体"/>
          <w:kern w:val="0"/>
          <w:sz w:val="24"/>
          <w:szCs w:val="24"/>
          <w:lang w:bidi="zh-CN"/>
        </w:rPr>
        <w:t>环境现状调查与评价</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_Toc9633 \h </w:instrText>
      </w:r>
      <w:r>
        <w:rPr>
          <w:rFonts w:hint="eastAsia" w:ascii="宋体" w:hAnsi="宋体" w:eastAsia="宋体" w:cs="宋体"/>
          <w:sz w:val="24"/>
          <w:szCs w:val="24"/>
        </w:rPr>
        <w:fldChar w:fldCharType="separate"/>
      </w:r>
      <w:r>
        <w:rPr>
          <w:rFonts w:hint="eastAsia" w:ascii="宋体" w:hAnsi="宋体" w:eastAsia="宋体" w:cs="宋体"/>
          <w:sz w:val="24"/>
          <w:szCs w:val="24"/>
        </w:rPr>
        <w:t>73</w:t>
      </w:r>
      <w:r>
        <w:rPr>
          <w:rFonts w:hint="eastAsia" w:ascii="宋体" w:hAnsi="宋体" w:eastAsia="宋体" w:cs="宋体"/>
          <w:sz w:val="24"/>
          <w:szCs w:val="24"/>
        </w:rPr>
        <w:fldChar w:fldCharType="end"/>
      </w:r>
      <w:r>
        <w:rPr>
          <w:rFonts w:hint="eastAsia" w:ascii="宋体" w:hAnsi="宋体" w:eastAsia="宋体" w:cs="宋体"/>
          <w:bCs/>
          <w:caps/>
          <w:sz w:val="24"/>
          <w:szCs w:val="24"/>
        </w:rPr>
        <w:fldChar w:fldCharType="end"/>
      </w:r>
    </w:p>
    <w:p w14:paraId="36F54E5B">
      <w:pPr>
        <w:pStyle w:val="42"/>
        <w:keepNext w:val="0"/>
        <w:keepLines w:val="0"/>
        <w:pageBreakBefore w:val="0"/>
        <w:widowControl w:val="0"/>
        <w:tabs>
          <w:tab w:val="right" w:leader="dot" w:pos="8312"/>
        </w:tabs>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bCs/>
          <w:caps/>
          <w:sz w:val="24"/>
          <w:szCs w:val="24"/>
        </w:rPr>
        <w:fldChar w:fldCharType="begin"/>
      </w:r>
      <w:r>
        <w:rPr>
          <w:rFonts w:hint="eastAsia" w:ascii="宋体" w:hAnsi="宋体" w:eastAsia="宋体" w:cs="宋体"/>
          <w:bCs/>
          <w:caps/>
          <w:sz w:val="24"/>
          <w:szCs w:val="24"/>
        </w:rPr>
        <w:instrText xml:space="preserve"> HYPERLINK \l _Toc23664 </w:instrText>
      </w:r>
      <w:r>
        <w:rPr>
          <w:rFonts w:hint="eastAsia" w:ascii="宋体" w:hAnsi="宋体" w:eastAsia="宋体" w:cs="宋体"/>
          <w:bCs/>
          <w:caps/>
          <w:sz w:val="24"/>
          <w:szCs w:val="24"/>
        </w:rPr>
        <w:fldChar w:fldCharType="separate"/>
      </w:r>
      <w:r>
        <w:rPr>
          <w:rFonts w:hint="eastAsia" w:ascii="宋体" w:hAnsi="宋体" w:eastAsia="宋体" w:cs="宋体"/>
          <w:kern w:val="0"/>
          <w:sz w:val="24"/>
          <w:szCs w:val="24"/>
          <w:lang w:val="en-US" w:bidi="zh-CN"/>
        </w:rPr>
        <w:t>4.1自然环境现状调查与评价</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_Toc23664 \h </w:instrText>
      </w:r>
      <w:r>
        <w:rPr>
          <w:rFonts w:hint="eastAsia" w:ascii="宋体" w:hAnsi="宋体" w:eastAsia="宋体" w:cs="宋体"/>
          <w:sz w:val="24"/>
          <w:szCs w:val="24"/>
        </w:rPr>
        <w:fldChar w:fldCharType="separate"/>
      </w:r>
      <w:r>
        <w:rPr>
          <w:rFonts w:hint="eastAsia" w:ascii="宋体" w:hAnsi="宋体" w:eastAsia="宋体" w:cs="宋体"/>
          <w:sz w:val="24"/>
          <w:szCs w:val="24"/>
        </w:rPr>
        <w:t>73</w:t>
      </w:r>
      <w:r>
        <w:rPr>
          <w:rFonts w:hint="eastAsia" w:ascii="宋体" w:hAnsi="宋体" w:eastAsia="宋体" w:cs="宋体"/>
          <w:sz w:val="24"/>
          <w:szCs w:val="24"/>
        </w:rPr>
        <w:fldChar w:fldCharType="end"/>
      </w:r>
      <w:r>
        <w:rPr>
          <w:rFonts w:hint="eastAsia" w:ascii="宋体" w:hAnsi="宋体" w:eastAsia="宋体" w:cs="宋体"/>
          <w:bCs/>
          <w:caps/>
          <w:sz w:val="24"/>
          <w:szCs w:val="24"/>
        </w:rPr>
        <w:fldChar w:fldCharType="end"/>
      </w:r>
    </w:p>
    <w:p w14:paraId="17200F09">
      <w:pPr>
        <w:pStyle w:val="42"/>
        <w:keepNext w:val="0"/>
        <w:keepLines w:val="0"/>
        <w:pageBreakBefore w:val="0"/>
        <w:widowControl w:val="0"/>
        <w:tabs>
          <w:tab w:val="right" w:leader="dot" w:pos="8312"/>
        </w:tabs>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bCs/>
          <w:caps/>
          <w:sz w:val="24"/>
          <w:szCs w:val="24"/>
        </w:rPr>
        <w:fldChar w:fldCharType="begin"/>
      </w:r>
      <w:r>
        <w:rPr>
          <w:rFonts w:hint="eastAsia" w:ascii="宋体" w:hAnsi="宋体" w:eastAsia="宋体" w:cs="宋体"/>
          <w:bCs/>
          <w:caps/>
          <w:sz w:val="24"/>
          <w:szCs w:val="24"/>
        </w:rPr>
        <w:instrText xml:space="preserve"> HYPERLINK \l _Toc23662 </w:instrText>
      </w:r>
      <w:r>
        <w:rPr>
          <w:rFonts w:hint="eastAsia" w:ascii="宋体" w:hAnsi="宋体" w:eastAsia="宋体" w:cs="宋体"/>
          <w:bCs/>
          <w:caps/>
          <w:sz w:val="24"/>
          <w:szCs w:val="24"/>
        </w:rPr>
        <w:fldChar w:fldCharType="separate"/>
      </w:r>
      <w:r>
        <w:rPr>
          <w:rFonts w:hint="eastAsia" w:ascii="宋体" w:hAnsi="宋体" w:eastAsia="宋体" w:cs="宋体"/>
          <w:kern w:val="0"/>
          <w:sz w:val="24"/>
          <w:szCs w:val="24"/>
          <w:lang w:val="en-US" w:bidi="zh-CN"/>
        </w:rPr>
        <w:t>4.2环境保护目标调查</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_Toc23662 \h </w:instrText>
      </w:r>
      <w:r>
        <w:rPr>
          <w:rFonts w:hint="eastAsia" w:ascii="宋体" w:hAnsi="宋体" w:eastAsia="宋体" w:cs="宋体"/>
          <w:sz w:val="24"/>
          <w:szCs w:val="24"/>
        </w:rPr>
        <w:fldChar w:fldCharType="separate"/>
      </w:r>
      <w:r>
        <w:rPr>
          <w:rFonts w:hint="eastAsia" w:ascii="宋体" w:hAnsi="宋体" w:eastAsia="宋体" w:cs="宋体"/>
          <w:sz w:val="24"/>
          <w:szCs w:val="24"/>
        </w:rPr>
        <w:t>77</w:t>
      </w:r>
      <w:r>
        <w:rPr>
          <w:rFonts w:hint="eastAsia" w:ascii="宋体" w:hAnsi="宋体" w:eastAsia="宋体" w:cs="宋体"/>
          <w:sz w:val="24"/>
          <w:szCs w:val="24"/>
        </w:rPr>
        <w:fldChar w:fldCharType="end"/>
      </w:r>
      <w:r>
        <w:rPr>
          <w:rFonts w:hint="eastAsia" w:ascii="宋体" w:hAnsi="宋体" w:eastAsia="宋体" w:cs="宋体"/>
          <w:bCs/>
          <w:caps/>
          <w:sz w:val="24"/>
          <w:szCs w:val="24"/>
        </w:rPr>
        <w:fldChar w:fldCharType="end"/>
      </w:r>
    </w:p>
    <w:p w14:paraId="55A996E0">
      <w:pPr>
        <w:pStyle w:val="42"/>
        <w:keepNext w:val="0"/>
        <w:keepLines w:val="0"/>
        <w:pageBreakBefore w:val="0"/>
        <w:widowControl w:val="0"/>
        <w:tabs>
          <w:tab w:val="right" w:leader="dot" w:pos="8312"/>
        </w:tabs>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bCs/>
          <w:caps/>
          <w:sz w:val="24"/>
          <w:szCs w:val="24"/>
        </w:rPr>
        <w:fldChar w:fldCharType="begin"/>
      </w:r>
      <w:r>
        <w:rPr>
          <w:rFonts w:hint="eastAsia" w:ascii="宋体" w:hAnsi="宋体" w:eastAsia="宋体" w:cs="宋体"/>
          <w:bCs/>
          <w:caps/>
          <w:sz w:val="24"/>
          <w:szCs w:val="24"/>
        </w:rPr>
        <w:instrText xml:space="preserve"> HYPERLINK \l _Toc11945 </w:instrText>
      </w:r>
      <w:r>
        <w:rPr>
          <w:rFonts w:hint="eastAsia" w:ascii="宋体" w:hAnsi="宋体" w:eastAsia="宋体" w:cs="宋体"/>
          <w:bCs/>
          <w:caps/>
          <w:sz w:val="24"/>
          <w:szCs w:val="24"/>
        </w:rPr>
        <w:fldChar w:fldCharType="separate"/>
      </w:r>
      <w:r>
        <w:rPr>
          <w:rFonts w:hint="eastAsia" w:ascii="宋体" w:hAnsi="宋体" w:eastAsia="宋体" w:cs="宋体"/>
          <w:kern w:val="0"/>
          <w:sz w:val="24"/>
          <w:szCs w:val="24"/>
          <w:lang w:val="en-US" w:bidi="zh-CN"/>
        </w:rPr>
        <w:t>4.3环境质量现状调查与评价</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_Toc11945 \h </w:instrText>
      </w:r>
      <w:r>
        <w:rPr>
          <w:rFonts w:hint="eastAsia" w:ascii="宋体" w:hAnsi="宋体" w:eastAsia="宋体" w:cs="宋体"/>
          <w:sz w:val="24"/>
          <w:szCs w:val="24"/>
        </w:rPr>
        <w:fldChar w:fldCharType="separate"/>
      </w:r>
      <w:r>
        <w:rPr>
          <w:rFonts w:hint="eastAsia" w:ascii="宋体" w:hAnsi="宋体" w:eastAsia="宋体" w:cs="宋体"/>
          <w:sz w:val="24"/>
          <w:szCs w:val="24"/>
        </w:rPr>
        <w:t>78</w:t>
      </w:r>
      <w:r>
        <w:rPr>
          <w:rFonts w:hint="eastAsia" w:ascii="宋体" w:hAnsi="宋体" w:eastAsia="宋体" w:cs="宋体"/>
          <w:sz w:val="24"/>
          <w:szCs w:val="24"/>
        </w:rPr>
        <w:fldChar w:fldCharType="end"/>
      </w:r>
      <w:r>
        <w:rPr>
          <w:rFonts w:hint="eastAsia" w:ascii="宋体" w:hAnsi="宋体" w:eastAsia="宋体" w:cs="宋体"/>
          <w:bCs/>
          <w:caps/>
          <w:sz w:val="24"/>
          <w:szCs w:val="24"/>
        </w:rPr>
        <w:fldChar w:fldCharType="end"/>
      </w:r>
    </w:p>
    <w:p w14:paraId="3594DFD7">
      <w:pPr>
        <w:pStyle w:val="36"/>
        <w:keepNext w:val="0"/>
        <w:keepLines w:val="0"/>
        <w:pageBreakBefore w:val="0"/>
        <w:widowControl w:val="0"/>
        <w:tabs>
          <w:tab w:val="right" w:leader="dot" w:pos="8312"/>
        </w:tabs>
        <w:kinsoku/>
        <w:wordWrap/>
        <w:overflowPunct/>
        <w:topLinePunct w:val="0"/>
        <w:autoSpaceDE/>
        <w:autoSpaceDN/>
        <w:bidi w:val="0"/>
        <w:adjustRightInd/>
        <w:snapToGrid/>
        <w:spacing w:before="0" w:after="0" w:line="360" w:lineRule="auto"/>
        <w:textAlignment w:val="auto"/>
        <w:rPr>
          <w:rFonts w:hint="eastAsia" w:ascii="宋体" w:hAnsi="宋体" w:eastAsia="宋体" w:cs="宋体"/>
          <w:sz w:val="24"/>
          <w:szCs w:val="24"/>
        </w:rPr>
      </w:pPr>
      <w:r>
        <w:rPr>
          <w:rFonts w:hint="eastAsia" w:ascii="宋体" w:hAnsi="宋体" w:eastAsia="宋体" w:cs="宋体"/>
          <w:bCs/>
          <w:caps/>
          <w:sz w:val="24"/>
          <w:szCs w:val="24"/>
        </w:rPr>
        <w:fldChar w:fldCharType="begin"/>
      </w:r>
      <w:r>
        <w:rPr>
          <w:rFonts w:hint="eastAsia" w:ascii="宋体" w:hAnsi="宋体" w:eastAsia="宋体" w:cs="宋体"/>
          <w:bCs/>
          <w:caps/>
          <w:sz w:val="24"/>
          <w:szCs w:val="24"/>
        </w:rPr>
        <w:instrText xml:space="preserve"> HYPERLINK \l _Toc17161 </w:instrText>
      </w:r>
      <w:r>
        <w:rPr>
          <w:rFonts w:hint="eastAsia" w:ascii="宋体" w:hAnsi="宋体" w:eastAsia="宋体" w:cs="宋体"/>
          <w:bCs/>
          <w:caps/>
          <w:sz w:val="24"/>
          <w:szCs w:val="24"/>
        </w:rPr>
        <w:fldChar w:fldCharType="separate"/>
      </w:r>
      <w:r>
        <w:rPr>
          <w:rFonts w:hint="eastAsia" w:ascii="宋体" w:hAnsi="宋体" w:eastAsia="宋体" w:cs="宋体"/>
          <w:kern w:val="0"/>
          <w:sz w:val="24"/>
          <w:szCs w:val="24"/>
          <w:lang w:val="en-US" w:bidi="zh-CN"/>
        </w:rPr>
        <w:t>5</w:t>
      </w:r>
      <w:r>
        <w:rPr>
          <w:rFonts w:hint="eastAsia" w:ascii="宋体" w:hAnsi="宋体" w:eastAsia="宋体" w:cs="宋体"/>
          <w:kern w:val="0"/>
          <w:sz w:val="24"/>
          <w:szCs w:val="24"/>
          <w:lang w:bidi="zh-CN"/>
        </w:rPr>
        <w:t>环境影响预测与评价</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_Toc17161 \h </w:instrText>
      </w:r>
      <w:r>
        <w:rPr>
          <w:rFonts w:hint="eastAsia" w:ascii="宋体" w:hAnsi="宋体" w:eastAsia="宋体" w:cs="宋体"/>
          <w:sz w:val="24"/>
          <w:szCs w:val="24"/>
        </w:rPr>
        <w:fldChar w:fldCharType="separate"/>
      </w:r>
      <w:r>
        <w:rPr>
          <w:rFonts w:hint="eastAsia" w:ascii="宋体" w:hAnsi="宋体" w:eastAsia="宋体" w:cs="宋体"/>
          <w:sz w:val="24"/>
          <w:szCs w:val="24"/>
        </w:rPr>
        <w:t>91</w:t>
      </w:r>
      <w:r>
        <w:rPr>
          <w:rFonts w:hint="eastAsia" w:ascii="宋体" w:hAnsi="宋体" w:eastAsia="宋体" w:cs="宋体"/>
          <w:sz w:val="24"/>
          <w:szCs w:val="24"/>
        </w:rPr>
        <w:fldChar w:fldCharType="end"/>
      </w:r>
      <w:r>
        <w:rPr>
          <w:rFonts w:hint="eastAsia" w:ascii="宋体" w:hAnsi="宋体" w:eastAsia="宋体" w:cs="宋体"/>
          <w:bCs/>
          <w:caps/>
          <w:sz w:val="24"/>
          <w:szCs w:val="24"/>
        </w:rPr>
        <w:fldChar w:fldCharType="end"/>
      </w:r>
    </w:p>
    <w:p w14:paraId="25C198FD">
      <w:pPr>
        <w:pStyle w:val="42"/>
        <w:keepNext w:val="0"/>
        <w:keepLines w:val="0"/>
        <w:pageBreakBefore w:val="0"/>
        <w:widowControl w:val="0"/>
        <w:tabs>
          <w:tab w:val="right" w:leader="dot" w:pos="8312"/>
        </w:tabs>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bCs/>
          <w:caps/>
          <w:sz w:val="24"/>
          <w:szCs w:val="24"/>
        </w:rPr>
        <w:fldChar w:fldCharType="begin"/>
      </w:r>
      <w:r>
        <w:rPr>
          <w:rFonts w:hint="eastAsia" w:ascii="宋体" w:hAnsi="宋体" w:eastAsia="宋体" w:cs="宋体"/>
          <w:bCs/>
          <w:caps/>
          <w:sz w:val="24"/>
          <w:szCs w:val="24"/>
        </w:rPr>
        <w:instrText xml:space="preserve"> HYPERLINK \l _Toc8098 </w:instrText>
      </w:r>
      <w:r>
        <w:rPr>
          <w:rFonts w:hint="eastAsia" w:ascii="宋体" w:hAnsi="宋体" w:eastAsia="宋体" w:cs="宋体"/>
          <w:bCs/>
          <w:caps/>
          <w:sz w:val="24"/>
          <w:szCs w:val="24"/>
        </w:rPr>
        <w:fldChar w:fldCharType="separate"/>
      </w:r>
      <w:r>
        <w:rPr>
          <w:rFonts w:hint="eastAsia" w:ascii="宋体" w:hAnsi="宋体" w:eastAsia="宋体" w:cs="宋体"/>
          <w:kern w:val="0"/>
          <w:sz w:val="24"/>
          <w:szCs w:val="24"/>
          <w:lang w:val="en-US" w:bidi="zh-CN"/>
        </w:rPr>
        <w:t>5.1施工期环境影响分析</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_Toc8098 \h </w:instrText>
      </w:r>
      <w:r>
        <w:rPr>
          <w:rFonts w:hint="eastAsia" w:ascii="宋体" w:hAnsi="宋体" w:eastAsia="宋体" w:cs="宋体"/>
          <w:sz w:val="24"/>
          <w:szCs w:val="24"/>
        </w:rPr>
        <w:fldChar w:fldCharType="separate"/>
      </w:r>
      <w:r>
        <w:rPr>
          <w:rFonts w:hint="eastAsia" w:ascii="宋体" w:hAnsi="宋体" w:eastAsia="宋体" w:cs="宋体"/>
          <w:sz w:val="24"/>
          <w:szCs w:val="24"/>
        </w:rPr>
        <w:t>91</w:t>
      </w:r>
      <w:r>
        <w:rPr>
          <w:rFonts w:hint="eastAsia" w:ascii="宋体" w:hAnsi="宋体" w:eastAsia="宋体" w:cs="宋体"/>
          <w:sz w:val="24"/>
          <w:szCs w:val="24"/>
        </w:rPr>
        <w:fldChar w:fldCharType="end"/>
      </w:r>
      <w:r>
        <w:rPr>
          <w:rFonts w:hint="eastAsia" w:ascii="宋体" w:hAnsi="宋体" w:eastAsia="宋体" w:cs="宋体"/>
          <w:bCs/>
          <w:caps/>
          <w:sz w:val="24"/>
          <w:szCs w:val="24"/>
        </w:rPr>
        <w:fldChar w:fldCharType="end"/>
      </w:r>
    </w:p>
    <w:p w14:paraId="6A1963BC">
      <w:pPr>
        <w:pStyle w:val="42"/>
        <w:keepNext w:val="0"/>
        <w:keepLines w:val="0"/>
        <w:pageBreakBefore w:val="0"/>
        <w:widowControl w:val="0"/>
        <w:tabs>
          <w:tab w:val="right" w:leader="dot" w:pos="8312"/>
        </w:tabs>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bCs/>
          <w:caps/>
          <w:sz w:val="24"/>
          <w:szCs w:val="24"/>
        </w:rPr>
        <w:fldChar w:fldCharType="begin"/>
      </w:r>
      <w:r>
        <w:rPr>
          <w:rFonts w:hint="eastAsia" w:ascii="宋体" w:hAnsi="宋体" w:eastAsia="宋体" w:cs="宋体"/>
          <w:bCs/>
          <w:caps/>
          <w:sz w:val="24"/>
          <w:szCs w:val="24"/>
        </w:rPr>
        <w:instrText xml:space="preserve"> HYPERLINK \l _Toc19416 </w:instrText>
      </w:r>
      <w:r>
        <w:rPr>
          <w:rFonts w:hint="eastAsia" w:ascii="宋体" w:hAnsi="宋体" w:eastAsia="宋体" w:cs="宋体"/>
          <w:bCs/>
          <w:caps/>
          <w:sz w:val="24"/>
          <w:szCs w:val="24"/>
        </w:rPr>
        <w:fldChar w:fldCharType="separate"/>
      </w:r>
      <w:r>
        <w:rPr>
          <w:rFonts w:hint="eastAsia" w:ascii="宋体" w:hAnsi="宋体" w:eastAsia="宋体" w:cs="宋体"/>
          <w:kern w:val="0"/>
          <w:sz w:val="24"/>
          <w:szCs w:val="24"/>
          <w:lang w:val="en-US" w:bidi="zh-CN"/>
        </w:rPr>
        <w:t>5.2运营期环境影响预测与评价</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_Toc19416 \h </w:instrText>
      </w:r>
      <w:r>
        <w:rPr>
          <w:rFonts w:hint="eastAsia" w:ascii="宋体" w:hAnsi="宋体" w:eastAsia="宋体" w:cs="宋体"/>
          <w:sz w:val="24"/>
          <w:szCs w:val="24"/>
        </w:rPr>
        <w:fldChar w:fldCharType="separate"/>
      </w:r>
      <w:r>
        <w:rPr>
          <w:rFonts w:hint="eastAsia" w:ascii="宋体" w:hAnsi="宋体" w:eastAsia="宋体" w:cs="宋体"/>
          <w:sz w:val="24"/>
          <w:szCs w:val="24"/>
        </w:rPr>
        <w:t>92</w:t>
      </w:r>
      <w:r>
        <w:rPr>
          <w:rFonts w:hint="eastAsia" w:ascii="宋体" w:hAnsi="宋体" w:eastAsia="宋体" w:cs="宋体"/>
          <w:sz w:val="24"/>
          <w:szCs w:val="24"/>
        </w:rPr>
        <w:fldChar w:fldCharType="end"/>
      </w:r>
      <w:r>
        <w:rPr>
          <w:rFonts w:hint="eastAsia" w:ascii="宋体" w:hAnsi="宋体" w:eastAsia="宋体" w:cs="宋体"/>
          <w:bCs/>
          <w:caps/>
          <w:sz w:val="24"/>
          <w:szCs w:val="24"/>
        </w:rPr>
        <w:fldChar w:fldCharType="end"/>
      </w:r>
    </w:p>
    <w:p w14:paraId="72DB5D7F">
      <w:pPr>
        <w:pStyle w:val="36"/>
        <w:keepNext w:val="0"/>
        <w:keepLines w:val="0"/>
        <w:pageBreakBefore w:val="0"/>
        <w:widowControl w:val="0"/>
        <w:tabs>
          <w:tab w:val="right" w:leader="dot" w:pos="8312"/>
        </w:tabs>
        <w:kinsoku/>
        <w:wordWrap/>
        <w:overflowPunct/>
        <w:topLinePunct w:val="0"/>
        <w:autoSpaceDE/>
        <w:autoSpaceDN/>
        <w:bidi w:val="0"/>
        <w:adjustRightInd/>
        <w:snapToGrid/>
        <w:spacing w:before="0" w:after="0" w:line="360" w:lineRule="auto"/>
        <w:textAlignment w:val="auto"/>
        <w:rPr>
          <w:rFonts w:hint="eastAsia" w:ascii="宋体" w:hAnsi="宋体" w:eastAsia="宋体" w:cs="宋体"/>
          <w:sz w:val="24"/>
          <w:szCs w:val="24"/>
        </w:rPr>
      </w:pPr>
      <w:r>
        <w:rPr>
          <w:rFonts w:hint="eastAsia" w:ascii="宋体" w:hAnsi="宋体" w:eastAsia="宋体" w:cs="宋体"/>
          <w:bCs/>
          <w:caps/>
          <w:sz w:val="24"/>
          <w:szCs w:val="24"/>
        </w:rPr>
        <w:fldChar w:fldCharType="begin"/>
      </w:r>
      <w:r>
        <w:rPr>
          <w:rFonts w:hint="eastAsia" w:ascii="宋体" w:hAnsi="宋体" w:eastAsia="宋体" w:cs="宋体"/>
          <w:bCs/>
          <w:caps/>
          <w:sz w:val="24"/>
          <w:szCs w:val="24"/>
        </w:rPr>
        <w:instrText xml:space="preserve"> HYPERLINK \l _Toc5026 </w:instrText>
      </w:r>
      <w:r>
        <w:rPr>
          <w:rFonts w:hint="eastAsia" w:ascii="宋体" w:hAnsi="宋体" w:eastAsia="宋体" w:cs="宋体"/>
          <w:bCs/>
          <w:caps/>
          <w:sz w:val="24"/>
          <w:szCs w:val="24"/>
        </w:rPr>
        <w:fldChar w:fldCharType="separate"/>
      </w:r>
      <w:r>
        <w:rPr>
          <w:rFonts w:hint="eastAsia" w:ascii="宋体" w:hAnsi="宋体" w:eastAsia="宋体" w:cs="宋体"/>
          <w:kern w:val="0"/>
          <w:sz w:val="24"/>
          <w:szCs w:val="24"/>
          <w:lang w:val="en-US" w:bidi="zh-CN"/>
        </w:rPr>
        <w:t>6环境保护措施及可行性论证</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_Toc5026 \h </w:instrText>
      </w:r>
      <w:r>
        <w:rPr>
          <w:rFonts w:hint="eastAsia" w:ascii="宋体" w:hAnsi="宋体" w:eastAsia="宋体" w:cs="宋体"/>
          <w:sz w:val="24"/>
          <w:szCs w:val="24"/>
        </w:rPr>
        <w:fldChar w:fldCharType="separate"/>
      </w:r>
      <w:r>
        <w:rPr>
          <w:rFonts w:hint="eastAsia" w:ascii="宋体" w:hAnsi="宋体" w:eastAsia="宋体" w:cs="宋体"/>
          <w:sz w:val="24"/>
          <w:szCs w:val="24"/>
        </w:rPr>
        <w:t>145</w:t>
      </w:r>
      <w:r>
        <w:rPr>
          <w:rFonts w:hint="eastAsia" w:ascii="宋体" w:hAnsi="宋体" w:eastAsia="宋体" w:cs="宋体"/>
          <w:sz w:val="24"/>
          <w:szCs w:val="24"/>
        </w:rPr>
        <w:fldChar w:fldCharType="end"/>
      </w:r>
      <w:r>
        <w:rPr>
          <w:rFonts w:hint="eastAsia" w:ascii="宋体" w:hAnsi="宋体" w:eastAsia="宋体" w:cs="宋体"/>
          <w:bCs/>
          <w:caps/>
          <w:sz w:val="24"/>
          <w:szCs w:val="24"/>
        </w:rPr>
        <w:fldChar w:fldCharType="end"/>
      </w:r>
    </w:p>
    <w:p w14:paraId="36C9BB02">
      <w:pPr>
        <w:pStyle w:val="42"/>
        <w:keepNext w:val="0"/>
        <w:keepLines w:val="0"/>
        <w:pageBreakBefore w:val="0"/>
        <w:widowControl w:val="0"/>
        <w:tabs>
          <w:tab w:val="right" w:leader="dot" w:pos="8312"/>
        </w:tabs>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bCs/>
          <w:caps/>
          <w:sz w:val="24"/>
          <w:szCs w:val="24"/>
        </w:rPr>
        <w:fldChar w:fldCharType="begin"/>
      </w:r>
      <w:r>
        <w:rPr>
          <w:rFonts w:hint="eastAsia" w:ascii="宋体" w:hAnsi="宋体" w:eastAsia="宋体" w:cs="宋体"/>
          <w:bCs/>
          <w:caps/>
          <w:sz w:val="24"/>
          <w:szCs w:val="24"/>
        </w:rPr>
        <w:instrText xml:space="preserve"> HYPERLINK \l _Toc24500 </w:instrText>
      </w:r>
      <w:r>
        <w:rPr>
          <w:rFonts w:hint="eastAsia" w:ascii="宋体" w:hAnsi="宋体" w:eastAsia="宋体" w:cs="宋体"/>
          <w:bCs/>
          <w:caps/>
          <w:sz w:val="24"/>
          <w:szCs w:val="24"/>
        </w:rPr>
        <w:fldChar w:fldCharType="separate"/>
      </w:r>
      <w:r>
        <w:rPr>
          <w:rFonts w:hint="eastAsia" w:ascii="宋体" w:hAnsi="宋体" w:eastAsia="宋体" w:cs="宋体"/>
          <w:kern w:val="0"/>
          <w:sz w:val="24"/>
          <w:szCs w:val="24"/>
          <w:lang w:val="en-US" w:bidi="zh-CN"/>
        </w:rPr>
        <w:t>6.1施工期环境保护措施分析</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_Toc24500 \h </w:instrText>
      </w:r>
      <w:r>
        <w:rPr>
          <w:rFonts w:hint="eastAsia" w:ascii="宋体" w:hAnsi="宋体" w:eastAsia="宋体" w:cs="宋体"/>
          <w:sz w:val="24"/>
          <w:szCs w:val="24"/>
        </w:rPr>
        <w:fldChar w:fldCharType="separate"/>
      </w:r>
      <w:r>
        <w:rPr>
          <w:rFonts w:hint="eastAsia" w:ascii="宋体" w:hAnsi="宋体" w:eastAsia="宋体" w:cs="宋体"/>
          <w:sz w:val="24"/>
          <w:szCs w:val="24"/>
        </w:rPr>
        <w:t>145</w:t>
      </w:r>
      <w:r>
        <w:rPr>
          <w:rFonts w:hint="eastAsia" w:ascii="宋体" w:hAnsi="宋体" w:eastAsia="宋体" w:cs="宋体"/>
          <w:sz w:val="24"/>
          <w:szCs w:val="24"/>
        </w:rPr>
        <w:fldChar w:fldCharType="end"/>
      </w:r>
      <w:r>
        <w:rPr>
          <w:rFonts w:hint="eastAsia" w:ascii="宋体" w:hAnsi="宋体" w:eastAsia="宋体" w:cs="宋体"/>
          <w:bCs/>
          <w:caps/>
          <w:sz w:val="24"/>
          <w:szCs w:val="24"/>
        </w:rPr>
        <w:fldChar w:fldCharType="end"/>
      </w:r>
    </w:p>
    <w:p w14:paraId="46B2C967">
      <w:pPr>
        <w:pStyle w:val="42"/>
        <w:keepNext w:val="0"/>
        <w:keepLines w:val="0"/>
        <w:pageBreakBefore w:val="0"/>
        <w:widowControl w:val="0"/>
        <w:tabs>
          <w:tab w:val="right" w:leader="dot" w:pos="8312"/>
        </w:tabs>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bCs/>
          <w:caps/>
          <w:sz w:val="24"/>
          <w:szCs w:val="24"/>
        </w:rPr>
        <w:fldChar w:fldCharType="begin"/>
      </w:r>
      <w:r>
        <w:rPr>
          <w:rFonts w:hint="eastAsia" w:ascii="宋体" w:hAnsi="宋体" w:eastAsia="宋体" w:cs="宋体"/>
          <w:bCs/>
          <w:caps/>
          <w:sz w:val="24"/>
          <w:szCs w:val="24"/>
        </w:rPr>
        <w:instrText xml:space="preserve"> HYPERLINK \l _Toc14108 </w:instrText>
      </w:r>
      <w:r>
        <w:rPr>
          <w:rFonts w:hint="eastAsia" w:ascii="宋体" w:hAnsi="宋体" w:eastAsia="宋体" w:cs="宋体"/>
          <w:bCs/>
          <w:caps/>
          <w:sz w:val="24"/>
          <w:szCs w:val="24"/>
        </w:rPr>
        <w:fldChar w:fldCharType="separate"/>
      </w:r>
      <w:r>
        <w:rPr>
          <w:rFonts w:hint="eastAsia" w:ascii="宋体" w:hAnsi="宋体" w:eastAsia="宋体" w:cs="宋体"/>
          <w:kern w:val="0"/>
          <w:sz w:val="24"/>
          <w:szCs w:val="24"/>
          <w:lang w:val="en-US" w:bidi="zh-CN"/>
        </w:rPr>
        <w:t>6.2运营期环境保护措施分析</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_Toc14108 \h </w:instrText>
      </w:r>
      <w:r>
        <w:rPr>
          <w:rFonts w:hint="eastAsia" w:ascii="宋体" w:hAnsi="宋体" w:eastAsia="宋体" w:cs="宋体"/>
          <w:sz w:val="24"/>
          <w:szCs w:val="24"/>
        </w:rPr>
        <w:fldChar w:fldCharType="separate"/>
      </w:r>
      <w:r>
        <w:rPr>
          <w:rFonts w:hint="eastAsia" w:ascii="宋体" w:hAnsi="宋体" w:eastAsia="宋体" w:cs="宋体"/>
          <w:sz w:val="24"/>
          <w:szCs w:val="24"/>
        </w:rPr>
        <w:t>145</w:t>
      </w:r>
      <w:r>
        <w:rPr>
          <w:rFonts w:hint="eastAsia" w:ascii="宋体" w:hAnsi="宋体" w:eastAsia="宋体" w:cs="宋体"/>
          <w:sz w:val="24"/>
          <w:szCs w:val="24"/>
        </w:rPr>
        <w:fldChar w:fldCharType="end"/>
      </w:r>
      <w:r>
        <w:rPr>
          <w:rFonts w:hint="eastAsia" w:ascii="宋体" w:hAnsi="宋体" w:eastAsia="宋体" w:cs="宋体"/>
          <w:bCs/>
          <w:caps/>
          <w:sz w:val="24"/>
          <w:szCs w:val="24"/>
        </w:rPr>
        <w:fldChar w:fldCharType="end"/>
      </w:r>
    </w:p>
    <w:p w14:paraId="6B839CE8">
      <w:pPr>
        <w:pStyle w:val="36"/>
        <w:keepNext w:val="0"/>
        <w:keepLines w:val="0"/>
        <w:pageBreakBefore w:val="0"/>
        <w:widowControl w:val="0"/>
        <w:tabs>
          <w:tab w:val="right" w:leader="dot" w:pos="8312"/>
        </w:tabs>
        <w:kinsoku/>
        <w:wordWrap/>
        <w:overflowPunct/>
        <w:topLinePunct w:val="0"/>
        <w:autoSpaceDE/>
        <w:autoSpaceDN/>
        <w:bidi w:val="0"/>
        <w:adjustRightInd/>
        <w:snapToGrid/>
        <w:spacing w:before="0" w:after="0" w:line="360" w:lineRule="auto"/>
        <w:textAlignment w:val="auto"/>
        <w:rPr>
          <w:rFonts w:hint="eastAsia" w:ascii="宋体" w:hAnsi="宋体" w:eastAsia="宋体" w:cs="宋体"/>
          <w:sz w:val="24"/>
          <w:szCs w:val="24"/>
        </w:rPr>
      </w:pPr>
      <w:r>
        <w:rPr>
          <w:rFonts w:hint="eastAsia" w:ascii="宋体" w:hAnsi="宋体" w:eastAsia="宋体" w:cs="宋体"/>
          <w:bCs/>
          <w:caps/>
          <w:sz w:val="24"/>
          <w:szCs w:val="24"/>
        </w:rPr>
        <w:fldChar w:fldCharType="begin"/>
      </w:r>
      <w:r>
        <w:rPr>
          <w:rFonts w:hint="eastAsia" w:ascii="宋体" w:hAnsi="宋体" w:eastAsia="宋体" w:cs="宋体"/>
          <w:bCs/>
          <w:caps/>
          <w:sz w:val="24"/>
          <w:szCs w:val="24"/>
        </w:rPr>
        <w:instrText xml:space="preserve"> HYPERLINK \l _Toc19514 </w:instrText>
      </w:r>
      <w:r>
        <w:rPr>
          <w:rFonts w:hint="eastAsia" w:ascii="宋体" w:hAnsi="宋体" w:eastAsia="宋体" w:cs="宋体"/>
          <w:bCs/>
          <w:caps/>
          <w:sz w:val="24"/>
          <w:szCs w:val="24"/>
        </w:rPr>
        <w:fldChar w:fldCharType="separate"/>
      </w:r>
      <w:r>
        <w:rPr>
          <w:rFonts w:hint="eastAsia" w:ascii="宋体" w:hAnsi="宋体" w:eastAsia="宋体" w:cs="宋体"/>
          <w:kern w:val="0"/>
          <w:sz w:val="24"/>
          <w:szCs w:val="24"/>
          <w:lang w:val="en-US" w:bidi="zh-CN"/>
        </w:rPr>
        <w:t>7碳排放影响评价</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_Toc19514 \h </w:instrText>
      </w:r>
      <w:r>
        <w:rPr>
          <w:rFonts w:hint="eastAsia" w:ascii="宋体" w:hAnsi="宋体" w:eastAsia="宋体" w:cs="宋体"/>
          <w:sz w:val="24"/>
          <w:szCs w:val="24"/>
        </w:rPr>
        <w:fldChar w:fldCharType="separate"/>
      </w:r>
      <w:r>
        <w:rPr>
          <w:rFonts w:hint="eastAsia" w:ascii="宋体" w:hAnsi="宋体" w:eastAsia="宋体" w:cs="宋体"/>
          <w:sz w:val="24"/>
          <w:szCs w:val="24"/>
        </w:rPr>
        <w:t>164</w:t>
      </w:r>
      <w:r>
        <w:rPr>
          <w:rFonts w:hint="eastAsia" w:ascii="宋体" w:hAnsi="宋体" w:eastAsia="宋体" w:cs="宋体"/>
          <w:sz w:val="24"/>
          <w:szCs w:val="24"/>
        </w:rPr>
        <w:fldChar w:fldCharType="end"/>
      </w:r>
      <w:r>
        <w:rPr>
          <w:rFonts w:hint="eastAsia" w:ascii="宋体" w:hAnsi="宋体" w:eastAsia="宋体" w:cs="宋体"/>
          <w:bCs/>
          <w:caps/>
          <w:sz w:val="24"/>
          <w:szCs w:val="24"/>
        </w:rPr>
        <w:fldChar w:fldCharType="end"/>
      </w:r>
    </w:p>
    <w:p w14:paraId="20D6B5FC">
      <w:pPr>
        <w:pStyle w:val="42"/>
        <w:keepNext w:val="0"/>
        <w:keepLines w:val="0"/>
        <w:pageBreakBefore w:val="0"/>
        <w:widowControl w:val="0"/>
        <w:tabs>
          <w:tab w:val="right" w:leader="dot" w:pos="8312"/>
        </w:tabs>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bCs/>
          <w:caps/>
          <w:sz w:val="24"/>
          <w:szCs w:val="24"/>
        </w:rPr>
        <w:fldChar w:fldCharType="begin"/>
      </w:r>
      <w:r>
        <w:rPr>
          <w:rFonts w:hint="eastAsia" w:ascii="宋体" w:hAnsi="宋体" w:eastAsia="宋体" w:cs="宋体"/>
          <w:bCs/>
          <w:caps/>
          <w:sz w:val="24"/>
          <w:szCs w:val="24"/>
        </w:rPr>
        <w:instrText xml:space="preserve"> HYPERLINK \l _Toc4173 </w:instrText>
      </w:r>
      <w:r>
        <w:rPr>
          <w:rFonts w:hint="eastAsia" w:ascii="宋体" w:hAnsi="宋体" w:eastAsia="宋体" w:cs="宋体"/>
          <w:bCs/>
          <w:caps/>
          <w:sz w:val="24"/>
          <w:szCs w:val="24"/>
        </w:rPr>
        <w:fldChar w:fldCharType="separate"/>
      </w:r>
      <w:r>
        <w:rPr>
          <w:rFonts w:hint="eastAsia" w:ascii="宋体" w:hAnsi="宋体" w:eastAsia="宋体" w:cs="宋体"/>
          <w:kern w:val="0"/>
          <w:sz w:val="24"/>
          <w:szCs w:val="24"/>
          <w:lang w:val="en-US" w:bidi="zh-CN"/>
        </w:rPr>
        <w:t>7.1碳排放分析</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_Toc4173 \h </w:instrText>
      </w:r>
      <w:r>
        <w:rPr>
          <w:rFonts w:hint="eastAsia" w:ascii="宋体" w:hAnsi="宋体" w:eastAsia="宋体" w:cs="宋体"/>
          <w:sz w:val="24"/>
          <w:szCs w:val="24"/>
        </w:rPr>
        <w:fldChar w:fldCharType="separate"/>
      </w:r>
      <w:r>
        <w:rPr>
          <w:rFonts w:hint="eastAsia" w:ascii="宋体" w:hAnsi="宋体" w:eastAsia="宋体" w:cs="宋体"/>
          <w:sz w:val="24"/>
          <w:szCs w:val="24"/>
        </w:rPr>
        <w:t>164</w:t>
      </w:r>
      <w:r>
        <w:rPr>
          <w:rFonts w:hint="eastAsia" w:ascii="宋体" w:hAnsi="宋体" w:eastAsia="宋体" w:cs="宋体"/>
          <w:sz w:val="24"/>
          <w:szCs w:val="24"/>
        </w:rPr>
        <w:fldChar w:fldCharType="end"/>
      </w:r>
      <w:r>
        <w:rPr>
          <w:rFonts w:hint="eastAsia" w:ascii="宋体" w:hAnsi="宋体" w:eastAsia="宋体" w:cs="宋体"/>
          <w:bCs/>
          <w:caps/>
          <w:sz w:val="24"/>
          <w:szCs w:val="24"/>
        </w:rPr>
        <w:fldChar w:fldCharType="end"/>
      </w:r>
    </w:p>
    <w:p w14:paraId="4D331CB7">
      <w:pPr>
        <w:pStyle w:val="42"/>
        <w:keepNext w:val="0"/>
        <w:keepLines w:val="0"/>
        <w:pageBreakBefore w:val="0"/>
        <w:widowControl w:val="0"/>
        <w:tabs>
          <w:tab w:val="right" w:leader="dot" w:pos="8312"/>
        </w:tabs>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bCs/>
          <w:caps/>
          <w:sz w:val="24"/>
          <w:szCs w:val="24"/>
        </w:rPr>
        <w:fldChar w:fldCharType="begin"/>
      </w:r>
      <w:r>
        <w:rPr>
          <w:rFonts w:hint="eastAsia" w:ascii="宋体" w:hAnsi="宋体" w:eastAsia="宋体" w:cs="宋体"/>
          <w:bCs/>
          <w:caps/>
          <w:sz w:val="24"/>
          <w:szCs w:val="24"/>
        </w:rPr>
        <w:instrText xml:space="preserve"> HYPERLINK \l _Toc31103 </w:instrText>
      </w:r>
      <w:r>
        <w:rPr>
          <w:rFonts w:hint="eastAsia" w:ascii="宋体" w:hAnsi="宋体" w:eastAsia="宋体" w:cs="宋体"/>
          <w:bCs/>
          <w:caps/>
          <w:sz w:val="24"/>
          <w:szCs w:val="24"/>
        </w:rPr>
        <w:fldChar w:fldCharType="separate"/>
      </w:r>
      <w:r>
        <w:rPr>
          <w:rFonts w:hint="eastAsia" w:ascii="宋体" w:hAnsi="宋体" w:eastAsia="宋体" w:cs="宋体"/>
          <w:kern w:val="0"/>
          <w:sz w:val="24"/>
          <w:szCs w:val="24"/>
          <w:lang w:val="en-US" w:bidi="zh-CN"/>
        </w:rPr>
        <w:t>7.2碳排放政策符合性分析</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_Toc31103 \h </w:instrText>
      </w:r>
      <w:r>
        <w:rPr>
          <w:rFonts w:hint="eastAsia" w:ascii="宋体" w:hAnsi="宋体" w:eastAsia="宋体" w:cs="宋体"/>
          <w:sz w:val="24"/>
          <w:szCs w:val="24"/>
        </w:rPr>
        <w:fldChar w:fldCharType="separate"/>
      </w:r>
      <w:r>
        <w:rPr>
          <w:rFonts w:hint="eastAsia" w:ascii="宋体" w:hAnsi="宋体" w:eastAsia="宋体" w:cs="宋体"/>
          <w:sz w:val="24"/>
          <w:szCs w:val="24"/>
        </w:rPr>
        <w:t>166</w:t>
      </w:r>
      <w:r>
        <w:rPr>
          <w:rFonts w:hint="eastAsia" w:ascii="宋体" w:hAnsi="宋体" w:eastAsia="宋体" w:cs="宋体"/>
          <w:sz w:val="24"/>
          <w:szCs w:val="24"/>
        </w:rPr>
        <w:fldChar w:fldCharType="end"/>
      </w:r>
      <w:r>
        <w:rPr>
          <w:rFonts w:hint="eastAsia" w:ascii="宋体" w:hAnsi="宋体" w:eastAsia="宋体" w:cs="宋体"/>
          <w:bCs/>
          <w:caps/>
          <w:sz w:val="24"/>
          <w:szCs w:val="24"/>
        </w:rPr>
        <w:fldChar w:fldCharType="end"/>
      </w:r>
    </w:p>
    <w:p w14:paraId="5A468582">
      <w:pPr>
        <w:pStyle w:val="42"/>
        <w:keepNext w:val="0"/>
        <w:keepLines w:val="0"/>
        <w:pageBreakBefore w:val="0"/>
        <w:widowControl w:val="0"/>
        <w:tabs>
          <w:tab w:val="right" w:leader="dot" w:pos="8312"/>
        </w:tabs>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bCs/>
          <w:caps/>
          <w:sz w:val="24"/>
          <w:szCs w:val="24"/>
        </w:rPr>
        <w:fldChar w:fldCharType="begin"/>
      </w:r>
      <w:r>
        <w:rPr>
          <w:rFonts w:hint="eastAsia" w:ascii="宋体" w:hAnsi="宋体" w:eastAsia="宋体" w:cs="宋体"/>
          <w:bCs/>
          <w:caps/>
          <w:sz w:val="24"/>
          <w:szCs w:val="24"/>
        </w:rPr>
        <w:instrText xml:space="preserve"> HYPERLINK \l _Toc7830 </w:instrText>
      </w:r>
      <w:r>
        <w:rPr>
          <w:rFonts w:hint="eastAsia" w:ascii="宋体" w:hAnsi="宋体" w:eastAsia="宋体" w:cs="宋体"/>
          <w:bCs/>
          <w:caps/>
          <w:sz w:val="24"/>
          <w:szCs w:val="24"/>
        </w:rPr>
        <w:fldChar w:fldCharType="separate"/>
      </w:r>
      <w:r>
        <w:rPr>
          <w:rFonts w:hint="eastAsia" w:ascii="宋体" w:hAnsi="宋体" w:eastAsia="宋体" w:cs="宋体"/>
          <w:kern w:val="0"/>
          <w:sz w:val="24"/>
          <w:szCs w:val="24"/>
          <w:lang w:val="en-US" w:bidi="zh-CN"/>
        </w:rPr>
        <w:t>7.3碳排放分析</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_Toc7830 \h </w:instrText>
      </w:r>
      <w:r>
        <w:rPr>
          <w:rFonts w:hint="eastAsia" w:ascii="宋体" w:hAnsi="宋体" w:eastAsia="宋体" w:cs="宋体"/>
          <w:sz w:val="24"/>
          <w:szCs w:val="24"/>
        </w:rPr>
        <w:fldChar w:fldCharType="separate"/>
      </w:r>
      <w:r>
        <w:rPr>
          <w:rFonts w:hint="eastAsia" w:ascii="宋体" w:hAnsi="宋体" w:eastAsia="宋体" w:cs="宋体"/>
          <w:sz w:val="24"/>
          <w:szCs w:val="24"/>
        </w:rPr>
        <w:t>167</w:t>
      </w:r>
      <w:r>
        <w:rPr>
          <w:rFonts w:hint="eastAsia" w:ascii="宋体" w:hAnsi="宋体" w:eastAsia="宋体" w:cs="宋体"/>
          <w:sz w:val="24"/>
          <w:szCs w:val="24"/>
        </w:rPr>
        <w:fldChar w:fldCharType="end"/>
      </w:r>
      <w:r>
        <w:rPr>
          <w:rFonts w:hint="eastAsia" w:ascii="宋体" w:hAnsi="宋体" w:eastAsia="宋体" w:cs="宋体"/>
          <w:bCs/>
          <w:caps/>
          <w:sz w:val="24"/>
          <w:szCs w:val="24"/>
        </w:rPr>
        <w:fldChar w:fldCharType="end"/>
      </w:r>
    </w:p>
    <w:p w14:paraId="7CB2426D">
      <w:pPr>
        <w:pStyle w:val="42"/>
        <w:keepNext w:val="0"/>
        <w:keepLines w:val="0"/>
        <w:pageBreakBefore w:val="0"/>
        <w:widowControl w:val="0"/>
        <w:tabs>
          <w:tab w:val="right" w:leader="dot" w:pos="8312"/>
        </w:tabs>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bCs/>
          <w:caps/>
          <w:sz w:val="24"/>
          <w:szCs w:val="24"/>
        </w:rPr>
        <w:fldChar w:fldCharType="begin"/>
      </w:r>
      <w:r>
        <w:rPr>
          <w:rFonts w:hint="eastAsia" w:ascii="宋体" w:hAnsi="宋体" w:eastAsia="宋体" w:cs="宋体"/>
          <w:bCs/>
          <w:caps/>
          <w:sz w:val="24"/>
          <w:szCs w:val="24"/>
        </w:rPr>
        <w:instrText xml:space="preserve"> HYPERLINK \l _Toc19066 </w:instrText>
      </w:r>
      <w:r>
        <w:rPr>
          <w:rFonts w:hint="eastAsia" w:ascii="宋体" w:hAnsi="宋体" w:eastAsia="宋体" w:cs="宋体"/>
          <w:bCs/>
          <w:caps/>
          <w:sz w:val="24"/>
          <w:szCs w:val="24"/>
        </w:rPr>
        <w:fldChar w:fldCharType="separate"/>
      </w:r>
      <w:r>
        <w:rPr>
          <w:rFonts w:hint="eastAsia" w:ascii="宋体" w:hAnsi="宋体" w:eastAsia="宋体" w:cs="宋体"/>
          <w:kern w:val="0"/>
          <w:sz w:val="24"/>
          <w:szCs w:val="24"/>
          <w:lang w:val="en-US" w:bidi="zh-CN"/>
        </w:rPr>
        <w:t>7.4减污降碳措施可行性论证</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_Toc19066 \h </w:instrText>
      </w:r>
      <w:r>
        <w:rPr>
          <w:rFonts w:hint="eastAsia" w:ascii="宋体" w:hAnsi="宋体" w:eastAsia="宋体" w:cs="宋体"/>
          <w:sz w:val="24"/>
          <w:szCs w:val="24"/>
        </w:rPr>
        <w:fldChar w:fldCharType="separate"/>
      </w:r>
      <w:r>
        <w:rPr>
          <w:rFonts w:hint="eastAsia" w:ascii="宋体" w:hAnsi="宋体" w:eastAsia="宋体" w:cs="宋体"/>
          <w:sz w:val="24"/>
          <w:szCs w:val="24"/>
        </w:rPr>
        <w:t>168</w:t>
      </w:r>
      <w:r>
        <w:rPr>
          <w:rFonts w:hint="eastAsia" w:ascii="宋体" w:hAnsi="宋体" w:eastAsia="宋体" w:cs="宋体"/>
          <w:sz w:val="24"/>
          <w:szCs w:val="24"/>
        </w:rPr>
        <w:fldChar w:fldCharType="end"/>
      </w:r>
      <w:r>
        <w:rPr>
          <w:rFonts w:hint="eastAsia" w:ascii="宋体" w:hAnsi="宋体" w:eastAsia="宋体" w:cs="宋体"/>
          <w:bCs/>
          <w:caps/>
          <w:sz w:val="24"/>
          <w:szCs w:val="24"/>
        </w:rPr>
        <w:fldChar w:fldCharType="end"/>
      </w:r>
    </w:p>
    <w:p w14:paraId="65ACB119">
      <w:pPr>
        <w:pStyle w:val="42"/>
        <w:keepNext w:val="0"/>
        <w:keepLines w:val="0"/>
        <w:pageBreakBefore w:val="0"/>
        <w:widowControl w:val="0"/>
        <w:tabs>
          <w:tab w:val="right" w:leader="dot" w:pos="8312"/>
        </w:tabs>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bCs/>
          <w:caps/>
          <w:sz w:val="24"/>
          <w:szCs w:val="24"/>
        </w:rPr>
        <w:fldChar w:fldCharType="begin"/>
      </w:r>
      <w:r>
        <w:rPr>
          <w:rFonts w:hint="eastAsia" w:ascii="宋体" w:hAnsi="宋体" w:eastAsia="宋体" w:cs="宋体"/>
          <w:bCs/>
          <w:caps/>
          <w:sz w:val="24"/>
          <w:szCs w:val="24"/>
        </w:rPr>
        <w:instrText xml:space="preserve"> HYPERLINK \l _Toc26014 </w:instrText>
      </w:r>
      <w:r>
        <w:rPr>
          <w:rFonts w:hint="eastAsia" w:ascii="宋体" w:hAnsi="宋体" w:eastAsia="宋体" w:cs="宋体"/>
          <w:bCs/>
          <w:caps/>
          <w:sz w:val="24"/>
          <w:szCs w:val="24"/>
        </w:rPr>
        <w:fldChar w:fldCharType="separate"/>
      </w:r>
      <w:r>
        <w:rPr>
          <w:rFonts w:hint="eastAsia" w:ascii="宋体" w:hAnsi="宋体" w:eastAsia="宋体" w:cs="宋体"/>
          <w:kern w:val="0"/>
          <w:sz w:val="24"/>
          <w:szCs w:val="24"/>
          <w:lang w:val="en-US" w:bidi="zh-CN"/>
        </w:rPr>
        <w:t>7.5碳排放水平评价</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_Toc26014 \h </w:instrText>
      </w:r>
      <w:r>
        <w:rPr>
          <w:rFonts w:hint="eastAsia" w:ascii="宋体" w:hAnsi="宋体" w:eastAsia="宋体" w:cs="宋体"/>
          <w:sz w:val="24"/>
          <w:szCs w:val="24"/>
        </w:rPr>
        <w:fldChar w:fldCharType="separate"/>
      </w:r>
      <w:r>
        <w:rPr>
          <w:rFonts w:hint="eastAsia" w:ascii="宋体" w:hAnsi="宋体" w:eastAsia="宋体" w:cs="宋体"/>
          <w:sz w:val="24"/>
          <w:szCs w:val="24"/>
        </w:rPr>
        <w:t>169</w:t>
      </w:r>
      <w:r>
        <w:rPr>
          <w:rFonts w:hint="eastAsia" w:ascii="宋体" w:hAnsi="宋体" w:eastAsia="宋体" w:cs="宋体"/>
          <w:sz w:val="24"/>
          <w:szCs w:val="24"/>
        </w:rPr>
        <w:fldChar w:fldCharType="end"/>
      </w:r>
      <w:r>
        <w:rPr>
          <w:rFonts w:hint="eastAsia" w:ascii="宋体" w:hAnsi="宋体" w:eastAsia="宋体" w:cs="宋体"/>
          <w:bCs/>
          <w:caps/>
          <w:sz w:val="24"/>
          <w:szCs w:val="24"/>
        </w:rPr>
        <w:fldChar w:fldCharType="end"/>
      </w:r>
    </w:p>
    <w:p w14:paraId="6898ACC2">
      <w:pPr>
        <w:pStyle w:val="42"/>
        <w:keepNext w:val="0"/>
        <w:keepLines w:val="0"/>
        <w:pageBreakBefore w:val="0"/>
        <w:widowControl w:val="0"/>
        <w:tabs>
          <w:tab w:val="right" w:leader="dot" w:pos="8312"/>
        </w:tabs>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bCs/>
          <w:caps/>
          <w:sz w:val="24"/>
          <w:szCs w:val="24"/>
        </w:rPr>
        <w:fldChar w:fldCharType="begin"/>
      </w:r>
      <w:r>
        <w:rPr>
          <w:rFonts w:hint="eastAsia" w:ascii="宋体" w:hAnsi="宋体" w:eastAsia="宋体" w:cs="宋体"/>
          <w:bCs/>
          <w:caps/>
          <w:sz w:val="24"/>
          <w:szCs w:val="24"/>
        </w:rPr>
        <w:instrText xml:space="preserve"> HYPERLINK \l _Toc29893 </w:instrText>
      </w:r>
      <w:r>
        <w:rPr>
          <w:rFonts w:hint="eastAsia" w:ascii="宋体" w:hAnsi="宋体" w:eastAsia="宋体" w:cs="宋体"/>
          <w:bCs/>
          <w:caps/>
          <w:sz w:val="24"/>
          <w:szCs w:val="24"/>
        </w:rPr>
        <w:fldChar w:fldCharType="separate"/>
      </w:r>
      <w:r>
        <w:rPr>
          <w:rFonts w:hint="eastAsia" w:ascii="宋体" w:hAnsi="宋体" w:eastAsia="宋体" w:cs="宋体"/>
          <w:kern w:val="0"/>
          <w:sz w:val="24"/>
          <w:szCs w:val="24"/>
          <w:lang w:val="en-US" w:bidi="zh-CN"/>
        </w:rPr>
        <w:t>7.6碳排放评价结论及建议</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_Toc29893 \h </w:instrText>
      </w:r>
      <w:r>
        <w:rPr>
          <w:rFonts w:hint="eastAsia" w:ascii="宋体" w:hAnsi="宋体" w:eastAsia="宋体" w:cs="宋体"/>
          <w:sz w:val="24"/>
          <w:szCs w:val="24"/>
        </w:rPr>
        <w:fldChar w:fldCharType="separate"/>
      </w:r>
      <w:r>
        <w:rPr>
          <w:rFonts w:hint="eastAsia" w:ascii="宋体" w:hAnsi="宋体" w:eastAsia="宋体" w:cs="宋体"/>
          <w:sz w:val="24"/>
          <w:szCs w:val="24"/>
        </w:rPr>
        <w:t>170</w:t>
      </w:r>
      <w:r>
        <w:rPr>
          <w:rFonts w:hint="eastAsia" w:ascii="宋体" w:hAnsi="宋体" w:eastAsia="宋体" w:cs="宋体"/>
          <w:sz w:val="24"/>
          <w:szCs w:val="24"/>
        </w:rPr>
        <w:fldChar w:fldCharType="end"/>
      </w:r>
      <w:r>
        <w:rPr>
          <w:rFonts w:hint="eastAsia" w:ascii="宋体" w:hAnsi="宋体" w:eastAsia="宋体" w:cs="宋体"/>
          <w:bCs/>
          <w:caps/>
          <w:sz w:val="24"/>
          <w:szCs w:val="24"/>
        </w:rPr>
        <w:fldChar w:fldCharType="end"/>
      </w:r>
    </w:p>
    <w:p w14:paraId="460F9750">
      <w:pPr>
        <w:pStyle w:val="36"/>
        <w:keepNext w:val="0"/>
        <w:keepLines w:val="0"/>
        <w:pageBreakBefore w:val="0"/>
        <w:widowControl w:val="0"/>
        <w:tabs>
          <w:tab w:val="right" w:leader="dot" w:pos="8312"/>
        </w:tabs>
        <w:kinsoku/>
        <w:wordWrap/>
        <w:overflowPunct/>
        <w:topLinePunct w:val="0"/>
        <w:autoSpaceDE/>
        <w:autoSpaceDN/>
        <w:bidi w:val="0"/>
        <w:adjustRightInd/>
        <w:snapToGrid/>
        <w:spacing w:before="0" w:after="0" w:line="360" w:lineRule="auto"/>
        <w:textAlignment w:val="auto"/>
        <w:rPr>
          <w:rFonts w:hint="eastAsia" w:ascii="宋体" w:hAnsi="宋体" w:eastAsia="宋体" w:cs="宋体"/>
          <w:sz w:val="24"/>
          <w:szCs w:val="24"/>
        </w:rPr>
      </w:pPr>
      <w:r>
        <w:rPr>
          <w:rFonts w:hint="eastAsia" w:ascii="宋体" w:hAnsi="宋体" w:eastAsia="宋体" w:cs="宋体"/>
          <w:bCs/>
          <w:caps/>
          <w:sz w:val="24"/>
          <w:szCs w:val="24"/>
        </w:rPr>
        <w:fldChar w:fldCharType="begin"/>
      </w:r>
      <w:r>
        <w:rPr>
          <w:rFonts w:hint="eastAsia" w:ascii="宋体" w:hAnsi="宋体" w:eastAsia="宋体" w:cs="宋体"/>
          <w:bCs/>
          <w:caps/>
          <w:sz w:val="24"/>
          <w:szCs w:val="24"/>
        </w:rPr>
        <w:instrText xml:space="preserve"> HYPERLINK \l _Toc20357 </w:instrText>
      </w:r>
      <w:r>
        <w:rPr>
          <w:rFonts w:hint="eastAsia" w:ascii="宋体" w:hAnsi="宋体" w:eastAsia="宋体" w:cs="宋体"/>
          <w:bCs/>
          <w:caps/>
          <w:sz w:val="24"/>
          <w:szCs w:val="24"/>
        </w:rPr>
        <w:fldChar w:fldCharType="separate"/>
      </w:r>
      <w:r>
        <w:rPr>
          <w:rFonts w:hint="eastAsia" w:ascii="宋体" w:hAnsi="宋体" w:eastAsia="宋体" w:cs="宋体"/>
          <w:kern w:val="0"/>
          <w:sz w:val="24"/>
          <w:szCs w:val="24"/>
          <w:lang w:val="en-US" w:bidi="zh-CN"/>
        </w:rPr>
        <w:t>8环境影响经济损益分析</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_Toc20357 \h </w:instrText>
      </w:r>
      <w:r>
        <w:rPr>
          <w:rFonts w:hint="eastAsia" w:ascii="宋体" w:hAnsi="宋体" w:eastAsia="宋体" w:cs="宋体"/>
          <w:sz w:val="24"/>
          <w:szCs w:val="24"/>
        </w:rPr>
        <w:fldChar w:fldCharType="separate"/>
      </w:r>
      <w:r>
        <w:rPr>
          <w:rFonts w:hint="eastAsia" w:ascii="宋体" w:hAnsi="宋体" w:eastAsia="宋体" w:cs="宋体"/>
          <w:sz w:val="24"/>
          <w:szCs w:val="24"/>
        </w:rPr>
        <w:t>171</w:t>
      </w:r>
      <w:r>
        <w:rPr>
          <w:rFonts w:hint="eastAsia" w:ascii="宋体" w:hAnsi="宋体" w:eastAsia="宋体" w:cs="宋体"/>
          <w:sz w:val="24"/>
          <w:szCs w:val="24"/>
        </w:rPr>
        <w:fldChar w:fldCharType="end"/>
      </w:r>
      <w:r>
        <w:rPr>
          <w:rFonts w:hint="eastAsia" w:ascii="宋体" w:hAnsi="宋体" w:eastAsia="宋体" w:cs="宋体"/>
          <w:bCs/>
          <w:caps/>
          <w:sz w:val="24"/>
          <w:szCs w:val="24"/>
        </w:rPr>
        <w:fldChar w:fldCharType="end"/>
      </w:r>
    </w:p>
    <w:p w14:paraId="0D8B521A">
      <w:pPr>
        <w:pStyle w:val="42"/>
        <w:keepNext w:val="0"/>
        <w:keepLines w:val="0"/>
        <w:pageBreakBefore w:val="0"/>
        <w:widowControl w:val="0"/>
        <w:tabs>
          <w:tab w:val="right" w:leader="dot" w:pos="8312"/>
        </w:tabs>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bCs/>
          <w:caps/>
          <w:sz w:val="24"/>
          <w:szCs w:val="24"/>
        </w:rPr>
        <w:fldChar w:fldCharType="begin"/>
      </w:r>
      <w:r>
        <w:rPr>
          <w:rFonts w:hint="eastAsia" w:ascii="宋体" w:hAnsi="宋体" w:eastAsia="宋体" w:cs="宋体"/>
          <w:bCs/>
          <w:caps/>
          <w:sz w:val="24"/>
          <w:szCs w:val="24"/>
        </w:rPr>
        <w:instrText xml:space="preserve"> HYPERLINK \l _Toc21018 </w:instrText>
      </w:r>
      <w:r>
        <w:rPr>
          <w:rFonts w:hint="eastAsia" w:ascii="宋体" w:hAnsi="宋体" w:eastAsia="宋体" w:cs="宋体"/>
          <w:bCs/>
          <w:caps/>
          <w:sz w:val="24"/>
          <w:szCs w:val="24"/>
        </w:rPr>
        <w:fldChar w:fldCharType="separate"/>
      </w:r>
      <w:r>
        <w:rPr>
          <w:rFonts w:hint="eastAsia" w:ascii="宋体" w:hAnsi="宋体" w:eastAsia="宋体" w:cs="宋体"/>
          <w:kern w:val="0"/>
          <w:sz w:val="24"/>
          <w:szCs w:val="24"/>
          <w:lang w:val="en-US" w:bidi="zh-CN"/>
        </w:rPr>
        <w:t>8.1社会效益分析</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_Toc21018 \h </w:instrText>
      </w:r>
      <w:r>
        <w:rPr>
          <w:rFonts w:hint="eastAsia" w:ascii="宋体" w:hAnsi="宋体" w:eastAsia="宋体" w:cs="宋体"/>
          <w:sz w:val="24"/>
          <w:szCs w:val="24"/>
        </w:rPr>
        <w:fldChar w:fldCharType="separate"/>
      </w:r>
      <w:r>
        <w:rPr>
          <w:rFonts w:hint="eastAsia" w:ascii="宋体" w:hAnsi="宋体" w:eastAsia="宋体" w:cs="宋体"/>
          <w:sz w:val="24"/>
          <w:szCs w:val="24"/>
        </w:rPr>
        <w:t>171</w:t>
      </w:r>
      <w:r>
        <w:rPr>
          <w:rFonts w:hint="eastAsia" w:ascii="宋体" w:hAnsi="宋体" w:eastAsia="宋体" w:cs="宋体"/>
          <w:sz w:val="24"/>
          <w:szCs w:val="24"/>
        </w:rPr>
        <w:fldChar w:fldCharType="end"/>
      </w:r>
      <w:r>
        <w:rPr>
          <w:rFonts w:hint="eastAsia" w:ascii="宋体" w:hAnsi="宋体" w:eastAsia="宋体" w:cs="宋体"/>
          <w:bCs/>
          <w:caps/>
          <w:sz w:val="24"/>
          <w:szCs w:val="24"/>
        </w:rPr>
        <w:fldChar w:fldCharType="end"/>
      </w:r>
    </w:p>
    <w:p w14:paraId="5554D146">
      <w:pPr>
        <w:pStyle w:val="42"/>
        <w:keepNext w:val="0"/>
        <w:keepLines w:val="0"/>
        <w:pageBreakBefore w:val="0"/>
        <w:widowControl w:val="0"/>
        <w:tabs>
          <w:tab w:val="right" w:leader="dot" w:pos="8312"/>
        </w:tabs>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bCs/>
          <w:caps/>
          <w:sz w:val="24"/>
          <w:szCs w:val="24"/>
        </w:rPr>
        <w:fldChar w:fldCharType="begin"/>
      </w:r>
      <w:r>
        <w:rPr>
          <w:rFonts w:hint="eastAsia" w:ascii="宋体" w:hAnsi="宋体" w:eastAsia="宋体" w:cs="宋体"/>
          <w:bCs/>
          <w:caps/>
          <w:sz w:val="24"/>
          <w:szCs w:val="24"/>
        </w:rPr>
        <w:instrText xml:space="preserve"> HYPERLINK \l _Toc20367 </w:instrText>
      </w:r>
      <w:r>
        <w:rPr>
          <w:rFonts w:hint="eastAsia" w:ascii="宋体" w:hAnsi="宋体" w:eastAsia="宋体" w:cs="宋体"/>
          <w:bCs/>
          <w:caps/>
          <w:sz w:val="24"/>
          <w:szCs w:val="24"/>
        </w:rPr>
        <w:fldChar w:fldCharType="separate"/>
      </w:r>
      <w:r>
        <w:rPr>
          <w:rFonts w:hint="eastAsia" w:ascii="宋体" w:hAnsi="宋体" w:eastAsia="宋体" w:cs="宋体"/>
          <w:bCs/>
          <w:kern w:val="0"/>
          <w:sz w:val="24"/>
          <w:szCs w:val="24"/>
          <w:lang w:bidi="zh-CN"/>
        </w:rPr>
        <w:t>8.2</w:t>
      </w:r>
      <w:r>
        <w:rPr>
          <w:rFonts w:hint="eastAsia" w:ascii="宋体" w:hAnsi="宋体" w:eastAsia="宋体" w:cs="宋体"/>
          <w:bCs/>
          <w:kern w:val="0"/>
          <w:sz w:val="24"/>
          <w:szCs w:val="24"/>
          <w:lang w:val="zh-CN" w:bidi="zh-CN"/>
        </w:rPr>
        <w:t>经济效益分析</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_Toc20367 \h </w:instrText>
      </w:r>
      <w:r>
        <w:rPr>
          <w:rFonts w:hint="eastAsia" w:ascii="宋体" w:hAnsi="宋体" w:eastAsia="宋体" w:cs="宋体"/>
          <w:sz w:val="24"/>
          <w:szCs w:val="24"/>
        </w:rPr>
        <w:fldChar w:fldCharType="separate"/>
      </w:r>
      <w:r>
        <w:rPr>
          <w:rFonts w:hint="eastAsia" w:ascii="宋体" w:hAnsi="宋体" w:eastAsia="宋体" w:cs="宋体"/>
          <w:sz w:val="24"/>
          <w:szCs w:val="24"/>
        </w:rPr>
        <w:t>171</w:t>
      </w:r>
      <w:r>
        <w:rPr>
          <w:rFonts w:hint="eastAsia" w:ascii="宋体" w:hAnsi="宋体" w:eastAsia="宋体" w:cs="宋体"/>
          <w:sz w:val="24"/>
          <w:szCs w:val="24"/>
        </w:rPr>
        <w:fldChar w:fldCharType="end"/>
      </w:r>
      <w:r>
        <w:rPr>
          <w:rFonts w:hint="eastAsia" w:ascii="宋体" w:hAnsi="宋体" w:eastAsia="宋体" w:cs="宋体"/>
          <w:bCs/>
          <w:caps/>
          <w:sz w:val="24"/>
          <w:szCs w:val="24"/>
        </w:rPr>
        <w:fldChar w:fldCharType="end"/>
      </w:r>
    </w:p>
    <w:p w14:paraId="1AB98AAB">
      <w:pPr>
        <w:pStyle w:val="42"/>
        <w:keepNext w:val="0"/>
        <w:keepLines w:val="0"/>
        <w:pageBreakBefore w:val="0"/>
        <w:widowControl w:val="0"/>
        <w:tabs>
          <w:tab w:val="right" w:leader="dot" w:pos="8312"/>
        </w:tabs>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bCs/>
          <w:caps/>
          <w:sz w:val="24"/>
          <w:szCs w:val="24"/>
        </w:rPr>
        <w:fldChar w:fldCharType="begin"/>
      </w:r>
      <w:r>
        <w:rPr>
          <w:rFonts w:hint="eastAsia" w:ascii="宋体" w:hAnsi="宋体" w:eastAsia="宋体" w:cs="宋体"/>
          <w:bCs/>
          <w:caps/>
          <w:sz w:val="24"/>
          <w:szCs w:val="24"/>
        </w:rPr>
        <w:instrText xml:space="preserve"> HYPERLINK \l _Toc20098 </w:instrText>
      </w:r>
      <w:r>
        <w:rPr>
          <w:rFonts w:hint="eastAsia" w:ascii="宋体" w:hAnsi="宋体" w:eastAsia="宋体" w:cs="宋体"/>
          <w:bCs/>
          <w:caps/>
          <w:sz w:val="24"/>
          <w:szCs w:val="24"/>
        </w:rPr>
        <w:fldChar w:fldCharType="separate"/>
      </w:r>
      <w:r>
        <w:rPr>
          <w:rFonts w:hint="eastAsia" w:ascii="宋体" w:hAnsi="宋体" w:eastAsia="宋体" w:cs="宋体"/>
          <w:kern w:val="0"/>
          <w:sz w:val="24"/>
          <w:szCs w:val="24"/>
          <w:lang w:val="en-US" w:bidi="zh-CN"/>
        </w:rPr>
        <w:t>8.3环境经济损益分析</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_Toc20098 \h </w:instrText>
      </w:r>
      <w:r>
        <w:rPr>
          <w:rFonts w:hint="eastAsia" w:ascii="宋体" w:hAnsi="宋体" w:eastAsia="宋体" w:cs="宋体"/>
          <w:sz w:val="24"/>
          <w:szCs w:val="24"/>
        </w:rPr>
        <w:fldChar w:fldCharType="separate"/>
      </w:r>
      <w:r>
        <w:rPr>
          <w:rFonts w:hint="eastAsia" w:ascii="宋体" w:hAnsi="宋体" w:eastAsia="宋体" w:cs="宋体"/>
          <w:sz w:val="24"/>
          <w:szCs w:val="24"/>
        </w:rPr>
        <w:t>171</w:t>
      </w:r>
      <w:r>
        <w:rPr>
          <w:rFonts w:hint="eastAsia" w:ascii="宋体" w:hAnsi="宋体" w:eastAsia="宋体" w:cs="宋体"/>
          <w:sz w:val="24"/>
          <w:szCs w:val="24"/>
        </w:rPr>
        <w:fldChar w:fldCharType="end"/>
      </w:r>
      <w:r>
        <w:rPr>
          <w:rFonts w:hint="eastAsia" w:ascii="宋体" w:hAnsi="宋体" w:eastAsia="宋体" w:cs="宋体"/>
          <w:bCs/>
          <w:caps/>
          <w:sz w:val="24"/>
          <w:szCs w:val="24"/>
        </w:rPr>
        <w:fldChar w:fldCharType="end"/>
      </w:r>
    </w:p>
    <w:p w14:paraId="7645F0DC">
      <w:pPr>
        <w:pStyle w:val="42"/>
        <w:keepNext w:val="0"/>
        <w:keepLines w:val="0"/>
        <w:pageBreakBefore w:val="0"/>
        <w:widowControl w:val="0"/>
        <w:tabs>
          <w:tab w:val="right" w:leader="dot" w:pos="8312"/>
        </w:tabs>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bCs/>
          <w:caps/>
          <w:sz w:val="24"/>
          <w:szCs w:val="24"/>
        </w:rPr>
        <w:fldChar w:fldCharType="begin"/>
      </w:r>
      <w:r>
        <w:rPr>
          <w:rFonts w:hint="eastAsia" w:ascii="宋体" w:hAnsi="宋体" w:eastAsia="宋体" w:cs="宋体"/>
          <w:bCs/>
          <w:caps/>
          <w:sz w:val="24"/>
          <w:szCs w:val="24"/>
        </w:rPr>
        <w:instrText xml:space="preserve"> HYPERLINK \l _Toc5862 </w:instrText>
      </w:r>
      <w:r>
        <w:rPr>
          <w:rFonts w:hint="eastAsia" w:ascii="宋体" w:hAnsi="宋体" w:eastAsia="宋体" w:cs="宋体"/>
          <w:bCs/>
          <w:caps/>
          <w:sz w:val="24"/>
          <w:szCs w:val="24"/>
        </w:rPr>
        <w:fldChar w:fldCharType="separate"/>
      </w:r>
      <w:r>
        <w:rPr>
          <w:rFonts w:hint="eastAsia" w:ascii="宋体" w:hAnsi="宋体" w:eastAsia="宋体" w:cs="宋体"/>
          <w:kern w:val="0"/>
          <w:sz w:val="24"/>
          <w:szCs w:val="24"/>
          <w:lang w:val="en-US" w:bidi="zh-CN"/>
        </w:rPr>
        <w:t>8.4环境经济损益分析结论</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_Toc5862 \h </w:instrText>
      </w:r>
      <w:r>
        <w:rPr>
          <w:rFonts w:hint="eastAsia" w:ascii="宋体" w:hAnsi="宋体" w:eastAsia="宋体" w:cs="宋体"/>
          <w:sz w:val="24"/>
          <w:szCs w:val="24"/>
        </w:rPr>
        <w:fldChar w:fldCharType="separate"/>
      </w:r>
      <w:r>
        <w:rPr>
          <w:rFonts w:hint="eastAsia" w:ascii="宋体" w:hAnsi="宋体" w:eastAsia="宋体" w:cs="宋体"/>
          <w:sz w:val="24"/>
          <w:szCs w:val="24"/>
        </w:rPr>
        <w:t>173</w:t>
      </w:r>
      <w:r>
        <w:rPr>
          <w:rFonts w:hint="eastAsia" w:ascii="宋体" w:hAnsi="宋体" w:eastAsia="宋体" w:cs="宋体"/>
          <w:sz w:val="24"/>
          <w:szCs w:val="24"/>
        </w:rPr>
        <w:fldChar w:fldCharType="end"/>
      </w:r>
      <w:r>
        <w:rPr>
          <w:rFonts w:hint="eastAsia" w:ascii="宋体" w:hAnsi="宋体" w:eastAsia="宋体" w:cs="宋体"/>
          <w:bCs/>
          <w:caps/>
          <w:sz w:val="24"/>
          <w:szCs w:val="24"/>
        </w:rPr>
        <w:fldChar w:fldCharType="end"/>
      </w:r>
    </w:p>
    <w:p w14:paraId="78F08936">
      <w:pPr>
        <w:pStyle w:val="36"/>
        <w:keepNext w:val="0"/>
        <w:keepLines w:val="0"/>
        <w:pageBreakBefore w:val="0"/>
        <w:widowControl w:val="0"/>
        <w:tabs>
          <w:tab w:val="right" w:leader="dot" w:pos="8312"/>
        </w:tabs>
        <w:kinsoku/>
        <w:wordWrap/>
        <w:overflowPunct/>
        <w:topLinePunct w:val="0"/>
        <w:autoSpaceDE/>
        <w:autoSpaceDN/>
        <w:bidi w:val="0"/>
        <w:adjustRightInd/>
        <w:snapToGrid/>
        <w:spacing w:before="0" w:after="0" w:line="360" w:lineRule="auto"/>
        <w:textAlignment w:val="auto"/>
        <w:rPr>
          <w:rFonts w:hint="eastAsia" w:ascii="宋体" w:hAnsi="宋体" w:eastAsia="宋体" w:cs="宋体"/>
          <w:sz w:val="24"/>
          <w:szCs w:val="24"/>
        </w:rPr>
      </w:pPr>
      <w:r>
        <w:rPr>
          <w:rFonts w:hint="eastAsia" w:ascii="宋体" w:hAnsi="宋体" w:eastAsia="宋体" w:cs="宋体"/>
          <w:bCs/>
          <w:caps/>
          <w:sz w:val="24"/>
          <w:szCs w:val="24"/>
        </w:rPr>
        <w:fldChar w:fldCharType="begin"/>
      </w:r>
      <w:r>
        <w:rPr>
          <w:rFonts w:hint="eastAsia" w:ascii="宋体" w:hAnsi="宋体" w:eastAsia="宋体" w:cs="宋体"/>
          <w:bCs/>
          <w:caps/>
          <w:sz w:val="24"/>
          <w:szCs w:val="24"/>
        </w:rPr>
        <w:instrText xml:space="preserve"> HYPERLINK \l _Toc11380 </w:instrText>
      </w:r>
      <w:r>
        <w:rPr>
          <w:rFonts w:hint="eastAsia" w:ascii="宋体" w:hAnsi="宋体" w:eastAsia="宋体" w:cs="宋体"/>
          <w:bCs/>
          <w:caps/>
          <w:sz w:val="24"/>
          <w:szCs w:val="24"/>
        </w:rPr>
        <w:fldChar w:fldCharType="separate"/>
      </w:r>
      <w:r>
        <w:rPr>
          <w:rFonts w:hint="eastAsia" w:ascii="宋体" w:hAnsi="宋体" w:eastAsia="宋体" w:cs="宋体"/>
          <w:kern w:val="0"/>
          <w:sz w:val="24"/>
          <w:szCs w:val="24"/>
          <w:lang w:val="en-US" w:bidi="zh-CN"/>
        </w:rPr>
        <w:t>9环境管理与监测计划</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_Toc11380 \h </w:instrText>
      </w:r>
      <w:r>
        <w:rPr>
          <w:rFonts w:hint="eastAsia" w:ascii="宋体" w:hAnsi="宋体" w:eastAsia="宋体" w:cs="宋体"/>
          <w:sz w:val="24"/>
          <w:szCs w:val="24"/>
        </w:rPr>
        <w:fldChar w:fldCharType="separate"/>
      </w:r>
      <w:r>
        <w:rPr>
          <w:rFonts w:hint="eastAsia" w:ascii="宋体" w:hAnsi="宋体" w:eastAsia="宋体" w:cs="宋体"/>
          <w:sz w:val="24"/>
          <w:szCs w:val="24"/>
        </w:rPr>
        <w:t>174</w:t>
      </w:r>
      <w:r>
        <w:rPr>
          <w:rFonts w:hint="eastAsia" w:ascii="宋体" w:hAnsi="宋体" w:eastAsia="宋体" w:cs="宋体"/>
          <w:sz w:val="24"/>
          <w:szCs w:val="24"/>
        </w:rPr>
        <w:fldChar w:fldCharType="end"/>
      </w:r>
      <w:r>
        <w:rPr>
          <w:rFonts w:hint="eastAsia" w:ascii="宋体" w:hAnsi="宋体" w:eastAsia="宋体" w:cs="宋体"/>
          <w:bCs/>
          <w:caps/>
          <w:sz w:val="24"/>
          <w:szCs w:val="24"/>
        </w:rPr>
        <w:fldChar w:fldCharType="end"/>
      </w:r>
    </w:p>
    <w:p w14:paraId="452D92CB">
      <w:pPr>
        <w:pStyle w:val="42"/>
        <w:keepNext w:val="0"/>
        <w:keepLines w:val="0"/>
        <w:pageBreakBefore w:val="0"/>
        <w:widowControl w:val="0"/>
        <w:tabs>
          <w:tab w:val="right" w:leader="dot" w:pos="8312"/>
        </w:tabs>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bCs/>
          <w:caps/>
          <w:sz w:val="24"/>
          <w:szCs w:val="24"/>
        </w:rPr>
        <w:fldChar w:fldCharType="begin"/>
      </w:r>
      <w:r>
        <w:rPr>
          <w:rFonts w:hint="eastAsia" w:ascii="宋体" w:hAnsi="宋体" w:eastAsia="宋体" w:cs="宋体"/>
          <w:bCs/>
          <w:caps/>
          <w:sz w:val="24"/>
          <w:szCs w:val="24"/>
        </w:rPr>
        <w:instrText xml:space="preserve"> HYPERLINK \l _Toc9292 </w:instrText>
      </w:r>
      <w:r>
        <w:rPr>
          <w:rFonts w:hint="eastAsia" w:ascii="宋体" w:hAnsi="宋体" w:eastAsia="宋体" w:cs="宋体"/>
          <w:bCs/>
          <w:caps/>
          <w:sz w:val="24"/>
          <w:szCs w:val="24"/>
        </w:rPr>
        <w:fldChar w:fldCharType="separate"/>
      </w:r>
      <w:r>
        <w:rPr>
          <w:rFonts w:hint="eastAsia" w:ascii="宋体" w:hAnsi="宋体" w:eastAsia="宋体" w:cs="宋体"/>
          <w:kern w:val="0"/>
          <w:sz w:val="24"/>
          <w:szCs w:val="24"/>
          <w:lang w:val="en-US" w:bidi="zh-CN"/>
        </w:rPr>
        <w:t>9.1环境管理</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_Toc9292 \h </w:instrText>
      </w:r>
      <w:r>
        <w:rPr>
          <w:rFonts w:hint="eastAsia" w:ascii="宋体" w:hAnsi="宋体" w:eastAsia="宋体" w:cs="宋体"/>
          <w:sz w:val="24"/>
          <w:szCs w:val="24"/>
        </w:rPr>
        <w:fldChar w:fldCharType="separate"/>
      </w:r>
      <w:r>
        <w:rPr>
          <w:rFonts w:hint="eastAsia" w:ascii="宋体" w:hAnsi="宋体" w:eastAsia="宋体" w:cs="宋体"/>
          <w:sz w:val="24"/>
          <w:szCs w:val="24"/>
        </w:rPr>
        <w:t>174</w:t>
      </w:r>
      <w:r>
        <w:rPr>
          <w:rFonts w:hint="eastAsia" w:ascii="宋体" w:hAnsi="宋体" w:eastAsia="宋体" w:cs="宋体"/>
          <w:sz w:val="24"/>
          <w:szCs w:val="24"/>
        </w:rPr>
        <w:fldChar w:fldCharType="end"/>
      </w:r>
      <w:r>
        <w:rPr>
          <w:rFonts w:hint="eastAsia" w:ascii="宋体" w:hAnsi="宋体" w:eastAsia="宋体" w:cs="宋体"/>
          <w:bCs/>
          <w:caps/>
          <w:sz w:val="24"/>
          <w:szCs w:val="24"/>
        </w:rPr>
        <w:fldChar w:fldCharType="end"/>
      </w:r>
    </w:p>
    <w:p w14:paraId="30D3BC4F">
      <w:pPr>
        <w:pStyle w:val="42"/>
        <w:keepNext w:val="0"/>
        <w:keepLines w:val="0"/>
        <w:pageBreakBefore w:val="0"/>
        <w:widowControl w:val="0"/>
        <w:tabs>
          <w:tab w:val="right" w:leader="dot" w:pos="8312"/>
        </w:tabs>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bCs/>
          <w:caps/>
          <w:sz w:val="24"/>
          <w:szCs w:val="24"/>
        </w:rPr>
        <w:fldChar w:fldCharType="begin"/>
      </w:r>
      <w:r>
        <w:rPr>
          <w:rFonts w:hint="eastAsia" w:ascii="宋体" w:hAnsi="宋体" w:eastAsia="宋体" w:cs="宋体"/>
          <w:bCs/>
          <w:caps/>
          <w:sz w:val="24"/>
          <w:szCs w:val="24"/>
        </w:rPr>
        <w:instrText xml:space="preserve"> HYPERLINK \l _Toc17704 </w:instrText>
      </w:r>
      <w:r>
        <w:rPr>
          <w:rFonts w:hint="eastAsia" w:ascii="宋体" w:hAnsi="宋体" w:eastAsia="宋体" w:cs="宋体"/>
          <w:bCs/>
          <w:caps/>
          <w:sz w:val="24"/>
          <w:szCs w:val="24"/>
        </w:rPr>
        <w:fldChar w:fldCharType="separate"/>
      </w:r>
      <w:r>
        <w:rPr>
          <w:rFonts w:hint="eastAsia" w:ascii="宋体" w:hAnsi="宋体" w:eastAsia="宋体" w:cs="宋体"/>
          <w:kern w:val="0"/>
          <w:sz w:val="24"/>
          <w:szCs w:val="24"/>
          <w:lang w:val="en-US" w:bidi="zh-CN"/>
        </w:rPr>
        <w:t>9.2污染物排放管理</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_Toc17704 \h </w:instrText>
      </w:r>
      <w:r>
        <w:rPr>
          <w:rFonts w:hint="eastAsia" w:ascii="宋体" w:hAnsi="宋体" w:eastAsia="宋体" w:cs="宋体"/>
          <w:sz w:val="24"/>
          <w:szCs w:val="24"/>
        </w:rPr>
        <w:fldChar w:fldCharType="separate"/>
      </w:r>
      <w:r>
        <w:rPr>
          <w:rFonts w:hint="eastAsia" w:ascii="宋体" w:hAnsi="宋体" w:eastAsia="宋体" w:cs="宋体"/>
          <w:sz w:val="24"/>
          <w:szCs w:val="24"/>
        </w:rPr>
        <w:t>179</w:t>
      </w:r>
      <w:r>
        <w:rPr>
          <w:rFonts w:hint="eastAsia" w:ascii="宋体" w:hAnsi="宋体" w:eastAsia="宋体" w:cs="宋体"/>
          <w:sz w:val="24"/>
          <w:szCs w:val="24"/>
        </w:rPr>
        <w:fldChar w:fldCharType="end"/>
      </w:r>
      <w:r>
        <w:rPr>
          <w:rFonts w:hint="eastAsia" w:ascii="宋体" w:hAnsi="宋体" w:eastAsia="宋体" w:cs="宋体"/>
          <w:bCs/>
          <w:caps/>
          <w:sz w:val="24"/>
          <w:szCs w:val="24"/>
        </w:rPr>
        <w:fldChar w:fldCharType="end"/>
      </w:r>
    </w:p>
    <w:p w14:paraId="3960D94F">
      <w:pPr>
        <w:pStyle w:val="42"/>
        <w:keepNext w:val="0"/>
        <w:keepLines w:val="0"/>
        <w:pageBreakBefore w:val="0"/>
        <w:widowControl w:val="0"/>
        <w:tabs>
          <w:tab w:val="right" w:leader="dot" w:pos="8312"/>
        </w:tabs>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bCs/>
          <w:caps/>
          <w:sz w:val="24"/>
          <w:szCs w:val="24"/>
        </w:rPr>
        <w:fldChar w:fldCharType="begin"/>
      </w:r>
      <w:r>
        <w:rPr>
          <w:rFonts w:hint="eastAsia" w:ascii="宋体" w:hAnsi="宋体" w:eastAsia="宋体" w:cs="宋体"/>
          <w:bCs/>
          <w:caps/>
          <w:sz w:val="24"/>
          <w:szCs w:val="24"/>
        </w:rPr>
        <w:instrText xml:space="preserve"> HYPERLINK \l _Toc29591 </w:instrText>
      </w:r>
      <w:r>
        <w:rPr>
          <w:rFonts w:hint="eastAsia" w:ascii="宋体" w:hAnsi="宋体" w:eastAsia="宋体" w:cs="宋体"/>
          <w:bCs/>
          <w:caps/>
          <w:sz w:val="24"/>
          <w:szCs w:val="24"/>
        </w:rPr>
        <w:fldChar w:fldCharType="separate"/>
      </w:r>
      <w:r>
        <w:rPr>
          <w:rFonts w:hint="eastAsia" w:ascii="宋体" w:hAnsi="宋体" w:eastAsia="宋体" w:cs="宋体"/>
          <w:kern w:val="0"/>
          <w:sz w:val="24"/>
          <w:szCs w:val="24"/>
          <w:lang w:val="en-US" w:bidi="zh-CN"/>
        </w:rPr>
        <w:t>9.3环境监测计划</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_Toc29591 \h </w:instrText>
      </w:r>
      <w:r>
        <w:rPr>
          <w:rFonts w:hint="eastAsia" w:ascii="宋体" w:hAnsi="宋体" w:eastAsia="宋体" w:cs="宋体"/>
          <w:sz w:val="24"/>
          <w:szCs w:val="24"/>
        </w:rPr>
        <w:fldChar w:fldCharType="separate"/>
      </w:r>
      <w:r>
        <w:rPr>
          <w:rFonts w:hint="eastAsia" w:ascii="宋体" w:hAnsi="宋体" w:eastAsia="宋体" w:cs="宋体"/>
          <w:sz w:val="24"/>
          <w:szCs w:val="24"/>
        </w:rPr>
        <w:t>185</w:t>
      </w:r>
      <w:r>
        <w:rPr>
          <w:rFonts w:hint="eastAsia" w:ascii="宋体" w:hAnsi="宋体" w:eastAsia="宋体" w:cs="宋体"/>
          <w:sz w:val="24"/>
          <w:szCs w:val="24"/>
        </w:rPr>
        <w:fldChar w:fldCharType="end"/>
      </w:r>
      <w:r>
        <w:rPr>
          <w:rFonts w:hint="eastAsia" w:ascii="宋体" w:hAnsi="宋体" w:eastAsia="宋体" w:cs="宋体"/>
          <w:bCs/>
          <w:caps/>
          <w:sz w:val="24"/>
          <w:szCs w:val="24"/>
        </w:rPr>
        <w:fldChar w:fldCharType="end"/>
      </w:r>
    </w:p>
    <w:p w14:paraId="522B0AC7">
      <w:pPr>
        <w:pStyle w:val="42"/>
        <w:keepNext w:val="0"/>
        <w:keepLines w:val="0"/>
        <w:pageBreakBefore w:val="0"/>
        <w:widowControl w:val="0"/>
        <w:tabs>
          <w:tab w:val="right" w:leader="dot" w:pos="8312"/>
        </w:tabs>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bCs/>
          <w:caps/>
          <w:sz w:val="24"/>
          <w:szCs w:val="24"/>
        </w:rPr>
        <w:fldChar w:fldCharType="begin"/>
      </w:r>
      <w:r>
        <w:rPr>
          <w:rFonts w:hint="eastAsia" w:ascii="宋体" w:hAnsi="宋体" w:eastAsia="宋体" w:cs="宋体"/>
          <w:bCs/>
          <w:caps/>
          <w:sz w:val="24"/>
          <w:szCs w:val="24"/>
        </w:rPr>
        <w:instrText xml:space="preserve"> HYPERLINK \l _Toc30391 </w:instrText>
      </w:r>
      <w:r>
        <w:rPr>
          <w:rFonts w:hint="eastAsia" w:ascii="宋体" w:hAnsi="宋体" w:eastAsia="宋体" w:cs="宋体"/>
          <w:bCs/>
          <w:caps/>
          <w:sz w:val="24"/>
          <w:szCs w:val="24"/>
        </w:rPr>
        <w:fldChar w:fldCharType="separate"/>
      </w:r>
      <w:r>
        <w:rPr>
          <w:rFonts w:hint="eastAsia" w:ascii="宋体" w:hAnsi="宋体" w:eastAsia="宋体" w:cs="宋体"/>
          <w:kern w:val="0"/>
          <w:sz w:val="24"/>
          <w:szCs w:val="24"/>
          <w:lang w:val="en-US" w:bidi="zh-CN"/>
        </w:rPr>
        <w:t>9.4环境保护培训计划</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_Toc30391 \h </w:instrText>
      </w:r>
      <w:r>
        <w:rPr>
          <w:rFonts w:hint="eastAsia" w:ascii="宋体" w:hAnsi="宋体" w:eastAsia="宋体" w:cs="宋体"/>
          <w:sz w:val="24"/>
          <w:szCs w:val="24"/>
        </w:rPr>
        <w:fldChar w:fldCharType="separate"/>
      </w:r>
      <w:r>
        <w:rPr>
          <w:rFonts w:hint="eastAsia" w:ascii="宋体" w:hAnsi="宋体" w:eastAsia="宋体" w:cs="宋体"/>
          <w:sz w:val="24"/>
          <w:szCs w:val="24"/>
        </w:rPr>
        <w:t>188</w:t>
      </w:r>
      <w:r>
        <w:rPr>
          <w:rFonts w:hint="eastAsia" w:ascii="宋体" w:hAnsi="宋体" w:eastAsia="宋体" w:cs="宋体"/>
          <w:sz w:val="24"/>
          <w:szCs w:val="24"/>
        </w:rPr>
        <w:fldChar w:fldCharType="end"/>
      </w:r>
      <w:r>
        <w:rPr>
          <w:rFonts w:hint="eastAsia" w:ascii="宋体" w:hAnsi="宋体" w:eastAsia="宋体" w:cs="宋体"/>
          <w:bCs/>
          <w:caps/>
          <w:sz w:val="24"/>
          <w:szCs w:val="24"/>
        </w:rPr>
        <w:fldChar w:fldCharType="end"/>
      </w:r>
    </w:p>
    <w:p w14:paraId="63A8F517">
      <w:pPr>
        <w:pStyle w:val="42"/>
        <w:keepNext w:val="0"/>
        <w:keepLines w:val="0"/>
        <w:pageBreakBefore w:val="0"/>
        <w:widowControl w:val="0"/>
        <w:tabs>
          <w:tab w:val="right" w:leader="dot" w:pos="8312"/>
        </w:tabs>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bCs/>
          <w:caps/>
          <w:sz w:val="24"/>
          <w:szCs w:val="24"/>
        </w:rPr>
        <w:fldChar w:fldCharType="begin"/>
      </w:r>
      <w:r>
        <w:rPr>
          <w:rFonts w:hint="eastAsia" w:ascii="宋体" w:hAnsi="宋体" w:eastAsia="宋体" w:cs="宋体"/>
          <w:bCs/>
          <w:caps/>
          <w:sz w:val="24"/>
          <w:szCs w:val="24"/>
        </w:rPr>
        <w:instrText xml:space="preserve"> HYPERLINK \l _Toc15813 </w:instrText>
      </w:r>
      <w:r>
        <w:rPr>
          <w:rFonts w:hint="eastAsia" w:ascii="宋体" w:hAnsi="宋体" w:eastAsia="宋体" w:cs="宋体"/>
          <w:bCs/>
          <w:caps/>
          <w:sz w:val="24"/>
          <w:szCs w:val="24"/>
        </w:rPr>
        <w:fldChar w:fldCharType="separate"/>
      </w:r>
      <w:r>
        <w:rPr>
          <w:rFonts w:hint="eastAsia" w:ascii="宋体" w:hAnsi="宋体" w:eastAsia="宋体" w:cs="宋体"/>
          <w:kern w:val="0"/>
          <w:sz w:val="24"/>
          <w:szCs w:val="24"/>
          <w:lang w:val="en-US" w:bidi="zh-CN"/>
        </w:rPr>
        <w:t>9.5竣工验收管理</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_Toc15813 \h </w:instrText>
      </w:r>
      <w:r>
        <w:rPr>
          <w:rFonts w:hint="eastAsia" w:ascii="宋体" w:hAnsi="宋体" w:eastAsia="宋体" w:cs="宋体"/>
          <w:sz w:val="24"/>
          <w:szCs w:val="24"/>
        </w:rPr>
        <w:fldChar w:fldCharType="separate"/>
      </w:r>
      <w:r>
        <w:rPr>
          <w:rFonts w:hint="eastAsia" w:ascii="宋体" w:hAnsi="宋体" w:eastAsia="宋体" w:cs="宋体"/>
          <w:sz w:val="24"/>
          <w:szCs w:val="24"/>
        </w:rPr>
        <w:t>188</w:t>
      </w:r>
      <w:r>
        <w:rPr>
          <w:rFonts w:hint="eastAsia" w:ascii="宋体" w:hAnsi="宋体" w:eastAsia="宋体" w:cs="宋体"/>
          <w:sz w:val="24"/>
          <w:szCs w:val="24"/>
        </w:rPr>
        <w:fldChar w:fldCharType="end"/>
      </w:r>
      <w:r>
        <w:rPr>
          <w:rFonts w:hint="eastAsia" w:ascii="宋体" w:hAnsi="宋体" w:eastAsia="宋体" w:cs="宋体"/>
          <w:bCs/>
          <w:caps/>
          <w:sz w:val="24"/>
          <w:szCs w:val="24"/>
        </w:rPr>
        <w:fldChar w:fldCharType="end"/>
      </w:r>
    </w:p>
    <w:p w14:paraId="42B18634">
      <w:pPr>
        <w:pStyle w:val="36"/>
        <w:keepNext w:val="0"/>
        <w:keepLines w:val="0"/>
        <w:pageBreakBefore w:val="0"/>
        <w:widowControl w:val="0"/>
        <w:tabs>
          <w:tab w:val="right" w:leader="dot" w:pos="8312"/>
        </w:tabs>
        <w:kinsoku/>
        <w:wordWrap/>
        <w:overflowPunct/>
        <w:topLinePunct w:val="0"/>
        <w:autoSpaceDE/>
        <w:autoSpaceDN/>
        <w:bidi w:val="0"/>
        <w:adjustRightInd/>
        <w:snapToGrid/>
        <w:spacing w:before="0" w:after="0" w:line="360" w:lineRule="auto"/>
        <w:textAlignment w:val="auto"/>
        <w:rPr>
          <w:rFonts w:hint="eastAsia" w:ascii="宋体" w:hAnsi="宋体" w:eastAsia="宋体" w:cs="宋体"/>
          <w:sz w:val="24"/>
          <w:szCs w:val="24"/>
        </w:rPr>
      </w:pPr>
      <w:r>
        <w:rPr>
          <w:rFonts w:hint="eastAsia" w:ascii="宋体" w:hAnsi="宋体" w:eastAsia="宋体" w:cs="宋体"/>
          <w:bCs/>
          <w:caps/>
          <w:sz w:val="24"/>
          <w:szCs w:val="24"/>
        </w:rPr>
        <w:fldChar w:fldCharType="begin"/>
      </w:r>
      <w:r>
        <w:rPr>
          <w:rFonts w:hint="eastAsia" w:ascii="宋体" w:hAnsi="宋体" w:eastAsia="宋体" w:cs="宋体"/>
          <w:bCs/>
          <w:caps/>
          <w:sz w:val="24"/>
          <w:szCs w:val="24"/>
        </w:rPr>
        <w:instrText xml:space="preserve"> HYPERLINK \l _Toc17470 </w:instrText>
      </w:r>
      <w:r>
        <w:rPr>
          <w:rFonts w:hint="eastAsia" w:ascii="宋体" w:hAnsi="宋体" w:eastAsia="宋体" w:cs="宋体"/>
          <w:bCs/>
          <w:caps/>
          <w:sz w:val="24"/>
          <w:szCs w:val="24"/>
        </w:rPr>
        <w:fldChar w:fldCharType="separate"/>
      </w:r>
      <w:r>
        <w:rPr>
          <w:rFonts w:hint="eastAsia" w:ascii="宋体" w:hAnsi="宋体" w:eastAsia="宋体" w:cs="宋体"/>
          <w:kern w:val="0"/>
          <w:sz w:val="24"/>
          <w:szCs w:val="24"/>
          <w:lang w:val="en-US" w:bidi="zh-CN"/>
        </w:rPr>
        <w:t>10境影响评价结论与建议</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_Toc17470 \h </w:instrText>
      </w:r>
      <w:r>
        <w:rPr>
          <w:rFonts w:hint="eastAsia" w:ascii="宋体" w:hAnsi="宋体" w:eastAsia="宋体" w:cs="宋体"/>
          <w:sz w:val="24"/>
          <w:szCs w:val="24"/>
        </w:rPr>
        <w:fldChar w:fldCharType="separate"/>
      </w:r>
      <w:r>
        <w:rPr>
          <w:rFonts w:hint="eastAsia" w:ascii="宋体" w:hAnsi="宋体" w:eastAsia="宋体" w:cs="宋体"/>
          <w:sz w:val="24"/>
          <w:szCs w:val="24"/>
        </w:rPr>
        <w:t>192</w:t>
      </w:r>
      <w:r>
        <w:rPr>
          <w:rFonts w:hint="eastAsia" w:ascii="宋体" w:hAnsi="宋体" w:eastAsia="宋体" w:cs="宋体"/>
          <w:sz w:val="24"/>
          <w:szCs w:val="24"/>
        </w:rPr>
        <w:fldChar w:fldCharType="end"/>
      </w:r>
      <w:r>
        <w:rPr>
          <w:rFonts w:hint="eastAsia" w:ascii="宋体" w:hAnsi="宋体" w:eastAsia="宋体" w:cs="宋体"/>
          <w:bCs/>
          <w:caps/>
          <w:sz w:val="24"/>
          <w:szCs w:val="24"/>
        </w:rPr>
        <w:fldChar w:fldCharType="end"/>
      </w:r>
    </w:p>
    <w:p w14:paraId="525B2BD0">
      <w:pPr>
        <w:pStyle w:val="42"/>
        <w:keepNext w:val="0"/>
        <w:keepLines w:val="0"/>
        <w:pageBreakBefore w:val="0"/>
        <w:widowControl w:val="0"/>
        <w:tabs>
          <w:tab w:val="right" w:leader="dot" w:pos="8312"/>
        </w:tabs>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bCs/>
          <w:caps/>
          <w:sz w:val="24"/>
          <w:szCs w:val="24"/>
        </w:rPr>
        <w:fldChar w:fldCharType="begin"/>
      </w:r>
      <w:r>
        <w:rPr>
          <w:rFonts w:hint="eastAsia" w:ascii="宋体" w:hAnsi="宋体" w:eastAsia="宋体" w:cs="宋体"/>
          <w:bCs/>
          <w:caps/>
          <w:sz w:val="24"/>
          <w:szCs w:val="24"/>
        </w:rPr>
        <w:instrText xml:space="preserve"> HYPERLINK \l _Toc30486 </w:instrText>
      </w:r>
      <w:r>
        <w:rPr>
          <w:rFonts w:hint="eastAsia" w:ascii="宋体" w:hAnsi="宋体" w:eastAsia="宋体" w:cs="宋体"/>
          <w:bCs/>
          <w:caps/>
          <w:sz w:val="24"/>
          <w:szCs w:val="24"/>
        </w:rPr>
        <w:fldChar w:fldCharType="separate"/>
      </w:r>
      <w:r>
        <w:rPr>
          <w:rFonts w:hint="eastAsia" w:ascii="宋体" w:hAnsi="宋体" w:eastAsia="宋体" w:cs="宋体"/>
          <w:kern w:val="0"/>
          <w:sz w:val="24"/>
          <w:szCs w:val="24"/>
          <w:lang w:val="en-US" w:bidi="zh-CN"/>
        </w:rPr>
        <w:t>10.1结论</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_Toc30486 \h </w:instrText>
      </w:r>
      <w:r>
        <w:rPr>
          <w:rFonts w:hint="eastAsia" w:ascii="宋体" w:hAnsi="宋体" w:eastAsia="宋体" w:cs="宋体"/>
          <w:sz w:val="24"/>
          <w:szCs w:val="24"/>
        </w:rPr>
        <w:fldChar w:fldCharType="separate"/>
      </w:r>
      <w:r>
        <w:rPr>
          <w:rFonts w:hint="eastAsia" w:ascii="宋体" w:hAnsi="宋体" w:eastAsia="宋体" w:cs="宋体"/>
          <w:sz w:val="24"/>
          <w:szCs w:val="24"/>
        </w:rPr>
        <w:t>192</w:t>
      </w:r>
      <w:r>
        <w:rPr>
          <w:rFonts w:hint="eastAsia" w:ascii="宋体" w:hAnsi="宋体" w:eastAsia="宋体" w:cs="宋体"/>
          <w:sz w:val="24"/>
          <w:szCs w:val="24"/>
        </w:rPr>
        <w:fldChar w:fldCharType="end"/>
      </w:r>
      <w:r>
        <w:rPr>
          <w:rFonts w:hint="eastAsia" w:ascii="宋体" w:hAnsi="宋体" w:eastAsia="宋体" w:cs="宋体"/>
          <w:bCs/>
          <w:caps/>
          <w:sz w:val="24"/>
          <w:szCs w:val="24"/>
        </w:rPr>
        <w:fldChar w:fldCharType="end"/>
      </w:r>
    </w:p>
    <w:p w14:paraId="2A9CE775">
      <w:pPr>
        <w:pStyle w:val="42"/>
        <w:keepNext w:val="0"/>
        <w:keepLines w:val="0"/>
        <w:pageBreakBefore w:val="0"/>
        <w:widowControl w:val="0"/>
        <w:tabs>
          <w:tab w:val="right" w:leader="dot" w:pos="8312"/>
        </w:tabs>
        <w:kinsoku/>
        <w:wordWrap/>
        <w:overflowPunct/>
        <w:topLinePunct w:val="0"/>
        <w:autoSpaceDE/>
        <w:autoSpaceDN/>
        <w:bidi w:val="0"/>
        <w:adjustRightInd/>
        <w:snapToGrid/>
        <w:spacing w:line="360" w:lineRule="auto"/>
        <w:textAlignment w:val="auto"/>
      </w:pPr>
      <w:r>
        <w:rPr>
          <w:rFonts w:hint="eastAsia" w:ascii="宋体" w:hAnsi="宋体" w:eastAsia="宋体" w:cs="宋体"/>
          <w:bCs/>
          <w:caps/>
          <w:sz w:val="24"/>
          <w:szCs w:val="24"/>
        </w:rPr>
        <w:fldChar w:fldCharType="begin"/>
      </w:r>
      <w:r>
        <w:rPr>
          <w:rFonts w:hint="eastAsia" w:ascii="宋体" w:hAnsi="宋体" w:eastAsia="宋体" w:cs="宋体"/>
          <w:bCs/>
          <w:caps/>
          <w:sz w:val="24"/>
          <w:szCs w:val="24"/>
        </w:rPr>
        <w:instrText xml:space="preserve"> HYPERLINK \l _Toc16437 </w:instrText>
      </w:r>
      <w:r>
        <w:rPr>
          <w:rFonts w:hint="eastAsia" w:ascii="宋体" w:hAnsi="宋体" w:eastAsia="宋体" w:cs="宋体"/>
          <w:bCs/>
          <w:caps/>
          <w:sz w:val="24"/>
          <w:szCs w:val="24"/>
        </w:rPr>
        <w:fldChar w:fldCharType="separate"/>
      </w:r>
      <w:r>
        <w:rPr>
          <w:rFonts w:hint="eastAsia" w:ascii="宋体" w:hAnsi="宋体" w:eastAsia="宋体" w:cs="宋体"/>
          <w:kern w:val="0"/>
          <w:sz w:val="24"/>
          <w:szCs w:val="24"/>
          <w:lang w:val="en-US" w:bidi="zh-CN"/>
        </w:rPr>
        <w:t>10.2要求及建议</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_Toc16437 \h </w:instrText>
      </w:r>
      <w:r>
        <w:rPr>
          <w:rFonts w:hint="eastAsia" w:ascii="宋体" w:hAnsi="宋体" w:eastAsia="宋体" w:cs="宋体"/>
          <w:sz w:val="24"/>
          <w:szCs w:val="24"/>
        </w:rPr>
        <w:fldChar w:fldCharType="separate"/>
      </w:r>
      <w:r>
        <w:rPr>
          <w:rFonts w:hint="eastAsia" w:ascii="宋体" w:hAnsi="宋体" w:eastAsia="宋体" w:cs="宋体"/>
          <w:sz w:val="24"/>
          <w:szCs w:val="24"/>
        </w:rPr>
        <w:t>198</w:t>
      </w:r>
      <w:r>
        <w:rPr>
          <w:rFonts w:hint="eastAsia" w:ascii="宋体" w:hAnsi="宋体" w:eastAsia="宋体" w:cs="宋体"/>
          <w:sz w:val="24"/>
          <w:szCs w:val="24"/>
        </w:rPr>
        <w:fldChar w:fldCharType="end"/>
      </w:r>
      <w:r>
        <w:rPr>
          <w:rFonts w:hint="eastAsia" w:ascii="宋体" w:hAnsi="宋体" w:eastAsia="宋体" w:cs="宋体"/>
          <w:bCs/>
          <w:caps/>
          <w:sz w:val="24"/>
          <w:szCs w:val="24"/>
        </w:rPr>
        <w:fldChar w:fldCharType="end"/>
      </w:r>
    </w:p>
    <w:p w14:paraId="26F691DD">
      <w:pPr>
        <w:spacing w:line="480" w:lineRule="exact"/>
        <w:rPr>
          <w:rFonts w:hint="eastAsia" w:ascii="宋体" w:hAnsi="宋体" w:cs="宋体"/>
          <w:bCs/>
          <w:caps/>
          <w:sz w:val="24"/>
          <w:szCs w:val="24"/>
        </w:rPr>
      </w:pPr>
      <w:r>
        <w:rPr>
          <w:rFonts w:hint="eastAsia" w:ascii="宋体" w:hAnsi="宋体" w:cs="宋体"/>
          <w:bCs/>
          <w:caps/>
          <w:szCs w:val="24"/>
        </w:rPr>
        <w:fldChar w:fldCharType="end"/>
      </w:r>
      <w:bookmarkEnd w:id="0"/>
      <w:r>
        <w:rPr>
          <w:rFonts w:hint="eastAsia" w:ascii="宋体" w:hAnsi="宋体"/>
          <w:b/>
          <w:w w:val="95"/>
          <w:sz w:val="24"/>
          <w:szCs w:val="24"/>
        </w:rPr>
        <w:t>附件：</w:t>
      </w:r>
    </w:p>
    <w:p w14:paraId="58F48757">
      <w:pPr>
        <w:spacing w:line="360" w:lineRule="auto"/>
        <w:rPr>
          <w:rFonts w:hint="eastAsia" w:ascii="宋体" w:hAnsi="宋体" w:cs="宋体"/>
          <w:bCs/>
          <w:caps/>
          <w:sz w:val="24"/>
          <w:szCs w:val="24"/>
        </w:rPr>
      </w:pPr>
      <w:r>
        <w:rPr>
          <w:rFonts w:hint="eastAsia" w:ascii="宋体" w:hAnsi="宋体" w:cs="宋体"/>
          <w:bCs/>
          <w:caps/>
          <w:sz w:val="24"/>
          <w:szCs w:val="24"/>
        </w:rPr>
        <w:t>附件1  环评委托书</w:t>
      </w:r>
    </w:p>
    <w:p w14:paraId="67C5D035">
      <w:pPr>
        <w:spacing w:line="360" w:lineRule="auto"/>
        <w:rPr>
          <w:rFonts w:hint="eastAsia" w:ascii="宋体" w:hAnsi="宋体" w:cs="宋体"/>
          <w:sz w:val="24"/>
          <w:szCs w:val="24"/>
        </w:rPr>
      </w:pPr>
      <w:r>
        <w:rPr>
          <w:rFonts w:hint="eastAsia" w:ascii="宋体" w:hAnsi="宋体" w:cs="宋体"/>
          <w:sz w:val="24"/>
          <w:szCs w:val="24"/>
        </w:rPr>
        <w:t>附件2  备案证</w:t>
      </w:r>
    </w:p>
    <w:p w14:paraId="40B9AA30">
      <w:pPr>
        <w:spacing w:line="360" w:lineRule="auto"/>
        <w:rPr>
          <w:rFonts w:hint="eastAsia" w:ascii="宋体" w:hAnsi="宋体" w:cs="宋体"/>
          <w:sz w:val="24"/>
          <w:szCs w:val="24"/>
        </w:rPr>
      </w:pPr>
      <w:r>
        <w:rPr>
          <w:rFonts w:hint="eastAsia" w:ascii="宋体" w:hAnsi="宋体" w:cs="宋体"/>
          <w:sz w:val="24"/>
          <w:szCs w:val="24"/>
        </w:rPr>
        <w:t>附件3  营业执照</w:t>
      </w:r>
    </w:p>
    <w:p w14:paraId="24051D15">
      <w:pPr>
        <w:spacing w:line="360" w:lineRule="auto"/>
        <w:rPr>
          <w:rFonts w:hint="eastAsia" w:ascii="宋体" w:hAnsi="宋体" w:cs="宋体"/>
          <w:sz w:val="24"/>
          <w:szCs w:val="24"/>
        </w:rPr>
      </w:pPr>
      <w:r>
        <w:rPr>
          <w:rFonts w:hint="eastAsia" w:ascii="宋体" w:hAnsi="宋体" w:cs="宋体"/>
          <w:sz w:val="24"/>
          <w:szCs w:val="24"/>
        </w:rPr>
        <w:t>附件4  法人身份证</w:t>
      </w:r>
    </w:p>
    <w:p w14:paraId="0AB47D42">
      <w:pPr>
        <w:pStyle w:val="38"/>
        <w:rPr>
          <w:rFonts w:hint="eastAsia" w:hAnsi="宋体"/>
        </w:rPr>
      </w:pPr>
      <w:r>
        <w:rPr>
          <w:rFonts w:hint="eastAsia" w:hAnsi="宋体"/>
        </w:rPr>
        <w:t>附件5  租赁合同</w:t>
      </w:r>
    </w:p>
    <w:p w14:paraId="4BBD92F6">
      <w:pPr>
        <w:spacing w:line="360" w:lineRule="auto"/>
        <w:rPr>
          <w:rFonts w:hint="eastAsia" w:ascii="宋体" w:hAnsi="宋体"/>
          <w:sz w:val="24"/>
          <w:szCs w:val="24"/>
        </w:rPr>
      </w:pPr>
      <w:r>
        <w:rPr>
          <w:rFonts w:hint="eastAsia" w:ascii="宋体" w:hAnsi="宋体"/>
          <w:sz w:val="24"/>
          <w:szCs w:val="24"/>
        </w:rPr>
        <w:t>附件6  用地范围</w:t>
      </w:r>
    </w:p>
    <w:p w14:paraId="5CBA7C30">
      <w:pPr>
        <w:pStyle w:val="38"/>
        <w:rPr>
          <w:rFonts w:hint="eastAsia" w:hAnsi="宋体"/>
        </w:rPr>
      </w:pPr>
      <w:r>
        <w:rPr>
          <w:rFonts w:hint="eastAsia" w:hAnsi="宋体"/>
        </w:rPr>
        <w:t>附件7  规划许可证</w:t>
      </w:r>
    </w:p>
    <w:p w14:paraId="2718AE47">
      <w:pPr>
        <w:spacing w:line="360" w:lineRule="auto"/>
        <w:rPr>
          <w:rFonts w:hint="eastAsia" w:ascii="宋体" w:hAnsi="宋体"/>
          <w:sz w:val="24"/>
          <w:szCs w:val="24"/>
        </w:rPr>
      </w:pPr>
      <w:r>
        <w:rPr>
          <w:rFonts w:hint="eastAsia" w:ascii="宋体" w:hAnsi="宋体"/>
          <w:sz w:val="24"/>
          <w:szCs w:val="24"/>
        </w:rPr>
        <w:t>附件8  用地许可证</w:t>
      </w:r>
    </w:p>
    <w:p w14:paraId="59FABF45">
      <w:pPr>
        <w:pStyle w:val="38"/>
        <w:rPr>
          <w:rFonts w:hint="default" w:hAnsi="宋体" w:eastAsia="宋体"/>
          <w:lang w:val="en-US" w:eastAsia="zh-CN"/>
        </w:rPr>
      </w:pPr>
      <w:r>
        <w:rPr>
          <w:rFonts w:hint="eastAsia" w:hAnsi="宋体"/>
        </w:rPr>
        <w:t xml:space="preserve">附件9  </w:t>
      </w:r>
      <w:r>
        <w:rPr>
          <w:rFonts w:hint="eastAsia" w:hAnsi="宋体"/>
          <w:lang w:val="en-US" w:eastAsia="zh-CN"/>
        </w:rPr>
        <w:t>生活污水委托处理协议</w:t>
      </w:r>
    </w:p>
    <w:p w14:paraId="134975C2">
      <w:pPr>
        <w:pStyle w:val="38"/>
        <w:rPr>
          <w:rFonts w:hint="eastAsia" w:hAnsi="宋体"/>
        </w:rPr>
      </w:pPr>
      <w:r>
        <w:rPr>
          <w:rFonts w:hint="eastAsia" w:hAnsi="宋体"/>
          <w:lang w:val="en-US" w:eastAsia="zh-CN"/>
        </w:rPr>
        <w:t xml:space="preserve">附件10 </w:t>
      </w:r>
      <w:r>
        <w:rPr>
          <w:rFonts w:hint="eastAsia" w:hAnsi="宋体"/>
        </w:rPr>
        <w:t>监测报告</w:t>
      </w:r>
    </w:p>
    <w:p w14:paraId="7C304F12">
      <w:pPr>
        <w:spacing w:line="360" w:lineRule="auto"/>
        <w:rPr>
          <w:rFonts w:hint="eastAsia" w:ascii="宋体" w:hAnsi="宋体" w:cs="宋体"/>
          <w:sz w:val="24"/>
          <w:szCs w:val="24"/>
        </w:rPr>
      </w:pPr>
    </w:p>
    <w:p w14:paraId="4D4AE95A">
      <w:pPr>
        <w:pStyle w:val="38"/>
        <w:rPr>
          <w:b/>
          <w:bCs/>
        </w:rPr>
      </w:pPr>
      <w:r>
        <w:rPr>
          <w:rFonts w:hint="eastAsia"/>
          <w:b/>
          <w:bCs/>
        </w:rPr>
        <w:t>附图：</w:t>
      </w:r>
    </w:p>
    <w:p w14:paraId="2268770A">
      <w:pPr>
        <w:spacing w:line="360" w:lineRule="auto"/>
        <w:rPr>
          <w:rFonts w:hint="eastAsia" w:ascii="宋体" w:hAnsi="宋体" w:cs="宋体"/>
          <w:bCs/>
          <w:caps/>
          <w:sz w:val="24"/>
          <w:szCs w:val="24"/>
        </w:rPr>
      </w:pPr>
      <w:r>
        <w:rPr>
          <w:rFonts w:hint="eastAsia" w:ascii="宋体" w:hAnsi="宋体" w:cs="宋体"/>
          <w:bCs/>
          <w:caps/>
          <w:sz w:val="24"/>
          <w:szCs w:val="24"/>
        </w:rPr>
        <w:t>附图    现场踏勘图</w:t>
      </w:r>
    </w:p>
    <w:p w14:paraId="4C55CA63">
      <w:pPr>
        <w:spacing w:line="360" w:lineRule="auto"/>
        <w:rPr>
          <w:rFonts w:hint="eastAsia" w:ascii="宋体" w:hAnsi="宋体" w:cs="宋体"/>
          <w:bCs/>
          <w:caps/>
          <w:sz w:val="24"/>
          <w:szCs w:val="24"/>
        </w:rPr>
      </w:pPr>
      <w:r>
        <w:rPr>
          <w:rFonts w:hint="eastAsia" w:ascii="宋体" w:hAnsi="宋体" w:cs="宋体"/>
          <w:bCs/>
          <w:caps/>
          <w:sz w:val="24"/>
          <w:szCs w:val="24"/>
        </w:rPr>
        <w:t>附图1.1-1   项目与原料</w:t>
      </w:r>
      <w:bookmarkStart w:id="884" w:name="_GoBack"/>
      <w:bookmarkEnd w:id="884"/>
      <w:r>
        <w:rPr>
          <w:rFonts w:hint="eastAsia" w:ascii="宋体" w:hAnsi="宋体" w:cs="宋体"/>
          <w:bCs/>
          <w:caps/>
          <w:sz w:val="24"/>
          <w:szCs w:val="24"/>
        </w:rPr>
        <w:t>来源厂的位置关系示意图</w:t>
      </w:r>
    </w:p>
    <w:p w14:paraId="1A67C0EF">
      <w:pPr>
        <w:spacing w:line="360" w:lineRule="auto"/>
        <w:rPr>
          <w:rFonts w:hint="eastAsia" w:ascii="宋体" w:hAnsi="宋体" w:cs="宋体"/>
          <w:bCs/>
          <w:caps/>
          <w:sz w:val="24"/>
          <w:szCs w:val="24"/>
        </w:rPr>
      </w:pPr>
      <w:r>
        <w:rPr>
          <w:rFonts w:hint="eastAsia" w:ascii="宋体" w:hAnsi="宋体" w:cs="宋体"/>
          <w:bCs/>
          <w:caps/>
          <w:sz w:val="24"/>
          <w:szCs w:val="24"/>
        </w:rPr>
        <w:t>附图2.5-1   项目各要素评价范围示意图</w:t>
      </w:r>
    </w:p>
    <w:p w14:paraId="61957B40">
      <w:pPr>
        <w:pStyle w:val="38"/>
        <w:rPr>
          <w:rFonts w:hint="eastAsia" w:hAnsi="宋体"/>
          <w:bCs/>
          <w:caps/>
        </w:rPr>
      </w:pPr>
      <w:r>
        <w:rPr>
          <w:rFonts w:hint="eastAsia"/>
        </w:rPr>
        <w:t xml:space="preserve">附图2.7-1   </w:t>
      </w:r>
      <w:r>
        <w:rPr>
          <w:rFonts w:hint="eastAsia" w:hAnsi="宋体"/>
          <w:bCs/>
          <w:caps/>
        </w:rPr>
        <w:t>项目在新疆生态功能区划中的位置关系图</w:t>
      </w:r>
      <w:r>
        <w:rPr>
          <w:rFonts w:hint="eastAsia" w:hAnsi="宋体"/>
          <w:bCs/>
          <w:caps/>
        </w:rPr>
        <w:tab/>
      </w:r>
    </w:p>
    <w:p w14:paraId="3B777949">
      <w:pPr>
        <w:spacing w:line="360" w:lineRule="auto"/>
        <w:rPr>
          <w:rFonts w:hint="eastAsia" w:ascii="宋体" w:hAnsi="宋体" w:cs="宋体"/>
          <w:bCs/>
          <w:caps/>
          <w:sz w:val="24"/>
          <w:szCs w:val="24"/>
        </w:rPr>
      </w:pPr>
      <w:r>
        <w:rPr>
          <w:rFonts w:hint="eastAsia" w:ascii="宋体" w:hAnsi="宋体" w:cs="宋体"/>
          <w:bCs/>
          <w:caps/>
          <w:sz w:val="24"/>
          <w:szCs w:val="24"/>
        </w:rPr>
        <w:t>附图2.8-1   项目周边关系及环境敏感目标分布图</w:t>
      </w:r>
    </w:p>
    <w:p w14:paraId="5198E81A">
      <w:pPr>
        <w:spacing w:line="360" w:lineRule="auto"/>
        <w:rPr>
          <w:rFonts w:hint="eastAsia" w:ascii="宋体" w:hAnsi="宋体" w:cs="宋体"/>
          <w:bCs/>
          <w:caps/>
          <w:sz w:val="24"/>
          <w:szCs w:val="24"/>
        </w:rPr>
      </w:pPr>
      <w:r>
        <w:rPr>
          <w:rFonts w:hint="eastAsia" w:ascii="宋体" w:hAnsi="宋体" w:cs="宋体"/>
          <w:bCs/>
          <w:caps/>
          <w:sz w:val="24"/>
          <w:szCs w:val="24"/>
        </w:rPr>
        <w:t>附图2.9-1   项目在巴州环境管控单元中位置示意图</w:t>
      </w:r>
    </w:p>
    <w:p w14:paraId="1B75E312">
      <w:pPr>
        <w:pStyle w:val="38"/>
      </w:pPr>
      <w:r>
        <w:rPr>
          <w:rFonts w:hint="eastAsia"/>
        </w:rPr>
        <w:t>附图2.9-2   项目与库尔勒市国土空间总体规划位置关系图</w:t>
      </w:r>
    </w:p>
    <w:p w14:paraId="3033CC5B">
      <w:pPr>
        <w:spacing w:line="360" w:lineRule="auto"/>
        <w:rPr>
          <w:rFonts w:hint="eastAsia" w:ascii="宋体" w:hAnsi="宋体" w:cs="宋体"/>
          <w:bCs/>
          <w:caps/>
          <w:sz w:val="24"/>
          <w:szCs w:val="24"/>
        </w:rPr>
      </w:pPr>
      <w:r>
        <w:rPr>
          <w:rFonts w:hint="eastAsia" w:ascii="宋体" w:hAnsi="宋体" w:cs="宋体"/>
          <w:bCs/>
          <w:caps/>
          <w:sz w:val="24"/>
          <w:szCs w:val="24"/>
        </w:rPr>
        <w:t>附图3.1-1   项目地理位置示意图</w:t>
      </w:r>
    </w:p>
    <w:p w14:paraId="15E901D8">
      <w:pPr>
        <w:pStyle w:val="38"/>
      </w:pPr>
      <w:r>
        <w:rPr>
          <w:rFonts w:hint="eastAsia"/>
        </w:rPr>
        <w:t>附图3.1-2   厂区平面布置示意图</w:t>
      </w:r>
    </w:p>
    <w:p w14:paraId="158CA174">
      <w:pPr>
        <w:spacing w:line="360" w:lineRule="auto"/>
        <w:rPr>
          <w:rFonts w:hint="eastAsia" w:ascii="宋体" w:hAnsi="宋体" w:cs="宋体"/>
          <w:bCs/>
          <w:caps/>
          <w:sz w:val="24"/>
          <w:szCs w:val="24"/>
        </w:rPr>
      </w:pPr>
      <w:r>
        <w:rPr>
          <w:rFonts w:hint="eastAsia" w:ascii="宋体" w:hAnsi="宋体" w:cs="宋体"/>
          <w:bCs/>
          <w:caps/>
          <w:sz w:val="24"/>
          <w:szCs w:val="24"/>
        </w:rPr>
        <w:t>附图4.3-1   项目环境现状监测布点示意图</w:t>
      </w:r>
    </w:p>
    <w:p w14:paraId="44F52867">
      <w:pPr>
        <w:pStyle w:val="38"/>
      </w:pPr>
      <w:r>
        <w:rPr>
          <w:rFonts w:hint="eastAsia"/>
          <w:color w:val="000000"/>
        </w:rPr>
        <w:t>附图6.2-1   项目分区防渗简图</w:t>
      </w:r>
    </w:p>
    <w:p w14:paraId="5C468DAC">
      <w:pPr>
        <w:spacing w:line="360" w:lineRule="auto"/>
        <w:rPr>
          <w:rFonts w:hint="eastAsia" w:ascii="宋体" w:hAnsi="宋体" w:cs="宋体"/>
          <w:bCs/>
          <w:caps/>
          <w:sz w:val="24"/>
          <w:szCs w:val="24"/>
        </w:rPr>
        <w:sectPr>
          <w:footerReference r:id="rId9" w:type="default"/>
          <w:pgSz w:w="11906" w:h="16838"/>
          <w:pgMar w:top="1440" w:right="1797" w:bottom="1440" w:left="1797" w:header="851" w:footer="992" w:gutter="0"/>
          <w:pgBorders>
            <w:top w:val="none" w:sz="0" w:space="0"/>
            <w:left w:val="none" w:sz="0" w:space="0"/>
            <w:bottom w:val="none" w:sz="0" w:space="0"/>
            <w:right w:val="none" w:sz="0" w:space="0"/>
          </w:pgBorders>
          <w:pgNumType w:fmt="upperRoman" w:start="1"/>
          <w:cols w:space="720" w:num="1"/>
          <w:docGrid w:type="lines" w:linePitch="312" w:charSpace="0"/>
        </w:sectPr>
      </w:pPr>
      <w:r>
        <w:rPr>
          <w:rFonts w:hint="eastAsia" w:ascii="宋体" w:hAnsi="宋体" w:cs="宋体"/>
          <w:bCs/>
          <w:caps/>
          <w:sz w:val="24"/>
          <w:szCs w:val="24"/>
        </w:rPr>
        <w:tab/>
      </w:r>
      <w:r>
        <w:rPr>
          <w:rFonts w:hint="eastAsia" w:ascii="宋体" w:hAnsi="宋体" w:cs="宋体"/>
          <w:bCs/>
          <w:caps/>
          <w:sz w:val="24"/>
          <w:szCs w:val="24"/>
        </w:rPr>
        <w:t xml:space="preserve">   </w:t>
      </w:r>
    </w:p>
    <w:p w14:paraId="19B5D6C7">
      <w:pPr>
        <w:pStyle w:val="2"/>
        <w:keepNext w:val="0"/>
        <w:keepLines w:val="0"/>
        <w:tabs>
          <w:tab w:val="left" w:pos="2368"/>
        </w:tabs>
        <w:autoSpaceDE w:val="0"/>
        <w:autoSpaceDN w:val="0"/>
        <w:spacing w:before="0" w:beforeAutospacing="0" w:after="0" w:afterAutospacing="0" w:line="360" w:lineRule="auto"/>
        <w:jc w:val="left"/>
        <w:rPr>
          <w:kern w:val="0"/>
          <w:sz w:val="28"/>
          <w:szCs w:val="28"/>
          <w:lang w:bidi="zh-CN"/>
        </w:rPr>
      </w:pPr>
      <w:bookmarkStart w:id="3" w:name="_Toc6392"/>
      <w:r>
        <w:rPr>
          <w:kern w:val="0"/>
          <w:sz w:val="28"/>
          <w:szCs w:val="28"/>
          <w:lang w:bidi="zh-CN"/>
        </w:rPr>
        <w:t>1概述</w:t>
      </w:r>
      <w:bookmarkEnd w:id="3"/>
      <w:r>
        <w:rPr>
          <w:kern w:val="0"/>
          <w:sz w:val="28"/>
          <w:szCs w:val="28"/>
          <w:lang w:bidi="zh-CN"/>
        </w:rPr>
        <w:tab/>
      </w:r>
    </w:p>
    <w:p w14:paraId="6FFD5B38">
      <w:pPr>
        <w:pStyle w:val="3"/>
        <w:keepNext w:val="0"/>
        <w:keepLines w:val="0"/>
        <w:autoSpaceDE w:val="0"/>
        <w:autoSpaceDN w:val="0"/>
        <w:spacing w:before="0" w:after="0" w:line="360" w:lineRule="auto"/>
        <w:jc w:val="left"/>
        <w:rPr>
          <w:rFonts w:ascii="Times New Roman" w:hAnsi="Times New Roman" w:eastAsia="宋体"/>
          <w:kern w:val="0"/>
          <w:sz w:val="24"/>
          <w:szCs w:val="30"/>
          <w:lang w:val="en-US" w:bidi="zh-CN"/>
        </w:rPr>
      </w:pPr>
      <w:bookmarkStart w:id="4" w:name="_Toc20206"/>
      <w:r>
        <w:rPr>
          <w:rFonts w:ascii="Times New Roman" w:hAnsi="Times New Roman" w:eastAsia="宋体"/>
          <w:kern w:val="0"/>
          <w:sz w:val="24"/>
          <w:szCs w:val="30"/>
          <w:lang w:val="en-US" w:bidi="zh-CN"/>
        </w:rPr>
        <w:t>1.1建设项目</w:t>
      </w:r>
      <w:r>
        <w:rPr>
          <w:rFonts w:hint="eastAsia" w:ascii="Times New Roman" w:hAnsi="Times New Roman" w:eastAsia="宋体"/>
          <w:kern w:val="0"/>
          <w:sz w:val="24"/>
          <w:szCs w:val="30"/>
          <w:lang w:val="en-US" w:bidi="zh-CN"/>
        </w:rPr>
        <w:t>背景及其</w:t>
      </w:r>
      <w:r>
        <w:rPr>
          <w:rFonts w:ascii="Times New Roman" w:hAnsi="Times New Roman" w:eastAsia="宋体"/>
          <w:kern w:val="0"/>
          <w:sz w:val="24"/>
          <w:szCs w:val="30"/>
          <w:lang w:val="en-US" w:bidi="zh-CN"/>
        </w:rPr>
        <w:t>特点</w:t>
      </w:r>
      <w:bookmarkEnd w:id="4"/>
    </w:p>
    <w:p w14:paraId="65A165C2">
      <w:pPr>
        <w:pStyle w:val="4"/>
        <w:autoSpaceDE w:val="0"/>
        <w:autoSpaceDN w:val="0"/>
        <w:spacing w:before="0" w:after="0" w:line="360" w:lineRule="auto"/>
        <w:jc w:val="left"/>
        <w:rPr>
          <w:kern w:val="0"/>
          <w:sz w:val="24"/>
          <w:lang w:val="en-US" w:bidi="zh-CN"/>
        </w:rPr>
      </w:pPr>
      <w:r>
        <w:rPr>
          <w:rFonts w:hint="eastAsia"/>
          <w:kern w:val="0"/>
          <w:sz w:val="24"/>
          <w:lang w:val="en-US" w:bidi="zh-CN"/>
        </w:rPr>
        <w:t>1.1.1建设项目背景</w:t>
      </w:r>
    </w:p>
    <w:p w14:paraId="7BC9AB66">
      <w:pPr>
        <w:spacing w:line="360" w:lineRule="auto"/>
        <w:ind w:firstLine="480" w:firstLineChars="200"/>
        <w:jc w:val="left"/>
        <w:rPr>
          <w:rFonts w:hint="eastAsia" w:ascii="宋体" w:hAnsi="宋体" w:cs="宋体"/>
          <w:kern w:val="0"/>
          <w:sz w:val="24"/>
          <w:szCs w:val="24"/>
          <w:lang w:val="zh-CN" w:bidi="zh-CN"/>
        </w:rPr>
      </w:pPr>
      <w:r>
        <w:rPr>
          <w:rFonts w:ascii="宋体" w:hAnsi="宋体" w:cs="宋体"/>
          <w:kern w:val="0"/>
          <w:sz w:val="24"/>
          <w:szCs w:val="24"/>
          <w:lang w:val="zh-CN" w:bidi="zh-CN"/>
        </w:rPr>
        <w:t>近年来，各地方、各部门按照党中央、国务院的部署，把发展循环经济作为调整经济结构、转变发展方式的有效途径。循环经济是最大限度地节约资源和保护环境的经济发展模式，是解决我国资源环境瓶颈约束的根本性举措。</w:t>
      </w:r>
    </w:p>
    <w:p w14:paraId="02C165CA">
      <w:pPr>
        <w:spacing w:line="360" w:lineRule="auto"/>
        <w:ind w:firstLine="480" w:firstLineChars="200"/>
        <w:jc w:val="left"/>
        <w:rPr>
          <w:rFonts w:hint="eastAsia" w:ascii="宋体" w:hAnsi="宋体" w:cs="宋体"/>
          <w:kern w:val="0"/>
          <w:sz w:val="24"/>
          <w:szCs w:val="24"/>
          <w:lang w:val="zh-CN" w:bidi="zh-CN"/>
        </w:rPr>
      </w:pPr>
      <w:r>
        <w:rPr>
          <w:rFonts w:ascii="宋体" w:hAnsi="宋体" w:cs="宋体"/>
          <w:kern w:val="0"/>
          <w:sz w:val="24"/>
          <w:szCs w:val="24"/>
          <w:lang w:val="zh-CN" w:bidi="zh-CN"/>
        </w:rPr>
        <w:t>废旧塑料的回收利用作为一项节约能源、保护环境的措施，正日益受到重视，尤其是发达国家工作起步早，已经收到明显效益。</w:t>
      </w:r>
      <w:r>
        <w:rPr>
          <w:rFonts w:hint="eastAsia" w:ascii="宋体" w:hAnsi="宋体" w:cs="宋体"/>
          <w:kern w:val="0"/>
          <w:sz w:val="24"/>
          <w:szCs w:val="24"/>
          <w:lang w:val="zh-CN" w:bidi="zh-CN"/>
        </w:rPr>
        <w:t>废旧</w:t>
      </w:r>
      <w:r>
        <w:rPr>
          <w:rFonts w:ascii="宋体" w:hAnsi="宋体" w:cs="宋体"/>
          <w:kern w:val="0"/>
          <w:sz w:val="24"/>
          <w:szCs w:val="24"/>
          <w:lang w:val="zh-CN" w:bidi="zh-CN"/>
        </w:rPr>
        <w:t>塑料回用加工成颗粒后，依然具有良好的</w:t>
      </w:r>
      <w:r>
        <w:rPr>
          <w:rFonts w:hint="eastAsia" w:ascii="宋体" w:hAnsi="宋体" w:cs="宋体"/>
          <w:kern w:val="0"/>
          <w:sz w:val="24"/>
          <w:szCs w:val="24"/>
          <w:lang w:val="zh-CN" w:bidi="zh-CN"/>
        </w:rPr>
        <w:t>复合材料</w:t>
      </w:r>
      <w:r>
        <w:rPr>
          <w:rFonts w:ascii="宋体" w:hAnsi="宋体" w:cs="宋体"/>
          <w:kern w:val="0"/>
          <w:sz w:val="24"/>
          <w:szCs w:val="24"/>
          <w:lang w:val="zh-CN" w:bidi="zh-CN"/>
        </w:rPr>
        <w:t>性能，可满足吹膜、拉丝、拉管、注塑、挤出型材等技术要求，大量应用于塑料制品的生产。</w:t>
      </w:r>
      <w:r>
        <w:rPr>
          <w:rFonts w:hint="eastAsia" w:ascii="宋体" w:hAnsi="宋体" w:cs="宋体"/>
          <w:kern w:val="0"/>
          <w:sz w:val="24"/>
          <w:szCs w:val="24"/>
          <w:lang w:val="zh-CN" w:bidi="zh-CN"/>
        </w:rPr>
        <w:t>由于再生塑料价格优势突出，效益明显，国内废旧塑料回收市场已渐成气候。</w:t>
      </w:r>
    </w:p>
    <w:p w14:paraId="25D83C0C">
      <w:pPr>
        <w:spacing w:line="360" w:lineRule="auto"/>
        <w:ind w:firstLine="480" w:firstLineChars="200"/>
        <w:contextualSpacing/>
        <w:rPr>
          <w:rFonts w:hint="eastAsia" w:ascii="宋体" w:hAnsi="宋体" w:cs="宋体"/>
          <w:kern w:val="0"/>
          <w:sz w:val="24"/>
          <w:szCs w:val="24"/>
          <w:lang w:val="zh-CN" w:bidi="zh-CN"/>
        </w:rPr>
      </w:pPr>
      <w:r>
        <w:rPr>
          <w:rFonts w:hint="eastAsia" w:ascii="宋体" w:hAnsi="宋体" w:cs="宋体"/>
          <w:kern w:val="0"/>
          <w:sz w:val="24"/>
          <w:szCs w:val="24"/>
          <w:lang w:val="zh-CN" w:bidi="zh-CN"/>
        </w:rPr>
        <w:t>新疆是一个水资源贫乏的地区，传统的农业灌溉习惯不仅造成水资源和生产成本的巨大浪费，也不符合传统农业耕作向精细农业耕作转化的客观发展趋势。采用滴灌技术及铺设地膜后，在同样种植面积下，可以节省用水量近50%，大幅降低用水成本，是极有利于推动和促进农业生产可持续发展的重要举措。</w:t>
      </w:r>
    </w:p>
    <w:p w14:paraId="738468FB">
      <w:pPr>
        <w:spacing w:line="360" w:lineRule="auto"/>
        <w:ind w:firstLine="480" w:firstLineChars="200"/>
        <w:rPr>
          <w:rFonts w:hint="eastAsia" w:ascii="宋体" w:hAnsi="宋体" w:cs="宋体"/>
          <w:kern w:val="0"/>
          <w:sz w:val="24"/>
          <w:szCs w:val="24"/>
          <w:lang w:bidi="zh-CN"/>
        </w:rPr>
      </w:pPr>
      <w:r>
        <w:rPr>
          <w:rFonts w:hint="eastAsia" w:ascii="宋体" w:hAnsi="宋体" w:cs="宋体"/>
          <w:kern w:val="0"/>
          <w:sz w:val="24"/>
          <w:szCs w:val="24"/>
          <w:lang w:val="zh-CN" w:bidi="zh-CN"/>
        </w:rPr>
        <w:t>地膜主要成分为聚乙烯，经长期风吹日晒后会老化破裂，需要定期更换新的地膜，因此会产生大量的农田残膜，农田残膜如不加以回收利用，会造成农田污染，并且造成资源浪费。库尔勒市新如兴环保科技有限公司紧抓市场机遇，</w:t>
      </w:r>
      <w:r>
        <w:rPr>
          <w:rFonts w:ascii="宋体" w:hAnsi="宋体" w:cs="宋体"/>
          <w:kern w:val="0"/>
          <w:sz w:val="24"/>
          <w:szCs w:val="24"/>
          <w:lang w:val="zh-CN" w:bidi="zh-CN"/>
        </w:rPr>
        <w:t>租用</w:t>
      </w:r>
      <w:r>
        <w:rPr>
          <w:rFonts w:hint="eastAsia" w:ascii="宋体" w:hAnsi="宋体" w:cs="宋体"/>
          <w:kern w:val="0"/>
          <w:sz w:val="24"/>
          <w:szCs w:val="24"/>
          <w:lang w:val="zh-CN" w:bidi="zh-CN"/>
        </w:rPr>
        <w:t>位于新疆巴州库尔勒市普惠乡润疆社区四分场库尔勒惠泉工贸有限公司厂区内的现有钢结构厂房、砖混结构宿舍和食堂</w:t>
      </w:r>
      <w:r>
        <w:rPr>
          <w:rFonts w:ascii="宋体" w:hAnsi="宋体" w:cs="宋体"/>
          <w:kern w:val="0"/>
          <w:sz w:val="24"/>
          <w:szCs w:val="24"/>
          <w:lang w:val="zh-CN" w:bidi="zh-CN"/>
        </w:rPr>
        <w:t>，拟投资</w:t>
      </w:r>
      <w:r>
        <w:rPr>
          <w:rFonts w:hint="eastAsia" w:ascii="宋体" w:hAnsi="宋体" w:cs="宋体"/>
          <w:kern w:val="0"/>
          <w:sz w:val="24"/>
          <w:szCs w:val="24"/>
          <w:lang w:bidi="zh-CN"/>
        </w:rPr>
        <w:t>500万元</w:t>
      </w:r>
      <w:r>
        <w:rPr>
          <w:rFonts w:hint="eastAsia" w:ascii="宋体" w:hAnsi="宋体" w:cs="宋体"/>
          <w:kern w:val="0"/>
          <w:sz w:val="24"/>
          <w:szCs w:val="24"/>
          <w:lang w:val="zh-CN" w:bidi="zh-CN"/>
        </w:rPr>
        <w:t>，</w:t>
      </w:r>
      <w:r>
        <w:rPr>
          <w:rFonts w:hint="eastAsia" w:ascii="宋体" w:hAnsi="宋体" w:cs="宋体"/>
          <w:kern w:val="0"/>
          <w:sz w:val="24"/>
          <w:szCs w:val="24"/>
          <w:lang w:bidi="zh-CN"/>
        </w:rPr>
        <w:t>建设</w:t>
      </w:r>
      <w:r>
        <w:rPr>
          <w:rFonts w:ascii="宋体" w:hAnsi="宋体" w:cs="宋体"/>
          <w:kern w:val="0"/>
          <w:sz w:val="24"/>
          <w:szCs w:val="24"/>
          <w:lang w:val="zh-CN" w:bidi="zh-CN"/>
        </w:rPr>
        <w:t>“</w:t>
      </w:r>
      <w:r>
        <w:rPr>
          <w:rFonts w:hint="eastAsia" w:ascii="宋体" w:hAnsi="宋体" w:cs="宋体"/>
          <w:kern w:val="0"/>
          <w:sz w:val="24"/>
          <w:szCs w:val="24"/>
          <w:lang w:val="zh-CN" w:bidi="zh-CN"/>
        </w:rPr>
        <w:t>库尔勒市废旧地膜加工建设项目</w:t>
      </w:r>
      <w:r>
        <w:rPr>
          <w:rFonts w:ascii="宋体" w:hAnsi="宋体" w:cs="宋体"/>
          <w:kern w:val="0"/>
          <w:sz w:val="24"/>
          <w:szCs w:val="24"/>
          <w:lang w:val="zh-CN" w:bidi="zh-CN"/>
        </w:rPr>
        <w:t>”（以下简称“本项目”），</w:t>
      </w:r>
      <w:r>
        <w:rPr>
          <w:rFonts w:hint="eastAsia" w:ascii="宋体" w:hAnsi="宋体" w:cs="宋体"/>
          <w:kern w:val="0"/>
          <w:sz w:val="24"/>
          <w:szCs w:val="24"/>
          <w:lang w:bidi="zh-CN"/>
        </w:rPr>
        <w:t>总占地面积1000m</w:t>
      </w:r>
      <w:r>
        <w:rPr>
          <w:rFonts w:hint="eastAsia" w:ascii="宋体" w:hAnsi="宋体" w:cs="宋体"/>
          <w:kern w:val="0"/>
          <w:sz w:val="24"/>
          <w:szCs w:val="24"/>
          <w:vertAlign w:val="superscript"/>
          <w:lang w:bidi="zh-CN"/>
        </w:rPr>
        <w:t>2</w:t>
      </w:r>
      <w:r>
        <w:rPr>
          <w:rFonts w:hint="eastAsia" w:ascii="宋体" w:hAnsi="宋体" w:cs="宋体"/>
          <w:kern w:val="0"/>
          <w:sz w:val="24"/>
          <w:szCs w:val="24"/>
          <w:lang w:bidi="zh-CN"/>
        </w:rPr>
        <w:t>，总建筑面积928m</w:t>
      </w:r>
      <w:r>
        <w:rPr>
          <w:rFonts w:hint="eastAsia" w:ascii="宋体" w:hAnsi="宋体" w:cs="宋体"/>
          <w:kern w:val="0"/>
          <w:sz w:val="24"/>
          <w:szCs w:val="24"/>
          <w:vertAlign w:val="superscript"/>
          <w:lang w:bidi="zh-CN"/>
        </w:rPr>
        <w:t>2</w:t>
      </w:r>
      <w:r>
        <w:rPr>
          <w:rFonts w:hint="eastAsia" w:ascii="宋体" w:hAnsi="宋体" w:cs="宋体"/>
          <w:kern w:val="0"/>
          <w:sz w:val="24"/>
          <w:szCs w:val="24"/>
          <w:lang w:bidi="zh-CN"/>
        </w:rPr>
        <w:t>，其中1栋钢结构厂房建筑面积854m</w:t>
      </w:r>
      <w:r>
        <w:rPr>
          <w:rFonts w:hint="eastAsia" w:ascii="宋体" w:hAnsi="宋体" w:cs="宋体"/>
          <w:kern w:val="0"/>
          <w:sz w:val="24"/>
          <w:szCs w:val="24"/>
          <w:vertAlign w:val="superscript"/>
          <w:lang w:bidi="zh-CN"/>
        </w:rPr>
        <w:t>2</w:t>
      </w:r>
      <w:r>
        <w:rPr>
          <w:rFonts w:hint="eastAsia" w:ascii="宋体" w:hAnsi="宋体" w:cs="宋体"/>
          <w:kern w:val="0"/>
          <w:sz w:val="24"/>
          <w:szCs w:val="24"/>
          <w:lang w:bidi="zh-CN"/>
        </w:rPr>
        <w:t>，宿舍（用于倒班休息）2间60m</w:t>
      </w:r>
      <w:r>
        <w:rPr>
          <w:rFonts w:hint="eastAsia" w:ascii="宋体" w:hAnsi="宋体" w:cs="宋体"/>
          <w:kern w:val="0"/>
          <w:sz w:val="24"/>
          <w:szCs w:val="24"/>
          <w:vertAlign w:val="superscript"/>
          <w:lang w:bidi="zh-CN"/>
        </w:rPr>
        <w:t>2</w:t>
      </w:r>
      <w:r>
        <w:rPr>
          <w:rFonts w:hint="eastAsia" w:ascii="宋体" w:hAnsi="宋体" w:cs="宋体"/>
          <w:kern w:val="0"/>
          <w:sz w:val="24"/>
          <w:szCs w:val="24"/>
          <w:lang w:bidi="zh-CN"/>
        </w:rPr>
        <w:t>，食堂（用于倒班人员烧开水和采用微波炉热饭使用）14m</w:t>
      </w:r>
      <w:r>
        <w:rPr>
          <w:rFonts w:hint="eastAsia" w:ascii="宋体" w:hAnsi="宋体" w:cs="宋体"/>
          <w:kern w:val="0"/>
          <w:sz w:val="24"/>
          <w:szCs w:val="24"/>
          <w:vertAlign w:val="superscript"/>
          <w:lang w:bidi="zh-CN"/>
        </w:rPr>
        <w:t>2</w:t>
      </w:r>
      <w:r>
        <w:rPr>
          <w:rFonts w:hint="eastAsia" w:ascii="宋体" w:hAnsi="宋体" w:cs="宋体"/>
          <w:kern w:val="0"/>
          <w:sz w:val="24"/>
          <w:szCs w:val="24"/>
          <w:lang w:bidi="zh-CN"/>
        </w:rPr>
        <w:t>，新建</w:t>
      </w:r>
      <w:r>
        <w:rPr>
          <w:rFonts w:hint="eastAsia" w:ascii="宋体" w:hAnsi="宋体" w:cs="宋体"/>
          <w:kern w:val="0"/>
          <w:sz w:val="24"/>
          <w:szCs w:val="24"/>
          <w:lang w:val="zh-CN" w:bidi="zh-CN"/>
        </w:rPr>
        <w:t>废旧地膜造粒生产线一条</w:t>
      </w:r>
      <w:r>
        <w:rPr>
          <w:rFonts w:hint="eastAsia" w:ascii="宋体" w:hAnsi="宋体" w:cs="宋体"/>
          <w:kern w:val="0"/>
          <w:sz w:val="24"/>
          <w:szCs w:val="24"/>
          <w:lang w:bidi="zh-CN"/>
        </w:rPr>
        <w:t>，内镶式滴灌带生产线一条，建成后预计年产塑料颗粒5498.075t/a（原料利用距离本项目东侧直线距离6.93km处本公司2024年8月建成投入使用的地膜回收分拣、破碎清选后的废旧地膜运送至本项目区进行造粒，此厂规模为年回收处理废旧地膜20000t/a）、内镶式滴灌带9995t/a。见图1.1-1项目与原料来源厂的位置关系示意图）。</w:t>
      </w:r>
    </w:p>
    <w:p w14:paraId="39BC501B">
      <w:pPr>
        <w:pStyle w:val="4"/>
        <w:autoSpaceDE w:val="0"/>
        <w:autoSpaceDN w:val="0"/>
        <w:spacing w:before="0" w:after="0" w:line="360" w:lineRule="auto"/>
        <w:jc w:val="left"/>
        <w:rPr>
          <w:kern w:val="0"/>
          <w:sz w:val="24"/>
          <w:lang w:val="en-US" w:bidi="zh-CN"/>
        </w:rPr>
      </w:pPr>
      <w:r>
        <w:rPr>
          <w:rFonts w:hint="eastAsia"/>
          <w:kern w:val="0"/>
          <w:sz w:val="24"/>
          <w:lang w:val="en-US" w:bidi="zh-CN"/>
        </w:rPr>
        <w:t>1.1.2项目特点</w:t>
      </w:r>
    </w:p>
    <w:p w14:paraId="0859FD72">
      <w:pPr>
        <w:spacing w:line="360" w:lineRule="auto"/>
        <w:ind w:firstLine="480" w:firstLineChars="200"/>
        <w:rPr>
          <w:rFonts w:hint="eastAsia" w:ascii="宋体" w:hAnsi="宋体" w:cs="宋体"/>
          <w:kern w:val="0"/>
          <w:sz w:val="24"/>
          <w:szCs w:val="24"/>
          <w:lang w:bidi="zh-CN"/>
        </w:rPr>
      </w:pPr>
      <w:r>
        <w:rPr>
          <w:rFonts w:hint="eastAsia" w:ascii="宋体" w:hAnsi="宋体" w:cs="宋体"/>
          <w:kern w:val="0"/>
          <w:sz w:val="24"/>
          <w:szCs w:val="24"/>
          <w:lang w:bidi="zh-CN"/>
        </w:rPr>
        <w:t>（1）</w:t>
      </w:r>
      <w:r>
        <w:rPr>
          <w:rFonts w:hint="eastAsia" w:ascii="宋体" w:hAnsi="宋体" w:cs="宋体"/>
          <w:kern w:val="0"/>
          <w:sz w:val="24"/>
          <w:szCs w:val="24"/>
          <w:lang w:val="zh-CN" w:bidi="zh-CN"/>
        </w:rPr>
        <w:t>项目为租赁现有厂房，</w:t>
      </w:r>
      <w:r>
        <w:rPr>
          <w:rFonts w:hint="eastAsia" w:ascii="宋体" w:hAnsi="宋体" w:cs="宋体"/>
          <w:kern w:val="0"/>
          <w:sz w:val="24"/>
          <w:szCs w:val="24"/>
          <w:lang w:bidi="zh-CN"/>
        </w:rPr>
        <w:t>利用距离本项目东侧直线距离6.93km处本公司2024年8月建成投入使用的地膜回收分拣、破碎清选后的废旧地膜原料运送至本项目区生产再生塑料颗粒生产滴灌带。</w:t>
      </w:r>
    </w:p>
    <w:p w14:paraId="7F5CA586">
      <w:pPr>
        <w:spacing w:line="360" w:lineRule="auto"/>
        <w:ind w:firstLine="480" w:firstLineChars="200"/>
        <w:jc w:val="left"/>
        <w:rPr>
          <w:rFonts w:hint="eastAsia" w:ascii="宋体" w:hAnsi="宋体" w:cs="宋体"/>
          <w:kern w:val="0"/>
          <w:sz w:val="24"/>
          <w:szCs w:val="24"/>
          <w:lang w:bidi="zh-CN"/>
        </w:rPr>
      </w:pPr>
      <w:r>
        <w:rPr>
          <w:rFonts w:hint="eastAsia" w:ascii="宋体" w:hAnsi="宋体" w:cs="宋体"/>
          <w:kern w:val="0"/>
          <w:sz w:val="24"/>
          <w:szCs w:val="24"/>
          <w:lang w:bidi="zh-CN"/>
        </w:rPr>
        <w:t>（2）项目废旧地膜入厂前已经进行分拣、破碎清洗等处理。项目造粒生产处理过程不涉及HCl、二甲苯等污染物。</w:t>
      </w:r>
    </w:p>
    <w:p w14:paraId="2046FED7">
      <w:pPr>
        <w:spacing w:line="360" w:lineRule="auto"/>
        <w:ind w:firstLine="480" w:firstLineChars="200"/>
        <w:rPr>
          <w:rFonts w:hint="eastAsia" w:ascii="宋体" w:hAnsi="宋体" w:cs="宋体"/>
          <w:kern w:val="0"/>
          <w:sz w:val="24"/>
          <w:szCs w:val="24"/>
          <w:lang w:val="zh-CN" w:bidi="zh-CN"/>
        </w:rPr>
      </w:pPr>
      <w:r>
        <w:rPr>
          <w:rFonts w:hint="eastAsia" w:ascii="宋体" w:hAnsi="宋体" w:cs="宋体"/>
          <w:kern w:val="0"/>
          <w:sz w:val="24"/>
          <w:szCs w:val="24"/>
          <w:lang w:bidi="zh-CN"/>
        </w:rPr>
        <w:t>（3）</w:t>
      </w:r>
      <w:r>
        <w:rPr>
          <w:rFonts w:hint="eastAsia" w:ascii="宋体" w:hAnsi="宋体" w:cs="宋体"/>
          <w:kern w:val="0"/>
          <w:sz w:val="24"/>
          <w:szCs w:val="24"/>
          <w:lang w:val="zh-CN" w:bidi="zh-CN"/>
        </w:rPr>
        <w:t>项目造粒、滴灌带挤出废气经设置的集气罩+活性炭浓缩吸附+催化燃烧系统处理后15m高排气筒排放，项目冷却采用风环冷，无生产废水排放；</w:t>
      </w:r>
      <w:r>
        <w:rPr>
          <w:rFonts w:hint="eastAsia" w:ascii="宋体" w:hAnsi="宋体" w:cs="宋体"/>
          <w:sz w:val="24"/>
          <w:szCs w:val="24"/>
          <w:lang w:eastAsia="zh-CN"/>
        </w:rPr>
        <w:t>生活污水</w:t>
      </w:r>
      <w:r>
        <w:rPr>
          <w:rFonts w:hint="eastAsia" w:ascii="宋体" w:hAnsi="宋体" w:cs="宋体"/>
          <w:sz w:val="24"/>
          <w:szCs w:val="24"/>
          <w:lang w:val="en-US" w:eastAsia="zh-CN"/>
        </w:rPr>
        <w:t>排入防渗化粪池</w:t>
      </w:r>
      <w:r>
        <w:rPr>
          <w:rFonts w:hint="eastAsia" w:ascii="宋体" w:hAnsi="宋体" w:cs="宋体"/>
          <w:sz w:val="24"/>
          <w:szCs w:val="24"/>
          <w:lang w:eastAsia="zh-CN"/>
        </w:rPr>
        <w:t>，定期</w:t>
      </w:r>
      <w:r>
        <w:rPr>
          <w:rFonts w:hint="eastAsia" w:ascii="宋体" w:hAnsi="宋体" w:cs="宋体"/>
          <w:sz w:val="24"/>
          <w:szCs w:val="24"/>
          <w:lang w:val="en-US" w:eastAsia="zh-CN"/>
        </w:rPr>
        <w:t>由库尔勒龙润水处理有限公司采用罐车</w:t>
      </w:r>
      <w:r>
        <w:rPr>
          <w:rFonts w:hint="eastAsia" w:ascii="宋体" w:hAnsi="宋体" w:cs="宋体"/>
          <w:sz w:val="24"/>
          <w:szCs w:val="24"/>
          <w:lang w:eastAsia="zh-CN"/>
        </w:rPr>
        <w:t>拉运至</w:t>
      </w:r>
      <w:r>
        <w:rPr>
          <w:rFonts w:hint="eastAsia" w:ascii="宋体" w:hAnsi="宋体" w:cs="宋体"/>
          <w:sz w:val="24"/>
          <w:szCs w:val="24"/>
          <w:lang w:val="en-US" w:eastAsia="zh-CN"/>
        </w:rPr>
        <w:t>库尔勒南市区</w:t>
      </w:r>
      <w:r>
        <w:rPr>
          <w:rFonts w:hint="eastAsia" w:ascii="宋体" w:hAnsi="宋体" w:cs="宋体"/>
          <w:sz w:val="24"/>
          <w:szCs w:val="24"/>
          <w:lang w:eastAsia="zh-CN"/>
        </w:rPr>
        <w:t>污水处理</w:t>
      </w:r>
      <w:r>
        <w:rPr>
          <w:rFonts w:hint="eastAsia" w:ascii="宋体" w:hAnsi="宋体" w:cs="宋体"/>
          <w:sz w:val="24"/>
          <w:szCs w:val="24"/>
          <w:lang w:val="en-US" w:eastAsia="zh-CN"/>
        </w:rPr>
        <w:t>厂</w:t>
      </w:r>
      <w:r>
        <w:rPr>
          <w:rFonts w:hint="eastAsia" w:ascii="宋体" w:hAnsi="宋体" w:cs="宋体"/>
          <w:color w:val="auto"/>
          <w:kern w:val="0"/>
          <w:sz w:val="24"/>
          <w:szCs w:val="24"/>
          <w:lang w:val="zh-CN" w:bidi="zh-CN"/>
        </w:rPr>
        <w:t>；检</w:t>
      </w:r>
      <w:r>
        <w:rPr>
          <w:rFonts w:hint="eastAsia" w:ascii="宋体" w:hAnsi="宋体" w:cs="宋体"/>
          <w:kern w:val="0"/>
          <w:sz w:val="24"/>
          <w:szCs w:val="24"/>
          <w:lang w:val="zh-CN" w:bidi="zh-CN"/>
        </w:rPr>
        <w:t>验不合格品、残次品及边角废料返回造粒生产线。经采取相应的处理措施后，项目运营期污染物均能实现达标排放，对周围环境影响较小。</w:t>
      </w:r>
    </w:p>
    <w:p w14:paraId="5EAB4D01">
      <w:pPr>
        <w:pStyle w:val="3"/>
        <w:keepNext w:val="0"/>
        <w:keepLines w:val="0"/>
        <w:autoSpaceDE w:val="0"/>
        <w:autoSpaceDN w:val="0"/>
        <w:spacing w:before="0" w:after="0" w:line="360" w:lineRule="auto"/>
        <w:jc w:val="left"/>
        <w:rPr>
          <w:rFonts w:ascii="Times New Roman" w:hAnsi="Times New Roman" w:eastAsia="宋体"/>
          <w:kern w:val="0"/>
          <w:sz w:val="24"/>
          <w:szCs w:val="30"/>
          <w:lang w:val="en-US" w:bidi="zh-CN"/>
        </w:rPr>
      </w:pPr>
      <w:bookmarkStart w:id="5" w:name="_Toc31514"/>
      <w:r>
        <w:rPr>
          <w:rFonts w:hint="eastAsia" w:ascii="Times New Roman" w:hAnsi="Times New Roman" w:eastAsia="宋体"/>
          <w:kern w:val="0"/>
          <w:sz w:val="24"/>
          <w:szCs w:val="30"/>
          <w:lang w:val="en-US" w:bidi="zh-CN"/>
        </w:rPr>
        <w:t>1.2环境影响评价的工作过程</w:t>
      </w:r>
      <w:bookmarkEnd w:id="5"/>
    </w:p>
    <w:p w14:paraId="1DAFDFD9">
      <w:pPr>
        <w:pStyle w:val="63"/>
        <w:spacing w:line="360" w:lineRule="auto"/>
        <w:ind w:firstLine="480" w:firstLineChars="200"/>
        <w:jc w:val="left"/>
        <w:rPr>
          <w:rFonts w:hint="eastAsia" w:hAnsi="宋体" w:cs="Times New Roman"/>
          <w:b w:val="0"/>
          <w:bCs w:val="0"/>
        </w:rPr>
      </w:pPr>
      <w:r>
        <w:rPr>
          <w:rFonts w:hint="eastAsia" w:hAnsi="宋体" w:cs="Times New Roman"/>
          <w:b w:val="0"/>
          <w:bCs w:val="0"/>
        </w:rPr>
        <w:t>根据《中华人民共和国环境保护法》《建设项目环境保护管理条例》和《中华人民共和国环境影响评价法》国务院令第682号《国务院关于修改〈建设项目环境保护管理条例〉的决定》中有关规定和要求，该建设项目需进行环境影响评价。本项目属于《建设项目环境影响评价分类管理名录》（2021年）“二十六、橡胶和塑料制品业；53塑料制品业292—以再生塑料为原料生产的”的范畴，需编制环境影响报告书。</w:t>
      </w:r>
    </w:p>
    <w:p w14:paraId="7F2B45CB">
      <w:pPr>
        <w:pStyle w:val="63"/>
        <w:spacing w:line="360" w:lineRule="auto"/>
        <w:ind w:firstLine="480" w:firstLineChars="200"/>
        <w:jc w:val="left"/>
        <w:rPr>
          <w:rFonts w:hint="eastAsia" w:hAnsi="宋体" w:cs="Times New Roman"/>
          <w:b w:val="0"/>
          <w:bCs w:val="0"/>
        </w:rPr>
      </w:pPr>
      <w:r>
        <w:rPr>
          <w:rFonts w:hint="eastAsia" w:hAnsi="宋体" w:cs="Times New Roman"/>
          <w:b w:val="0"/>
          <w:bCs w:val="0"/>
        </w:rPr>
        <w:t>接受委托后，新疆中测环保科技有限公司即开展了现场踏勘、收集资料工作，对评价区范围的环境现状进行了调查，收集了当地地质、气候气象资料以及与本项目有关的相关文件和技术资料，并依据国家有关环境影响评价规范、技术导则等要求编制完成了本环境影响报告书。在报上级生态环境主管部门审批后，将作为该项目在运营期全过程的环境保护管理依据。</w:t>
      </w:r>
    </w:p>
    <w:p w14:paraId="10E00235">
      <w:pPr>
        <w:pStyle w:val="63"/>
        <w:spacing w:line="360" w:lineRule="auto"/>
        <w:ind w:firstLine="480"/>
        <w:jc w:val="left"/>
        <w:rPr>
          <w:rFonts w:hint="eastAsia" w:hAnsi="宋体" w:cs="Times New Roman"/>
          <w:b w:val="0"/>
          <w:bCs w:val="0"/>
        </w:rPr>
      </w:pPr>
      <w:r>
        <w:rPr>
          <w:rFonts w:hint="eastAsia" w:hAnsi="宋体" w:cs="Times New Roman"/>
          <w:b w:val="0"/>
          <w:bCs w:val="0"/>
        </w:rPr>
        <w:t>按照环境影响评价技术导则的技术规范要求，该项目遵循如下工作程序图</w:t>
      </w:r>
    </w:p>
    <w:p w14:paraId="7C39B845">
      <w:pPr>
        <w:pStyle w:val="63"/>
        <w:spacing w:line="360" w:lineRule="auto"/>
        <w:jc w:val="left"/>
        <w:rPr>
          <w:b w:val="0"/>
          <w:bCs w:val="0"/>
        </w:rPr>
        <w:sectPr>
          <w:footerReference r:id="rId10" w:type="default"/>
          <w:pgSz w:w="11906" w:h="16838"/>
          <w:pgMar w:top="1440" w:right="1797" w:bottom="1440" w:left="1797" w:header="851" w:footer="992" w:gutter="0"/>
          <w:pgBorders>
            <w:top w:val="none" w:sz="0" w:space="0"/>
            <w:left w:val="none" w:sz="0" w:space="0"/>
            <w:bottom w:val="none" w:sz="0" w:space="0"/>
            <w:right w:val="none" w:sz="0" w:space="0"/>
          </w:pgBorders>
          <w:pgNumType w:start="1"/>
          <w:cols w:space="720" w:num="1"/>
          <w:docGrid w:type="lines" w:linePitch="312" w:charSpace="0"/>
        </w:sectPr>
      </w:pPr>
      <w:r>
        <w:rPr>
          <w:rFonts w:hint="eastAsia" w:hAnsi="宋体" w:cs="Times New Roman"/>
          <w:b w:val="0"/>
          <w:bCs w:val="0"/>
        </w:rPr>
        <w:t>编制完成项目环境影响报告书，本次评价采用的工作程序见图1.2-1。</w:t>
      </w:r>
    </w:p>
    <w:p w14:paraId="4D5F1EA2">
      <w:pPr>
        <w:pStyle w:val="63"/>
        <w:spacing w:line="360" w:lineRule="auto"/>
        <w:jc w:val="center"/>
        <w:rPr>
          <w:rFonts w:hint="eastAsia" w:hAnsi="宋体" w:cs="Times New Roman"/>
        </w:rPr>
      </w:pPr>
      <w:r>
        <w:rPr>
          <w:rFonts w:hint="eastAsia" w:hAnsi="宋体"/>
        </w:rPr>
        <w:drawing>
          <wp:inline distT="0" distB="0" distL="114300" distR="114300">
            <wp:extent cx="5776595" cy="7065010"/>
            <wp:effectExtent l="0" t="0" r="0" b="0"/>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18"/>
                    <a:stretch>
                      <a:fillRect/>
                    </a:stretch>
                  </pic:blipFill>
                  <pic:spPr>
                    <a:xfrm>
                      <a:off x="0" y="0"/>
                      <a:ext cx="5780891" cy="7070329"/>
                    </a:xfrm>
                    <a:prstGeom prst="rect">
                      <a:avLst/>
                    </a:prstGeom>
                    <a:noFill/>
                    <a:ln>
                      <a:noFill/>
                    </a:ln>
                  </pic:spPr>
                </pic:pic>
              </a:graphicData>
            </a:graphic>
          </wp:inline>
        </w:drawing>
      </w:r>
    </w:p>
    <w:p w14:paraId="55271886">
      <w:pPr>
        <w:pStyle w:val="16"/>
        <w:tabs>
          <w:tab w:val="left" w:pos="779"/>
        </w:tabs>
        <w:spacing w:before="47"/>
        <w:ind w:right="37" w:firstLine="482"/>
        <w:jc w:val="center"/>
        <w:rPr>
          <w:b/>
          <w:sz w:val="24"/>
          <w:szCs w:val="24"/>
        </w:rPr>
      </w:pPr>
      <w:r>
        <w:rPr>
          <w:b/>
          <w:sz w:val="24"/>
          <w:szCs w:val="24"/>
        </w:rPr>
        <w:t>图1</w:t>
      </w:r>
      <w:r>
        <w:rPr>
          <w:b/>
          <w:sz w:val="24"/>
          <w:szCs w:val="24"/>
          <w:lang w:val="en-US"/>
        </w:rPr>
        <w:t>.2-1</w:t>
      </w:r>
      <w:r>
        <w:rPr>
          <w:rFonts w:hint="eastAsia"/>
          <w:b/>
          <w:sz w:val="24"/>
          <w:szCs w:val="24"/>
          <w:lang w:val="en-US"/>
        </w:rPr>
        <w:t xml:space="preserve">    </w:t>
      </w:r>
      <w:r>
        <w:rPr>
          <w:b/>
          <w:sz w:val="24"/>
          <w:szCs w:val="24"/>
        </w:rPr>
        <w:t>环境影响评价工作程序图</w:t>
      </w:r>
    </w:p>
    <w:p w14:paraId="57E4A731">
      <w:pPr>
        <w:pStyle w:val="3"/>
        <w:keepNext w:val="0"/>
        <w:keepLines w:val="0"/>
        <w:autoSpaceDE w:val="0"/>
        <w:autoSpaceDN w:val="0"/>
        <w:spacing w:before="0" w:after="0" w:line="360" w:lineRule="auto"/>
        <w:jc w:val="left"/>
        <w:rPr>
          <w:rFonts w:ascii="Times New Roman" w:hAnsi="Times New Roman" w:eastAsia="宋体"/>
          <w:kern w:val="0"/>
          <w:sz w:val="24"/>
          <w:szCs w:val="30"/>
          <w:lang w:val="en-US" w:bidi="zh-CN"/>
        </w:rPr>
      </w:pPr>
      <w:bookmarkStart w:id="6" w:name="_Toc7456"/>
      <w:r>
        <w:rPr>
          <w:rFonts w:ascii="Times New Roman" w:hAnsi="Times New Roman" w:eastAsia="宋体"/>
          <w:kern w:val="0"/>
          <w:sz w:val="24"/>
          <w:szCs w:val="30"/>
          <w:lang w:val="en-US" w:bidi="zh-CN"/>
        </w:rPr>
        <w:t>1.3分析判定相关情况</w:t>
      </w:r>
      <w:bookmarkEnd w:id="6"/>
    </w:p>
    <w:p w14:paraId="79EEECD2">
      <w:pPr>
        <w:pStyle w:val="4"/>
        <w:autoSpaceDE w:val="0"/>
        <w:autoSpaceDN w:val="0"/>
        <w:spacing w:before="0" w:after="0" w:line="360" w:lineRule="auto"/>
        <w:jc w:val="left"/>
        <w:rPr>
          <w:kern w:val="0"/>
          <w:sz w:val="24"/>
          <w:lang w:val="en-US" w:bidi="zh-CN"/>
        </w:rPr>
      </w:pPr>
      <w:r>
        <w:rPr>
          <w:rFonts w:hint="eastAsia"/>
          <w:kern w:val="0"/>
          <w:sz w:val="24"/>
          <w:lang w:val="en-US" w:bidi="zh-CN"/>
        </w:rPr>
        <w:t>1.3.1政策符合性分析</w:t>
      </w:r>
    </w:p>
    <w:p w14:paraId="490A362C">
      <w:pPr>
        <w:pStyle w:val="63"/>
        <w:wordWrap w:val="0"/>
        <w:overflowPunct w:val="0"/>
        <w:topLinePunct/>
        <w:autoSpaceDE/>
        <w:spacing w:line="360" w:lineRule="auto"/>
        <w:ind w:firstLine="480" w:firstLineChars="200"/>
        <w:jc w:val="left"/>
        <w:textAlignment w:val="auto"/>
        <w:rPr>
          <w:rFonts w:hint="eastAsia" w:hAnsi="宋体" w:cs="Times New Roman"/>
          <w:b w:val="0"/>
          <w:bCs w:val="0"/>
        </w:rPr>
      </w:pPr>
      <w:r>
        <w:rPr>
          <w:rFonts w:hint="eastAsia" w:hAnsi="宋体" w:cs="Times New Roman"/>
          <w:b w:val="0"/>
          <w:bCs w:val="0"/>
        </w:rPr>
        <w:t>本项目位于新疆库尔勒市普惠乡润疆社区四分场库尔勒惠泉工贸有限公司厂区内。根据现场调查及资料收集，评价区域内无自然保护区、风景名胜区、饮用水水源保护区等生态敏感区，不涉及环境制约因素。本项目属于</w:t>
      </w:r>
      <w:r>
        <w:rPr>
          <w:rFonts w:hint="eastAsia" w:hAnsi="宋体" w:cs="Times New Roman"/>
          <w:b w:val="0"/>
          <w:bCs w:val="0"/>
          <w:lang w:eastAsia="zh-CN"/>
        </w:rPr>
        <w:t>《</w:t>
      </w:r>
      <w:r>
        <w:rPr>
          <w:rFonts w:hint="eastAsia" w:hAnsi="宋体" w:cs="Times New Roman"/>
          <w:b w:val="0"/>
          <w:bCs w:val="0"/>
        </w:rPr>
        <w:t>产业结构调整指导目录(2024年本)</w:t>
      </w:r>
      <w:r>
        <w:rPr>
          <w:rFonts w:hint="eastAsia" w:hAnsi="宋体" w:cs="Times New Roman"/>
          <w:b w:val="0"/>
          <w:bCs w:val="0"/>
          <w:lang w:eastAsia="zh-CN"/>
        </w:rPr>
        <w:t>》</w:t>
      </w:r>
      <w:r>
        <w:rPr>
          <w:rFonts w:hint="eastAsia" w:hAnsi="宋体" w:cs="Times New Roman"/>
          <w:b w:val="0"/>
          <w:bCs w:val="0"/>
        </w:rPr>
        <w:t>中“第一类 鼓励类 四十二、环境保护与资源节约综合利用8．废弃物循环利用：</w:t>
      </w:r>
      <w:r>
        <w:rPr>
          <w:rFonts w:hAnsi="宋体" w:cs="Times New Roman"/>
          <w:b w:val="0"/>
          <w:bCs w:val="0"/>
        </w:rPr>
        <w:t>废橡胶、废塑料、废旧农具等城市典型废弃物循环利用、技术设备开发及应用</w:t>
      </w:r>
      <w:r>
        <w:rPr>
          <w:rFonts w:hint="eastAsia" w:hAnsi="宋体" w:cs="Times New Roman"/>
          <w:b w:val="0"/>
          <w:bCs w:val="0"/>
        </w:rPr>
        <w:t>，符合国家产业政策要求，符合《废塑料综合利用行业规范条件》《废塑料回收与再生利用污染控制技术规范（试行）》中相关政策要求。根据《关于加快发展循环经济的若干意见》（国发〔</w:t>
      </w:r>
      <w:r>
        <w:rPr>
          <w:rFonts w:hAnsi="宋体" w:cs="Times New Roman"/>
          <w:b w:val="0"/>
          <w:bCs w:val="0"/>
        </w:rPr>
        <w:t>2005</w:t>
      </w:r>
      <w:r>
        <w:rPr>
          <w:rFonts w:hint="eastAsia" w:hAnsi="宋体" w:cs="Times New Roman"/>
          <w:b w:val="0"/>
          <w:bCs w:val="0"/>
        </w:rPr>
        <w:t>〕</w:t>
      </w:r>
      <w:r>
        <w:rPr>
          <w:rFonts w:hAnsi="宋体" w:cs="Times New Roman"/>
          <w:b w:val="0"/>
          <w:bCs w:val="0"/>
        </w:rPr>
        <w:t>22</w:t>
      </w:r>
      <w:r>
        <w:rPr>
          <w:rFonts w:hint="eastAsia" w:hAnsi="宋体" w:cs="Times New Roman"/>
          <w:b w:val="0"/>
          <w:bCs w:val="0"/>
        </w:rPr>
        <w:t>号）要求：资源利用方式要实现由“资源</w:t>
      </w:r>
      <w:r>
        <w:rPr>
          <w:rFonts w:hAnsi="宋体" w:cs="Times New Roman"/>
          <w:b w:val="0"/>
          <w:bCs w:val="0"/>
        </w:rPr>
        <w:t>—</w:t>
      </w:r>
      <w:r>
        <w:rPr>
          <w:rFonts w:hint="eastAsia" w:hAnsi="宋体" w:cs="Times New Roman"/>
          <w:b w:val="0"/>
          <w:bCs w:val="0"/>
        </w:rPr>
        <w:t>产品</w:t>
      </w:r>
      <w:r>
        <w:rPr>
          <w:rFonts w:hAnsi="宋体" w:cs="Times New Roman"/>
          <w:b w:val="0"/>
          <w:bCs w:val="0"/>
        </w:rPr>
        <w:t>—</w:t>
      </w:r>
      <w:r>
        <w:rPr>
          <w:rFonts w:hint="eastAsia" w:hAnsi="宋体" w:cs="Times New Roman"/>
          <w:b w:val="0"/>
          <w:bCs w:val="0"/>
        </w:rPr>
        <w:t>废物”的单向式直线过程向“资源</w:t>
      </w:r>
      <w:r>
        <w:rPr>
          <w:rFonts w:hAnsi="宋体" w:cs="Times New Roman"/>
          <w:b w:val="0"/>
          <w:bCs w:val="0"/>
        </w:rPr>
        <w:t>—</w:t>
      </w:r>
      <w:r>
        <w:rPr>
          <w:rFonts w:hint="eastAsia" w:hAnsi="宋体" w:cs="Times New Roman"/>
          <w:b w:val="0"/>
          <w:bCs w:val="0"/>
        </w:rPr>
        <w:t>产品</w:t>
      </w:r>
      <w:r>
        <w:rPr>
          <w:rFonts w:hAnsi="宋体" w:cs="Times New Roman"/>
          <w:b w:val="0"/>
          <w:bCs w:val="0"/>
        </w:rPr>
        <w:t>—</w:t>
      </w:r>
      <w:r>
        <w:rPr>
          <w:rFonts w:hint="eastAsia" w:hAnsi="宋体" w:cs="Times New Roman"/>
          <w:b w:val="0"/>
          <w:bCs w:val="0"/>
        </w:rPr>
        <w:t>废弃物</w:t>
      </w:r>
      <w:r>
        <w:rPr>
          <w:rFonts w:hAnsi="宋体" w:cs="Times New Roman"/>
          <w:b w:val="0"/>
          <w:bCs w:val="0"/>
        </w:rPr>
        <w:t>—</w:t>
      </w:r>
      <w:r>
        <w:rPr>
          <w:rFonts w:hint="eastAsia" w:hAnsi="宋体" w:cs="Times New Roman"/>
          <w:b w:val="0"/>
          <w:bCs w:val="0"/>
        </w:rPr>
        <w:t xml:space="preserve">再生资源”的反馈式循环过程转变，使经济增长建立在经济结构优化、科技含量增加、质量效益提高的基础上，逐步形成“低投入、低消耗、低排放、高效率”的经济增长方式。本项目以当地废弃地膜为原料经清洗、破碎、造粒后出售给其他塑料制品公司循环使用，充分体现了循环经济的思想。 </w:t>
      </w:r>
    </w:p>
    <w:p w14:paraId="01DEF814">
      <w:pPr>
        <w:pStyle w:val="63"/>
        <w:wordWrap w:val="0"/>
        <w:overflowPunct w:val="0"/>
        <w:topLinePunct/>
        <w:autoSpaceDE/>
        <w:spacing w:line="360" w:lineRule="auto"/>
        <w:ind w:firstLine="480" w:firstLineChars="200"/>
        <w:jc w:val="left"/>
        <w:textAlignment w:val="auto"/>
        <w:rPr>
          <w:rFonts w:hint="eastAsia" w:hAnsi="宋体" w:cs="Times New Roman"/>
          <w:b w:val="0"/>
          <w:bCs w:val="0"/>
        </w:rPr>
      </w:pPr>
      <w:r>
        <w:rPr>
          <w:rFonts w:hint="eastAsia" w:hAnsi="宋体" w:cs="Times New Roman"/>
          <w:b w:val="0"/>
          <w:bCs w:val="0"/>
        </w:rPr>
        <w:t>根据《西部地区鼓励类产业目录（2025年本）》</w:t>
      </w:r>
      <w:r>
        <w:rPr>
          <w:rFonts w:hAnsi="宋体" w:cs="Times New Roman"/>
          <w:b w:val="0"/>
          <w:bCs w:val="0"/>
        </w:rPr>
        <w:t>第二条西部地区新增鼓励类产业中新疆维吾尔自治区（含新疆生产建设兵团）第40条农用塑料的回收再利用技术研发与应用</w:t>
      </w:r>
      <w:r>
        <w:rPr>
          <w:rFonts w:hint="eastAsia" w:hAnsi="宋体" w:cs="Times New Roman"/>
          <w:b w:val="0"/>
          <w:bCs w:val="0"/>
        </w:rPr>
        <w:t>，属于西部地区鼓励类产业。</w:t>
      </w:r>
    </w:p>
    <w:p w14:paraId="5F63A45D">
      <w:pPr>
        <w:pStyle w:val="63"/>
        <w:spacing w:line="360" w:lineRule="auto"/>
        <w:ind w:firstLine="480" w:firstLineChars="200"/>
        <w:jc w:val="left"/>
        <w:rPr>
          <w:rFonts w:hint="eastAsia" w:hAnsi="宋体" w:cs="Times New Roman"/>
          <w:b w:val="0"/>
          <w:bCs w:val="0"/>
        </w:rPr>
      </w:pPr>
      <w:r>
        <w:rPr>
          <w:rFonts w:hint="eastAsia" w:hAnsi="宋体" w:cs="Times New Roman"/>
          <w:b w:val="0"/>
          <w:bCs w:val="0"/>
        </w:rPr>
        <w:t>本项目从“企业设立和布局、生产经营规模、资源综合利用及能耗、工艺与装备、环境保护”几个方面分析，均符合《废塑料综合利用行业规范条件》。根据《环境保护综合名录（2021年版）》，本项目主要产品为滴灌带，不属于名录中规定的“高污染、高环境风险”产品，因此，符合《环境保护综合名录（2021年版）》。</w:t>
      </w:r>
    </w:p>
    <w:p w14:paraId="0CA56712">
      <w:pPr>
        <w:pStyle w:val="4"/>
        <w:autoSpaceDE w:val="0"/>
        <w:autoSpaceDN w:val="0"/>
        <w:spacing w:before="0" w:after="0" w:line="360" w:lineRule="auto"/>
        <w:jc w:val="left"/>
        <w:rPr>
          <w:kern w:val="0"/>
          <w:sz w:val="24"/>
          <w:lang w:val="en-US" w:bidi="zh-CN"/>
        </w:rPr>
      </w:pPr>
      <w:r>
        <w:rPr>
          <w:rFonts w:hint="eastAsia"/>
          <w:kern w:val="0"/>
          <w:sz w:val="24"/>
          <w:lang w:val="en-US" w:bidi="zh-CN"/>
        </w:rPr>
        <w:t xml:space="preserve">1.3.2与相关规划符合性分析 </w:t>
      </w:r>
    </w:p>
    <w:p w14:paraId="1AD24DBA">
      <w:pPr>
        <w:pStyle w:val="63"/>
        <w:spacing w:line="360" w:lineRule="auto"/>
        <w:ind w:firstLine="480" w:firstLineChars="200"/>
        <w:jc w:val="left"/>
        <w:rPr>
          <w:rFonts w:hint="eastAsia" w:hAnsi="宋体"/>
          <w:b w:val="0"/>
          <w:bCs w:val="0"/>
        </w:rPr>
      </w:pPr>
      <w:r>
        <w:rPr>
          <w:rFonts w:hint="eastAsia" w:hAnsi="宋体"/>
          <w:b w:val="0"/>
          <w:bCs w:val="0"/>
        </w:rPr>
        <w:t>根据分析，项目与《新疆生态环境保护“十四五”规划》《新疆维吾尔自治区轻工业“十三五”发展规划》《库尔勒市国民经济和社会发展第十四个五年规划和2035年远景目标纲要》《库尔勒市生态环境保护与建设 “十四五”规划》等均相符。本项目位于新疆库尔勒市普惠乡润疆社区四分场库尔勒惠泉工贸有限公司厂区内，利用</w:t>
      </w:r>
      <w:r>
        <w:rPr>
          <w:rFonts w:hint="eastAsia" w:hAnsi="宋体"/>
          <w:b w:val="0"/>
          <w:bCs w:val="0"/>
          <w:lang w:eastAsia="zh-CN"/>
        </w:rPr>
        <w:t>预处理后</w:t>
      </w:r>
      <w:r>
        <w:rPr>
          <w:rFonts w:hint="eastAsia" w:hAnsi="宋体"/>
          <w:b w:val="0"/>
          <w:bCs w:val="0"/>
        </w:rPr>
        <w:t>的废旧地膜造粒再生产滴灌带。项目建设完成后可使废旧地膜农业污染源大幅降低，得到综合利用，既达到了资源综合利用目的，实现循环经济发展，同时又起到了保护环境的作用。</w:t>
      </w:r>
    </w:p>
    <w:p w14:paraId="10FC8947">
      <w:pPr>
        <w:pStyle w:val="4"/>
        <w:autoSpaceDE w:val="0"/>
        <w:autoSpaceDN w:val="0"/>
        <w:spacing w:before="0" w:after="0" w:line="360" w:lineRule="auto"/>
        <w:jc w:val="left"/>
        <w:rPr>
          <w:kern w:val="0"/>
          <w:sz w:val="24"/>
          <w:lang w:val="en-US" w:bidi="zh-CN"/>
        </w:rPr>
      </w:pPr>
      <w:r>
        <w:rPr>
          <w:rFonts w:hint="eastAsia"/>
          <w:kern w:val="0"/>
          <w:sz w:val="24"/>
          <w:lang w:val="en-US" w:bidi="zh-CN"/>
        </w:rPr>
        <w:t xml:space="preserve">1.3.3与“三线一单”符合性分析 </w:t>
      </w:r>
    </w:p>
    <w:p w14:paraId="432B1ED1">
      <w:pPr>
        <w:pStyle w:val="63"/>
        <w:spacing w:line="360" w:lineRule="auto"/>
        <w:ind w:firstLine="480" w:firstLineChars="200"/>
        <w:jc w:val="left"/>
        <w:rPr>
          <w:rFonts w:hint="eastAsia" w:hAnsi="宋体" w:cs="Times New Roman"/>
          <w:b w:val="0"/>
          <w:bCs w:val="0"/>
        </w:rPr>
      </w:pPr>
      <w:r>
        <w:rPr>
          <w:rFonts w:hint="eastAsia" w:hAnsi="宋体" w:cs="Times New Roman"/>
          <w:b w:val="0"/>
          <w:bCs w:val="0"/>
        </w:rPr>
        <w:t>根据分析，项目选址满足生态保护红线要求；项目建成运营后周边环境满足相应环境质量标准，符合环境质量底线的要求，不会对环境质量底线产生冲击；项目用水用电均在区域供水、供电负荷范围内，能源消耗未超过区域负荷上限；项目选址及项目生产</w:t>
      </w:r>
    </w:p>
    <w:p w14:paraId="684A1057">
      <w:pPr>
        <w:pStyle w:val="63"/>
        <w:spacing w:line="360" w:lineRule="auto"/>
        <w:jc w:val="left"/>
        <w:rPr>
          <w:rFonts w:hint="eastAsia" w:hAnsi="宋体" w:cs="Times New Roman"/>
          <w:b w:val="0"/>
          <w:bCs w:val="0"/>
        </w:rPr>
      </w:pPr>
      <w:r>
        <w:rPr>
          <w:rFonts w:hint="eastAsia" w:hAnsi="宋体" w:cs="Times New Roman"/>
          <w:b w:val="0"/>
          <w:bCs w:val="0"/>
        </w:rPr>
        <w:t xml:space="preserve">产品等均符合产业政策要求，因此本项目的建设符合“三线一单”要求。 </w:t>
      </w:r>
    </w:p>
    <w:p w14:paraId="7C61C054">
      <w:pPr>
        <w:pStyle w:val="4"/>
        <w:autoSpaceDE w:val="0"/>
        <w:autoSpaceDN w:val="0"/>
        <w:spacing w:before="0" w:after="0" w:line="360" w:lineRule="auto"/>
        <w:jc w:val="left"/>
        <w:rPr>
          <w:b w:val="0"/>
          <w:bCs w:val="0"/>
          <w:kern w:val="0"/>
          <w:sz w:val="24"/>
          <w:lang w:val="en-US" w:bidi="zh-CN"/>
        </w:rPr>
      </w:pPr>
      <w:r>
        <w:rPr>
          <w:rFonts w:hint="eastAsia"/>
          <w:b/>
          <w:bCs/>
          <w:kern w:val="0"/>
          <w:sz w:val="24"/>
          <w:lang w:val="en-US" w:bidi="zh-CN"/>
        </w:rPr>
        <w:t>1.3.4选址符合性分析</w:t>
      </w:r>
      <w:r>
        <w:rPr>
          <w:rFonts w:hint="eastAsia"/>
          <w:b w:val="0"/>
          <w:bCs w:val="0"/>
          <w:kern w:val="0"/>
          <w:sz w:val="24"/>
          <w:lang w:val="en-US" w:bidi="zh-CN"/>
        </w:rPr>
        <w:t xml:space="preserve"> </w:t>
      </w:r>
    </w:p>
    <w:p w14:paraId="4D1C57D7">
      <w:pPr>
        <w:pStyle w:val="63"/>
        <w:spacing w:line="360" w:lineRule="auto"/>
        <w:ind w:firstLine="480" w:firstLineChars="200"/>
        <w:jc w:val="left"/>
        <w:rPr>
          <w:rFonts w:hint="eastAsia" w:hAnsi="宋体"/>
          <w:b w:val="0"/>
          <w:bCs w:val="0"/>
        </w:rPr>
      </w:pPr>
      <w:r>
        <w:rPr>
          <w:rFonts w:hint="eastAsia" w:hAnsi="宋体"/>
          <w:b w:val="0"/>
          <w:bCs w:val="0"/>
        </w:rPr>
        <w:t>本项目建设地点位于新疆库尔勒市普惠乡润疆社区四分场库尔勒惠泉工贸有限公司厂区内，不涉及自然保护区、风景名胜区、水源保护区等特殊生态敏感和重要生态敏感区，同时综合考虑了所在区域地膜的使用情况及产生情况，</w:t>
      </w:r>
      <w:r>
        <w:rPr>
          <w:rFonts w:hint="eastAsia" w:hAnsi="宋体"/>
          <w:b w:val="0"/>
          <w:bCs w:val="0"/>
          <w:lang w:eastAsia="zh-CN"/>
        </w:rPr>
        <w:t>利用</w:t>
      </w:r>
      <w:r>
        <w:rPr>
          <w:rFonts w:hint="eastAsia" w:hAnsi="宋体"/>
          <w:b w:val="0"/>
          <w:bCs w:val="0"/>
        </w:rPr>
        <w:t>农田残膜，再生塑料颗粒制造滴灌带，减少农田残膜的运输距离。</w:t>
      </w:r>
    </w:p>
    <w:p w14:paraId="2EA8C858">
      <w:pPr>
        <w:pStyle w:val="63"/>
        <w:spacing w:line="360" w:lineRule="auto"/>
        <w:jc w:val="left"/>
        <w:rPr>
          <w:rFonts w:hint="eastAsia" w:hAnsi="宋体" w:cs="Times New Roman"/>
          <w:b w:val="0"/>
          <w:bCs w:val="0"/>
        </w:rPr>
      </w:pPr>
      <w:r>
        <w:rPr>
          <w:rFonts w:hint="eastAsia" w:hAnsi="宋体"/>
          <w:b w:val="0"/>
          <w:bCs w:val="0"/>
        </w:rPr>
        <w:t xml:space="preserve">   项目选址不在国家发展和改革委员会关于发布实施《限制用地项目目录（2012年本）》和《禁止用地项目目录（2012年本）》用地项目之列；项目选址合理可行</w:t>
      </w:r>
      <w:r>
        <w:rPr>
          <w:rFonts w:hint="eastAsia" w:hAnsi="宋体" w:cs="Times New Roman"/>
          <w:b w:val="0"/>
          <w:bCs w:val="0"/>
        </w:rPr>
        <w:t>。</w:t>
      </w:r>
    </w:p>
    <w:p w14:paraId="1C1AB4A8">
      <w:pPr>
        <w:pStyle w:val="3"/>
        <w:keepNext w:val="0"/>
        <w:keepLines w:val="0"/>
        <w:autoSpaceDE w:val="0"/>
        <w:autoSpaceDN w:val="0"/>
        <w:spacing w:before="0" w:after="0" w:line="360" w:lineRule="auto"/>
        <w:jc w:val="left"/>
        <w:rPr>
          <w:rFonts w:ascii="Times New Roman" w:hAnsi="Times New Roman" w:eastAsia="宋体"/>
          <w:kern w:val="0"/>
          <w:sz w:val="24"/>
          <w:szCs w:val="30"/>
          <w:lang w:val="en-US" w:bidi="zh-CN"/>
        </w:rPr>
      </w:pPr>
      <w:bookmarkStart w:id="7" w:name="_Toc20830"/>
      <w:r>
        <w:rPr>
          <w:rFonts w:ascii="Times New Roman" w:hAnsi="Times New Roman" w:eastAsia="宋体"/>
          <w:kern w:val="0"/>
          <w:sz w:val="24"/>
          <w:szCs w:val="30"/>
          <w:lang w:val="en-US" w:bidi="zh-CN"/>
        </w:rPr>
        <w:t>1.4关注的主要环境问题及环境影响</w:t>
      </w:r>
      <w:bookmarkEnd w:id="7"/>
    </w:p>
    <w:p w14:paraId="47915EF5">
      <w:pPr>
        <w:spacing w:line="360" w:lineRule="auto"/>
        <w:ind w:firstLine="480" w:firstLineChars="200"/>
        <w:rPr>
          <w:rFonts w:hint="eastAsia" w:ascii="宋体" w:hAnsi="宋体"/>
          <w:color w:val="000000"/>
          <w:sz w:val="24"/>
          <w:lang w:val="zh-CN"/>
        </w:rPr>
      </w:pPr>
      <w:bookmarkStart w:id="8" w:name="_Toc332727813"/>
      <w:bookmarkStart w:id="9" w:name="_Toc363049946"/>
      <w:r>
        <w:rPr>
          <w:rFonts w:hint="eastAsia" w:ascii="宋体" w:hAnsi="宋体"/>
          <w:color w:val="000000"/>
          <w:sz w:val="24"/>
          <w:lang w:val="zh-CN"/>
        </w:rPr>
        <w:t>本次环境影响评价过程关注的主要环境问题及环境影响概述如下：</w:t>
      </w:r>
    </w:p>
    <w:p w14:paraId="2EF4B33F">
      <w:pPr>
        <w:spacing w:line="360" w:lineRule="auto"/>
        <w:ind w:firstLine="480" w:firstLineChars="200"/>
        <w:rPr>
          <w:rFonts w:hint="eastAsia" w:ascii="宋体" w:hAnsi="宋体"/>
          <w:color w:val="000000"/>
          <w:sz w:val="24"/>
          <w:lang w:val="zh-CN"/>
        </w:rPr>
      </w:pPr>
      <w:r>
        <w:rPr>
          <w:rFonts w:hint="eastAsia" w:ascii="宋体" w:hAnsi="宋体"/>
          <w:color w:val="000000"/>
          <w:sz w:val="24"/>
          <w:lang w:val="zh-CN"/>
        </w:rPr>
        <w:t>（1）大气：本项目运营期废气主要包括废旧地膜和滴灌带熔融挤出产生的有机废气，环评中重点关注运营期产品生产车间非甲烷总烃的排放情况，给出本项目建成后，运营期对项目区的影响程度。</w:t>
      </w:r>
    </w:p>
    <w:p w14:paraId="7C8D5458">
      <w:pPr>
        <w:spacing w:line="360" w:lineRule="auto"/>
        <w:ind w:firstLine="480" w:firstLineChars="200"/>
        <w:rPr>
          <w:rFonts w:hint="eastAsia" w:ascii="宋体" w:hAnsi="宋体"/>
          <w:color w:val="000000"/>
          <w:sz w:val="24"/>
          <w:lang w:val="zh-CN"/>
        </w:rPr>
      </w:pPr>
      <w:r>
        <w:rPr>
          <w:rFonts w:hint="eastAsia" w:ascii="宋体" w:hAnsi="宋体"/>
          <w:color w:val="000000"/>
          <w:sz w:val="24"/>
          <w:lang w:val="zh-CN"/>
        </w:rPr>
        <w:t>（2）地下水：本项目建成后对地下水的影响主要体现在危废贮存点危废泄漏，因此本次环评主要关注的重点为可能对地下水造成影响的过程所采取的地下水防治措施，分析措施可行性，完善应急措施。</w:t>
      </w:r>
    </w:p>
    <w:p w14:paraId="54E9B9B7">
      <w:pPr>
        <w:spacing w:line="360" w:lineRule="auto"/>
        <w:ind w:firstLine="480" w:firstLineChars="200"/>
        <w:rPr>
          <w:rFonts w:hint="eastAsia" w:ascii="宋体" w:hAnsi="宋体"/>
          <w:color w:val="000000"/>
          <w:sz w:val="24"/>
          <w:lang w:val="zh-CN"/>
        </w:rPr>
      </w:pPr>
      <w:r>
        <w:rPr>
          <w:rFonts w:hint="eastAsia" w:ascii="宋体" w:hAnsi="宋体"/>
          <w:color w:val="000000"/>
          <w:sz w:val="24"/>
          <w:lang w:val="zh-CN"/>
        </w:rPr>
        <w:t>（3）固废：运营期不合格产品、残次品及边角料、废催化剂、废过滤网、熔融废渣、生活垃圾、废活性炭、废润滑油及废润滑油桶等固体废弃物的处置合理性及其对周边环境的影响。本次环评关注的主要重点为合格产品、残次品及边角料、废催化剂、废过滤网、熔融废渣、生活垃圾、废活性炭、废润滑油及废润滑油桶等处置措施及去向等，以上固体废物是否均进行了妥善处置，分析最终去向，是否会对周围环境造成影响。</w:t>
      </w:r>
    </w:p>
    <w:p w14:paraId="2586842A">
      <w:pPr>
        <w:pStyle w:val="3"/>
        <w:keepNext w:val="0"/>
        <w:keepLines w:val="0"/>
        <w:autoSpaceDE w:val="0"/>
        <w:autoSpaceDN w:val="0"/>
        <w:spacing w:before="0" w:after="0" w:line="360" w:lineRule="auto"/>
        <w:jc w:val="left"/>
        <w:rPr>
          <w:rFonts w:ascii="Times New Roman" w:hAnsi="Times New Roman" w:eastAsia="宋体"/>
          <w:kern w:val="0"/>
          <w:sz w:val="24"/>
          <w:szCs w:val="30"/>
          <w:lang w:bidi="zh-CN"/>
        </w:rPr>
      </w:pPr>
      <w:bookmarkStart w:id="10" w:name="_Toc31716"/>
      <w:r>
        <w:rPr>
          <w:rFonts w:hint="eastAsia" w:ascii="Times New Roman" w:hAnsi="Times New Roman" w:eastAsia="宋体"/>
          <w:kern w:val="0"/>
          <w:sz w:val="24"/>
          <w:szCs w:val="30"/>
          <w:lang w:bidi="zh-CN"/>
        </w:rPr>
        <w:t>1.5环境影响评价的主要结论</w:t>
      </w:r>
      <w:bookmarkEnd w:id="10"/>
    </w:p>
    <w:p w14:paraId="3488FB34">
      <w:pPr>
        <w:spacing w:line="360" w:lineRule="auto"/>
        <w:ind w:firstLine="480" w:firstLineChars="200"/>
        <w:rPr>
          <w:rFonts w:hint="eastAsia" w:ascii="宋体" w:hAnsi="宋体"/>
          <w:color w:val="000000"/>
          <w:sz w:val="24"/>
          <w:lang w:val="zh-CN"/>
        </w:rPr>
      </w:pPr>
      <w:r>
        <w:rPr>
          <w:rFonts w:hint="eastAsia" w:ascii="宋体" w:hAnsi="宋体"/>
          <w:color w:val="000000"/>
          <w:sz w:val="24"/>
          <w:lang w:val="zh-CN"/>
        </w:rPr>
        <w:t>综上所述，本项目的建设符合国家产业政策、选址合理、符合“三线一单”要求、污染物的防治措施在技术上和经济上可行。只要有效实施本报告所提出的有关防治措施，保证废弃物资源化利用，对周围环境影响较小。</w:t>
      </w:r>
    </w:p>
    <w:p w14:paraId="0619B95C">
      <w:pPr>
        <w:spacing w:line="360" w:lineRule="auto"/>
        <w:ind w:firstLine="480" w:firstLineChars="200"/>
        <w:rPr>
          <w:rFonts w:hint="eastAsia" w:ascii="宋体" w:hAnsi="宋体"/>
          <w:color w:val="000000"/>
          <w:sz w:val="24"/>
          <w:lang w:val="zh-CN"/>
        </w:rPr>
      </w:pPr>
      <w:r>
        <w:rPr>
          <w:rFonts w:hint="eastAsia" w:ascii="宋体" w:hAnsi="宋体"/>
          <w:color w:val="000000"/>
          <w:sz w:val="24"/>
          <w:lang w:val="zh-CN"/>
        </w:rPr>
        <w:t>因此，从环保角度来讲，本建设项目实施是可行的</w:t>
      </w:r>
    </w:p>
    <w:p w14:paraId="23E8AC21">
      <w:pPr>
        <w:spacing w:line="360" w:lineRule="auto"/>
        <w:rPr>
          <w:rFonts w:hint="eastAsia" w:ascii="宋体" w:hAnsi="宋体"/>
          <w:color w:val="000000"/>
          <w:sz w:val="24"/>
          <w:lang w:val="zh-CN"/>
        </w:rPr>
      </w:pPr>
    </w:p>
    <w:p w14:paraId="30204030">
      <w:pPr>
        <w:spacing w:line="360" w:lineRule="auto"/>
        <w:rPr>
          <w:rFonts w:hint="eastAsia" w:ascii="宋体" w:hAnsi="宋体"/>
          <w:color w:val="000000"/>
          <w:sz w:val="24"/>
          <w:lang w:val="zh-CN"/>
        </w:rPr>
      </w:pPr>
    </w:p>
    <w:p w14:paraId="604B2EE1">
      <w:pPr>
        <w:spacing w:line="360" w:lineRule="auto"/>
        <w:rPr>
          <w:rFonts w:hint="eastAsia" w:ascii="宋体" w:hAnsi="宋体"/>
          <w:color w:val="000000"/>
          <w:sz w:val="24"/>
          <w:lang w:val="zh-CN"/>
        </w:rPr>
      </w:pPr>
    </w:p>
    <w:p w14:paraId="3F52457B">
      <w:pPr>
        <w:spacing w:line="360" w:lineRule="auto"/>
        <w:rPr>
          <w:rFonts w:hint="eastAsia" w:ascii="宋体" w:hAnsi="宋体"/>
          <w:color w:val="000000"/>
          <w:sz w:val="24"/>
          <w:lang w:val="zh-CN"/>
        </w:rPr>
      </w:pPr>
    </w:p>
    <w:p w14:paraId="52404E0F">
      <w:pPr>
        <w:spacing w:line="360" w:lineRule="auto"/>
        <w:rPr>
          <w:rFonts w:hint="eastAsia" w:ascii="宋体" w:hAnsi="宋体"/>
          <w:color w:val="000000"/>
          <w:sz w:val="24"/>
          <w:lang w:val="zh-CN"/>
        </w:rPr>
      </w:pPr>
    </w:p>
    <w:p w14:paraId="07FF6F24">
      <w:pPr>
        <w:spacing w:line="360" w:lineRule="auto"/>
        <w:rPr>
          <w:rFonts w:hint="eastAsia" w:ascii="宋体" w:hAnsi="宋体"/>
          <w:color w:val="000000"/>
          <w:sz w:val="24"/>
          <w:lang w:val="zh-CN"/>
        </w:rPr>
      </w:pPr>
    </w:p>
    <w:p w14:paraId="7CED8F61">
      <w:pPr>
        <w:pStyle w:val="13"/>
        <w:rPr>
          <w:rFonts w:hint="eastAsia" w:ascii="宋体" w:hAnsi="宋体"/>
          <w:color w:val="000000"/>
          <w:sz w:val="24"/>
          <w:lang w:val="zh-CN"/>
        </w:rPr>
      </w:pPr>
    </w:p>
    <w:p w14:paraId="1648B19A">
      <w:pPr>
        <w:pStyle w:val="14"/>
        <w:rPr>
          <w:rFonts w:hint="eastAsia" w:ascii="宋体" w:hAnsi="宋体"/>
          <w:color w:val="000000"/>
          <w:sz w:val="24"/>
          <w:lang w:val="zh-CN"/>
        </w:rPr>
      </w:pPr>
    </w:p>
    <w:p w14:paraId="7CCED0BB">
      <w:pPr>
        <w:pStyle w:val="15"/>
        <w:rPr>
          <w:rFonts w:hint="eastAsia"/>
          <w:lang w:val="zh-CN"/>
        </w:rPr>
      </w:pPr>
    </w:p>
    <w:p w14:paraId="5035BC32">
      <w:pPr>
        <w:pStyle w:val="2"/>
        <w:keepNext w:val="0"/>
        <w:keepLines w:val="0"/>
        <w:autoSpaceDE w:val="0"/>
        <w:autoSpaceDN w:val="0"/>
        <w:spacing w:before="0" w:beforeAutospacing="0" w:after="0" w:afterAutospacing="0" w:line="360" w:lineRule="auto"/>
        <w:jc w:val="left"/>
        <w:rPr>
          <w:kern w:val="0"/>
          <w:sz w:val="28"/>
          <w:szCs w:val="28"/>
          <w:lang w:bidi="zh-CN"/>
        </w:rPr>
      </w:pPr>
      <w:bookmarkStart w:id="11" w:name="_Toc9217"/>
      <w:r>
        <w:rPr>
          <w:kern w:val="0"/>
          <w:sz w:val="28"/>
          <w:szCs w:val="28"/>
          <w:lang w:bidi="zh-CN"/>
        </w:rPr>
        <w:t>2总</w:t>
      </w:r>
      <w:bookmarkEnd w:id="1"/>
      <w:bookmarkEnd w:id="8"/>
      <w:bookmarkEnd w:id="9"/>
      <w:r>
        <w:rPr>
          <w:kern w:val="0"/>
          <w:sz w:val="28"/>
          <w:szCs w:val="28"/>
          <w:lang w:bidi="zh-CN"/>
        </w:rPr>
        <w:t>则</w:t>
      </w:r>
      <w:bookmarkEnd w:id="11"/>
    </w:p>
    <w:p w14:paraId="388197B7">
      <w:pPr>
        <w:pStyle w:val="3"/>
        <w:keepNext w:val="0"/>
        <w:keepLines w:val="0"/>
        <w:autoSpaceDE w:val="0"/>
        <w:autoSpaceDN w:val="0"/>
        <w:spacing w:before="0" w:after="0" w:line="360" w:lineRule="auto"/>
        <w:jc w:val="left"/>
        <w:rPr>
          <w:rFonts w:ascii="Times New Roman" w:hAnsi="Times New Roman" w:eastAsia="宋体"/>
          <w:kern w:val="0"/>
          <w:sz w:val="24"/>
          <w:szCs w:val="30"/>
          <w:lang w:bidi="zh-CN"/>
        </w:rPr>
      </w:pPr>
      <w:bookmarkStart w:id="12" w:name="_Toc8408"/>
      <w:bookmarkStart w:id="13" w:name="_Toc31824"/>
      <w:bookmarkStart w:id="14" w:name="_Toc4464"/>
      <w:bookmarkStart w:id="15" w:name="_Toc27898"/>
      <w:bookmarkStart w:id="16" w:name="_Toc332727814"/>
      <w:bookmarkStart w:id="17" w:name="_Toc318380467"/>
      <w:bookmarkStart w:id="18" w:name="_Toc363049947"/>
      <w:r>
        <w:rPr>
          <w:rFonts w:hint="eastAsia" w:ascii="Times New Roman" w:hAnsi="Times New Roman" w:eastAsia="宋体"/>
          <w:kern w:val="0"/>
          <w:sz w:val="24"/>
          <w:szCs w:val="30"/>
          <w:lang w:val="en-US" w:bidi="zh-CN"/>
        </w:rPr>
        <w:t>2.1</w:t>
      </w:r>
      <w:r>
        <w:rPr>
          <w:rFonts w:hint="eastAsia" w:ascii="Times New Roman" w:hAnsi="Times New Roman" w:eastAsia="宋体"/>
          <w:kern w:val="0"/>
          <w:sz w:val="24"/>
          <w:szCs w:val="30"/>
          <w:lang w:bidi="zh-CN"/>
        </w:rPr>
        <w:t>编制依据</w:t>
      </w:r>
      <w:bookmarkEnd w:id="12"/>
      <w:bookmarkEnd w:id="13"/>
      <w:bookmarkEnd w:id="14"/>
      <w:bookmarkEnd w:id="15"/>
    </w:p>
    <w:p w14:paraId="5EA6213E">
      <w:pPr>
        <w:pStyle w:val="4"/>
        <w:autoSpaceDE w:val="0"/>
        <w:autoSpaceDN w:val="0"/>
        <w:spacing w:before="0" w:after="0" w:line="360" w:lineRule="auto"/>
        <w:jc w:val="left"/>
        <w:rPr>
          <w:kern w:val="0"/>
          <w:sz w:val="24"/>
          <w:lang w:val="en-US" w:bidi="zh-CN"/>
        </w:rPr>
      </w:pPr>
      <w:bookmarkStart w:id="19" w:name="2.1.1国家法律、法规条例"/>
      <w:bookmarkEnd w:id="19"/>
      <w:bookmarkStart w:id="20" w:name="_Toc15940"/>
      <w:bookmarkStart w:id="21" w:name="_Toc12070"/>
      <w:bookmarkStart w:id="22" w:name="_Toc4973"/>
      <w:r>
        <w:rPr>
          <w:rFonts w:hint="eastAsia"/>
          <w:kern w:val="0"/>
          <w:sz w:val="24"/>
          <w:lang w:val="en-US" w:bidi="zh-CN"/>
        </w:rPr>
        <w:t>2.1.1国家法律、法规条例</w:t>
      </w:r>
      <w:bookmarkEnd w:id="20"/>
      <w:bookmarkEnd w:id="21"/>
      <w:bookmarkEnd w:id="22"/>
    </w:p>
    <w:p w14:paraId="26563898">
      <w:pPr>
        <w:spacing w:line="360" w:lineRule="auto"/>
        <w:ind w:firstLine="480" w:firstLineChars="200"/>
        <w:rPr>
          <w:rFonts w:hint="eastAsia" w:ascii="宋体" w:hAnsi="宋体"/>
          <w:sz w:val="24"/>
        </w:rPr>
      </w:pPr>
      <w:r>
        <w:rPr>
          <w:rFonts w:ascii="宋体" w:hAnsi="宋体"/>
          <w:sz w:val="24"/>
        </w:rPr>
        <w:t>（1）《中华人民共和国环境保护法（2014年修订）》（2015年1月1日）；</w:t>
      </w:r>
    </w:p>
    <w:p w14:paraId="54C5D65D">
      <w:pPr>
        <w:spacing w:line="360" w:lineRule="auto"/>
        <w:ind w:firstLine="480" w:firstLineChars="200"/>
        <w:rPr>
          <w:rFonts w:hint="eastAsia" w:ascii="宋体" w:hAnsi="宋体"/>
          <w:sz w:val="24"/>
        </w:rPr>
      </w:pPr>
      <w:r>
        <w:rPr>
          <w:rFonts w:ascii="宋体" w:hAnsi="宋体"/>
          <w:sz w:val="24"/>
        </w:rPr>
        <w:t>（2）《中华人民共和国环境影响评价法》</w:t>
      </w:r>
      <w:r>
        <w:rPr>
          <w:rFonts w:hint="eastAsia" w:ascii="宋体" w:hAnsi="宋体"/>
          <w:sz w:val="24"/>
        </w:rPr>
        <w:t>（</w:t>
      </w:r>
      <w:r>
        <w:rPr>
          <w:rFonts w:ascii="宋体" w:hAnsi="宋体"/>
          <w:sz w:val="24"/>
        </w:rPr>
        <w:t>2018年12月29日修订</w:t>
      </w:r>
      <w:r>
        <w:rPr>
          <w:rFonts w:hint="eastAsia" w:ascii="宋体" w:hAnsi="宋体"/>
          <w:sz w:val="24"/>
        </w:rPr>
        <w:t>）</w:t>
      </w:r>
      <w:r>
        <w:rPr>
          <w:rFonts w:ascii="宋体" w:hAnsi="宋体"/>
          <w:sz w:val="24"/>
        </w:rPr>
        <w:t>；</w:t>
      </w:r>
    </w:p>
    <w:p w14:paraId="44BDA200">
      <w:pPr>
        <w:spacing w:line="360" w:lineRule="auto"/>
        <w:ind w:firstLine="480" w:firstLineChars="200"/>
        <w:rPr>
          <w:rFonts w:hint="eastAsia" w:ascii="宋体" w:hAnsi="宋体"/>
          <w:sz w:val="24"/>
        </w:rPr>
      </w:pPr>
      <w:r>
        <w:rPr>
          <w:rFonts w:ascii="宋体" w:hAnsi="宋体"/>
          <w:sz w:val="24"/>
        </w:rPr>
        <w:t>（3）《中华人民共和国大气污染防治法》</w:t>
      </w:r>
      <w:r>
        <w:rPr>
          <w:rFonts w:hint="eastAsia" w:ascii="宋体" w:hAnsi="宋体"/>
          <w:sz w:val="24"/>
        </w:rPr>
        <w:t>（</w:t>
      </w:r>
      <w:r>
        <w:rPr>
          <w:rFonts w:ascii="宋体" w:hAnsi="宋体"/>
          <w:sz w:val="24"/>
        </w:rPr>
        <w:t>2018年10月26日修订</w:t>
      </w:r>
      <w:r>
        <w:rPr>
          <w:rFonts w:hint="eastAsia" w:ascii="宋体" w:hAnsi="宋体"/>
          <w:sz w:val="24"/>
        </w:rPr>
        <w:t>）</w:t>
      </w:r>
      <w:r>
        <w:rPr>
          <w:rFonts w:ascii="宋体" w:hAnsi="宋体"/>
          <w:sz w:val="24"/>
        </w:rPr>
        <w:t>；</w:t>
      </w:r>
    </w:p>
    <w:p w14:paraId="39FCA946">
      <w:pPr>
        <w:spacing w:line="360" w:lineRule="auto"/>
        <w:ind w:firstLine="480" w:firstLineChars="200"/>
        <w:rPr>
          <w:rFonts w:hint="eastAsia" w:ascii="宋体" w:hAnsi="宋体"/>
          <w:sz w:val="24"/>
        </w:rPr>
      </w:pPr>
      <w:r>
        <w:rPr>
          <w:rFonts w:ascii="宋体" w:hAnsi="宋体"/>
          <w:sz w:val="24"/>
        </w:rPr>
        <w:t>（4）《中华人民共和国水污染防治法》</w:t>
      </w:r>
      <w:r>
        <w:rPr>
          <w:rFonts w:hint="eastAsia" w:ascii="宋体" w:hAnsi="宋体"/>
          <w:sz w:val="24"/>
        </w:rPr>
        <w:t>（</w:t>
      </w:r>
      <w:r>
        <w:rPr>
          <w:rFonts w:ascii="宋体" w:hAnsi="宋体"/>
          <w:sz w:val="24"/>
        </w:rPr>
        <w:t>2018年1月1日</w:t>
      </w:r>
      <w:r>
        <w:rPr>
          <w:rFonts w:hint="eastAsia" w:ascii="宋体" w:hAnsi="宋体"/>
          <w:sz w:val="24"/>
        </w:rPr>
        <w:t>）</w:t>
      </w:r>
      <w:r>
        <w:rPr>
          <w:rFonts w:ascii="宋体" w:hAnsi="宋体"/>
          <w:sz w:val="24"/>
        </w:rPr>
        <w:t>；</w:t>
      </w:r>
    </w:p>
    <w:p w14:paraId="2CF6C304">
      <w:pPr>
        <w:spacing w:line="360" w:lineRule="auto"/>
        <w:ind w:firstLine="480" w:firstLineChars="200"/>
        <w:rPr>
          <w:rFonts w:hint="eastAsia" w:ascii="宋体" w:hAnsi="宋体"/>
          <w:sz w:val="24"/>
        </w:rPr>
      </w:pPr>
      <w:r>
        <w:rPr>
          <w:rFonts w:ascii="宋体" w:hAnsi="宋体"/>
          <w:sz w:val="24"/>
        </w:rPr>
        <w:t>（5）《中华人民共和国土壤污染防治法》（2019年1月1日）；</w:t>
      </w:r>
    </w:p>
    <w:p w14:paraId="11A4291A">
      <w:pPr>
        <w:spacing w:line="360" w:lineRule="auto"/>
        <w:ind w:firstLine="480" w:firstLineChars="200"/>
        <w:rPr>
          <w:rFonts w:hint="eastAsia" w:ascii="宋体" w:hAnsi="宋体"/>
          <w:sz w:val="24"/>
        </w:rPr>
      </w:pPr>
      <w:r>
        <w:rPr>
          <w:rFonts w:ascii="宋体" w:hAnsi="宋体"/>
          <w:sz w:val="24"/>
        </w:rPr>
        <w:t>（</w:t>
      </w:r>
      <w:r>
        <w:rPr>
          <w:rFonts w:hint="eastAsia" w:ascii="宋体" w:hAnsi="宋体"/>
          <w:sz w:val="24"/>
        </w:rPr>
        <w:t>6</w:t>
      </w:r>
      <w:r>
        <w:rPr>
          <w:rFonts w:ascii="宋体" w:hAnsi="宋体"/>
          <w:sz w:val="24"/>
        </w:rPr>
        <w:t>）《中华人民共和国环境噪声污染防治法》（20</w:t>
      </w:r>
      <w:r>
        <w:rPr>
          <w:rFonts w:hint="eastAsia" w:ascii="宋体" w:hAnsi="宋体"/>
          <w:sz w:val="24"/>
        </w:rPr>
        <w:t>22</w:t>
      </w:r>
      <w:r>
        <w:rPr>
          <w:rFonts w:ascii="宋体" w:hAnsi="宋体"/>
          <w:sz w:val="24"/>
        </w:rPr>
        <w:t>年</w:t>
      </w:r>
      <w:r>
        <w:rPr>
          <w:rFonts w:hint="eastAsia" w:ascii="宋体" w:hAnsi="宋体"/>
          <w:sz w:val="24"/>
        </w:rPr>
        <w:t>6</w:t>
      </w:r>
      <w:r>
        <w:rPr>
          <w:rFonts w:ascii="宋体" w:hAnsi="宋体"/>
          <w:sz w:val="24"/>
        </w:rPr>
        <w:t>月</w:t>
      </w:r>
      <w:r>
        <w:rPr>
          <w:rFonts w:hint="eastAsia" w:ascii="宋体" w:hAnsi="宋体"/>
          <w:sz w:val="24"/>
        </w:rPr>
        <w:t>5</w:t>
      </w:r>
      <w:r>
        <w:rPr>
          <w:rFonts w:ascii="宋体" w:hAnsi="宋体"/>
          <w:sz w:val="24"/>
        </w:rPr>
        <w:t>日</w:t>
      </w:r>
      <w:r>
        <w:rPr>
          <w:rFonts w:hint="eastAsia" w:ascii="宋体" w:hAnsi="宋体"/>
          <w:sz w:val="24"/>
        </w:rPr>
        <w:t>起施行</w:t>
      </w:r>
      <w:r>
        <w:rPr>
          <w:rFonts w:ascii="宋体" w:hAnsi="宋体"/>
          <w:sz w:val="24"/>
        </w:rPr>
        <w:t>）</w:t>
      </w:r>
      <w:r>
        <w:rPr>
          <w:rFonts w:hint="eastAsia" w:ascii="宋体" w:hAnsi="宋体"/>
          <w:sz w:val="24"/>
        </w:rPr>
        <w:t>；</w:t>
      </w:r>
    </w:p>
    <w:p w14:paraId="61C98A35">
      <w:pPr>
        <w:spacing w:line="360" w:lineRule="auto"/>
        <w:ind w:firstLine="480" w:firstLineChars="200"/>
        <w:rPr>
          <w:rFonts w:hint="eastAsia" w:ascii="宋体" w:hAnsi="宋体"/>
          <w:sz w:val="24"/>
        </w:rPr>
      </w:pPr>
      <w:r>
        <w:rPr>
          <w:rFonts w:ascii="宋体" w:hAnsi="宋体"/>
          <w:sz w:val="24"/>
        </w:rPr>
        <w:t>（</w:t>
      </w:r>
      <w:r>
        <w:rPr>
          <w:rFonts w:hint="eastAsia" w:ascii="宋体" w:hAnsi="宋体"/>
          <w:sz w:val="24"/>
        </w:rPr>
        <w:t>7</w:t>
      </w:r>
      <w:r>
        <w:rPr>
          <w:rFonts w:ascii="宋体" w:hAnsi="宋体"/>
          <w:sz w:val="24"/>
        </w:rPr>
        <w:t>）《中华人民共和国固体废物污染环境防治法》（2020年9月1日）；</w:t>
      </w:r>
    </w:p>
    <w:p w14:paraId="0BC80333">
      <w:pPr>
        <w:spacing w:line="360" w:lineRule="auto"/>
        <w:ind w:firstLine="480" w:firstLineChars="200"/>
        <w:rPr>
          <w:rFonts w:hint="eastAsia" w:ascii="宋体" w:hAnsi="宋体"/>
          <w:sz w:val="24"/>
        </w:rPr>
      </w:pPr>
      <w:r>
        <w:rPr>
          <w:rFonts w:ascii="宋体" w:hAnsi="宋体"/>
          <w:sz w:val="24"/>
        </w:rPr>
        <w:t>（</w:t>
      </w:r>
      <w:r>
        <w:rPr>
          <w:rFonts w:hint="eastAsia" w:ascii="宋体" w:hAnsi="宋体"/>
          <w:sz w:val="24"/>
        </w:rPr>
        <w:t>8</w:t>
      </w:r>
      <w:r>
        <w:rPr>
          <w:rFonts w:ascii="宋体" w:hAnsi="宋体"/>
          <w:sz w:val="24"/>
        </w:rPr>
        <w:t>）《中华人民共和国清洁生产促进法》（2012年7月1日）；</w:t>
      </w:r>
    </w:p>
    <w:p w14:paraId="132F7D3E">
      <w:pPr>
        <w:spacing w:line="360" w:lineRule="auto"/>
        <w:ind w:firstLine="480" w:firstLineChars="200"/>
        <w:rPr>
          <w:rFonts w:hint="eastAsia" w:ascii="宋体" w:hAnsi="宋体"/>
          <w:sz w:val="24"/>
        </w:rPr>
      </w:pPr>
      <w:r>
        <w:rPr>
          <w:rFonts w:ascii="宋体" w:hAnsi="宋体"/>
          <w:sz w:val="24"/>
        </w:rPr>
        <w:t>（</w:t>
      </w:r>
      <w:r>
        <w:rPr>
          <w:rFonts w:hint="eastAsia" w:ascii="宋体" w:hAnsi="宋体"/>
          <w:sz w:val="24"/>
        </w:rPr>
        <w:t>9</w:t>
      </w:r>
      <w:r>
        <w:rPr>
          <w:rFonts w:ascii="宋体" w:hAnsi="宋体"/>
          <w:sz w:val="24"/>
        </w:rPr>
        <w:t>）《中华人民共和国循环经济促进法》（2018年10月26日）；</w:t>
      </w:r>
    </w:p>
    <w:p w14:paraId="1FE47277">
      <w:pPr>
        <w:spacing w:line="360" w:lineRule="auto"/>
        <w:ind w:firstLine="480" w:firstLineChars="200"/>
        <w:rPr>
          <w:rFonts w:hint="eastAsia" w:ascii="宋体" w:hAnsi="宋体"/>
          <w:sz w:val="24"/>
        </w:rPr>
      </w:pPr>
      <w:r>
        <w:rPr>
          <w:rFonts w:ascii="宋体" w:hAnsi="宋体"/>
          <w:sz w:val="24"/>
        </w:rPr>
        <w:t>（</w:t>
      </w:r>
      <w:r>
        <w:rPr>
          <w:rFonts w:hint="eastAsia" w:ascii="宋体" w:hAnsi="宋体"/>
          <w:sz w:val="24"/>
        </w:rPr>
        <w:t>10</w:t>
      </w:r>
      <w:r>
        <w:rPr>
          <w:rFonts w:ascii="宋体" w:hAnsi="宋体"/>
          <w:sz w:val="24"/>
        </w:rPr>
        <w:t>）《中华人民共和国土地管理法》（2020年1月1修订）；</w:t>
      </w:r>
    </w:p>
    <w:p w14:paraId="1A0808E3">
      <w:pPr>
        <w:spacing w:line="360" w:lineRule="auto"/>
        <w:ind w:firstLine="480" w:firstLineChars="200"/>
        <w:rPr>
          <w:rFonts w:hint="eastAsia" w:ascii="宋体" w:hAnsi="宋体"/>
          <w:sz w:val="24"/>
        </w:rPr>
      </w:pPr>
      <w:r>
        <w:rPr>
          <w:rFonts w:ascii="宋体" w:hAnsi="宋体"/>
          <w:sz w:val="24"/>
        </w:rPr>
        <w:t>（1</w:t>
      </w:r>
      <w:r>
        <w:rPr>
          <w:rFonts w:hint="eastAsia" w:ascii="宋体" w:hAnsi="宋体"/>
          <w:sz w:val="24"/>
        </w:rPr>
        <w:t>1</w:t>
      </w:r>
      <w:r>
        <w:rPr>
          <w:rFonts w:ascii="宋体" w:hAnsi="宋体"/>
          <w:sz w:val="24"/>
        </w:rPr>
        <w:t>）《中华人民共和国水土保持法》（2011年3月1日修订）</w:t>
      </w:r>
      <w:r>
        <w:rPr>
          <w:rFonts w:hint="eastAsia" w:ascii="宋体" w:hAnsi="宋体"/>
          <w:sz w:val="24"/>
        </w:rPr>
        <w:t>；</w:t>
      </w:r>
    </w:p>
    <w:p w14:paraId="4149B525">
      <w:pPr>
        <w:spacing w:line="360" w:lineRule="auto"/>
        <w:ind w:firstLine="480" w:firstLineChars="200"/>
        <w:rPr>
          <w:rFonts w:hint="eastAsia" w:ascii="宋体" w:hAnsi="宋体"/>
          <w:sz w:val="24"/>
        </w:rPr>
      </w:pPr>
      <w:bookmarkStart w:id="23" w:name="2.1.2部门规章"/>
      <w:bookmarkEnd w:id="23"/>
      <w:bookmarkStart w:id="24" w:name="_Toc28714"/>
      <w:bookmarkStart w:id="25" w:name="_Toc10169"/>
      <w:bookmarkStart w:id="26" w:name="_Toc3248"/>
      <w:r>
        <w:rPr>
          <w:rFonts w:hint="eastAsia" w:ascii="宋体" w:hAnsi="宋体"/>
          <w:sz w:val="24"/>
        </w:rPr>
        <w:t>（</w:t>
      </w:r>
      <w:r>
        <w:rPr>
          <w:rFonts w:ascii="宋体" w:hAnsi="宋体"/>
          <w:sz w:val="24"/>
        </w:rPr>
        <w:t>12）《国务院关于印发大气污染防治行动计划的通知》（国发</w:t>
      </w:r>
      <w:r>
        <w:rPr>
          <w:rFonts w:hint="eastAsia" w:ascii="宋体" w:hAnsi="宋体"/>
          <w:sz w:val="24"/>
        </w:rPr>
        <w:t>〔</w:t>
      </w:r>
      <w:r>
        <w:rPr>
          <w:rFonts w:ascii="宋体" w:hAnsi="宋体"/>
          <w:sz w:val="24"/>
        </w:rPr>
        <w:t>2013</w:t>
      </w:r>
      <w:r>
        <w:rPr>
          <w:rFonts w:hint="eastAsia" w:ascii="宋体" w:hAnsi="宋体"/>
          <w:sz w:val="24"/>
        </w:rPr>
        <w:t>〕</w:t>
      </w:r>
      <w:r>
        <w:rPr>
          <w:rFonts w:ascii="宋体" w:hAnsi="宋体"/>
          <w:sz w:val="24"/>
        </w:rPr>
        <w:t>37号）；</w:t>
      </w:r>
      <w:bookmarkEnd w:id="24"/>
      <w:bookmarkEnd w:id="25"/>
    </w:p>
    <w:p w14:paraId="43B72DA0">
      <w:pPr>
        <w:spacing w:line="360" w:lineRule="auto"/>
        <w:ind w:firstLine="480" w:firstLineChars="200"/>
        <w:rPr>
          <w:rFonts w:hint="eastAsia" w:ascii="宋体" w:hAnsi="宋体"/>
          <w:sz w:val="24"/>
        </w:rPr>
      </w:pPr>
      <w:bookmarkStart w:id="27" w:name="_Toc4485"/>
      <w:bookmarkStart w:id="28" w:name="_Toc21646"/>
      <w:r>
        <w:rPr>
          <w:rFonts w:ascii="宋体" w:hAnsi="宋体"/>
          <w:sz w:val="24"/>
        </w:rPr>
        <w:t>（13）</w:t>
      </w:r>
      <w:bookmarkEnd w:id="27"/>
      <w:bookmarkEnd w:id="28"/>
      <w:bookmarkStart w:id="29" w:name="_Toc21452"/>
      <w:bookmarkStart w:id="30" w:name="_Toc10353"/>
      <w:r>
        <w:rPr>
          <w:rFonts w:ascii="宋体" w:hAnsi="宋体"/>
          <w:sz w:val="24"/>
        </w:rPr>
        <w:t>《建设项目环境保护管理条例》（国务院令682号，2017年10月1日施行）。</w:t>
      </w:r>
      <w:bookmarkEnd w:id="29"/>
      <w:bookmarkEnd w:id="30"/>
    </w:p>
    <w:p w14:paraId="655E1D27">
      <w:pPr>
        <w:pStyle w:val="4"/>
        <w:autoSpaceDE w:val="0"/>
        <w:autoSpaceDN w:val="0"/>
        <w:spacing w:before="0" w:after="0" w:line="360" w:lineRule="auto"/>
        <w:jc w:val="left"/>
        <w:rPr>
          <w:kern w:val="0"/>
          <w:sz w:val="24"/>
          <w:lang w:val="en-US" w:bidi="zh-CN"/>
        </w:rPr>
      </w:pPr>
      <w:bookmarkStart w:id="31" w:name="_Toc11302"/>
      <w:bookmarkStart w:id="32" w:name="_Toc26686"/>
      <w:r>
        <w:rPr>
          <w:rFonts w:hint="eastAsia"/>
          <w:kern w:val="0"/>
          <w:sz w:val="24"/>
          <w:lang w:val="en-US" w:bidi="zh-CN"/>
        </w:rPr>
        <w:t>2.1.2部门规章</w:t>
      </w:r>
      <w:bookmarkEnd w:id="26"/>
      <w:bookmarkEnd w:id="31"/>
      <w:bookmarkEnd w:id="32"/>
    </w:p>
    <w:p w14:paraId="66914CB0">
      <w:pPr>
        <w:spacing w:line="360" w:lineRule="auto"/>
        <w:ind w:firstLine="480" w:firstLineChars="200"/>
        <w:rPr>
          <w:rFonts w:hint="eastAsia" w:ascii="宋体" w:hAnsi="宋体"/>
          <w:sz w:val="24"/>
        </w:rPr>
      </w:pPr>
      <w:r>
        <w:rPr>
          <w:rFonts w:ascii="宋体" w:hAnsi="宋体"/>
          <w:sz w:val="24"/>
        </w:rPr>
        <w:t>（1）《建设项目环境影响评价分类管理名录》（2021年</w:t>
      </w:r>
      <w:r>
        <w:rPr>
          <w:rFonts w:hint="eastAsia" w:ascii="宋体" w:hAnsi="宋体"/>
          <w:sz w:val="24"/>
        </w:rPr>
        <w:t>版</w:t>
      </w:r>
      <w:r>
        <w:rPr>
          <w:rFonts w:ascii="宋体" w:hAnsi="宋体"/>
          <w:sz w:val="24"/>
        </w:rPr>
        <w:t>）（2021年1月1日）；</w:t>
      </w:r>
    </w:p>
    <w:p w14:paraId="6F37EEE0">
      <w:pPr>
        <w:spacing w:line="360" w:lineRule="auto"/>
        <w:ind w:firstLine="480" w:firstLineChars="200"/>
        <w:rPr>
          <w:rFonts w:hint="eastAsia" w:ascii="宋体" w:hAnsi="宋体"/>
          <w:sz w:val="24"/>
        </w:rPr>
      </w:pPr>
      <w:r>
        <w:rPr>
          <w:rFonts w:ascii="宋体" w:hAnsi="宋体"/>
          <w:sz w:val="24"/>
        </w:rPr>
        <w:t>（2）《产业结构调整指导目录（20</w:t>
      </w:r>
      <w:r>
        <w:rPr>
          <w:rFonts w:hint="eastAsia" w:ascii="宋体" w:hAnsi="宋体"/>
          <w:sz w:val="24"/>
        </w:rPr>
        <w:t>24</w:t>
      </w:r>
      <w:r>
        <w:rPr>
          <w:rFonts w:ascii="宋体" w:hAnsi="宋体"/>
          <w:sz w:val="24"/>
        </w:rPr>
        <w:t>年本）》；</w:t>
      </w:r>
    </w:p>
    <w:p w14:paraId="4FD3F9A4">
      <w:pPr>
        <w:spacing w:line="360" w:lineRule="auto"/>
        <w:ind w:firstLine="480" w:firstLineChars="200"/>
        <w:rPr>
          <w:rFonts w:hint="eastAsia" w:ascii="宋体" w:hAnsi="宋体"/>
          <w:sz w:val="24"/>
        </w:rPr>
      </w:pPr>
      <w:r>
        <w:rPr>
          <w:rFonts w:ascii="宋体" w:hAnsi="宋体"/>
          <w:sz w:val="24"/>
        </w:rPr>
        <w:t>（3）关于发布《废塑料加工利用污染防治管理规定》的公告，公告2012年第55号，2012.10.1；</w:t>
      </w:r>
    </w:p>
    <w:p w14:paraId="121CE292">
      <w:pPr>
        <w:spacing w:line="360" w:lineRule="auto"/>
        <w:ind w:firstLine="480" w:firstLineChars="200"/>
        <w:rPr>
          <w:rFonts w:hint="eastAsia" w:ascii="宋体" w:hAnsi="宋体"/>
          <w:sz w:val="24"/>
        </w:rPr>
      </w:pPr>
      <w:r>
        <w:rPr>
          <w:rFonts w:ascii="宋体" w:hAnsi="宋体"/>
          <w:sz w:val="24"/>
        </w:rPr>
        <w:t>（4）商务部等5部门关于印发《再生资源回收体系建设中长期规划（2015-2020）》的通知，商流通发</w:t>
      </w:r>
      <w:r>
        <w:rPr>
          <w:rFonts w:hint="eastAsia" w:ascii="宋体" w:hAnsi="宋体"/>
          <w:sz w:val="24"/>
        </w:rPr>
        <w:t>〔</w:t>
      </w:r>
      <w:r>
        <w:rPr>
          <w:rFonts w:ascii="宋体" w:hAnsi="宋体"/>
          <w:sz w:val="24"/>
        </w:rPr>
        <w:t>2015</w:t>
      </w:r>
      <w:r>
        <w:rPr>
          <w:rFonts w:hint="eastAsia" w:ascii="宋体" w:hAnsi="宋体"/>
          <w:sz w:val="24"/>
        </w:rPr>
        <w:t>〕</w:t>
      </w:r>
      <w:r>
        <w:rPr>
          <w:rFonts w:ascii="宋体" w:hAnsi="宋体"/>
          <w:sz w:val="24"/>
        </w:rPr>
        <w:t>21号，2015.1.21；</w:t>
      </w:r>
    </w:p>
    <w:p w14:paraId="792CB448">
      <w:pPr>
        <w:spacing w:line="360" w:lineRule="auto"/>
        <w:ind w:firstLine="480" w:firstLineChars="200"/>
        <w:rPr>
          <w:rFonts w:hint="eastAsia" w:ascii="宋体" w:hAnsi="宋体"/>
          <w:sz w:val="24"/>
        </w:rPr>
      </w:pPr>
      <w:r>
        <w:rPr>
          <w:rFonts w:ascii="宋体" w:hAnsi="宋体"/>
          <w:sz w:val="24"/>
        </w:rPr>
        <w:t>（5）关于加快推进再生资源产业发展的指导意见，工信部联节〔2016〕440号，2016.12.21；</w:t>
      </w:r>
    </w:p>
    <w:p w14:paraId="430D25AB">
      <w:pPr>
        <w:spacing w:line="360" w:lineRule="auto"/>
        <w:ind w:firstLine="480" w:firstLineChars="200"/>
        <w:rPr>
          <w:rFonts w:hint="eastAsia" w:ascii="宋体" w:hAnsi="宋体"/>
          <w:sz w:val="24"/>
        </w:rPr>
      </w:pPr>
      <w:r>
        <w:rPr>
          <w:rFonts w:ascii="宋体" w:hAnsi="宋体"/>
          <w:sz w:val="24"/>
        </w:rPr>
        <w:t>（6）国务院关于印发《中国制造2025》的通知，国发〔2015〕28号，2015年5月8日；</w:t>
      </w:r>
    </w:p>
    <w:p w14:paraId="6A6AE02B">
      <w:pPr>
        <w:spacing w:line="360" w:lineRule="auto"/>
        <w:ind w:firstLine="480" w:firstLineChars="200"/>
        <w:rPr>
          <w:rFonts w:hint="eastAsia" w:ascii="宋体" w:hAnsi="宋体"/>
          <w:sz w:val="24"/>
        </w:rPr>
      </w:pPr>
      <w:r>
        <w:rPr>
          <w:rFonts w:ascii="宋体" w:hAnsi="宋体"/>
          <w:sz w:val="24"/>
        </w:rPr>
        <w:t>（7）《国家工业资源综合利用先进适用技术装备目录》，2017年10月13日；</w:t>
      </w:r>
    </w:p>
    <w:p w14:paraId="2126C3AA">
      <w:pPr>
        <w:spacing w:line="360" w:lineRule="auto"/>
        <w:ind w:firstLine="480" w:firstLineChars="200"/>
        <w:rPr>
          <w:rFonts w:hint="eastAsia" w:ascii="宋体" w:hAnsi="宋体"/>
          <w:sz w:val="24"/>
        </w:rPr>
      </w:pPr>
      <w:r>
        <w:rPr>
          <w:rFonts w:ascii="宋体" w:hAnsi="宋体"/>
          <w:sz w:val="24"/>
        </w:rPr>
        <w:t>（8）《废塑料综合利用行业规范条件》，2016年1月1日；</w:t>
      </w:r>
    </w:p>
    <w:p w14:paraId="672D15C4">
      <w:pPr>
        <w:spacing w:line="360" w:lineRule="auto"/>
        <w:ind w:firstLine="480" w:firstLineChars="200"/>
        <w:rPr>
          <w:rFonts w:hint="eastAsia" w:ascii="宋体" w:hAnsi="宋体"/>
          <w:sz w:val="24"/>
        </w:rPr>
      </w:pPr>
      <w:r>
        <w:rPr>
          <w:rFonts w:ascii="宋体" w:hAnsi="宋体"/>
          <w:sz w:val="24"/>
        </w:rPr>
        <w:t>（9）《废塑料综合利用行业规范条件公告管理暂行办法》，2016年1月1日；</w:t>
      </w:r>
    </w:p>
    <w:p w14:paraId="47A8E535">
      <w:pPr>
        <w:spacing w:line="360" w:lineRule="auto"/>
        <w:ind w:firstLine="480" w:firstLineChars="200"/>
        <w:rPr>
          <w:rFonts w:hint="eastAsia" w:ascii="宋体" w:hAnsi="宋体"/>
          <w:sz w:val="24"/>
        </w:rPr>
      </w:pPr>
      <w:r>
        <w:rPr>
          <w:rFonts w:ascii="宋体" w:hAnsi="宋体"/>
          <w:sz w:val="24"/>
        </w:rPr>
        <w:t>（1</w:t>
      </w:r>
      <w:r>
        <w:rPr>
          <w:rFonts w:hint="eastAsia" w:ascii="宋体" w:hAnsi="宋体"/>
          <w:sz w:val="24"/>
        </w:rPr>
        <w:t>0</w:t>
      </w:r>
      <w:r>
        <w:rPr>
          <w:rFonts w:ascii="宋体" w:hAnsi="宋体"/>
          <w:sz w:val="24"/>
        </w:rPr>
        <w:t>）《环境影响评价公众参与办法》（2019年1月1日）；</w:t>
      </w:r>
    </w:p>
    <w:p w14:paraId="356DF666">
      <w:pPr>
        <w:spacing w:line="360" w:lineRule="auto"/>
        <w:ind w:firstLine="480" w:firstLineChars="200"/>
        <w:rPr>
          <w:rFonts w:hint="eastAsia" w:ascii="宋体" w:hAnsi="宋体"/>
          <w:sz w:val="24"/>
        </w:rPr>
      </w:pPr>
      <w:r>
        <w:rPr>
          <w:rFonts w:ascii="宋体" w:hAnsi="宋体"/>
          <w:sz w:val="24"/>
        </w:rPr>
        <w:t>（1</w:t>
      </w:r>
      <w:r>
        <w:rPr>
          <w:rFonts w:hint="eastAsia" w:ascii="宋体" w:hAnsi="宋体"/>
          <w:sz w:val="24"/>
        </w:rPr>
        <w:t>1</w:t>
      </w:r>
      <w:r>
        <w:rPr>
          <w:rFonts w:ascii="宋体" w:hAnsi="宋体"/>
          <w:sz w:val="24"/>
        </w:rPr>
        <w:t>）《建设项目环境影响评价政府信息公开指南（试行）》；</w:t>
      </w:r>
    </w:p>
    <w:p w14:paraId="56928038">
      <w:pPr>
        <w:spacing w:line="360" w:lineRule="auto"/>
        <w:ind w:firstLine="480" w:firstLineChars="200"/>
        <w:rPr>
          <w:rFonts w:hint="eastAsia" w:ascii="宋体" w:hAnsi="宋体"/>
          <w:sz w:val="24"/>
        </w:rPr>
      </w:pPr>
      <w:r>
        <w:rPr>
          <w:rFonts w:ascii="宋体" w:hAnsi="宋体"/>
          <w:sz w:val="24"/>
        </w:rPr>
        <w:t>（1</w:t>
      </w:r>
      <w:r>
        <w:rPr>
          <w:rFonts w:hint="eastAsia" w:ascii="宋体" w:hAnsi="宋体"/>
          <w:sz w:val="24"/>
        </w:rPr>
        <w:t>2</w:t>
      </w:r>
      <w:r>
        <w:rPr>
          <w:rFonts w:ascii="宋体" w:hAnsi="宋体"/>
          <w:sz w:val="24"/>
        </w:rPr>
        <w:t>）《建设项目竣工环境保护验收暂行办法》（部令</w:t>
      </w:r>
      <w:r>
        <w:rPr>
          <w:rFonts w:hint="eastAsia" w:ascii="宋体" w:hAnsi="宋体"/>
          <w:sz w:val="24"/>
        </w:rPr>
        <w:t>〔</w:t>
      </w:r>
      <w:r>
        <w:rPr>
          <w:rFonts w:ascii="宋体" w:hAnsi="宋体"/>
          <w:sz w:val="24"/>
        </w:rPr>
        <w:t>2017</w:t>
      </w:r>
      <w:r>
        <w:rPr>
          <w:rFonts w:hint="eastAsia" w:ascii="宋体" w:hAnsi="宋体"/>
          <w:sz w:val="24"/>
        </w:rPr>
        <w:t>〕</w:t>
      </w:r>
      <w:r>
        <w:rPr>
          <w:rFonts w:ascii="宋体" w:hAnsi="宋体"/>
          <w:sz w:val="24"/>
        </w:rPr>
        <w:t>4号）；</w:t>
      </w:r>
    </w:p>
    <w:p w14:paraId="3B6618A9">
      <w:pPr>
        <w:spacing w:line="360" w:lineRule="auto"/>
        <w:ind w:firstLine="480" w:firstLineChars="200"/>
        <w:rPr>
          <w:rFonts w:hint="eastAsia" w:ascii="宋体" w:hAnsi="宋体"/>
          <w:sz w:val="24"/>
        </w:rPr>
      </w:pPr>
      <w:r>
        <w:rPr>
          <w:rFonts w:ascii="宋体" w:hAnsi="宋体"/>
          <w:sz w:val="24"/>
        </w:rPr>
        <w:t>（1</w:t>
      </w:r>
      <w:r>
        <w:rPr>
          <w:rFonts w:hint="eastAsia" w:ascii="宋体" w:hAnsi="宋体"/>
          <w:sz w:val="24"/>
        </w:rPr>
        <w:t>3</w:t>
      </w:r>
      <w:r>
        <w:rPr>
          <w:rFonts w:ascii="宋体" w:hAnsi="宋体"/>
          <w:sz w:val="24"/>
        </w:rPr>
        <w:t>）《再生资源回收管理办法》（商务部审议通过，2007年5月1日施行）；</w:t>
      </w:r>
    </w:p>
    <w:p w14:paraId="56CCD63F">
      <w:pPr>
        <w:spacing w:line="360" w:lineRule="auto"/>
        <w:ind w:firstLine="480" w:firstLineChars="200"/>
        <w:rPr>
          <w:rFonts w:hint="eastAsia" w:ascii="宋体" w:hAnsi="宋体"/>
          <w:sz w:val="24"/>
        </w:rPr>
      </w:pPr>
      <w:r>
        <w:rPr>
          <w:rFonts w:ascii="宋体" w:hAnsi="宋体"/>
          <w:sz w:val="24"/>
        </w:rPr>
        <w:t>（1</w:t>
      </w:r>
      <w:r>
        <w:rPr>
          <w:rFonts w:hint="eastAsia" w:ascii="宋体" w:hAnsi="宋体"/>
          <w:sz w:val="24"/>
        </w:rPr>
        <w:t>4</w:t>
      </w:r>
      <w:r>
        <w:rPr>
          <w:rFonts w:ascii="宋体" w:hAnsi="宋体"/>
          <w:sz w:val="24"/>
        </w:rPr>
        <w:t>）《废塑料加工利用污染防治管理规定》（环境保护部、发展改革委、商务部公告2012年第55号）；</w:t>
      </w:r>
    </w:p>
    <w:p w14:paraId="0B441A56">
      <w:pPr>
        <w:spacing w:line="360" w:lineRule="auto"/>
        <w:ind w:firstLine="480" w:firstLineChars="200"/>
        <w:rPr>
          <w:rFonts w:hint="eastAsia" w:ascii="宋体" w:hAnsi="宋体"/>
          <w:sz w:val="24"/>
        </w:rPr>
      </w:pPr>
      <w:r>
        <w:rPr>
          <w:rFonts w:ascii="宋体" w:hAnsi="宋体"/>
          <w:sz w:val="24"/>
        </w:rPr>
        <w:t>（1</w:t>
      </w:r>
      <w:r>
        <w:rPr>
          <w:rFonts w:hint="eastAsia" w:ascii="宋体" w:hAnsi="宋体"/>
          <w:sz w:val="24"/>
        </w:rPr>
        <w:t>5</w:t>
      </w:r>
      <w:r>
        <w:rPr>
          <w:rFonts w:ascii="宋体" w:hAnsi="宋体"/>
          <w:sz w:val="24"/>
        </w:rPr>
        <w:t>）《再生资源回收体系建设中长期规划（2015—2020）》（商流通发</w:t>
      </w:r>
      <w:r>
        <w:rPr>
          <w:rFonts w:hint="eastAsia" w:ascii="宋体" w:hAnsi="宋体"/>
          <w:sz w:val="24"/>
        </w:rPr>
        <w:t>〔</w:t>
      </w:r>
      <w:r>
        <w:rPr>
          <w:rFonts w:ascii="宋体" w:hAnsi="宋体"/>
          <w:sz w:val="24"/>
        </w:rPr>
        <w:t>2015</w:t>
      </w:r>
      <w:r>
        <w:rPr>
          <w:rFonts w:hint="eastAsia" w:ascii="宋体" w:hAnsi="宋体"/>
          <w:sz w:val="24"/>
        </w:rPr>
        <w:t>〕</w:t>
      </w:r>
      <w:r>
        <w:rPr>
          <w:rFonts w:ascii="宋体" w:hAnsi="宋体"/>
          <w:sz w:val="24"/>
        </w:rPr>
        <w:t>21号）；</w:t>
      </w:r>
    </w:p>
    <w:p w14:paraId="4EB31ADA">
      <w:pPr>
        <w:spacing w:line="360" w:lineRule="auto"/>
        <w:ind w:firstLine="480" w:firstLineChars="200"/>
        <w:rPr>
          <w:rFonts w:hint="eastAsia" w:ascii="宋体" w:hAnsi="宋体"/>
          <w:sz w:val="24"/>
        </w:rPr>
      </w:pPr>
      <w:r>
        <w:rPr>
          <w:rFonts w:ascii="宋体" w:hAnsi="宋体"/>
          <w:sz w:val="24"/>
        </w:rPr>
        <w:t>（1</w:t>
      </w:r>
      <w:r>
        <w:rPr>
          <w:rFonts w:hint="eastAsia" w:ascii="宋体" w:hAnsi="宋体"/>
          <w:sz w:val="24"/>
        </w:rPr>
        <w:t>6</w:t>
      </w:r>
      <w:r>
        <w:rPr>
          <w:rFonts w:ascii="宋体" w:hAnsi="宋体"/>
          <w:sz w:val="24"/>
        </w:rPr>
        <w:t>）《国务院办公厅关于建立完整的先进的废旧商品回收体系的意见》</w:t>
      </w:r>
    </w:p>
    <w:p w14:paraId="4819ED38">
      <w:pPr>
        <w:spacing w:line="360" w:lineRule="auto"/>
        <w:rPr>
          <w:rFonts w:hint="eastAsia" w:ascii="宋体" w:hAnsi="宋体"/>
          <w:sz w:val="24"/>
        </w:rPr>
      </w:pPr>
      <w:r>
        <w:rPr>
          <w:rFonts w:ascii="宋体" w:hAnsi="宋体"/>
          <w:sz w:val="24"/>
        </w:rPr>
        <w:t>（国办发</w:t>
      </w:r>
      <w:r>
        <w:rPr>
          <w:rFonts w:hint="eastAsia" w:ascii="宋体" w:hAnsi="宋体"/>
          <w:sz w:val="24"/>
        </w:rPr>
        <w:t>〔</w:t>
      </w:r>
      <w:r>
        <w:rPr>
          <w:rFonts w:ascii="宋体" w:hAnsi="宋体"/>
          <w:sz w:val="24"/>
        </w:rPr>
        <w:t>2011</w:t>
      </w:r>
      <w:r>
        <w:rPr>
          <w:rFonts w:hint="eastAsia" w:ascii="宋体" w:hAnsi="宋体"/>
          <w:sz w:val="24"/>
        </w:rPr>
        <w:t>〕</w:t>
      </w:r>
      <w:r>
        <w:rPr>
          <w:rFonts w:ascii="宋体" w:hAnsi="宋体"/>
          <w:sz w:val="24"/>
        </w:rPr>
        <w:t>49号）；</w:t>
      </w:r>
    </w:p>
    <w:p w14:paraId="25AE56E3">
      <w:pPr>
        <w:spacing w:line="360" w:lineRule="auto"/>
        <w:ind w:firstLine="480" w:firstLineChars="200"/>
        <w:rPr>
          <w:rFonts w:hint="eastAsia" w:ascii="宋体" w:hAnsi="宋体"/>
          <w:sz w:val="24"/>
        </w:rPr>
      </w:pPr>
      <w:r>
        <w:rPr>
          <w:rFonts w:hint="eastAsia" w:ascii="宋体" w:hAnsi="宋体"/>
          <w:sz w:val="24"/>
        </w:rPr>
        <w:t>（17）</w:t>
      </w:r>
      <w:r>
        <w:rPr>
          <w:rFonts w:ascii="宋体" w:hAnsi="宋体"/>
          <w:sz w:val="24"/>
        </w:rPr>
        <w:t>《挥发性有机物（VOCs）污染防治技术政策》（国家环境保护部2013年第31号）。</w:t>
      </w:r>
    </w:p>
    <w:p w14:paraId="2C47F844">
      <w:pPr>
        <w:spacing w:line="360" w:lineRule="auto"/>
        <w:ind w:firstLine="480" w:firstLineChars="200"/>
        <w:rPr>
          <w:rFonts w:hint="eastAsia" w:ascii="宋体" w:hAnsi="宋体"/>
          <w:sz w:val="24"/>
        </w:rPr>
      </w:pPr>
      <w:r>
        <w:rPr>
          <w:rFonts w:hint="eastAsia" w:ascii="宋体" w:hAnsi="宋体"/>
          <w:sz w:val="24"/>
        </w:rPr>
        <w:t>（18）《关于印发〈重点行业挥发性有机物综合治理方案〉的通知》（环大气〔</w:t>
      </w:r>
      <w:r>
        <w:rPr>
          <w:rFonts w:ascii="宋体" w:hAnsi="宋体"/>
          <w:sz w:val="24"/>
        </w:rPr>
        <w:t>2019</w:t>
      </w:r>
      <w:r>
        <w:rPr>
          <w:rFonts w:hint="eastAsia" w:ascii="宋体" w:hAnsi="宋体"/>
          <w:sz w:val="24"/>
        </w:rPr>
        <w:t>〕</w:t>
      </w:r>
      <w:r>
        <w:rPr>
          <w:rFonts w:ascii="宋体" w:hAnsi="宋体"/>
          <w:sz w:val="24"/>
        </w:rPr>
        <w:t>53</w:t>
      </w:r>
      <w:r>
        <w:rPr>
          <w:rFonts w:hint="eastAsia" w:ascii="宋体" w:hAnsi="宋体"/>
          <w:sz w:val="24"/>
        </w:rPr>
        <w:t>号）；</w:t>
      </w:r>
    </w:p>
    <w:p w14:paraId="600C0C36">
      <w:pPr>
        <w:spacing w:line="360" w:lineRule="auto"/>
        <w:ind w:firstLine="480" w:firstLineChars="200"/>
        <w:rPr>
          <w:rFonts w:hint="eastAsia" w:ascii="宋体" w:hAnsi="宋体"/>
          <w:sz w:val="24"/>
        </w:rPr>
      </w:pPr>
      <w:r>
        <w:rPr>
          <w:rFonts w:hint="eastAsia" w:ascii="宋体" w:hAnsi="宋体"/>
          <w:sz w:val="24"/>
        </w:rPr>
        <w:t>（19）</w:t>
      </w:r>
      <w:r>
        <w:rPr>
          <w:rFonts w:ascii="宋体" w:hAnsi="宋体"/>
          <w:sz w:val="24"/>
        </w:rPr>
        <w:t>《关于做好环境影响评价制度与排污许可制衔接相关工作的通知》（环办环评</w:t>
      </w:r>
      <w:r>
        <w:rPr>
          <w:rFonts w:hint="eastAsia" w:ascii="宋体" w:hAnsi="宋体"/>
          <w:sz w:val="24"/>
        </w:rPr>
        <w:t>〔</w:t>
      </w:r>
      <w:r>
        <w:rPr>
          <w:rFonts w:ascii="宋体" w:hAnsi="宋体"/>
          <w:sz w:val="24"/>
        </w:rPr>
        <w:t>2017</w:t>
      </w:r>
      <w:r>
        <w:rPr>
          <w:rFonts w:hint="eastAsia" w:ascii="宋体" w:hAnsi="宋体"/>
          <w:sz w:val="24"/>
        </w:rPr>
        <w:t>〕</w:t>
      </w:r>
      <w:r>
        <w:rPr>
          <w:rFonts w:ascii="宋体" w:hAnsi="宋体"/>
          <w:sz w:val="24"/>
        </w:rPr>
        <w:t>84号）；</w:t>
      </w:r>
    </w:p>
    <w:p w14:paraId="493D66B5">
      <w:pPr>
        <w:spacing w:line="360" w:lineRule="auto"/>
        <w:ind w:firstLine="480" w:firstLineChars="200"/>
        <w:rPr>
          <w:rFonts w:hint="eastAsia" w:ascii="宋体" w:hAnsi="宋体"/>
          <w:sz w:val="24"/>
        </w:rPr>
      </w:pPr>
      <w:r>
        <w:rPr>
          <w:rFonts w:hint="eastAsia" w:ascii="宋体" w:hAnsi="宋体"/>
          <w:sz w:val="24"/>
        </w:rPr>
        <w:t>（20）《固体废物分类与代码目录》（2024年1月19日实施）；</w:t>
      </w:r>
    </w:p>
    <w:p w14:paraId="539A0798">
      <w:pPr>
        <w:spacing w:line="360" w:lineRule="auto"/>
        <w:ind w:firstLine="480" w:firstLineChars="200"/>
        <w:rPr>
          <w:rFonts w:hint="eastAsia" w:ascii="宋体" w:hAnsi="宋体"/>
          <w:sz w:val="24"/>
        </w:rPr>
      </w:pPr>
      <w:r>
        <w:rPr>
          <w:rFonts w:hint="eastAsia" w:ascii="宋体" w:hAnsi="宋体"/>
          <w:sz w:val="24"/>
        </w:rPr>
        <w:t>（21）</w:t>
      </w:r>
      <w:r>
        <w:rPr>
          <w:rFonts w:ascii="宋体" w:hAnsi="宋体"/>
          <w:sz w:val="24"/>
        </w:rPr>
        <w:t>《危险废物转移管理办法》</w:t>
      </w:r>
      <w:r>
        <w:rPr>
          <w:rFonts w:hint="eastAsia" w:ascii="宋体" w:hAnsi="宋体"/>
          <w:sz w:val="24"/>
        </w:rPr>
        <w:t>，</w:t>
      </w:r>
      <w:r>
        <w:rPr>
          <w:rFonts w:ascii="宋体" w:hAnsi="宋体"/>
          <w:sz w:val="24"/>
        </w:rPr>
        <w:t>部令第23号</w:t>
      </w:r>
      <w:r>
        <w:rPr>
          <w:rFonts w:hint="eastAsia" w:ascii="宋体" w:hAnsi="宋体"/>
          <w:sz w:val="24"/>
        </w:rPr>
        <w:t>，</w:t>
      </w:r>
      <w:r>
        <w:rPr>
          <w:rFonts w:ascii="宋体" w:hAnsi="宋体"/>
          <w:sz w:val="24"/>
        </w:rPr>
        <w:t>2022年1月1日实施；</w:t>
      </w:r>
    </w:p>
    <w:p w14:paraId="572223E4">
      <w:pPr>
        <w:spacing w:line="360" w:lineRule="auto"/>
        <w:ind w:firstLine="480" w:firstLineChars="200"/>
        <w:rPr>
          <w:rFonts w:hint="eastAsia" w:ascii="宋体" w:hAnsi="宋体"/>
          <w:sz w:val="24"/>
        </w:rPr>
      </w:pPr>
      <w:r>
        <w:rPr>
          <w:rFonts w:hint="eastAsia" w:ascii="宋体" w:hAnsi="宋体"/>
          <w:sz w:val="24"/>
        </w:rPr>
        <w:t>（22）</w:t>
      </w:r>
      <w:r>
        <w:rPr>
          <w:rFonts w:ascii="宋体" w:hAnsi="宋体"/>
          <w:sz w:val="24"/>
        </w:rPr>
        <w:t>关于公开征求《关于规范建设单位自主开展建设项目竣工环境保护验收的通知（征求意见稿）》意见的通知，环境保护部办公厅（环办环评函</w:t>
      </w:r>
      <w:r>
        <w:rPr>
          <w:rFonts w:hint="eastAsia" w:ascii="宋体" w:hAnsi="宋体"/>
          <w:sz w:val="24"/>
        </w:rPr>
        <w:t>〔</w:t>
      </w:r>
      <w:r>
        <w:rPr>
          <w:rFonts w:ascii="宋体" w:hAnsi="宋体"/>
          <w:sz w:val="24"/>
        </w:rPr>
        <w:t>2017</w:t>
      </w:r>
      <w:r>
        <w:rPr>
          <w:rFonts w:hint="eastAsia" w:ascii="宋体" w:hAnsi="宋体"/>
          <w:sz w:val="24"/>
        </w:rPr>
        <w:t>〕</w:t>
      </w:r>
      <w:r>
        <w:rPr>
          <w:rFonts w:ascii="宋体" w:hAnsi="宋体"/>
          <w:sz w:val="24"/>
        </w:rPr>
        <w:t>1235</w:t>
      </w:r>
      <w:r>
        <w:rPr>
          <w:rFonts w:hint="eastAsia" w:ascii="宋体" w:hAnsi="宋体"/>
          <w:sz w:val="24"/>
        </w:rPr>
        <w:t>号</w:t>
      </w:r>
      <w:r>
        <w:rPr>
          <w:rFonts w:ascii="宋体" w:hAnsi="宋体"/>
          <w:sz w:val="24"/>
        </w:rPr>
        <w:t>）</w:t>
      </w:r>
      <w:r>
        <w:rPr>
          <w:rFonts w:hint="eastAsia" w:ascii="宋体" w:hAnsi="宋体"/>
          <w:sz w:val="24"/>
        </w:rPr>
        <w:t>；</w:t>
      </w:r>
    </w:p>
    <w:p w14:paraId="53C7BB37">
      <w:pPr>
        <w:spacing w:line="360" w:lineRule="auto"/>
        <w:ind w:firstLine="480" w:firstLineChars="200"/>
        <w:rPr>
          <w:rFonts w:hint="eastAsia" w:ascii="宋体" w:hAnsi="宋体"/>
          <w:sz w:val="24"/>
        </w:rPr>
      </w:pPr>
      <w:r>
        <w:rPr>
          <w:rFonts w:hint="eastAsia" w:ascii="宋体" w:hAnsi="宋体"/>
          <w:sz w:val="24"/>
        </w:rPr>
        <w:t>（23）《关于扎实推进塑料污染治理工作的通知》（发改环资〔2020〕1146号），2020年7月10日；</w:t>
      </w:r>
    </w:p>
    <w:p w14:paraId="30662192">
      <w:pPr>
        <w:spacing w:line="360" w:lineRule="auto"/>
        <w:ind w:firstLine="480" w:firstLineChars="200"/>
        <w:rPr>
          <w:rFonts w:hint="eastAsia" w:ascii="宋体" w:hAnsi="宋体"/>
          <w:sz w:val="24"/>
        </w:rPr>
      </w:pPr>
      <w:r>
        <w:rPr>
          <w:rFonts w:hint="eastAsia" w:ascii="宋体" w:hAnsi="宋体"/>
          <w:sz w:val="24"/>
        </w:rPr>
        <w:t>（24）</w:t>
      </w:r>
      <w:r>
        <w:rPr>
          <w:rFonts w:ascii="宋体" w:hAnsi="宋体"/>
          <w:sz w:val="24"/>
        </w:rPr>
        <w:t>《国家发展改革委生态环境部关于印发“十四五”塑料污染治理行动方案的通知》（发改环资</w:t>
      </w:r>
      <w:r>
        <w:rPr>
          <w:rFonts w:hint="eastAsia" w:ascii="宋体" w:hAnsi="宋体"/>
          <w:sz w:val="24"/>
          <w:lang w:eastAsia="zh-CN"/>
        </w:rPr>
        <w:t>〔2021〕1298号</w:t>
      </w:r>
      <w:r>
        <w:rPr>
          <w:rFonts w:ascii="宋体" w:hAnsi="宋体"/>
          <w:sz w:val="24"/>
        </w:rPr>
        <w:t>文）</w:t>
      </w:r>
      <w:r>
        <w:rPr>
          <w:rFonts w:hint="eastAsia" w:ascii="宋体" w:hAnsi="宋体"/>
          <w:sz w:val="24"/>
        </w:rPr>
        <w:t>；2021年9月8日；</w:t>
      </w:r>
    </w:p>
    <w:p w14:paraId="5922A9CA">
      <w:pPr>
        <w:spacing w:line="360" w:lineRule="auto"/>
        <w:ind w:firstLine="480" w:firstLineChars="200"/>
        <w:rPr>
          <w:rFonts w:hint="eastAsia" w:ascii="宋体" w:hAnsi="宋体"/>
          <w:sz w:val="24"/>
        </w:rPr>
      </w:pPr>
      <w:r>
        <w:rPr>
          <w:rFonts w:hint="eastAsia" w:ascii="宋体" w:hAnsi="宋体"/>
          <w:sz w:val="24"/>
        </w:rPr>
        <w:t>（25）《关于将巴音郭楞蒙古自治州、吐鲁番市哈密市纳入执行《环境影响评价技术导则大气环境（HJ2.2－2018）》差别化政策范围的复函》环办环评函2020〔341〕；</w:t>
      </w:r>
    </w:p>
    <w:p w14:paraId="21D89CBA">
      <w:pPr>
        <w:pStyle w:val="4"/>
        <w:autoSpaceDE w:val="0"/>
        <w:autoSpaceDN w:val="0"/>
        <w:spacing w:before="0" w:after="0" w:line="360" w:lineRule="auto"/>
        <w:jc w:val="left"/>
        <w:rPr>
          <w:kern w:val="0"/>
          <w:sz w:val="24"/>
          <w:lang w:val="en-US" w:bidi="zh-CN"/>
        </w:rPr>
      </w:pPr>
      <w:bookmarkStart w:id="33" w:name="_Toc9345"/>
      <w:r>
        <w:rPr>
          <w:rFonts w:hint="eastAsia"/>
          <w:kern w:val="0"/>
          <w:sz w:val="24"/>
          <w:lang w:val="en-US" w:bidi="zh-CN"/>
        </w:rPr>
        <w:t>2.1.3地方相关法规政策</w:t>
      </w:r>
      <w:bookmarkEnd w:id="33"/>
    </w:p>
    <w:p w14:paraId="0E014618">
      <w:pPr>
        <w:spacing w:line="360" w:lineRule="auto"/>
        <w:ind w:firstLine="480" w:firstLineChars="200"/>
        <w:rPr>
          <w:rFonts w:hint="eastAsia" w:ascii="宋体" w:hAnsi="宋体"/>
          <w:sz w:val="24"/>
        </w:rPr>
      </w:pPr>
      <w:bookmarkStart w:id="34" w:name="_Toc13829"/>
      <w:r>
        <w:rPr>
          <w:rFonts w:ascii="宋体" w:hAnsi="宋体"/>
          <w:sz w:val="24"/>
        </w:rPr>
        <w:t>（1）《新疆维吾尔自治区大气污染防治条例》（2018年11月30日）；</w:t>
      </w:r>
    </w:p>
    <w:p w14:paraId="61EAB4DF">
      <w:pPr>
        <w:spacing w:line="360" w:lineRule="auto"/>
        <w:ind w:firstLine="480" w:firstLineChars="200"/>
        <w:rPr>
          <w:rFonts w:hint="eastAsia" w:ascii="宋体" w:hAnsi="宋体"/>
          <w:sz w:val="24"/>
        </w:rPr>
      </w:pPr>
      <w:r>
        <w:rPr>
          <w:rFonts w:ascii="宋体" w:hAnsi="宋体"/>
          <w:sz w:val="24"/>
        </w:rPr>
        <w:t>（2）《新疆维吾尔自治区环境保护条例》（</w:t>
      </w:r>
      <w:r>
        <w:rPr>
          <w:rFonts w:hint="eastAsia" w:ascii="宋体" w:hAnsi="宋体"/>
          <w:sz w:val="24"/>
        </w:rPr>
        <w:t>2018年9月21日实施</w:t>
      </w:r>
      <w:r>
        <w:rPr>
          <w:rFonts w:ascii="宋体" w:hAnsi="宋体"/>
          <w:sz w:val="24"/>
        </w:rPr>
        <w:t>）；</w:t>
      </w:r>
    </w:p>
    <w:p w14:paraId="0429CB06">
      <w:pPr>
        <w:spacing w:line="360" w:lineRule="auto"/>
        <w:ind w:firstLine="480" w:firstLineChars="200"/>
        <w:rPr>
          <w:rFonts w:hint="eastAsia" w:ascii="宋体" w:hAnsi="宋体"/>
          <w:sz w:val="24"/>
        </w:rPr>
      </w:pPr>
      <w:r>
        <w:rPr>
          <w:rFonts w:ascii="宋体" w:hAnsi="宋体"/>
          <w:sz w:val="24"/>
        </w:rPr>
        <w:t>（</w:t>
      </w:r>
      <w:r>
        <w:rPr>
          <w:rFonts w:hint="eastAsia" w:ascii="宋体" w:hAnsi="宋体"/>
          <w:sz w:val="24"/>
        </w:rPr>
        <w:t>3</w:t>
      </w:r>
      <w:r>
        <w:rPr>
          <w:rFonts w:ascii="宋体" w:hAnsi="宋体"/>
          <w:sz w:val="24"/>
        </w:rPr>
        <w:t>）《新疆维吾尔自治区水环境功能区划》（</w:t>
      </w:r>
      <w:r>
        <w:rPr>
          <w:rFonts w:hint="eastAsia" w:ascii="宋体" w:hAnsi="宋体"/>
          <w:sz w:val="24"/>
        </w:rPr>
        <w:t>新疆维吾尔自治区</w:t>
      </w:r>
      <w:r>
        <w:rPr>
          <w:rFonts w:ascii="宋体" w:hAnsi="宋体"/>
          <w:sz w:val="24"/>
        </w:rPr>
        <w:t>人民政府，新政函</w:t>
      </w:r>
      <w:r>
        <w:rPr>
          <w:rFonts w:hint="eastAsia" w:ascii="宋体" w:hAnsi="宋体"/>
          <w:sz w:val="24"/>
        </w:rPr>
        <w:t>〔</w:t>
      </w:r>
      <w:r>
        <w:rPr>
          <w:rFonts w:ascii="宋体" w:hAnsi="宋体"/>
          <w:sz w:val="24"/>
        </w:rPr>
        <w:t>2002</w:t>
      </w:r>
      <w:r>
        <w:rPr>
          <w:rFonts w:hint="eastAsia" w:ascii="宋体" w:hAnsi="宋体"/>
          <w:sz w:val="24"/>
        </w:rPr>
        <w:t>〕</w:t>
      </w:r>
      <w:r>
        <w:rPr>
          <w:rFonts w:ascii="宋体" w:hAnsi="宋体"/>
          <w:sz w:val="24"/>
        </w:rPr>
        <w:t>194号文，2002年11月16日发布）；</w:t>
      </w:r>
    </w:p>
    <w:p w14:paraId="525E49E5">
      <w:pPr>
        <w:spacing w:line="360" w:lineRule="auto"/>
        <w:ind w:firstLine="480" w:firstLineChars="200"/>
        <w:rPr>
          <w:rFonts w:hint="eastAsia" w:ascii="宋体" w:hAnsi="宋体"/>
          <w:sz w:val="24"/>
        </w:rPr>
      </w:pPr>
      <w:r>
        <w:rPr>
          <w:rFonts w:ascii="宋体" w:hAnsi="宋体"/>
          <w:sz w:val="24"/>
        </w:rPr>
        <w:t>（</w:t>
      </w:r>
      <w:r>
        <w:rPr>
          <w:rFonts w:hint="eastAsia" w:ascii="宋体" w:hAnsi="宋体"/>
          <w:sz w:val="24"/>
        </w:rPr>
        <w:t>4</w:t>
      </w:r>
      <w:r>
        <w:rPr>
          <w:rFonts w:ascii="宋体" w:hAnsi="宋体"/>
          <w:sz w:val="24"/>
        </w:rPr>
        <w:t>）</w:t>
      </w:r>
      <w:r>
        <w:rPr>
          <w:rFonts w:hint="eastAsia" w:ascii="宋体" w:hAnsi="宋体"/>
          <w:sz w:val="24"/>
        </w:rPr>
        <w:t>新疆维吾尔自治区生态环境分区管控动态更新成果》（新环环评发〔2024〕157号）；</w:t>
      </w:r>
    </w:p>
    <w:p w14:paraId="0645B02F">
      <w:pPr>
        <w:spacing w:line="360" w:lineRule="auto"/>
        <w:ind w:firstLine="480" w:firstLineChars="200"/>
        <w:rPr>
          <w:rFonts w:hint="eastAsia" w:ascii="宋体" w:hAnsi="宋体"/>
          <w:sz w:val="24"/>
        </w:rPr>
      </w:pPr>
      <w:r>
        <w:rPr>
          <w:rFonts w:hint="eastAsia" w:ascii="宋体" w:hAnsi="宋体"/>
          <w:sz w:val="24"/>
        </w:rPr>
        <w:t>（5）《关于印发巴音郭楞蒙古自治州“三线一单”生态环境分区管控动态更新成果（2023年）的通知》（巴音郭楞蒙古自治州人民政府，巴政办发〔2024〕32号，2024年12月9日）；</w:t>
      </w:r>
    </w:p>
    <w:p w14:paraId="3A84B452">
      <w:pPr>
        <w:spacing w:line="360" w:lineRule="auto"/>
        <w:ind w:firstLine="480" w:firstLineChars="200"/>
        <w:rPr>
          <w:rFonts w:hint="eastAsia" w:ascii="宋体" w:hAnsi="宋体"/>
          <w:sz w:val="24"/>
        </w:rPr>
      </w:pPr>
      <w:r>
        <w:rPr>
          <w:rFonts w:hint="eastAsia" w:ascii="宋体" w:hAnsi="宋体"/>
          <w:sz w:val="24"/>
        </w:rPr>
        <w:t>（6）《新疆生态功能区划》，2006.8；</w:t>
      </w:r>
    </w:p>
    <w:p w14:paraId="10067EF1">
      <w:pPr>
        <w:spacing w:line="360" w:lineRule="auto"/>
        <w:ind w:firstLine="480" w:firstLineChars="200"/>
        <w:rPr>
          <w:rFonts w:hint="eastAsia" w:ascii="宋体" w:hAnsi="宋体"/>
          <w:sz w:val="24"/>
        </w:rPr>
      </w:pPr>
      <w:r>
        <w:rPr>
          <w:rFonts w:ascii="宋体" w:hAnsi="宋体"/>
          <w:sz w:val="24"/>
        </w:rPr>
        <w:t>（</w:t>
      </w:r>
      <w:r>
        <w:rPr>
          <w:rFonts w:hint="eastAsia" w:ascii="宋体" w:hAnsi="宋体"/>
          <w:sz w:val="24"/>
        </w:rPr>
        <w:t>7</w:t>
      </w:r>
      <w:r>
        <w:rPr>
          <w:rFonts w:ascii="宋体" w:hAnsi="宋体"/>
          <w:sz w:val="24"/>
        </w:rPr>
        <w:t>）</w:t>
      </w:r>
      <w:r>
        <w:rPr>
          <w:rFonts w:hint="eastAsia" w:ascii="宋体" w:hAnsi="宋体"/>
          <w:sz w:val="24"/>
        </w:rPr>
        <w:t>《新疆生态环境保护“十四五”规划》，2021.12.24</w:t>
      </w:r>
      <w:r>
        <w:rPr>
          <w:rFonts w:hint="eastAsia" w:ascii="宋体" w:hAnsi="宋体"/>
          <w:sz w:val="24"/>
          <w:lang w:eastAsia="zh-CN"/>
        </w:rPr>
        <w:t>；</w:t>
      </w:r>
    </w:p>
    <w:p w14:paraId="1B4DEBF8">
      <w:pPr>
        <w:spacing w:line="360" w:lineRule="auto"/>
        <w:ind w:firstLine="480" w:firstLineChars="200"/>
        <w:rPr>
          <w:rFonts w:hint="eastAsia" w:ascii="宋体" w:hAnsi="宋体"/>
          <w:sz w:val="24"/>
        </w:rPr>
      </w:pPr>
      <w:r>
        <w:rPr>
          <w:rFonts w:hint="eastAsia" w:ascii="宋体" w:hAnsi="宋体"/>
          <w:sz w:val="24"/>
        </w:rPr>
        <w:t>（8）《巴音郭楞蒙古自治州国民经济和社会发展第十四个五年规划和二〇三五年远景目标纲要》2021年2月21日</w:t>
      </w:r>
      <w:r>
        <w:rPr>
          <w:rFonts w:ascii="宋体" w:hAnsi="宋体"/>
          <w:sz w:val="24"/>
        </w:rPr>
        <w:t>；</w:t>
      </w:r>
    </w:p>
    <w:p w14:paraId="1762523A">
      <w:pPr>
        <w:spacing w:line="360" w:lineRule="auto"/>
        <w:ind w:firstLine="480" w:firstLineChars="200"/>
        <w:rPr>
          <w:rFonts w:hint="eastAsia" w:ascii="宋体" w:hAnsi="宋体"/>
          <w:sz w:val="24"/>
        </w:rPr>
      </w:pPr>
      <w:r>
        <w:rPr>
          <w:rFonts w:hint="eastAsia" w:ascii="宋体" w:hAnsi="宋体"/>
          <w:sz w:val="24"/>
        </w:rPr>
        <w:t>（9）《巴音郭楞蒙古自治州生态环境“十四五”规划》（巴党发〔2022〕4号）</w:t>
      </w:r>
      <w:r>
        <w:rPr>
          <w:rFonts w:ascii="宋体" w:hAnsi="宋体"/>
          <w:sz w:val="24"/>
        </w:rPr>
        <w:t>；</w:t>
      </w:r>
    </w:p>
    <w:p w14:paraId="31F93956">
      <w:pPr>
        <w:spacing w:line="360" w:lineRule="auto"/>
        <w:ind w:firstLine="480" w:firstLineChars="200"/>
        <w:rPr>
          <w:rFonts w:hint="eastAsia" w:ascii="宋体" w:hAnsi="宋体"/>
          <w:sz w:val="24"/>
        </w:rPr>
      </w:pPr>
      <w:r>
        <w:rPr>
          <w:rFonts w:hint="eastAsia" w:ascii="宋体" w:hAnsi="宋体"/>
          <w:sz w:val="24"/>
        </w:rPr>
        <w:t>（10）《巴音郭楞蒙古自治州大气污染防治办法》，巴音郭楞蒙古自治州人民代表大会常务委员会公告，第5号，2020年9月10日；</w:t>
      </w:r>
    </w:p>
    <w:p w14:paraId="41196FE9">
      <w:pPr>
        <w:spacing w:line="360" w:lineRule="auto"/>
        <w:ind w:firstLine="480" w:firstLineChars="200"/>
        <w:rPr>
          <w:rFonts w:hint="eastAsia" w:ascii="宋体" w:hAnsi="宋体"/>
          <w:sz w:val="24"/>
        </w:rPr>
      </w:pPr>
      <w:r>
        <w:rPr>
          <w:rFonts w:hint="eastAsia" w:ascii="宋体" w:hAnsi="宋体"/>
          <w:sz w:val="24"/>
        </w:rPr>
        <w:t>（11）《巴音郭楞蒙古自治州2023年固体废物污染环境防治信息公告》（巴州生态环境局，2024年6月3日）。</w:t>
      </w:r>
    </w:p>
    <w:p w14:paraId="07E7050E">
      <w:pPr>
        <w:pStyle w:val="4"/>
        <w:autoSpaceDE w:val="0"/>
        <w:autoSpaceDN w:val="0"/>
        <w:spacing w:before="0" w:after="0" w:line="360" w:lineRule="auto"/>
        <w:jc w:val="left"/>
        <w:rPr>
          <w:kern w:val="0"/>
          <w:sz w:val="24"/>
          <w:lang w:val="en-US" w:bidi="zh-CN"/>
        </w:rPr>
      </w:pPr>
      <w:r>
        <w:rPr>
          <w:rFonts w:hint="eastAsia"/>
          <w:kern w:val="0"/>
          <w:sz w:val="24"/>
          <w:lang w:val="en-US" w:bidi="zh-CN"/>
        </w:rPr>
        <w:t>2.1.4技术依据</w:t>
      </w:r>
      <w:bookmarkEnd w:id="34"/>
    </w:p>
    <w:p w14:paraId="44B9A188">
      <w:pPr>
        <w:spacing w:line="360" w:lineRule="auto"/>
        <w:ind w:firstLine="480" w:firstLineChars="200"/>
        <w:rPr>
          <w:rFonts w:hint="eastAsia" w:ascii="宋体" w:hAnsi="宋体"/>
          <w:sz w:val="24"/>
        </w:rPr>
      </w:pPr>
      <w:bookmarkStart w:id="35" w:name="_Toc4361"/>
      <w:bookmarkStart w:id="36" w:name="_Toc21378"/>
      <w:bookmarkStart w:id="37" w:name="_Toc4098"/>
      <w:r>
        <w:rPr>
          <w:rFonts w:ascii="宋体" w:hAnsi="宋体"/>
          <w:sz w:val="24"/>
        </w:rPr>
        <w:t>（1）《建设项目环境影响评价技术导则·总纲》</w:t>
      </w:r>
      <w:r>
        <w:rPr>
          <w:rFonts w:hint="eastAsia" w:ascii="宋体" w:hAnsi="宋体"/>
          <w:sz w:val="24"/>
        </w:rPr>
        <w:t>（</w:t>
      </w:r>
      <w:r>
        <w:rPr>
          <w:rFonts w:ascii="宋体" w:hAnsi="宋体"/>
          <w:sz w:val="24"/>
        </w:rPr>
        <w:t>HJ2.1-2016</w:t>
      </w:r>
      <w:r>
        <w:rPr>
          <w:rFonts w:hint="eastAsia" w:ascii="宋体" w:hAnsi="宋体"/>
          <w:sz w:val="24"/>
        </w:rPr>
        <w:t>）</w:t>
      </w:r>
      <w:r>
        <w:rPr>
          <w:rFonts w:ascii="宋体" w:hAnsi="宋体"/>
          <w:sz w:val="24"/>
        </w:rPr>
        <w:t>；</w:t>
      </w:r>
      <w:bookmarkEnd w:id="35"/>
      <w:bookmarkEnd w:id="36"/>
    </w:p>
    <w:p w14:paraId="2076C822">
      <w:pPr>
        <w:spacing w:line="360" w:lineRule="auto"/>
        <w:ind w:firstLine="480" w:firstLineChars="200"/>
        <w:rPr>
          <w:rFonts w:hint="eastAsia" w:ascii="宋体" w:hAnsi="宋体"/>
          <w:sz w:val="24"/>
        </w:rPr>
      </w:pPr>
      <w:bookmarkStart w:id="38" w:name="_Toc19077"/>
      <w:bookmarkStart w:id="39" w:name="_Toc14369"/>
      <w:r>
        <w:rPr>
          <w:rFonts w:ascii="宋体" w:hAnsi="宋体"/>
          <w:sz w:val="24"/>
        </w:rPr>
        <w:t>（2）《环境影响评价技术导则·大气环境》</w:t>
      </w:r>
      <w:r>
        <w:rPr>
          <w:rFonts w:hint="eastAsia" w:ascii="宋体" w:hAnsi="宋体"/>
          <w:sz w:val="24"/>
        </w:rPr>
        <w:t>（</w:t>
      </w:r>
      <w:r>
        <w:rPr>
          <w:rFonts w:ascii="宋体" w:hAnsi="宋体"/>
          <w:sz w:val="24"/>
        </w:rPr>
        <w:t>HJ2.2-2018</w:t>
      </w:r>
      <w:r>
        <w:rPr>
          <w:rFonts w:hint="eastAsia" w:ascii="宋体" w:hAnsi="宋体"/>
          <w:sz w:val="24"/>
        </w:rPr>
        <w:t>）</w:t>
      </w:r>
      <w:r>
        <w:rPr>
          <w:rFonts w:ascii="宋体" w:hAnsi="宋体"/>
          <w:sz w:val="24"/>
        </w:rPr>
        <w:t>；</w:t>
      </w:r>
      <w:bookmarkEnd w:id="38"/>
      <w:bookmarkEnd w:id="39"/>
    </w:p>
    <w:p w14:paraId="07E87F25">
      <w:pPr>
        <w:spacing w:line="360" w:lineRule="auto"/>
        <w:ind w:firstLine="480" w:firstLineChars="200"/>
        <w:rPr>
          <w:rFonts w:hint="eastAsia" w:ascii="宋体" w:hAnsi="宋体"/>
          <w:sz w:val="24"/>
        </w:rPr>
      </w:pPr>
      <w:bookmarkStart w:id="40" w:name="_Toc32037"/>
      <w:bookmarkStart w:id="41" w:name="_Toc30305"/>
      <w:r>
        <w:rPr>
          <w:rFonts w:ascii="宋体" w:hAnsi="宋体"/>
          <w:sz w:val="24"/>
        </w:rPr>
        <w:t>（3）《环境影响评价技术导则·地表水环境》</w:t>
      </w:r>
      <w:r>
        <w:rPr>
          <w:rFonts w:hint="eastAsia" w:ascii="宋体" w:hAnsi="宋体"/>
          <w:sz w:val="24"/>
        </w:rPr>
        <w:t>（</w:t>
      </w:r>
      <w:r>
        <w:rPr>
          <w:rFonts w:ascii="宋体" w:hAnsi="宋体"/>
          <w:sz w:val="24"/>
        </w:rPr>
        <w:t>HJ2.3-2018</w:t>
      </w:r>
      <w:r>
        <w:rPr>
          <w:rFonts w:hint="eastAsia" w:ascii="宋体" w:hAnsi="宋体"/>
          <w:sz w:val="24"/>
        </w:rPr>
        <w:t>）</w:t>
      </w:r>
      <w:r>
        <w:rPr>
          <w:rFonts w:ascii="宋体" w:hAnsi="宋体"/>
          <w:sz w:val="24"/>
        </w:rPr>
        <w:t>；</w:t>
      </w:r>
      <w:bookmarkEnd w:id="40"/>
      <w:bookmarkEnd w:id="41"/>
    </w:p>
    <w:p w14:paraId="7D626A28">
      <w:pPr>
        <w:spacing w:line="360" w:lineRule="auto"/>
        <w:ind w:firstLine="480" w:firstLineChars="200"/>
        <w:rPr>
          <w:rFonts w:hint="eastAsia" w:ascii="宋体" w:hAnsi="宋体"/>
          <w:sz w:val="24"/>
        </w:rPr>
      </w:pPr>
      <w:bookmarkStart w:id="42" w:name="_Toc6140"/>
      <w:bookmarkStart w:id="43" w:name="_Toc17085"/>
      <w:r>
        <w:rPr>
          <w:rFonts w:ascii="宋体" w:hAnsi="宋体"/>
          <w:sz w:val="24"/>
        </w:rPr>
        <w:t>（4）《环境影响评价技术导则·地下水环境》</w:t>
      </w:r>
      <w:r>
        <w:rPr>
          <w:rFonts w:hint="eastAsia" w:ascii="宋体" w:hAnsi="宋体"/>
          <w:sz w:val="24"/>
        </w:rPr>
        <w:t>（</w:t>
      </w:r>
      <w:r>
        <w:rPr>
          <w:rFonts w:ascii="宋体" w:hAnsi="宋体"/>
          <w:sz w:val="24"/>
        </w:rPr>
        <w:t>HJ610-2016</w:t>
      </w:r>
      <w:r>
        <w:rPr>
          <w:rFonts w:hint="eastAsia" w:ascii="宋体" w:hAnsi="宋体"/>
          <w:sz w:val="24"/>
        </w:rPr>
        <w:t>）</w:t>
      </w:r>
      <w:r>
        <w:rPr>
          <w:rFonts w:ascii="宋体" w:hAnsi="宋体"/>
          <w:sz w:val="24"/>
        </w:rPr>
        <w:t>；</w:t>
      </w:r>
      <w:bookmarkEnd w:id="42"/>
      <w:bookmarkEnd w:id="43"/>
    </w:p>
    <w:p w14:paraId="438F77D1">
      <w:pPr>
        <w:spacing w:line="360" w:lineRule="auto"/>
        <w:ind w:firstLine="480" w:firstLineChars="200"/>
        <w:rPr>
          <w:rFonts w:hint="eastAsia" w:ascii="宋体" w:hAnsi="宋体"/>
          <w:sz w:val="24"/>
        </w:rPr>
      </w:pPr>
      <w:bookmarkStart w:id="44" w:name="_Toc9733"/>
      <w:bookmarkStart w:id="45" w:name="_Toc32644"/>
      <w:r>
        <w:rPr>
          <w:rFonts w:ascii="宋体" w:hAnsi="宋体"/>
          <w:sz w:val="24"/>
        </w:rPr>
        <w:t>（5）《环境影响评价技术导则·声环境》</w:t>
      </w:r>
      <w:r>
        <w:rPr>
          <w:rFonts w:hint="eastAsia" w:ascii="宋体" w:hAnsi="宋体"/>
          <w:sz w:val="24"/>
        </w:rPr>
        <w:t>（</w:t>
      </w:r>
      <w:r>
        <w:rPr>
          <w:rFonts w:ascii="宋体" w:hAnsi="宋体"/>
          <w:sz w:val="24"/>
        </w:rPr>
        <w:t>HJ2.4-20</w:t>
      </w:r>
      <w:r>
        <w:rPr>
          <w:rFonts w:hint="eastAsia" w:ascii="宋体" w:hAnsi="宋体"/>
          <w:sz w:val="24"/>
        </w:rPr>
        <w:t>21）</w:t>
      </w:r>
      <w:r>
        <w:rPr>
          <w:rFonts w:ascii="宋体" w:hAnsi="宋体"/>
          <w:sz w:val="24"/>
        </w:rPr>
        <w:t>；</w:t>
      </w:r>
      <w:bookmarkEnd w:id="44"/>
      <w:bookmarkEnd w:id="45"/>
    </w:p>
    <w:p w14:paraId="71F46D5B">
      <w:pPr>
        <w:spacing w:line="360" w:lineRule="auto"/>
        <w:ind w:firstLine="480" w:firstLineChars="200"/>
        <w:rPr>
          <w:rFonts w:hint="eastAsia" w:ascii="宋体" w:hAnsi="宋体"/>
          <w:sz w:val="24"/>
        </w:rPr>
      </w:pPr>
      <w:bookmarkStart w:id="46" w:name="_Toc18948"/>
      <w:bookmarkStart w:id="47" w:name="_Toc28725"/>
      <w:r>
        <w:rPr>
          <w:rFonts w:ascii="宋体" w:hAnsi="宋体"/>
          <w:sz w:val="24"/>
        </w:rPr>
        <w:t>（6）《环境影响评价技术导则·生态影响》</w:t>
      </w:r>
      <w:r>
        <w:rPr>
          <w:rFonts w:hint="eastAsia" w:ascii="宋体" w:hAnsi="宋体"/>
          <w:sz w:val="24"/>
        </w:rPr>
        <w:t>（</w:t>
      </w:r>
      <w:r>
        <w:rPr>
          <w:rFonts w:ascii="宋体" w:hAnsi="宋体"/>
          <w:sz w:val="24"/>
        </w:rPr>
        <w:t>HJ19-20</w:t>
      </w:r>
      <w:r>
        <w:rPr>
          <w:rFonts w:hint="eastAsia" w:ascii="宋体" w:hAnsi="宋体"/>
          <w:sz w:val="24"/>
        </w:rPr>
        <w:t>22）</w:t>
      </w:r>
      <w:r>
        <w:rPr>
          <w:rFonts w:ascii="宋体" w:hAnsi="宋体"/>
          <w:sz w:val="24"/>
        </w:rPr>
        <w:t>；</w:t>
      </w:r>
      <w:bookmarkEnd w:id="46"/>
      <w:bookmarkEnd w:id="47"/>
    </w:p>
    <w:p w14:paraId="4914337E">
      <w:pPr>
        <w:spacing w:line="360" w:lineRule="auto"/>
        <w:ind w:firstLine="480" w:firstLineChars="200"/>
        <w:rPr>
          <w:rFonts w:hint="eastAsia" w:ascii="宋体" w:hAnsi="宋体"/>
          <w:sz w:val="24"/>
        </w:rPr>
      </w:pPr>
      <w:bookmarkStart w:id="48" w:name="_Toc31225"/>
      <w:bookmarkStart w:id="49" w:name="_Toc16300"/>
      <w:r>
        <w:rPr>
          <w:rFonts w:ascii="宋体" w:hAnsi="宋体"/>
          <w:sz w:val="24"/>
        </w:rPr>
        <w:t>（7）《建设项目环境风险评价技术导则》</w:t>
      </w:r>
      <w:r>
        <w:rPr>
          <w:rFonts w:hint="eastAsia" w:ascii="宋体" w:hAnsi="宋体"/>
          <w:sz w:val="24"/>
        </w:rPr>
        <w:t>（</w:t>
      </w:r>
      <w:r>
        <w:rPr>
          <w:rFonts w:ascii="宋体" w:hAnsi="宋体"/>
          <w:sz w:val="24"/>
        </w:rPr>
        <w:t>HJ169-2018</w:t>
      </w:r>
      <w:r>
        <w:rPr>
          <w:rFonts w:hint="eastAsia" w:ascii="宋体" w:hAnsi="宋体"/>
          <w:sz w:val="24"/>
        </w:rPr>
        <w:t>）</w:t>
      </w:r>
      <w:r>
        <w:rPr>
          <w:rFonts w:ascii="宋体" w:hAnsi="宋体"/>
          <w:sz w:val="24"/>
        </w:rPr>
        <w:t>；</w:t>
      </w:r>
      <w:bookmarkEnd w:id="48"/>
      <w:bookmarkEnd w:id="49"/>
    </w:p>
    <w:p w14:paraId="2708574B">
      <w:pPr>
        <w:spacing w:line="360" w:lineRule="auto"/>
        <w:ind w:firstLine="480" w:firstLineChars="200"/>
        <w:rPr>
          <w:rFonts w:hint="eastAsia" w:ascii="宋体" w:hAnsi="宋体"/>
          <w:sz w:val="24"/>
        </w:rPr>
      </w:pPr>
      <w:bookmarkStart w:id="50" w:name="_Toc6198"/>
      <w:bookmarkStart w:id="51" w:name="_Toc5147"/>
      <w:r>
        <w:rPr>
          <w:rFonts w:ascii="宋体" w:hAnsi="宋体"/>
          <w:sz w:val="24"/>
        </w:rPr>
        <w:t>（8）《挥发性有机物无组织排放控制标准》</w:t>
      </w:r>
      <w:r>
        <w:rPr>
          <w:rFonts w:hint="eastAsia" w:ascii="宋体" w:hAnsi="宋体"/>
          <w:sz w:val="24"/>
        </w:rPr>
        <w:t>（</w:t>
      </w:r>
      <w:r>
        <w:rPr>
          <w:rFonts w:ascii="宋体" w:hAnsi="宋体"/>
          <w:sz w:val="24"/>
        </w:rPr>
        <w:t>GB37822—2019</w:t>
      </w:r>
      <w:r>
        <w:rPr>
          <w:rFonts w:hint="eastAsia" w:ascii="宋体" w:hAnsi="宋体"/>
          <w:sz w:val="24"/>
        </w:rPr>
        <w:t>）</w:t>
      </w:r>
      <w:r>
        <w:rPr>
          <w:rFonts w:ascii="宋体" w:hAnsi="宋体"/>
          <w:sz w:val="24"/>
        </w:rPr>
        <w:t>；</w:t>
      </w:r>
      <w:bookmarkEnd w:id="50"/>
      <w:bookmarkEnd w:id="51"/>
    </w:p>
    <w:p w14:paraId="0609AF04">
      <w:pPr>
        <w:spacing w:line="360" w:lineRule="auto"/>
        <w:ind w:firstLine="480" w:firstLineChars="200"/>
        <w:rPr>
          <w:rFonts w:hint="eastAsia" w:ascii="宋体" w:hAnsi="宋体"/>
          <w:sz w:val="24"/>
        </w:rPr>
      </w:pPr>
      <w:bookmarkStart w:id="52" w:name="_Toc32411"/>
      <w:bookmarkStart w:id="53" w:name="_Toc1731"/>
      <w:r>
        <w:rPr>
          <w:rFonts w:ascii="宋体" w:hAnsi="宋体"/>
          <w:sz w:val="24"/>
        </w:rPr>
        <w:t>（9）《合成树脂工业污染物排放标准》（GB31572-2015）；</w:t>
      </w:r>
      <w:bookmarkEnd w:id="52"/>
      <w:bookmarkEnd w:id="53"/>
    </w:p>
    <w:p w14:paraId="3C8BECF8">
      <w:pPr>
        <w:spacing w:line="360" w:lineRule="auto"/>
        <w:ind w:firstLine="480" w:firstLineChars="200"/>
        <w:rPr>
          <w:rFonts w:hint="eastAsia" w:ascii="宋体" w:hAnsi="宋体"/>
          <w:sz w:val="24"/>
        </w:rPr>
      </w:pPr>
      <w:bookmarkStart w:id="54" w:name="_Toc22817"/>
      <w:bookmarkStart w:id="55" w:name="_Toc32659"/>
      <w:r>
        <w:rPr>
          <w:rFonts w:ascii="宋体" w:hAnsi="宋体"/>
          <w:sz w:val="24"/>
        </w:rPr>
        <w:t>（1</w:t>
      </w:r>
      <w:r>
        <w:rPr>
          <w:rFonts w:hint="eastAsia" w:ascii="宋体" w:hAnsi="宋体"/>
          <w:sz w:val="24"/>
        </w:rPr>
        <w:t>0</w:t>
      </w:r>
      <w:r>
        <w:rPr>
          <w:rFonts w:ascii="宋体" w:hAnsi="宋体"/>
          <w:sz w:val="24"/>
        </w:rPr>
        <w:t>）</w:t>
      </w:r>
      <w:bookmarkEnd w:id="54"/>
      <w:bookmarkEnd w:id="55"/>
      <w:r>
        <w:rPr>
          <w:rFonts w:ascii="宋体" w:hAnsi="宋体"/>
          <w:sz w:val="24"/>
        </w:rPr>
        <w:t>《废塑料污染控制技术规范》（HJ364-</w:t>
      </w:r>
      <w:r>
        <w:rPr>
          <w:rFonts w:hint="eastAsia" w:ascii="宋体" w:hAnsi="宋体"/>
          <w:sz w:val="24"/>
        </w:rPr>
        <w:t>2022）；</w:t>
      </w:r>
    </w:p>
    <w:p w14:paraId="5F0EA8A1">
      <w:pPr>
        <w:spacing w:line="360" w:lineRule="auto"/>
        <w:ind w:firstLine="480" w:firstLineChars="200"/>
        <w:rPr>
          <w:rFonts w:hint="eastAsia" w:ascii="宋体" w:hAnsi="宋体"/>
          <w:sz w:val="24"/>
        </w:rPr>
      </w:pPr>
      <w:r>
        <w:rPr>
          <w:rFonts w:hint="eastAsia" w:ascii="宋体" w:hAnsi="宋体"/>
          <w:sz w:val="24"/>
        </w:rPr>
        <w:t>（11）《废塑料综合利用行业规范条件》（2016年1月1日）；</w:t>
      </w:r>
    </w:p>
    <w:p w14:paraId="50680DB7">
      <w:pPr>
        <w:spacing w:line="360" w:lineRule="auto"/>
        <w:ind w:firstLine="480" w:firstLineChars="200"/>
        <w:rPr>
          <w:rFonts w:hint="eastAsia" w:ascii="宋体" w:hAnsi="宋体"/>
          <w:sz w:val="24"/>
        </w:rPr>
      </w:pPr>
      <w:r>
        <w:rPr>
          <w:rFonts w:hint="eastAsia" w:ascii="宋体" w:hAnsi="宋体"/>
          <w:sz w:val="24"/>
        </w:rPr>
        <w:t>（12）《废塑料再生利用技术规范》（GB/T37821-2019）；</w:t>
      </w:r>
    </w:p>
    <w:p w14:paraId="42E30E88">
      <w:pPr>
        <w:spacing w:line="360" w:lineRule="auto"/>
        <w:ind w:firstLine="480" w:firstLineChars="200"/>
        <w:rPr>
          <w:rFonts w:hint="eastAsia" w:ascii="宋体" w:hAnsi="宋体"/>
          <w:sz w:val="24"/>
        </w:rPr>
      </w:pPr>
      <w:r>
        <w:rPr>
          <w:rFonts w:hint="eastAsia" w:ascii="宋体" w:hAnsi="宋体"/>
          <w:sz w:val="24"/>
        </w:rPr>
        <w:t>（14）《废塑料回收技术规范》（GB/T39171-2020）；</w:t>
      </w:r>
    </w:p>
    <w:p w14:paraId="1BB14436">
      <w:pPr>
        <w:spacing w:line="360" w:lineRule="auto"/>
        <w:ind w:firstLine="480" w:firstLineChars="200"/>
        <w:rPr>
          <w:rFonts w:hint="eastAsia" w:ascii="宋体" w:hAnsi="宋体"/>
          <w:sz w:val="24"/>
        </w:rPr>
      </w:pPr>
      <w:r>
        <w:rPr>
          <w:rFonts w:hint="eastAsia" w:ascii="宋体" w:hAnsi="宋体"/>
          <w:sz w:val="24"/>
        </w:rPr>
        <w:t>（15）</w:t>
      </w:r>
      <w:r>
        <w:rPr>
          <w:rFonts w:ascii="宋体" w:hAnsi="宋体"/>
          <w:sz w:val="24"/>
        </w:rPr>
        <w:t>《排污许可证申请与核发技术规范</w:t>
      </w:r>
      <w:r>
        <w:rPr>
          <w:rFonts w:hint="eastAsia" w:ascii="宋体" w:hAnsi="宋体"/>
          <w:sz w:val="24"/>
        </w:rPr>
        <w:t xml:space="preserve">  </w:t>
      </w:r>
      <w:r>
        <w:rPr>
          <w:rFonts w:ascii="宋体" w:hAnsi="宋体"/>
          <w:sz w:val="24"/>
        </w:rPr>
        <w:t>总则》（HJ942-2018）；</w:t>
      </w:r>
    </w:p>
    <w:p w14:paraId="7A92860F">
      <w:pPr>
        <w:spacing w:line="360" w:lineRule="auto"/>
        <w:ind w:firstLine="480" w:firstLineChars="200"/>
        <w:rPr>
          <w:rFonts w:hint="eastAsia" w:ascii="宋体" w:hAnsi="宋体"/>
          <w:sz w:val="24"/>
        </w:rPr>
      </w:pPr>
      <w:r>
        <w:rPr>
          <w:rFonts w:hint="eastAsia" w:ascii="宋体" w:hAnsi="宋体"/>
          <w:sz w:val="24"/>
        </w:rPr>
        <w:t>（16）</w:t>
      </w:r>
      <w:r>
        <w:rPr>
          <w:rFonts w:ascii="宋体" w:hAnsi="宋体"/>
          <w:sz w:val="24"/>
        </w:rPr>
        <w:t>《排污许可证申请与核发技术规范废弃资源加工业》（HJ1034-2019）；</w:t>
      </w:r>
    </w:p>
    <w:p w14:paraId="622DE15D">
      <w:pPr>
        <w:spacing w:line="360" w:lineRule="auto"/>
        <w:ind w:firstLine="480" w:firstLineChars="200"/>
        <w:rPr>
          <w:rFonts w:hint="eastAsia" w:ascii="宋体" w:hAnsi="宋体"/>
          <w:sz w:val="24"/>
        </w:rPr>
      </w:pPr>
      <w:r>
        <w:rPr>
          <w:rFonts w:hint="eastAsia" w:ascii="宋体" w:hAnsi="宋体"/>
          <w:sz w:val="24"/>
        </w:rPr>
        <w:t>（17）</w:t>
      </w:r>
      <w:r>
        <w:rPr>
          <w:rFonts w:ascii="宋体" w:hAnsi="宋体"/>
          <w:sz w:val="24"/>
        </w:rPr>
        <w:t>《排污许可证申请与核发技术规范橡胶和塑料制品工业》（HJ1122-2020）；</w:t>
      </w:r>
    </w:p>
    <w:p w14:paraId="152B86A1">
      <w:pPr>
        <w:spacing w:line="360" w:lineRule="auto"/>
        <w:ind w:firstLine="480" w:firstLineChars="200"/>
        <w:rPr>
          <w:rFonts w:hint="eastAsia" w:ascii="宋体" w:hAnsi="宋体"/>
          <w:sz w:val="24"/>
        </w:rPr>
      </w:pPr>
      <w:r>
        <w:rPr>
          <w:rFonts w:hint="eastAsia" w:ascii="宋体" w:hAnsi="宋体"/>
          <w:sz w:val="24"/>
        </w:rPr>
        <w:t>（18）《排放源统计调查产排污核算方法和系数手册》（生态环境部公告2021年第24号）。</w:t>
      </w:r>
    </w:p>
    <w:p w14:paraId="41D879CC">
      <w:pPr>
        <w:pStyle w:val="4"/>
        <w:autoSpaceDE w:val="0"/>
        <w:autoSpaceDN w:val="0"/>
        <w:spacing w:before="0" w:after="0" w:line="360" w:lineRule="auto"/>
        <w:jc w:val="left"/>
        <w:rPr>
          <w:kern w:val="0"/>
          <w:sz w:val="24"/>
          <w:lang w:val="en-US" w:bidi="zh-CN"/>
        </w:rPr>
      </w:pPr>
      <w:r>
        <w:rPr>
          <w:rFonts w:hint="eastAsia"/>
          <w:kern w:val="0"/>
          <w:sz w:val="24"/>
          <w:lang w:val="en-US" w:bidi="zh-CN"/>
        </w:rPr>
        <w:t>2.1.5相关技术文件</w:t>
      </w:r>
      <w:bookmarkEnd w:id="37"/>
    </w:p>
    <w:p w14:paraId="28C56080">
      <w:pPr>
        <w:spacing w:line="360" w:lineRule="auto"/>
        <w:ind w:firstLine="480" w:firstLineChars="200"/>
        <w:rPr>
          <w:rFonts w:hint="eastAsia" w:ascii="宋体" w:hAnsi="宋体"/>
          <w:sz w:val="24"/>
        </w:rPr>
      </w:pPr>
      <w:r>
        <w:rPr>
          <w:rFonts w:ascii="宋体" w:hAnsi="宋体"/>
          <w:sz w:val="24"/>
        </w:rPr>
        <w:t>（1）建设项目环境影响评价委托书；</w:t>
      </w:r>
    </w:p>
    <w:p w14:paraId="3713DCBA">
      <w:pPr>
        <w:spacing w:line="360" w:lineRule="auto"/>
        <w:ind w:firstLine="480" w:firstLineChars="200"/>
        <w:rPr>
          <w:rFonts w:hint="eastAsia" w:ascii="宋体" w:hAnsi="宋体"/>
          <w:sz w:val="24"/>
        </w:rPr>
      </w:pPr>
      <w:r>
        <w:rPr>
          <w:rFonts w:ascii="宋体" w:hAnsi="宋体"/>
          <w:sz w:val="24"/>
        </w:rPr>
        <w:t>（</w:t>
      </w:r>
      <w:r>
        <w:rPr>
          <w:rFonts w:hint="eastAsia" w:ascii="宋体" w:hAnsi="宋体"/>
          <w:sz w:val="24"/>
        </w:rPr>
        <w:t>2</w:t>
      </w:r>
      <w:r>
        <w:rPr>
          <w:rFonts w:ascii="宋体" w:hAnsi="宋体"/>
          <w:sz w:val="24"/>
        </w:rPr>
        <w:t>）建设单位提供的其他相关资料。</w:t>
      </w:r>
    </w:p>
    <w:p w14:paraId="10079753">
      <w:pPr>
        <w:pStyle w:val="3"/>
        <w:keepNext w:val="0"/>
        <w:keepLines w:val="0"/>
        <w:autoSpaceDE w:val="0"/>
        <w:autoSpaceDN w:val="0"/>
        <w:spacing w:before="0" w:after="0" w:line="360" w:lineRule="auto"/>
        <w:jc w:val="left"/>
        <w:rPr>
          <w:rFonts w:ascii="Times New Roman" w:hAnsi="Times New Roman" w:eastAsia="宋体"/>
          <w:kern w:val="0"/>
          <w:sz w:val="24"/>
          <w:szCs w:val="30"/>
          <w:lang w:val="en-US" w:bidi="zh-CN"/>
        </w:rPr>
      </w:pPr>
      <w:bookmarkStart w:id="56" w:name="_Toc27233"/>
      <w:r>
        <w:rPr>
          <w:rFonts w:hint="eastAsia" w:ascii="Times New Roman" w:hAnsi="Times New Roman" w:eastAsia="宋体"/>
          <w:kern w:val="0"/>
          <w:sz w:val="24"/>
          <w:szCs w:val="30"/>
          <w:lang w:val="en-US" w:bidi="zh-CN"/>
        </w:rPr>
        <w:t>2.2</w:t>
      </w:r>
      <w:r>
        <w:rPr>
          <w:rFonts w:ascii="Times New Roman" w:hAnsi="Times New Roman" w:eastAsia="宋体"/>
          <w:kern w:val="0"/>
          <w:sz w:val="24"/>
          <w:szCs w:val="30"/>
          <w:lang w:val="en-US" w:bidi="zh-CN"/>
        </w:rPr>
        <w:t>评价原则及评价目的</w:t>
      </w:r>
      <w:bookmarkEnd w:id="56"/>
    </w:p>
    <w:p w14:paraId="0E451722">
      <w:pPr>
        <w:pStyle w:val="4"/>
        <w:autoSpaceDE w:val="0"/>
        <w:autoSpaceDN w:val="0"/>
        <w:spacing w:before="0" w:after="0" w:line="360" w:lineRule="auto"/>
        <w:jc w:val="left"/>
        <w:rPr>
          <w:kern w:val="0"/>
          <w:sz w:val="24"/>
          <w:lang w:val="en-US" w:bidi="zh-CN"/>
        </w:rPr>
      </w:pPr>
      <w:bookmarkStart w:id="57" w:name="_Toc233630289"/>
      <w:r>
        <w:rPr>
          <w:rFonts w:hint="eastAsia"/>
          <w:kern w:val="0"/>
          <w:sz w:val="24"/>
          <w:lang w:val="en-US" w:bidi="zh-CN"/>
        </w:rPr>
        <w:t>2.2.1评价原则</w:t>
      </w:r>
      <w:bookmarkEnd w:id="57"/>
    </w:p>
    <w:p w14:paraId="0B952DE0">
      <w:pPr>
        <w:spacing w:line="500" w:lineRule="exact"/>
        <w:ind w:firstLine="480" w:firstLineChars="200"/>
        <w:rPr>
          <w:rFonts w:hint="eastAsia" w:ascii="宋体" w:hAnsi="宋体"/>
          <w:color w:val="000000"/>
          <w:kern w:val="0"/>
          <w:sz w:val="24"/>
        </w:rPr>
      </w:pPr>
      <w:bookmarkStart w:id="58" w:name="_Toc233630290"/>
      <w:r>
        <w:rPr>
          <w:rFonts w:hint="eastAsia" w:ascii="宋体" w:hAnsi="宋体"/>
          <w:color w:val="000000"/>
          <w:kern w:val="0"/>
          <w:sz w:val="24"/>
        </w:rPr>
        <w:t xml:space="preserve">突出环境影响评价的源头预防作用，坚持保护和改善环境质量。 </w:t>
      </w:r>
    </w:p>
    <w:p w14:paraId="750D9887">
      <w:pPr>
        <w:spacing w:line="500" w:lineRule="exact"/>
        <w:ind w:firstLine="480" w:firstLineChars="200"/>
        <w:rPr>
          <w:rFonts w:hint="eastAsia" w:ascii="宋体" w:hAnsi="宋体"/>
          <w:color w:val="000000"/>
          <w:kern w:val="0"/>
          <w:sz w:val="24"/>
        </w:rPr>
      </w:pPr>
      <w:r>
        <w:rPr>
          <w:rFonts w:hint="eastAsia" w:ascii="宋体" w:hAnsi="宋体"/>
          <w:color w:val="000000"/>
          <w:kern w:val="0"/>
          <w:sz w:val="24"/>
        </w:rPr>
        <w:t xml:space="preserve">（1）依法评价 </w:t>
      </w:r>
    </w:p>
    <w:p w14:paraId="25A16F0D">
      <w:pPr>
        <w:spacing w:line="500" w:lineRule="exact"/>
        <w:ind w:firstLine="480" w:firstLineChars="200"/>
        <w:rPr>
          <w:rFonts w:hint="eastAsia" w:ascii="宋体" w:hAnsi="宋体"/>
          <w:color w:val="000000"/>
          <w:kern w:val="0"/>
          <w:sz w:val="24"/>
        </w:rPr>
      </w:pPr>
      <w:r>
        <w:rPr>
          <w:rFonts w:hint="eastAsia" w:ascii="宋体" w:hAnsi="宋体"/>
          <w:color w:val="000000"/>
          <w:kern w:val="0"/>
          <w:sz w:val="24"/>
        </w:rPr>
        <w:t xml:space="preserve">贯彻执行我国环境保护相关法律法规、标准、政策和规划等，优化项目建设，服务环境管理。 </w:t>
      </w:r>
    </w:p>
    <w:p w14:paraId="3D2E10E0">
      <w:pPr>
        <w:spacing w:line="500" w:lineRule="exact"/>
        <w:ind w:firstLine="480" w:firstLineChars="200"/>
        <w:rPr>
          <w:rFonts w:hint="eastAsia" w:ascii="宋体" w:hAnsi="宋体"/>
          <w:color w:val="000000"/>
          <w:kern w:val="0"/>
          <w:sz w:val="24"/>
        </w:rPr>
      </w:pPr>
      <w:r>
        <w:rPr>
          <w:rFonts w:hint="eastAsia" w:ascii="宋体" w:hAnsi="宋体"/>
          <w:color w:val="000000"/>
          <w:kern w:val="0"/>
          <w:sz w:val="24"/>
        </w:rPr>
        <w:t xml:space="preserve">（2）科学评价 </w:t>
      </w:r>
    </w:p>
    <w:p w14:paraId="2B4A4255">
      <w:pPr>
        <w:spacing w:line="500" w:lineRule="exact"/>
        <w:ind w:firstLine="480" w:firstLineChars="200"/>
        <w:rPr>
          <w:rFonts w:hint="eastAsia" w:ascii="宋体" w:hAnsi="宋体"/>
          <w:color w:val="000000"/>
          <w:kern w:val="0"/>
          <w:sz w:val="24"/>
        </w:rPr>
      </w:pPr>
      <w:r>
        <w:rPr>
          <w:rFonts w:hint="eastAsia" w:ascii="宋体" w:hAnsi="宋体"/>
          <w:color w:val="000000"/>
          <w:kern w:val="0"/>
          <w:sz w:val="24"/>
        </w:rPr>
        <w:t xml:space="preserve">规范环境影响评价方法，科学分析项目建设对环境质量的影响。 </w:t>
      </w:r>
    </w:p>
    <w:p w14:paraId="5ADF925D">
      <w:pPr>
        <w:spacing w:line="500" w:lineRule="exact"/>
        <w:ind w:firstLine="480" w:firstLineChars="200"/>
        <w:rPr>
          <w:rFonts w:hint="eastAsia" w:ascii="宋体" w:hAnsi="宋体"/>
          <w:color w:val="000000"/>
          <w:kern w:val="0"/>
          <w:sz w:val="24"/>
        </w:rPr>
      </w:pPr>
      <w:r>
        <w:rPr>
          <w:rFonts w:hint="eastAsia" w:ascii="宋体" w:hAnsi="宋体"/>
          <w:color w:val="000000"/>
          <w:kern w:val="0"/>
          <w:sz w:val="24"/>
        </w:rPr>
        <w:t xml:space="preserve">（3）突出重点 </w:t>
      </w:r>
    </w:p>
    <w:p w14:paraId="4DFEF1AB">
      <w:pPr>
        <w:spacing w:line="500" w:lineRule="exact"/>
        <w:ind w:firstLine="480" w:firstLineChars="200"/>
        <w:rPr>
          <w:rFonts w:hint="eastAsia" w:ascii="宋体" w:hAnsi="宋体"/>
          <w:color w:val="000000"/>
          <w:kern w:val="0"/>
          <w:sz w:val="24"/>
        </w:rPr>
      </w:pPr>
      <w:r>
        <w:rPr>
          <w:rFonts w:hint="eastAsia" w:ascii="宋体" w:hAnsi="宋体"/>
          <w:color w:val="000000"/>
          <w:kern w:val="0"/>
          <w:sz w:val="24"/>
        </w:rPr>
        <w:t>根据建设项目的工程内容及其特点，明确与环境要素间的作用效应关系，根据规划环境影响评价结论和审查意见，充分利用符合时效的数据资料及成果，对建设项目主要环境影响予以重点分析和评价。</w:t>
      </w:r>
    </w:p>
    <w:p w14:paraId="488A1EF0">
      <w:pPr>
        <w:pStyle w:val="4"/>
        <w:autoSpaceDE w:val="0"/>
        <w:autoSpaceDN w:val="0"/>
        <w:spacing w:before="0" w:after="0" w:line="360" w:lineRule="auto"/>
        <w:jc w:val="left"/>
        <w:rPr>
          <w:kern w:val="0"/>
          <w:sz w:val="24"/>
          <w:lang w:val="en-US" w:bidi="zh-CN"/>
        </w:rPr>
      </w:pPr>
      <w:r>
        <w:rPr>
          <w:rFonts w:hint="eastAsia"/>
          <w:kern w:val="0"/>
          <w:sz w:val="24"/>
          <w:lang w:val="en-US" w:bidi="zh-CN"/>
        </w:rPr>
        <w:t>2.1.2评价目的</w:t>
      </w:r>
      <w:bookmarkEnd w:id="58"/>
    </w:p>
    <w:p w14:paraId="75D1B3A7">
      <w:pPr>
        <w:adjustRightInd w:val="0"/>
        <w:snapToGrid w:val="0"/>
        <w:spacing w:line="360" w:lineRule="auto"/>
        <w:ind w:firstLine="480" w:firstLineChars="200"/>
        <w:jc w:val="left"/>
        <w:rPr>
          <w:rFonts w:hint="eastAsia" w:ascii="宋体" w:hAnsi="宋体"/>
          <w:snapToGrid w:val="0"/>
          <w:kern w:val="0"/>
          <w:sz w:val="24"/>
        </w:rPr>
      </w:pPr>
      <w:r>
        <w:rPr>
          <w:rFonts w:hint="eastAsia" w:ascii="宋体" w:hAnsi="宋体"/>
          <w:snapToGrid w:val="0"/>
          <w:kern w:val="0"/>
          <w:sz w:val="24"/>
        </w:rPr>
        <w:t xml:space="preserve">（1）通过调查、收集资料与实测，了解本项目评价范围内的社会环境、自然环境和环境质量现状； </w:t>
      </w:r>
    </w:p>
    <w:p w14:paraId="08E5FF0A">
      <w:pPr>
        <w:adjustRightInd w:val="0"/>
        <w:snapToGrid w:val="0"/>
        <w:spacing w:line="360" w:lineRule="auto"/>
        <w:ind w:firstLine="480" w:firstLineChars="200"/>
        <w:jc w:val="left"/>
        <w:rPr>
          <w:rFonts w:hint="eastAsia" w:ascii="宋体" w:hAnsi="宋体"/>
          <w:snapToGrid w:val="0"/>
          <w:kern w:val="0"/>
          <w:sz w:val="24"/>
        </w:rPr>
      </w:pPr>
      <w:r>
        <w:rPr>
          <w:rFonts w:hint="eastAsia" w:ascii="宋体" w:hAnsi="宋体"/>
          <w:snapToGrid w:val="0"/>
          <w:kern w:val="0"/>
          <w:sz w:val="24"/>
        </w:rPr>
        <w:t xml:space="preserve">（2）通过工程分析，明确本项目的主要污染源、污染物种类、排放强度，并对污染物达标排放进行分析； </w:t>
      </w:r>
    </w:p>
    <w:p w14:paraId="7A75CF5D">
      <w:pPr>
        <w:adjustRightInd w:val="0"/>
        <w:snapToGrid w:val="0"/>
        <w:spacing w:line="360" w:lineRule="auto"/>
        <w:ind w:firstLine="480" w:firstLineChars="200"/>
        <w:jc w:val="left"/>
        <w:rPr>
          <w:rFonts w:hint="eastAsia" w:ascii="宋体" w:hAnsi="宋体"/>
          <w:snapToGrid w:val="0"/>
          <w:kern w:val="0"/>
          <w:sz w:val="24"/>
        </w:rPr>
      </w:pPr>
      <w:r>
        <w:rPr>
          <w:rFonts w:hint="eastAsia" w:ascii="宋体" w:hAnsi="宋体"/>
          <w:snapToGrid w:val="0"/>
          <w:kern w:val="0"/>
          <w:sz w:val="24"/>
        </w:rPr>
        <w:t xml:space="preserve">（3）论证本项目采取的环境保护措施的可行性及合理性，并针对存在的问题，提出预防或者减轻不良环境影响的对策和措施； </w:t>
      </w:r>
    </w:p>
    <w:p w14:paraId="14A10D7C">
      <w:pPr>
        <w:adjustRightInd w:val="0"/>
        <w:snapToGrid w:val="0"/>
        <w:spacing w:line="360" w:lineRule="auto"/>
        <w:ind w:firstLine="480" w:firstLineChars="200"/>
        <w:jc w:val="left"/>
        <w:rPr>
          <w:rFonts w:hint="eastAsia" w:ascii="宋体" w:hAnsi="宋体"/>
          <w:snapToGrid w:val="0"/>
          <w:kern w:val="0"/>
          <w:sz w:val="24"/>
        </w:rPr>
      </w:pPr>
      <w:r>
        <w:rPr>
          <w:rFonts w:hint="eastAsia" w:ascii="宋体" w:hAnsi="宋体"/>
          <w:snapToGrid w:val="0"/>
          <w:kern w:val="0"/>
          <w:sz w:val="24"/>
        </w:rPr>
        <w:t xml:space="preserve">（4）论证项目与产业政策的符合性、与当地建设规划的相容性、资源利用可行性以及环境可行性； </w:t>
      </w:r>
    </w:p>
    <w:p w14:paraId="018F1AB4">
      <w:pPr>
        <w:adjustRightInd w:val="0"/>
        <w:snapToGrid w:val="0"/>
        <w:spacing w:line="360" w:lineRule="auto"/>
        <w:ind w:firstLine="480" w:firstLineChars="200"/>
        <w:jc w:val="left"/>
        <w:rPr>
          <w:rFonts w:hint="eastAsia" w:ascii="宋体" w:hAnsi="宋体"/>
          <w:snapToGrid w:val="0"/>
          <w:kern w:val="0"/>
          <w:sz w:val="24"/>
        </w:rPr>
      </w:pPr>
      <w:r>
        <w:rPr>
          <w:rFonts w:hint="eastAsia" w:ascii="宋体" w:hAnsi="宋体"/>
          <w:snapToGrid w:val="0"/>
          <w:kern w:val="0"/>
          <w:sz w:val="24"/>
        </w:rPr>
        <w:t xml:space="preserve">（5）分析本项目可能存在的事故隐患，预测可能产生的环境风险程度，提出具体的环境风险防范措施。 </w:t>
      </w:r>
    </w:p>
    <w:p w14:paraId="6A0017E5">
      <w:pPr>
        <w:adjustRightInd w:val="0"/>
        <w:snapToGrid w:val="0"/>
        <w:spacing w:line="360" w:lineRule="auto"/>
        <w:ind w:firstLine="480" w:firstLineChars="200"/>
        <w:rPr>
          <w:rFonts w:hint="eastAsia" w:ascii="宋体" w:hAnsi="宋体"/>
          <w:snapToGrid w:val="0"/>
          <w:kern w:val="0"/>
          <w:sz w:val="24"/>
        </w:rPr>
      </w:pPr>
      <w:r>
        <w:rPr>
          <w:rFonts w:hint="eastAsia" w:ascii="宋体" w:hAnsi="宋体"/>
          <w:snapToGrid w:val="0"/>
          <w:kern w:val="0"/>
          <w:sz w:val="24"/>
        </w:rPr>
        <w:t xml:space="preserve">通过上述评价，论证项目在环境方面的可行性，给出环境影响评价结论，为环境保护主管部门提供决策依据。 </w:t>
      </w:r>
    </w:p>
    <w:bookmarkEnd w:id="16"/>
    <w:bookmarkEnd w:id="17"/>
    <w:bookmarkEnd w:id="18"/>
    <w:p w14:paraId="20A1A85A">
      <w:pPr>
        <w:pStyle w:val="3"/>
        <w:keepNext w:val="0"/>
        <w:keepLines w:val="0"/>
        <w:autoSpaceDE w:val="0"/>
        <w:autoSpaceDN w:val="0"/>
        <w:spacing w:before="0" w:after="0" w:line="360" w:lineRule="auto"/>
        <w:jc w:val="left"/>
        <w:rPr>
          <w:rFonts w:ascii="Times New Roman" w:hAnsi="Times New Roman" w:eastAsia="宋体"/>
          <w:kern w:val="0"/>
          <w:sz w:val="24"/>
          <w:szCs w:val="30"/>
          <w:lang w:val="en-US" w:bidi="zh-CN"/>
        </w:rPr>
      </w:pPr>
      <w:bookmarkStart w:id="59" w:name="_Toc363049948"/>
      <w:bookmarkStart w:id="60" w:name="_Toc261445731"/>
      <w:bookmarkStart w:id="61" w:name="_Toc296258595"/>
      <w:bookmarkStart w:id="62" w:name="_Toc332727815"/>
      <w:bookmarkStart w:id="63" w:name="_Toc296179937"/>
      <w:bookmarkStart w:id="64" w:name="_Toc296180368"/>
      <w:bookmarkStart w:id="65" w:name="_Toc296179348"/>
      <w:bookmarkStart w:id="66" w:name="_Toc318380468"/>
      <w:bookmarkStart w:id="67" w:name="_Toc233630288"/>
      <w:bookmarkStart w:id="68" w:name="_Toc16481"/>
      <w:r>
        <w:rPr>
          <w:rFonts w:hint="eastAsia" w:ascii="Times New Roman" w:hAnsi="Times New Roman" w:eastAsia="宋体"/>
          <w:kern w:val="0"/>
          <w:sz w:val="24"/>
          <w:szCs w:val="30"/>
          <w:lang w:val="en-US" w:bidi="zh-CN"/>
        </w:rPr>
        <w:t>2.</w:t>
      </w:r>
      <w:bookmarkEnd w:id="59"/>
      <w:bookmarkEnd w:id="60"/>
      <w:bookmarkEnd w:id="61"/>
      <w:bookmarkEnd w:id="62"/>
      <w:bookmarkEnd w:id="63"/>
      <w:bookmarkEnd w:id="64"/>
      <w:bookmarkEnd w:id="65"/>
      <w:bookmarkEnd w:id="66"/>
      <w:bookmarkEnd w:id="67"/>
      <w:bookmarkStart w:id="69" w:name="_Toc332727817"/>
      <w:bookmarkStart w:id="70" w:name="_Toc296179350"/>
      <w:bookmarkStart w:id="71" w:name="_Toc363049950"/>
      <w:bookmarkStart w:id="72" w:name="_Toc296179939"/>
      <w:bookmarkStart w:id="73" w:name="_Toc318380470"/>
      <w:bookmarkStart w:id="74" w:name="_Toc296180370"/>
      <w:bookmarkStart w:id="75" w:name="_Toc296258597"/>
      <w:r>
        <w:rPr>
          <w:rFonts w:hint="eastAsia" w:ascii="Times New Roman" w:hAnsi="Times New Roman" w:eastAsia="宋体"/>
          <w:kern w:val="0"/>
          <w:sz w:val="24"/>
          <w:szCs w:val="30"/>
          <w:lang w:val="en-US" w:bidi="zh-CN"/>
        </w:rPr>
        <w:t>3评价时段及重点</w:t>
      </w:r>
      <w:bookmarkEnd w:id="68"/>
    </w:p>
    <w:p w14:paraId="74C442CF">
      <w:pPr>
        <w:pStyle w:val="4"/>
        <w:autoSpaceDE w:val="0"/>
        <w:autoSpaceDN w:val="0"/>
        <w:spacing w:before="0" w:after="0" w:line="360" w:lineRule="auto"/>
        <w:jc w:val="left"/>
        <w:rPr>
          <w:kern w:val="0"/>
          <w:sz w:val="24"/>
          <w:lang w:val="en-US" w:bidi="zh-CN"/>
        </w:rPr>
      </w:pPr>
      <w:r>
        <w:rPr>
          <w:rFonts w:hint="eastAsia"/>
          <w:kern w:val="0"/>
          <w:sz w:val="24"/>
          <w:lang w:val="en-US" w:bidi="zh-CN"/>
        </w:rPr>
        <w:t>2.4.1评价时段</w:t>
      </w:r>
    </w:p>
    <w:p w14:paraId="2843EF4B">
      <w:pPr>
        <w:adjustRightInd w:val="0"/>
        <w:snapToGrid w:val="0"/>
        <w:spacing w:line="360" w:lineRule="auto"/>
        <w:ind w:firstLine="480" w:firstLineChars="200"/>
        <w:rPr>
          <w:rFonts w:hint="eastAsia" w:ascii="宋体" w:hAnsi="宋体"/>
          <w:snapToGrid w:val="0"/>
          <w:kern w:val="0"/>
          <w:sz w:val="24"/>
        </w:rPr>
      </w:pPr>
      <w:r>
        <w:rPr>
          <w:rFonts w:hint="eastAsia" w:ascii="宋体" w:hAnsi="宋体"/>
          <w:snapToGrid w:val="0"/>
          <w:kern w:val="0"/>
          <w:sz w:val="24"/>
        </w:rPr>
        <w:t>本项目租用现有厂房进行设备安装，评价时段包括项目施工期（生产和环保设备安装）以及运营期，主要针对运营期进行评价。</w:t>
      </w:r>
    </w:p>
    <w:p w14:paraId="513FDFE5">
      <w:pPr>
        <w:pStyle w:val="4"/>
        <w:autoSpaceDE w:val="0"/>
        <w:autoSpaceDN w:val="0"/>
        <w:spacing w:before="0" w:after="0" w:line="360" w:lineRule="auto"/>
        <w:jc w:val="left"/>
        <w:rPr>
          <w:kern w:val="0"/>
          <w:sz w:val="24"/>
          <w:lang w:val="en-US" w:bidi="zh-CN"/>
        </w:rPr>
      </w:pPr>
      <w:r>
        <w:rPr>
          <w:rFonts w:hint="eastAsia"/>
          <w:kern w:val="0"/>
          <w:sz w:val="24"/>
          <w:lang w:val="en-US" w:bidi="zh-CN"/>
        </w:rPr>
        <w:t>2.4.2评价重点</w:t>
      </w:r>
    </w:p>
    <w:p w14:paraId="1A7D3141">
      <w:pPr>
        <w:adjustRightInd w:val="0"/>
        <w:snapToGrid w:val="0"/>
        <w:spacing w:line="360" w:lineRule="auto"/>
        <w:ind w:firstLine="480" w:firstLineChars="200"/>
        <w:rPr>
          <w:rFonts w:hint="eastAsia" w:ascii="宋体" w:hAnsi="宋体"/>
          <w:snapToGrid w:val="0"/>
          <w:kern w:val="0"/>
          <w:sz w:val="24"/>
        </w:rPr>
      </w:pPr>
      <w:r>
        <w:rPr>
          <w:rFonts w:hint="eastAsia" w:ascii="宋体" w:hAnsi="宋体"/>
          <w:snapToGrid w:val="0"/>
          <w:kern w:val="0"/>
          <w:sz w:val="24"/>
        </w:rPr>
        <w:t>根据项目排污特点及周围地区环境特征，确定工程分析、大气环境影响评价、地下水环境影响评价、土壤环境影响评价、污染防治措施及其可行性论证作为评价重点。</w:t>
      </w:r>
    </w:p>
    <w:p w14:paraId="4FD75504">
      <w:pPr>
        <w:pStyle w:val="3"/>
        <w:keepNext w:val="0"/>
        <w:keepLines w:val="0"/>
        <w:autoSpaceDE w:val="0"/>
        <w:autoSpaceDN w:val="0"/>
        <w:spacing w:before="0" w:after="0" w:line="360" w:lineRule="auto"/>
        <w:jc w:val="left"/>
        <w:rPr>
          <w:rFonts w:ascii="Times New Roman" w:hAnsi="Times New Roman" w:eastAsia="宋体"/>
          <w:kern w:val="0"/>
          <w:sz w:val="24"/>
          <w:szCs w:val="30"/>
          <w:lang w:val="en-US" w:bidi="zh-CN"/>
        </w:rPr>
      </w:pPr>
      <w:bookmarkStart w:id="76" w:name="_Toc3643"/>
      <w:r>
        <w:rPr>
          <w:rFonts w:hint="eastAsia" w:ascii="Times New Roman" w:hAnsi="Times New Roman" w:eastAsia="宋体"/>
          <w:kern w:val="0"/>
          <w:sz w:val="24"/>
          <w:szCs w:val="30"/>
          <w:lang w:val="en-US" w:bidi="zh-CN"/>
        </w:rPr>
        <w:t>2.4</w:t>
      </w:r>
      <w:bookmarkEnd w:id="69"/>
      <w:bookmarkEnd w:id="70"/>
      <w:bookmarkEnd w:id="71"/>
      <w:bookmarkEnd w:id="72"/>
      <w:bookmarkEnd w:id="73"/>
      <w:bookmarkEnd w:id="74"/>
      <w:bookmarkEnd w:id="75"/>
      <w:r>
        <w:rPr>
          <w:rFonts w:hint="eastAsia" w:ascii="Times New Roman" w:hAnsi="Times New Roman" w:eastAsia="宋体"/>
          <w:kern w:val="0"/>
          <w:sz w:val="24"/>
          <w:szCs w:val="30"/>
          <w:lang w:val="en-US" w:bidi="zh-CN"/>
        </w:rPr>
        <w:t>环境影响识别与评价因子筛选</w:t>
      </w:r>
      <w:bookmarkEnd w:id="76"/>
    </w:p>
    <w:p w14:paraId="12E56275">
      <w:pPr>
        <w:pStyle w:val="4"/>
        <w:autoSpaceDE w:val="0"/>
        <w:autoSpaceDN w:val="0"/>
        <w:spacing w:before="0" w:after="0" w:line="360" w:lineRule="auto"/>
        <w:jc w:val="left"/>
        <w:rPr>
          <w:kern w:val="0"/>
          <w:sz w:val="24"/>
          <w:lang w:val="en-US" w:bidi="zh-CN"/>
        </w:rPr>
      </w:pPr>
      <w:bookmarkStart w:id="77" w:name="_Toc233630298"/>
      <w:r>
        <w:rPr>
          <w:rFonts w:hint="eastAsia"/>
          <w:kern w:val="0"/>
          <w:sz w:val="24"/>
          <w:lang w:val="en-US" w:bidi="zh-CN"/>
        </w:rPr>
        <w:t>2.4.1环境影响因素识别</w:t>
      </w:r>
    </w:p>
    <w:p w14:paraId="04FEDA7B">
      <w:pPr>
        <w:adjustRightInd w:val="0"/>
        <w:snapToGrid w:val="0"/>
        <w:spacing w:line="360" w:lineRule="auto"/>
        <w:ind w:firstLine="480" w:firstLineChars="200"/>
        <w:rPr>
          <w:rFonts w:hint="eastAsia" w:ascii="宋体" w:hAnsi="宋体"/>
          <w:snapToGrid w:val="0"/>
          <w:kern w:val="0"/>
          <w:sz w:val="24"/>
        </w:rPr>
      </w:pPr>
      <w:r>
        <w:rPr>
          <w:rFonts w:hint="eastAsia" w:ascii="宋体" w:hAnsi="宋体"/>
          <w:snapToGrid w:val="0"/>
          <w:kern w:val="0"/>
          <w:sz w:val="24"/>
        </w:rPr>
        <w:t>根据项目的污染物排放特征及所在区域的环境特征，识别出项目运营期对厂址周围的环境空气、地下水环境及声环境等产生不同程度的影响。本项目环境影响识别见表2.4-1。</w:t>
      </w:r>
    </w:p>
    <w:p w14:paraId="40104819">
      <w:pPr>
        <w:pStyle w:val="16"/>
        <w:tabs>
          <w:tab w:val="left" w:pos="779"/>
        </w:tabs>
        <w:spacing w:after="0"/>
        <w:ind w:firstLine="420"/>
        <w:jc w:val="center"/>
        <w:rPr>
          <w:b/>
          <w:szCs w:val="21"/>
        </w:rPr>
      </w:pPr>
      <w:r>
        <w:rPr>
          <w:b/>
          <w:szCs w:val="21"/>
        </w:rPr>
        <w:t>表2.</w:t>
      </w:r>
      <w:r>
        <w:rPr>
          <w:rFonts w:hint="eastAsia"/>
          <w:b/>
          <w:szCs w:val="21"/>
          <w:lang w:val="en-US"/>
        </w:rPr>
        <w:t>4</w:t>
      </w:r>
      <w:r>
        <w:rPr>
          <w:b/>
          <w:szCs w:val="21"/>
        </w:rPr>
        <w:t>-1</w:t>
      </w:r>
      <w:r>
        <w:rPr>
          <w:rFonts w:hint="eastAsia"/>
          <w:b/>
          <w:szCs w:val="21"/>
          <w:lang w:val="en-US"/>
        </w:rPr>
        <w:t xml:space="preserve">   </w:t>
      </w:r>
      <w:r>
        <w:rPr>
          <w:b/>
          <w:szCs w:val="21"/>
        </w:rPr>
        <w:t>项目运营期环境影响识别表</w:t>
      </w:r>
    </w:p>
    <w:tbl>
      <w:tblPr>
        <w:tblStyle w:val="49"/>
        <w:tblW w:w="4957"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0" w:type="dxa"/>
          <w:bottom w:w="0" w:type="dxa"/>
          <w:right w:w="0" w:type="dxa"/>
        </w:tblCellMar>
      </w:tblPr>
      <w:tblGrid>
        <w:gridCol w:w="1238"/>
        <w:gridCol w:w="1355"/>
        <w:gridCol w:w="3545"/>
        <w:gridCol w:w="2829"/>
      </w:tblGrid>
      <w:tr w14:paraId="3ED8C6E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20" w:hRule="atLeast"/>
          <w:jc w:val="center"/>
        </w:trPr>
        <w:tc>
          <w:tcPr>
            <w:tcW w:w="690" w:type="pct"/>
            <w:tcBorders>
              <w:tl2br w:val="nil"/>
              <w:tr2bl w:val="nil"/>
            </w:tcBorders>
            <w:vAlign w:val="center"/>
          </w:tcPr>
          <w:p w14:paraId="4BAAAF63">
            <w:pPr>
              <w:pStyle w:val="228"/>
              <w:kinsoku w:val="0"/>
              <w:overflowPunct w:val="0"/>
              <w:rPr>
                <w:szCs w:val="21"/>
              </w:rPr>
            </w:pPr>
            <w:r>
              <w:rPr>
                <w:szCs w:val="21"/>
              </w:rPr>
              <w:t>环境问题时段</w:t>
            </w:r>
          </w:p>
        </w:tc>
        <w:tc>
          <w:tcPr>
            <w:tcW w:w="755" w:type="pct"/>
            <w:tcBorders>
              <w:tl2br w:val="nil"/>
              <w:tr2bl w:val="nil"/>
            </w:tcBorders>
            <w:vAlign w:val="center"/>
          </w:tcPr>
          <w:p w14:paraId="6E174DAA">
            <w:pPr>
              <w:pStyle w:val="228"/>
              <w:kinsoku w:val="0"/>
              <w:overflowPunct w:val="0"/>
              <w:rPr>
                <w:szCs w:val="21"/>
              </w:rPr>
            </w:pPr>
            <w:r>
              <w:rPr>
                <w:szCs w:val="21"/>
              </w:rPr>
              <w:t>可能引发的环境问题</w:t>
            </w:r>
          </w:p>
        </w:tc>
        <w:tc>
          <w:tcPr>
            <w:tcW w:w="1976" w:type="pct"/>
            <w:tcBorders>
              <w:tl2br w:val="nil"/>
              <w:tr2bl w:val="nil"/>
            </w:tcBorders>
            <w:vAlign w:val="center"/>
          </w:tcPr>
          <w:p w14:paraId="0F0B77C2">
            <w:pPr>
              <w:pStyle w:val="228"/>
              <w:kinsoku w:val="0"/>
              <w:overflowPunct w:val="0"/>
              <w:rPr>
                <w:szCs w:val="21"/>
              </w:rPr>
            </w:pPr>
            <w:r>
              <w:rPr>
                <w:szCs w:val="21"/>
              </w:rPr>
              <w:t>产生影响的主要内容</w:t>
            </w:r>
          </w:p>
        </w:tc>
        <w:tc>
          <w:tcPr>
            <w:tcW w:w="1577" w:type="pct"/>
            <w:tcBorders>
              <w:tl2br w:val="nil"/>
              <w:tr2bl w:val="nil"/>
            </w:tcBorders>
            <w:vAlign w:val="center"/>
          </w:tcPr>
          <w:p w14:paraId="45FE10D6">
            <w:pPr>
              <w:pStyle w:val="228"/>
              <w:kinsoku w:val="0"/>
              <w:overflowPunct w:val="0"/>
              <w:rPr>
                <w:szCs w:val="21"/>
              </w:rPr>
            </w:pPr>
            <w:r>
              <w:rPr>
                <w:szCs w:val="21"/>
              </w:rPr>
              <w:t>主要影响因素</w:t>
            </w:r>
          </w:p>
        </w:tc>
      </w:tr>
      <w:tr w14:paraId="3E5A80F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58" w:hRule="atLeast"/>
          <w:jc w:val="center"/>
        </w:trPr>
        <w:tc>
          <w:tcPr>
            <w:tcW w:w="690" w:type="pct"/>
            <w:vMerge w:val="restart"/>
            <w:tcBorders>
              <w:tl2br w:val="nil"/>
              <w:tr2bl w:val="nil"/>
            </w:tcBorders>
            <w:vAlign w:val="center"/>
          </w:tcPr>
          <w:p w14:paraId="1D532146">
            <w:pPr>
              <w:pStyle w:val="228"/>
              <w:kinsoku w:val="0"/>
              <w:overflowPunct w:val="0"/>
              <w:rPr>
                <w:szCs w:val="21"/>
              </w:rPr>
            </w:pPr>
            <w:r>
              <w:rPr>
                <w:rFonts w:hint="eastAsia"/>
                <w:szCs w:val="21"/>
              </w:rPr>
              <w:t>施工期</w:t>
            </w:r>
          </w:p>
        </w:tc>
        <w:tc>
          <w:tcPr>
            <w:tcW w:w="755" w:type="pct"/>
            <w:vMerge w:val="restart"/>
            <w:tcBorders>
              <w:tl2br w:val="nil"/>
              <w:tr2bl w:val="nil"/>
            </w:tcBorders>
            <w:vAlign w:val="center"/>
          </w:tcPr>
          <w:p w14:paraId="19304B5B">
            <w:pPr>
              <w:pStyle w:val="228"/>
              <w:kinsoku w:val="0"/>
              <w:overflowPunct w:val="0"/>
              <w:rPr>
                <w:szCs w:val="21"/>
              </w:rPr>
            </w:pPr>
            <w:r>
              <w:rPr>
                <w:szCs w:val="21"/>
              </w:rPr>
              <w:t>大气污染</w:t>
            </w:r>
          </w:p>
        </w:tc>
        <w:tc>
          <w:tcPr>
            <w:tcW w:w="1976" w:type="pct"/>
            <w:tcBorders>
              <w:tl2br w:val="nil"/>
              <w:tr2bl w:val="nil"/>
            </w:tcBorders>
            <w:vAlign w:val="center"/>
          </w:tcPr>
          <w:p w14:paraId="6CC79C20">
            <w:pPr>
              <w:pStyle w:val="228"/>
              <w:kinsoku w:val="0"/>
              <w:overflowPunct w:val="0"/>
              <w:rPr>
                <w:szCs w:val="21"/>
              </w:rPr>
            </w:pPr>
            <w:r>
              <w:rPr>
                <w:rFonts w:hint="eastAsia"/>
                <w:szCs w:val="21"/>
              </w:rPr>
              <w:t>生产设备及环保设备、</w:t>
            </w:r>
            <w:r>
              <w:rPr>
                <w:szCs w:val="21"/>
              </w:rPr>
              <w:t>运</w:t>
            </w:r>
            <w:r>
              <w:rPr>
                <w:rFonts w:hint="eastAsia"/>
                <w:szCs w:val="21"/>
              </w:rPr>
              <w:t>输</w:t>
            </w:r>
            <w:r>
              <w:rPr>
                <w:szCs w:val="21"/>
              </w:rPr>
              <w:t>、</w:t>
            </w:r>
            <w:r>
              <w:rPr>
                <w:rFonts w:hint="eastAsia"/>
                <w:szCs w:val="21"/>
              </w:rPr>
              <w:t>安装</w:t>
            </w:r>
          </w:p>
        </w:tc>
        <w:tc>
          <w:tcPr>
            <w:tcW w:w="1577" w:type="pct"/>
            <w:tcBorders>
              <w:tl2br w:val="nil"/>
              <w:tr2bl w:val="nil"/>
            </w:tcBorders>
            <w:vAlign w:val="center"/>
          </w:tcPr>
          <w:p w14:paraId="40BD6F10">
            <w:pPr>
              <w:pStyle w:val="228"/>
              <w:kinsoku w:val="0"/>
              <w:overflowPunct w:val="0"/>
              <w:rPr>
                <w:szCs w:val="21"/>
              </w:rPr>
            </w:pPr>
            <w:r>
              <w:rPr>
                <w:szCs w:val="21"/>
              </w:rPr>
              <w:t>扬尘</w:t>
            </w:r>
          </w:p>
        </w:tc>
      </w:tr>
      <w:tr w14:paraId="7124AFC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53" w:hRule="atLeast"/>
          <w:jc w:val="center"/>
        </w:trPr>
        <w:tc>
          <w:tcPr>
            <w:tcW w:w="690" w:type="pct"/>
            <w:vMerge w:val="continue"/>
            <w:tcBorders>
              <w:tl2br w:val="nil"/>
              <w:tr2bl w:val="nil"/>
            </w:tcBorders>
            <w:vAlign w:val="center"/>
          </w:tcPr>
          <w:p w14:paraId="311280DD">
            <w:pPr>
              <w:pStyle w:val="228"/>
              <w:kinsoku w:val="0"/>
              <w:overflowPunct w:val="0"/>
              <w:rPr>
                <w:szCs w:val="21"/>
              </w:rPr>
            </w:pPr>
          </w:p>
        </w:tc>
        <w:tc>
          <w:tcPr>
            <w:tcW w:w="755" w:type="pct"/>
            <w:vMerge w:val="continue"/>
            <w:tcBorders>
              <w:tl2br w:val="nil"/>
              <w:tr2bl w:val="nil"/>
            </w:tcBorders>
            <w:vAlign w:val="center"/>
          </w:tcPr>
          <w:p w14:paraId="2DE65ECD">
            <w:pPr>
              <w:pStyle w:val="228"/>
              <w:kinsoku w:val="0"/>
              <w:overflowPunct w:val="0"/>
              <w:rPr>
                <w:szCs w:val="21"/>
              </w:rPr>
            </w:pPr>
          </w:p>
        </w:tc>
        <w:tc>
          <w:tcPr>
            <w:tcW w:w="1976" w:type="pct"/>
            <w:tcBorders>
              <w:tl2br w:val="nil"/>
              <w:tr2bl w:val="nil"/>
            </w:tcBorders>
            <w:vAlign w:val="center"/>
          </w:tcPr>
          <w:p w14:paraId="79CFA101">
            <w:pPr>
              <w:pStyle w:val="228"/>
              <w:kinsoku w:val="0"/>
              <w:overflowPunct w:val="0"/>
              <w:rPr>
                <w:szCs w:val="21"/>
              </w:rPr>
            </w:pPr>
            <w:r>
              <w:rPr>
                <w:rFonts w:hint="eastAsia"/>
                <w:szCs w:val="21"/>
              </w:rPr>
              <w:t>运输</w:t>
            </w:r>
            <w:r>
              <w:rPr>
                <w:szCs w:val="21"/>
              </w:rPr>
              <w:t>车辆尾气</w:t>
            </w:r>
          </w:p>
        </w:tc>
        <w:tc>
          <w:tcPr>
            <w:tcW w:w="1577" w:type="pct"/>
            <w:tcBorders>
              <w:tl2br w:val="nil"/>
              <w:tr2bl w:val="nil"/>
            </w:tcBorders>
            <w:vAlign w:val="center"/>
          </w:tcPr>
          <w:p w14:paraId="2D60AEF5">
            <w:pPr>
              <w:pStyle w:val="228"/>
              <w:kinsoku w:val="0"/>
              <w:overflowPunct w:val="0"/>
              <w:rPr>
                <w:szCs w:val="21"/>
              </w:rPr>
            </w:pPr>
            <w:r>
              <w:rPr>
                <w:color w:val="000000"/>
                <w:szCs w:val="21"/>
              </w:rPr>
              <w:t>CO</w:t>
            </w:r>
            <w:r>
              <w:rPr>
                <w:szCs w:val="21"/>
              </w:rPr>
              <w:t>、</w:t>
            </w:r>
            <w:r>
              <w:rPr>
                <w:color w:val="000000"/>
                <w:szCs w:val="21"/>
              </w:rPr>
              <w:t>NO</w:t>
            </w:r>
            <w:r>
              <w:rPr>
                <w:color w:val="000000"/>
                <w:szCs w:val="21"/>
                <w:vertAlign w:val="subscript"/>
              </w:rPr>
              <w:t>x</w:t>
            </w:r>
            <w:r>
              <w:rPr>
                <w:rFonts w:hint="eastAsia"/>
                <w:szCs w:val="21"/>
              </w:rPr>
              <w:t>、非甲烷总烃</w:t>
            </w:r>
          </w:p>
        </w:tc>
      </w:tr>
      <w:tr w14:paraId="08CECC3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53" w:hRule="atLeast"/>
          <w:jc w:val="center"/>
        </w:trPr>
        <w:tc>
          <w:tcPr>
            <w:tcW w:w="690" w:type="pct"/>
            <w:vMerge w:val="continue"/>
            <w:tcBorders>
              <w:tl2br w:val="nil"/>
              <w:tr2bl w:val="nil"/>
            </w:tcBorders>
            <w:vAlign w:val="center"/>
          </w:tcPr>
          <w:p w14:paraId="2777C5FA">
            <w:pPr>
              <w:pStyle w:val="228"/>
              <w:kinsoku w:val="0"/>
              <w:overflowPunct w:val="0"/>
              <w:rPr>
                <w:szCs w:val="21"/>
              </w:rPr>
            </w:pPr>
          </w:p>
        </w:tc>
        <w:tc>
          <w:tcPr>
            <w:tcW w:w="755" w:type="pct"/>
            <w:tcBorders>
              <w:tl2br w:val="nil"/>
              <w:tr2bl w:val="nil"/>
            </w:tcBorders>
            <w:vAlign w:val="center"/>
          </w:tcPr>
          <w:p w14:paraId="38F2BE4B">
            <w:pPr>
              <w:pStyle w:val="228"/>
              <w:kinsoku w:val="0"/>
              <w:overflowPunct w:val="0"/>
              <w:rPr>
                <w:szCs w:val="21"/>
              </w:rPr>
            </w:pPr>
            <w:r>
              <w:rPr>
                <w:szCs w:val="21"/>
              </w:rPr>
              <w:t>水污染</w:t>
            </w:r>
          </w:p>
        </w:tc>
        <w:tc>
          <w:tcPr>
            <w:tcW w:w="1976" w:type="pct"/>
            <w:tcBorders>
              <w:tl2br w:val="nil"/>
              <w:tr2bl w:val="nil"/>
            </w:tcBorders>
            <w:vAlign w:val="center"/>
          </w:tcPr>
          <w:p w14:paraId="537B1F1B">
            <w:pPr>
              <w:pStyle w:val="228"/>
              <w:kinsoku w:val="0"/>
              <w:overflowPunct w:val="0"/>
              <w:rPr>
                <w:szCs w:val="21"/>
              </w:rPr>
            </w:pPr>
            <w:r>
              <w:rPr>
                <w:szCs w:val="21"/>
              </w:rPr>
              <w:t>施工人员生活污水等</w:t>
            </w:r>
          </w:p>
        </w:tc>
        <w:tc>
          <w:tcPr>
            <w:tcW w:w="1577" w:type="pct"/>
            <w:tcBorders>
              <w:tl2br w:val="nil"/>
              <w:tr2bl w:val="nil"/>
            </w:tcBorders>
            <w:vAlign w:val="center"/>
          </w:tcPr>
          <w:p w14:paraId="3565432C">
            <w:pPr>
              <w:pStyle w:val="228"/>
              <w:kinsoku w:val="0"/>
              <w:overflowPunct w:val="0"/>
              <w:rPr>
                <w:szCs w:val="21"/>
              </w:rPr>
            </w:pPr>
            <w:r>
              <w:rPr>
                <w:szCs w:val="21"/>
              </w:rPr>
              <w:t>COD、BOD、SS、NH</w:t>
            </w:r>
            <w:r>
              <w:rPr>
                <w:szCs w:val="21"/>
                <w:vertAlign w:val="subscript"/>
              </w:rPr>
              <w:t>3</w:t>
            </w:r>
            <w:r>
              <w:rPr>
                <w:szCs w:val="21"/>
              </w:rPr>
              <w:t>-N</w:t>
            </w:r>
          </w:p>
        </w:tc>
      </w:tr>
      <w:tr w14:paraId="2E62635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53" w:hRule="atLeast"/>
          <w:jc w:val="center"/>
        </w:trPr>
        <w:tc>
          <w:tcPr>
            <w:tcW w:w="690" w:type="pct"/>
            <w:vMerge w:val="continue"/>
            <w:tcBorders>
              <w:tl2br w:val="nil"/>
              <w:tr2bl w:val="nil"/>
            </w:tcBorders>
            <w:vAlign w:val="center"/>
          </w:tcPr>
          <w:p w14:paraId="007C7282">
            <w:pPr>
              <w:pStyle w:val="228"/>
              <w:kinsoku w:val="0"/>
              <w:overflowPunct w:val="0"/>
              <w:rPr>
                <w:szCs w:val="21"/>
              </w:rPr>
            </w:pPr>
          </w:p>
        </w:tc>
        <w:tc>
          <w:tcPr>
            <w:tcW w:w="755" w:type="pct"/>
            <w:tcBorders>
              <w:tl2br w:val="nil"/>
              <w:tr2bl w:val="nil"/>
            </w:tcBorders>
            <w:vAlign w:val="center"/>
          </w:tcPr>
          <w:p w14:paraId="41419E9F">
            <w:pPr>
              <w:pStyle w:val="228"/>
              <w:kinsoku w:val="0"/>
              <w:overflowPunct w:val="0"/>
              <w:rPr>
                <w:szCs w:val="21"/>
              </w:rPr>
            </w:pPr>
            <w:r>
              <w:rPr>
                <w:szCs w:val="21"/>
              </w:rPr>
              <w:t>噪声污染</w:t>
            </w:r>
          </w:p>
        </w:tc>
        <w:tc>
          <w:tcPr>
            <w:tcW w:w="1976" w:type="pct"/>
            <w:tcBorders>
              <w:tl2br w:val="nil"/>
              <w:tr2bl w:val="nil"/>
            </w:tcBorders>
            <w:vAlign w:val="center"/>
          </w:tcPr>
          <w:p w14:paraId="0D6F18DA">
            <w:pPr>
              <w:pStyle w:val="228"/>
              <w:kinsoku w:val="0"/>
              <w:overflowPunct w:val="0"/>
              <w:rPr>
                <w:szCs w:val="21"/>
              </w:rPr>
            </w:pPr>
            <w:r>
              <w:rPr>
                <w:szCs w:val="21"/>
              </w:rPr>
              <w:t>施工机械、车辆作业噪声</w:t>
            </w:r>
          </w:p>
        </w:tc>
        <w:tc>
          <w:tcPr>
            <w:tcW w:w="1577" w:type="pct"/>
            <w:tcBorders>
              <w:tl2br w:val="nil"/>
              <w:tr2bl w:val="nil"/>
            </w:tcBorders>
            <w:vAlign w:val="center"/>
          </w:tcPr>
          <w:p w14:paraId="7A190F06">
            <w:pPr>
              <w:pStyle w:val="228"/>
              <w:kinsoku w:val="0"/>
              <w:overflowPunct w:val="0"/>
              <w:rPr>
                <w:szCs w:val="21"/>
              </w:rPr>
            </w:pPr>
            <w:r>
              <w:rPr>
                <w:szCs w:val="21"/>
              </w:rPr>
              <w:t>噪声</w:t>
            </w:r>
          </w:p>
        </w:tc>
      </w:tr>
      <w:tr w14:paraId="47C96F4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53" w:hRule="atLeast"/>
          <w:jc w:val="center"/>
        </w:trPr>
        <w:tc>
          <w:tcPr>
            <w:tcW w:w="690" w:type="pct"/>
            <w:vMerge w:val="continue"/>
            <w:tcBorders>
              <w:tl2br w:val="nil"/>
              <w:tr2bl w:val="nil"/>
            </w:tcBorders>
            <w:vAlign w:val="center"/>
          </w:tcPr>
          <w:p w14:paraId="0F8A2514">
            <w:pPr>
              <w:pStyle w:val="228"/>
              <w:kinsoku w:val="0"/>
              <w:overflowPunct w:val="0"/>
              <w:rPr>
                <w:szCs w:val="21"/>
              </w:rPr>
            </w:pPr>
          </w:p>
        </w:tc>
        <w:tc>
          <w:tcPr>
            <w:tcW w:w="755" w:type="pct"/>
            <w:tcBorders>
              <w:tl2br w:val="nil"/>
              <w:tr2bl w:val="nil"/>
            </w:tcBorders>
            <w:vAlign w:val="center"/>
          </w:tcPr>
          <w:p w14:paraId="41BD1847">
            <w:pPr>
              <w:pStyle w:val="228"/>
              <w:kinsoku w:val="0"/>
              <w:overflowPunct w:val="0"/>
              <w:rPr>
                <w:szCs w:val="21"/>
              </w:rPr>
            </w:pPr>
            <w:r>
              <w:rPr>
                <w:szCs w:val="21"/>
              </w:rPr>
              <w:t>生态环境</w:t>
            </w:r>
          </w:p>
        </w:tc>
        <w:tc>
          <w:tcPr>
            <w:tcW w:w="1976" w:type="pct"/>
            <w:tcBorders>
              <w:tl2br w:val="nil"/>
              <w:tr2bl w:val="nil"/>
            </w:tcBorders>
            <w:vAlign w:val="center"/>
          </w:tcPr>
          <w:p w14:paraId="0E59357C">
            <w:pPr>
              <w:pStyle w:val="228"/>
              <w:kinsoku w:val="0"/>
              <w:overflowPunct w:val="0"/>
              <w:rPr>
                <w:szCs w:val="21"/>
              </w:rPr>
            </w:pPr>
            <w:r>
              <w:rPr>
                <w:rFonts w:hint="eastAsia"/>
                <w:szCs w:val="21"/>
              </w:rPr>
              <w:t>租用现有厂房</w:t>
            </w:r>
          </w:p>
        </w:tc>
        <w:tc>
          <w:tcPr>
            <w:tcW w:w="1577" w:type="pct"/>
            <w:tcBorders>
              <w:tl2br w:val="nil"/>
              <w:tr2bl w:val="nil"/>
            </w:tcBorders>
            <w:vAlign w:val="center"/>
          </w:tcPr>
          <w:p w14:paraId="0F6599C9">
            <w:pPr>
              <w:pStyle w:val="228"/>
              <w:kinsoku w:val="0"/>
              <w:overflowPunct w:val="0"/>
              <w:rPr>
                <w:szCs w:val="21"/>
              </w:rPr>
            </w:pPr>
            <w:r>
              <w:rPr>
                <w:rFonts w:hint="eastAsia"/>
                <w:szCs w:val="21"/>
              </w:rPr>
              <w:t>租用场地，不新增占地</w:t>
            </w:r>
          </w:p>
        </w:tc>
      </w:tr>
      <w:tr w14:paraId="3BAF37D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53" w:hRule="atLeast"/>
          <w:jc w:val="center"/>
        </w:trPr>
        <w:tc>
          <w:tcPr>
            <w:tcW w:w="690" w:type="pct"/>
            <w:vMerge w:val="continue"/>
            <w:tcBorders>
              <w:tl2br w:val="nil"/>
              <w:tr2bl w:val="nil"/>
            </w:tcBorders>
            <w:vAlign w:val="center"/>
          </w:tcPr>
          <w:p w14:paraId="15BF375D">
            <w:pPr>
              <w:pStyle w:val="228"/>
              <w:kinsoku w:val="0"/>
              <w:overflowPunct w:val="0"/>
              <w:rPr>
                <w:szCs w:val="21"/>
              </w:rPr>
            </w:pPr>
          </w:p>
        </w:tc>
        <w:tc>
          <w:tcPr>
            <w:tcW w:w="755" w:type="pct"/>
            <w:tcBorders>
              <w:tl2br w:val="nil"/>
              <w:tr2bl w:val="nil"/>
            </w:tcBorders>
            <w:vAlign w:val="center"/>
          </w:tcPr>
          <w:p w14:paraId="63BB9737">
            <w:pPr>
              <w:pStyle w:val="228"/>
              <w:kinsoku w:val="0"/>
              <w:overflowPunct w:val="0"/>
              <w:rPr>
                <w:szCs w:val="21"/>
              </w:rPr>
            </w:pPr>
            <w:r>
              <w:rPr>
                <w:rFonts w:hint="eastAsia"/>
                <w:szCs w:val="21"/>
              </w:rPr>
              <w:t>土壤环境</w:t>
            </w:r>
          </w:p>
        </w:tc>
        <w:tc>
          <w:tcPr>
            <w:tcW w:w="1976" w:type="pct"/>
            <w:tcBorders>
              <w:tl2br w:val="nil"/>
              <w:tr2bl w:val="nil"/>
            </w:tcBorders>
            <w:vAlign w:val="center"/>
          </w:tcPr>
          <w:p w14:paraId="2EA50E2B">
            <w:pPr>
              <w:pStyle w:val="228"/>
              <w:kinsoku w:val="0"/>
              <w:overflowPunct w:val="0"/>
              <w:rPr>
                <w:szCs w:val="21"/>
              </w:rPr>
            </w:pPr>
            <w:r>
              <w:rPr>
                <w:rFonts w:hint="eastAsia"/>
                <w:szCs w:val="21"/>
              </w:rPr>
              <w:t>施工人员及附属设施建设</w:t>
            </w:r>
          </w:p>
        </w:tc>
        <w:tc>
          <w:tcPr>
            <w:tcW w:w="1577" w:type="pct"/>
            <w:tcBorders>
              <w:tl2br w:val="nil"/>
              <w:tr2bl w:val="nil"/>
            </w:tcBorders>
            <w:vAlign w:val="center"/>
          </w:tcPr>
          <w:p w14:paraId="0D1D64C3">
            <w:pPr>
              <w:pStyle w:val="228"/>
              <w:kinsoku w:val="0"/>
              <w:overflowPunct w:val="0"/>
              <w:rPr>
                <w:szCs w:val="21"/>
              </w:rPr>
            </w:pPr>
            <w:r>
              <w:rPr>
                <w:rFonts w:hint="eastAsia"/>
                <w:szCs w:val="21"/>
              </w:rPr>
              <w:t>建筑垃圾、生活垃圾</w:t>
            </w:r>
          </w:p>
        </w:tc>
      </w:tr>
      <w:tr w14:paraId="24C3537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53" w:hRule="atLeast"/>
          <w:jc w:val="center"/>
        </w:trPr>
        <w:tc>
          <w:tcPr>
            <w:tcW w:w="690" w:type="pct"/>
            <w:vMerge w:val="restart"/>
            <w:tcBorders>
              <w:tl2br w:val="nil"/>
              <w:tr2bl w:val="nil"/>
            </w:tcBorders>
            <w:vAlign w:val="center"/>
          </w:tcPr>
          <w:p w14:paraId="4BFE63B6">
            <w:pPr>
              <w:pStyle w:val="228"/>
              <w:kinsoku w:val="0"/>
              <w:overflowPunct w:val="0"/>
              <w:rPr>
                <w:szCs w:val="21"/>
              </w:rPr>
            </w:pPr>
            <w:r>
              <w:rPr>
                <w:szCs w:val="21"/>
              </w:rPr>
              <w:t>运营期</w:t>
            </w:r>
          </w:p>
        </w:tc>
        <w:tc>
          <w:tcPr>
            <w:tcW w:w="755" w:type="pct"/>
            <w:tcBorders>
              <w:tl2br w:val="nil"/>
              <w:tr2bl w:val="nil"/>
            </w:tcBorders>
            <w:vAlign w:val="center"/>
          </w:tcPr>
          <w:p w14:paraId="79441BD3">
            <w:pPr>
              <w:pStyle w:val="228"/>
              <w:kinsoku w:val="0"/>
              <w:overflowPunct w:val="0"/>
              <w:rPr>
                <w:szCs w:val="21"/>
              </w:rPr>
            </w:pPr>
            <w:r>
              <w:rPr>
                <w:szCs w:val="21"/>
              </w:rPr>
              <w:t>大气污染</w:t>
            </w:r>
          </w:p>
        </w:tc>
        <w:tc>
          <w:tcPr>
            <w:tcW w:w="1976" w:type="pct"/>
            <w:tcBorders>
              <w:tl2br w:val="nil"/>
              <w:tr2bl w:val="nil"/>
            </w:tcBorders>
            <w:vAlign w:val="center"/>
          </w:tcPr>
          <w:p w14:paraId="44EC5E45">
            <w:pPr>
              <w:pStyle w:val="228"/>
              <w:kinsoku w:val="0"/>
              <w:overflowPunct w:val="0"/>
              <w:rPr>
                <w:szCs w:val="21"/>
              </w:rPr>
            </w:pPr>
            <w:r>
              <w:rPr>
                <w:rFonts w:hint="eastAsia"/>
                <w:szCs w:val="21"/>
              </w:rPr>
              <w:t>生产车间挤出工序产生的废气</w:t>
            </w:r>
          </w:p>
        </w:tc>
        <w:tc>
          <w:tcPr>
            <w:tcW w:w="1577" w:type="pct"/>
            <w:tcBorders>
              <w:tl2br w:val="nil"/>
              <w:tr2bl w:val="nil"/>
            </w:tcBorders>
            <w:vAlign w:val="center"/>
          </w:tcPr>
          <w:p w14:paraId="3AE95735">
            <w:pPr>
              <w:pStyle w:val="228"/>
              <w:kinsoku w:val="0"/>
              <w:overflowPunct w:val="0"/>
              <w:rPr>
                <w:szCs w:val="21"/>
              </w:rPr>
            </w:pPr>
            <w:r>
              <w:rPr>
                <w:rFonts w:hint="eastAsia"/>
                <w:szCs w:val="21"/>
              </w:rPr>
              <w:t>非甲烷总烃</w:t>
            </w:r>
          </w:p>
        </w:tc>
      </w:tr>
      <w:tr w14:paraId="7614058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53" w:hRule="atLeast"/>
          <w:jc w:val="center"/>
        </w:trPr>
        <w:tc>
          <w:tcPr>
            <w:tcW w:w="690" w:type="pct"/>
            <w:vMerge w:val="continue"/>
            <w:tcBorders>
              <w:tl2br w:val="nil"/>
              <w:tr2bl w:val="nil"/>
            </w:tcBorders>
            <w:vAlign w:val="center"/>
          </w:tcPr>
          <w:p w14:paraId="7464B897">
            <w:pPr>
              <w:pStyle w:val="228"/>
              <w:kinsoku w:val="0"/>
              <w:overflowPunct w:val="0"/>
              <w:rPr>
                <w:szCs w:val="21"/>
              </w:rPr>
            </w:pPr>
          </w:p>
        </w:tc>
        <w:tc>
          <w:tcPr>
            <w:tcW w:w="755" w:type="pct"/>
            <w:tcBorders>
              <w:tl2br w:val="nil"/>
              <w:tr2bl w:val="nil"/>
            </w:tcBorders>
            <w:vAlign w:val="center"/>
          </w:tcPr>
          <w:p w14:paraId="570A6EF1">
            <w:pPr>
              <w:pStyle w:val="228"/>
              <w:kinsoku w:val="0"/>
              <w:overflowPunct w:val="0"/>
              <w:rPr>
                <w:szCs w:val="21"/>
              </w:rPr>
            </w:pPr>
            <w:r>
              <w:rPr>
                <w:szCs w:val="21"/>
              </w:rPr>
              <w:t>水污染</w:t>
            </w:r>
          </w:p>
        </w:tc>
        <w:tc>
          <w:tcPr>
            <w:tcW w:w="1976" w:type="pct"/>
            <w:tcBorders>
              <w:tl2br w:val="nil"/>
              <w:tr2bl w:val="nil"/>
            </w:tcBorders>
            <w:vAlign w:val="center"/>
          </w:tcPr>
          <w:p w14:paraId="464EF794">
            <w:pPr>
              <w:pStyle w:val="228"/>
              <w:kinsoku w:val="0"/>
              <w:overflowPunct w:val="0"/>
              <w:rPr>
                <w:szCs w:val="21"/>
              </w:rPr>
            </w:pPr>
            <w:r>
              <w:rPr>
                <w:szCs w:val="21"/>
              </w:rPr>
              <w:t>工作人员工作生活</w:t>
            </w:r>
            <w:r>
              <w:rPr>
                <w:rFonts w:hint="eastAsia"/>
                <w:szCs w:val="21"/>
              </w:rPr>
              <w:t>废水</w:t>
            </w:r>
          </w:p>
        </w:tc>
        <w:tc>
          <w:tcPr>
            <w:tcW w:w="1577" w:type="pct"/>
            <w:tcBorders>
              <w:tl2br w:val="nil"/>
              <w:tr2bl w:val="nil"/>
            </w:tcBorders>
            <w:vAlign w:val="center"/>
          </w:tcPr>
          <w:p w14:paraId="5E7CD569">
            <w:pPr>
              <w:pStyle w:val="228"/>
              <w:kinsoku w:val="0"/>
              <w:overflowPunct w:val="0"/>
              <w:rPr>
                <w:szCs w:val="21"/>
              </w:rPr>
            </w:pPr>
            <w:r>
              <w:rPr>
                <w:szCs w:val="21"/>
              </w:rPr>
              <w:t>COD、BOD、SS、NH</w:t>
            </w:r>
            <w:r>
              <w:rPr>
                <w:szCs w:val="21"/>
                <w:vertAlign w:val="subscript"/>
              </w:rPr>
              <w:t>3</w:t>
            </w:r>
            <w:r>
              <w:rPr>
                <w:szCs w:val="21"/>
              </w:rPr>
              <w:t>-N</w:t>
            </w:r>
          </w:p>
        </w:tc>
      </w:tr>
      <w:tr w14:paraId="7E45CA0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657" w:hRule="atLeast"/>
          <w:jc w:val="center"/>
        </w:trPr>
        <w:tc>
          <w:tcPr>
            <w:tcW w:w="690" w:type="pct"/>
            <w:vMerge w:val="continue"/>
            <w:tcBorders>
              <w:tl2br w:val="nil"/>
              <w:tr2bl w:val="nil"/>
            </w:tcBorders>
            <w:vAlign w:val="center"/>
          </w:tcPr>
          <w:p w14:paraId="79249A20">
            <w:pPr>
              <w:pStyle w:val="228"/>
              <w:kinsoku w:val="0"/>
              <w:overflowPunct w:val="0"/>
              <w:rPr>
                <w:szCs w:val="21"/>
              </w:rPr>
            </w:pPr>
          </w:p>
        </w:tc>
        <w:tc>
          <w:tcPr>
            <w:tcW w:w="755" w:type="pct"/>
            <w:tcBorders>
              <w:tl2br w:val="nil"/>
              <w:tr2bl w:val="nil"/>
            </w:tcBorders>
            <w:vAlign w:val="center"/>
          </w:tcPr>
          <w:p w14:paraId="0C39C386">
            <w:pPr>
              <w:pStyle w:val="228"/>
              <w:kinsoku w:val="0"/>
              <w:overflowPunct w:val="0"/>
              <w:rPr>
                <w:szCs w:val="21"/>
              </w:rPr>
            </w:pPr>
            <w:r>
              <w:rPr>
                <w:szCs w:val="21"/>
              </w:rPr>
              <w:t>固</w:t>
            </w:r>
            <w:r>
              <w:rPr>
                <w:rFonts w:hint="eastAsia"/>
                <w:szCs w:val="21"/>
              </w:rPr>
              <w:t>体</w:t>
            </w:r>
            <w:r>
              <w:rPr>
                <w:szCs w:val="21"/>
              </w:rPr>
              <w:t>废</w:t>
            </w:r>
            <w:r>
              <w:rPr>
                <w:rFonts w:hint="eastAsia"/>
                <w:szCs w:val="21"/>
              </w:rPr>
              <w:t>物</w:t>
            </w:r>
            <w:r>
              <w:rPr>
                <w:szCs w:val="21"/>
              </w:rPr>
              <w:t>污染</w:t>
            </w:r>
          </w:p>
        </w:tc>
        <w:tc>
          <w:tcPr>
            <w:tcW w:w="1976" w:type="pct"/>
            <w:tcBorders>
              <w:tl2br w:val="nil"/>
              <w:tr2bl w:val="nil"/>
            </w:tcBorders>
            <w:vAlign w:val="center"/>
          </w:tcPr>
          <w:p w14:paraId="1F0EB5F0">
            <w:pPr>
              <w:pStyle w:val="228"/>
              <w:kinsoku w:val="0"/>
              <w:overflowPunct w:val="0"/>
              <w:jc w:val="both"/>
              <w:rPr>
                <w:szCs w:val="21"/>
              </w:rPr>
            </w:pPr>
            <w:r>
              <w:rPr>
                <w:rFonts w:hint="eastAsia"/>
                <w:szCs w:val="21"/>
              </w:rPr>
              <w:t>废过滤网、熔融废渣、废活性炭、</w:t>
            </w:r>
            <w:r>
              <w:rPr>
                <w:rFonts w:hint="eastAsia"/>
                <w:szCs w:val="21"/>
                <w:lang w:eastAsia="zh-CN"/>
              </w:rPr>
              <w:t>废催化剂、</w:t>
            </w:r>
            <w:r>
              <w:rPr>
                <w:rFonts w:hint="eastAsia"/>
                <w:szCs w:val="21"/>
              </w:rPr>
              <w:t>废润滑油及废润滑油桶</w:t>
            </w:r>
            <w:r>
              <w:rPr>
                <w:rFonts w:hint="eastAsia"/>
                <w:szCs w:val="21"/>
                <w:lang w:eastAsia="zh-CN"/>
              </w:rPr>
              <w:t>和</w:t>
            </w:r>
            <w:r>
              <w:rPr>
                <w:rFonts w:hint="eastAsia"/>
                <w:szCs w:val="21"/>
              </w:rPr>
              <w:t>不合格品、</w:t>
            </w:r>
            <w:r>
              <w:rPr>
                <w:szCs w:val="21"/>
              </w:rPr>
              <w:t>残次品及边角料</w:t>
            </w:r>
            <w:r>
              <w:rPr>
                <w:rFonts w:hint="eastAsia"/>
                <w:szCs w:val="21"/>
              </w:rPr>
              <w:t>及生活垃圾</w:t>
            </w:r>
          </w:p>
        </w:tc>
        <w:tc>
          <w:tcPr>
            <w:tcW w:w="1577" w:type="pct"/>
            <w:tcBorders>
              <w:tl2br w:val="nil"/>
              <w:tr2bl w:val="nil"/>
            </w:tcBorders>
            <w:vAlign w:val="center"/>
          </w:tcPr>
          <w:p w14:paraId="12666BE4">
            <w:pPr>
              <w:pStyle w:val="228"/>
              <w:kinsoku w:val="0"/>
              <w:overflowPunct w:val="0"/>
              <w:rPr>
                <w:szCs w:val="21"/>
              </w:rPr>
            </w:pPr>
            <w:r>
              <w:rPr>
                <w:szCs w:val="21"/>
              </w:rPr>
              <w:t>生产固废、生活垃圾</w:t>
            </w:r>
          </w:p>
        </w:tc>
      </w:tr>
      <w:tr w14:paraId="07E3AC0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10" w:hRule="atLeast"/>
          <w:jc w:val="center"/>
        </w:trPr>
        <w:tc>
          <w:tcPr>
            <w:tcW w:w="690" w:type="pct"/>
            <w:vMerge w:val="continue"/>
            <w:tcBorders>
              <w:tl2br w:val="nil"/>
              <w:tr2bl w:val="nil"/>
            </w:tcBorders>
            <w:vAlign w:val="center"/>
          </w:tcPr>
          <w:p w14:paraId="5664D505">
            <w:pPr>
              <w:pStyle w:val="228"/>
              <w:kinsoku w:val="0"/>
              <w:overflowPunct w:val="0"/>
              <w:rPr>
                <w:szCs w:val="21"/>
              </w:rPr>
            </w:pPr>
          </w:p>
        </w:tc>
        <w:tc>
          <w:tcPr>
            <w:tcW w:w="755" w:type="pct"/>
            <w:tcBorders>
              <w:tl2br w:val="nil"/>
              <w:tr2bl w:val="nil"/>
            </w:tcBorders>
            <w:vAlign w:val="center"/>
          </w:tcPr>
          <w:p w14:paraId="754D1687">
            <w:pPr>
              <w:pStyle w:val="228"/>
              <w:kinsoku w:val="0"/>
              <w:overflowPunct w:val="0"/>
              <w:rPr>
                <w:szCs w:val="21"/>
              </w:rPr>
            </w:pPr>
            <w:r>
              <w:rPr>
                <w:szCs w:val="21"/>
              </w:rPr>
              <w:t>噪声污染</w:t>
            </w:r>
          </w:p>
        </w:tc>
        <w:tc>
          <w:tcPr>
            <w:tcW w:w="1976" w:type="pct"/>
            <w:tcBorders>
              <w:tl2br w:val="nil"/>
              <w:tr2bl w:val="nil"/>
            </w:tcBorders>
            <w:vAlign w:val="center"/>
          </w:tcPr>
          <w:p w14:paraId="29662098">
            <w:pPr>
              <w:pStyle w:val="228"/>
              <w:kinsoku w:val="0"/>
              <w:overflowPunct w:val="0"/>
              <w:rPr>
                <w:szCs w:val="21"/>
              </w:rPr>
            </w:pPr>
            <w:r>
              <w:rPr>
                <w:szCs w:val="21"/>
              </w:rPr>
              <w:t>设备运转</w:t>
            </w:r>
          </w:p>
        </w:tc>
        <w:tc>
          <w:tcPr>
            <w:tcW w:w="1577" w:type="pct"/>
            <w:tcBorders>
              <w:tl2br w:val="nil"/>
              <w:tr2bl w:val="nil"/>
            </w:tcBorders>
            <w:vAlign w:val="center"/>
          </w:tcPr>
          <w:p w14:paraId="4DFD4242">
            <w:pPr>
              <w:pStyle w:val="228"/>
              <w:kinsoku w:val="0"/>
              <w:overflowPunct w:val="0"/>
              <w:rPr>
                <w:szCs w:val="21"/>
              </w:rPr>
            </w:pPr>
            <w:r>
              <w:rPr>
                <w:szCs w:val="21"/>
              </w:rPr>
              <w:t>机械噪声</w:t>
            </w:r>
          </w:p>
        </w:tc>
      </w:tr>
    </w:tbl>
    <w:p w14:paraId="444C52E7">
      <w:pPr>
        <w:pStyle w:val="4"/>
        <w:autoSpaceDE w:val="0"/>
        <w:autoSpaceDN w:val="0"/>
        <w:spacing w:before="0" w:after="0" w:line="360" w:lineRule="auto"/>
        <w:jc w:val="left"/>
        <w:rPr>
          <w:kern w:val="0"/>
          <w:sz w:val="24"/>
          <w:lang w:val="en-US" w:bidi="zh-CN"/>
        </w:rPr>
      </w:pPr>
      <w:r>
        <w:rPr>
          <w:rFonts w:hint="eastAsia"/>
          <w:kern w:val="0"/>
          <w:sz w:val="24"/>
          <w:lang w:val="en-US" w:bidi="zh-CN"/>
        </w:rPr>
        <w:t>2.4.2评价因子筛选</w:t>
      </w:r>
    </w:p>
    <w:p w14:paraId="3F153C23">
      <w:pPr>
        <w:spacing w:line="360" w:lineRule="auto"/>
        <w:ind w:firstLine="480" w:firstLineChars="200"/>
        <w:rPr>
          <w:rFonts w:hint="eastAsia" w:ascii="宋体" w:hAnsi="宋体"/>
          <w:bCs/>
          <w:sz w:val="24"/>
          <w:szCs w:val="28"/>
          <w:lang w:val="zh-CN"/>
        </w:rPr>
      </w:pPr>
      <w:r>
        <w:rPr>
          <w:rFonts w:hint="eastAsia" w:ascii="宋体" w:hAnsi="宋体"/>
          <w:bCs/>
          <w:sz w:val="24"/>
          <w:szCs w:val="28"/>
          <w:lang w:val="zh-CN"/>
        </w:rPr>
        <w:t>根据项目运营期的特点，结合本地区环境功能及各环境因子的重要性和可能受影响的程度，在环境影响因素识别的基础上，从环境要素方面进行环境因子的识别与筛选，本工程评价因子筛选从环境空气、声环境、水环境、环境风险等几方面进行</w:t>
      </w:r>
      <w:r>
        <w:rPr>
          <w:rFonts w:ascii="宋体" w:hAnsi="宋体"/>
          <w:bCs/>
          <w:sz w:val="24"/>
          <w:szCs w:val="28"/>
          <w:lang w:val="zh-CN"/>
        </w:rPr>
        <w:t>。本项目评价因子筛选结果见表2.</w:t>
      </w:r>
      <w:r>
        <w:rPr>
          <w:rFonts w:hint="eastAsia" w:ascii="宋体" w:hAnsi="宋体"/>
          <w:bCs/>
          <w:sz w:val="24"/>
          <w:szCs w:val="28"/>
        </w:rPr>
        <w:t>4</w:t>
      </w:r>
      <w:r>
        <w:rPr>
          <w:rFonts w:ascii="宋体" w:hAnsi="宋体"/>
          <w:bCs/>
          <w:sz w:val="24"/>
          <w:szCs w:val="28"/>
          <w:lang w:val="zh-CN"/>
        </w:rPr>
        <w:t>-2。</w:t>
      </w:r>
    </w:p>
    <w:p w14:paraId="5BCE1E65">
      <w:pPr>
        <w:pStyle w:val="16"/>
        <w:tabs>
          <w:tab w:val="left" w:pos="779"/>
        </w:tabs>
        <w:spacing w:after="0"/>
        <w:jc w:val="center"/>
        <w:rPr>
          <w:b/>
          <w:szCs w:val="21"/>
        </w:rPr>
      </w:pPr>
    </w:p>
    <w:p w14:paraId="6AAD649F">
      <w:pPr>
        <w:pStyle w:val="16"/>
        <w:tabs>
          <w:tab w:val="left" w:pos="779"/>
        </w:tabs>
        <w:spacing w:after="0"/>
        <w:jc w:val="center"/>
        <w:rPr>
          <w:b/>
          <w:szCs w:val="21"/>
        </w:rPr>
      </w:pPr>
    </w:p>
    <w:p w14:paraId="5D6188CC">
      <w:pPr>
        <w:pStyle w:val="16"/>
        <w:tabs>
          <w:tab w:val="left" w:pos="779"/>
        </w:tabs>
        <w:spacing w:after="0"/>
        <w:jc w:val="center"/>
        <w:rPr>
          <w:b/>
          <w:szCs w:val="21"/>
        </w:rPr>
      </w:pPr>
    </w:p>
    <w:p w14:paraId="3B5A14A4">
      <w:pPr>
        <w:pStyle w:val="16"/>
        <w:tabs>
          <w:tab w:val="left" w:pos="779"/>
        </w:tabs>
        <w:spacing w:after="0"/>
        <w:jc w:val="center"/>
        <w:rPr>
          <w:b/>
          <w:szCs w:val="21"/>
        </w:rPr>
      </w:pPr>
    </w:p>
    <w:p w14:paraId="0A5680D6">
      <w:pPr>
        <w:pStyle w:val="16"/>
        <w:tabs>
          <w:tab w:val="left" w:pos="779"/>
        </w:tabs>
        <w:spacing w:after="0"/>
        <w:jc w:val="center"/>
        <w:rPr>
          <w:b/>
          <w:szCs w:val="21"/>
        </w:rPr>
      </w:pPr>
    </w:p>
    <w:p w14:paraId="00819530">
      <w:pPr>
        <w:pStyle w:val="16"/>
        <w:tabs>
          <w:tab w:val="left" w:pos="779"/>
        </w:tabs>
        <w:spacing w:after="0"/>
        <w:jc w:val="center"/>
        <w:rPr>
          <w:b/>
          <w:szCs w:val="21"/>
        </w:rPr>
      </w:pPr>
      <w:r>
        <w:rPr>
          <w:b/>
          <w:szCs w:val="21"/>
        </w:rPr>
        <w:t>表</w:t>
      </w:r>
      <w:r>
        <w:rPr>
          <w:rFonts w:hint="eastAsia"/>
          <w:b/>
          <w:szCs w:val="21"/>
          <w:lang w:val="en-US"/>
        </w:rPr>
        <w:t>2.4</w:t>
      </w:r>
      <w:r>
        <w:rPr>
          <w:b/>
          <w:szCs w:val="21"/>
        </w:rPr>
        <w:t>-2</w:t>
      </w:r>
      <w:r>
        <w:rPr>
          <w:rFonts w:hint="eastAsia"/>
          <w:b/>
          <w:szCs w:val="21"/>
          <w:lang w:val="en-US"/>
        </w:rPr>
        <w:t xml:space="preserve">    </w:t>
      </w:r>
      <w:r>
        <w:rPr>
          <w:b/>
          <w:szCs w:val="21"/>
        </w:rPr>
        <w:t>评价因子筛选表</w:t>
      </w:r>
    </w:p>
    <w:tbl>
      <w:tblPr>
        <w:tblStyle w:val="49"/>
        <w:tblW w:w="5040" w:type="pct"/>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876"/>
        <w:gridCol w:w="1453"/>
        <w:gridCol w:w="6788"/>
      </w:tblGrid>
      <w:tr w14:paraId="4D09D41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18" w:hRule="atLeast"/>
        </w:trPr>
        <w:tc>
          <w:tcPr>
            <w:tcW w:w="2321" w:type="dxa"/>
            <w:gridSpan w:val="2"/>
            <w:tcBorders>
              <w:tl2br w:val="nil"/>
              <w:tr2bl w:val="nil"/>
            </w:tcBorders>
            <w:vAlign w:val="center"/>
          </w:tcPr>
          <w:p w14:paraId="0644F369">
            <w:pPr>
              <w:kinsoku w:val="0"/>
              <w:overflowPunct w:val="0"/>
              <w:jc w:val="center"/>
              <w:rPr>
                <w:bCs/>
                <w:szCs w:val="21"/>
              </w:rPr>
            </w:pPr>
            <w:r>
              <w:rPr>
                <w:bCs/>
                <w:szCs w:val="21"/>
              </w:rPr>
              <w:t>类别</w:t>
            </w:r>
          </w:p>
        </w:tc>
        <w:tc>
          <w:tcPr>
            <w:tcW w:w="6767" w:type="dxa"/>
            <w:tcBorders>
              <w:tl2br w:val="nil"/>
              <w:tr2bl w:val="nil"/>
            </w:tcBorders>
            <w:vAlign w:val="center"/>
          </w:tcPr>
          <w:p w14:paraId="1E3AB3A0">
            <w:pPr>
              <w:kinsoku w:val="0"/>
              <w:overflowPunct w:val="0"/>
              <w:jc w:val="center"/>
              <w:rPr>
                <w:bCs/>
                <w:szCs w:val="21"/>
              </w:rPr>
            </w:pPr>
            <w:r>
              <w:rPr>
                <w:bCs/>
                <w:spacing w:val="-1"/>
                <w:szCs w:val="21"/>
              </w:rPr>
              <w:t>评价因子</w:t>
            </w:r>
          </w:p>
        </w:tc>
      </w:tr>
      <w:tr w14:paraId="727FC14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86" w:hRule="atLeast"/>
        </w:trPr>
        <w:tc>
          <w:tcPr>
            <w:tcW w:w="873" w:type="dxa"/>
            <w:vMerge w:val="restart"/>
            <w:tcBorders>
              <w:tl2br w:val="nil"/>
              <w:tr2bl w:val="nil"/>
            </w:tcBorders>
            <w:vAlign w:val="center"/>
          </w:tcPr>
          <w:p w14:paraId="0D1AD53C">
            <w:pPr>
              <w:kinsoku w:val="0"/>
              <w:overflowPunct w:val="0"/>
              <w:jc w:val="center"/>
              <w:rPr>
                <w:szCs w:val="21"/>
              </w:rPr>
            </w:pPr>
            <w:r>
              <w:rPr>
                <w:szCs w:val="21"/>
              </w:rPr>
              <w:t>环境</w:t>
            </w:r>
          </w:p>
          <w:p w14:paraId="59730A41">
            <w:pPr>
              <w:kinsoku w:val="0"/>
              <w:overflowPunct w:val="0"/>
              <w:jc w:val="center"/>
              <w:rPr>
                <w:szCs w:val="21"/>
              </w:rPr>
            </w:pPr>
            <w:r>
              <w:rPr>
                <w:szCs w:val="21"/>
              </w:rPr>
              <w:t>空气</w:t>
            </w:r>
          </w:p>
        </w:tc>
        <w:tc>
          <w:tcPr>
            <w:tcW w:w="1448" w:type="dxa"/>
            <w:tcBorders>
              <w:tl2br w:val="nil"/>
              <w:tr2bl w:val="nil"/>
            </w:tcBorders>
            <w:vAlign w:val="center"/>
          </w:tcPr>
          <w:p w14:paraId="2D5D46F1">
            <w:pPr>
              <w:kinsoku w:val="0"/>
              <w:overflowPunct w:val="0"/>
              <w:jc w:val="center"/>
              <w:rPr>
                <w:szCs w:val="21"/>
              </w:rPr>
            </w:pPr>
            <w:r>
              <w:rPr>
                <w:spacing w:val="-1"/>
                <w:szCs w:val="21"/>
              </w:rPr>
              <w:t>现状评价</w:t>
            </w:r>
          </w:p>
        </w:tc>
        <w:tc>
          <w:tcPr>
            <w:tcW w:w="6767" w:type="dxa"/>
            <w:tcBorders>
              <w:tl2br w:val="nil"/>
              <w:tr2bl w:val="nil"/>
            </w:tcBorders>
            <w:vAlign w:val="center"/>
          </w:tcPr>
          <w:p w14:paraId="6E775188">
            <w:pPr>
              <w:kinsoku w:val="0"/>
              <w:overflowPunct w:val="0"/>
              <w:jc w:val="center"/>
              <w:rPr>
                <w:szCs w:val="21"/>
              </w:rPr>
            </w:pPr>
            <w:r>
              <w:rPr>
                <w:spacing w:val="-1"/>
                <w:szCs w:val="21"/>
              </w:rPr>
              <w:t>SO</w:t>
            </w:r>
            <w:r>
              <w:rPr>
                <w:spacing w:val="-1"/>
                <w:position w:val="-3"/>
                <w:szCs w:val="21"/>
                <w:vertAlign w:val="subscript"/>
              </w:rPr>
              <w:t>2</w:t>
            </w:r>
            <w:r>
              <w:rPr>
                <w:spacing w:val="-1"/>
                <w:szCs w:val="21"/>
              </w:rPr>
              <w:t>、NO</w:t>
            </w:r>
            <w:r>
              <w:rPr>
                <w:spacing w:val="-1"/>
                <w:position w:val="-3"/>
                <w:szCs w:val="21"/>
                <w:vertAlign w:val="subscript"/>
              </w:rPr>
              <w:t>2</w:t>
            </w:r>
            <w:r>
              <w:rPr>
                <w:spacing w:val="-1"/>
                <w:szCs w:val="21"/>
              </w:rPr>
              <w:t>、PM</w:t>
            </w:r>
            <w:r>
              <w:rPr>
                <w:spacing w:val="-1"/>
                <w:position w:val="-3"/>
                <w:szCs w:val="21"/>
                <w:vertAlign w:val="subscript"/>
              </w:rPr>
              <w:t>10</w:t>
            </w:r>
            <w:r>
              <w:rPr>
                <w:spacing w:val="-1"/>
                <w:szCs w:val="21"/>
              </w:rPr>
              <w:t>、PM</w:t>
            </w:r>
            <w:r>
              <w:rPr>
                <w:spacing w:val="-1"/>
                <w:position w:val="-3"/>
                <w:szCs w:val="21"/>
                <w:vertAlign w:val="subscript"/>
              </w:rPr>
              <w:t>2.5</w:t>
            </w:r>
            <w:r>
              <w:rPr>
                <w:spacing w:val="-1"/>
                <w:szCs w:val="21"/>
              </w:rPr>
              <w:t>、CO、O</w:t>
            </w:r>
            <w:r>
              <w:rPr>
                <w:spacing w:val="-1"/>
                <w:position w:val="-3"/>
                <w:szCs w:val="21"/>
                <w:vertAlign w:val="subscript"/>
              </w:rPr>
              <w:t>3</w:t>
            </w:r>
            <w:r>
              <w:rPr>
                <w:rFonts w:hint="eastAsia"/>
                <w:spacing w:val="-1"/>
                <w:position w:val="-3"/>
                <w:szCs w:val="21"/>
              </w:rPr>
              <w:t>、</w:t>
            </w:r>
            <w:r>
              <w:rPr>
                <w:rFonts w:hint="eastAsia"/>
                <w:color w:val="000000"/>
              </w:rPr>
              <w:t>VOCs（以非甲烷总烃计）</w:t>
            </w:r>
            <w:r>
              <w:rPr>
                <w:rFonts w:hint="eastAsia"/>
                <w:szCs w:val="21"/>
              </w:rPr>
              <w:t>、TSP</w:t>
            </w:r>
          </w:p>
        </w:tc>
      </w:tr>
      <w:tr w14:paraId="1E09BA7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86" w:hRule="atLeast"/>
        </w:trPr>
        <w:tc>
          <w:tcPr>
            <w:tcW w:w="873" w:type="dxa"/>
            <w:vMerge w:val="continue"/>
            <w:tcBorders>
              <w:tl2br w:val="nil"/>
              <w:tr2bl w:val="nil"/>
            </w:tcBorders>
            <w:vAlign w:val="center"/>
          </w:tcPr>
          <w:p w14:paraId="2A265F71">
            <w:pPr>
              <w:kinsoku w:val="0"/>
              <w:overflowPunct w:val="0"/>
              <w:jc w:val="center"/>
              <w:rPr>
                <w:szCs w:val="21"/>
              </w:rPr>
            </w:pPr>
          </w:p>
        </w:tc>
        <w:tc>
          <w:tcPr>
            <w:tcW w:w="1448" w:type="dxa"/>
            <w:tcBorders>
              <w:tl2br w:val="nil"/>
              <w:tr2bl w:val="nil"/>
            </w:tcBorders>
            <w:vAlign w:val="center"/>
          </w:tcPr>
          <w:p w14:paraId="1D2830C5">
            <w:pPr>
              <w:kinsoku w:val="0"/>
              <w:overflowPunct w:val="0"/>
              <w:jc w:val="center"/>
              <w:rPr>
                <w:rFonts w:hint="default" w:eastAsia="宋体"/>
                <w:szCs w:val="21"/>
                <w:lang w:val="en-US" w:eastAsia="zh-CN"/>
              </w:rPr>
            </w:pPr>
            <w:r>
              <w:rPr>
                <w:rFonts w:hint="eastAsia"/>
                <w:szCs w:val="21"/>
              </w:rPr>
              <w:t>影响预测</w:t>
            </w:r>
          </w:p>
        </w:tc>
        <w:tc>
          <w:tcPr>
            <w:tcW w:w="6767" w:type="dxa"/>
            <w:tcBorders>
              <w:tl2br w:val="nil"/>
              <w:tr2bl w:val="nil"/>
            </w:tcBorders>
            <w:vAlign w:val="center"/>
          </w:tcPr>
          <w:p w14:paraId="29E3AA51">
            <w:pPr>
              <w:kinsoku w:val="0"/>
              <w:overflowPunct w:val="0"/>
              <w:jc w:val="center"/>
              <w:rPr>
                <w:szCs w:val="21"/>
              </w:rPr>
            </w:pPr>
            <w:r>
              <w:rPr>
                <w:rFonts w:hint="eastAsia"/>
                <w:szCs w:val="21"/>
              </w:rPr>
              <w:t>非甲烷总烃</w:t>
            </w:r>
          </w:p>
        </w:tc>
      </w:tr>
      <w:tr w14:paraId="7763FDC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886" w:hRule="atLeast"/>
        </w:trPr>
        <w:tc>
          <w:tcPr>
            <w:tcW w:w="873" w:type="dxa"/>
            <w:vMerge w:val="restart"/>
            <w:tcBorders>
              <w:tl2br w:val="nil"/>
              <w:tr2bl w:val="nil"/>
            </w:tcBorders>
            <w:vAlign w:val="center"/>
          </w:tcPr>
          <w:p w14:paraId="6DC5A6D5">
            <w:pPr>
              <w:kinsoku w:val="0"/>
              <w:overflowPunct w:val="0"/>
              <w:jc w:val="center"/>
              <w:rPr>
                <w:szCs w:val="21"/>
              </w:rPr>
            </w:pPr>
            <w:r>
              <w:rPr>
                <w:szCs w:val="21"/>
              </w:rPr>
              <w:t>水环境</w:t>
            </w:r>
          </w:p>
        </w:tc>
        <w:tc>
          <w:tcPr>
            <w:tcW w:w="1448" w:type="dxa"/>
            <w:tcBorders>
              <w:tl2br w:val="nil"/>
              <w:tr2bl w:val="nil"/>
            </w:tcBorders>
            <w:vAlign w:val="center"/>
          </w:tcPr>
          <w:p w14:paraId="529E3C34">
            <w:pPr>
              <w:kinsoku w:val="0"/>
              <w:overflowPunct w:val="0"/>
              <w:jc w:val="center"/>
              <w:rPr>
                <w:szCs w:val="21"/>
              </w:rPr>
            </w:pPr>
            <w:r>
              <w:rPr>
                <w:spacing w:val="-1"/>
                <w:szCs w:val="21"/>
              </w:rPr>
              <w:t>现状评价</w:t>
            </w:r>
          </w:p>
        </w:tc>
        <w:tc>
          <w:tcPr>
            <w:tcW w:w="6767" w:type="dxa"/>
            <w:tcBorders>
              <w:tl2br w:val="nil"/>
              <w:tr2bl w:val="nil"/>
            </w:tcBorders>
            <w:vAlign w:val="center"/>
          </w:tcPr>
          <w:p w14:paraId="1B78766D">
            <w:pPr>
              <w:rPr>
                <w:szCs w:val="21"/>
              </w:rPr>
            </w:pPr>
            <w:r>
              <w:rPr>
                <w:szCs w:val="21"/>
              </w:rPr>
              <w:t>地下水：</w:t>
            </w:r>
            <w:r>
              <w:rPr>
                <w:kern w:val="0"/>
                <w:szCs w:val="21"/>
                <w:lang w:bidi="ar"/>
              </w:rPr>
              <w:t>K</w:t>
            </w:r>
            <w:r>
              <w:rPr>
                <w:kern w:val="0"/>
                <w:szCs w:val="21"/>
                <w:vertAlign w:val="superscript"/>
                <w:lang w:bidi="ar"/>
              </w:rPr>
              <w:t>+</w:t>
            </w:r>
            <w:r>
              <w:rPr>
                <w:rFonts w:hint="eastAsia" w:ascii="宋体" w:hAnsi="宋体" w:cs="宋体"/>
                <w:kern w:val="0"/>
                <w:szCs w:val="21"/>
                <w:lang w:bidi="ar"/>
              </w:rPr>
              <w:t>、</w:t>
            </w:r>
            <w:r>
              <w:rPr>
                <w:kern w:val="0"/>
                <w:szCs w:val="21"/>
                <w:lang w:bidi="ar"/>
              </w:rPr>
              <w:t>Na</w:t>
            </w:r>
            <w:r>
              <w:rPr>
                <w:kern w:val="0"/>
                <w:szCs w:val="21"/>
                <w:vertAlign w:val="superscript"/>
                <w:lang w:bidi="ar"/>
              </w:rPr>
              <w:t>+</w:t>
            </w:r>
            <w:r>
              <w:rPr>
                <w:rFonts w:hint="eastAsia" w:ascii="宋体" w:hAnsi="宋体" w:cs="宋体"/>
                <w:kern w:val="0"/>
                <w:szCs w:val="21"/>
                <w:lang w:bidi="ar"/>
              </w:rPr>
              <w:t>、</w:t>
            </w:r>
            <w:r>
              <w:rPr>
                <w:kern w:val="0"/>
                <w:szCs w:val="21"/>
                <w:lang w:bidi="ar"/>
              </w:rPr>
              <w:t>Ca</w:t>
            </w:r>
            <w:r>
              <w:rPr>
                <w:kern w:val="0"/>
                <w:szCs w:val="21"/>
                <w:vertAlign w:val="superscript"/>
                <w:lang w:bidi="ar"/>
              </w:rPr>
              <w:t>2+</w:t>
            </w:r>
            <w:r>
              <w:rPr>
                <w:rFonts w:hint="eastAsia" w:ascii="宋体" w:hAnsi="宋体" w:cs="宋体"/>
                <w:kern w:val="0"/>
                <w:szCs w:val="21"/>
                <w:lang w:bidi="ar"/>
              </w:rPr>
              <w:t>、</w:t>
            </w:r>
            <w:r>
              <w:rPr>
                <w:kern w:val="0"/>
                <w:szCs w:val="21"/>
                <w:lang w:bidi="ar"/>
              </w:rPr>
              <w:t>Mg</w:t>
            </w:r>
            <w:r>
              <w:rPr>
                <w:kern w:val="0"/>
                <w:szCs w:val="21"/>
                <w:vertAlign w:val="superscript"/>
                <w:lang w:bidi="ar"/>
              </w:rPr>
              <w:t>2+</w:t>
            </w:r>
            <w:r>
              <w:rPr>
                <w:rFonts w:hint="eastAsia" w:ascii="宋体" w:hAnsi="宋体" w:cs="宋体"/>
                <w:kern w:val="0"/>
                <w:szCs w:val="21"/>
                <w:lang w:bidi="ar"/>
              </w:rPr>
              <w:t>、</w:t>
            </w:r>
            <w:r>
              <w:rPr>
                <w:kern w:val="0"/>
                <w:szCs w:val="21"/>
                <w:lang w:bidi="ar"/>
              </w:rPr>
              <w:t>CO</w:t>
            </w:r>
            <w:r>
              <w:rPr>
                <w:kern w:val="0"/>
                <w:szCs w:val="21"/>
                <w:vertAlign w:val="subscript"/>
                <w:lang w:bidi="ar"/>
              </w:rPr>
              <w:t>3</w:t>
            </w:r>
            <w:r>
              <w:rPr>
                <w:kern w:val="0"/>
                <w:szCs w:val="21"/>
                <w:vertAlign w:val="superscript"/>
                <w:lang w:bidi="ar"/>
              </w:rPr>
              <w:t>2-</w:t>
            </w:r>
            <w:r>
              <w:rPr>
                <w:rFonts w:hint="eastAsia" w:ascii="宋体" w:hAnsi="宋体" w:cs="宋体"/>
                <w:kern w:val="0"/>
                <w:szCs w:val="21"/>
                <w:lang w:bidi="ar"/>
              </w:rPr>
              <w:t>、</w:t>
            </w:r>
            <w:r>
              <w:rPr>
                <w:kern w:val="0"/>
                <w:szCs w:val="21"/>
                <w:lang w:bidi="ar"/>
              </w:rPr>
              <w:t>HCO</w:t>
            </w:r>
            <w:r>
              <w:rPr>
                <w:kern w:val="0"/>
                <w:szCs w:val="21"/>
                <w:vertAlign w:val="superscript"/>
                <w:lang w:bidi="ar"/>
              </w:rPr>
              <w:t>3-</w:t>
            </w:r>
            <w:r>
              <w:rPr>
                <w:rFonts w:hint="eastAsia" w:ascii="宋体" w:hAnsi="宋体" w:cs="宋体"/>
                <w:kern w:val="0"/>
                <w:szCs w:val="21"/>
                <w:lang w:bidi="ar"/>
              </w:rPr>
              <w:t>；</w:t>
            </w:r>
            <w:r>
              <w:rPr>
                <w:kern w:val="0"/>
                <w:szCs w:val="21"/>
                <w:lang w:bidi="ar"/>
              </w:rPr>
              <w:t>pH</w:t>
            </w:r>
            <w:r>
              <w:rPr>
                <w:rFonts w:hint="eastAsia" w:ascii="宋体" w:hAnsi="宋体" w:cs="宋体"/>
                <w:kern w:val="0"/>
                <w:szCs w:val="21"/>
                <w:lang w:bidi="ar"/>
              </w:rPr>
              <w:t>、总硬度、溶解性总固体、硫酸盐、氯化物、铁、锰、铜、锌、挥发酚、阴离子表面活性剂、硝酸盐、亚硝酸盐、氨氮、硫化物、氟化物、氰化物、汞、砷、镉、六价铬、铅、总大肠菌群共计</w:t>
            </w:r>
            <w:r>
              <w:rPr>
                <w:kern w:val="0"/>
                <w:szCs w:val="21"/>
                <w:lang w:bidi="ar"/>
              </w:rPr>
              <w:t>29</w:t>
            </w:r>
            <w:r>
              <w:rPr>
                <w:rFonts w:hint="eastAsia" w:ascii="宋体" w:hAnsi="宋体" w:cs="宋体"/>
                <w:kern w:val="0"/>
                <w:szCs w:val="21"/>
                <w:lang w:bidi="ar"/>
              </w:rPr>
              <w:t>项</w:t>
            </w:r>
            <w:r>
              <w:rPr>
                <w:rFonts w:hint="eastAsia" w:ascii="宋体" w:hAnsi="宋体" w:cs="宋体"/>
                <w:szCs w:val="21"/>
              </w:rPr>
              <w:t>。</w:t>
            </w:r>
          </w:p>
        </w:tc>
      </w:tr>
      <w:tr w14:paraId="4561ECE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86" w:hRule="atLeast"/>
        </w:trPr>
        <w:tc>
          <w:tcPr>
            <w:tcW w:w="873" w:type="dxa"/>
            <w:vMerge w:val="continue"/>
            <w:tcBorders>
              <w:tl2br w:val="nil"/>
              <w:tr2bl w:val="nil"/>
            </w:tcBorders>
            <w:vAlign w:val="center"/>
          </w:tcPr>
          <w:p w14:paraId="520B8E63">
            <w:pPr>
              <w:kinsoku w:val="0"/>
              <w:overflowPunct w:val="0"/>
              <w:jc w:val="center"/>
              <w:rPr>
                <w:szCs w:val="21"/>
              </w:rPr>
            </w:pPr>
          </w:p>
        </w:tc>
        <w:tc>
          <w:tcPr>
            <w:tcW w:w="1448" w:type="dxa"/>
            <w:tcBorders>
              <w:tl2br w:val="nil"/>
              <w:tr2bl w:val="nil"/>
            </w:tcBorders>
            <w:vAlign w:val="center"/>
          </w:tcPr>
          <w:p w14:paraId="206256BD">
            <w:pPr>
              <w:kinsoku w:val="0"/>
              <w:overflowPunct w:val="0"/>
              <w:jc w:val="center"/>
              <w:rPr>
                <w:szCs w:val="21"/>
              </w:rPr>
            </w:pPr>
            <w:r>
              <w:rPr>
                <w:rFonts w:hint="eastAsia"/>
                <w:szCs w:val="21"/>
              </w:rPr>
              <w:t>影响预测</w:t>
            </w:r>
          </w:p>
        </w:tc>
        <w:tc>
          <w:tcPr>
            <w:tcW w:w="6767" w:type="dxa"/>
            <w:tcBorders>
              <w:tl2br w:val="nil"/>
              <w:tr2bl w:val="nil"/>
            </w:tcBorders>
            <w:vAlign w:val="center"/>
          </w:tcPr>
          <w:p w14:paraId="77A66447">
            <w:pPr>
              <w:kinsoku w:val="0"/>
              <w:overflowPunct w:val="0"/>
              <w:jc w:val="center"/>
              <w:rPr>
                <w:szCs w:val="21"/>
              </w:rPr>
            </w:pPr>
            <w:r>
              <w:rPr>
                <w:spacing w:val="-2"/>
                <w:szCs w:val="21"/>
              </w:rPr>
              <w:t>COD、NH</w:t>
            </w:r>
            <w:r>
              <w:rPr>
                <w:spacing w:val="-2"/>
                <w:position w:val="-3"/>
                <w:szCs w:val="21"/>
                <w:vertAlign w:val="subscript"/>
              </w:rPr>
              <w:t>3</w:t>
            </w:r>
            <w:r>
              <w:rPr>
                <w:spacing w:val="-2"/>
                <w:szCs w:val="21"/>
              </w:rPr>
              <w:t>-N</w:t>
            </w:r>
          </w:p>
        </w:tc>
      </w:tr>
      <w:tr w14:paraId="45C72C7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86" w:hRule="atLeast"/>
        </w:trPr>
        <w:tc>
          <w:tcPr>
            <w:tcW w:w="873" w:type="dxa"/>
            <w:vMerge w:val="restart"/>
            <w:tcBorders>
              <w:tl2br w:val="nil"/>
              <w:tr2bl w:val="nil"/>
            </w:tcBorders>
            <w:vAlign w:val="center"/>
          </w:tcPr>
          <w:p w14:paraId="58CA5686">
            <w:pPr>
              <w:kinsoku w:val="0"/>
              <w:overflowPunct w:val="0"/>
              <w:jc w:val="center"/>
              <w:rPr>
                <w:szCs w:val="21"/>
              </w:rPr>
            </w:pPr>
            <w:r>
              <w:rPr>
                <w:szCs w:val="21"/>
              </w:rPr>
              <w:t>声环境</w:t>
            </w:r>
          </w:p>
        </w:tc>
        <w:tc>
          <w:tcPr>
            <w:tcW w:w="1448" w:type="dxa"/>
            <w:tcBorders>
              <w:tl2br w:val="nil"/>
              <w:tr2bl w:val="nil"/>
            </w:tcBorders>
            <w:vAlign w:val="center"/>
          </w:tcPr>
          <w:p w14:paraId="65662F24">
            <w:pPr>
              <w:kinsoku w:val="0"/>
              <w:overflowPunct w:val="0"/>
              <w:jc w:val="center"/>
              <w:rPr>
                <w:szCs w:val="21"/>
              </w:rPr>
            </w:pPr>
            <w:r>
              <w:rPr>
                <w:spacing w:val="-1"/>
                <w:szCs w:val="21"/>
              </w:rPr>
              <w:t>现状评价</w:t>
            </w:r>
          </w:p>
        </w:tc>
        <w:tc>
          <w:tcPr>
            <w:tcW w:w="6767" w:type="dxa"/>
            <w:tcBorders>
              <w:tl2br w:val="nil"/>
              <w:tr2bl w:val="nil"/>
            </w:tcBorders>
            <w:vAlign w:val="center"/>
          </w:tcPr>
          <w:p w14:paraId="1C2B5777">
            <w:pPr>
              <w:kinsoku w:val="0"/>
              <w:overflowPunct w:val="0"/>
              <w:jc w:val="center"/>
              <w:rPr>
                <w:szCs w:val="21"/>
              </w:rPr>
            </w:pPr>
            <w:r>
              <w:rPr>
                <w:spacing w:val="-1"/>
                <w:szCs w:val="21"/>
              </w:rPr>
              <w:t>等效连续</w:t>
            </w:r>
            <w:r>
              <w:rPr>
                <w:szCs w:val="21"/>
              </w:rPr>
              <w:t>A声级</w:t>
            </w:r>
          </w:p>
        </w:tc>
      </w:tr>
      <w:tr w14:paraId="07E8B6A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873" w:type="dxa"/>
            <w:vMerge w:val="continue"/>
            <w:tcBorders>
              <w:tl2br w:val="nil"/>
              <w:tr2bl w:val="nil"/>
            </w:tcBorders>
            <w:vAlign w:val="center"/>
          </w:tcPr>
          <w:p w14:paraId="0501F94C">
            <w:pPr>
              <w:jc w:val="center"/>
              <w:rPr>
                <w:szCs w:val="21"/>
              </w:rPr>
            </w:pPr>
          </w:p>
        </w:tc>
        <w:tc>
          <w:tcPr>
            <w:tcW w:w="1448" w:type="dxa"/>
            <w:tcBorders>
              <w:tl2br w:val="nil"/>
              <w:tr2bl w:val="nil"/>
            </w:tcBorders>
            <w:vAlign w:val="center"/>
          </w:tcPr>
          <w:p w14:paraId="37C59C32">
            <w:pPr>
              <w:kinsoku w:val="0"/>
              <w:overflowPunct w:val="0"/>
              <w:jc w:val="center"/>
              <w:rPr>
                <w:szCs w:val="21"/>
              </w:rPr>
            </w:pPr>
            <w:r>
              <w:rPr>
                <w:rFonts w:ascii="Times New Roman" w:hAnsi="Times New Roman" w:eastAsia="宋体" w:cs="Times New Roman"/>
                <w:spacing w:val="-1"/>
                <w:szCs w:val="21"/>
              </w:rPr>
              <w:t>影响预测</w:t>
            </w:r>
          </w:p>
        </w:tc>
        <w:tc>
          <w:tcPr>
            <w:tcW w:w="6767" w:type="dxa"/>
            <w:tcBorders>
              <w:tl2br w:val="nil"/>
              <w:tr2bl w:val="nil"/>
            </w:tcBorders>
            <w:vAlign w:val="center"/>
          </w:tcPr>
          <w:p w14:paraId="3305FDDC">
            <w:pPr>
              <w:kinsoku w:val="0"/>
              <w:overflowPunct w:val="0"/>
              <w:jc w:val="center"/>
              <w:rPr>
                <w:szCs w:val="21"/>
              </w:rPr>
            </w:pPr>
            <w:r>
              <w:rPr>
                <w:rFonts w:hint="eastAsia"/>
                <w:szCs w:val="21"/>
              </w:rPr>
              <w:t>等效连续A声级</w:t>
            </w:r>
          </w:p>
        </w:tc>
      </w:tr>
      <w:tr w14:paraId="4DCAF79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86" w:hRule="atLeast"/>
        </w:trPr>
        <w:tc>
          <w:tcPr>
            <w:tcW w:w="873" w:type="dxa"/>
            <w:vMerge w:val="restart"/>
            <w:tcBorders>
              <w:tl2br w:val="nil"/>
              <w:tr2bl w:val="nil"/>
            </w:tcBorders>
            <w:vAlign w:val="center"/>
          </w:tcPr>
          <w:p w14:paraId="05B383A1">
            <w:pPr>
              <w:jc w:val="center"/>
              <w:rPr>
                <w:szCs w:val="21"/>
              </w:rPr>
            </w:pPr>
            <w:r>
              <w:rPr>
                <w:rFonts w:hint="eastAsia"/>
                <w:szCs w:val="21"/>
              </w:rPr>
              <w:t>土壤环境</w:t>
            </w:r>
          </w:p>
        </w:tc>
        <w:tc>
          <w:tcPr>
            <w:tcW w:w="1448" w:type="dxa"/>
            <w:tcBorders>
              <w:tl2br w:val="nil"/>
              <w:tr2bl w:val="nil"/>
            </w:tcBorders>
            <w:vAlign w:val="center"/>
          </w:tcPr>
          <w:p w14:paraId="52CD66FE">
            <w:pPr>
              <w:kinsoku w:val="0"/>
              <w:overflowPunct w:val="0"/>
              <w:jc w:val="center"/>
              <w:rPr>
                <w:szCs w:val="21"/>
              </w:rPr>
            </w:pPr>
            <w:r>
              <w:rPr>
                <w:rFonts w:hint="eastAsia"/>
                <w:szCs w:val="21"/>
              </w:rPr>
              <w:t>现状评价</w:t>
            </w:r>
          </w:p>
        </w:tc>
        <w:tc>
          <w:tcPr>
            <w:tcW w:w="6767" w:type="dxa"/>
            <w:tcBorders>
              <w:tl2br w:val="nil"/>
              <w:tr2bl w:val="nil"/>
            </w:tcBorders>
            <w:vAlign w:val="center"/>
          </w:tcPr>
          <w:p w14:paraId="2CF4FE42">
            <w:pPr>
              <w:kinsoku w:val="0"/>
              <w:overflowPunct w:val="0"/>
              <w:jc w:val="center"/>
              <w:rPr>
                <w:spacing w:val="-1"/>
                <w:szCs w:val="21"/>
              </w:rPr>
            </w:pPr>
            <w:r>
              <w:rPr>
                <w:rFonts w:hint="eastAsia"/>
                <w:spacing w:val="-1"/>
                <w:szCs w:val="21"/>
              </w:rPr>
              <w:t>砷、镉、铬（六价）、铜、铅、汞、镍、四氯化碳、氯仿、氯甲烷、1，1-二氯乙烷、1，2-二氯乙烷、1，1-二氯乙烯、顺-1，2-二氯乙烯、反-1，2-二氯乙烯、二氯甲烷、1，2-二氯丙烷、1，1，1，2-四氯乙烷、1，1，2，2-四氯乙烷、四氯乙烯、1，1，1-三氯乙烷、1，1，2-三氯乙烷、三氯乙烯、1，2，3-三氯丙烷、氯乙烯、苯、氯苯、1，2-二氯苯、1，4-二氯苯、乙苯、苯乙烯、甲苯、间二甲苯+对二甲苯、邻二甲苯、硝基苯、苯胺、2-氯酚、苯并〔a〕蒽、苯并〔a〕芘、苯并〔b〕荧蒽、苯并〔k〕荧蒽、䓛、二苯并〔a，h〕蒽、茚并〔1，2，3，-cd〕芘、萘。</w:t>
            </w:r>
          </w:p>
        </w:tc>
      </w:tr>
      <w:tr w14:paraId="4AC3E60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86" w:hRule="atLeast"/>
        </w:trPr>
        <w:tc>
          <w:tcPr>
            <w:tcW w:w="873" w:type="dxa"/>
            <w:vMerge w:val="continue"/>
            <w:tcBorders>
              <w:tl2br w:val="nil"/>
              <w:tr2bl w:val="nil"/>
            </w:tcBorders>
            <w:vAlign w:val="center"/>
          </w:tcPr>
          <w:p w14:paraId="659A4A87">
            <w:pPr>
              <w:jc w:val="center"/>
              <w:rPr>
                <w:szCs w:val="21"/>
              </w:rPr>
            </w:pPr>
          </w:p>
        </w:tc>
        <w:tc>
          <w:tcPr>
            <w:tcW w:w="1448" w:type="dxa"/>
            <w:tcBorders>
              <w:tl2br w:val="nil"/>
              <w:tr2bl w:val="nil"/>
            </w:tcBorders>
            <w:vAlign w:val="center"/>
          </w:tcPr>
          <w:p w14:paraId="6B29F72E">
            <w:pPr>
              <w:kinsoku w:val="0"/>
              <w:overflowPunct w:val="0"/>
              <w:jc w:val="center"/>
              <w:rPr>
                <w:szCs w:val="21"/>
              </w:rPr>
            </w:pPr>
            <w:r>
              <w:rPr>
                <w:rFonts w:hint="eastAsia"/>
                <w:szCs w:val="21"/>
              </w:rPr>
              <w:t>影响预测</w:t>
            </w:r>
          </w:p>
        </w:tc>
        <w:tc>
          <w:tcPr>
            <w:tcW w:w="6767" w:type="dxa"/>
            <w:tcBorders>
              <w:tl2br w:val="nil"/>
              <w:tr2bl w:val="nil"/>
            </w:tcBorders>
            <w:vAlign w:val="center"/>
          </w:tcPr>
          <w:p w14:paraId="43FC8D42">
            <w:pPr>
              <w:kinsoku w:val="0"/>
              <w:overflowPunct w:val="0"/>
              <w:jc w:val="center"/>
              <w:rPr>
                <w:spacing w:val="-1"/>
                <w:szCs w:val="21"/>
              </w:rPr>
            </w:pPr>
            <w:r>
              <w:rPr>
                <w:szCs w:val="21"/>
              </w:rPr>
              <w:t>/</w:t>
            </w:r>
          </w:p>
        </w:tc>
      </w:tr>
      <w:tr w14:paraId="779C657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86" w:hRule="atLeast"/>
        </w:trPr>
        <w:tc>
          <w:tcPr>
            <w:tcW w:w="873" w:type="dxa"/>
            <w:tcBorders>
              <w:tl2br w:val="nil"/>
              <w:tr2bl w:val="nil"/>
            </w:tcBorders>
            <w:vAlign w:val="center"/>
          </w:tcPr>
          <w:p w14:paraId="585C9E91">
            <w:pPr>
              <w:kinsoku w:val="0"/>
              <w:overflowPunct w:val="0"/>
              <w:jc w:val="center"/>
              <w:rPr>
                <w:szCs w:val="21"/>
              </w:rPr>
            </w:pPr>
            <w:r>
              <w:rPr>
                <w:szCs w:val="21"/>
              </w:rPr>
              <w:t>固体</w:t>
            </w:r>
          </w:p>
          <w:p w14:paraId="743BFC76">
            <w:pPr>
              <w:kinsoku w:val="0"/>
              <w:overflowPunct w:val="0"/>
              <w:jc w:val="center"/>
              <w:rPr>
                <w:szCs w:val="21"/>
              </w:rPr>
            </w:pPr>
            <w:r>
              <w:rPr>
                <w:szCs w:val="21"/>
              </w:rPr>
              <w:t>废物</w:t>
            </w:r>
          </w:p>
        </w:tc>
        <w:tc>
          <w:tcPr>
            <w:tcW w:w="1448" w:type="dxa"/>
            <w:tcBorders>
              <w:tl2br w:val="nil"/>
              <w:tr2bl w:val="nil"/>
            </w:tcBorders>
            <w:vAlign w:val="center"/>
          </w:tcPr>
          <w:p w14:paraId="3C512843">
            <w:pPr>
              <w:kinsoku w:val="0"/>
              <w:overflowPunct w:val="0"/>
              <w:jc w:val="center"/>
              <w:rPr>
                <w:rFonts w:hint="default" w:eastAsia="宋体"/>
                <w:szCs w:val="21"/>
                <w:lang w:val="en-US" w:eastAsia="zh-CN"/>
              </w:rPr>
            </w:pPr>
            <w:r>
              <w:rPr>
                <w:rFonts w:hint="eastAsia"/>
                <w:spacing w:val="-1"/>
                <w:szCs w:val="21"/>
                <w:lang w:val="en-US" w:eastAsia="zh-CN"/>
              </w:rPr>
              <w:t>影响分析</w:t>
            </w:r>
          </w:p>
        </w:tc>
        <w:tc>
          <w:tcPr>
            <w:tcW w:w="6767" w:type="dxa"/>
            <w:tcBorders>
              <w:tl2br w:val="nil"/>
              <w:tr2bl w:val="nil"/>
            </w:tcBorders>
            <w:vAlign w:val="center"/>
          </w:tcPr>
          <w:p w14:paraId="108273AD">
            <w:pPr>
              <w:kinsoku w:val="0"/>
              <w:overflowPunct w:val="0"/>
              <w:jc w:val="center"/>
              <w:rPr>
                <w:rFonts w:hint="default" w:eastAsia="宋体"/>
                <w:szCs w:val="21"/>
                <w:lang w:val="en-US" w:eastAsia="zh-CN"/>
              </w:rPr>
            </w:pPr>
            <w:r>
              <w:rPr>
                <w:rFonts w:hint="eastAsia"/>
                <w:szCs w:val="21"/>
              </w:rPr>
              <w:t>废过滤网、</w:t>
            </w:r>
            <w:r>
              <w:t>熔融废渣</w:t>
            </w:r>
            <w:r>
              <w:rPr>
                <w:rFonts w:hint="eastAsia"/>
                <w:lang w:eastAsia="zh-CN"/>
              </w:rPr>
              <w:t>、废催化剂、</w:t>
            </w:r>
            <w:r>
              <w:t>不合格品、残次品及边角料</w:t>
            </w:r>
            <w:r>
              <w:rPr>
                <w:rFonts w:hint="eastAsia"/>
                <w:lang w:eastAsia="zh-CN"/>
              </w:rPr>
              <w:t>、废润滑油、废油桶、废活性炭、</w:t>
            </w:r>
            <w:r>
              <w:rPr>
                <w:rFonts w:hint="eastAsia"/>
                <w:lang w:val="en-US" w:eastAsia="zh-CN"/>
              </w:rPr>
              <w:t>生活垃圾等</w:t>
            </w:r>
          </w:p>
        </w:tc>
      </w:tr>
      <w:tr w14:paraId="317316D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34" w:hRule="atLeast"/>
        </w:trPr>
        <w:tc>
          <w:tcPr>
            <w:tcW w:w="873" w:type="dxa"/>
            <w:tcBorders>
              <w:tl2br w:val="nil"/>
              <w:tr2bl w:val="nil"/>
            </w:tcBorders>
            <w:vAlign w:val="center"/>
          </w:tcPr>
          <w:p w14:paraId="33C25863">
            <w:pPr>
              <w:kinsoku w:val="0"/>
              <w:overflowPunct w:val="0"/>
              <w:jc w:val="center"/>
              <w:rPr>
                <w:szCs w:val="21"/>
              </w:rPr>
            </w:pPr>
            <w:bookmarkStart w:id="78" w:name="_Toc27998"/>
            <w:bookmarkStart w:id="79" w:name="_Toc12343"/>
            <w:bookmarkStart w:id="80" w:name="_Toc21427"/>
            <w:bookmarkStart w:id="81" w:name="_Toc332727821"/>
            <w:bookmarkStart w:id="82" w:name="_Toc363049954"/>
            <w:r>
              <w:rPr>
                <w:rFonts w:hint="eastAsia"/>
                <w:szCs w:val="21"/>
              </w:rPr>
              <w:t>环境风险</w:t>
            </w:r>
          </w:p>
        </w:tc>
        <w:tc>
          <w:tcPr>
            <w:tcW w:w="1448" w:type="dxa"/>
            <w:tcBorders>
              <w:tl2br w:val="nil"/>
              <w:tr2bl w:val="nil"/>
            </w:tcBorders>
            <w:vAlign w:val="center"/>
          </w:tcPr>
          <w:p w14:paraId="41C5A2DC">
            <w:pPr>
              <w:kinsoku w:val="0"/>
              <w:overflowPunct w:val="0"/>
              <w:jc w:val="center"/>
              <w:rPr>
                <w:szCs w:val="21"/>
              </w:rPr>
            </w:pPr>
            <w:r>
              <w:rPr>
                <w:rFonts w:hint="eastAsia"/>
                <w:spacing w:val="-1"/>
                <w:szCs w:val="21"/>
                <w:lang w:val="en-US" w:eastAsia="zh-CN"/>
              </w:rPr>
              <w:t>影响分析</w:t>
            </w:r>
          </w:p>
        </w:tc>
        <w:tc>
          <w:tcPr>
            <w:tcW w:w="6767" w:type="dxa"/>
            <w:tcBorders>
              <w:tl2br w:val="nil"/>
              <w:tr2bl w:val="nil"/>
            </w:tcBorders>
            <w:vAlign w:val="center"/>
          </w:tcPr>
          <w:p w14:paraId="5605A40B">
            <w:pPr>
              <w:kinsoku w:val="0"/>
              <w:overflowPunct w:val="0"/>
              <w:jc w:val="center"/>
              <w:rPr>
                <w:szCs w:val="21"/>
              </w:rPr>
            </w:pPr>
            <w:r>
              <w:rPr>
                <w:rFonts w:hint="eastAsia"/>
                <w:color w:val="000000"/>
              </w:rPr>
              <w:t>火灾、爆炸对地下水造成的污染影响</w:t>
            </w:r>
          </w:p>
        </w:tc>
      </w:tr>
      <w:bookmarkEnd w:id="77"/>
    </w:tbl>
    <w:p w14:paraId="273FC53E">
      <w:pPr>
        <w:pStyle w:val="3"/>
        <w:keepNext w:val="0"/>
        <w:keepLines w:val="0"/>
        <w:autoSpaceDE w:val="0"/>
        <w:autoSpaceDN w:val="0"/>
        <w:spacing w:before="0" w:after="0" w:line="360" w:lineRule="auto"/>
        <w:jc w:val="left"/>
        <w:rPr>
          <w:rFonts w:ascii="Times New Roman" w:hAnsi="Times New Roman" w:eastAsia="宋体"/>
          <w:kern w:val="0"/>
          <w:sz w:val="24"/>
          <w:szCs w:val="30"/>
          <w:lang w:val="en-US" w:bidi="zh-CN"/>
        </w:rPr>
      </w:pPr>
      <w:bookmarkStart w:id="83" w:name="_Toc25545"/>
      <w:r>
        <w:rPr>
          <w:rFonts w:hint="eastAsia" w:ascii="Times New Roman" w:hAnsi="Times New Roman" w:eastAsia="宋体"/>
          <w:kern w:val="0"/>
          <w:sz w:val="24"/>
          <w:szCs w:val="30"/>
          <w:lang w:val="en-US" w:bidi="zh-CN"/>
        </w:rPr>
        <w:t>2.5评价工作等级和评价范围</w:t>
      </w:r>
      <w:bookmarkEnd w:id="78"/>
      <w:bookmarkEnd w:id="79"/>
      <w:bookmarkEnd w:id="80"/>
      <w:bookmarkEnd w:id="83"/>
    </w:p>
    <w:p w14:paraId="547EA986">
      <w:pPr>
        <w:pStyle w:val="4"/>
        <w:autoSpaceDE w:val="0"/>
        <w:autoSpaceDN w:val="0"/>
        <w:spacing w:before="0" w:after="0" w:line="360" w:lineRule="auto"/>
        <w:jc w:val="left"/>
        <w:rPr>
          <w:kern w:val="0"/>
          <w:sz w:val="24"/>
          <w:lang w:val="en-US" w:bidi="zh-CN"/>
        </w:rPr>
      </w:pPr>
      <w:bookmarkStart w:id="84" w:name="_Toc11946"/>
      <w:bookmarkStart w:id="85" w:name="_Toc31545"/>
      <w:bookmarkStart w:id="86" w:name="_Toc27840"/>
      <w:r>
        <w:rPr>
          <w:rFonts w:hint="eastAsia"/>
          <w:kern w:val="0"/>
          <w:sz w:val="24"/>
          <w:lang w:val="en-US" w:bidi="zh-CN"/>
        </w:rPr>
        <w:t>2.5.1大气环境评价等级和评价范围</w:t>
      </w:r>
      <w:bookmarkEnd w:id="84"/>
      <w:bookmarkEnd w:id="85"/>
      <w:bookmarkEnd w:id="86"/>
    </w:p>
    <w:p w14:paraId="1A3A56E5">
      <w:pPr>
        <w:pStyle w:val="5"/>
        <w:rPr>
          <w:rFonts w:ascii="Times New Roman" w:hAnsi="Times New Roman"/>
          <w:color w:val="000000"/>
          <w:lang w:val="en-US"/>
        </w:rPr>
      </w:pPr>
      <w:bookmarkStart w:id="87" w:name="_Toc8622"/>
      <w:bookmarkStart w:id="88" w:name="_Toc7687"/>
      <w:bookmarkStart w:id="89" w:name="_Toc18660"/>
      <w:r>
        <w:rPr>
          <w:rFonts w:hint="eastAsia" w:ascii="Times New Roman" w:hAnsi="Times New Roman"/>
          <w:color w:val="000000"/>
          <w:lang w:val="en-US"/>
        </w:rPr>
        <w:t>2.5.1.1评价工作等级</w:t>
      </w:r>
      <w:bookmarkEnd w:id="87"/>
      <w:bookmarkEnd w:id="88"/>
      <w:bookmarkEnd w:id="89"/>
    </w:p>
    <w:p w14:paraId="4B24412B">
      <w:pPr>
        <w:spacing w:line="360" w:lineRule="auto"/>
        <w:ind w:firstLine="480"/>
        <w:rPr>
          <w:rFonts w:hint="eastAsia" w:ascii="宋体" w:hAnsi="宋体" w:cs="宋体"/>
          <w:sz w:val="24"/>
          <w:szCs w:val="24"/>
        </w:rPr>
      </w:pPr>
      <w:r>
        <w:rPr>
          <w:rFonts w:hint="eastAsia" w:ascii="宋体" w:hAnsi="宋体" w:cs="宋体"/>
          <w:sz w:val="24"/>
          <w:szCs w:val="24"/>
        </w:rPr>
        <w:t>根据《环境影响评价技术导则大气环境》（HJ2.2-2018）评价等级判定要求，选择项目污染源正常排放的主要污染物及排放参数，采用附录A推荐模型中估算模型分别计算项目污染源的最大环境影响，然后按照评价工作分级判据进行分级。</w:t>
      </w:r>
    </w:p>
    <w:p w14:paraId="48E4EE61">
      <w:pPr>
        <w:pStyle w:val="16"/>
        <w:kinsoku w:val="0"/>
        <w:overflowPunct w:val="0"/>
        <w:spacing w:after="0" w:line="360" w:lineRule="auto"/>
        <w:ind w:firstLine="480"/>
        <w:rPr>
          <w:rFonts w:hint="eastAsia" w:ascii="宋体" w:hAnsi="宋体" w:cs="宋体"/>
          <w:sz w:val="24"/>
          <w:szCs w:val="24"/>
        </w:rPr>
      </w:pPr>
      <w:r>
        <w:rPr>
          <w:rFonts w:hint="eastAsia" w:ascii="宋体" w:hAnsi="宋体" w:cs="宋体"/>
          <w:sz w:val="24"/>
          <w:szCs w:val="24"/>
        </w:rPr>
        <w:t>①判断依据</w:t>
      </w:r>
    </w:p>
    <w:p w14:paraId="1199DE53">
      <w:pPr>
        <w:pStyle w:val="16"/>
        <w:kinsoku w:val="0"/>
        <w:overflowPunct w:val="0"/>
        <w:spacing w:after="0" w:line="360" w:lineRule="auto"/>
        <w:ind w:firstLine="480"/>
        <w:rPr>
          <w:rFonts w:hint="eastAsia" w:ascii="宋体" w:hAnsi="宋体" w:cs="宋体"/>
          <w:color w:val="000000"/>
          <w:sz w:val="24"/>
          <w:szCs w:val="24"/>
        </w:rPr>
      </w:pPr>
      <w:r>
        <w:rPr>
          <w:rFonts w:hint="eastAsia" w:ascii="宋体" w:hAnsi="宋体" w:cs="宋体"/>
          <w:sz w:val="24"/>
          <w:szCs w:val="24"/>
          <w:lang w:val="en-US"/>
        </w:rPr>
        <mc:AlternateContent>
          <mc:Choice Requires="wps">
            <w:drawing>
              <wp:anchor distT="0" distB="0" distL="114300" distR="114300" simplePos="0" relativeHeight="251659264" behindDoc="1" locked="0" layoutInCell="0" allowOverlap="1">
                <wp:simplePos x="0" y="0"/>
                <wp:positionH relativeFrom="page">
                  <wp:posOffset>3351530</wp:posOffset>
                </wp:positionH>
                <wp:positionV relativeFrom="paragraph">
                  <wp:posOffset>1012825</wp:posOffset>
                </wp:positionV>
                <wp:extent cx="876300" cy="355600"/>
                <wp:effectExtent l="0" t="0" r="0" b="0"/>
                <wp:wrapNone/>
                <wp:docPr id="1425824985" name="矩形 1"/>
                <wp:cNvGraphicFramePr/>
                <a:graphic xmlns:a="http://schemas.openxmlformats.org/drawingml/2006/main">
                  <a:graphicData uri="http://schemas.microsoft.com/office/word/2010/wordprocessingShape">
                    <wps:wsp>
                      <wps:cNvSpPr>
                        <a:spLocks noChangeArrowheads="1"/>
                      </wps:cNvSpPr>
                      <wps:spPr bwMode="auto">
                        <a:xfrm>
                          <a:off x="0" y="0"/>
                          <a:ext cx="876300" cy="355600"/>
                        </a:xfrm>
                        <a:prstGeom prst="rect">
                          <a:avLst/>
                        </a:prstGeom>
                        <a:noFill/>
                        <a:ln>
                          <a:noFill/>
                        </a:ln>
                      </wps:spPr>
                      <wps:txbx>
                        <w:txbxContent>
                          <w:p w14:paraId="4CBF6D41">
                            <w:pPr>
                              <w:widowControl/>
                              <w:spacing w:line="560" w:lineRule="atLeast"/>
                              <w:ind w:firstLine="480"/>
                            </w:pPr>
                          </w:p>
                          <w:p w14:paraId="66CF3459">
                            <w:pPr>
                              <w:ind w:firstLine="480"/>
                            </w:pPr>
                          </w:p>
                        </w:txbxContent>
                      </wps:txbx>
                      <wps:bodyPr rot="0" vert="horz" wrap="square" lIns="0" tIns="0" rIns="0" bIns="0" anchor="t" anchorCtr="0" upright="1">
                        <a:noAutofit/>
                      </wps:bodyPr>
                    </wps:wsp>
                  </a:graphicData>
                </a:graphic>
              </wp:anchor>
            </w:drawing>
          </mc:Choice>
          <mc:Fallback>
            <w:pict>
              <v:rect id="矩形 1" o:spid="_x0000_s1026" o:spt="1" style="position:absolute;left:0pt;margin-left:263.9pt;margin-top:79.75pt;height:28pt;width:69pt;mso-position-horizontal-relative:page;z-index:-251657216;mso-width-relative:page;mso-height-relative:page;" filled="f" stroked="f" coordsize="21600,21600" o:allowincell="f" o:gfxdata="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IzW8craAAAACwEAAA8AAAAAAAAAAQAgAAAA&#10;IgAAAGRycy9kb3ducmV2LnhtbFBLAQIUABQAAAAIAIdO4kAayaMpCQIAAAAEAAAOAAAAAAAAAAEA&#10;IAAAACkBAABkcnMvZTJvRG9jLnhtbFBLBQYAAAAABgAGAFkBAACkBQAAAAA=&#10;">
                <v:fill on="f" focussize="0,0"/>
                <v:stroke on="f"/>
                <v:imagedata o:title=""/>
                <o:lock v:ext="edit" aspectratio="f"/>
                <v:textbox inset="0mm,0mm,0mm,0mm">
                  <w:txbxContent>
                    <w:p w14:paraId="4CBF6D41">
                      <w:pPr>
                        <w:widowControl/>
                        <w:spacing w:line="560" w:lineRule="atLeast"/>
                        <w:ind w:firstLine="480"/>
                      </w:pPr>
                    </w:p>
                    <w:p w14:paraId="66CF3459">
                      <w:pPr>
                        <w:ind w:firstLine="480"/>
                      </w:pPr>
                    </w:p>
                  </w:txbxContent>
                </v:textbox>
              </v:rect>
            </w:pict>
          </mc:Fallback>
        </mc:AlternateContent>
      </w:r>
      <w:r>
        <w:rPr>
          <w:rFonts w:hint="eastAsia" w:ascii="宋体" w:hAnsi="宋体" w:cs="宋体"/>
          <w:sz w:val="24"/>
          <w:szCs w:val="24"/>
        </w:rPr>
        <w:t>根据《环境影响评价技</w:t>
      </w:r>
      <w:r>
        <w:rPr>
          <w:rFonts w:hint="eastAsia" w:ascii="宋体" w:hAnsi="宋体" w:cs="宋体"/>
          <w:color w:val="000000"/>
          <w:sz w:val="24"/>
          <w:szCs w:val="24"/>
        </w:rPr>
        <w:t>术导则大气环境》（HJ2.2-2018），根据项目污染源初步调查结果，分布计算项目排放主要污染物的最大地面质量浓度的占标率Pi及地面质量浓度达标准限值10%时所对应的最远距离D</w:t>
      </w:r>
      <w:r>
        <w:rPr>
          <w:rFonts w:hint="eastAsia" w:ascii="宋体" w:hAnsi="宋体" w:cs="宋体"/>
          <w:color w:val="000000"/>
          <w:sz w:val="24"/>
          <w:szCs w:val="24"/>
          <w:vertAlign w:val="subscript"/>
        </w:rPr>
        <w:t>10%</w:t>
      </w:r>
      <w:r>
        <w:rPr>
          <w:rFonts w:hint="eastAsia" w:ascii="宋体" w:hAnsi="宋体" w:cs="宋体"/>
          <w:color w:val="000000"/>
          <w:sz w:val="24"/>
          <w:szCs w:val="24"/>
        </w:rPr>
        <w:t>来判定。</w:t>
      </w:r>
    </w:p>
    <w:p w14:paraId="56F2DCE2">
      <w:pPr>
        <w:spacing w:line="360" w:lineRule="auto"/>
        <w:ind w:firstLine="480"/>
        <w:jc w:val="center"/>
        <w:rPr>
          <w:rFonts w:hint="eastAsia" w:ascii="宋体" w:hAnsi="宋体" w:cs="宋体"/>
          <w:color w:val="000000"/>
          <w:sz w:val="24"/>
          <w:szCs w:val="24"/>
        </w:rPr>
      </w:pPr>
      <w:r>
        <w:rPr>
          <w:rFonts w:hint="eastAsia" w:ascii="宋体" w:hAnsi="宋体" w:cs="宋体"/>
          <w:color w:val="000000"/>
          <w:sz w:val="24"/>
          <w:szCs w:val="24"/>
        </w:rPr>
        <w:drawing>
          <wp:inline distT="0" distB="0" distL="114300" distR="114300">
            <wp:extent cx="1007745" cy="403225"/>
            <wp:effectExtent l="0" t="0" r="1905" b="15875"/>
            <wp:docPr id="1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
                    <pic:cNvPicPr>
                      <a:picLocks noChangeAspect="1"/>
                    </pic:cNvPicPr>
                  </pic:nvPicPr>
                  <pic:blipFill>
                    <a:blip r:embed="rId19"/>
                    <a:stretch>
                      <a:fillRect/>
                    </a:stretch>
                  </pic:blipFill>
                  <pic:spPr>
                    <a:xfrm>
                      <a:off x="0" y="0"/>
                      <a:ext cx="1007745" cy="403225"/>
                    </a:xfrm>
                    <a:prstGeom prst="rect">
                      <a:avLst/>
                    </a:prstGeom>
                    <a:noFill/>
                    <a:ln>
                      <a:noFill/>
                    </a:ln>
                  </pic:spPr>
                </pic:pic>
              </a:graphicData>
            </a:graphic>
          </wp:inline>
        </w:drawing>
      </w:r>
    </w:p>
    <w:p w14:paraId="3E10B5EC">
      <w:pPr>
        <w:pStyle w:val="16"/>
        <w:kinsoku w:val="0"/>
        <w:overflowPunct w:val="0"/>
        <w:spacing w:after="0" w:line="360" w:lineRule="auto"/>
        <w:ind w:firstLine="480"/>
        <w:rPr>
          <w:rFonts w:hint="eastAsia" w:ascii="宋体" w:hAnsi="宋体" w:cs="宋体"/>
          <w:color w:val="000000"/>
          <w:sz w:val="24"/>
          <w:szCs w:val="24"/>
        </w:rPr>
      </w:pPr>
      <w:r>
        <w:rPr>
          <w:rFonts w:hint="eastAsia" w:ascii="宋体" w:hAnsi="宋体" w:cs="宋体"/>
          <w:color w:val="000000"/>
          <w:sz w:val="24"/>
          <w:szCs w:val="24"/>
        </w:rPr>
        <w:t>其中：P</w:t>
      </w:r>
      <w:r>
        <w:rPr>
          <w:rFonts w:hint="eastAsia" w:ascii="宋体" w:hAnsi="宋体" w:cs="宋体"/>
          <w:color w:val="000000"/>
          <w:sz w:val="24"/>
          <w:szCs w:val="24"/>
          <w:vertAlign w:val="subscript"/>
        </w:rPr>
        <w:t>i</w:t>
      </w:r>
      <w:r>
        <w:rPr>
          <w:rFonts w:hint="eastAsia" w:ascii="宋体" w:hAnsi="宋体" w:cs="宋体"/>
          <w:color w:val="000000"/>
          <w:sz w:val="24"/>
          <w:szCs w:val="24"/>
        </w:rPr>
        <w:t>——第i个污染物的最大地面空气质量浓度占标率，%；</w:t>
      </w:r>
    </w:p>
    <w:p w14:paraId="22200730">
      <w:pPr>
        <w:pStyle w:val="16"/>
        <w:kinsoku w:val="0"/>
        <w:overflowPunct w:val="0"/>
        <w:spacing w:after="0" w:line="360" w:lineRule="auto"/>
        <w:ind w:firstLine="1200" w:firstLineChars="500"/>
        <w:rPr>
          <w:rFonts w:hint="eastAsia" w:ascii="宋体" w:hAnsi="宋体" w:cs="宋体"/>
          <w:color w:val="000000"/>
          <w:sz w:val="24"/>
          <w:szCs w:val="24"/>
        </w:rPr>
      </w:pPr>
      <w:r>
        <w:rPr>
          <w:rFonts w:hint="eastAsia" w:ascii="宋体" w:hAnsi="宋体" w:cs="宋体"/>
          <w:color w:val="000000"/>
          <w:sz w:val="24"/>
          <w:szCs w:val="24"/>
        </w:rPr>
        <w:t>C</w:t>
      </w:r>
      <w:r>
        <w:rPr>
          <w:rFonts w:hint="eastAsia" w:ascii="宋体" w:hAnsi="宋体" w:cs="宋体"/>
          <w:color w:val="000000"/>
          <w:sz w:val="24"/>
          <w:szCs w:val="24"/>
          <w:vertAlign w:val="subscript"/>
        </w:rPr>
        <w:t>i</w:t>
      </w:r>
      <w:r>
        <w:rPr>
          <w:rFonts w:hint="eastAsia" w:ascii="宋体" w:hAnsi="宋体" w:cs="宋体"/>
          <w:color w:val="000000"/>
          <w:sz w:val="24"/>
          <w:szCs w:val="24"/>
        </w:rPr>
        <w:t>——采用估算模型计算出的第i个污染物的最大1h地面空气质量浓度，mg/m</w:t>
      </w:r>
      <w:r>
        <w:rPr>
          <w:rFonts w:hint="eastAsia" w:ascii="宋体" w:hAnsi="宋体" w:cs="宋体"/>
          <w:color w:val="000000"/>
          <w:sz w:val="24"/>
          <w:szCs w:val="24"/>
          <w:vertAlign w:val="superscript"/>
        </w:rPr>
        <w:t>3</w:t>
      </w:r>
      <w:r>
        <w:rPr>
          <w:rFonts w:hint="eastAsia" w:ascii="宋体" w:hAnsi="宋体" w:cs="宋体"/>
          <w:color w:val="000000"/>
          <w:sz w:val="24"/>
          <w:szCs w:val="24"/>
        </w:rPr>
        <w:t>；</w:t>
      </w:r>
    </w:p>
    <w:p w14:paraId="41C077DB">
      <w:pPr>
        <w:pStyle w:val="16"/>
        <w:kinsoku w:val="0"/>
        <w:overflowPunct w:val="0"/>
        <w:spacing w:after="0" w:line="360" w:lineRule="auto"/>
        <w:ind w:firstLine="1200" w:firstLineChars="500"/>
        <w:rPr>
          <w:rFonts w:hint="eastAsia" w:ascii="宋体" w:hAnsi="宋体" w:cs="宋体"/>
          <w:color w:val="000000"/>
          <w:sz w:val="24"/>
          <w:szCs w:val="24"/>
        </w:rPr>
      </w:pPr>
      <w:r>
        <w:rPr>
          <w:rFonts w:hint="eastAsia" w:ascii="宋体" w:hAnsi="宋体" w:cs="宋体"/>
          <w:color w:val="000000"/>
          <w:sz w:val="24"/>
          <w:szCs w:val="24"/>
        </w:rPr>
        <w:t>C</w:t>
      </w:r>
      <w:r>
        <w:rPr>
          <w:rFonts w:hint="eastAsia" w:ascii="宋体" w:hAnsi="宋体" w:cs="宋体"/>
          <w:color w:val="000000"/>
          <w:sz w:val="24"/>
          <w:szCs w:val="24"/>
          <w:vertAlign w:val="subscript"/>
        </w:rPr>
        <w:t>0i</w:t>
      </w:r>
      <w:r>
        <w:rPr>
          <w:rFonts w:hint="eastAsia" w:ascii="宋体" w:hAnsi="宋体" w:cs="宋体"/>
          <w:color w:val="000000"/>
          <w:sz w:val="24"/>
          <w:szCs w:val="24"/>
        </w:rPr>
        <w:t>——第i个污染物的环境空气质量标准（一般选用GB3095中1小时平均取样时间的二级标准的浓度限值），mg/m</w:t>
      </w:r>
      <w:r>
        <w:rPr>
          <w:rFonts w:hint="eastAsia" w:ascii="宋体" w:hAnsi="宋体" w:cs="宋体"/>
          <w:color w:val="000000"/>
          <w:sz w:val="24"/>
          <w:szCs w:val="24"/>
          <w:vertAlign w:val="superscript"/>
        </w:rPr>
        <w:t>3</w:t>
      </w:r>
      <w:r>
        <w:rPr>
          <w:rFonts w:hint="eastAsia" w:ascii="宋体" w:hAnsi="宋体" w:cs="宋体"/>
          <w:color w:val="000000"/>
          <w:sz w:val="24"/>
          <w:szCs w:val="24"/>
        </w:rPr>
        <w:t>。</w:t>
      </w:r>
    </w:p>
    <w:p w14:paraId="0FC2E7F9">
      <w:pPr>
        <w:pStyle w:val="16"/>
        <w:tabs>
          <w:tab w:val="left" w:pos="779"/>
        </w:tabs>
        <w:spacing w:after="0"/>
        <w:jc w:val="center"/>
        <w:rPr>
          <w:b/>
          <w:szCs w:val="21"/>
        </w:rPr>
      </w:pPr>
      <w:r>
        <w:rPr>
          <w:rFonts w:hint="eastAsia"/>
          <w:b/>
          <w:szCs w:val="21"/>
        </w:rPr>
        <w:t>表2.</w:t>
      </w:r>
      <w:r>
        <w:rPr>
          <w:rFonts w:hint="eastAsia"/>
          <w:b/>
          <w:szCs w:val="21"/>
          <w:lang w:val="en-US"/>
        </w:rPr>
        <w:t>5</w:t>
      </w:r>
      <w:r>
        <w:rPr>
          <w:rFonts w:hint="eastAsia"/>
          <w:b/>
          <w:szCs w:val="21"/>
        </w:rPr>
        <w:t>-1</w:t>
      </w:r>
      <w:r>
        <w:rPr>
          <w:rFonts w:hint="eastAsia"/>
          <w:b/>
          <w:szCs w:val="21"/>
          <w:lang w:val="en-US"/>
        </w:rPr>
        <w:t xml:space="preserve">    </w:t>
      </w:r>
      <w:r>
        <w:rPr>
          <w:rFonts w:hint="eastAsia"/>
          <w:b/>
          <w:szCs w:val="21"/>
        </w:rPr>
        <w:t>大气评价工作分级判据</w:t>
      </w:r>
    </w:p>
    <w:tbl>
      <w:tblPr>
        <w:tblStyle w:val="49"/>
        <w:tblW w:w="5000"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0" w:type="dxa"/>
          <w:bottom w:w="0" w:type="dxa"/>
          <w:right w:w="0" w:type="dxa"/>
        </w:tblCellMar>
      </w:tblPr>
      <w:tblGrid>
        <w:gridCol w:w="3575"/>
        <w:gridCol w:w="5470"/>
      </w:tblGrid>
      <w:tr w14:paraId="5C4FFFD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exact"/>
          <w:jc w:val="center"/>
        </w:trPr>
        <w:tc>
          <w:tcPr>
            <w:tcW w:w="1976" w:type="pct"/>
            <w:tcBorders>
              <w:tl2br w:val="nil"/>
              <w:tr2bl w:val="nil"/>
            </w:tcBorders>
            <w:vAlign w:val="center"/>
          </w:tcPr>
          <w:p w14:paraId="434A0603">
            <w:pPr>
              <w:pStyle w:val="228"/>
              <w:kinsoku w:val="0"/>
              <w:overflowPunct w:val="0"/>
              <w:ind w:firstLine="418"/>
              <w:rPr>
                <w:color w:val="000000"/>
                <w:szCs w:val="21"/>
              </w:rPr>
            </w:pPr>
            <w:r>
              <w:rPr>
                <w:color w:val="000000"/>
                <w:spacing w:val="-1"/>
                <w:szCs w:val="21"/>
              </w:rPr>
              <w:t>评价工作等级</w:t>
            </w:r>
          </w:p>
        </w:tc>
        <w:tc>
          <w:tcPr>
            <w:tcW w:w="3023" w:type="pct"/>
            <w:tcBorders>
              <w:tl2br w:val="nil"/>
              <w:tr2bl w:val="nil"/>
            </w:tcBorders>
            <w:vAlign w:val="center"/>
          </w:tcPr>
          <w:p w14:paraId="09D570AB">
            <w:pPr>
              <w:pStyle w:val="228"/>
              <w:kinsoku w:val="0"/>
              <w:overflowPunct w:val="0"/>
              <w:ind w:firstLine="414"/>
              <w:rPr>
                <w:color w:val="000000"/>
                <w:szCs w:val="21"/>
              </w:rPr>
            </w:pPr>
            <w:r>
              <w:rPr>
                <w:color w:val="000000"/>
                <w:spacing w:val="-2"/>
                <w:szCs w:val="21"/>
              </w:rPr>
              <w:t>评价工作分级判据</w:t>
            </w:r>
          </w:p>
        </w:tc>
      </w:tr>
      <w:tr w14:paraId="24C02B7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exact"/>
          <w:jc w:val="center"/>
        </w:trPr>
        <w:tc>
          <w:tcPr>
            <w:tcW w:w="1976" w:type="pct"/>
            <w:tcBorders>
              <w:tl2br w:val="nil"/>
              <w:tr2bl w:val="nil"/>
            </w:tcBorders>
            <w:vAlign w:val="center"/>
          </w:tcPr>
          <w:p w14:paraId="04171CB9">
            <w:pPr>
              <w:pStyle w:val="228"/>
              <w:kinsoku w:val="0"/>
              <w:overflowPunct w:val="0"/>
              <w:ind w:firstLine="420"/>
              <w:rPr>
                <w:color w:val="000000"/>
                <w:szCs w:val="21"/>
              </w:rPr>
            </w:pPr>
            <w:r>
              <w:rPr>
                <w:color w:val="000000"/>
                <w:szCs w:val="21"/>
              </w:rPr>
              <w:t>一级</w:t>
            </w:r>
          </w:p>
        </w:tc>
        <w:tc>
          <w:tcPr>
            <w:tcW w:w="3023" w:type="pct"/>
            <w:tcBorders>
              <w:tl2br w:val="nil"/>
              <w:tr2bl w:val="nil"/>
            </w:tcBorders>
            <w:vAlign w:val="center"/>
          </w:tcPr>
          <w:p w14:paraId="05B5A679">
            <w:pPr>
              <w:pStyle w:val="228"/>
              <w:kinsoku w:val="0"/>
              <w:overflowPunct w:val="0"/>
              <w:ind w:firstLine="416"/>
              <w:rPr>
                <w:color w:val="000000"/>
                <w:szCs w:val="21"/>
              </w:rPr>
            </w:pPr>
            <w:r>
              <w:rPr>
                <w:color w:val="000000"/>
                <w:spacing w:val="-1"/>
                <w:szCs w:val="21"/>
              </w:rPr>
              <w:t>P</w:t>
            </w:r>
            <w:r>
              <w:rPr>
                <w:color w:val="000000"/>
                <w:spacing w:val="-1"/>
                <w:position w:val="-3"/>
                <w:szCs w:val="21"/>
              </w:rPr>
              <w:t>max</w:t>
            </w:r>
            <w:r>
              <w:rPr>
                <w:color w:val="000000"/>
                <w:spacing w:val="-1"/>
                <w:szCs w:val="21"/>
              </w:rPr>
              <w:t>≥10%</w:t>
            </w:r>
          </w:p>
        </w:tc>
      </w:tr>
      <w:tr w14:paraId="72FF2A7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exact"/>
          <w:jc w:val="center"/>
        </w:trPr>
        <w:tc>
          <w:tcPr>
            <w:tcW w:w="1976" w:type="pct"/>
            <w:tcBorders>
              <w:tl2br w:val="nil"/>
              <w:tr2bl w:val="nil"/>
            </w:tcBorders>
            <w:vAlign w:val="center"/>
          </w:tcPr>
          <w:p w14:paraId="7B4FBD28">
            <w:pPr>
              <w:pStyle w:val="228"/>
              <w:kinsoku w:val="0"/>
              <w:overflowPunct w:val="0"/>
              <w:ind w:firstLine="420"/>
              <w:rPr>
                <w:color w:val="000000"/>
                <w:szCs w:val="21"/>
              </w:rPr>
            </w:pPr>
            <w:r>
              <w:rPr>
                <w:color w:val="000000"/>
                <w:szCs w:val="21"/>
              </w:rPr>
              <w:t>二级</w:t>
            </w:r>
          </w:p>
        </w:tc>
        <w:tc>
          <w:tcPr>
            <w:tcW w:w="3023" w:type="pct"/>
            <w:tcBorders>
              <w:tl2br w:val="nil"/>
              <w:tr2bl w:val="nil"/>
            </w:tcBorders>
            <w:vAlign w:val="center"/>
          </w:tcPr>
          <w:p w14:paraId="3D189454">
            <w:pPr>
              <w:pStyle w:val="228"/>
              <w:kinsoku w:val="0"/>
              <w:overflowPunct w:val="0"/>
              <w:ind w:firstLine="416"/>
              <w:rPr>
                <w:color w:val="000000"/>
                <w:szCs w:val="21"/>
              </w:rPr>
            </w:pPr>
            <w:r>
              <w:rPr>
                <w:color w:val="000000"/>
                <w:spacing w:val="-1"/>
                <w:szCs w:val="21"/>
              </w:rPr>
              <w:t>1%≤P</w:t>
            </w:r>
            <w:r>
              <w:rPr>
                <w:color w:val="000000"/>
                <w:spacing w:val="-1"/>
                <w:position w:val="-3"/>
                <w:szCs w:val="21"/>
              </w:rPr>
              <w:t>max</w:t>
            </w:r>
            <w:r>
              <w:rPr>
                <w:color w:val="000000"/>
                <w:spacing w:val="-1"/>
                <w:szCs w:val="21"/>
              </w:rPr>
              <w:t>＜10%</w:t>
            </w:r>
          </w:p>
        </w:tc>
      </w:tr>
      <w:tr w14:paraId="2DBDBE5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exact"/>
          <w:jc w:val="center"/>
        </w:trPr>
        <w:tc>
          <w:tcPr>
            <w:tcW w:w="1976" w:type="pct"/>
            <w:tcBorders>
              <w:tl2br w:val="nil"/>
              <w:tr2bl w:val="nil"/>
            </w:tcBorders>
            <w:vAlign w:val="center"/>
          </w:tcPr>
          <w:p w14:paraId="420CE9CD">
            <w:pPr>
              <w:pStyle w:val="228"/>
              <w:kinsoku w:val="0"/>
              <w:overflowPunct w:val="0"/>
              <w:ind w:firstLine="420"/>
              <w:rPr>
                <w:color w:val="000000"/>
                <w:szCs w:val="21"/>
              </w:rPr>
            </w:pPr>
            <w:r>
              <w:rPr>
                <w:color w:val="000000"/>
                <w:szCs w:val="21"/>
              </w:rPr>
              <w:t>三级</w:t>
            </w:r>
          </w:p>
        </w:tc>
        <w:tc>
          <w:tcPr>
            <w:tcW w:w="3023" w:type="pct"/>
            <w:tcBorders>
              <w:tl2br w:val="nil"/>
              <w:tr2bl w:val="nil"/>
            </w:tcBorders>
            <w:vAlign w:val="center"/>
          </w:tcPr>
          <w:p w14:paraId="04723DE9">
            <w:pPr>
              <w:pStyle w:val="228"/>
              <w:kinsoku w:val="0"/>
              <w:overflowPunct w:val="0"/>
              <w:ind w:firstLine="416"/>
              <w:rPr>
                <w:color w:val="000000"/>
                <w:szCs w:val="21"/>
              </w:rPr>
            </w:pPr>
            <w:r>
              <w:rPr>
                <w:color w:val="000000"/>
                <w:spacing w:val="-1"/>
                <w:szCs w:val="21"/>
              </w:rPr>
              <w:t>P</w:t>
            </w:r>
            <w:r>
              <w:rPr>
                <w:color w:val="000000"/>
                <w:spacing w:val="-1"/>
                <w:position w:val="-3"/>
                <w:szCs w:val="21"/>
              </w:rPr>
              <w:t>max</w:t>
            </w:r>
            <w:r>
              <w:rPr>
                <w:color w:val="000000"/>
                <w:spacing w:val="-1"/>
                <w:szCs w:val="21"/>
              </w:rPr>
              <w:t>＜1%</w:t>
            </w:r>
          </w:p>
        </w:tc>
      </w:tr>
    </w:tbl>
    <w:p w14:paraId="633C7110">
      <w:pPr>
        <w:pStyle w:val="229"/>
        <w:spacing w:line="360" w:lineRule="auto"/>
        <w:ind w:firstLine="480"/>
        <w:rPr>
          <w:rFonts w:hint="eastAsia" w:ascii="宋体" w:hAnsi="宋体" w:eastAsia="宋体" w:cs="宋体"/>
          <w:sz w:val="24"/>
          <w:szCs w:val="24"/>
          <w:lang w:val="zh-CN"/>
        </w:rPr>
      </w:pPr>
      <w:r>
        <w:rPr>
          <w:rFonts w:hint="eastAsia" w:ascii="宋体" w:hAnsi="宋体" w:eastAsia="宋体" w:cs="宋体"/>
          <w:sz w:val="24"/>
          <w:szCs w:val="24"/>
          <w:lang w:val="zh-CN"/>
        </w:rPr>
        <w:t>评价等级的确定还应符合以下规定：</w:t>
      </w:r>
    </w:p>
    <w:p w14:paraId="20CA6202">
      <w:pPr>
        <w:pStyle w:val="16"/>
        <w:wordWrap w:val="0"/>
        <w:spacing w:after="0" w:line="360" w:lineRule="auto"/>
        <w:ind w:firstLine="480"/>
        <w:rPr>
          <w:rFonts w:hint="eastAsia" w:ascii="宋体" w:hAnsi="宋体" w:cs="宋体"/>
          <w:sz w:val="24"/>
          <w:szCs w:val="24"/>
        </w:rPr>
      </w:pPr>
      <w:r>
        <w:rPr>
          <w:rFonts w:hint="eastAsia" w:ascii="宋体" w:hAnsi="宋体" w:cs="宋体"/>
          <w:sz w:val="24"/>
          <w:szCs w:val="24"/>
        </w:rPr>
        <w:t>同一评价项目有多个（两个以上，含两个）污染源排放同一种污染物时，则按各污染源分别确定其评价等级，并取评价级别最高者作为项目的评价等级。</w:t>
      </w:r>
    </w:p>
    <w:p w14:paraId="0F1EAF7C">
      <w:pPr>
        <w:pStyle w:val="16"/>
        <w:wordWrap w:val="0"/>
        <w:spacing w:after="0" w:line="360" w:lineRule="auto"/>
        <w:ind w:firstLine="480"/>
        <w:rPr>
          <w:rFonts w:hint="eastAsia" w:ascii="宋体" w:hAnsi="宋体" w:cs="宋体"/>
          <w:sz w:val="24"/>
          <w:szCs w:val="24"/>
          <w:lang w:val="en-US"/>
        </w:rPr>
      </w:pPr>
      <w:r>
        <w:rPr>
          <w:rFonts w:hint="eastAsia" w:ascii="宋体" w:hAnsi="宋体" w:cs="宋体"/>
          <w:sz w:val="24"/>
          <w:szCs w:val="24"/>
        </w:rPr>
        <w:t>②判别估算过程</w:t>
      </w:r>
      <w:r>
        <w:rPr>
          <w:rFonts w:hint="eastAsia" w:ascii="宋体" w:hAnsi="宋体" w:cs="宋体"/>
          <w:sz w:val="24"/>
          <w:szCs w:val="24"/>
          <w:lang w:val="en-US"/>
        </w:rPr>
        <w:t xml:space="preserve">   </w:t>
      </w:r>
    </w:p>
    <w:p w14:paraId="273EE9D6">
      <w:pPr>
        <w:pStyle w:val="16"/>
        <w:wordWrap w:val="0"/>
        <w:spacing w:after="0" w:line="360" w:lineRule="auto"/>
        <w:ind w:firstLine="480"/>
        <w:rPr>
          <w:rFonts w:hint="eastAsia" w:ascii="宋体" w:hAnsi="宋体" w:cs="宋体"/>
          <w:sz w:val="24"/>
          <w:szCs w:val="24"/>
        </w:rPr>
      </w:pPr>
      <w:r>
        <w:rPr>
          <w:rFonts w:hint="eastAsia" w:ascii="宋体" w:hAnsi="宋体" w:cs="宋体"/>
          <w:sz w:val="24"/>
          <w:szCs w:val="24"/>
        </w:rPr>
        <w:t>本项目估算模型计算参数见表2.</w:t>
      </w:r>
      <w:r>
        <w:rPr>
          <w:rFonts w:hint="eastAsia" w:ascii="宋体" w:hAnsi="宋体" w:cs="宋体"/>
          <w:sz w:val="24"/>
          <w:szCs w:val="24"/>
          <w:lang w:val="en-US"/>
        </w:rPr>
        <w:t>5</w:t>
      </w:r>
      <w:r>
        <w:rPr>
          <w:rFonts w:hint="eastAsia" w:ascii="宋体" w:hAnsi="宋体" w:cs="宋体"/>
          <w:sz w:val="24"/>
          <w:szCs w:val="24"/>
        </w:rPr>
        <w:t>-2，废气污染物最大落地浓度及占标率估算结果见表2.</w:t>
      </w:r>
      <w:r>
        <w:rPr>
          <w:rFonts w:hint="eastAsia" w:ascii="宋体" w:hAnsi="宋体" w:cs="宋体"/>
          <w:sz w:val="24"/>
          <w:szCs w:val="24"/>
          <w:lang w:val="en-US"/>
        </w:rPr>
        <w:t>5</w:t>
      </w:r>
      <w:r>
        <w:rPr>
          <w:rFonts w:hint="eastAsia" w:ascii="宋体" w:hAnsi="宋体" w:cs="宋体"/>
          <w:sz w:val="24"/>
          <w:szCs w:val="24"/>
        </w:rPr>
        <w:t>-3和表</w:t>
      </w:r>
      <w:r>
        <w:rPr>
          <w:rFonts w:hint="eastAsia" w:ascii="宋体" w:hAnsi="宋体" w:cs="宋体"/>
          <w:sz w:val="24"/>
          <w:szCs w:val="24"/>
          <w:lang w:val="en-US"/>
        </w:rPr>
        <w:t>2.5-4</w:t>
      </w:r>
      <w:r>
        <w:rPr>
          <w:rFonts w:hint="eastAsia" w:ascii="宋体" w:hAnsi="宋体" w:cs="宋体"/>
          <w:sz w:val="24"/>
          <w:szCs w:val="24"/>
        </w:rPr>
        <w:t>。</w:t>
      </w:r>
    </w:p>
    <w:p w14:paraId="339D7CA7">
      <w:pPr>
        <w:pStyle w:val="16"/>
        <w:tabs>
          <w:tab w:val="left" w:pos="779"/>
        </w:tabs>
        <w:spacing w:after="0"/>
        <w:jc w:val="center"/>
        <w:rPr>
          <w:b/>
          <w:szCs w:val="21"/>
        </w:rPr>
      </w:pPr>
      <w:r>
        <w:rPr>
          <w:rFonts w:hint="eastAsia"/>
          <w:b/>
          <w:szCs w:val="21"/>
        </w:rPr>
        <w:t>表2.</w:t>
      </w:r>
      <w:r>
        <w:rPr>
          <w:rFonts w:hint="eastAsia"/>
          <w:b/>
          <w:szCs w:val="21"/>
          <w:lang w:val="en-US"/>
        </w:rPr>
        <w:t>5</w:t>
      </w:r>
      <w:r>
        <w:rPr>
          <w:rFonts w:hint="eastAsia"/>
          <w:b/>
          <w:szCs w:val="21"/>
        </w:rPr>
        <w:t>-2</w:t>
      </w:r>
      <w:r>
        <w:rPr>
          <w:rFonts w:hint="eastAsia"/>
          <w:b/>
          <w:szCs w:val="21"/>
          <w:lang w:val="en-US"/>
        </w:rPr>
        <w:t xml:space="preserve">     </w:t>
      </w:r>
      <w:r>
        <w:rPr>
          <w:rFonts w:hint="eastAsia"/>
          <w:b/>
          <w:szCs w:val="21"/>
        </w:rPr>
        <w:t>估算模型参数表</w:t>
      </w:r>
    </w:p>
    <w:tbl>
      <w:tblPr>
        <w:tblStyle w:val="49"/>
        <w:tblW w:w="9059" w:type="dxa"/>
        <w:tblInd w:w="0" w:type="dxa"/>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autofit"/>
        <w:tblCellMar>
          <w:top w:w="0" w:type="dxa"/>
          <w:left w:w="108" w:type="dxa"/>
          <w:bottom w:w="0" w:type="dxa"/>
          <w:right w:w="108" w:type="dxa"/>
        </w:tblCellMar>
      </w:tblPr>
      <w:tblGrid>
        <w:gridCol w:w="2247"/>
        <w:gridCol w:w="2828"/>
        <w:gridCol w:w="3984"/>
      </w:tblGrid>
      <w:tr w14:paraId="2AB92093">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03" w:hRule="atLeast"/>
        </w:trPr>
        <w:tc>
          <w:tcPr>
            <w:tcW w:w="5075" w:type="dxa"/>
            <w:gridSpan w:val="2"/>
            <w:tcBorders>
              <w:tl2br w:val="nil"/>
              <w:tr2bl w:val="nil"/>
            </w:tcBorders>
            <w:vAlign w:val="center"/>
          </w:tcPr>
          <w:p w14:paraId="3BC3D834">
            <w:pPr>
              <w:autoSpaceDE w:val="0"/>
              <w:autoSpaceDN w:val="0"/>
              <w:jc w:val="center"/>
              <w:rPr>
                <w:szCs w:val="21"/>
              </w:rPr>
            </w:pPr>
            <w:r>
              <w:rPr>
                <w:rFonts w:ascii="宋体" w:hAnsi="宋体"/>
                <w:szCs w:val="21"/>
              </w:rPr>
              <w:t>参数</w:t>
            </w:r>
          </w:p>
        </w:tc>
        <w:tc>
          <w:tcPr>
            <w:tcW w:w="3984" w:type="dxa"/>
            <w:tcBorders>
              <w:tl2br w:val="nil"/>
              <w:tr2bl w:val="nil"/>
            </w:tcBorders>
            <w:vAlign w:val="center"/>
          </w:tcPr>
          <w:p w14:paraId="634A0BF2">
            <w:pPr>
              <w:autoSpaceDE w:val="0"/>
              <w:autoSpaceDN w:val="0"/>
              <w:jc w:val="center"/>
              <w:rPr>
                <w:szCs w:val="21"/>
              </w:rPr>
            </w:pPr>
            <w:r>
              <w:rPr>
                <w:rFonts w:ascii="宋体" w:hAnsi="宋体"/>
                <w:szCs w:val="21"/>
              </w:rPr>
              <w:t>取值</w:t>
            </w:r>
          </w:p>
        </w:tc>
      </w:tr>
      <w:tr w14:paraId="5EB15715">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68" w:hRule="atLeast"/>
        </w:trPr>
        <w:tc>
          <w:tcPr>
            <w:tcW w:w="2247" w:type="dxa"/>
            <w:vMerge w:val="restart"/>
            <w:tcBorders>
              <w:tl2br w:val="nil"/>
              <w:tr2bl w:val="nil"/>
            </w:tcBorders>
            <w:vAlign w:val="center"/>
          </w:tcPr>
          <w:p w14:paraId="1B238331">
            <w:pPr>
              <w:autoSpaceDE w:val="0"/>
              <w:autoSpaceDN w:val="0"/>
              <w:jc w:val="center"/>
              <w:rPr>
                <w:szCs w:val="21"/>
              </w:rPr>
            </w:pPr>
            <w:r>
              <w:rPr>
                <w:rFonts w:ascii="宋体" w:hAnsi="宋体"/>
                <w:szCs w:val="21"/>
              </w:rPr>
              <w:t>城市/农村选项</w:t>
            </w:r>
          </w:p>
        </w:tc>
        <w:tc>
          <w:tcPr>
            <w:tcW w:w="2828" w:type="dxa"/>
            <w:tcBorders>
              <w:tl2br w:val="nil"/>
              <w:tr2bl w:val="nil"/>
            </w:tcBorders>
            <w:vAlign w:val="center"/>
          </w:tcPr>
          <w:p w14:paraId="3C6CB5D5">
            <w:pPr>
              <w:autoSpaceDE w:val="0"/>
              <w:autoSpaceDN w:val="0"/>
              <w:jc w:val="center"/>
              <w:rPr>
                <w:szCs w:val="21"/>
              </w:rPr>
            </w:pPr>
            <w:r>
              <w:rPr>
                <w:rFonts w:ascii="宋体" w:hAnsi="宋体"/>
                <w:szCs w:val="21"/>
              </w:rPr>
              <w:t>城市/农村</w:t>
            </w:r>
          </w:p>
        </w:tc>
        <w:tc>
          <w:tcPr>
            <w:tcW w:w="3984" w:type="dxa"/>
            <w:tcBorders>
              <w:tl2br w:val="nil"/>
              <w:tr2bl w:val="nil"/>
            </w:tcBorders>
            <w:vAlign w:val="center"/>
          </w:tcPr>
          <w:p w14:paraId="31888DB6">
            <w:pPr>
              <w:autoSpaceDE w:val="0"/>
              <w:autoSpaceDN w:val="0"/>
              <w:jc w:val="center"/>
              <w:rPr>
                <w:szCs w:val="21"/>
              </w:rPr>
            </w:pPr>
            <w:r>
              <w:rPr>
                <w:rFonts w:ascii="宋体" w:hAnsi="宋体"/>
                <w:szCs w:val="21"/>
              </w:rPr>
              <w:t>农村</w:t>
            </w:r>
          </w:p>
        </w:tc>
      </w:tr>
      <w:tr w14:paraId="3553797F">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68" w:hRule="atLeast"/>
        </w:trPr>
        <w:tc>
          <w:tcPr>
            <w:tcW w:w="2247" w:type="dxa"/>
            <w:vMerge w:val="continue"/>
            <w:tcBorders>
              <w:tl2br w:val="nil"/>
              <w:tr2bl w:val="nil"/>
            </w:tcBorders>
            <w:vAlign w:val="center"/>
          </w:tcPr>
          <w:p w14:paraId="5466A3E8">
            <w:pPr>
              <w:autoSpaceDE w:val="0"/>
              <w:autoSpaceDN w:val="0"/>
              <w:jc w:val="center"/>
              <w:rPr>
                <w:szCs w:val="21"/>
              </w:rPr>
            </w:pPr>
          </w:p>
        </w:tc>
        <w:tc>
          <w:tcPr>
            <w:tcW w:w="2828" w:type="dxa"/>
            <w:tcBorders>
              <w:tl2br w:val="nil"/>
              <w:tr2bl w:val="nil"/>
            </w:tcBorders>
            <w:vAlign w:val="center"/>
          </w:tcPr>
          <w:p w14:paraId="00AAEEFA">
            <w:pPr>
              <w:autoSpaceDE w:val="0"/>
              <w:autoSpaceDN w:val="0"/>
              <w:jc w:val="center"/>
              <w:rPr>
                <w:szCs w:val="21"/>
              </w:rPr>
            </w:pPr>
            <w:r>
              <w:rPr>
                <w:rFonts w:ascii="宋体" w:hAnsi="宋体"/>
                <w:szCs w:val="21"/>
              </w:rPr>
              <w:t>人口数(城市人口数)</w:t>
            </w:r>
          </w:p>
        </w:tc>
        <w:tc>
          <w:tcPr>
            <w:tcW w:w="3984" w:type="dxa"/>
            <w:tcBorders>
              <w:tl2br w:val="nil"/>
              <w:tr2bl w:val="nil"/>
            </w:tcBorders>
            <w:vAlign w:val="center"/>
          </w:tcPr>
          <w:p w14:paraId="389E8B51">
            <w:pPr>
              <w:autoSpaceDE w:val="0"/>
              <w:autoSpaceDN w:val="0"/>
              <w:jc w:val="center"/>
              <w:rPr>
                <w:szCs w:val="21"/>
              </w:rPr>
            </w:pPr>
            <w:r>
              <w:rPr>
                <w:rFonts w:ascii="宋体" w:hAnsi="宋体"/>
                <w:szCs w:val="21"/>
              </w:rPr>
              <w:t>/</w:t>
            </w:r>
          </w:p>
        </w:tc>
      </w:tr>
      <w:tr w14:paraId="23FD7AB3">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68" w:hRule="atLeast"/>
        </w:trPr>
        <w:tc>
          <w:tcPr>
            <w:tcW w:w="5075" w:type="dxa"/>
            <w:gridSpan w:val="2"/>
            <w:tcBorders>
              <w:tl2br w:val="nil"/>
              <w:tr2bl w:val="nil"/>
            </w:tcBorders>
            <w:vAlign w:val="center"/>
          </w:tcPr>
          <w:p w14:paraId="5E68BE9F">
            <w:pPr>
              <w:autoSpaceDE w:val="0"/>
              <w:autoSpaceDN w:val="0"/>
              <w:jc w:val="center"/>
              <w:rPr>
                <w:szCs w:val="21"/>
              </w:rPr>
            </w:pPr>
            <w:r>
              <w:rPr>
                <w:rFonts w:ascii="宋体" w:hAnsi="宋体"/>
                <w:szCs w:val="21"/>
              </w:rPr>
              <w:t>最高环境温度</w:t>
            </w:r>
          </w:p>
        </w:tc>
        <w:tc>
          <w:tcPr>
            <w:tcW w:w="3984" w:type="dxa"/>
            <w:tcBorders>
              <w:tl2br w:val="nil"/>
              <w:tr2bl w:val="nil"/>
            </w:tcBorders>
            <w:vAlign w:val="center"/>
          </w:tcPr>
          <w:p w14:paraId="7365D085">
            <w:pPr>
              <w:autoSpaceDE w:val="0"/>
              <w:autoSpaceDN w:val="0"/>
              <w:jc w:val="center"/>
              <w:rPr>
                <w:rFonts w:hint="default" w:eastAsia="宋体"/>
                <w:szCs w:val="21"/>
                <w:lang w:val="en-US" w:eastAsia="zh-CN"/>
              </w:rPr>
            </w:pPr>
            <w:r>
              <w:rPr>
                <w:rFonts w:hint="eastAsia" w:ascii="宋体" w:hAnsi="宋体"/>
                <w:szCs w:val="21"/>
                <w:lang w:val="en-US" w:eastAsia="zh-CN"/>
              </w:rPr>
              <w:t>38.5</w:t>
            </w:r>
          </w:p>
        </w:tc>
      </w:tr>
      <w:tr w14:paraId="7063A1DB">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68" w:hRule="atLeast"/>
        </w:trPr>
        <w:tc>
          <w:tcPr>
            <w:tcW w:w="5075" w:type="dxa"/>
            <w:gridSpan w:val="2"/>
            <w:tcBorders>
              <w:tl2br w:val="nil"/>
              <w:tr2bl w:val="nil"/>
            </w:tcBorders>
            <w:vAlign w:val="center"/>
          </w:tcPr>
          <w:p w14:paraId="4E58EC95">
            <w:pPr>
              <w:autoSpaceDE w:val="0"/>
              <w:autoSpaceDN w:val="0"/>
              <w:jc w:val="center"/>
              <w:rPr>
                <w:szCs w:val="21"/>
              </w:rPr>
            </w:pPr>
            <w:r>
              <w:rPr>
                <w:rFonts w:ascii="宋体" w:hAnsi="宋体"/>
                <w:szCs w:val="21"/>
              </w:rPr>
              <w:t>最低环境温度</w:t>
            </w:r>
          </w:p>
        </w:tc>
        <w:tc>
          <w:tcPr>
            <w:tcW w:w="3984" w:type="dxa"/>
            <w:tcBorders>
              <w:tl2br w:val="nil"/>
              <w:tr2bl w:val="nil"/>
            </w:tcBorders>
            <w:vAlign w:val="center"/>
          </w:tcPr>
          <w:p w14:paraId="4478FBE0">
            <w:pPr>
              <w:autoSpaceDE w:val="0"/>
              <w:autoSpaceDN w:val="0"/>
              <w:jc w:val="center"/>
              <w:rPr>
                <w:rFonts w:hint="default" w:eastAsia="宋体"/>
                <w:szCs w:val="21"/>
                <w:lang w:val="en-US" w:eastAsia="zh-CN"/>
              </w:rPr>
            </w:pPr>
            <w:r>
              <w:rPr>
                <w:rFonts w:ascii="宋体" w:hAnsi="宋体"/>
                <w:szCs w:val="21"/>
              </w:rPr>
              <w:t>-</w:t>
            </w:r>
            <w:r>
              <w:rPr>
                <w:rFonts w:hint="eastAsia" w:ascii="宋体" w:hAnsi="宋体"/>
                <w:szCs w:val="21"/>
                <w:lang w:val="en-US" w:eastAsia="zh-CN"/>
              </w:rPr>
              <w:t>17.5</w:t>
            </w:r>
          </w:p>
        </w:tc>
      </w:tr>
      <w:tr w14:paraId="58572B5B">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68" w:hRule="atLeast"/>
        </w:trPr>
        <w:tc>
          <w:tcPr>
            <w:tcW w:w="5075" w:type="dxa"/>
            <w:gridSpan w:val="2"/>
            <w:tcBorders>
              <w:tl2br w:val="nil"/>
              <w:tr2bl w:val="nil"/>
            </w:tcBorders>
            <w:vAlign w:val="center"/>
          </w:tcPr>
          <w:p w14:paraId="39453476">
            <w:pPr>
              <w:autoSpaceDE w:val="0"/>
              <w:autoSpaceDN w:val="0"/>
              <w:jc w:val="center"/>
              <w:rPr>
                <w:szCs w:val="21"/>
              </w:rPr>
            </w:pPr>
            <w:r>
              <w:rPr>
                <w:rFonts w:ascii="宋体" w:hAnsi="宋体"/>
                <w:szCs w:val="21"/>
              </w:rPr>
              <w:t>土地利用类型</w:t>
            </w:r>
          </w:p>
        </w:tc>
        <w:tc>
          <w:tcPr>
            <w:tcW w:w="3984" w:type="dxa"/>
            <w:tcBorders>
              <w:tl2br w:val="nil"/>
              <w:tr2bl w:val="nil"/>
            </w:tcBorders>
            <w:vAlign w:val="center"/>
          </w:tcPr>
          <w:p w14:paraId="2EFA6DE8">
            <w:pPr>
              <w:autoSpaceDE w:val="0"/>
              <w:autoSpaceDN w:val="0"/>
              <w:jc w:val="center"/>
              <w:rPr>
                <w:szCs w:val="21"/>
              </w:rPr>
            </w:pPr>
            <w:r>
              <w:rPr>
                <w:rFonts w:ascii="宋体" w:hAnsi="宋体"/>
                <w:szCs w:val="21"/>
              </w:rPr>
              <w:t>荒漠</w:t>
            </w:r>
          </w:p>
        </w:tc>
      </w:tr>
      <w:tr w14:paraId="0FB15760">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68" w:hRule="atLeast"/>
        </w:trPr>
        <w:tc>
          <w:tcPr>
            <w:tcW w:w="5075" w:type="dxa"/>
            <w:gridSpan w:val="2"/>
            <w:tcBorders>
              <w:tl2br w:val="nil"/>
              <w:tr2bl w:val="nil"/>
            </w:tcBorders>
            <w:vAlign w:val="center"/>
          </w:tcPr>
          <w:p w14:paraId="2327263D">
            <w:pPr>
              <w:autoSpaceDE w:val="0"/>
              <w:autoSpaceDN w:val="0"/>
              <w:jc w:val="center"/>
              <w:rPr>
                <w:szCs w:val="21"/>
              </w:rPr>
            </w:pPr>
            <w:r>
              <w:rPr>
                <w:rFonts w:ascii="宋体" w:hAnsi="宋体"/>
                <w:szCs w:val="21"/>
              </w:rPr>
              <w:t>区域湿度条件</w:t>
            </w:r>
          </w:p>
        </w:tc>
        <w:tc>
          <w:tcPr>
            <w:tcW w:w="3984" w:type="dxa"/>
            <w:tcBorders>
              <w:tl2br w:val="nil"/>
              <w:tr2bl w:val="nil"/>
            </w:tcBorders>
            <w:vAlign w:val="center"/>
          </w:tcPr>
          <w:p w14:paraId="2FF2C662">
            <w:pPr>
              <w:autoSpaceDE w:val="0"/>
              <w:autoSpaceDN w:val="0"/>
              <w:jc w:val="center"/>
              <w:rPr>
                <w:szCs w:val="21"/>
              </w:rPr>
            </w:pPr>
            <w:r>
              <w:rPr>
                <w:rFonts w:ascii="宋体" w:hAnsi="宋体"/>
                <w:szCs w:val="21"/>
              </w:rPr>
              <w:t>干燥</w:t>
            </w:r>
          </w:p>
        </w:tc>
      </w:tr>
      <w:tr w14:paraId="00FD3707">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68" w:hRule="atLeast"/>
        </w:trPr>
        <w:tc>
          <w:tcPr>
            <w:tcW w:w="2247" w:type="dxa"/>
            <w:vMerge w:val="restart"/>
            <w:tcBorders>
              <w:tl2br w:val="nil"/>
              <w:tr2bl w:val="nil"/>
            </w:tcBorders>
            <w:vAlign w:val="center"/>
          </w:tcPr>
          <w:p w14:paraId="2171B314">
            <w:pPr>
              <w:autoSpaceDE w:val="0"/>
              <w:autoSpaceDN w:val="0"/>
              <w:jc w:val="center"/>
              <w:rPr>
                <w:szCs w:val="21"/>
              </w:rPr>
            </w:pPr>
            <w:r>
              <w:rPr>
                <w:rFonts w:ascii="宋体" w:hAnsi="宋体"/>
                <w:szCs w:val="21"/>
              </w:rPr>
              <w:t>是否考虑地形</w:t>
            </w:r>
          </w:p>
        </w:tc>
        <w:tc>
          <w:tcPr>
            <w:tcW w:w="2828" w:type="dxa"/>
            <w:tcBorders>
              <w:tl2br w:val="nil"/>
              <w:tr2bl w:val="nil"/>
            </w:tcBorders>
            <w:vAlign w:val="center"/>
          </w:tcPr>
          <w:p w14:paraId="21EFB865">
            <w:pPr>
              <w:autoSpaceDE w:val="0"/>
              <w:autoSpaceDN w:val="0"/>
              <w:jc w:val="center"/>
              <w:rPr>
                <w:szCs w:val="21"/>
              </w:rPr>
            </w:pPr>
            <w:r>
              <w:rPr>
                <w:rFonts w:ascii="宋体" w:hAnsi="宋体"/>
                <w:szCs w:val="21"/>
              </w:rPr>
              <w:t>考虑地形</w:t>
            </w:r>
          </w:p>
        </w:tc>
        <w:tc>
          <w:tcPr>
            <w:tcW w:w="3984" w:type="dxa"/>
            <w:tcBorders>
              <w:tl2br w:val="nil"/>
              <w:tr2bl w:val="nil"/>
            </w:tcBorders>
            <w:vAlign w:val="center"/>
          </w:tcPr>
          <w:p w14:paraId="0481C207">
            <w:pPr>
              <w:autoSpaceDE w:val="0"/>
              <w:autoSpaceDN w:val="0"/>
              <w:jc w:val="center"/>
              <w:rPr>
                <w:szCs w:val="21"/>
              </w:rPr>
            </w:pPr>
            <w:r>
              <w:rPr>
                <w:rFonts w:ascii="宋体" w:hAnsi="宋体"/>
                <w:szCs w:val="21"/>
              </w:rPr>
              <w:t>否</w:t>
            </w:r>
          </w:p>
        </w:tc>
      </w:tr>
      <w:tr w14:paraId="05204523">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68" w:hRule="atLeast"/>
        </w:trPr>
        <w:tc>
          <w:tcPr>
            <w:tcW w:w="2247" w:type="dxa"/>
            <w:vMerge w:val="continue"/>
            <w:tcBorders>
              <w:tl2br w:val="nil"/>
              <w:tr2bl w:val="nil"/>
            </w:tcBorders>
            <w:vAlign w:val="center"/>
          </w:tcPr>
          <w:p w14:paraId="0D34A8AA">
            <w:pPr>
              <w:autoSpaceDE w:val="0"/>
              <w:autoSpaceDN w:val="0"/>
              <w:jc w:val="center"/>
              <w:rPr>
                <w:szCs w:val="21"/>
              </w:rPr>
            </w:pPr>
          </w:p>
        </w:tc>
        <w:tc>
          <w:tcPr>
            <w:tcW w:w="2828" w:type="dxa"/>
            <w:tcBorders>
              <w:tl2br w:val="nil"/>
              <w:tr2bl w:val="nil"/>
            </w:tcBorders>
            <w:vAlign w:val="center"/>
          </w:tcPr>
          <w:p w14:paraId="3837402D">
            <w:pPr>
              <w:autoSpaceDE w:val="0"/>
              <w:autoSpaceDN w:val="0"/>
              <w:jc w:val="center"/>
              <w:rPr>
                <w:szCs w:val="21"/>
              </w:rPr>
            </w:pPr>
            <w:r>
              <w:rPr>
                <w:rFonts w:ascii="宋体" w:hAnsi="宋体"/>
                <w:szCs w:val="21"/>
              </w:rPr>
              <w:t>地形数据分辨率(m)</w:t>
            </w:r>
          </w:p>
        </w:tc>
        <w:tc>
          <w:tcPr>
            <w:tcW w:w="3984" w:type="dxa"/>
            <w:tcBorders>
              <w:tl2br w:val="nil"/>
              <w:tr2bl w:val="nil"/>
            </w:tcBorders>
            <w:vAlign w:val="center"/>
          </w:tcPr>
          <w:p w14:paraId="3AA5C917">
            <w:pPr>
              <w:autoSpaceDE w:val="0"/>
              <w:autoSpaceDN w:val="0"/>
              <w:jc w:val="center"/>
              <w:rPr>
                <w:szCs w:val="21"/>
              </w:rPr>
            </w:pPr>
            <w:r>
              <w:rPr>
                <w:rFonts w:ascii="宋体" w:hAnsi="宋体"/>
                <w:szCs w:val="21"/>
              </w:rPr>
              <w:t>/</w:t>
            </w:r>
          </w:p>
        </w:tc>
      </w:tr>
      <w:tr w14:paraId="147A4430">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68" w:hRule="atLeast"/>
        </w:trPr>
        <w:tc>
          <w:tcPr>
            <w:tcW w:w="2247" w:type="dxa"/>
            <w:vMerge w:val="restart"/>
            <w:tcBorders>
              <w:tl2br w:val="nil"/>
              <w:tr2bl w:val="nil"/>
            </w:tcBorders>
            <w:vAlign w:val="center"/>
          </w:tcPr>
          <w:p w14:paraId="4208F1A8">
            <w:pPr>
              <w:autoSpaceDE w:val="0"/>
              <w:autoSpaceDN w:val="0"/>
              <w:jc w:val="center"/>
              <w:rPr>
                <w:szCs w:val="21"/>
              </w:rPr>
            </w:pPr>
            <w:r>
              <w:rPr>
                <w:rFonts w:ascii="宋体" w:hAnsi="宋体"/>
                <w:szCs w:val="21"/>
              </w:rPr>
              <w:t>是否考虑岸线熏烟</w:t>
            </w:r>
          </w:p>
        </w:tc>
        <w:tc>
          <w:tcPr>
            <w:tcW w:w="2828" w:type="dxa"/>
            <w:tcBorders>
              <w:tl2br w:val="nil"/>
              <w:tr2bl w:val="nil"/>
            </w:tcBorders>
            <w:vAlign w:val="center"/>
          </w:tcPr>
          <w:p w14:paraId="6C2B9EBC">
            <w:pPr>
              <w:autoSpaceDE w:val="0"/>
              <w:autoSpaceDN w:val="0"/>
              <w:jc w:val="center"/>
              <w:rPr>
                <w:szCs w:val="21"/>
              </w:rPr>
            </w:pPr>
            <w:r>
              <w:rPr>
                <w:rFonts w:ascii="宋体" w:hAnsi="宋体"/>
                <w:szCs w:val="21"/>
              </w:rPr>
              <w:t>考虑岸线熏烟</w:t>
            </w:r>
          </w:p>
        </w:tc>
        <w:tc>
          <w:tcPr>
            <w:tcW w:w="3984" w:type="dxa"/>
            <w:tcBorders>
              <w:tl2br w:val="nil"/>
              <w:tr2bl w:val="nil"/>
            </w:tcBorders>
            <w:vAlign w:val="center"/>
          </w:tcPr>
          <w:p w14:paraId="607570EE">
            <w:pPr>
              <w:autoSpaceDE w:val="0"/>
              <w:autoSpaceDN w:val="0"/>
              <w:jc w:val="center"/>
              <w:rPr>
                <w:szCs w:val="21"/>
              </w:rPr>
            </w:pPr>
            <w:r>
              <w:rPr>
                <w:rFonts w:ascii="宋体" w:hAnsi="宋体"/>
                <w:szCs w:val="21"/>
              </w:rPr>
              <w:t>否</w:t>
            </w:r>
          </w:p>
        </w:tc>
      </w:tr>
      <w:tr w14:paraId="687656C9">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68" w:hRule="atLeast"/>
        </w:trPr>
        <w:tc>
          <w:tcPr>
            <w:tcW w:w="2247" w:type="dxa"/>
            <w:vMerge w:val="continue"/>
            <w:tcBorders>
              <w:tl2br w:val="nil"/>
              <w:tr2bl w:val="nil"/>
            </w:tcBorders>
            <w:vAlign w:val="center"/>
          </w:tcPr>
          <w:p w14:paraId="3196A43B">
            <w:pPr>
              <w:autoSpaceDE w:val="0"/>
              <w:autoSpaceDN w:val="0"/>
              <w:jc w:val="center"/>
              <w:rPr>
                <w:szCs w:val="21"/>
              </w:rPr>
            </w:pPr>
          </w:p>
        </w:tc>
        <w:tc>
          <w:tcPr>
            <w:tcW w:w="2828" w:type="dxa"/>
            <w:tcBorders>
              <w:tl2br w:val="nil"/>
              <w:tr2bl w:val="nil"/>
            </w:tcBorders>
            <w:vAlign w:val="center"/>
          </w:tcPr>
          <w:p w14:paraId="7B272726">
            <w:pPr>
              <w:autoSpaceDE w:val="0"/>
              <w:autoSpaceDN w:val="0"/>
              <w:jc w:val="center"/>
              <w:rPr>
                <w:szCs w:val="21"/>
              </w:rPr>
            </w:pPr>
            <w:r>
              <w:rPr>
                <w:rFonts w:ascii="宋体" w:hAnsi="宋体"/>
                <w:szCs w:val="21"/>
              </w:rPr>
              <w:t>岸线距离/m</w:t>
            </w:r>
          </w:p>
        </w:tc>
        <w:tc>
          <w:tcPr>
            <w:tcW w:w="3984" w:type="dxa"/>
            <w:tcBorders>
              <w:tl2br w:val="nil"/>
              <w:tr2bl w:val="nil"/>
            </w:tcBorders>
            <w:vAlign w:val="center"/>
          </w:tcPr>
          <w:p w14:paraId="2815D418">
            <w:pPr>
              <w:autoSpaceDE w:val="0"/>
              <w:autoSpaceDN w:val="0"/>
              <w:jc w:val="center"/>
              <w:rPr>
                <w:szCs w:val="21"/>
              </w:rPr>
            </w:pPr>
            <w:r>
              <w:rPr>
                <w:rFonts w:ascii="宋体" w:hAnsi="宋体"/>
                <w:szCs w:val="21"/>
              </w:rPr>
              <w:t>/</w:t>
            </w:r>
          </w:p>
        </w:tc>
      </w:tr>
      <w:tr w14:paraId="19B9EDFE">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21" w:hRule="atLeast"/>
        </w:trPr>
        <w:tc>
          <w:tcPr>
            <w:tcW w:w="2247" w:type="dxa"/>
            <w:vMerge w:val="continue"/>
            <w:tcBorders>
              <w:tl2br w:val="nil"/>
              <w:tr2bl w:val="nil"/>
            </w:tcBorders>
            <w:vAlign w:val="center"/>
          </w:tcPr>
          <w:p w14:paraId="1EEC5475">
            <w:pPr>
              <w:autoSpaceDE w:val="0"/>
              <w:autoSpaceDN w:val="0"/>
              <w:jc w:val="center"/>
              <w:rPr>
                <w:szCs w:val="21"/>
              </w:rPr>
            </w:pPr>
          </w:p>
        </w:tc>
        <w:tc>
          <w:tcPr>
            <w:tcW w:w="2828" w:type="dxa"/>
            <w:tcBorders>
              <w:tl2br w:val="nil"/>
              <w:tr2bl w:val="nil"/>
            </w:tcBorders>
            <w:vAlign w:val="center"/>
          </w:tcPr>
          <w:p w14:paraId="6B70D482">
            <w:pPr>
              <w:autoSpaceDE w:val="0"/>
              <w:autoSpaceDN w:val="0"/>
              <w:jc w:val="center"/>
              <w:rPr>
                <w:szCs w:val="21"/>
              </w:rPr>
            </w:pPr>
            <w:r>
              <w:rPr>
                <w:rFonts w:ascii="宋体" w:hAnsi="宋体"/>
                <w:szCs w:val="21"/>
              </w:rPr>
              <w:t>岸线方向/°</w:t>
            </w:r>
          </w:p>
        </w:tc>
        <w:tc>
          <w:tcPr>
            <w:tcW w:w="3984" w:type="dxa"/>
            <w:tcBorders>
              <w:tl2br w:val="nil"/>
              <w:tr2bl w:val="nil"/>
            </w:tcBorders>
            <w:vAlign w:val="center"/>
          </w:tcPr>
          <w:p w14:paraId="62956E6B">
            <w:pPr>
              <w:autoSpaceDE w:val="0"/>
              <w:autoSpaceDN w:val="0"/>
              <w:jc w:val="center"/>
              <w:rPr>
                <w:szCs w:val="21"/>
              </w:rPr>
            </w:pPr>
            <w:r>
              <w:rPr>
                <w:rFonts w:ascii="宋体" w:hAnsi="宋体"/>
                <w:szCs w:val="21"/>
              </w:rPr>
              <w:t>/</w:t>
            </w:r>
          </w:p>
        </w:tc>
      </w:tr>
    </w:tbl>
    <w:p w14:paraId="0CEBEB10">
      <w:pPr>
        <w:ind w:firstLine="422"/>
        <w:jc w:val="center"/>
        <w:rPr>
          <w:b/>
          <w:color w:val="000000"/>
          <w:szCs w:val="21"/>
        </w:rPr>
      </w:pPr>
    </w:p>
    <w:p w14:paraId="51A58AB8">
      <w:pPr>
        <w:pStyle w:val="16"/>
        <w:tabs>
          <w:tab w:val="left" w:pos="779"/>
        </w:tabs>
        <w:spacing w:after="0"/>
        <w:jc w:val="center"/>
        <w:rPr>
          <w:b/>
          <w:szCs w:val="21"/>
        </w:rPr>
      </w:pPr>
      <w:r>
        <w:rPr>
          <w:rFonts w:hint="eastAsia"/>
          <w:b/>
          <w:szCs w:val="21"/>
          <w:lang w:val="en-US"/>
        </w:rPr>
        <w:t>表2.5-3      点源污染物排放参数</w:t>
      </w:r>
    </w:p>
    <w:tbl>
      <w:tblPr>
        <w:tblStyle w:val="49"/>
        <w:tblW w:w="9096" w:type="dxa"/>
        <w:tblInd w:w="0" w:type="dxa"/>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
      <w:tblGrid>
        <w:gridCol w:w="1934"/>
        <w:gridCol w:w="1617"/>
        <w:gridCol w:w="1833"/>
        <w:gridCol w:w="1505"/>
        <w:gridCol w:w="1147"/>
        <w:gridCol w:w="1060"/>
      </w:tblGrid>
      <w:tr w14:paraId="2AF87674">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35" w:hRule="atLeast"/>
        </w:trPr>
        <w:tc>
          <w:tcPr>
            <w:tcW w:w="1934" w:type="dxa"/>
            <w:tcBorders>
              <w:tl2br w:val="nil"/>
              <w:tr2bl w:val="nil"/>
            </w:tcBorders>
            <w:vAlign w:val="center"/>
          </w:tcPr>
          <w:p w14:paraId="56C7A0BD">
            <w:pPr>
              <w:autoSpaceDE w:val="0"/>
              <w:autoSpaceDN w:val="0"/>
              <w:jc w:val="center"/>
              <w:rPr>
                <w:szCs w:val="21"/>
              </w:rPr>
            </w:pPr>
            <w:r>
              <w:rPr>
                <w:szCs w:val="21"/>
              </w:rPr>
              <w:t>污染源名称</w:t>
            </w:r>
          </w:p>
        </w:tc>
        <w:tc>
          <w:tcPr>
            <w:tcW w:w="1617" w:type="dxa"/>
            <w:tcBorders>
              <w:tl2br w:val="nil"/>
              <w:tr2bl w:val="nil"/>
            </w:tcBorders>
            <w:vAlign w:val="center"/>
          </w:tcPr>
          <w:p w14:paraId="436E6214">
            <w:pPr>
              <w:autoSpaceDE w:val="0"/>
              <w:autoSpaceDN w:val="0"/>
              <w:jc w:val="center"/>
              <w:rPr>
                <w:szCs w:val="21"/>
              </w:rPr>
            </w:pPr>
            <w:r>
              <w:rPr>
                <w:szCs w:val="21"/>
              </w:rPr>
              <w:t>评价因子</w:t>
            </w:r>
          </w:p>
        </w:tc>
        <w:tc>
          <w:tcPr>
            <w:tcW w:w="1833" w:type="dxa"/>
            <w:tcBorders>
              <w:tl2br w:val="nil"/>
              <w:tr2bl w:val="nil"/>
            </w:tcBorders>
            <w:vAlign w:val="center"/>
          </w:tcPr>
          <w:p w14:paraId="7CB576EC">
            <w:pPr>
              <w:autoSpaceDE w:val="0"/>
              <w:autoSpaceDN w:val="0"/>
              <w:jc w:val="center"/>
              <w:rPr>
                <w:szCs w:val="21"/>
              </w:rPr>
            </w:pPr>
            <w:r>
              <w:rPr>
                <w:szCs w:val="21"/>
              </w:rPr>
              <w:t>评价标准(μg/m³)</w:t>
            </w:r>
          </w:p>
        </w:tc>
        <w:tc>
          <w:tcPr>
            <w:tcW w:w="1505" w:type="dxa"/>
            <w:tcBorders>
              <w:tl2br w:val="nil"/>
              <w:tr2bl w:val="nil"/>
            </w:tcBorders>
            <w:vAlign w:val="center"/>
          </w:tcPr>
          <w:p w14:paraId="58A03DE2">
            <w:pPr>
              <w:autoSpaceDE w:val="0"/>
              <w:autoSpaceDN w:val="0"/>
              <w:jc w:val="center"/>
              <w:rPr>
                <w:szCs w:val="21"/>
              </w:rPr>
            </w:pPr>
            <w:r>
              <w:rPr>
                <w:szCs w:val="21"/>
              </w:rPr>
              <w:t>Cmax(μg/m³)</w:t>
            </w:r>
          </w:p>
        </w:tc>
        <w:tc>
          <w:tcPr>
            <w:tcW w:w="1147" w:type="dxa"/>
            <w:tcBorders>
              <w:tl2br w:val="nil"/>
              <w:tr2bl w:val="nil"/>
            </w:tcBorders>
            <w:vAlign w:val="center"/>
          </w:tcPr>
          <w:p w14:paraId="1672F493">
            <w:pPr>
              <w:autoSpaceDE w:val="0"/>
              <w:autoSpaceDN w:val="0"/>
              <w:jc w:val="center"/>
              <w:rPr>
                <w:szCs w:val="21"/>
              </w:rPr>
            </w:pPr>
            <w:r>
              <w:rPr>
                <w:szCs w:val="21"/>
              </w:rPr>
              <w:t>Pmax(%)</w:t>
            </w:r>
          </w:p>
        </w:tc>
        <w:tc>
          <w:tcPr>
            <w:tcW w:w="1060" w:type="dxa"/>
            <w:tcBorders>
              <w:tl2br w:val="nil"/>
              <w:tr2bl w:val="nil"/>
            </w:tcBorders>
            <w:vAlign w:val="center"/>
          </w:tcPr>
          <w:p w14:paraId="531D6D57">
            <w:pPr>
              <w:autoSpaceDE w:val="0"/>
              <w:autoSpaceDN w:val="0"/>
              <w:jc w:val="center"/>
              <w:rPr>
                <w:szCs w:val="21"/>
              </w:rPr>
            </w:pPr>
            <w:r>
              <w:rPr>
                <w:szCs w:val="21"/>
              </w:rPr>
              <w:t>D10%(m)</w:t>
            </w:r>
          </w:p>
        </w:tc>
      </w:tr>
      <w:tr w14:paraId="14D386E9">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57" w:hRule="atLeast"/>
        </w:trPr>
        <w:tc>
          <w:tcPr>
            <w:tcW w:w="1934" w:type="dxa"/>
            <w:tcBorders>
              <w:tl2br w:val="nil"/>
              <w:tr2bl w:val="nil"/>
            </w:tcBorders>
            <w:vAlign w:val="center"/>
          </w:tcPr>
          <w:p w14:paraId="18E4FD6F">
            <w:pPr>
              <w:autoSpaceDE w:val="0"/>
              <w:autoSpaceDN w:val="0"/>
              <w:jc w:val="center"/>
              <w:rPr>
                <w:szCs w:val="21"/>
              </w:rPr>
            </w:pPr>
            <w:r>
              <w:rPr>
                <w:rFonts w:hint="eastAsia"/>
                <w:szCs w:val="21"/>
              </w:rPr>
              <w:t>生产车间排气筒DA001</w:t>
            </w:r>
          </w:p>
        </w:tc>
        <w:tc>
          <w:tcPr>
            <w:tcW w:w="1617" w:type="dxa"/>
            <w:tcBorders>
              <w:tl2br w:val="nil"/>
              <w:tr2bl w:val="nil"/>
            </w:tcBorders>
            <w:vAlign w:val="center"/>
          </w:tcPr>
          <w:p w14:paraId="23DB5521">
            <w:pPr>
              <w:autoSpaceDE w:val="0"/>
              <w:autoSpaceDN w:val="0"/>
              <w:jc w:val="center"/>
              <w:rPr>
                <w:szCs w:val="21"/>
              </w:rPr>
            </w:pPr>
            <w:r>
              <w:rPr>
                <w:bCs/>
                <w:szCs w:val="21"/>
              </w:rPr>
              <w:t>非甲烷总烃</w:t>
            </w:r>
          </w:p>
        </w:tc>
        <w:tc>
          <w:tcPr>
            <w:tcW w:w="1833" w:type="dxa"/>
            <w:tcBorders>
              <w:tl2br w:val="nil"/>
              <w:tr2bl w:val="nil"/>
            </w:tcBorders>
            <w:vAlign w:val="center"/>
          </w:tcPr>
          <w:p w14:paraId="305DA99B">
            <w:pPr>
              <w:autoSpaceDE w:val="0"/>
              <w:autoSpaceDN w:val="0"/>
              <w:jc w:val="center"/>
              <w:rPr>
                <w:szCs w:val="21"/>
              </w:rPr>
            </w:pPr>
            <w:r>
              <w:rPr>
                <w:szCs w:val="21"/>
              </w:rPr>
              <w:t>2000.0</w:t>
            </w:r>
          </w:p>
        </w:tc>
        <w:tc>
          <w:tcPr>
            <w:tcW w:w="1505" w:type="dxa"/>
            <w:tcBorders>
              <w:tl2br w:val="nil"/>
              <w:tr2bl w:val="nil"/>
            </w:tcBorders>
            <w:vAlign w:val="center"/>
          </w:tcPr>
          <w:p w14:paraId="14407840">
            <w:pPr>
              <w:autoSpaceDE w:val="0"/>
              <w:autoSpaceDN w:val="0"/>
              <w:jc w:val="center"/>
              <w:rPr>
                <w:rFonts w:ascii="Times New Roman" w:hAnsi="Times New Roman" w:eastAsia="宋体" w:cs="Times New Roman"/>
                <w:szCs w:val="21"/>
              </w:rPr>
            </w:pPr>
            <w:r>
              <w:rPr>
                <w:rFonts w:hint="eastAsia" w:ascii="Times New Roman" w:hAnsi="Times New Roman" w:eastAsia="宋体" w:cs="Times New Roman"/>
                <w:szCs w:val="21"/>
              </w:rPr>
              <w:t>43.8230</w:t>
            </w:r>
          </w:p>
        </w:tc>
        <w:tc>
          <w:tcPr>
            <w:tcW w:w="1147" w:type="dxa"/>
            <w:tcBorders>
              <w:tl2br w:val="nil"/>
              <w:tr2bl w:val="nil"/>
            </w:tcBorders>
            <w:vAlign w:val="center"/>
          </w:tcPr>
          <w:p w14:paraId="0851FA08">
            <w:pPr>
              <w:autoSpaceDE w:val="0"/>
              <w:autoSpaceDN w:val="0"/>
              <w:jc w:val="center"/>
              <w:rPr>
                <w:rFonts w:hint="default" w:ascii="Times New Roman" w:hAnsi="Times New Roman" w:eastAsia="宋体" w:cs="Times New Roman"/>
                <w:szCs w:val="21"/>
                <w:lang w:val="en-US" w:eastAsia="zh-CN"/>
              </w:rPr>
            </w:pPr>
            <w:r>
              <w:rPr>
                <w:rFonts w:hint="eastAsia" w:cs="Times New Roman"/>
                <w:szCs w:val="21"/>
                <w:lang w:val="en-US" w:eastAsia="zh-CN"/>
              </w:rPr>
              <w:t>2.1911</w:t>
            </w:r>
          </w:p>
        </w:tc>
        <w:tc>
          <w:tcPr>
            <w:tcW w:w="1060" w:type="dxa"/>
            <w:tcBorders>
              <w:tl2br w:val="nil"/>
              <w:tr2bl w:val="nil"/>
            </w:tcBorders>
            <w:vAlign w:val="center"/>
          </w:tcPr>
          <w:p w14:paraId="4BF1C305">
            <w:pPr>
              <w:autoSpaceDE w:val="0"/>
              <w:autoSpaceDN w:val="0"/>
              <w:jc w:val="center"/>
              <w:rPr>
                <w:szCs w:val="21"/>
              </w:rPr>
            </w:pPr>
            <w:r>
              <w:rPr>
                <w:szCs w:val="21"/>
              </w:rPr>
              <w:t>/</w:t>
            </w:r>
          </w:p>
        </w:tc>
      </w:tr>
    </w:tbl>
    <w:p w14:paraId="11EB684C">
      <w:pPr>
        <w:ind w:firstLine="422"/>
        <w:jc w:val="center"/>
        <w:rPr>
          <w:b/>
          <w:color w:val="EE0000"/>
          <w:szCs w:val="21"/>
        </w:rPr>
      </w:pPr>
    </w:p>
    <w:p w14:paraId="0F0CE24F">
      <w:pPr>
        <w:ind w:firstLine="422"/>
        <w:jc w:val="center"/>
        <w:rPr>
          <w:b/>
          <w:bCs/>
          <w:szCs w:val="21"/>
        </w:rPr>
      </w:pPr>
      <w:r>
        <w:rPr>
          <w:rFonts w:hint="eastAsia"/>
          <w:b/>
          <w:szCs w:val="21"/>
        </w:rPr>
        <w:t>表2.5-4     面源污染物排放参数</w:t>
      </w:r>
    </w:p>
    <w:tbl>
      <w:tblPr>
        <w:tblStyle w:val="49"/>
        <w:tblW w:w="4866" w:type="pct"/>
        <w:tblInd w:w="-1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818"/>
        <w:gridCol w:w="1483"/>
        <w:gridCol w:w="1096"/>
        <w:gridCol w:w="1371"/>
        <w:gridCol w:w="1024"/>
        <w:gridCol w:w="1193"/>
      </w:tblGrid>
      <w:tr w14:paraId="3B784FE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1" w:hRule="atLeast"/>
        </w:trPr>
        <w:tc>
          <w:tcPr>
            <w:tcW w:w="1568" w:type="pct"/>
            <w:vMerge w:val="restart"/>
            <w:tcBorders>
              <w:tl2br w:val="nil"/>
              <w:tr2bl w:val="nil"/>
            </w:tcBorders>
            <w:vAlign w:val="center"/>
          </w:tcPr>
          <w:p w14:paraId="7C52BB1A">
            <w:pPr>
              <w:widowControl/>
              <w:autoSpaceDE w:val="0"/>
              <w:autoSpaceDN w:val="0"/>
              <w:jc w:val="center"/>
              <w:rPr>
                <w:bCs/>
                <w:szCs w:val="21"/>
              </w:rPr>
            </w:pPr>
            <w:r>
              <w:rPr>
                <w:bCs/>
                <w:szCs w:val="21"/>
              </w:rPr>
              <w:t>污染源名称</w:t>
            </w:r>
          </w:p>
        </w:tc>
        <w:tc>
          <w:tcPr>
            <w:tcW w:w="825" w:type="pct"/>
            <w:vMerge w:val="restart"/>
            <w:tcBorders>
              <w:tl2br w:val="nil"/>
              <w:tr2bl w:val="nil"/>
            </w:tcBorders>
            <w:vAlign w:val="center"/>
          </w:tcPr>
          <w:p w14:paraId="0CE0BC73">
            <w:pPr>
              <w:widowControl/>
              <w:autoSpaceDE w:val="0"/>
              <w:autoSpaceDN w:val="0"/>
              <w:jc w:val="center"/>
              <w:rPr>
                <w:bCs/>
                <w:szCs w:val="21"/>
              </w:rPr>
            </w:pPr>
            <w:r>
              <w:rPr>
                <w:bCs/>
                <w:szCs w:val="21"/>
              </w:rPr>
              <w:t>评价因子</w:t>
            </w:r>
          </w:p>
        </w:tc>
        <w:tc>
          <w:tcPr>
            <w:tcW w:w="609" w:type="pct"/>
            <w:vMerge w:val="restart"/>
            <w:tcBorders>
              <w:tl2br w:val="nil"/>
              <w:tr2bl w:val="nil"/>
            </w:tcBorders>
            <w:vAlign w:val="center"/>
          </w:tcPr>
          <w:p w14:paraId="24AA3FC0">
            <w:pPr>
              <w:widowControl/>
              <w:autoSpaceDE w:val="0"/>
              <w:autoSpaceDN w:val="0"/>
              <w:jc w:val="center"/>
              <w:rPr>
                <w:bCs/>
                <w:szCs w:val="21"/>
              </w:rPr>
            </w:pPr>
            <w:r>
              <w:rPr>
                <w:bCs/>
                <w:szCs w:val="21"/>
              </w:rPr>
              <w:t>排放方式</w:t>
            </w:r>
          </w:p>
        </w:tc>
        <w:tc>
          <w:tcPr>
            <w:tcW w:w="762" w:type="pct"/>
            <w:tcBorders>
              <w:tl2br w:val="nil"/>
              <w:tr2bl w:val="nil"/>
            </w:tcBorders>
            <w:vAlign w:val="center"/>
          </w:tcPr>
          <w:p w14:paraId="325C7687">
            <w:pPr>
              <w:widowControl/>
              <w:autoSpaceDE w:val="0"/>
              <w:autoSpaceDN w:val="0"/>
              <w:jc w:val="center"/>
              <w:rPr>
                <w:bCs/>
                <w:szCs w:val="21"/>
              </w:rPr>
            </w:pPr>
            <w:r>
              <w:rPr>
                <w:bCs/>
                <w:szCs w:val="21"/>
              </w:rPr>
              <w:t>C</w:t>
            </w:r>
            <w:r>
              <w:rPr>
                <w:bCs/>
                <w:szCs w:val="21"/>
                <w:vertAlign w:val="subscript"/>
              </w:rPr>
              <w:t>max</w:t>
            </w:r>
          </w:p>
        </w:tc>
        <w:tc>
          <w:tcPr>
            <w:tcW w:w="569" w:type="pct"/>
            <w:tcBorders>
              <w:tl2br w:val="nil"/>
              <w:tr2bl w:val="nil"/>
            </w:tcBorders>
            <w:vAlign w:val="center"/>
          </w:tcPr>
          <w:p w14:paraId="203BE15A">
            <w:pPr>
              <w:widowControl/>
              <w:autoSpaceDE w:val="0"/>
              <w:autoSpaceDN w:val="0"/>
              <w:jc w:val="center"/>
              <w:rPr>
                <w:bCs/>
                <w:szCs w:val="21"/>
              </w:rPr>
            </w:pPr>
            <w:r>
              <w:rPr>
                <w:bCs/>
                <w:szCs w:val="21"/>
              </w:rPr>
              <w:t>P</w:t>
            </w:r>
            <w:r>
              <w:rPr>
                <w:bCs/>
                <w:szCs w:val="21"/>
                <w:vertAlign w:val="subscript"/>
              </w:rPr>
              <w:t>max</w:t>
            </w:r>
          </w:p>
        </w:tc>
        <w:tc>
          <w:tcPr>
            <w:tcW w:w="663" w:type="pct"/>
            <w:tcBorders>
              <w:tl2br w:val="nil"/>
              <w:tr2bl w:val="nil"/>
            </w:tcBorders>
            <w:vAlign w:val="center"/>
          </w:tcPr>
          <w:p w14:paraId="3440F809">
            <w:pPr>
              <w:widowControl/>
              <w:autoSpaceDE w:val="0"/>
              <w:autoSpaceDN w:val="0"/>
              <w:jc w:val="center"/>
              <w:rPr>
                <w:bCs/>
                <w:szCs w:val="21"/>
              </w:rPr>
            </w:pPr>
            <w:r>
              <w:rPr>
                <w:bCs/>
                <w:szCs w:val="21"/>
              </w:rPr>
              <w:t>D</w:t>
            </w:r>
            <w:r>
              <w:rPr>
                <w:bCs/>
                <w:szCs w:val="21"/>
                <w:vertAlign w:val="subscript"/>
              </w:rPr>
              <w:t>10%</w:t>
            </w:r>
          </w:p>
        </w:tc>
      </w:tr>
      <w:tr w14:paraId="27E735C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9" w:hRule="atLeast"/>
        </w:trPr>
        <w:tc>
          <w:tcPr>
            <w:tcW w:w="1568" w:type="pct"/>
            <w:vMerge w:val="continue"/>
            <w:tcBorders>
              <w:tl2br w:val="nil"/>
              <w:tr2bl w:val="nil"/>
            </w:tcBorders>
            <w:vAlign w:val="center"/>
          </w:tcPr>
          <w:p w14:paraId="119E3A92">
            <w:pPr>
              <w:widowControl/>
              <w:autoSpaceDE w:val="0"/>
              <w:autoSpaceDN w:val="0"/>
              <w:jc w:val="center"/>
              <w:rPr>
                <w:bCs/>
                <w:szCs w:val="21"/>
              </w:rPr>
            </w:pPr>
          </w:p>
        </w:tc>
        <w:tc>
          <w:tcPr>
            <w:tcW w:w="825" w:type="pct"/>
            <w:vMerge w:val="continue"/>
            <w:tcBorders>
              <w:tl2br w:val="nil"/>
              <w:tr2bl w:val="nil"/>
            </w:tcBorders>
            <w:vAlign w:val="center"/>
          </w:tcPr>
          <w:p w14:paraId="7E39AADB">
            <w:pPr>
              <w:widowControl/>
              <w:autoSpaceDE w:val="0"/>
              <w:autoSpaceDN w:val="0"/>
              <w:jc w:val="center"/>
              <w:rPr>
                <w:bCs/>
                <w:szCs w:val="21"/>
              </w:rPr>
            </w:pPr>
          </w:p>
        </w:tc>
        <w:tc>
          <w:tcPr>
            <w:tcW w:w="609" w:type="pct"/>
            <w:vMerge w:val="continue"/>
            <w:tcBorders>
              <w:tl2br w:val="nil"/>
              <w:tr2bl w:val="nil"/>
            </w:tcBorders>
            <w:vAlign w:val="center"/>
          </w:tcPr>
          <w:p w14:paraId="055CA021">
            <w:pPr>
              <w:widowControl/>
              <w:autoSpaceDE w:val="0"/>
              <w:autoSpaceDN w:val="0"/>
              <w:jc w:val="center"/>
              <w:rPr>
                <w:bCs/>
                <w:szCs w:val="21"/>
              </w:rPr>
            </w:pPr>
          </w:p>
        </w:tc>
        <w:tc>
          <w:tcPr>
            <w:tcW w:w="762" w:type="pct"/>
            <w:tcBorders>
              <w:tl2br w:val="nil"/>
              <w:tr2bl w:val="nil"/>
            </w:tcBorders>
            <w:vAlign w:val="center"/>
          </w:tcPr>
          <w:p w14:paraId="4D77BC2C">
            <w:pPr>
              <w:widowControl/>
              <w:autoSpaceDE w:val="0"/>
              <w:autoSpaceDN w:val="0"/>
              <w:jc w:val="center"/>
              <w:rPr>
                <w:bCs/>
                <w:szCs w:val="21"/>
              </w:rPr>
            </w:pPr>
            <w:r>
              <w:rPr>
                <w:bCs/>
                <w:szCs w:val="21"/>
              </w:rPr>
              <w:t>（μg/m</w:t>
            </w:r>
            <w:r>
              <w:rPr>
                <w:bCs/>
                <w:szCs w:val="21"/>
                <w:vertAlign w:val="superscript"/>
              </w:rPr>
              <w:t>3</w:t>
            </w:r>
            <w:r>
              <w:rPr>
                <w:bCs/>
                <w:szCs w:val="21"/>
              </w:rPr>
              <w:t>）</w:t>
            </w:r>
          </w:p>
        </w:tc>
        <w:tc>
          <w:tcPr>
            <w:tcW w:w="569" w:type="pct"/>
            <w:tcBorders>
              <w:tl2br w:val="nil"/>
              <w:tr2bl w:val="nil"/>
            </w:tcBorders>
            <w:vAlign w:val="center"/>
          </w:tcPr>
          <w:p w14:paraId="057AC7F1">
            <w:pPr>
              <w:widowControl/>
              <w:autoSpaceDE w:val="0"/>
              <w:autoSpaceDN w:val="0"/>
              <w:jc w:val="center"/>
              <w:rPr>
                <w:bCs/>
                <w:szCs w:val="21"/>
              </w:rPr>
            </w:pPr>
            <w:r>
              <w:rPr>
                <w:bCs/>
                <w:szCs w:val="21"/>
              </w:rPr>
              <w:t>（%）</w:t>
            </w:r>
          </w:p>
        </w:tc>
        <w:tc>
          <w:tcPr>
            <w:tcW w:w="663" w:type="pct"/>
            <w:tcBorders>
              <w:tl2br w:val="nil"/>
              <w:tr2bl w:val="nil"/>
            </w:tcBorders>
            <w:vAlign w:val="center"/>
          </w:tcPr>
          <w:p w14:paraId="525527DD">
            <w:pPr>
              <w:widowControl/>
              <w:autoSpaceDE w:val="0"/>
              <w:autoSpaceDN w:val="0"/>
              <w:jc w:val="center"/>
              <w:rPr>
                <w:bCs/>
                <w:szCs w:val="21"/>
              </w:rPr>
            </w:pPr>
            <w:r>
              <w:rPr>
                <w:bCs/>
                <w:szCs w:val="21"/>
              </w:rPr>
              <w:t>（m）</w:t>
            </w:r>
          </w:p>
        </w:tc>
      </w:tr>
      <w:tr w14:paraId="333DCF9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1568" w:type="pct"/>
            <w:tcBorders>
              <w:tl2br w:val="nil"/>
              <w:tr2bl w:val="nil"/>
            </w:tcBorders>
            <w:vAlign w:val="center"/>
          </w:tcPr>
          <w:p w14:paraId="6C071418">
            <w:pPr>
              <w:autoSpaceDE w:val="0"/>
              <w:autoSpaceDN w:val="0"/>
              <w:jc w:val="center"/>
              <w:rPr>
                <w:bCs/>
                <w:szCs w:val="21"/>
              </w:rPr>
            </w:pPr>
            <w:r>
              <w:rPr>
                <w:rFonts w:hint="eastAsia"/>
                <w:szCs w:val="21"/>
              </w:rPr>
              <w:t>造粒和滴灌带车间矩形面源</w:t>
            </w:r>
          </w:p>
        </w:tc>
        <w:tc>
          <w:tcPr>
            <w:tcW w:w="825" w:type="pct"/>
            <w:tcBorders>
              <w:tl2br w:val="nil"/>
              <w:tr2bl w:val="nil"/>
            </w:tcBorders>
            <w:vAlign w:val="center"/>
          </w:tcPr>
          <w:p w14:paraId="669ABFC6">
            <w:pPr>
              <w:widowControl/>
              <w:autoSpaceDE w:val="0"/>
              <w:autoSpaceDN w:val="0"/>
              <w:jc w:val="center"/>
              <w:rPr>
                <w:bCs/>
                <w:szCs w:val="21"/>
              </w:rPr>
            </w:pPr>
            <w:r>
              <w:rPr>
                <w:bCs/>
              </w:rPr>
              <w:t>非甲烷总烃</w:t>
            </w:r>
          </w:p>
        </w:tc>
        <w:tc>
          <w:tcPr>
            <w:tcW w:w="609" w:type="pct"/>
            <w:tcBorders>
              <w:tl2br w:val="nil"/>
              <w:tr2bl w:val="nil"/>
            </w:tcBorders>
            <w:vAlign w:val="center"/>
          </w:tcPr>
          <w:p w14:paraId="59BBEDDD">
            <w:pPr>
              <w:widowControl/>
              <w:autoSpaceDE w:val="0"/>
              <w:autoSpaceDN w:val="0"/>
              <w:jc w:val="center"/>
              <w:rPr>
                <w:bCs/>
                <w:szCs w:val="21"/>
              </w:rPr>
            </w:pPr>
            <w:r>
              <w:rPr>
                <w:rFonts w:hint="eastAsia"/>
                <w:bCs/>
                <w:szCs w:val="21"/>
              </w:rPr>
              <w:t>无</w:t>
            </w:r>
            <w:r>
              <w:rPr>
                <w:bCs/>
                <w:szCs w:val="21"/>
              </w:rPr>
              <w:t>组织</w:t>
            </w:r>
          </w:p>
        </w:tc>
        <w:tc>
          <w:tcPr>
            <w:tcW w:w="1371" w:type="dxa"/>
            <w:tcBorders>
              <w:tl2br w:val="nil"/>
              <w:tr2bl w:val="nil"/>
            </w:tcBorders>
            <w:shd w:val="clear" w:color="auto" w:fill="auto"/>
            <w:vAlign w:val="center"/>
          </w:tcPr>
          <w:p w14:paraId="19A11672">
            <w:pPr>
              <w:widowControl/>
              <w:autoSpaceDE w:val="0"/>
              <w:autoSpaceDN w:val="0"/>
              <w:jc w:val="center"/>
              <w:rPr>
                <w:rFonts w:ascii="Times New Roman" w:hAnsi="Times New Roman" w:eastAsia="宋体" w:cs="Times New Roman"/>
                <w:bCs/>
                <w:szCs w:val="21"/>
                <w:lang w:val="en-US" w:eastAsia="zh-CN"/>
              </w:rPr>
            </w:pPr>
            <w:r>
              <w:rPr>
                <w:rFonts w:ascii="Times New Roman" w:hAnsi="Times New Roman" w:eastAsia="宋体" w:cs="Times New Roman"/>
                <w:bCs/>
                <w:szCs w:val="21"/>
              </w:rPr>
              <w:t>183.6900</w:t>
            </w:r>
          </w:p>
        </w:tc>
        <w:tc>
          <w:tcPr>
            <w:tcW w:w="1024" w:type="dxa"/>
            <w:tcBorders>
              <w:tl2br w:val="nil"/>
              <w:tr2bl w:val="nil"/>
            </w:tcBorders>
            <w:shd w:val="clear" w:color="auto" w:fill="auto"/>
            <w:vAlign w:val="center"/>
          </w:tcPr>
          <w:p w14:paraId="53E6E11D">
            <w:pPr>
              <w:widowControl/>
              <w:autoSpaceDE w:val="0"/>
              <w:autoSpaceDN w:val="0"/>
              <w:jc w:val="center"/>
              <w:rPr>
                <w:rFonts w:ascii="Times New Roman" w:hAnsi="Times New Roman" w:eastAsia="宋体" w:cs="Times New Roman"/>
                <w:bCs/>
                <w:szCs w:val="21"/>
                <w:lang w:val="en-US" w:eastAsia="zh-CN"/>
              </w:rPr>
            </w:pPr>
            <w:r>
              <w:rPr>
                <w:rFonts w:ascii="Times New Roman" w:hAnsi="Times New Roman" w:eastAsia="宋体" w:cs="Times New Roman"/>
                <w:bCs/>
                <w:szCs w:val="21"/>
              </w:rPr>
              <w:t>9.1845</w:t>
            </w:r>
          </w:p>
        </w:tc>
        <w:tc>
          <w:tcPr>
            <w:tcW w:w="663" w:type="pct"/>
            <w:tcBorders>
              <w:tl2br w:val="nil"/>
              <w:tr2bl w:val="nil"/>
            </w:tcBorders>
            <w:vAlign w:val="center"/>
          </w:tcPr>
          <w:p w14:paraId="5B56FD3C">
            <w:pPr>
              <w:widowControl/>
              <w:autoSpaceDE w:val="0"/>
              <w:autoSpaceDN w:val="0"/>
              <w:jc w:val="center"/>
              <w:rPr>
                <w:szCs w:val="21"/>
              </w:rPr>
            </w:pPr>
            <w:r>
              <w:rPr>
                <w:szCs w:val="21"/>
              </w:rPr>
              <w:t>/</w:t>
            </w:r>
          </w:p>
        </w:tc>
      </w:tr>
    </w:tbl>
    <w:p w14:paraId="6552E505">
      <w:pPr>
        <w:autoSpaceDE w:val="0"/>
        <w:autoSpaceDN w:val="0"/>
        <w:spacing w:line="360" w:lineRule="auto"/>
        <w:ind w:firstLine="480"/>
        <w:rPr>
          <w:rFonts w:hint="eastAsia" w:ascii="宋体" w:hAnsi="宋体" w:cs="宋体"/>
          <w:sz w:val="24"/>
          <w:szCs w:val="24"/>
        </w:rPr>
      </w:pPr>
      <w:r>
        <w:rPr>
          <w:rFonts w:hint="eastAsia" w:ascii="宋体" w:hAnsi="宋体" w:cs="宋体"/>
          <w:sz w:val="24"/>
          <w:szCs w:val="24"/>
        </w:rPr>
        <w:t>由上表计算结果表明，本项目Pmax最大值出现为车间矩形面源排放的NMHCPmax值为9.1845%，Cmax为</w:t>
      </w:r>
      <w:r>
        <w:rPr>
          <w:rFonts w:ascii="Times New Roman" w:hAnsi="Times New Roman" w:eastAsia="宋体" w:cs="Times New Roman"/>
          <w:bCs/>
          <w:sz w:val="24"/>
          <w:szCs w:val="24"/>
        </w:rPr>
        <w:t>183.6900</w:t>
      </w:r>
      <w:r>
        <w:rPr>
          <w:rFonts w:hint="eastAsia" w:ascii="宋体" w:hAnsi="宋体" w:cs="宋体"/>
          <w:sz w:val="24"/>
          <w:szCs w:val="24"/>
        </w:rPr>
        <w:t>μg/m³。根据《环境影响评价技术导则 大气环境》（HJ2.2-2018）分级判据，确定本项目大气环境影响评价工作等级为二级。</w:t>
      </w:r>
    </w:p>
    <w:p w14:paraId="3828DDFD">
      <w:pPr>
        <w:pStyle w:val="5"/>
        <w:rPr>
          <w:rFonts w:ascii="Times New Roman" w:hAnsi="Times New Roman"/>
          <w:color w:val="000000"/>
          <w:lang w:val="en-US"/>
        </w:rPr>
      </w:pPr>
      <w:bookmarkStart w:id="90" w:name="_Toc13569"/>
      <w:bookmarkStart w:id="91" w:name="_Toc857"/>
      <w:bookmarkStart w:id="92" w:name="_Toc30075"/>
      <w:r>
        <w:rPr>
          <w:rFonts w:hint="eastAsia" w:ascii="Times New Roman" w:hAnsi="Times New Roman"/>
          <w:color w:val="000000"/>
          <w:lang w:val="en-US"/>
        </w:rPr>
        <w:t>2.5.1.2评价范围</w:t>
      </w:r>
      <w:bookmarkEnd w:id="90"/>
      <w:bookmarkEnd w:id="91"/>
      <w:bookmarkEnd w:id="92"/>
    </w:p>
    <w:p w14:paraId="12D8FF57">
      <w:pPr>
        <w:pStyle w:val="16"/>
        <w:kinsoku w:val="0"/>
        <w:overflowPunct w:val="0"/>
        <w:spacing w:after="0" w:line="360" w:lineRule="auto"/>
        <w:ind w:firstLine="480"/>
        <w:rPr>
          <w:rFonts w:hint="eastAsia" w:ascii="宋体" w:hAnsi="宋体" w:cs="宋体"/>
          <w:color w:val="000000"/>
          <w:sz w:val="24"/>
          <w:szCs w:val="24"/>
          <w:lang w:val="en-US"/>
        </w:rPr>
      </w:pPr>
      <w:r>
        <w:rPr>
          <w:rFonts w:hint="eastAsia" w:ascii="宋体" w:hAnsi="宋体" w:cs="宋体"/>
          <w:sz w:val="24"/>
          <w:szCs w:val="24"/>
        </w:rPr>
        <w:t>根据《环境影响评价技术导则</w:t>
      </w:r>
      <w:r>
        <w:rPr>
          <w:rFonts w:hint="eastAsia" w:ascii="宋体" w:hAnsi="宋体" w:cs="宋体"/>
          <w:sz w:val="24"/>
          <w:szCs w:val="24"/>
          <w:lang w:val="en-US"/>
        </w:rPr>
        <w:t xml:space="preserve">  </w:t>
      </w:r>
      <w:r>
        <w:rPr>
          <w:rFonts w:hint="eastAsia" w:ascii="宋体" w:hAnsi="宋体" w:cs="宋体"/>
          <w:sz w:val="24"/>
          <w:szCs w:val="24"/>
        </w:rPr>
        <w:t>大气环境》（HJ2.2-2018）可知，二级评价项目大气环境影响评价范围设置为项目厂区为中</w:t>
      </w:r>
      <w:r>
        <w:rPr>
          <w:rFonts w:hint="eastAsia" w:ascii="宋体" w:hAnsi="宋体" w:cs="宋体"/>
          <w:color w:val="000000"/>
          <w:sz w:val="24"/>
          <w:szCs w:val="24"/>
        </w:rPr>
        <w:t>心，边长为5km×5km的矩形区域。</w:t>
      </w:r>
      <w:r>
        <w:rPr>
          <w:rFonts w:hint="eastAsia" w:ascii="宋体" w:hAnsi="宋体" w:cs="宋体"/>
          <w:color w:val="000000"/>
          <w:sz w:val="24"/>
          <w:szCs w:val="24"/>
          <w:lang w:val="en-US"/>
        </w:rPr>
        <w:t>评价范围示意图见2.5-1。</w:t>
      </w:r>
    </w:p>
    <w:p w14:paraId="29C86A93">
      <w:pPr>
        <w:pStyle w:val="4"/>
        <w:autoSpaceDE w:val="0"/>
        <w:autoSpaceDN w:val="0"/>
        <w:spacing w:before="0" w:after="0" w:line="360" w:lineRule="auto"/>
        <w:jc w:val="left"/>
        <w:rPr>
          <w:kern w:val="0"/>
          <w:sz w:val="24"/>
          <w:lang w:val="en-US" w:bidi="zh-CN"/>
        </w:rPr>
      </w:pPr>
      <w:r>
        <w:rPr>
          <w:rFonts w:hint="eastAsia"/>
          <w:kern w:val="0"/>
          <w:sz w:val="24"/>
          <w:lang w:val="en-US" w:bidi="zh-CN"/>
        </w:rPr>
        <w:t>2.5.2地表水环境评价等级和评价范围</w:t>
      </w:r>
    </w:p>
    <w:p w14:paraId="08AD4533">
      <w:pPr>
        <w:pStyle w:val="5"/>
        <w:rPr>
          <w:rFonts w:ascii="Times New Roman" w:hAnsi="Times New Roman"/>
          <w:color w:val="000000"/>
          <w:lang w:val="en-US"/>
        </w:rPr>
      </w:pPr>
      <w:bookmarkStart w:id="93" w:name="_Toc22795"/>
      <w:bookmarkStart w:id="94" w:name="_Toc26201"/>
      <w:bookmarkStart w:id="95" w:name="_Toc19388"/>
      <w:r>
        <w:rPr>
          <w:rFonts w:hint="eastAsia" w:ascii="Times New Roman" w:hAnsi="Times New Roman"/>
          <w:color w:val="000000"/>
          <w:lang w:val="en-US"/>
        </w:rPr>
        <w:t>2.5.2.1评价工作等级</w:t>
      </w:r>
      <w:bookmarkEnd w:id="93"/>
      <w:bookmarkEnd w:id="94"/>
      <w:bookmarkEnd w:id="95"/>
    </w:p>
    <w:p w14:paraId="7A44670D">
      <w:pPr>
        <w:pStyle w:val="16"/>
        <w:kinsoku w:val="0"/>
        <w:overflowPunct w:val="0"/>
        <w:spacing w:after="0" w:line="360" w:lineRule="auto"/>
        <w:ind w:firstLine="480"/>
        <w:rPr>
          <w:rFonts w:hint="eastAsia" w:ascii="宋体" w:hAnsi="宋体" w:cs="宋体"/>
          <w:sz w:val="24"/>
          <w:szCs w:val="24"/>
        </w:rPr>
      </w:pPr>
      <w:r>
        <w:rPr>
          <w:rFonts w:hint="eastAsia" w:ascii="宋体" w:hAnsi="宋体" w:cs="宋体"/>
          <w:sz w:val="24"/>
          <w:szCs w:val="24"/>
        </w:rPr>
        <w:t>根据《环境影响评价技术导则地表水环境》（HJ2.3-2018）中地表水环境影响评价工 作等级分级判据主要按照影响类型、排放方式、排放量或影响情况、受纳水体环境质量 现状、水环境保护目标等综合确定，判定见表</w:t>
      </w:r>
      <w:r>
        <w:rPr>
          <w:rFonts w:hint="eastAsia" w:ascii="宋体" w:hAnsi="宋体" w:cs="宋体"/>
          <w:sz w:val="24"/>
          <w:szCs w:val="24"/>
          <w:lang w:val="en-US"/>
        </w:rPr>
        <w:t>2.5-5</w:t>
      </w:r>
      <w:r>
        <w:rPr>
          <w:rFonts w:hint="eastAsia" w:ascii="宋体" w:hAnsi="宋体" w:cs="宋体"/>
          <w:sz w:val="24"/>
          <w:szCs w:val="24"/>
        </w:rPr>
        <w:t>。</w:t>
      </w:r>
    </w:p>
    <w:p w14:paraId="2D326066">
      <w:pPr>
        <w:ind w:firstLine="422"/>
        <w:jc w:val="center"/>
        <w:rPr>
          <w:rFonts w:hint="eastAsia" w:ascii="宋体" w:hAnsi="宋体" w:cs="宋体"/>
          <w:b/>
          <w:szCs w:val="21"/>
        </w:rPr>
      </w:pPr>
      <w:r>
        <w:rPr>
          <w:rFonts w:hint="eastAsia" w:ascii="宋体" w:hAnsi="宋体" w:cs="宋体"/>
          <w:b/>
          <w:szCs w:val="21"/>
        </w:rPr>
        <w:t>表2.5-5   水污染影响评价工作等级划分</w:t>
      </w:r>
    </w:p>
    <w:tbl>
      <w:tblPr>
        <w:tblStyle w:val="49"/>
        <w:tblW w:w="4924"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1896"/>
        <w:gridCol w:w="1455"/>
        <w:gridCol w:w="5557"/>
      </w:tblGrid>
      <w:tr w14:paraId="04B78FE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20" w:hRule="atLeast"/>
          <w:jc w:val="center"/>
        </w:trPr>
        <w:tc>
          <w:tcPr>
            <w:tcW w:w="1890" w:type="dxa"/>
            <w:vMerge w:val="restart"/>
            <w:tcBorders>
              <w:tl2br w:val="nil"/>
              <w:tr2bl w:val="nil"/>
            </w:tcBorders>
            <w:vAlign w:val="center"/>
          </w:tcPr>
          <w:p w14:paraId="00A8FA82">
            <w:pPr>
              <w:ind w:firstLine="422"/>
              <w:jc w:val="center"/>
              <w:rPr>
                <w:bCs/>
                <w:szCs w:val="21"/>
              </w:rPr>
            </w:pPr>
            <w:r>
              <w:rPr>
                <w:rFonts w:hint="eastAsia"/>
                <w:bCs/>
                <w:szCs w:val="21"/>
              </w:rPr>
              <w:t>评价等级</w:t>
            </w:r>
          </w:p>
        </w:tc>
        <w:tc>
          <w:tcPr>
            <w:tcW w:w="6989" w:type="dxa"/>
            <w:gridSpan w:val="2"/>
            <w:tcBorders>
              <w:tl2br w:val="nil"/>
              <w:tr2bl w:val="nil"/>
            </w:tcBorders>
            <w:vAlign w:val="center"/>
          </w:tcPr>
          <w:p w14:paraId="6D9EEB58">
            <w:pPr>
              <w:ind w:firstLine="422"/>
              <w:jc w:val="center"/>
              <w:rPr>
                <w:bCs/>
                <w:szCs w:val="21"/>
              </w:rPr>
            </w:pPr>
            <w:r>
              <w:rPr>
                <w:rFonts w:hint="eastAsia"/>
                <w:bCs/>
                <w:szCs w:val="21"/>
              </w:rPr>
              <w:t>判定依据</w:t>
            </w:r>
          </w:p>
        </w:tc>
      </w:tr>
      <w:tr w14:paraId="31C7DEB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05" w:hRule="atLeast"/>
          <w:jc w:val="center"/>
        </w:trPr>
        <w:tc>
          <w:tcPr>
            <w:tcW w:w="1890" w:type="dxa"/>
            <w:vMerge w:val="continue"/>
            <w:tcBorders>
              <w:tl2br w:val="nil"/>
              <w:tr2bl w:val="nil"/>
            </w:tcBorders>
            <w:vAlign w:val="center"/>
          </w:tcPr>
          <w:p w14:paraId="111926FB">
            <w:pPr>
              <w:pStyle w:val="228"/>
              <w:kinsoku w:val="0"/>
              <w:overflowPunct w:val="0"/>
              <w:rPr>
                <w:szCs w:val="21"/>
              </w:rPr>
            </w:pPr>
          </w:p>
        </w:tc>
        <w:tc>
          <w:tcPr>
            <w:tcW w:w="1450" w:type="dxa"/>
            <w:tcBorders>
              <w:tl2br w:val="nil"/>
              <w:tr2bl w:val="nil"/>
            </w:tcBorders>
            <w:vAlign w:val="center"/>
          </w:tcPr>
          <w:p w14:paraId="0CF92149">
            <w:pPr>
              <w:pStyle w:val="228"/>
              <w:kinsoku w:val="0"/>
              <w:overflowPunct w:val="0"/>
              <w:rPr>
                <w:szCs w:val="21"/>
              </w:rPr>
            </w:pPr>
            <w:r>
              <w:rPr>
                <w:spacing w:val="-1"/>
                <w:szCs w:val="21"/>
              </w:rPr>
              <w:t>排放方式</w:t>
            </w:r>
          </w:p>
        </w:tc>
        <w:tc>
          <w:tcPr>
            <w:tcW w:w="5539" w:type="dxa"/>
            <w:tcBorders>
              <w:tl2br w:val="nil"/>
              <w:tr2bl w:val="nil"/>
            </w:tcBorders>
            <w:vAlign w:val="center"/>
          </w:tcPr>
          <w:p w14:paraId="4C7EA68A">
            <w:pPr>
              <w:pStyle w:val="228"/>
              <w:kinsoku w:val="0"/>
              <w:overflowPunct w:val="0"/>
              <w:rPr>
                <w:szCs w:val="21"/>
              </w:rPr>
            </w:pPr>
            <w:r>
              <w:rPr>
                <w:szCs w:val="21"/>
              </w:rPr>
              <w:t>废水排放量Q/（m</w:t>
            </w:r>
            <w:r>
              <w:rPr>
                <w:szCs w:val="21"/>
                <w:vertAlign w:val="superscript"/>
              </w:rPr>
              <w:t>3</w:t>
            </w:r>
            <w:r>
              <w:rPr>
                <w:szCs w:val="21"/>
              </w:rPr>
              <w:t>/d）；水污染物当量数W/（量纲一）</w:t>
            </w:r>
          </w:p>
        </w:tc>
      </w:tr>
      <w:tr w14:paraId="46B39C2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05" w:hRule="atLeast"/>
          <w:jc w:val="center"/>
        </w:trPr>
        <w:tc>
          <w:tcPr>
            <w:tcW w:w="1890" w:type="dxa"/>
            <w:tcBorders>
              <w:tl2br w:val="nil"/>
              <w:tr2bl w:val="nil"/>
            </w:tcBorders>
            <w:vAlign w:val="center"/>
          </w:tcPr>
          <w:p w14:paraId="5BB8D3FF">
            <w:pPr>
              <w:pStyle w:val="228"/>
              <w:kinsoku w:val="0"/>
              <w:overflowPunct w:val="0"/>
              <w:rPr>
                <w:szCs w:val="21"/>
              </w:rPr>
            </w:pPr>
            <w:r>
              <w:rPr>
                <w:szCs w:val="21"/>
              </w:rPr>
              <w:t>一级</w:t>
            </w:r>
          </w:p>
        </w:tc>
        <w:tc>
          <w:tcPr>
            <w:tcW w:w="1450" w:type="dxa"/>
            <w:tcBorders>
              <w:tl2br w:val="nil"/>
              <w:tr2bl w:val="nil"/>
            </w:tcBorders>
            <w:vAlign w:val="center"/>
          </w:tcPr>
          <w:p w14:paraId="5CA9C795">
            <w:pPr>
              <w:pStyle w:val="228"/>
              <w:kinsoku w:val="0"/>
              <w:overflowPunct w:val="0"/>
              <w:rPr>
                <w:szCs w:val="21"/>
              </w:rPr>
            </w:pPr>
            <w:r>
              <w:rPr>
                <w:spacing w:val="-1"/>
                <w:szCs w:val="21"/>
              </w:rPr>
              <w:t>直接排放</w:t>
            </w:r>
          </w:p>
        </w:tc>
        <w:tc>
          <w:tcPr>
            <w:tcW w:w="5539" w:type="dxa"/>
            <w:tcBorders>
              <w:tl2br w:val="nil"/>
              <w:tr2bl w:val="nil"/>
            </w:tcBorders>
            <w:vAlign w:val="center"/>
          </w:tcPr>
          <w:p w14:paraId="785A992F">
            <w:pPr>
              <w:pStyle w:val="228"/>
              <w:kinsoku w:val="0"/>
              <w:overflowPunct w:val="0"/>
              <w:rPr>
                <w:szCs w:val="21"/>
              </w:rPr>
            </w:pPr>
            <w:r>
              <w:rPr>
                <w:spacing w:val="-1"/>
                <w:szCs w:val="21"/>
              </w:rPr>
              <w:t>Q≥20000</w:t>
            </w:r>
            <w:r>
              <w:rPr>
                <w:szCs w:val="21"/>
              </w:rPr>
              <w:t>或</w:t>
            </w:r>
            <w:r>
              <w:rPr>
                <w:spacing w:val="-1"/>
                <w:szCs w:val="21"/>
              </w:rPr>
              <w:t>W≥600000</w:t>
            </w:r>
          </w:p>
        </w:tc>
      </w:tr>
      <w:tr w14:paraId="064E341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05" w:hRule="atLeast"/>
          <w:jc w:val="center"/>
        </w:trPr>
        <w:tc>
          <w:tcPr>
            <w:tcW w:w="1890" w:type="dxa"/>
            <w:tcBorders>
              <w:tl2br w:val="nil"/>
              <w:tr2bl w:val="nil"/>
            </w:tcBorders>
            <w:vAlign w:val="center"/>
          </w:tcPr>
          <w:p w14:paraId="737A7C93">
            <w:pPr>
              <w:pStyle w:val="228"/>
              <w:kinsoku w:val="0"/>
              <w:overflowPunct w:val="0"/>
              <w:rPr>
                <w:szCs w:val="21"/>
              </w:rPr>
            </w:pPr>
            <w:r>
              <w:rPr>
                <w:szCs w:val="21"/>
              </w:rPr>
              <w:t>二级</w:t>
            </w:r>
          </w:p>
        </w:tc>
        <w:tc>
          <w:tcPr>
            <w:tcW w:w="1450" w:type="dxa"/>
            <w:tcBorders>
              <w:tl2br w:val="nil"/>
              <w:tr2bl w:val="nil"/>
            </w:tcBorders>
            <w:vAlign w:val="center"/>
          </w:tcPr>
          <w:p w14:paraId="3D0A0FA2">
            <w:pPr>
              <w:pStyle w:val="228"/>
              <w:kinsoku w:val="0"/>
              <w:overflowPunct w:val="0"/>
              <w:rPr>
                <w:szCs w:val="21"/>
              </w:rPr>
            </w:pPr>
            <w:r>
              <w:rPr>
                <w:spacing w:val="-1"/>
                <w:szCs w:val="21"/>
              </w:rPr>
              <w:t>直接排放</w:t>
            </w:r>
          </w:p>
        </w:tc>
        <w:tc>
          <w:tcPr>
            <w:tcW w:w="5539" w:type="dxa"/>
            <w:tcBorders>
              <w:tl2br w:val="nil"/>
              <w:tr2bl w:val="nil"/>
            </w:tcBorders>
            <w:vAlign w:val="center"/>
          </w:tcPr>
          <w:p w14:paraId="460699FC">
            <w:pPr>
              <w:pStyle w:val="228"/>
              <w:kinsoku w:val="0"/>
              <w:overflowPunct w:val="0"/>
              <w:rPr>
                <w:szCs w:val="21"/>
              </w:rPr>
            </w:pPr>
            <w:r>
              <w:rPr>
                <w:szCs w:val="21"/>
              </w:rPr>
              <w:t>其他</w:t>
            </w:r>
          </w:p>
        </w:tc>
      </w:tr>
      <w:tr w14:paraId="1AC4ABA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05" w:hRule="atLeast"/>
          <w:jc w:val="center"/>
        </w:trPr>
        <w:tc>
          <w:tcPr>
            <w:tcW w:w="1890" w:type="dxa"/>
            <w:tcBorders>
              <w:tl2br w:val="nil"/>
              <w:tr2bl w:val="nil"/>
            </w:tcBorders>
            <w:vAlign w:val="center"/>
          </w:tcPr>
          <w:p w14:paraId="0131EEAB">
            <w:pPr>
              <w:pStyle w:val="228"/>
              <w:kinsoku w:val="0"/>
              <w:overflowPunct w:val="0"/>
              <w:rPr>
                <w:szCs w:val="21"/>
              </w:rPr>
            </w:pPr>
            <w:r>
              <w:rPr>
                <w:szCs w:val="21"/>
              </w:rPr>
              <w:t>三级A</w:t>
            </w:r>
          </w:p>
        </w:tc>
        <w:tc>
          <w:tcPr>
            <w:tcW w:w="1450" w:type="dxa"/>
            <w:tcBorders>
              <w:tl2br w:val="nil"/>
              <w:tr2bl w:val="nil"/>
            </w:tcBorders>
            <w:vAlign w:val="center"/>
          </w:tcPr>
          <w:p w14:paraId="739DB716">
            <w:pPr>
              <w:pStyle w:val="228"/>
              <w:kinsoku w:val="0"/>
              <w:overflowPunct w:val="0"/>
              <w:rPr>
                <w:szCs w:val="21"/>
              </w:rPr>
            </w:pPr>
            <w:r>
              <w:rPr>
                <w:spacing w:val="-1"/>
                <w:szCs w:val="21"/>
              </w:rPr>
              <w:t>直接排放</w:t>
            </w:r>
          </w:p>
        </w:tc>
        <w:tc>
          <w:tcPr>
            <w:tcW w:w="5539" w:type="dxa"/>
            <w:tcBorders>
              <w:tl2br w:val="nil"/>
              <w:tr2bl w:val="nil"/>
            </w:tcBorders>
            <w:vAlign w:val="center"/>
          </w:tcPr>
          <w:p w14:paraId="0485C434">
            <w:pPr>
              <w:pStyle w:val="228"/>
              <w:kinsoku w:val="0"/>
              <w:overflowPunct w:val="0"/>
              <w:rPr>
                <w:szCs w:val="21"/>
              </w:rPr>
            </w:pPr>
            <w:r>
              <w:rPr>
                <w:spacing w:val="-1"/>
                <w:szCs w:val="21"/>
              </w:rPr>
              <w:t>Q＜200</w:t>
            </w:r>
            <w:r>
              <w:rPr>
                <w:szCs w:val="21"/>
              </w:rPr>
              <w:t>或</w:t>
            </w:r>
            <w:r>
              <w:rPr>
                <w:spacing w:val="-1"/>
                <w:szCs w:val="21"/>
              </w:rPr>
              <w:t>W＜6000</w:t>
            </w:r>
          </w:p>
        </w:tc>
      </w:tr>
      <w:tr w14:paraId="14E2083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28" w:hRule="atLeast"/>
          <w:jc w:val="center"/>
        </w:trPr>
        <w:tc>
          <w:tcPr>
            <w:tcW w:w="1890" w:type="dxa"/>
            <w:tcBorders>
              <w:tl2br w:val="nil"/>
              <w:tr2bl w:val="nil"/>
            </w:tcBorders>
            <w:vAlign w:val="center"/>
          </w:tcPr>
          <w:p w14:paraId="05F8DD77">
            <w:pPr>
              <w:pStyle w:val="228"/>
              <w:kinsoku w:val="0"/>
              <w:overflowPunct w:val="0"/>
              <w:rPr>
                <w:szCs w:val="21"/>
              </w:rPr>
            </w:pPr>
            <w:r>
              <w:rPr>
                <w:szCs w:val="21"/>
              </w:rPr>
              <w:t>三级B</w:t>
            </w:r>
          </w:p>
        </w:tc>
        <w:tc>
          <w:tcPr>
            <w:tcW w:w="1450" w:type="dxa"/>
            <w:tcBorders>
              <w:tl2br w:val="nil"/>
              <w:tr2bl w:val="nil"/>
            </w:tcBorders>
            <w:vAlign w:val="center"/>
          </w:tcPr>
          <w:p w14:paraId="3754C485">
            <w:pPr>
              <w:pStyle w:val="228"/>
              <w:kinsoku w:val="0"/>
              <w:overflowPunct w:val="0"/>
              <w:rPr>
                <w:szCs w:val="21"/>
              </w:rPr>
            </w:pPr>
            <w:r>
              <w:rPr>
                <w:spacing w:val="-1"/>
                <w:szCs w:val="21"/>
              </w:rPr>
              <w:t>间接排放</w:t>
            </w:r>
          </w:p>
        </w:tc>
        <w:tc>
          <w:tcPr>
            <w:tcW w:w="5539" w:type="dxa"/>
            <w:tcBorders>
              <w:tl2br w:val="nil"/>
              <w:tr2bl w:val="nil"/>
            </w:tcBorders>
            <w:vAlign w:val="center"/>
          </w:tcPr>
          <w:p w14:paraId="4A03F530">
            <w:pPr>
              <w:pStyle w:val="228"/>
              <w:kinsoku w:val="0"/>
              <w:overflowPunct w:val="0"/>
              <w:rPr>
                <w:szCs w:val="21"/>
              </w:rPr>
            </w:pPr>
            <w:r>
              <w:rPr>
                <w:szCs w:val="21"/>
              </w:rPr>
              <w:t>-</w:t>
            </w:r>
          </w:p>
        </w:tc>
      </w:tr>
    </w:tbl>
    <w:p w14:paraId="3E629873">
      <w:pPr>
        <w:spacing w:line="360" w:lineRule="auto"/>
        <w:ind w:firstLine="480"/>
        <w:rPr>
          <w:rFonts w:hint="eastAsia" w:ascii="宋体" w:hAnsi="宋体" w:cs="宋体"/>
          <w:sz w:val="24"/>
          <w:szCs w:val="24"/>
          <w:lang w:val="zh-CN"/>
        </w:rPr>
      </w:pPr>
      <w:r>
        <w:rPr>
          <w:rFonts w:hint="eastAsia" w:ascii="宋体" w:hAnsi="宋体" w:cs="宋体"/>
          <w:sz w:val="24"/>
          <w:szCs w:val="24"/>
        </w:rPr>
        <w:t>根据工程分析，本项目生产过程中不产生生产废水，废水主要是</w:t>
      </w:r>
      <w:r>
        <w:rPr>
          <w:rFonts w:hint="eastAsia" w:ascii="宋体" w:hAnsi="宋体" w:cs="宋体"/>
          <w:sz w:val="24"/>
          <w:szCs w:val="24"/>
          <w:lang w:eastAsia="zh-CN"/>
        </w:rPr>
        <w:t>员工生活</w:t>
      </w:r>
      <w:r>
        <w:rPr>
          <w:rFonts w:hint="eastAsia" w:ascii="宋体" w:hAnsi="宋体" w:cs="宋体"/>
          <w:sz w:val="24"/>
          <w:szCs w:val="24"/>
        </w:rPr>
        <w:t>污水，</w:t>
      </w:r>
      <w:r>
        <w:rPr>
          <w:rFonts w:hint="eastAsia" w:ascii="宋体" w:hAnsi="宋体" w:cs="宋体"/>
          <w:sz w:val="24"/>
          <w:szCs w:val="24"/>
          <w:lang w:eastAsia="zh-CN"/>
        </w:rPr>
        <w:t>依托现有防渗</w:t>
      </w:r>
      <w:r>
        <w:rPr>
          <w:rFonts w:hint="eastAsia" w:ascii="宋体" w:hAnsi="宋体" w:cs="宋体"/>
          <w:sz w:val="24"/>
          <w:szCs w:val="24"/>
          <w:lang w:val="en-US" w:eastAsia="zh-CN"/>
        </w:rPr>
        <w:t>化粪池，</w:t>
      </w:r>
      <w:r>
        <w:rPr>
          <w:rFonts w:hint="eastAsia" w:ascii="宋体" w:hAnsi="宋体" w:cs="宋体"/>
          <w:sz w:val="24"/>
          <w:szCs w:val="24"/>
          <w:lang w:val="zh-CN"/>
        </w:rPr>
        <w:t>不排入地表水体，故不会对地表水产生影响。</w:t>
      </w:r>
    </w:p>
    <w:p w14:paraId="677F4586">
      <w:pPr>
        <w:pStyle w:val="16"/>
        <w:autoSpaceDE w:val="0"/>
        <w:autoSpaceDN w:val="0"/>
        <w:spacing w:after="0" w:line="360" w:lineRule="auto"/>
        <w:ind w:firstLine="480"/>
        <w:rPr>
          <w:rFonts w:hint="eastAsia" w:ascii="宋体" w:hAnsi="宋体" w:cs="宋体"/>
          <w:sz w:val="24"/>
          <w:szCs w:val="24"/>
        </w:rPr>
      </w:pPr>
      <w:r>
        <w:rPr>
          <w:rFonts w:hint="eastAsia" w:ascii="宋体" w:hAnsi="宋体" w:cs="宋体"/>
          <w:sz w:val="24"/>
          <w:szCs w:val="24"/>
        </w:rPr>
        <w:t>根据《环境影响评价技术导则地表水环境》（HJ2.3-2018）地表水环境影响评价分级判别标准，本项目</w:t>
      </w:r>
      <w:r>
        <w:rPr>
          <w:rFonts w:hint="eastAsia" w:ascii="宋体" w:hAnsi="宋体" w:cs="宋体"/>
          <w:sz w:val="24"/>
          <w:szCs w:val="24"/>
          <w:lang w:val="en-US"/>
        </w:rPr>
        <w:t>生活污水</w:t>
      </w:r>
      <w:r>
        <w:rPr>
          <w:rFonts w:hint="eastAsia" w:ascii="宋体" w:hAnsi="宋体" w:cs="宋体"/>
          <w:sz w:val="24"/>
          <w:szCs w:val="24"/>
        </w:rPr>
        <w:t>与地表水体不发生水力联系，因此，判定本项目地表水环境评价级别为三级B，可不必进行地表水环境影响预测。</w:t>
      </w:r>
    </w:p>
    <w:p w14:paraId="189B060A">
      <w:pPr>
        <w:pStyle w:val="5"/>
        <w:rPr>
          <w:rFonts w:ascii="Times New Roman" w:hAnsi="Times New Roman"/>
          <w:color w:val="000000"/>
          <w:lang w:val="en-US"/>
        </w:rPr>
      </w:pPr>
      <w:r>
        <w:rPr>
          <w:rFonts w:hint="eastAsia" w:ascii="Times New Roman" w:hAnsi="Times New Roman"/>
          <w:color w:val="000000"/>
          <w:lang w:val="en-US"/>
        </w:rPr>
        <w:t>2.5.2.2评价范围</w:t>
      </w:r>
    </w:p>
    <w:p w14:paraId="0E4377BE">
      <w:pPr>
        <w:spacing w:line="360" w:lineRule="auto"/>
        <w:ind w:firstLine="480"/>
        <w:rPr>
          <w:rFonts w:hint="eastAsia" w:ascii="宋体" w:hAnsi="宋体" w:cs="宋体"/>
          <w:sz w:val="24"/>
          <w:szCs w:val="24"/>
        </w:rPr>
      </w:pPr>
      <w:r>
        <w:rPr>
          <w:rFonts w:hint="eastAsia" w:ascii="宋体" w:hAnsi="宋体" w:cs="宋体"/>
          <w:sz w:val="24"/>
          <w:szCs w:val="24"/>
        </w:rPr>
        <w:t>参照《环境影响评价技术导则  地表水环境》（HJ2.3-2018）中地表水环境影响评价范围要求，根据评价等级、工程特点、影响方式及程度、地表水环境质量管理要求等确定。项目生产过程中不产生生产废水，废水主</w:t>
      </w:r>
      <w:r>
        <w:rPr>
          <w:rFonts w:hint="eastAsia" w:ascii="宋体" w:hAnsi="宋体" w:cs="宋体"/>
          <w:sz w:val="24"/>
          <w:szCs w:val="24"/>
          <w:lang w:eastAsia="zh-CN"/>
        </w:rPr>
        <w:t>要是员工</w:t>
      </w:r>
      <w:r>
        <w:rPr>
          <w:rFonts w:hint="eastAsia" w:ascii="宋体" w:hAnsi="宋体" w:cs="宋体"/>
          <w:sz w:val="24"/>
          <w:szCs w:val="24"/>
        </w:rPr>
        <w:t>生活污水，</w:t>
      </w:r>
      <w:r>
        <w:rPr>
          <w:rFonts w:hint="eastAsia" w:ascii="宋体" w:hAnsi="宋体" w:cs="宋体"/>
          <w:sz w:val="24"/>
          <w:szCs w:val="24"/>
          <w:lang w:eastAsia="zh-CN"/>
        </w:rPr>
        <w:t>依托现有</w:t>
      </w:r>
      <w:r>
        <w:rPr>
          <w:rFonts w:hint="eastAsia" w:ascii="宋体" w:hAnsi="宋体" w:cs="宋体"/>
          <w:sz w:val="24"/>
          <w:szCs w:val="24"/>
          <w:lang w:val="en-US" w:eastAsia="zh-CN"/>
        </w:rPr>
        <w:t>防渗化粪池</w:t>
      </w:r>
      <w:r>
        <w:rPr>
          <w:rFonts w:hint="eastAsia" w:ascii="宋体" w:hAnsi="宋体" w:cs="宋体"/>
          <w:sz w:val="24"/>
          <w:szCs w:val="24"/>
          <w:lang w:eastAsia="zh-CN"/>
        </w:rPr>
        <w:t>，定期</w:t>
      </w:r>
      <w:r>
        <w:rPr>
          <w:rFonts w:hint="eastAsia" w:ascii="宋体" w:hAnsi="宋体" w:cs="宋体"/>
          <w:sz w:val="24"/>
          <w:szCs w:val="24"/>
          <w:lang w:val="en-US" w:eastAsia="zh-CN"/>
        </w:rPr>
        <w:t>由库尔勒龙润水处理有限公司采用罐车</w:t>
      </w:r>
      <w:r>
        <w:rPr>
          <w:rFonts w:hint="eastAsia" w:ascii="宋体" w:hAnsi="宋体" w:cs="宋体"/>
          <w:sz w:val="24"/>
          <w:szCs w:val="24"/>
          <w:lang w:eastAsia="zh-CN"/>
        </w:rPr>
        <w:t>拉运至</w:t>
      </w:r>
      <w:r>
        <w:rPr>
          <w:rFonts w:hint="eastAsia" w:ascii="宋体" w:hAnsi="宋体" w:cs="宋体"/>
          <w:sz w:val="24"/>
          <w:szCs w:val="24"/>
          <w:lang w:val="en-US" w:eastAsia="zh-CN"/>
        </w:rPr>
        <w:t>库尔勒南市区</w:t>
      </w:r>
      <w:r>
        <w:rPr>
          <w:rFonts w:hint="eastAsia" w:ascii="宋体" w:hAnsi="宋体" w:cs="宋体"/>
          <w:sz w:val="24"/>
          <w:szCs w:val="24"/>
          <w:lang w:eastAsia="zh-CN"/>
        </w:rPr>
        <w:t>污水处理</w:t>
      </w:r>
      <w:r>
        <w:rPr>
          <w:rFonts w:hint="eastAsia" w:ascii="宋体" w:hAnsi="宋体" w:cs="宋体"/>
          <w:sz w:val="24"/>
          <w:szCs w:val="24"/>
          <w:lang w:val="en-US" w:eastAsia="zh-CN"/>
        </w:rPr>
        <w:t>厂</w:t>
      </w:r>
      <w:r>
        <w:rPr>
          <w:rFonts w:hint="eastAsia" w:ascii="宋体" w:hAnsi="宋体" w:cs="宋体"/>
          <w:sz w:val="24"/>
          <w:szCs w:val="24"/>
        </w:rPr>
        <w:t>，不外排。因此，本项目地表水评价不设评价范围，重点分析项目废水的处置方法及去向等的可行性。</w:t>
      </w:r>
    </w:p>
    <w:p w14:paraId="4D5559C9">
      <w:pPr>
        <w:pStyle w:val="4"/>
        <w:autoSpaceDE w:val="0"/>
        <w:autoSpaceDN w:val="0"/>
        <w:spacing w:before="0" w:after="0" w:line="360" w:lineRule="auto"/>
        <w:jc w:val="left"/>
        <w:rPr>
          <w:kern w:val="0"/>
          <w:sz w:val="24"/>
          <w:lang w:val="en-US" w:bidi="zh-CN"/>
        </w:rPr>
      </w:pPr>
      <w:bookmarkStart w:id="96" w:name="_Toc14963"/>
      <w:bookmarkStart w:id="97" w:name="_Toc2931"/>
      <w:bookmarkStart w:id="98" w:name="_Toc19310"/>
      <w:r>
        <w:rPr>
          <w:rFonts w:hint="eastAsia"/>
          <w:kern w:val="0"/>
          <w:sz w:val="24"/>
          <w:lang w:val="en-US" w:bidi="zh-CN"/>
        </w:rPr>
        <w:t>2.5.3地下水环境评价等级和评价范围</w:t>
      </w:r>
      <w:bookmarkEnd w:id="96"/>
      <w:bookmarkEnd w:id="97"/>
      <w:bookmarkEnd w:id="98"/>
    </w:p>
    <w:p w14:paraId="5E6262D6">
      <w:pPr>
        <w:pStyle w:val="5"/>
        <w:rPr>
          <w:rFonts w:ascii="Times New Roman" w:hAnsi="Times New Roman"/>
          <w:color w:val="000000"/>
          <w:lang w:val="en-US"/>
        </w:rPr>
      </w:pPr>
      <w:bookmarkStart w:id="99" w:name="_Toc22962"/>
      <w:bookmarkStart w:id="100" w:name="_Toc7821"/>
      <w:bookmarkStart w:id="101" w:name="_Toc23815"/>
      <w:r>
        <w:rPr>
          <w:rFonts w:hint="eastAsia" w:ascii="Times New Roman" w:hAnsi="Times New Roman"/>
          <w:color w:val="000000"/>
          <w:lang w:val="en-US"/>
        </w:rPr>
        <w:t>2.5.3.1评价等级</w:t>
      </w:r>
      <w:bookmarkEnd w:id="99"/>
      <w:bookmarkEnd w:id="100"/>
      <w:bookmarkEnd w:id="101"/>
    </w:p>
    <w:p w14:paraId="7F769E61">
      <w:pPr>
        <w:pStyle w:val="16"/>
        <w:kinsoku w:val="0"/>
        <w:overflowPunct w:val="0"/>
        <w:spacing w:after="0" w:line="360" w:lineRule="auto"/>
        <w:ind w:firstLine="480"/>
        <w:rPr>
          <w:rFonts w:hint="eastAsia" w:ascii="宋体" w:hAnsi="宋体" w:cs="宋体"/>
          <w:b/>
          <w:sz w:val="24"/>
          <w:szCs w:val="24"/>
        </w:rPr>
      </w:pPr>
      <w:r>
        <w:rPr>
          <w:rFonts w:hint="eastAsia" w:ascii="宋体" w:hAnsi="宋体" w:cs="宋体"/>
          <w:sz w:val="24"/>
          <w:szCs w:val="24"/>
        </w:rPr>
        <w:t>根据《环境影响评价技术导则</w:t>
      </w:r>
      <w:r>
        <w:rPr>
          <w:rFonts w:hint="eastAsia" w:ascii="宋体" w:hAnsi="宋体" w:cs="宋体"/>
          <w:sz w:val="24"/>
          <w:szCs w:val="24"/>
          <w:lang w:val="en-US"/>
        </w:rPr>
        <w:t xml:space="preserve">  </w:t>
      </w:r>
      <w:r>
        <w:rPr>
          <w:rFonts w:hint="eastAsia" w:ascii="宋体" w:hAnsi="宋体" w:cs="宋体"/>
          <w:sz w:val="24"/>
          <w:szCs w:val="24"/>
        </w:rPr>
        <w:t>地下水环境》（HJ610-2016），建设项目地下水环境评价工作等级划分见表2.</w:t>
      </w:r>
      <w:r>
        <w:rPr>
          <w:rFonts w:hint="eastAsia" w:ascii="宋体" w:hAnsi="宋体" w:cs="宋体"/>
          <w:sz w:val="24"/>
          <w:szCs w:val="24"/>
          <w:lang w:val="en-US"/>
        </w:rPr>
        <w:t>5</w:t>
      </w:r>
      <w:r>
        <w:rPr>
          <w:rFonts w:hint="eastAsia" w:ascii="宋体" w:hAnsi="宋体" w:cs="宋体"/>
          <w:sz w:val="24"/>
          <w:szCs w:val="24"/>
        </w:rPr>
        <w:t>-</w:t>
      </w:r>
      <w:r>
        <w:rPr>
          <w:rFonts w:hint="eastAsia" w:ascii="宋体" w:hAnsi="宋体" w:cs="宋体"/>
          <w:sz w:val="24"/>
          <w:szCs w:val="24"/>
          <w:lang w:val="en-US"/>
        </w:rPr>
        <w:t>6</w:t>
      </w:r>
      <w:r>
        <w:rPr>
          <w:rFonts w:hint="eastAsia" w:ascii="宋体" w:hAnsi="宋体" w:cs="宋体"/>
          <w:sz w:val="24"/>
          <w:szCs w:val="24"/>
        </w:rPr>
        <w:t>、表2.</w:t>
      </w:r>
      <w:r>
        <w:rPr>
          <w:rFonts w:hint="eastAsia" w:ascii="宋体" w:hAnsi="宋体" w:cs="宋体"/>
          <w:sz w:val="24"/>
          <w:szCs w:val="24"/>
          <w:lang w:val="en-US"/>
        </w:rPr>
        <w:t>5</w:t>
      </w:r>
      <w:r>
        <w:rPr>
          <w:rFonts w:hint="eastAsia" w:ascii="宋体" w:hAnsi="宋体" w:cs="宋体"/>
          <w:sz w:val="24"/>
          <w:szCs w:val="24"/>
        </w:rPr>
        <w:t>-</w:t>
      </w:r>
      <w:r>
        <w:rPr>
          <w:rFonts w:hint="eastAsia" w:ascii="宋体" w:hAnsi="宋体" w:cs="宋体"/>
          <w:sz w:val="24"/>
          <w:szCs w:val="24"/>
          <w:lang w:val="en-US"/>
        </w:rPr>
        <w:t>7</w:t>
      </w:r>
      <w:r>
        <w:rPr>
          <w:rFonts w:hint="eastAsia" w:ascii="宋体" w:hAnsi="宋体" w:cs="宋体"/>
          <w:sz w:val="24"/>
          <w:szCs w:val="24"/>
        </w:rPr>
        <w:t>。</w:t>
      </w:r>
    </w:p>
    <w:p w14:paraId="04A6EBFF">
      <w:pPr>
        <w:ind w:firstLine="422"/>
        <w:jc w:val="center"/>
        <w:rPr>
          <w:rFonts w:hint="eastAsia" w:ascii="宋体" w:hAnsi="宋体" w:cs="宋体"/>
          <w:b/>
          <w:szCs w:val="21"/>
        </w:rPr>
      </w:pPr>
      <w:r>
        <w:rPr>
          <w:rFonts w:hint="eastAsia" w:ascii="宋体" w:hAnsi="宋体" w:cs="宋体"/>
          <w:b/>
          <w:szCs w:val="21"/>
        </w:rPr>
        <w:t>表2.5-6   建设项目地下水评价等级分级表</w:t>
      </w:r>
    </w:p>
    <w:tbl>
      <w:tblPr>
        <w:tblStyle w:val="49"/>
        <w:tblW w:w="5000"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2262"/>
        <w:gridCol w:w="2259"/>
        <w:gridCol w:w="2262"/>
        <w:gridCol w:w="2262"/>
      </w:tblGrid>
      <w:tr w14:paraId="5F0CF61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2131" w:type="dxa"/>
            <w:tcBorders>
              <w:tl2br w:val="nil"/>
              <w:tr2bl w:val="nil"/>
            </w:tcBorders>
            <w:vAlign w:val="center"/>
          </w:tcPr>
          <w:p w14:paraId="12B859C0">
            <w:pPr>
              <w:pStyle w:val="228"/>
              <w:kinsoku w:val="0"/>
              <w:overflowPunct w:val="0"/>
              <w:ind w:firstLine="416"/>
              <w:rPr>
                <w:spacing w:val="-1"/>
                <w:szCs w:val="21"/>
              </w:rPr>
            </w:pPr>
            <w:r>
              <mc:AlternateContent>
                <mc:Choice Requires="wps">
                  <w:drawing>
                    <wp:anchor distT="0" distB="0" distL="114300" distR="114300" simplePos="0" relativeHeight="251660288" behindDoc="0" locked="0" layoutInCell="1" allowOverlap="1">
                      <wp:simplePos x="0" y="0"/>
                      <wp:positionH relativeFrom="column">
                        <wp:posOffset>26670</wp:posOffset>
                      </wp:positionH>
                      <wp:positionV relativeFrom="paragraph">
                        <wp:posOffset>14605</wp:posOffset>
                      </wp:positionV>
                      <wp:extent cx="1394460" cy="381000"/>
                      <wp:effectExtent l="10160" t="8890" r="5080" b="10160"/>
                      <wp:wrapNone/>
                      <wp:docPr id="2082013019" name="Line 3"/>
                      <wp:cNvGraphicFramePr/>
                      <a:graphic xmlns:a="http://schemas.openxmlformats.org/drawingml/2006/main">
                        <a:graphicData uri="http://schemas.microsoft.com/office/word/2010/wordprocessingShape">
                          <wps:wsp>
                            <wps:cNvCnPr>
                              <a:cxnSpLocks noChangeShapeType="1"/>
                            </wps:cNvCnPr>
                            <wps:spPr bwMode="auto">
                              <a:xfrm>
                                <a:off x="0" y="0"/>
                                <a:ext cx="1394460" cy="381000"/>
                              </a:xfrm>
                              <a:prstGeom prst="line">
                                <a:avLst/>
                              </a:prstGeom>
                              <a:noFill/>
                              <a:ln w="9525">
                                <a:solidFill>
                                  <a:srgbClr val="000000"/>
                                </a:solidFill>
                                <a:round/>
                              </a:ln>
                            </wps:spPr>
                            <wps:bodyPr/>
                          </wps:wsp>
                        </a:graphicData>
                      </a:graphic>
                    </wp:anchor>
                  </w:drawing>
                </mc:Choice>
                <mc:Fallback>
                  <w:pict>
                    <v:line id="Line 3" o:spid="_x0000_s1026" o:spt="20" style="position:absolute;left:0pt;margin-left:2.1pt;margin-top:1.15pt;height:30pt;width:109.8pt;z-index:251660288;mso-width-relative:page;mso-height-relative:page;" filled="f" stroked="t" coordsize="21600,21600" o:gfxdata="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Az8x7L1AAAAAYBAAAPAAAAAAAAAAEAIAAA&#10;ACIAAABkcnMvZG93bnJldi54bWxQSwECFAAUAAAACACHTuJA5lf8XdcBAACtAwAADgAAAAAAAAAB&#10;ACAAAAAjAQAAZHJzL2Uyb0RvYy54bWxQSwUGAAAAAAYABgBZAQAAbAUAAAAA&#10;">
                      <v:fill on="f" focussize="0,0"/>
                      <v:stroke color="#000000" joinstyle="round"/>
                      <v:imagedata o:title=""/>
                      <o:lock v:ext="edit" aspectratio="f"/>
                    </v:line>
                  </w:pict>
                </mc:Fallback>
              </mc:AlternateContent>
            </w:r>
            <w:r>
              <w:rPr>
                <w:rFonts w:hint="eastAsia"/>
                <w:spacing w:val="-1"/>
                <w:szCs w:val="21"/>
              </w:rPr>
              <w:t xml:space="preserve">       </w:t>
            </w:r>
            <w:r>
              <w:rPr>
                <w:spacing w:val="-1"/>
                <w:szCs w:val="21"/>
              </w:rPr>
              <w:t>项目类别</w:t>
            </w:r>
          </w:p>
          <w:p w14:paraId="4557D27F">
            <w:pPr>
              <w:pStyle w:val="228"/>
              <w:kinsoku w:val="0"/>
              <w:overflowPunct w:val="0"/>
              <w:jc w:val="left"/>
              <w:rPr>
                <w:szCs w:val="21"/>
              </w:rPr>
            </w:pPr>
            <w:r>
              <w:rPr>
                <w:spacing w:val="-1"/>
                <w:szCs w:val="21"/>
              </w:rPr>
              <w:t>环境敏感程度</w:t>
            </w:r>
          </w:p>
        </w:tc>
        <w:tc>
          <w:tcPr>
            <w:tcW w:w="2129" w:type="dxa"/>
            <w:tcBorders>
              <w:tl2br w:val="nil"/>
              <w:tr2bl w:val="nil"/>
            </w:tcBorders>
            <w:vAlign w:val="center"/>
          </w:tcPr>
          <w:p w14:paraId="5533315F">
            <w:pPr>
              <w:pStyle w:val="228"/>
              <w:kinsoku w:val="0"/>
              <w:overflowPunct w:val="0"/>
              <w:ind w:firstLine="420"/>
              <w:rPr>
                <w:szCs w:val="21"/>
              </w:rPr>
            </w:pPr>
            <w:r>
              <w:rPr>
                <w:szCs w:val="21"/>
              </w:rPr>
              <w:t>Ⅰ</w:t>
            </w:r>
          </w:p>
        </w:tc>
        <w:tc>
          <w:tcPr>
            <w:tcW w:w="2132" w:type="dxa"/>
            <w:tcBorders>
              <w:tl2br w:val="nil"/>
              <w:tr2bl w:val="nil"/>
            </w:tcBorders>
            <w:vAlign w:val="center"/>
          </w:tcPr>
          <w:p w14:paraId="27F9DE2F">
            <w:pPr>
              <w:pStyle w:val="228"/>
              <w:kinsoku w:val="0"/>
              <w:overflowPunct w:val="0"/>
              <w:ind w:firstLine="420"/>
              <w:rPr>
                <w:szCs w:val="21"/>
              </w:rPr>
            </w:pPr>
            <w:r>
              <w:rPr>
                <w:szCs w:val="21"/>
              </w:rPr>
              <w:t>Ⅱ</w:t>
            </w:r>
          </w:p>
        </w:tc>
        <w:tc>
          <w:tcPr>
            <w:tcW w:w="2132" w:type="dxa"/>
            <w:tcBorders>
              <w:tl2br w:val="nil"/>
              <w:tr2bl w:val="nil"/>
            </w:tcBorders>
            <w:vAlign w:val="center"/>
          </w:tcPr>
          <w:p w14:paraId="37CD6E4B">
            <w:pPr>
              <w:pStyle w:val="228"/>
              <w:kinsoku w:val="0"/>
              <w:overflowPunct w:val="0"/>
              <w:ind w:firstLine="420"/>
              <w:rPr>
                <w:szCs w:val="21"/>
              </w:rPr>
            </w:pPr>
            <w:r>
              <w:rPr>
                <w:szCs w:val="21"/>
              </w:rPr>
              <w:t>Ⅲ</w:t>
            </w:r>
          </w:p>
        </w:tc>
      </w:tr>
      <w:tr w14:paraId="1A5EFE1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131" w:type="dxa"/>
            <w:tcBorders>
              <w:tl2br w:val="nil"/>
              <w:tr2bl w:val="nil"/>
            </w:tcBorders>
            <w:vAlign w:val="center"/>
          </w:tcPr>
          <w:p w14:paraId="0F495E5F">
            <w:pPr>
              <w:pStyle w:val="228"/>
              <w:kinsoku w:val="0"/>
              <w:overflowPunct w:val="0"/>
              <w:ind w:firstLine="420"/>
              <w:rPr>
                <w:szCs w:val="21"/>
              </w:rPr>
            </w:pPr>
            <w:r>
              <w:rPr>
                <w:szCs w:val="21"/>
              </w:rPr>
              <w:t>敏感</w:t>
            </w:r>
          </w:p>
        </w:tc>
        <w:tc>
          <w:tcPr>
            <w:tcW w:w="2129" w:type="dxa"/>
            <w:tcBorders>
              <w:tl2br w:val="nil"/>
              <w:tr2bl w:val="nil"/>
            </w:tcBorders>
            <w:vAlign w:val="center"/>
          </w:tcPr>
          <w:p w14:paraId="0CB614B8">
            <w:pPr>
              <w:pStyle w:val="228"/>
              <w:kinsoku w:val="0"/>
              <w:overflowPunct w:val="0"/>
              <w:ind w:firstLine="420"/>
              <w:rPr>
                <w:szCs w:val="21"/>
              </w:rPr>
            </w:pPr>
            <w:r>
              <w:rPr>
                <w:szCs w:val="21"/>
              </w:rPr>
              <w:t>一</w:t>
            </w:r>
          </w:p>
        </w:tc>
        <w:tc>
          <w:tcPr>
            <w:tcW w:w="2132" w:type="dxa"/>
            <w:tcBorders>
              <w:tl2br w:val="nil"/>
              <w:tr2bl w:val="nil"/>
            </w:tcBorders>
            <w:vAlign w:val="center"/>
          </w:tcPr>
          <w:p w14:paraId="40457EC8">
            <w:pPr>
              <w:pStyle w:val="228"/>
              <w:kinsoku w:val="0"/>
              <w:overflowPunct w:val="0"/>
              <w:ind w:firstLine="420"/>
              <w:rPr>
                <w:szCs w:val="21"/>
              </w:rPr>
            </w:pPr>
            <w:r>
              <w:rPr>
                <w:szCs w:val="21"/>
              </w:rPr>
              <w:t>一</w:t>
            </w:r>
          </w:p>
        </w:tc>
        <w:tc>
          <w:tcPr>
            <w:tcW w:w="2132" w:type="dxa"/>
            <w:tcBorders>
              <w:tl2br w:val="nil"/>
              <w:tr2bl w:val="nil"/>
            </w:tcBorders>
            <w:vAlign w:val="center"/>
          </w:tcPr>
          <w:p w14:paraId="451D9161">
            <w:pPr>
              <w:pStyle w:val="228"/>
              <w:kinsoku w:val="0"/>
              <w:overflowPunct w:val="0"/>
              <w:ind w:firstLine="420"/>
              <w:rPr>
                <w:szCs w:val="21"/>
              </w:rPr>
            </w:pPr>
            <w:r>
              <w:rPr>
                <w:szCs w:val="21"/>
              </w:rPr>
              <w:t>二</w:t>
            </w:r>
          </w:p>
        </w:tc>
      </w:tr>
      <w:tr w14:paraId="38E5CDF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131" w:type="dxa"/>
            <w:tcBorders>
              <w:tl2br w:val="nil"/>
              <w:tr2bl w:val="nil"/>
            </w:tcBorders>
            <w:vAlign w:val="center"/>
          </w:tcPr>
          <w:p w14:paraId="4946BFFA">
            <w:pPr>
              <w:pStyle w:val="228"/>
              <w:kinsoku w:val="0"/>
              <w:overflowPunct w:val="0"/>
              <w:ind w:firstLine="420"/>
              <w:rPr>
                <w:szCs w:val="21"/>
              </w:rPr>
            </w:pPr>
            <w:r>
              <w:rPr>
                <w:szCs w:val="21"/>
              </w:rPr>
              <w:t>较敏感</w:t>
            </w:r>
          </w:p>
        </w:tc>
        <w:tc>
          <w:tcPr>
            <w:tcW w:w="2129" w:type="dxa"/>
            <w:tcBorders>
              <w:tl2br w:val="nil"/>
              <w:tr2bl w:val="nil"/>
            </w:tcBorders>
            <w:vAlign w:val="center"/>
          </w:tcPr>
          <w:p w14:paraId="3A3FAAD2">
            <w:pPr>
              <w:pStyle w:val="228"/>
              <w:kinsoku w:val="0"/>
              <w:overflowPunct w:val="0"/>
              <w:ind w:firstLine="420"/>
              <w:rPr>
                <w:szCs w:val="21"/>
              </w:rPr>
            </w:pPr>
            <w:r>
              <w:rPr>
                <w:szCs w:val="21"/>
              </w:rPr>
              <w:t>一</w:t>
            </w:r>
          </w:p>
        </w:tc>
        <w:tc>
          <w:tcPr>
            <w:tcW w:w="2132" w:type="dxa"/>
            <w:tcBorders>
              <w:tl2br w:val="nil"/>
              <w:tr2bl w:val="nil"/>
            </w:tcBorders>
            <w:vAlign w:val="center"/>
          </w:tcPr>
          <w:p w14:paraId="3788FB54">
            <w:pPr>
              <w:pStyle w:val="228"/>
              <w:kinsoku w:val="0"/>
              <w:overflowPunct w:val="0"/>
              <w:ind w:firstLine="420"/>
              <w:rPr>
                <w:szCs w:val="21"/>
              </w:rPr>
            </w:pPr>
            <w:r>
              <w:rPr>
                <w:szCs w:val="21"/>
              </w:rPr>
              <w:t>二</w:t>
            </w:r>
          </w:p>
        </w:tc>
        <w:tc>
          <w:tcPr>
            <w:tcW w:w="2132" w:type="dxa"/>
            <w:tcBorders>
              <w:tl2br w:val="nil"/>
              <w:tr2bl w:val="nil"/>
            </w:tcBorders>
            <w:vAlign w:val="center"/>
          </w:tcPr>
          <w:p w14:paraId="1D1E9278">
            <w:pPr>
              <w:pStyle w:val="228"/>
              <w:kinsoku w:val="0"/>
              <w:overflowPunct w:val="0"/>
              <w:ind w:firstLine="420"/>
              <w:rPr>
                <w:szCs w:val="21"/>
              </w:rPr>
            </w:pPr>
            <w:r>
              <w:rPr>
                <w:szCs w:val="21"/>
              </w:rPr>
              <w:t>三</w:t>
            </w:r>
          </w:p>
        </w:tc>
      </w:tr>
      <w:tr w14:paraId="01A06D9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131" w:type="dxa"/>
            <w:tcBorders>
              <w:tl2br w:val="nil"/>
              <w:tr2bl w:val="nil"/>
            </w:tcBorders>
            <w:vAlign w:val="center"/>
          </w:tcPr>
          <w:p w14:paraId="631BB521">
            <w:pPr>
              <w:pStyle w:val="228"/>
              <w:kinsoku w:val="0"/>
              <w:overflowPunct w:val="0"/>
              <w:ind w:firstLine="420"/>
              <w:rPr>
                <w:szCs w:val="21"/>
              </w:rPr>
            </w:pPr>
            <w:r>
              <w:rPr>
                <w:szCs w:val="21"/>
              </w:rPr>
              <w:t>不敏感</w:t>
            </w:r>
          </w:p>
        </w:tc>
        <w:tc>
          <w:tcPr>
            <w:tcW w:w="2129" w:type="dxa"/>
            <w:tcBorders>
              <w:tl2br w:val="nil"/>
              <w:tr2bl w:val="nil"/>
            </w:tcBorders>
            <w:vAlign w:val="center"/>
          </w:tcPr>
          <w:p w14:paraId="39008D81">
            <w:pPr>
              <w:pStyle w:val="228"/>
              <w:kinsoku w:val="0"/>
              <w:overflowPunct w:val="0"/>
              <w:ind w:firstLine="420"/>
              <w:rPr>
                <w:szCs w:val="21"/>
              </w:rPr>
            </w:pPr>
            <w:r>
              <w:rPr>
                <w:szCs w:val="21"/>
              </w:rPr>
              <w:t>二</w:t>
            </w:r>
          </w:p>
        </w:tc>
        <w:tc>
          <w:tcPr>
            <w:tcW w:w="2132" w:type="dxa"/>
            <w:tcBorders>
              <w:tl2br w:val="nil"/>
              <w:tr2bl w:val="nil"/>
            </w:tcBorders>
            <w:vAlign w:val="center"/>
          </w:tcPr>
          <w:p w14:paraId="65415186">
            <w:pPr>
              <w:pStyle w:val="228"/>
              <w:kinsoku w:val="0"/>
              <w:overflowPunct w:val="0"/>
              <w:ind w:firstLine="420"/>
              <w:rPr>
                <w:szCs w:val="21"/>
              </w:rPr>
            </w:pPr>
            <w:r>
              <w:rPr>
                <w:szCs w:val="21"/>
              </w:rPr>
              <w:t>三</w:t>
            </w:r>
          </w:p>
        </w:tc>
        <w:tc>
          <w:tcPr>
            <w:tcW w:w="2132" w:type="dxa"/>
            <w:tcBorders>
              <w:tl2br w:val="nil"/>
              <w:tr2bl w:val="nil"/>
            </w:tcBorders>
            <w:vAlign w:val="center"/>
          </w:tcPr>
          <w:p w14:paraId="15E15C59">
            <w:pPr>
              <w:pStyle w:val="228"/>
              <w:kinsoku w:val="0"/>
              <w:overflowPunct w:val="0"/>
              <w:ind w:firstLine="420"/>
              <w:rPr>
                <w:szCs w:val="21"/>
              </w:rPr>
            </w:pPr>
            <w:r>
              <w:rPr>
                <w:szCs w:val="21"/>
              </w:rPr>
              <w:t>三</w:t>
            </w:r>
          </w:p>
        </w:tc>
      </w:tr>
    </w:tbl>
    <w:p w14:paraId="0298261A">
      <w:pPr>
        <w:pStyle w:val="16"/>
        <w:kinsoku w:val="0"/>
        <w:overflowPunct w:val="0"/>
        <w:spacing w:line="240" w:lineRule="exact"/>
        <w:ind w:firstLine="280"/>
        <w:rPr>
          <w:sz w:val="14"/>
          <w:szCs w:val="14"/>
        </w:rPr>
      </w:pPr>
    </w:p>
    <w:p w14:paraId="21FA5F6E">
      <w:pPr>
        <w:ind w:firstLine="422"/>
        <w:jc w:val="center"/>
        <w:rPr>
          <w:rFonts w:hint="eastAsia" w:ascii="宋体" w:hAnsi="宋体" w:cs="宋体"/>
          <w:b/>
          <w:szCs w:val="21"/>
        </w:rPr>
      </w:pPr>
      <w:r>
        <w:rPr>
          <w:rFonts w:hint="eastAsia" w:ascii="宋体" w:hAnsi="宋体" w:cs="宋体"/>
          <w:b/>
          <w:szCs w:val="21"/>
        </w:rPr>
        <w:t>表2.5-7   地下水环境敏感程度分级表</w:t>
      </w:r>
    </w:p>
    <w:tbl>
      <w:tblPr>
        <w:tblStyle w:val="49"/>
        <w:tblW w:w="5000"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1335"/>
        <w:gridCol w:w="7710"/>
      </w:tblGrid>
      <w:tr w14:paraId="56F44FD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281" w:type="dxa"/>
            <w:tcBorders>
              <w:tl2br w:val="nil"/>
              <w:tr2bl w:val="nil"/>
            </w:tcBorders>
            <w:vAlign w:val="center"/>
          </w:tcPr>
          <w:p w14:paraId="1D2BD5D7">
            <w:pPr>
              <w:jc w:val="center"/>
              <w:rPr>
                <w:szCs w:val="21"/>
              </w:rPr>
            </w:pPr>
            <w:r>
              <w:rPr>
                <w:szCs w:val="21"/>
              </w:rPr>
              <w:t>敏感程度</w:t>
            </w:r>
          </w:p>
        </w:tc>
        <w:tc>
          <w:tcPr>
            <w:tcW w:w="7399" w:type="dxa"/>
            <w:tcBorders>
              <w:tl2br w:val="nil"/>
              <w:tr2bl w:val="nil"/>
            </w:tcBorders>
            <w:vAlign w:val="center"/>
          </w:tcPr>
          <w:p w14:paraId="35B76040">
            <w:pPr>
              <w:jc w:val="center"/>
              <w:rPr>
                <w:szCs w:val="21"/>
              </w:rPr>
            </w:pPr>
            <w:r>
              <w:rPr>
                <w:szCs w:val="21"/>
              </w:rPr>
              <w:t>地下水环境敏感特征</w:t>
            </w:r>
          </w:p>
        </w:tc>
      </w:tr>
      <w:tr w14:paraId="1515E9D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281" w:type="dxa"/>
            <w:tcBorders>
              <w:tl2br w:val="nil"/>
              <w:tr2bl w:val="nil"/>
            </w:tcBorders>
            <w:vAlign w:val="center"/>
          </w:tcPr>
          <w:p w14:paraId="75A84332">
            <w:pPr>
              <w:jc w:val="center"/>
              <w:rPr>
                <w:szCs w:val="21"/>
              </w:rPr>
            </w:pPr>
            <w:r>
              <w:rPr>
                <w:szCs w:val="21"/>
              </w:rPr>
              <w:t>敏感</w:t>
            </w:r>
          </w:p>
        </w:tc>
        <w:tc>
          <w:tcPr>
            <w:tcW w:w="7399" w:type="dxa"/>
            <w:tcBorders>
              <w:tl2br w:val="nil"/>
              <w:tr2bl w:val="nil"/>
            </w:tcBorders>
            <w:vAlign w:val="center"/>
          </w:tcPr>
          <w:p w14:paraId="5326CFAC">
            <w:pPr>
              <w:jc w:val="center"/>
              <w:rPr>
                <w:szCs w:val="21"/>
              </w:rPr>
            </w:pPr>
            <w:r>
              <w:rPr>
                <w:szCs w:val="21"/>
              </w:rPr>
              <w:t>集中式饮用水水源（包括已建成的在用、备用、应急水源，在建和规划的</w:t>
            </w:r>
          </w:p>
          <w:p w14:paraId="12F9D2BA">
            <w:pPr>
              <w:jc w:val="center"/>
              <w:rPr>
                <w:szCs w:val="21"/>
              </w:rPr>
            </w:pPr>
            <w:r>
              <w:rPr>
                <w:szCs w:val="21"/>
              </w:rPr>
              <w:t>饮用水水源）准保护区；除集中式饮用水水源以外的国家或地方政府设定的与地下水环境相关的其他保护区，如热水、矿泉水、温泉等特殊地下水资源保护区。</w:t>
            </w:r>
          </w:p>
        </w:tc>
      </w:tr>
      <w:tr w14:paraId="580D759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281" w:type="dxa"/>
            <w:tcBorders>
              <w:tl2br w:val="nil"/>
              <w:tr2bl w:val="nil"/>
            </w:tcBorders>
            <w:vAlign w:val="center"/>
          </w:tcPr>
          <w:p w14:paraId="04B970EC">
            <w:pPr>
              <w:jc w:val="center"/>
              <w:rPr>
                <w:szCs w:val="21"/>
              </w:rPr>
            </w:pPr>
            <w:r>
              <w:rPr>
                <w:szCs w:val="21"/>
              </w:rPr>
              <w:t>较敏感</w:t>
            </w:r>
          </w:p>
        </w:tc>
        <w:tc>
          <w:tcPr>
            <w:tcW w:w="7399" w:type="dxa"/>
            <w:tcBorders>
              <w:tl2br w:val="nil"/>
              <w:tr2bl w:val="nil"/>
            </w:tcBorders>
            <w:vAlign w:val="center"/>
          </w:tcPr>
          <w:p w14:paraId="592DB299">
            <w:pPr>
              <w:jc w:val="center"/>
              <w:rPr>
                <w:szCs w:val="21"/>
              </w:rPr>
            </w:pPr>
            <w:r>
              <w:rPr>
                <w:szCs w:val="21"/>
              </w:rPr>
              <w:t>集中式饮用水水源（包括已建成的在用、备用、应急水源，在建和规划的</w:t>
            </w:r>
          </w:p>
          <w:p w14:paraId="49297F82">
            <w:pPr>
              <w:jc w:val="center"/>
              <w:rPr>
                <w:szCs w:val="21"/>
              </w:rPr>
            </w:pPr>
            <w:r>
              <w:rPr>
                <w:szCs w:val="21"/>
              </w:rPr>
              <w:t>饮用水水源）准保护区以外的补给径流区；未划定准保护区的</w:t>
            </w:r>
            <w:r>
              <w:rPr>
                <w:rFonts w:hint="eastAsia"/>
                <w:szCs w:val="21"/>
              </w:rPr>
              <w:t>集中</w:t>
            </w:r>
            <w:r>
              <w:rPr>
                <w:szCs w:val="21"/>
              </w:rPr>
              <w:t>式饮用水水源，其保护区以外的补给径流区；分散式饮用水水源地；特殊地下水资源（如矿泉水、温泉等）保护区以外的分布区等其他未列入上述敏感分级的环境敏感区。</w:t>
            </w:r>
          </w:p>
        </w:tc>
      </w:tr>
      <w:tr w14:paraId="696A853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281" w:type="dxa"/>
            <w:tcBorders>
              <w:tl2br w:val="nil"/>
              <w:tr2bl w:val="nil"/>
            </w:tcBorders>
            <w:vAlign w:val="center"/>
          </w:tcPr>
          <w:p w14:paraId="17651A1E">
            <w:pPr>
              <w:jc w:val="center"/>
              <w:rPr>
                <w:szCs w:val="21"/>
              </w:rPr>
            </w:pPr>
            <w:r>
              <w:rPr>
                <w:szCs w:val="21"/>
              </w:rPr>
              <w:t>不敏感</w:t>
            </w:r>
          </w:p>
        </w:tc>
        <w:tc>
          <w:tcPr>
            <w:tcW w:w="7399" w:type="dxa"/>
            <w:tcBorders>
              <w:tl2br w:val="nil"/>
              <w:tr2bl w:val="nil"/>
            </w:tcBorders>
            <w:vAlign w:val="center"/>
          </w:tcPr>
          <w:p w14:paraId="1CA7B8D5">
            <w:pPr>
              <w:jc w:val="center"/>
              <w:rPr>
                <w:szCs w:val="21"/>
              </w:rPr>
            </w:pPr>
            <w:r>
              <w:rPr>
                <w:szCs w:val="21"/>
              </w:rPr>
              <w:t>上述地区之外的其它地区。</w:t>
            </w:r>
          </w:p>
        </w:tc>
      </w:tr>
    </w:tbl>
    <w:p w14:paraId="36866867">
      <w:pPr>
        <w:spacing w:line="360" w:lineRule="auto"/>
        <w:ind w:firstLine="480" w:firstLineChars="200"/>
        <w:rPr>
          <w:rFonts w:hint="eastAsia" w:ascii="宋体" w:hAnsi="宋体" w:cs="宋体"/>
          <w:sz w:val="24"/>
          <w:szCs w:val="24"/>
        </w:rPr>
      </w:pPr>
      <w:r>
        <w:rPr>
          <w:rFonts w:ascii="宋体" w:hAnsi="宋体" w:eastAsia="宋体" w:cs="宋体"/>
          <w:sz w:val="24"/>
          <w:szCs w:val="24"/>
        </w:rPr>
        <w:t>根据《环境影响评价技术导则 地下水环境》（HJ610-2016）附录A地下水环境影响评价行业分类表，再生塑料颗粒生产属于“155、废旧资源（含生物质） 加工、再生利用”中的“废塑料再生利用”，地下水类别为</w:t>
      </w:r>
      <w:r>
        <w:rPr>
          <w:rFonts w:hint="eastAsia" w:ascii="宋体" w:hAnsi="宋体" w:eastAsia="宋体" w:cs="宋体"/>
          <w:sz w:val="24"/>
          <w:szCs w:val="24"/>
          <w:lang w:eastAsia="zh-CN"/>
        </w:rPr>
        <w:t>Ⅲ</w:t>
      </w:r>
      <w:r>
        <w:rPr>
          <w:rFonts w:ascii="宋体" w:hAnsi="宋体" w:eastAsia="宋体" w:cs="宋体"/>
          <w:sz w:val="24"/>
          <w:szCs w:val="24"/>
        </w:rPr>
        <w:t>类。滴灌带生产属于“116、塑料制品制造”中的“其他”，地下水环境影响评价项目类别为Ⅳ类。</w:t>
      </w:r>
      <w:r>
        <w:rPr>
          <w:rFonts w:hint="eastAsia" w:ascii="宋体" w:hAnsi="宋体" w:cs="宋体"/>
          <w:sz w:val="24"/>
          <w:szCs w:val="24"/>
        </w:rPr>
        <w:t>本项目评价范围内不存在集中式水源地、分散式水源地和特殊地下水资源分布区，因此地下水环境为“不敏感”。根据《环境影响评价技术导则地下水环境》（HJ60-2016）的分级判据，本项目地下水评价等级定为三级。</w:t>
      </w:r>
    </w:p>
    <w:p w14:paraId="5D5FF8D4">
      <w:pPr>
        <w:pStyle w:val="5"/>
        <w:rPr>
          <w:rFonts w:ascii="Times New Roman" w:hAnsi="Times New Roman"/>
          <w:color w:val="000000"/>
          <w:lang w:val="en-US"/>
        </w:rPr>
      </w:pPr>
      <w:bookmarkStart w:id="102" w:name="_Toc24942"/>
      <w:bookmarkStart w:id="103" w:name="_Toc8481"/>
      <w:r>
        <w:rPr>
          <w:rFonts w:hint="eastAsia" w:ascii="Times New Roman" w:hAnsi="Times New Roman"/>
          <w:color w:val="000000"/>
          <w:lang w:val="en-US"/>
        </w:rPr>
        <w:t>2.5.3.2评价</w:t>
      </w:r>
      <w:bookmarkEnd w:id="102"/>
      <w:bookmarkEnd w:id="103"/>
      <w:r>
        <w:rPr>
          <w:rFonts w:hint="eastAsia" w:ascii="Times New Roman" w:hAnsi="Times New Roman"/>
          <w:color w:val="000000"/>
          <w:lang w:val="en-US"/>
        </w:rPr>
        <w:t>范围</w:t>
      </w:r>
    </w:p>
    <w:p w14:paraId="45D9CCCF">
      <w:pPr>
        <w:pStyle w:val="16"/>
        <w:overflowPunct w:val="0"/>
        <w:topLinePunct/>
        <w:autoSpaceDE w:val="0"/>
        <w:autoSpaceDN w:val="0"/>
        <w:spacing w:after="0" w:line="360" w:lineRule="auto"/>
        <w:ind w:firstLine="480"/>
        <w:rPr>
          <w:rFonts w:hint="eastAsia" w:ascii="宋体" w:hAnsi="宋体" w:cs="宋体"/>
          <w:sz w:val="24"/>
          <w:szCs w:val="24"/>
          <w:lang w:val="en-US"/>
        </w:rPr>
      </w:pPr>
      <w:r>
        <w:rPr>
          <w:rFonts w:hint="eastAsia" w:ascii="宋体" w:hAnsi="宋体" w:cs="宋体"/>
          <w:sz w:val="24"/>
          <w:szCs w:val="24"/>
        </w:rPr>
        <w:t>《环境影响评价技术导则</w:t>
      </w:r>
      <w:r>
        <w:rPr>
          <w:rFonts w:hint="eastAsia" w:ascii="宋体" w:hAnsi="宋体" w:cs="宋体"/>
          <w:sz w:val="24"/>
          <w:szCs w:val="24"/>
          <w:lang w:val="en-US"/>
        </w:rPr>
        <w:t xml:space="preserve">  </w:t>
      </w:r>
      <w:r>
        <w:rPr>
          <w:rFonts w:hint="eastAsia" w:ascii="宋体" w:hAnsi="宋体" w:cs="宋体"/>
          <w:sz w:val="24"/>
          <w:szCs w:val="24"/>
        </w:rPr>
        <w:t>地下水环境》（HJ610-2016）8.2.2.1条，项目地下水调查评价范围≤6km</w:t>
      </w:r>
      <w:r>
        <w:rPr>
          <w:rFonts w:hint="eastAsia" w:ascii="宋体" w:hAnsi="宋体" w:cs="宋体"/>
          <w:sz w:val="24"/>
          <w:szCs w:val="24"/>
          <w:vertAlign w:val="superscript"/>
        </w:rPr>
        <w:t>2</w:t>
      </w:r>
      <w:r>
        <w:rPr>
          <w:rFonts w:hint="eastAsia" w:ascii="宋体" w:hAnsi="宋体" w:cs="宋体"/>
          <w:sz w:val="24"/>
          <w:szCs w:val="24"/>
        </w:rPr>
        <w:t>。根据导则三级评价以能说明地下水环境的基本情况，并满足环境影响预测和分析的要求为原则确定调查评价范围；项目所在地地势较为平坦，本次确定地下水的评价范围以本项目厂址中心为中心，根据地下水流向，沿地下水向上游方向1km，下游2km，侧向各1.0km</w:t>
      </w:r>
      <w:r>
        <w:rPr>
          <w:rFonts w:hint="eastAsia" w:ascii="宋体" w:hAnsi="宋体" w:cs="宋体"/>
          <w:sz w:val="24"/>
          <w:szCs w:val="24"/>
          <w:lang w:val="en-US"/>
        </w:rPr>
        <w:t>共</w:t>
      </w:r>
      <w:r>
        <w:rPr>
          <w:rFonts w:hint="eastAsia" w:ascii="宋体" w:hAnsi="宋体" w:cs="宋体"/>
          <w:sz w:val="24"/>
          <w:szCs w:val="24"/>
        </w:rPr>
        <w:t>6km</w:t>
      </w:r>
      <w:r>
        <w:rPr>
          <w:rFonts w:hint="eastAsia" w:ascii="宋体" w:hAnsi="宋体" w:cs="宋体"/>
          <w:sz w:val="24"/>
          <w:szCs w:val="24"/>
          <w:vertAlign w:val="superscript"/>
        </w:rPr>
        <w:t>2</w:t>
      </w:r>
      <w:r>
        <w:rPr>
          <w:rFonts w:hint="eastAsia" w:ascii="宋体" w:hAnsi="宋体" w:cs="宋体"/>
          <w:sz w:val="24"/>
          <w:szCs w:val="24"/>
          <w:lang w:val="en-US"/>
        </w:rPr>
        <w:t>区域</w:t>
      </w:r>
      <w:r>
        <w:rPr>
          <w:rFonts w:hint="eastAsia" w:ascii="宋体" w:hAnsi="宋体" w:cs="宋体"/>
          <w:sz w:val="24"/>
          <w:szCs w:val="24"/>
        </w:rPr>
        <w:t>。</w:t>
      </w:r>
      <w:r>
        <w:rPr>
          <w:rFonts w:hint="eastAsia" w:ascii="宋体" w:hAnsi="宋体" w:cs="宋体"/>
          <w:sz w:val="24"/>
          <w:szCs w:val="24"/>
          <w:lang w:val="en-US"/>
        </w:rPr>
        <w:t>评价范围示意图见2.5-1。</w:t>
      </w:r>
    </w:p>
    <w:p w14:paraId="4F92FB56">
      <w:pPr>
        <w:pStyle w:val="4"/>
        <w:autoSpaceDE w:val="0"/>
        <w:autoSpaceDN w:val="0"/>
        <w:spacing w:before="0" w:after="0" w:line="360" w:lineRule="auto"/>
        <w:jc w:val="left"/>
        <w:rPr>
          <w:kern w:val="0"/>
          <w:sz w:val="24"/>
          <w:lang w:val="en-US" w:bidi="zh-CN"/>
        </w:rPr>
      </w:pPr>
      <w:r>
        <w:rPr>
          <w:rFonts w:hint="eastAsia"/>
          <w:kern w:val="0"/>
          <w:sz w:val="24"/>
          <w:lang w:val="en-US" w:bidi="zh-CN"/>
        </w:rPr>
        <w:t>2.5.4声环境评价等级和评价范围</w:t>
      </w:r>
    </w:p>
    <w:p w14:paraId="54C0FFC9">
      <w:pPr>
        <w:pStyle w:val="5"/>
        <w:rPr>
          <w:rFonts w:ascii="Times New Roman" w:hAnsi="Times New Roman"/>
          <w:color w:val="000000"/>
          <w:lang w:val="en-US"/>
        </w:rPr>
      </w:pPr>
      <w:r>
        <w:rPr>
          <w:rFonts w:hint="eastAsia" w:ascii="Times New Roman" w:hAnsi="Times New Roman"/>
          <w:color w:val="000000"/>
          <w:lang w:val="en-US"/>
        </w:rPr>
        <w:t>2.5.4.1评价等级</w:t>
      </w:r>
    </w:p>
    <w:p w14:paraId="0B21B14B">
      <w:pPr>
        <w:snapToGrid w:val="0"/>
        <w:spacing w:line="440" w:lineRule="exact"/>
        <w:ind w:firstLine="480" w:firstLineChars="200"/>
        <w:rPr>
          <w:rFonts w:hint="eastAsia" w:ascii="宋体" w:hAnsi="宋体" w:cs="宋体"/>
          <w:sz w:val="24"/>
          <w:szCs w:val="24"/>
        </w:rPr>
      </w:pPr>
      <w:r>
        <w:rPr>
          <w:rFonts w:hint="eastAsia" w:ascii="宋体" w:hAnsi="宋体" w:cs="宋体"/>
          <w:sz w:val="24"/>
          <w:szCs w:val="24"/>
        </w:rPr>
        <w:t>根据《环境影响评价技术导则 声环境》（HJ2.4-2021）中规定的评价工作等级划分依据，将声环境影响评价工作分为一、二、三级，划分依据见表2.5-8。</w:t>
      </w:r>
    </w:p>
    <w:p w14:paraId="03AB4130">
      <w:pPr>
        <w:snapToGrid w:val="0"/>
        <w:spacing w:line="440" w:lineRule="exact"/>
        <w:jc w:val="center"/>
        <w:rPr>
          <w:rFonts w:hint="eastAsia" w:ascii="宋体" w:hAnsi="宋体" w:cs="宋体"/>
          <w:b/>
          <w:bCs/>
          <w:szCs w:val="21"/>
        </w:rPr>
      </w:pPr>
    </w:p>
    <w:p w14:paraId="269B339C">
      <w:pPr>
        <w:snapToGrid w:val="0"/>
        <w:spacing w:line="440" w:lineRule="exact"/>
        <w:jc w:val="center"/>
        <w:rPr>
          <w:rFonts w:hint="eastAsia" w:ascii="宋体" w:hAnsi="宋体" w:cs="宋体"/>
          <w:b/>
          <w:bCs/>
          <w:szCs w:val="21"/>
        </w:rPr>
      </w:pPr>
      <w:r>
        <w:rPr>
          <w:rFonts w:hint="eastAsia" w:ascii="宋体" w:hAnsi="宋体" w:cs="宋体"/>
          <w:b/>
          <w:bCs/>
          <w:szCs w:val="21"/>
        </w:rPr>
        <w:t>表2.5-8    声环境影响评价工作级别划分依据一览表</w:t>
      </w:r>
    </w:p>
    <w:tbl>
      <w:tblPr>
        <w:tblStyle w:val="50"/>
        <w:tblW w:w="4952"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050"/>
        <w:gridCol w:w="8092"/>
      </w:tblGrid>
      <w:tr w14:paraId="2DAAACD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4" w:hRule="atLeast"/>
        </w:trPr>
        <w:tc>
          <w:tcPr>
            <w:tcW w:w="574" w:type="pct"/>
            <w:tcBorders>
              <w:tl2br w:val="nil"/>
              <w:tr2bl w:val="nil"/>
            </w:tcBorders>
            <w:vAlign w:val="center"/>
          </w:tcPr>
          <w:p w14:paraId="2B17A557">
            <w:pPr>
              <w:adjustRightInd w:val="0"/>
              <w:snapToGrid w:val="0"/>
              <w:jc w:val="center"/>
              <w:rPr>
                <w:rFonts w:hint="eastAsia" w:ascii="宋体" w:hAnsi="宋体" w:cs="宋体"/>
                <w:bCs/>
                <w:szCs w:val="21"/>
              </w:rPr>
            </w:pPr>
            <w:r>
              <w:rPr>
                <w:rFonts w:hint="eastAsia" w:ascii="宋体" w:hAnsi="宋体" w:cs="宋体"/>
                <w:bCs/>
                <w:szCs w:val="21"/>
              </w:rPr>
              <w:t>评价工作等级</w:t>
            </w:r>
          </w:p>
        </w:tc>
        <w:tc>
          <w:tcPr>
            <w:tcW w:w="4425" w:type="pct"/>
            <w:tcBorders>
              <w:tl2br w:val="nil"/>
              <w:tr2bl w:val="nil"/>
            </w:tcBorders>
            <w:vAlign w:val="center"/>
          </w:tcPr>
          <w:p w14:paraId="452EC0E3">
            <w:pPr>
              <w:adjustRightInd w:val="0"/>
              <w:snapToGrid w:val="0"/>
              <w:jc w:val="center"/>
              <w:rPr>
                <w:rFonts w:hint="eastAsia" w:ascii="宋体" w:hAnsi="宋体" w:cs="宋体"/>
                <w:bCs/>
                <w:szCs w:val="21"/>
              </w:rPr>
            </w:pPr>
            <w:r>
              <w:rPr>
                <w:rFonts w:hint="eastAsia" w:ascii="宋体" w:hAnsi="宋体" w:cs="宋体"/>
                <w:bCs/>
                <w:szCs w:val="21"/>
              </w:rPr>
              <w:t>评价工作分级判据</w:t>
            </w:r>
          </w:p>
        </w:tc>
      </w:tr>
      <w:tr w14:paraId="284E0A7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83" w:hRule="atLeast"/>
        </w:trPr>
        <w:tc>
          <w:tcPr>
            <w:tcW w:w="574" w:type="pct"/>
            <w:tcBorders>
              <w:tl2br w:val="nil"/>
              <w:tr2bl w:val="nil"/>
            </w:tcBorders>
            <w:vAlign w:val="center"/>
          </w:tcPr>
          <w:p w14:paraId="07B58EEC">
            <w:pPr>
              <w:adjustRightInd w:val="0"/>
              <w:snapToGrid w:val="0"/>
              <w:jc w:val="center"/>
              <w:rPr>
                <w:rFonts w:hint="eastAsia" w:ascii="宋体" w:hAnsi="宋体" w:cs="宋体"/>
                <w:bCs/>
                <w:szCs w:val="21"/>
              </w:rPr>
            </w:pPr>
            <w:r>
              <w:rPr>
                <w:rFonts w:hint="eastAsia" w:ascii="宋体" w:hAnsi="宋体" w:cs="宋体"/>
                <w:bCs/>
                <w:szCs w:val="21"/>
              </w:rPr>
              <w:t>一级</w:t>
            </w:r>
          </w:p>
        </w:tc>
        <w:tc>
          <w:tcPr>
            <w:tcW w:w="4425" w:type="pct"/>
            <w:tcBorders>
              <w:tl2br w:val="nil"/>
              <w:tr2bl w:val="nil"/>
            </w:tcBorders>
            <w:vAlign w:val="center"/>
          </w:tcPr>
          <w:p w14:paraId="5B38ACE7">
            <w:pPr>
              <w:adjustRightInd w:val="0"/>
              <w:snapToGrid w:val="0"/>
              <w:jc w:val="center"/>
              <w:rPr>
                <w:rFonts w:hint="eastAsia" w:ascii="宋体" w:hAnsi="宋体" w:cs="宋体"/>
                <w:bCs/>
                <w:szCs w:val="21"/>
              </w:rPr>
            </w:pPr>
            <w:r>
              <w:rPr>
                <w:rFonts w:hint="eastAsia" w:ascii="宋体" w:hAnsi="宋体" w:cs="宋体"/>
                <w:bCs/>
                <w:szCs w:val="21"/>
              </w:rPr>
              <w:t>评价范围内有适用于《声环境质量标准》（GB3096-2008）规定的0类声环境功能区域，以及对噪声有特别限制要求的保护区等敏感目标或建设项目建设前后评价范围内敏感目标噪声级增高量达5dB（A）以上（不含5dB（A）），或受影响人口数量显著增多。</w:t>
            </w:r>
          </w:p>
        </w:tc>
      </w:tr>
      <w:tr w14:paraId="6E5B7BD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83" w:hRule="atLeast"/>
        </w:trPr>
        <w:tc>
          <w:tcPr>
            <w:tcW w:w="574" w:type="pct"/>
            <w:tcBorders>
              <w:tl2br w:val="nil"/>
              <w:tr2bl w:val="nil"/>
            </w:tcBorders>
            <w:vAlign w:val="center"/>
          </w:tcPr>
          <w:p w14:paraId="54F423F6">
            <w:pPr>
              <w:adjustRightInd w:val="0"/>
              <w:snapToGrid w:val="0"/>
              <w:jc w:val="center"/>
              <w:rPr>
                <w:rFonts w:hint="eastAsia" w:ascii="宋体" w:hAnsi="宋体" w:cs="宋体"/>
                <w:bCs/>
                <w:szCs w:val="21"/>
              </w:rPr>
            </w:pPr>
            <w:r>
              <w:rPr>
                <w:rFonts w:hint="eastAsia" w:ascii="宋体" w:hAnsi="宋体" w:cs="宋体"/>
                <w:bCs/>
                <w:szCs w:val="21"/>
              </w:rPr>
              <w:t>二级</w:t>
            </w:r>
          </w:p>
        </w:tc>
        <w:tc>
          <w:tcPr>
            <w:tcW w:w="4425" w:type="pct"/>
            <w:tcBorders>
              <w:tl2br w:val="nil"/>
              <w:tr2bl w:val="nil"/>
            </w:tcBorders>
            <w:vAlign w:val="center"/>
          </w:tcPr>
          <w:p w14:paraId="35147F11">
            <w:pPr>
              <w:adjustRightInd w:val="0"/>
              <w:snapToGrid w:val="0"/>
              <w:jc w:val="center"/>
              <w:rPr>
                <w:rFonts w:hint="eastAsia" w:ascii="宋体" w:hAnsi="宋体" w:cs="宋体"/>
                <w:bCs/>
                <w:szCs w:val="21"/>
              </w:rPr>
            </w:pPr>
            <w:r>
              <w:rPr>
                <w:rFonts w:hint="eastAsia" w:ascii="宋体" w:hAnsi="宋体" w:cs="宋体"/>
                <w:bCs/>
                <w:szCs w:val="21"/>
              </w:rPr>
              <w:t>建设项目所处的声环境功能区为《声环境质量标准》（GB3096-2008）规定的1类、2类地区，或建设项目建设前后评价范围内敏感目标噪声级增高量达3dB（A）～5dB（A）（含5dB（A）），或受噪声影响人口数量增加较多。</w:t>
            </w:r>
          </w:p>
        </w:tc>
      </w:tr>
      <w:tr w14:paraId="5ADCA4B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02" w:hRule="atLeast"/>
        </w:trPr>
        <w:tc>
          <w:tcPr>
            <w:tcW w:w="574" w:type="pct"/>
            <w:tcBorders>
              <w:tl2br w:val="nil"/>
              <w:tr2bl w:val="nil"/>
            </w:tcBorders>
            <w:vAlign w:val="center"/>
          </w:tcPr>
          <w:p w14:paraId="46AA46E3">
            <w:pPr>
              <w:adjustRightInd w:val="0"/>
              <w:snapToGrid w:val="0"/>
              <w:jc w:val="center"/>
              <w:rPr>
                <w:rFonts w:hint="eastAsia" w:ascii="宋体" w:hAnsi="宋体" w:cs="宋体"/>
                <w:bCs/>
                <w:szCs w:val="21"/>
              </w:rPr>
            </w:pPr>
            <w:r>
              <w:rPr>
                <w:rFonts w:hint="eastAsia" w:ascii="宋体" w:hAnsi="宋体" w:cs="宋体"/>
                <w:bCs/>
                <w:szCs w:val="21"/>
              </w:rPr>
              <w:t>三级</w:t>
            </w:r>
          </w:p>
        </w:tc>
        <w:tc>
          <w:tcPr>
            <w:tcW w:w="4425" w:type="pct"/>
            <w:tcBorders>
              <w:tl2br w:val="nil"/>
              <w:tr2bl w:val="nil"/>
            </w:tcBorders>
            <w:vAlign w:val="center"/>
          </w:tcPr>
          <w:p w14:paraId="0D6E4869">
            <w:pPr>
              <w:adjustRightInd w:val="0"/>
              <w:snapToGrid w:val="0"/>
              <w:jc w:val="center"/>
              <w:rPr>
                <w:rFonts w:hint="eastAsia" w:ascii="宋体" w:hAnsi="宋体" w:cs="宋体"/>
                <w:bCs/>
                <w:szCs w:val="21"/>
              </w:rPr>
            </w:pPr>
            <w:r>
              <w:rPr>
                <w:rFonts w:hint="eastAsia" w:ascii="宋体" w:hAnsi="宋体" w:cs="宋体"/>
                <w:bCs/>
                <w:szCs w:val="21"/>
              </w:rPr>
              <w:t>建设项目所处的声环境功能区为《声环境质量标准》（GB3096-2008）规定的3类、4类地区，或建设项目建设前后评价范围内敏感目标噪声级增高量在3dB（A）以下（不含3dB（A）），且受影响人口数量变化不大。</w:t>
            </w:r>
          </w:p>
        </w:tc>
      </w:tr>
    </w:tbl>
    <w:p w14:paraId="5DA889CD">
      <w:pPr>
        <w:snapToGrid w:val="0"/>
        <w:spacing w:line="440" w:lineRule="exact"/>
        <w:ind w:firstLine="480" w:firstLineChars="200"/>
        <w:rPr>
          <w:rFonts w:hint="eastAsia" w:ascii="宋体" w:hAnsi="宋体" w:cs="宋体"/>
          <w:sz w:val="24"/>
          <w:szCs w:val="24"/>
        </w:rPr>
      </w:pPr>
      <w:r>
        <w:rPr>
          <w:rFonts w:hint="eastAsia" w:ascii="宋体" w:hAnsi="宋体" w:cs="宋体"/>
          <w:sz w:val="24"/>
          <w:szCs w:val="24"/>
        </w:rPr>
        <w:t>本项目所在区域属于《声环境质量标准》（GB3096-2008）中的2类功能区。根据《环境影响评价技术导则 声环境》（HJ2.4-2021）规定，建设项目所处的声环境功能区为《声环境质量标准》（GB3096-2008）规定的1类、2类地区，按二级评价。</w:t>
      </w:r>
    </w:p>
    <w:p w14:paraId="25BB5E95">
      <w:pPr>
        <w:snapToGrid w:val="0"/>
        <w:spacing w:line="440" w:lineRule="exact"/>
        <w:ind w:firstLine="480" w:firstLineChars="200"/>
        <w:rPr>
          <w:rFonts w:hint="eastAsia" w:ascii="宋体" w:hAnsi="宋体" w:cs="宋体"/>
          <w:sz w:val="24"/>
          <w:szCs w:val="24"/>
        </w:rPr>
      </w:pPr>
      <w:r>
        <w:rPr>
          <w:rFonts w:hint="eastAsia" w:ascii="宋体" w:hAnsi="宋体" w:cs="宋体"/>
          <w:sz w:val="24"/>
          <w:szCs w:val="24"/>
        </w:rPr>
        <w:t>本项目所在区域周围200m范围内无居民区等声环境敏感目标，受影响人数变化不大。根据《环境影响评价技术导则 声环境》（HJ2.4-2021）中的评价等级确定原则，本项目声环境评价等级为二级。</w:t>
      </w:r>
    </w:p>
    <w:p w14:paraId="20283D31">
      <w:pPr>
        <w:pStyle w:val="5"/>
        <w:rPr>
          <w:rFonts w:ascii="Times New Roman" w:hAnsi="Times New Roman"/>
          <w:color w:val="000000"/>
          <w:lang w:val="en-US"/>
        </w:rPr>
      </w:pPr>
      <w:r>
        <w:rPr>
          <w:rFonts w:hint="eastAsia" w:ascii="Times New Roman" w:hAnsi="Times New Roman"/>
          <w:color w:val="000000"/>
          <w:lang w:val="en-US"/>
        </w:rPr>
        <w:t>2.5.4.2评价范围</w:t>
      </w:r>
    </w:p>
    <w:p w14:paraId="42C04A15">
      <w:pPr>
        <w:pStyle w:val="16"/>
        <w:kinsoku w:val="0"/>
        <w:overflowPunct w:val="0"/>
        <w:spacing w:after="0" w:line="360" w:lineRule="auto"/>
        <w:ind w:firstLine="480"/>
        <w:rPr>
          <w:rFonts w:hint="eastAsia" w:ascii="宋体" w:hAnsi="宋体" w:cs="宋体"/>
          <w:sz w:val="24"/>
          <w:szCs w:val="24"/>
        </w:rPr>
      </w:pPr>
      <w:r>
        <w:rPr>
          <w:rFonts w:hint="eastAsia" w:ascii="宋体" w:hAnsi="宋体" w:cs="宋体"/>
          <w:sz w:val="24"/>
          <w:szCs w:val="24"/>
        </w:rPr>
        <w:t>根据《环境影响评价技术导则 声环境》(HJ2.4-2021)，评价范围一般以建设项目边界向外200m为评价范围，因此，确定本项目评价范围为厂界外200m范围。</w:t>
      </w:r>
    </w:p>
    <w:p w14:paraId="65E6D3D4">
      <w:pPr>
        <w:pStyle w:val="16"/>
        <w:kinsoku w:val="0"/>
        <w:overflowPunct w:val="0"/>
        <w:spacing w:after="0" w:line="360" w:lineRule="auto"/>
        <w:ind w:firstLine="480"/>
        <w:rPr>
          <w:rFonts w:hint="eastAsia" w:ascii="宋体" w:hAnsi="宋体" w:cs="宋体"/>
          <w:sz w:val="24"/>
          <w:szCs w:val="24"/>
          <w:lang w:val="en-US"/>
        </w:rPr>
      </w:pPr>
      <w:r>
        <w:rPr>
          <w:rFonts w:hint="eastAsia" w:ascii="宋体" w:hAnsi="宋体" w:cs="宋体"/>
          <w:sz w:val="24"/>
          <w:szCs w:val="24"/>
          <w:lang w:val="en-US"/>
        </w:rPr>
        <w:t>评价范围示意图见2.5-1。</w:t>
      </w:r>
    </w:p>
    <w:p w14:paraId="635961CD">
      <w:pPr>
        <w:pStyle w:val="4"/>
        <w:autoSpaceDE w:val="0"/>
        <w:autoSpaceDN w:val="0"/>
        <w:spacing w:before="0" w:after="0" w:line="360" w:lineRule="auto"/>
        <w:jc w:val="left"/>
        <w:rPr>
          <w:kern w:val="0"/>
          <w:sz w:val="24"/>
          <w:lang w:val="en-US" w:bidi="zh-CN"/>
        </w:rPr>
      </w:pPr>
      <w:bookmarkStart w:id="104" w:name="_Toc2923"/>
      <w:bookmarkStart w:id="105" w:name="_Toc30668"/>
      <w:bookmarkStart w:id="106" w:name="_Toc12481"/>
      <w:r>
        <w:rPr>
          <w:rFonts w:hint="eastAsia"/>
          <w:kern w:val="0"/>
          <w:sz w:val="24"/>
          <w:lang w:val="en-US" w:bidi="zh-CN"/>
        </w:rPr>
        <w:t>2.4.5土壤环境评价等级和评价范围</w:t>
      </w:r>
      <w:bookmarkEnd w:id="104"/>
      <w:bookmarkEnd w:id="105"/>
      <w:bookmarkEnd w:id="106"/>
    </w:p>
    <w:p w14:paraId="7709E3FD">
      <w:pPr>
        <w:pStyle w:val="5"/>
        <w:rPr>
          <w:rFonts w:ascii="Times New Roman" w:hAnsi="Times New Roman"/>
          <w:color w:val="000000"/>
          <w:lang w:val="en-US"/>
        </w:rPr>
      </w:pPr>
      <w:bookmarkStart w:id="107" w:name="_Toc8657"/>
      <w:bookmarkStart w:id="108" w:name="_Toc16389"/>
      <w:bookmarkStart w:id="109" w:name="_Toc20380"/>
      <w:r>
        <w:rPr>
          <w:rFonts w:hint="eastAsia" w:ascii="Times New Roman" w:hAnsi="Times New Roman"/>
          <w:color w:val="000000"/>
          <w:lang w:val="en-US"/>
        </w:rPr>
        <w:t>2.4.5.1评价等级</w:t>
      </w:r>
      <w:bookmarkEnd w:id="107"/>
      <w:bookmarkEnd w:id="108"/>
      <w:bookmarkEnd w:id="109"/>
    </w:p>
    <w:p w14:paraId="517C5E0A">
      <w:pPr>
        <w:pStyle w:val="16"/>
        <w:kinsoku w:val="0"/>
        <w:overflowPunct w:val="0"/>
        <w:spacing w:after="0" w:line="360" w:lineRule="auto"/>
        <w:ind w:firstLine="480"/>
        <w:rPr>
          <w:rFonts w:hint="eastAsia" w:ascii="宋体" w:hAnsi="宋体" w:cs="宋体"/>
          <w:sz w:val="24"/>
          <w:szCs w:val="24"/>
        </w:rPr>
      </w:pPr>
      <w:r>
        <w:rPr>
          <w:rFonts w:hint="eastAsia" w:ascii="宋体" w:hAnsi="宋体" w:cs="宋体"/>
          <w:sz w:val="24"/>
          <w:szCs w:val="24"/>
        </w:rPr>
        <w:t>根据《环境影响评价技术导则土壤环境（试行）》（HJ964-2018），土壤环境影响评价工作级别的划分根据下列条件进行：建设项目所属的土壤环境影响评价项目类别和建设项目的土壤环境敏感程度。综合判定本项目土壤环境影响评价工作等级，并按所划定的工作等级开展评价工作。</w:t>
      </w:r>
    </w:p>
    <w:p w14:paraId="2B308CA9">
      <w:pPr>
        <w:spacing w:line="360" w:lineRule="auto"/>
        <w:ind w:firstLine="480"/>
        <w:rPr>
          <w:rFonts w:hint="eastAsia" w:ascii="宋体" w:hAnsi="宋体" w:cs="宋体"/>
          <w:sz w:val="24"/>
          <w:szCs w:val="24"/>
        </w:rPr>
      </w:pPr>
      <w:r>
        <w:rPr>
          <w:rFonts w:hint="eastAsia" w:ascii="宋体" w:hAnsi="宋体" w:cs="宋体"/>
          <w:sz w:val="24"/>
          <w:szCs w:val="24"/>
        </w:rPr>
        <w:t>本项目属于废旧资源加工、再生利用行业，根据《环境影响评价技术导则·土壤环境（试行）》（HJ964—2018）附录A</w:t>
      </w:r>
      <w:r>
        <w:rPr>
          <w:rFonts w:hint="eastAsia" w:ascii="宋体" w:hAnsi="宋体" w:cs="宋体"/>
          <w:sz w:val="24"/>
          <w:szCs w:val="24"/>
          <w:lang w:eastAsia="zh-CN"/>
        </w:rPr>
        <w:t>，</w:t>
      </w:r>
      <w:r>
        <w:rPr>
          <w:rFonts w:ascii="宋体" w:hAnsi="宋体" w:eastAsia="宋体" w:cs="宋体"/>
          <w:sz w:val="24"/>
          <w:szCs w:val="24"/>
        </w:rPr>
        <w:t>再生塑料颗粒生产属于“环境和公共设施管理业”中的“废旧资源加工、再生利用”，土壤环境影响评价项目类别为Ⅲ类；滴灌带生产属于“其他行业”，土壤环境影响评价项目类别为Ⅳ类</w:t>
      </w:r>
      <w:r>
        <w:rPr>
          <w:rFonts w:hint="eastAsia" w:ascii="宋体" w:hAnsi="宋体" w:cs="宋体"/>
          <w:sz w:val="24"/>
          <w:szCs w:val="24"/>
        </w:rPr>
        <w:t>；项目用地为工业用地，东、西、南侧均为农田，根据《环境影响评价技术导则·土壤环境（试行）》（HJ964—2018）表3污染影响型敏感程度分级表，项目区判定为敏感。</w:t>
      </w:r>
    </w:p>
    <w:p w14:paraId="12DCF222">
      <w:pPr>
        <w:snapToGrid w:val="0"/>
        <w:spacing w:line="440" w:lineRule="exact"/>
        <w:jc w:val="center"/>
        <w:rPr>
          <w:rFonts w:hint="eastAsia" w:ascii="宋体" w:hAnsi="宋体" w:cs="宋体"/>
          <w:b/>
          <w:bCs/>
          <w:szCs w:val="21"/>
        </w:rPr>
      </w:pPr>
    </w:p>
    <w:p w14:paraId="55B4C4A2">
      <w:pPr>
        <w:snapToGrid w:val="0"/>
        <w:spacing w:line="440" w:lineRule="exact"/>
        <w:jc w:val="center"/>
        <w:rPr>
          <w:rFonts w:hint="eastAsia" w:ascii="宋体" w:hAnsi="宋体" w:cs="宋体"/>
          <w:b/>
          <w:bCs/>
          <w:szCs w:val="21"/>
        </w:rPr>
      </w:pPr>
      <w:r>
        <w:rPr>
          <w:rFonts w:hint="eastAsia" w:ascii="宋体" w:hAnsi="宋体" w:cs="宋体"/>
          <w:b/>
          <w:bCs/>
          <w:szCs w:val="21"/>
        </w:rPr>
        <w:t>表2.5-9   污染影响型环境敏感程度分级表</w:t>
      </w:r>
    </w:p>
    <w:tbl>
      <w:tblPr>
        <w:tblStyle w:val="49"/>
        <w:tblW w:w="4980"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1382"/>
        <w:gridCol w:w="7627"/>
      </w:tblGrid>
      <w:tr w14:paraId="1C229FC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1378" w:type="dxa"/>
            <w:tcBorders>
              <w:tl2br w:val="nil"/>
              <w:tr2bl w:val="nil"/>
            </w:tcBorders>
            <w:vAlign w:val="center"/>
          </w:tcPr>
          <w:p w14:paraId="12E864A8">
            <w:pPr>
              <w:pStyle w:val="228"/>
              <w:kinsoku w:val="0"/>
              <w:overflowPunct w:val="0"/>
              <w:autoSpaceDE w:val="0"/>
              <w:autoSpaceDN w:val="0"/>
              <w:spacing w:line="320" w:lineRule="exact"/>
              <w:ind w:firstLine="416"/>
              <w:rPr>
                <w:szCs w:val="21"/>
              </w:rPr>
            </w:pPr>
            <w:r>
              <w:rPr>
                <w:spacing w:val="-1"/>
                <w:szCs w:val="21"/>
              </w:rPr>
              <w:t>敏感程度</w:t>
            </w:r>
          </w:p>
        </w:tc>
        <w:tc>
          <w:tcPr>
            <w:tcW w:w="7601" w:type="dxa"/>
            <w:tcBorders>
              <w:tl2br w:val="nil"/>
              <w:tr2bl w:val="nil"/>
            </w:tcBorders>
            <w:vAlign w:val="center"/>
          </w:tcPr>
          <w:p w14:paraId="786A2BE3">
            <w:pPr>
              <w:pStyle w:val="228"/>
              <w:kinsoku w:val="0"/>
              <w:overflowPunct w:val="0"/>
              <w:autoSpaceDE w:val="0"/>
              <w:autoSpaceDN w:val="0"/>
              <w:spacing w:line="320" w:lineRule="exact"/>
              <w:ind w:firstLine="416"/>
              <w:rPr>
                <w:szCs w:val="21"/>
              </w:rPr>
            </w:pPr>
            <w:r>
              <w:rPr>
                <w:spacing w:val="-1"/>
                <w:szCs w:val="21"/>
              </w:rPr>
              <w:t>判别依据</w:t>
            </w:r>
          </w:p>
        </w:tc>
      </w:tr>
      <w:tr w14:paraId="1F6F257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1378" w:type="dxa"/>
            <w:tcBorders>
              <w:tl2br w:val="nil"/>
              <w:tr2bl w:val="nil"/>
            </w:tcBorders>
            <w:vAlign w:val="center"/>
          </w:tcPr>
          <w:p w14:paraId="77582F97">
            <w:pPr>
              <w:pStyle w:val="228"/>
              <w:kinsoku w:val="0"/>
              <w:overflowPunct w:val="0"/>
              <w:autoSpaceDE w:val="0"/>
              <w:autoSpaceDN w:val="0"/>
              <w:spacing w:line="320" w:lineRule="exact"/>
              <w:ind w:firstLine="420"/>
              <w:rPr>
                <w:szCs w:val="21"/>
              </w:rPr>
            </w:pPr>
            <w:r>
              <w:rPr>
                <w:szCs w:val="21"/>
              </w:rPr>
              <w:t>敏感</w:t>
            </w:r>
          </w:p>
        </w:tc>
        <w:tc>
          <w:tcPr>
            <w:tcW w:w="7601" w:type="dxa"/>
            <w:tcBorders>
              <w:tl2br w:val="nil"/>
              <w:tr2bl w:val="nil"/>
            </w:tcBorders>
            <w:vAlign w:val="center"/>
          </w:tcPr>
          <w:p w14:paraId="0D26AAB2">
            <w:pPr>
              <w:pStyle w:val="228"/>
              <w:kinsoku w:val="0"/>
              <w:overflowPunct w:val="0"/>
              <w:autoSpaceDE w:val="0"/>
              <w:autoSpaceDN w:val="0"/>
              <w:spacing w:line="320" w:lineRule="exact"/>
              <w:ind w:firstLine="412"/>
              <w:rPr>
                <w:szCs w:val="21"/>
              </w:rPr>
            </w:pPr>
            <w:r>
              <w:rPr>
                <w:spacing w:val="-2"/>
                <w:szCs w:val="21"/>
              </w:rPr>
              <w:t>建设项目周边存在耕地、园地、牧草地、饮用水源地或居民区、学校、医院、疗养院、养老院等土壤环境敏感目标的</w:t>
            </w:r>
          </w:p>
        </w:tc>
      </w:tr>
      <w:tr w14:paraId="2ACECF3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1378" w:type="dxa"/>
            <w:tcBorders>
              <w:tl2br w:val="nil"/>
              <w:tr2bl w:val="nil"/>
            </w:tcBorders>
            <w:vAlign w:val="center"/>
          </w:tcPr>
          <w:p w14:paraId="05FC0B10">
            <w:pPr>
              <w:pStyle w:val="228"/>
              <w:kinsoku w:val="0"/>
              <w:overflowPunct w:val="0"/>
              <w:autoSpaceDE w:val="0"/>
              <w:autoSpaceDN w:val="0"/>
              <w:spacing w:line="320" w:lineRule="exact"/>
              <w:ind w:firstLine="420"/>
              <w:rPr>
                <w:szCs w:val="21"/>
              </w:rPr>
            </w:pPr>
            <w:r>
              <w:rPr>
                <w:szCs w:val="21"/>
              </w:rPr>
              <w:t>较敏感</w:t>
            </w:r>
          </w:p>
        </w:tc>
        <w:tc>
          <w:tcPr>
            <w:tcW w:w="7601" w:type="dxa"/>
            <w:tcBorders>
              <w:tl2br w:val="nil"/>
              <w:tr2bl w:val="nil"/>
            </w:tcBorders>
            <w:vAlign w:val="center"/>
          </w:tcPr>
          <w:p w14:paraId="31412254">
            <w:pPr>
              <w:pStyle w:val="228"/>
              <w:kinsoku w:val="0"/>
              <w:overflowPunct w:val="0"/>
              <w:autoSpaceDE w:val="0"/>
              <w:autoSpaceDN w:val="0"/>
              <w:spacing w:line="320" w:lineRule="exact"/>
              <w:ind w:firstLine="412"/>
              <w:rPr>
                <w:szCs w:val="21"/>
              </w:rPr>
            </w:pPr>
            <w:r>
              <w:rPr>
                <w:spacing w:val="-2"/>
                <w:szCs w:val="21"/>
              </w:rPr>
              <w:t>建设项目周边存在其他土壤环境敏感目标的</w:t>
            </w:r>
          </w:p>
        </w:tc>
      </w:tr>
      <w:tr w14:paraId="1DAFA48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1378" w:type="dxa"/>
            <w:tcBorders>
              <w:tl2br w:val="nil"/>
              <w:tr2bl w:val="nil"/>
            </w:tcBorders>
            <w:vAlign w:val="center"/>
          </w:tcPr>
          <w:p w14:paraId="5AF0AE53">
            <w:pPr>
              <w:pStyle w:val="228"/>
              <w:kinsoku w:val="0"/>
              <w:overflowPunct w:val="0"/>
              <w:autoSpaceDE w:val="0"/>
              <w:autoSpaceDN w:val="0"/>
              <w:spacing w:line="320" w:lineRule="exact"/>
              <w:ind w:firstLine="420"/>
              <w:rPr>
                <w:szCs w:val="21"/>
              </w:rPr>
            </w:pPr>
            <w:r>
              <w:rPr>
                <w:szCs w:val="21"/>
              </w:rPr>
              <w:t>不敏感</w:t>
            </w:r>
          </w:p>
        </w:tc>
        <w:tc>
          <w:tcPr>
            <w:tcW w:w="7601" w:type="dxa"/>
            <w:tcBorders>
              <w:tl2br w:val="nil"/>
              <w:tr2bl w:val="nil"/>
            </w:tcBorders>
            <w:vAlign w:val="center"/>
          </w:tcPr>
          <w:p w14:paraId="5E5C8037">
            <w:pPr>
              <w:pStyle w:val="228"/>
              <w:kinsoku w:val="0"/>
              <w:overflowPunct w:val="0"/>
              <w:autoSpaceDE w:val="0"/>
              <w:autoSpaceDN w:val="0"/>
              <w:spacing w:line="320" w:lineRule="exact"/>
              <w:ind w:firstLine="416"/>
              <w:rPr>
                <w:szCs w:val="21"/>
              </w:rPr>
            </w:pPr>
            <w:r>
              <w:rPr>
                <w:rFonts w:hint="eastAsia"/>
                <w:spacing w:val="-1"/>
                <w:szCs w:val="21"/>
                <w:lang w:eastAsia="zh-CN"/>
              </w:rPr>
              <w:t>其他情况</w:t>
            </w:r>
          </w:p>
        </w:tc>
      </w:tr>
    </w:tbl>
    <w:p w14:paraId="7648CEF9">
      <w:pPr>
        <w:pStyle w:val="16"/>
        <w:kinsoku w:val="0"/>
        <w:overflowPunct w:val="0"/>
        <w:spacing w:line="240" w:lineRule="exact"/>
        <w:ind w:firstLine="280"/>
        <w:rPr>
          <w:sz w:val="14"/>
          <w:szCs w:val="14"/>
        </w:rPr>
      </w:pPr>
    </w:p>
    <w:p w14:paraId="62391C2B">
      <w:pPr>
        <w:pStyle w:val="16"/>
        <w:overflowPunct w:val="0"/>
        <w:topLinePunct/>
        <w:autoSpaceDE w:val="0"/>
        <w:autoSpaceDN w:val="0"/>
        <w:spacing w:after="0" w:line="360" w:lineRule="auto"/>
        <w:ind w:firstLine="480"/>
        <w:rPr>
          <w:rFonts w:hint="eastAsia" w:ascii="宋体" w:hAnsi="宋体" w:cs="宋体"/>
          <w:sz w:val="24"/>
          <w:szCs w:val="24"/>
        </w:rPr>
      </w:pPr>
      <w:r>
        <w:rPr>
          <w:rFonts w:hint="eastAsia" w:ascii="宋体" w:hAnsi="宋体" w:cs="宋体"/>
          <w:sz w:val="24"/>
          <w:szCs w:val="24"/>
        </w:rPr>
        <w:t>根据《环境影响评价技术导则土壤环境（试行）》（HJ964-2018）中的相关要求，将建设项目占地规模分为大型（≥50hm</w:t>
      </w:r>
      <w:r>
        <w:rPr>
          <w:rFonts w:hint="eastAsia" w:ascii="宋体" w:hAnsi="宋体" w:cs="宋体"/>
          <w:sz w:val="24"/>
          <w:szCs w:val="24"/>
          <w:vertAlign w:val="superscript"/>
        </w:rPr>
        <w:t>2</w:t>
      </w:r>
      <w:r>
        <w:rPr>
          <w:rFonts w:hint="eastAsia" w:ascii="宋体" w:hAnsi="宋体" w:cs="宋体"/>
          <w:sz w:val="24"/>
          <w:szCs w:val="24"/>
        </w:rPr>
        <w:t>）、中型（5-50hm</w:t>
      </w:r>
      <w:r>
        <w:rPr>
          <w:rFonts w:hint="eastAsia" w:ascii="宋体" w:hAnsi="宋体" w:cs="宋体"/>
          <w:sz w:val="24"/>
          <w:szCs w:val="24"/>
          <w:vertAlign w:val="superscript"/>
        </w:rPr>
        <w:t>2</w:t>
      </w:r>
      <w:r>
        <w:rPr>
          <w:rFonts w:hint="eastAsia" w:ascii="宋体" w:hAnsi="宋体" w:cs="宋体"/>
          <w:sz w:val="24"/>
          <w:szCs w:val="24"/>
        </w:rPr>
        <w:t>）、小型（≤5hm</w:t>
      </w:r>
      <w:r>
        <w:rPr>
          <w:rFonts w:hint="eastAsia" w:ascii="宋体" w:hAnsi="宋体" w:cs="宋体"/>
          <w:sz w:val="24"/>
          <w:szCs w:val="24"/>
          <w:vertAlign w:val="superscript"/>
        </w:rPr>
        <w:t>2</w:t>
      </w:r>
      <w:r>
        <w:rPr>
          <w:rFonts w:hint="eastAsia" w:ascii="宋体" w:hAnsi="宋体" w:cs="宋体"/>
          <w:sz w:val="24"/>
          <w:szCs w:val="24"/>
        </w:rPr>
        <w:t>），建设项目占地主要为永久占地。本项目租用厂房，占地规模为</w:t>
      </w:r>
      <w:r>
        <w:rPr>
          <w:rFonts w:hint="eastAsia" w:ascii="宋体" w:hAnsi="宋体" w:cs="宋体"/>
          <w:sz w:val="24"/>
          <w:szCs w:val="24"/>
          <w:lang w:val="en-US"/>
        </w:rPr>
        <w:t>小</w:t>
      </w:r>
      <w:r>
        <w:rPr>
          <w:rFonts w:hint="eastAsia" w:ascii="宋体" w:hAnsi="宋体" w:cs="宋体"/>
          <w:sz w:val="24"/>
          <w:szCs w:val="24"/>
        </w:rPr>
        <w:t>型（</w:t>
      </w:r>
      <w:r>
        <w:rPr>
          <w:rFonts w:hint="eastAsia" w:ascii="宋体" w:hAnsi="宋体" w:cs="宋体"/>
          <w:sz w:val="24"/>
          <w:szCs w:val="24"/>
          <w:lang w:val="en-US"/>
        </w:rPr>
        <w:t>0.1</w:t>
      </w:r>
      <w:r>
        <w:rPr>
          <w:rFonts w:hint="eastAsia" w:ascii="宋体" w:hAnsi="宋体" w:cs="宋体"/>
          <w:sz w:val="24"/>
          <w:szCs w:val="24"/>
        </w:rPr>
        <w:t>hm</w:t>
      </w:r>
      <w:r>
        <w:rPr>
          <w:rFonts w:hint="eastAsia" w:ascii="宋体" w:hAnsi="宋体" w:cs="宋体"/>
          <w:sz w:val="24"/>
          <w:szCs w:val="24"/>
          <w:vertAlign w:val="superscript"/>
        </w:rPr>
        <w:t>2</w:t>
      </w:r>
      <w:r>
        <w:rPr>
          <w:rFonts w:hint="eastAsia" w:ascii="宋体" w:hAnsi="宋体" w:cs="宋体"/>
          <w:sz w:val="24"/>
          <w:szCs w:val="24"/>
        </w:rPr>
        <w:t>＜</w:t>
      </w:r>
      <w:r>
        <w:rPr>
          <w:rFonts w:hint="eastAsia" w:ascii="宋体" w:hAnsi="宋体" w:cs="宋体"/>
          <w:sz w:val="24"/>
          <w:szCs w:val="24"/>
          <w:lang w:val="en-US"/>
        </w:rPr>
        <w:t>5</w:t>
      </w:r>
      <w:r>
        <w:rPr>
          <w:rFonts w:hint="eastAsia" w:ascii="宋体" w:hAnsi="宋体" w:cs="宋体"/>
          <w:sz w:val="24"/>
          <w:szCs w:val="24"/>
        </w:rPr>
        <w:t>hm</w:t>
      </w:r>
      <w:r>
        <w:rPr>
          <w:rFonts w:hint="eastAsia" w:ascii="宋体" w:hAnsi="宋体" w:cs="宋体"/>
          <w:sz w:val="24"/>
          <w:szCs w:val="24"/>
          <w:vertAlign w:val="superscript"/>
        </w:rPr>
        <w:t>2</w:t>
      </w:r>
      <w:r>
        <w:rPr>
          <w:rFonts w:hint="eastAsia" w:ascii="宋体" w:hAnsi="宋体" w:cs="宋体"/>
          <w:sz w:val="24"/>
          <w:szCs w:val="24"/>
        </w:rPr>
        <w:t>）。</w:t>
      </w:r>
    </w:p>
    <w:p w14:paraId="43FA853F">
      <w:pPr>
        <w:pStyle w:val="16"/>
        <w:kinsoku w:val="0"/>
        <w:overflowPunct w:val="0"/>
        <w:spacing w:after="0" w:line="360" w:lineRule="auto"/>
        <w:ind w:firstLine="480"/>
        <w:rPr>
          <w:rFonts w:hint="eastAsia" w:ascii="宋体" w:hAnsi="宋体" w:cs="宋体"/>
          <w:sz w:val="24"/>
          <w:szCs w:val="24"/>
        </w:rPr>
      </w:pPr>
      <w:r>
        <w:rPr>
          <w:rFonts w:hint="eastAsia" w:ascii="宋体" w:hAnsi="宋体" w:cs="宋体"/>
          <w:sz w:val="24"/>
          <w:szCs w:val="24"/>
        </w:rPr>
        <w:t>根据土壤环境评价项目类别、占地规模与敏感程度划分评价工作等级，建设项目土壤环境影响评价工作等级划分见表</w:t>
      </w:r>
      <w:r>
        <w:rPr>
          <w:rFonts w:hint="eastAsia" w:ascii="宋体" w:hAnsi="宋体" w:cs="宋体"/>
          <w:sz w:val="24"/>
          <w:szCs w:val="24"/>
          <w:lang w:val="en-US"/>
        </w:rPr>
        <w:t>2.5-10</w:t>
      </w:r>
      <w:r>
        <w:rPr>
          <w:rFonts w:hint="eastAsia" w:ascii="宋体" w:hAnsi="宋体" w:cs="宋体"/>
          <w:sz w:val="24"/>
          <w:szCs w:val="24"/>
        </w:rPr>
        <w:t>，本项目属于Ⅲ类</w:t>
      </w:r>
      <w:r>
        <w:rPr>
          <w:rFonts w:hint="eastAsia" w:ascii="宋体" w:hAnsi="宋体" w:cs="宋体"/>
          <w:sz w:val="24"/>
          <w:szCs w:val="24"/>
          <w:lang w:val="en-US"/>
        </w:rPr>
        <w:t>小</w:t>
      </w:r>
      <w:r>
        <w:rPr>
          <w:rFonts w:hint="eastAsia" w:ascii="宋体" w:hAnsi="宋体" w:cs="宋体"/>
          <w:sz w:val="24"/>
          <w:szCs w:val="24"/>
        </w:rPr>
        <w:t>型、敏感。</w:t>
      </w:r>
    </w:p>
    <w:p w14:paraId="7CD6A3BD">
      <w:pPr>
        <w:snapToGrid w:val="0"/>
        <w:spacing w:line="440" w:lineRule="exact"/>
        <w:jc w:val="center"/>
        <w:rPr>
          <w:rFonts w:hint="eastAsia" w:ascii="宋体" w:hAnsi="宋体" w:cs="宋体"/>
          <w:b/>
          <w:bCs/>
          <w:szCs w:val="21"/>
        </w:rPr>
      </w:pPr>
      <w:r>
        <w:rPr>
          <w:rFonts w:hint="eastAsia" w:ascii="宋体" w:hAnsi="宋体" w:cs="宋体"/>
          <w:b/>
          <w:bCs/>
          <w:szCs w:val="21"/>
        </w:rPr>
        <w:t>表2.5-10   污染影响评价工作等级分级表</w:t>
      </w:r>
    </w:p>
    <w:tbl>
      <w:tblPr>
        <w:tblStyle w:val="49"/>
        <w:tblW w:w="4999"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2216"/>
        <w:gridCol w:w="755"/>
        <w:gridCol w:w="752"/>
        <w:gridCol w:w="751"/>
        <w:gridCol w:w="752"/>
        <w:gridCol w:w="756"/>
        <w:gridCol w:w="751"/>
        <w:gridCol w:w="752"/>
        <w:gridCol w:w="753"/>
        <w:gridCol w:w="805"/>
      </w:tblGrid>
      <w:tr w14:paraId="208CE35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84" w:hRule="atLeast"/>
          <w:jc w:val="center"/>
        </w:trPr>
        <w:tc>
          <w:tcPr>
            <w:tcW w:w="2427" w:type="dxa"/>
            <w:vMerge w:val="restart"/>
            <w:tcBorders>
              <w:tl2br w:val="nil"/>
              <w:tr2bl w:val="nil"/>
            </w:tcBorders>
            <w:vAlign w:val="center"/>
          </w:tcPr>
          <w:p w14:paraId="51549267">
            <w:pPr>
              <w:pStyle w:val="228"/>
              <w:kinsoku w:val="0"/>
              <w:overflowPunct w:val="0"/>
              <w:rPr>
                <w:spacing w:val="-1"/>
                <w:szCs w:val="21"/>
              </w:rPr>
            </w:pPr>
            <w:r>
              <w:rPr>
                <w:spacing w:val="-1"/>
                <w:szCs w:val="21"/>
              </w:rPr>
              <w:t>占地规模</w:t>
            </w:r>
          </w:p>
          <w:p w14:paraId="3481664A">
            <w:pPr>
              <w:pStyle w:val="228"/>
              <w:kinsoku w:val="0"/>
              <w:overflowPunct w:val="0"/>
              <w:rPr>
                <w:spacing w:val="21"/>
                <w:szCs w:val="21"/>
              </w:rPr>
            </w:pPr>
            <w:r>
              <w:rPr>
                <w:spacing w:val="-1"/>
                <w:szCs w:val="21"/>
              </w:rPr>
              <w:t>评价工作等级</w:t>
            </w:r>
          </w:p>
          <w:p w14:paraId="633DFBCC">
            <w:pPr>
              <w:pStyle w:val="228"/>
              <w:kinsoku w:val="0"/>
              <w:overflowPunct w:val="0"/>
              <w:ind w:firstLine="624" w:firstLineChars="300"/>
              <w:jc w:val="left"/>
              <w:rPr>
                <w:spacing w:val="21"/>
                <w:szCs w:val="21"/>
              </w:rPr>
            </w:pPr>
            <w:r>
              <w:rPr>
                <w:spacing w:val="-1"/>
                <w:szCs w:val="21"/>
              </w:rPr>
              <w:t>敏感程度</w:t>
            </w:r>
          </w:p>
        </w:tc>
        <w:tc>
          <w:tcPr>
            <w:tcW w:w="2468" w:type="dxa"/>
            <w:gridSpan w:val="3"/>
            <w:tcBorders>
              <w:tl2br w:val="nil"/>
              <w:tr2bl w:val="nil"/>
            </w:tcBorders>
            <w:vAlign w:val="center"/>
          </w:tcPr>
          <w:p w14:paraId="5BF1B5EC">
            <w:pPr>
              <w:pStyle w:val="228"/>
              <w:kinsoku w:val="0"/>
              <w:overflowPunct w:val="0"/>
              <w:rPr>
                <w:szCs w:val="21"/>
              </w:rPr>
            </w:pPr>
            <w:r>
              <w:rPr>
                <w:szCs w:val="21"/>
              </w:rPr>
              <w:t>Ⅰ类</w:t>
            </w:r>
          </w:p>
        </w:tc>
        <w:tc>
          <w:tcPr>
            <w:tcW w:w="2469" w:type="dxa"/>
            <w:gridSpan w:val="3"/>
            <w:tcBorders>
              <w:tl2br w:val="nil"/>
              <w:tr2bl w:val="nil"/>
            </w:tcBorders>
            <w:vAlign w:val="center"/>
          </w:tcPr>
          <w:p w14:paraId="62DCFF64">
            <w:pPr>
              <w:pStyle w:val="228"/>
              <w:kinsoku w:val="0"/>
              <w:overflowPunct w:val="0"/>
              <w:rPr>
                <w:szCs w:val="21"/>
              </w:rPr>
            </w:pPr>
            <w:r>
              <w:rPr>
                <w:szCs w:val="21"/>
              </w:rPr>
              <w:t>Ⅱ类</w:t>
            </w:r>
          </w:p>
        </w:tc>
        <w:tc>
          <w:tcPr>
            <w:tcW w:w="2525" w:type="dxa"/>
            <w:gridSpan w:val="3"/>
            <w:tcBorders>
              <w:tl2br w:val="nil"/>
              <w:tr2bl w:val="nil"/>
            </w:tcBorders>
            <w:vAlign w:val="center"/>
          </w:tcPr>
          <w:p w14:paraId="533E854E">
            <w:pPr>
              <w:pStyle w:val="228"/>
              <w:kinsoku w:val="0"/>
              <w:overflowPunct w:val="0"/>
              <w:rPr>
                <w:szCs w:val="21"/>
              </w:rPr>
            </w:pPr>
            <w:r>
              <w:rPr>
                <w:szCs w:val="21"/>
              </w:rPr>
              <w:t>Ⅲ类</w:t>
            </w:r>
          </w:p>
        </w:tc>
      </w:tr>
      <w:tr w14:paraId="3B5537A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18" w:hRule="atLeast"/>
          <w:jc w:val="center"/>
        </w:trPr>
        <w:tc>
          <w:tcPr>
            <w:tcW w:w="2427" w:type="dxa"/>
            <w:vMerge w:val="continue"/>
            <w:tcBorders>
              <w:tl2br w:val="nil"/>
              <w:tr2bl w:val="nil"/>
            </w:tcBorders>
            <w:vAlign w:val="center"/>
          </w:tcPr>
          <w:p w14:paraId="57FA70EC">
            <w:pPr>
              <w:pStyle w:val="228"/>
              <w:kinsoku w:val="0"/>
              <w:overflowPunct w:val="0"/>
              <w:rPr>
                <w:szCs w:val="21"/>
              </w:rPr>
            </w:pPr>
          </w:p>
        </w:tc>
        <w:tc>
          <w:tcPr>
            <w:tcW w:w="825" w:type="dxa"/>
            <w:tcBorders>
              <w:tl2br w:val="nil"/>
              <w:tr2bl w:val="nil"/>
            </w:tcBorders>
            <w:vAlign w:val="center"/>
          </w:tcPr>
          <w:p w14:paraId="3DCAF24A">
            <w:pPr>
              <w:pStyle w:val="228"/>
              <w:kinsoku w:val="0"/>
              <w:overflowPunct w:val="0"/>
              <w:rPr>
                <w:szCs w:val="21"/>
              </w:rPr>
            </w:pPr>
            <w:r>
              <w:rPr>
                <w:szCs w:val="21"/>
              </w:rPr>
              <w:t>大</w:t>
            </w:r>
          </w:p>
        </w:tc>
        <w:tc>
          <w:tcPr>
            <w:tcW w:w="822" w:type="dxa"/>
            <w:tcBorders>
              <w:tl2br w:val="nil"/>
              <w:tr2bl w:val="nil"/>
            </w:tcBorders>
            <w:vAlign w:val="center"/>
          </w:tcPr>
          <w:p w14:paraId="2DBDD195">
            <w:pPr>
              <w:pStyle w:val="228"/>
              <w:kinsoku w:val="0"/>
              <w:overflowPunct w:val="0"/>
              <w:rPr>
                <w:szCs w:val="21"/>
              </w:rPr>
            </w:pPr>
            <w:r>
              <w:rPr>
                <w:szCs w:val="21"/>
              </w:rPr>
              <w:t>中</w:t>
            </w:r>
          </w:p>
        </w:tc>
        <w:tc>
          <w:tcPr>
            <w:tcW w:w="821" w:type="dxa"/>
            <w:tcBorders>
              <w:tl2br w:val="nil"/>
              <w:tr2bl w:val="nil"/>
            </w:tcBorders>
            <w:vAlign w:val="center"/>
          </w:tcPr>
          <w:p w14:paraId="661E0CA8">
            <w:pPr>
              <w:pStyle w:val="228"/>
              <w:kinsoku w:val="0"/>
              <w:overflowPunct w:val="0"/>
              <w:rPr>
                <w:szCs w:val="21"/>
              </w:rPr>
            </w:pPr>
            <w:r>
              <w:rPr>
                <w:szCs w:val="21"/>
              </w:rPr>
              <w:t>小</w:t>
            </w:r>
          </w:p>
        </w:tc>
        <w:tc>
          <w:tcPr>
            <w:tcW w:w="822" w:type="dxa"/>
            <w:tcBorders>
              <w:tl2br w:val="nil"/>
              <w:tr2bl w:val="nil"/>
            </w:tcBorders>
            <w:vAlign w:val="center"/>
          </w:tcPr>
          <w:p w14:paraId="29D86678">
            <w:pPr>
              <w:pStyle w:val="228"/>
              <w:kinsoku w:val="0"/>
              <w:overflowPunct w:val="0"/>
              <w:rPr>
                <w:szCs w:val="21"/>
              </w:rPr>
            </w:pPr>
            <w:r>
              <w:rPr>
                <w:szCs w:val="21"/>
              </w:rPr>
              <w:t>大</w:t>
            </w:r>
          </w:p>
        </w:tc>
        <w:tc>
          <w:tcPr>
            <w:tcW w:w="826" w:type="dxa"/>
            <w:tcBorders>
              <w:tl2br w:val="nil"/>
              <w:tr2bl w:val="nil"/>
            </w:tcBorders>
            <w:vAlign w:val="center"/>
          </w:tcPr>
          <w:p w14:paraId="6DDFD079">
            <w:pPr>
              <w:pStyle w:val="228"/>
              <w:kinsoku w:val="0"/>
              <w:overflowPunct w:val="0"/>
              <w:rPr>
                <w:szCs w:val="21"/>
              </w:rPr>
            </w:pPr>
            <w:r>
              <w:rPr>
                <w:szCs w:val="21"/>
              </w:rPr>
              <w:t>中</w:t>
            </w:r>
          </w:p>
        </w:tc>
        <w:tc>
          <w:tcPr>
            <w:tcW w:w="821" w:type="dxa"/>
            <w:tcBorders>
              <w:tl2br w:val="nil"/>
              <w:tr2bl w:val="nil"/>
            </w:tcBorders>
            <w:vAlign w:val="center"/>
          </w:tcPr>
          <w:p w14:paraId="3E4DABB7">
            <w:pPr>
              <w:pStyle w:val="228"/>
              <w:kinsoku w:val="0"/>
              <w:overflowPunct w:val="0"/>
              <w:rPr>
                <w:szCs w:val="21"/>
              </w:rPr>
            </w:pPr>
            <w:r>
              <w:rPr>
                <w:szCs w:val="21"/>
              </w:rPr>
              <w:t>小</w:t>
            </w:r>
          </w:p>
        </w:tc>
        <w:tc>
          <w:tcPr>
            <w:tcW w:w="822" w:type="dxa"/>
            <w:tcBorders>
              <w:tl2br w:val="nil"/>
              <w:tr2bl w:val="nil"/>
            </w:tcBorders>
            <w:vAlign w:val="center"/>
          </w:tcPr>
          <w:p w14:paraId="44C16BC3">
            <w:pPr>
              <w:pStyle w:val="228"/>
              <w:kinsoku w:val="0"/>
              <w:overflowPunct w:val="0"/>
              <w:rPr>
                <w:szCs w:val="21"/>
              </w:rPr>
            </w:pPr>
            <w:r>
              <w:rPr>
                <w:szCs w:val="21"/>
              </w:rPr>
              <w:t>大</w:t>
            </w:r>
          </w:p>
        </w:tc>
        <w:tc>
          <w:tcPr>
            <w:tcW w:w="823" w:type="dxa"/>
            <w:tcBorders>
              <w:tl2br w:val="nil"/>
              <w:tr2bl w:val="nil"/>
            </w:tcBorders>
            <w:vAlign w:val="center"/>
          </w:tcPr>
          <w:p w14:paraId="4B500157">
            <w:pPr>
              <w:pStyle w:val="228"/>
              <w:kinsoku w:val="0"/>
              <w:overflowPunct w:val="0"/>
              <w:rPr>
                <w:szCs w:val="21"/>
              </w:rPr>
            </w:pPr>
            <w:r>
              <w:rPr>
                <w:szCs w:val="21"/>
              </w:rPr>
              <w:t>中</w:t>
            </w:r>
          </w:p>
        </w:tc>
        <w:tc>
          <w:tcPr>
            <w:tcW w:w="880" w:type="dxa"/>
            <w:tcBorders>
              <w:tl2br w:val="nil"/>
              <w:tr2bl w:val="nil"/>
            </w:tcBorders>
            <w:vAlign w:val="center"/>
          </w:tcPr>
          <w:p w14:paraId="575036DA">
            <w:pPr>
              <w:pStyle w:val="228"/>
              <w:kinsoku w:val="0"/>
              <w:overflowPunct w:val="0"/>
              <w:rPr>
                <w:szCs w:val="21"/>
              </w:rPr>
            </w:pPr>
            <w:r>
              <w:rPr>
                <w:szCs w:val="21"/>
              </w:rPr>
              <w:t>小</w:t>
            </w:r>
          </w:p>
        </w:tc>
      </w:tr>
      <w:tr w14:paraId="467718E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427" w:type="dxa"/>
            <w:tcBorders>
              <w:tl2br w:val="nil"/>
              <w:tr2bl w:val="nil"/>
            </w:tcBorders>
            <w:vAlign w:val="center"/>
          </w:tcPr>
          <w:p w14:paraId="4F445E60">
            <w:pPr>
              <w:pStyle w:val="228"/>
              <w:kinsoku w:val="0"/>
              <w:overflowPunct w:val="0"/>
              <w:rPr>
                <w:szCs w:val="21"/>
              </w:rPr>
            </w:pPr>
            <w:r>
              <w:rPr>
                <w:szCs w:val="21"/>
              </w:rPr>
              <w:t>敏感</w:t>
            </w:r>
          </w:p>
        </w:tc>
        <w:tc>
          <w:tcPr>
            <w:tcW w:w="825" w:type="dxa"/>
            <w:tcBorders>
              <w:tl2br w:val="nil"/>
              <w:tr2bl w:val="nil"/>
            </w:tcBorders>
            <w:vAlign w:val="center"/>
          </w:tcPr>
          <w:p w14:paraId="0CE573E0">
            <w:pPr>
              <w:pStyle w:val="228"/>
              <w:kinsoku w:val="0"/>
              <w:overflowPunct w:val="0"/>
              <w:rPr>
                <w:szCs w:val="21"/>
              </w:rPr>
            </w:pPr>
            <w:r>
              <w:rPr>
                <w:szCs w:val="21"/>
              </w:rPr>
              <w:t>一级</w:t>
            </w:r>
          </w:p>
        </w:tc>
        <w:tc>
          <w:tcPr>
            <w:tcW w:w="822" w:type="dxa"/>
            <w:tcBorders>
              <w:tl2br w:val="nil"/>
              <w:tr2bl w:val="nil"/>
            </w:tcBorders>
            <w:vAlign w:val="center"/>
          </w:tcPr>
          <w:p w14:paraId="599B1A89">
            <w:pPr>
              <w:pStyle w:val="228"/>
              <w:kinsoku w:val="0"/>
              <w:overflowPunct w:val="0"/>
              <w:rPr>
                <w:szCs w:val="21"/>
              </w:rPr>
            </w:pPr>
            <w:r>
              <w:rPr>
                <w:szCs w:val="21"/>
              </w:rPr>
              <w:t>一级</w:t>
            </w:r>
          </w:p>
        </w:tc>
        <w:tc>
          <w:tcPr>
            <w:tcW w:w="821" w:type="dxa"/>
            <w:tcBorders>
              <w:tl2br w:val="nil"/>
              <w:tr2bl w:val="nil"/>
            </w:tcBorders>
            <w:vAlign w:val="center"/>
          </w:tcPr>
          <w:p w14:paraId="2E55E285">
            <w:pPr>
              <w:pStyle w:val="228"/>
              <w:kinsoku w:val="0"/>
              <w:overflowPunct w:val="0"/>
              <w:rPr>
                <w:szCs w:val="21"/>
              </w:rPr>
            </w:pPr>
            <w:r>
              <w:rPr>
                <w:szCs w:val="21"/>
              </w:rPr>
              <w:t>一级</w:t>
            </w:r>
          </w:p>
        </w:tc>
        <w:tc>
          <w:tcPr>
            <w:tcW w:w="822" w:type="dxa"/>
            <w:tcBorders>
              <w:tl2br w:val="nil"/>
              <w:tr2bl w:val="nil"/>
            </w:tcBorders>
            <w:vAlign w:val="center"/>
          </w:tcPr>
          <w:p w14:paraId="2FDFDF9C">
            <w:pPr>
              <w:pStyle w:val="228"/>
              <w:kinsoku w:val="0"/>
              <w:overflowPunct w:val="0"/>
              <w:rPr>
                <w:szCs w:val="21"/>
              </w:rPr>
            </w:pPr>
            <w:r>
              <w:rPr>
                <w:szCs w:val="21"/>
              </w:rPr>
              <w:t>二级</w:t>
            </w:r>
          </w:p>
        </w:tc>
        <w:tc>
          <w:tcPr>
            <w:tcW w:w="826" w:type="dxa"/>
            <w:tcBorders>
              <w:tl2br w:val="nil"/>
              <w:tr2bl w:val="nil"/>
            </w:tcBorders>
            <w:vAlign w:val="center"/>
          </w:tcPr>
          <w:p w14:paraId="3A922E9A">
            <w:pPr>
              <w:pStyle w:val="228"/>
              <w:kinsoku w:val="0"/>
              <w:overflowPunct w:val="0"/>
              <w:rPr>
                <w:szCs w:val="21"/>
              </w:rPr>
            </w:pPr>
            <w:r>
              <w:rPr>
                <w:szCs w:val="21"/>
              </w:rPr>
              <w:t>二级</w:t>
            </w:r>
          </w:p>
        </w:tc>
        <w:tc>
          <w:tcPr>
            <w:tcW w:w="821" w:type="dxa"/>
            <w:tcBorders>
              <w:tl2br w:val="nil"/>
              <w:tr2bl w:val="nil"/>
            </w:tcBorders>
            <w:vAlign w:val="center"/>
          </w:tcPr>
          <w:p w14:paraId="15129600">
            <w:pPr>
              <w:pStyle w:val="228"/>
              <w:kinsoku w:val="0"/>
              <w:overflowPunct w:val="0"/>
              <w:rPr>
                <w:szCs w:val="21"/>
              </w:rPr>
            </w:pPr>
            <w:r>
              <w:rPr>
                <w:szCs w:val="21"/>
              </w:rPr>
              <w:t>二级</w:t>
            </w:r>
          </w:p>
        </w:tc>
        <w:tc>
          <w:tcPr>
            <w:tcW w:w="822" w:type="dxa"/>
            <w:tcBorders>
              <w:tl2br w:val="nil"/>
              <w:tr2bl w:val="nil"/>
            </w:tcBorders>
            <w:vAlign w:val="center"/>
          </w:tcPr>
          <w:p w14:paraId="05113F7E">
            <w:pPr>
              <w:pStyle w:val="228"/>
              <w:kinsoku w:val="0"/>
              <w:overflowPunct w:val="0"/>
              <w:rPr>
                <w:szCs w:val="21"/>
              </w:rPr>
            </w:pPr>
            <w:r>
              <w:rPr>
                <w:szCs w:val="21"/>
              </w:rPr>
              <w:t>三级</w:t>
            </w:r>
          </w:p>
        </w:tc>
        <w:tc>
          <w:tcPr>
            <w:tcW w:w="823" w:type="dxa"/>
            <w:tcBorders>
              <w:tl2br w:val="nil"/>
              <w:tr2bl w:val="nil"/>
            </w:tcBorders>
            <w:vAlign w:val="center"/>
          </w:tcPr>
          <w:p w14:paraId="01BD6ED0">
            <w:pPr>
              <w:pStyle w:val="228"/>
              <w:kinsoku w:val="0"/>
              <w:overflowPunct w:val="0"/>
              <w:rPr>
                <w:szCs w:val="21"/>
              </w:rPr>
            </w:pPr>
            <w:r>
              <w:rPr>
                <w:szCs w:val="21"/>
              </w:rPr>
              <w:t>三级</w:t>
            </w:r>
          </w:p>
        </w:tc>
        <w:tc>
          <w:tcPr>
            <w:tcW w:w="880" w:type="dxa"/>
            <w:tcBorders>
              <w:tl2br w:val="nil"/>
              <w:tr2bl w:val="nil"/>
            </w:tcBorders>
            <w:vAlign w:val="center"/>
          </w:tcPr>
          <w:p w14:paraId="5B50D137">
            <w:pPr>
              <w:pStyle w:val="228"/>
              <w:kinsoku w:val="0"/>
              <w:overflowPunct w:val="0"/>
              <w:rPr>
                <w:szCs w:val="21"/>
              </w:rPr>
            </w:pPr>
            <w:r>
              <w:rPr>
                <w:szCs w:val="21"/>
              </w:rPr>
              <w:t>三级</w:t>
            </w:r>
          </w:p>
        </w:tc>
      </w:tr>
      <w:tr w14:paraId="5448D99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427" w:type="dxa"/>
            <w:tcBorders>
              <w:tl2br w:val="nil"/>
              <w:tr2bl w:val="nil"/>
            </w:tcBorders>
            <w:vAlign w:val="center"/>
          </w:tcPr>
          <w:p w14:paraId="6203324E">
            <w:pPr>
              <w:pStyle w:val="228"/>
              <w:kinsoku w:val="0"/>
              <w:overflowPunct w:val="0"/>
              <w:rPr>
                <w:szCs w:val="21"/>
              </w:rPr>
            </w:pPr>
            <w:r>
              <w:rPr>
                <w:szCs w:val="21"/>
              </w:rPr>
              <w:t>较敏感</w:t>
            </w:r>
          </w:p>
        </w:tc>
        <w:tc>
          <w:tcPr>
            <w:tcW w:w="825" w:type="dxa"/>
            <w:tcBorders>
              <w:tl2br w:val="nil"/>
              <w:tr2bl w:val="nil"/>
            </w:tcBorders>
            <w:vAlign w:val="center"/>
          </w:tcPr>
          <w:p w14:paraId="2FADB2C1">
            <w:pPr>
              <w:pStyle w:val="228"/>
              <w:kinsoku w:val="0"/>
              <w:overflowPunct w:val="0"/>
              <w:rPr>
                <w:szCs w:val="21"/>
              </w:rPr>
            </w:pPr>
            <w:r>
              <w:rPr>
                <w:szCs w:val="21"/>
              </w:rPr>
              <w:t>一级</w:t>
            </w:r>
          </w:p>
        </w:tc>
        <w:tc>
          <w:tcPr>
            <w:tcW w:w="822" w:type="dxa"/>
            <w:tcBorders>
              <w:tl2br w:val="nil"/>
              <w:tr2bl w:val="nil"/>
            </w:tcBorders>
            <w:vAlign w:val="center"/>
          </w:tcPr>
          <w:p w14:paraId="35AF567A">
            <w:pPr>
              <w:pStyle w:val="228"/>
              <w:kinsoku w:val="0"/>
              <w:overflowPunct w:val="0"/>
              <w:rPr>
                <w:szCs w:val="21"/>
              </w:rPr>
            </w:pPr>
            <w:r>
              <w:rPr>
                <w:szCs w:val="21"/>
              </w:rPr>
              <w:t>一级</w:t>
            </w:r>
          </w:p>
        </w:tc>
        <w:tc>
          <w:tcPr>
            <w:tcW w:w="821" w:type="dxa"/>
            <w:tcBorders>
              <w:tl2br w:val="nil"/>
              <w:tr2bl w:val="nil"/>
            </w:tcBorders>
            <w:vAlign w:val="center"/>
          </w:tcPr>
          <w:p w14:paraId="22956149">
            <w:pPr>
              <w:pStyle w:val="228"/>
              <w:kinsoku w:val="0"/>
              <w:overflowPunct w:val="0"/>
              <w:rPr>
                <w:szCs w:val="21"/>
              </w:rPr>
            </w:pPr>
            <w:r>
              <w:rPr>
                <w:szCs w:val="21"/>
              </w:rPr>
              <w:t>二级</w:t>
            </w:r>
          </w:p>
        </w:tc>
        <w:tc>
          <w:tcPr>
            <w:tcW w:w="822" w:type="dxa"/>
            <w:tcBorders>
              <w:tl2br w:val="nil"/>
              <w:tr2bl w:val="nil"/>
            </w:tcBorders>
            <w:vAlign w:val="center"/>
          </w:tcPr>
          <w:p w14:paraId="57C1F4A0">
            <w:pPr>
              <w:pStyle w:val="228"/>
              <w:kinsoku w:val="0"/>
              <w:overflowPunct w:val="0"/>
              <w:rPr>
                <w:szCs w:val="21"/>
              </w:rPr>
            </w:pPr>
            <w:r>
              <w:rPr>
                <w:szCs w:val="21"/>
              </w:rPr>
              <w:t>二级</w:t>
            </w:r>
          </w:p>
        </w:tc>
        <w:tc>
          <w:tcPr>
            <w:tcW w:w="826" w:type="dxa"/>
            <w:tcBorders>
              <w:tl2br w:val="nil"/>
              <w:tr2bl w:val="nil"/>
            </w:tcBorders>
            <w:vAlign w:val="center"/>
          </w:tcPr>
          <w:p w14:paraId="46D2866D">
            <w:pPr>
              <w:pStyle w:val="228"/>
              <w:kinsoku w:val="0"/>
              <w:overflowPunct w:val="0"/>
              <w:rPr>
                <w:szCs w:val="21"/>
              </w:rPr>
            </w:pPr>
            <w:r>
              <w:rPr>
                <w:szCs w:val="21"/>
              </w:rPr>
              <w:t>二级</w:t>
            </w:r>
          </w:p>
        </w:tc>
        <w:tc>
          <w:tcPr>
            <w:tcW w:w="821" w:type="dxa"/>
            <w:tcBorders>
              <w:tl2br w:val="nil"/>
              <w:tr2bl w:val="nil"/>
            </w:tcBorders>
            <w:vAlign w:val="center"/>
          </w:tcPr>
          <w:p w14:paraId="157BD772">
            <w:pPr>
              <w:pStyle w:val="228"/>
              <w:kinsoku w:val="0"/>
              <w:overflowPunct w:val="0"/>
              <w:rPr>
                <w:szCs w:val="21"/>
              </w:rPr>
            </w:pPr>
            <w:r>
              <w:rPr>
                <w:szCs w:val="21"/>
              </w:rPr>
              <w:t>三级</w:t>
            </w:r>
          </w:p>
        </w:tc>
        <w:tc>
          <w:tcPr>
            <w:tcW w:w="822" w:type="dxa"/>
            <w:tcBorders>
              <w:tl2br w:val="nil"/>
              <w:tr2bl w:val="nil"/>
            </w:tcBorders>
            <w:vAlign w:val="center"/>
          </w:tcPr>
          <w:p w14:paraId="4B04EDB4">
            <w:pPr>
              <w:pStyle w:val="228"/>
              <w:kinsoku w:val="0"/>
              <w:overflowPunct w:val="0"/>
              <w:rPr>
                <w:szCs w:val="21"/>
              </w:rPr>
            </w:pPr>
            <w:r>
              <w:rPr>
                <w:szCs w:val="21"/>
              </w:rPr>
              <w:t>三级</w:t>
            </w:r>
          </w:p>
        </w:tc>
        <w:tc>
          <w:tcPr>
            <w:tcW w:w="823" w:type="dxa"/>
            <w:tcBorders>
              <w:tl2br w:val="nil"/>
              <w:tr2bl w:val="nil"/>
            </w:tcBorders>
            <w:vAlign w:val="center"/>
          </w:tcPr>
          <w:p w14:paraId="17200290">
            <w:pPr>
              <w:pStyle w:val="228"/>
              <w:kinsoku w:val="0"/>
              <w:overflowPunct w:val="0"/>
              <w:rPr>
                <w:szCs w:val="21"/>
              </w:rPr>
            </w:pPr>
            <w:r>
              <w:rPr>
                <w:szCs w:val="21"/>
              </w:rPr>
              <w:t>三级</w:t>
            </w:r>
          </w:p>
        </w:tc>
        <w:tc>
          <w:tcPr>
            <w:tcW w:w="880" w:type="dxa"/>
            <w:tcBorders>
              <w:tl2br w:val="nil"/>
              <w:tr2bl w:val="nil"/>
            </w:tcBorders>
            <w:vAlign w:val="center"/>
          </w:tcPr>
          <w:p w14:paraId="420EFE91">
            <w:pPr>
              <w:pStyle w:val="228"/>
              <w:kinsoku w:val="0"/>
              <w:overflowPunct w:val="0"/>
              <w:rPr>
                <w:szCs w:val="21"/>
              </w:rPr>
            </w:pPr>
            <w:r>
              <w:rPr>
                <w:szCs w:val="21"/>
              </w:rPr>
              <w:t>-</w:t>
            </w:r>
          </w:p>
        </w:tc>
      </w:tr>
      <w:tr w14:paraId="35F7249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427" w:type="dxa"/>
            <w:tcBorders>
              <w:tl2br w:val="nil"/>
              <w:tr2bl w:val="nil"/>
            </w:tcBorders>
            <w:vAlign w:val="center"/>
          </w:tcPr>
          <w:p w14:paraId="09D14D2E">
            <w:pPr>
              <w:pStyle w:val="228"/>
              <w:kinsoku w:val="0"/>
              <w:overflowPunct w:val="0"/>
              <w:rPr>
                <w:szCs w:val="21"/>
              </w:rPr>
            </w:pPr>
            <w:r>
              <w:rPr>
                <w:szCs w:val="21"/>
              </w:rPr>
              <w:t>不敏感</w:t>
            </w:r>
          </w:p>
        </w:tc>
        <w:tc>
          <w:tcPr>
            <w:tcW w:w="825" w:type="dxa"/>
            <w:tcBorders>
              <w:tl2br w:val="nil"/>
              <w:tr2bl w:val="nil"/>
            </w:tcBorders>
            <w:vAlign w:val="center"/>
          </w:tcPr>
          <w:p w14:paraId="3D8A9BD4">
            <w:pPr>
              <w:pStyle w:val="228"/>
              <w:kinsoku w:val="0"/>
              <w:overflowPunct w:val="0"/>
              <w:rPr>
                <w:szCs w:val="21"/>
              </w:rPr>
            </w:pPr>
            <w:r>
              <w:rPr>
                <w:szCs w:val="21"/>
              </w:rPr>
              <w:t>一级</w:t>
            </w:r>
          </w:p>
        </w:tc>
        <w:tc>
          <w:tcPr>
            <w:tcW w:w="822" w:type="dxa"/>
            <w:tcBorders>
              <w:tl2br w:val="nil"/>
              <w:tr2bl w:val="nil"/>
            </w:tcBorders>
            <w:vAlign w:val="center"/>
          </w:tcPr>
          <w:p w14:paraId="0988DDC0">
            <w:pPr>
              <w:pStyle w:val="228"/>
              <w:kinsoku w:val="0"/>
              <w:overflowPunct w:val="0"/>
              <w:rPr>
                <w:szCs w:val="21"/>
              </w:rPr>
            </w:pPr>
            <w:r>
              <w:rPr>
                <w:szCs w:val="21"/>
              </w:rPr>
              <w:t>二级</w:t>
            </w:r>
          </w:p>
        </w:tc>
        <w:tc>
          <w:tcPr>
            <w:tcW w:w="821" w:type="dxa"/>
            <w:tcBorders>
              <w:tl2br w:val="nil"/>
              <w:tr2bl w:val="nil"/>
            </w:tcBorders>
            <w:vAlign w:val="center"/>
          </w:tcPr>
          <w:p w14:paraId="62AFB809">
            <w:pPr>
              <w:pStyle w:val="228"/>
              <w:kinsoku w:val="0"/>
              <w:overflowPunct w:val="0"/>
              <w:rPr>
                <w:szCs w:val="21"/>
              </w:rPr>
            </w:pPr>
            <w:r>
              <w:rPr>
                <w:szCs w:val="21"/>
              </w:rPr>
              <w:t>二级</w:t>
            </w:r>
          </w:p>
        </w:tc>
        <w:tc>
          <w:tcPr>
            <w:tcW w:w="822" w:type="dxa"/>
            <w:tcBorders>
              <w:tl2br w:val="nil"/>
              <w:tr2bl w:val="nil"/>
            </w:tcBorders>
            <w:vAlign w:val="center"/>
          </w:tcPr>
          <w:p w14:paraId="0A340E56">
            <w:pPr>
              <w:pStyle w:val="228"/>
              <w:kinsoku w:val="0"/>
              <w:overflowPunct w:val="0"/>
              <w:rPr>
                <w:szCs w:val="21"/>
              </w:rPr>
            </w:pPr>
            <w:r>
              <w:rPr>
                <w:szCs w:val="21"/>
              </w:rPr>
              <w:t>二级</w:t>
            </w:r>
          </w:p>
        </w:tc>
        <w:tc>
          <w:tcPr>
            <w:tcW w:w="826" w:type="dxa"/>
            <w:tcBorders>
              <w:tl2br w:val="nil"/>
              <w:tr2bl w:val="nil"/>
            </w:tcBorders>
            <w:vAlign w:val="center"/>
          </w:tcPr>
          <w:p w14:paraId="0A169D49">
            <w:pPr>
              <w:jc w:val="center"/>
              <w:rPr>
                <w:szCs w:val="21"/>
              </w:rPr>
            </w:pPr>
            <w:r>
              <w:rPr>
                <w:w w:val="90"/>
                <w:szCs w:val="21"/>
              </w:rPr>
              <w:t>三级</w:t>
            </w:r>
          </w:p>
        </w:tc>
        <w:tc>
          <w:tcPr>
            <w:tcW w:w="821" w:type="dxa"/>
            <w:tcBorders>
              <w:tl2br w:val="nil"/>
              <w:tr2bl w:val="nil"/>
            </w:tcBorders>
            <w:vAlign w:val="center"/>
          </w:tcPr>
          <w:p w14:paraId="209CBB29">
            <w:pPr>
              <w:pStyle w:val="228"/>
              <w:kinsoku w:val="0"/>
              <w:overflowPunct w:val="0"/>
              <w:rPr>
                <w:szCs w:val="21"/>
              </w:rPr>
            </w:pPr>
            <w:r>
              <w:rPr>
                <w:szCs w:val="21"/>
              </w:rPr>
              <w:t>三级</w:t>
            </w:r>
          </w:p>
        </w:tc>
        <w:tc>
          <w:tcPr>
            <w:tcW w:w="822" w:type="dxa"/>
            <w:tcBorders>
              <w:tl2br w:val="nil"/>
              <w:tr2bl w:val="nil"/>
            </w:tcBorders>
            <w:vAlign w:val="center"/>
          </w:tcPr>
          <w:p w14:paraId="37C4CBDE">
            <w:pPr>
              <w:pStyle w:val="228"/>
              <w:kinsoku w:val="0"/>
              <w:overflowPunct w:val="0"/>
              <w:rPr>
                <w:szCs w:val="21"/>
              </w:rPr>
            </w:pPr>
            <w:r>
              <w:rPr>
                <w:szCs w:val="21"/>
              </w:rPr>
              <w:t>三级</w:t>
            </w:r>
          </w:p>
        </w:tc>
        <w:tc>
          <w:tcPr>
            <w:tcW w:w="823" w:type="dxa"/>
            <w:tcBorders>
              <w:tl2br w:val="nil"/>
              <w:tr2bl w:val="nil"/>
            </w:tcBorders>
            <w:vAlign w:val="center"/>
          </w:tcPr>
          <w:p w14:paraId="13CDD16D">
            <w:pPr>
              <w:pStyle w:val="228"/>
              <w:kinsoku w:val="0"/>
              <w:overflowPunct w:val="0"/>
              <w:rPr>
                <w:szCs w:val="21"/>
              </w:rPr>
            </w:pPr>
            <w:r>
              <w:rPr>
                <w:szCs w:val="21"/>
              </w:rPr>
              <w:t>-</w:t>
            </w:r>
          </w:p>
        </w:tc>
        <w:tc>
          <w:tcPr>
            <w:tcW w:w="880" w:type="dxa"/>
            <w:tcBorders>
              <w:tl2br w:val="nil"/>
              <w:tr2bl w:val="nil"/>
            </w:tcBorders>
            <w:vAlign w:val="center"/>
          </w:tcPr>
          <w:p w14:paraId="59E80AE7">
            <w:pPr>
              <w:pStyle w:val="228"/>
              <w:kinsoku w:val="0"/>
              <w:overflowPunct w:val="0"/>
              <w:rPr>
                <w:szCs w:val="21"/>
              </w:rPr>
            </w:pPr>
            <w:r>
              <w:rPr>
                <w:szCs w:val="21"/>
              </w:rPr>
              <w:t>-</w:t>
            </w:r>
          </w:p>
        </w:tc>
      </w:tr>
      <w:tr w14:paraId="1A7BFA5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9889" w:type="dxa"/>
            <w:gridSpan w:val="10"/>
            <w:tcBorders>
              <w:tl2br w:val="nil"/>
              <w:tr2bl w:val="nil"/>
            </w:tcBorders>
            <w:vAlign w:val="center"/>
          </w:tcPr>
          <w:p w14:paraId="6544C665">
            <w:pPr>
              <w:pStyle w:val="228"/>
              <w:kinsoku w:val="0"/>
              <w:overflowPunct w:val="0"/>
              <w:jc w:val="left"/>
              <w:rPr>
                <w:szCs w:val="21"/>
              </w:rPr>
            </w:pPr>
            <w:r>
              <w:rPr>
                <w:szCs w:val="21"/>
              </w:rPr>
              <w:t>注</w:t>
            </w:r>
            <w:r>
              <w:rPr>
                <w:spacing w:val="-106"/>
                <w:szCs w:val="21"/>
              </w:rPr>
              <w:t>：</w:t>
            </w:r>
            <w:r>
              <w:rPr>
                <w:rFonts w:hint="eastAsia"/>
                <w:spacing w:val="-1"/>
                <w:szCs w:val="21"/>
              </w:rPr>
              <w:t>“</w:t>
            </w:r>
            <w:r>
              <w:rPr>
                <w:spacing w:val="-4"/>
                <w:szCs w:val="21"/>
              </w:rPr>
              <w:t>-</w:t>
            </w:r>
            <w:r>
              <w:rPr>
                <w:rFonts w:hint="eastAsia"/>
                <w:szCs w:val="21"/>
              </w:rPr>
              <w:t>”</w:t>
            </w:r>
            <w:r>
              <w:rPr>
                <w:spacing w:val="-3"/>
                <w:szCs w:val="21"/>
              </w:rPr>
              <w:t>表</w:t>
            </w:r>
            <w:r>
              <w:rPr>
                <w:szCs w:val="21"/>
              </w:rPr>
              <w:t>示</w:t>
            </w:r>
            <w:r>
              <w:rPr>
                <w:spacing w:val="-3"/>
                <w:szCs w:val="21"/>
              </w:rPr>
              <w:t>可</w:t>
            </w:r>
            <w:r>
              <w:rPr>
                <w:szCs w:val="21"/>
              </w:rPr>
              <w:t>不</w:t>
            </w:r>
            <w:r>
              <w:rPr>
                <w:spacing w:val="-3"/>
                <w:szCs w:val="21"/>
              </w:rPr>
              <w:t>开</w:t>
            </w:r>
            <w:r>
              <w:rPr>
                <w:szCs w:val="21"/>
              </w:rPr>
              <w:t>展</w:t>
            </w:r>
            <w:r>
              <w:rPr>
                <w:spacing w:val="-3"/>
                <w:szCs w:val="21"/>
              </w:rPr>
              <w:t>土</w:t>
            </w:r>
            <w:r>
              <w:rPr>
                <w:szCs w:val="21"/>
              </w:rPr>
              <w:t>壤环</w:t>
            </w:r>
            <w:r>
              <w:rPr>
                <w:spacing w:val="-3"/>
                <w:szCs w:val="21"/>
              </w:rPr>
              <w:t>境</w:t>
            </w:r>
            <w:r>
              <w:rPr>
                <w:szCs w:val="21"/>
              </w:rPr>
              <w:t>影</w:t>
            </w:r>
            <w:r>
              <w:rPr>
                <w:spacing w:val="-3"/>
                <w:szCs w:val="21"/>
              </w:rPr>
              <w:t>响</w:t>
            </w:r>
            <w:r>
              <w:rPr>
                <w:szCs w:val="21"/>
              </w:rPr>
              <w:t>评</w:t>
            </w:r>
            <w:r>
              <w:rPr>
                <w:spacing w:val="-3"/>
                <w:szCs w:val="21"/>
              </w:rPr>
              <w:t>价</w:t>
            </w:r>
            <w:r>
              <w:rPr>
                <w:szCs w:val="21"/>
              </w:rPr>
              <w:t>工</w:t>
            </w:r>
            <w:r>
              <w:rPr>
                <w:spacing w:val="-3"/>
                <w:szCs w:val="21"/>
              </w:rPr>
              <w:t>作</w:t>
            </w:r>
            <w:r>
              <w:rPr>
                <w:szCs w:val="21"/>
              </w:rPr>
              <w:t>。</w:t>
            </w:r>
          </w:p>
        </w:tc>
      </w:tr>
    </w:tbl>
    <w:p w14:paraId="213FB9CB">
      <w:pPr>
        <w:pStyle w:val="16"/>
        <w:spacing w:after="0" w:line="360" w:lineRule="auto"/>
        <w:ind w:firstLine="480" w:firstLineChars="200"/>
        <w:jc w:val="left"/>
        <w:rPr>
          <w:rFonts w:hint="eastAsia" w:ascii="宋体" w:hAnsi="宋体" w:cs="宋体"/>
          <w:sz w:val="24"/>
          <w:szCs w:val="24"/>
        </w:rPr>
      </w:pPr>
      <w:r>
        <w:rPr>
          <w:rFonts w:ascii="宋体" w:hAnsi="宋体" w:cs="宋体"/>
          <w:sz w:val="24"/>
          <w:szCs w:val="24"/>
        </w:rPr>
        <w:t>根据《环境影响评价技术导则</w:t>
      </w:r>
      <w:r>
        <w:rPr>
          <w:rFonts w:hint="eastAsia" w:ascii="宋体" w:hAnsi="宋体" w:cs="宋体"/>
          <w:sz w:val="24"/>
          <w:szCs w:val="24"/>
        </w:rPr>
        <w:t xml:space="preserve">  </w:t>
      </w:r>
      <w:r>
        <w:rPr>
          <w:rFonts w:ascii="宋体" w:hAnsi="宋体" w:cs="宋体"/>
          <w:sz w:val="24"/>
          <w:szCs w:val="24"/>
        </w:rPr>
        <w:t>土壤环境》（HJ964-2018），综合评价本项目</w:t>
      </w:r>
      <w:r>
        <w:rPr>
          <w:rFonts w:hint="eastAsia" w:ascii="宋体" w:hAnsi="宋体" w:cs="宋体"/>
          <w:sz w:val="24"/>
          <w:szCs w:val="24"/>
        </w:rPr>
        <w:t>土壤评价工作等级为三级</w:t>
      </w:r>
      <w:r>
        <w:rPr>
          <w:rFonts w:ascii="宋体" w:hAnsi="宋体" w:cs="宋体"/>
          <w:sz w:val="24"/>
          <w:szCs w:val="24"/>
        </w:rPr>
        <w:t>。</w:t>
      </w:r>
    </w:p>
    <w:p w14:paraId="24C76096">
      <w:pPr>
        <w:pStyle w:val="5"/>
        <w:rPr>
          <w:rFonts w:ascii="Times New Roman" w:hAnsi="Times New Roman"/>
          <w:color w:val="000000"/>
          <w:lang w:val="en-US"/>
        </w:rPr>
      </w:pPr>
      <w:r>
        <w:rPr>
          <w:rFonts w:hint="eastAsia" w:ascii="Times New Roman" w:hAnsi="Times New Roman"/>
          <w:color w:val="000000"/>
          <w:lang w:val="en-US"/>
        </w:rPr>
        <w:t>2.4.5.2</w:t>
      </w:r>
      <w:r>
        <w:rPr>
          <w:rFonts w:hint="eastAsia" w:ascii="Times New Roman" w:hAnsi="Times New Roman"/>
          <w:color w:val="000000"/>
          <w:lang w:val="en-US" w:eastAsia="zh-CN"/>
        </w:rPr>
        <w:t>评价</w:t>
      </w:r>
      <w:r>
        <w:rPr>
          <w:rFonts w:hint="eastAsia" w:ascii="Times New Roman" w:hAnsi="Times New Roman"/>
          <w:color w:val="000000"/>
          <w:lang w:val="en-US"/>
        </w:rPr>
        <w:t>范围</w:t>
      </w:r>
    </w:p>
    <w:p w14:paraId="0FD12B0B">
      <w:pPr>
        <w:pStyle w:val="16"/>
        <w:kinsoku w:val="0"/>
        <w:overflowPunct w:val="0"/>
        <w:spacing w:after="0" w:line="360" w:lineRule="auto"/>
        <w:ind w:firstLine="480"/>
        <w:rPr>
          <w:rFonts w:hint="eastAsia" w:ascii="宋体" w:hAnsi="宋体" w:cs="宋体"/>
          <w:sz w:val="24"/>
          <w:szCs w:val="24"/>
        </w:rPr>
      </w:pPr>
      <w:r>
        <w:rPr>
          <w:rFonts w:hint="eastAsia" w:ascii="宋体" w:hAnsi="宋体" w:cs="宋体"/>
          <w:sz w:val="24"/>
          <w:szCs w:val="24"/>
        </w:rPr>
        <w:t>根据本项目的特点、确定评价范围为厂四周各50m范围。</w:t>
      </w:r>
    </w:p>
    <w:p w14:paraId="666D0296">
      <w:pPr>
        <w:pStyle w:val="16"/>
        <w:kinsoku w:val="0"/>
        <w:overflowPunct w:val="0"/>
        <w:spacing w:after="0" w:line="360" w:lineRule="auto"/>
        <w:ind w:firstLine="480"/>
        <w:rPr>
          <w:rFonts w:hint="eastAsia" w:ascii="宋体" w:hAnsi="宋体" w:cs="宋体"/>
          <w:sz w:val="24"/>
          <w:szCs w:val="24"/>
          <w:lang w:val="en-US"/>
        </w:rPr>
      </w:pPr>
      <w:r>
        <w:rPr>
          <w:rFonts w:hint="eastAsia" w:ascii="宋体" w:hAnsi="宋体" w:cs="宋体"/>
          <w:sz w:val="24"/>
          <w:szCs w:val="24"/>
          <w:lang w:val="en-US"/>
        </w:rPr>
        <w:t>评价范围示意图见2.5-1。</w:t>
      </w:r>
    </w:p>
    <w:p w14:paraId="7F091A2B">
      <w:pPr>
        <w:pStyle w:val="4"/>
        <w:autoSpaceDE w:val="0"/>
        <w:autoSpaceDN w:val="0"/>
        <w:spacing w:before="0" w:after="0" w:line="360" w:lineRule="auto"/>
        <w:jc w:val="left"/>
        <w:rPr>
          <w:kern w:val="0"/>
          <w:sz w:val="24"/>
          <w:lang w:val="en-US" w:bidi="zh-CN"/>
        </w:rPr>
      </w:pPr>
      <w:r>
        <w:rPr>
          <w:rFonts w:hint="eastAsia"/>
          <w:kern w:val="0"/>
          <w:sz w:val="24"/>
          <w:lang w:val="en-US" w:bidi="zh-CN"/>
        </w:rPr>
        <w:t>2.4.6生态环境评价等级和评价范围</w:t>
      </w:r>
    </w:p>
    <w:p w14:paraId="1B3DD01F">
      <w:pPr>
        <w:pStyle w:val="5"/>
        <w:rPr>
          <w:rFonts w:ascii="Times New Roman" w:hAnsi="Times New Roman"/>
          <w:color w:val="000000"/>
          <w:lang w:val="en-US"/>
        </w:rPr>
      </w:pPr>
      <w:r>
        <w:rPr>
          <w:rFonts w:hint="eastAsia" w:ascii="Times New Roman" w:hAnsi="Times New Roman"/>
          <w:color w:val="000000"/>
          <w:lang w:val="en-US"/>
        </w:rPr>
        <w:t>2.4.6.1评价等级</w:t>
      </w:r>
    </w:p>
    <w:p w14:paraId="2D65E957">
      <w:pPr>
        <w:pStyle w:val="16"/>
        <w:spacing w:after="0" w:line="360" w:lineRule="auto"/>
        <w:ind w:firstLine="480" w:firstLineChars="200"/>
        <w:jc w:val="left"/>
        <w:rPr>
          <w:rFonts w:hint="eastAsia" w:ascii="宋体" w:hAnsi="宋体" w:cs="宋体"/>
          <w:sz w:val="24"/>
          <w:szCs w:val="24"/>
        </w:rPr>
      </w:pPr>
      <w:r>
        <w:rPr>
          <w:rFonts w:hint="eastAsia" w:ascii="宋体" w:hAnsi="宋体" w:cs="宋体"/>
          <w:sz w:val="24"/>
          <w:szCs w:val="24"/>
        </w:rPr>
        <w:t>根据《环境影响评价技术导则 生态影响》(HJ19-2022)，生态环境评价工作等级划分依据，建设项目影响区域的生态敏感性和影响程度，评价等级划分为一级、二级和三级</w:t>
      </w:r>
      <w:r>
        <w:rPr>
          <w:rFonts w:hint="eastAsia" w:ascii="宋体" w:hAnsi="宋体" w:cs="宋体"/>
          <w:sz w:val="24"/>
          <w:szCs w:val="24"/>
          <w:lang w:val="en-US"/>
        </w:rPr>
        <w:t>,见表2.5-11</w:t>
      </w:r>
      <w:r>
        <w:rPr>
          <w:rFonts w:hint="eastAsia" w:ascii="宋体" w:hAnsi="宋体" w:cs="宋体"/>
          <w:sz w:val="24"/>
          <w:szCs w:val="24"/>
        </w:rPr>
        <w:t>。</w:t>
      </w:r>
    </w:p>
    <w:p w14:paraId="768BBF56">
      <w:pPr>
        <w:snapToGrid w:val="0"/>
        <w:spacing w:line="440" w:lineRule="exact"/>
        <w:jc w:val="center"/>
        <w:rPr>
          <w:rFonts w:hint="eastAsia" w:ascii="宋体" w:hAnsi="宋体" w:cs="宋体"/>
          <w:b/>
          <w:bCs/>
          <w:szCs w:val="21"/>
        </w:rPr>
      </w:pPr>
    </w:p>
    <w:p w14:paraId="0BF914E8">
      <w:pPr>
        <w:snapToGrid w:val="0"/>
        <w:spacing w:line="440" w:lineRule="exact"/>
        <w:jc w:val="center"/>
        <w:rPr>
          <w:rFonts w:hint="eastAsia" w:ascii="宋体" w:hAnsi="宋体" w:cs="宋体"/>
          <w:b/>
          <w:bCs/>
          <w:szCs w:val="21"/>
        </w:rPr>
      </w:pPr>
    </w:p>
    <w:p w14:paraId="17908780">
      <w:pPr>
        <w:snapToGrid w:val="0"/>
        <w:spacing w:line="440" w:lineRule="exact"/>
        <w:jc w:val="center"/>
        <w:rPr>
          <w:rFonts w:hint="eastAsia" w:ascii="宋体" w:hAnsi="宋体" w:cs="宋体"/>
          <w:b/>
          <w:bCs/>
          <w:szCs w:val="21"/>
        </w:rPr>
      </w:pPr>
    </w:p>
    <w:p w14:paraId="02BCCF2A">
      <w:pPr>
        <w:snapToGrid w:val="0"/>
        <w:spacing w:line="440" w:lineRule="exact"/>
        <w:jc w:val="center"/>
        <w:rPr>
          <w:rFonts w:hint="eastAsia" w:ascii="宋体" w:hAnsi="宋体" w:cs="宋体"/>
          <w:b/>
          <w:bCs/>
          <w:szCs w:val="21"/>
        </w:rPr>
      </w:pPr>
    </w:p>
    <w:p w14:paraId="39B56B4C">
      <w:pPr>
        <w:snapToGrid w:val="0"/>
        <w:spacing w:line="440" w:lineRule="exact"/>
        <w:jc w:val="center"/>
        <w:rPr>
          <w:rFonts w:hint="eastAsia" w:ascii="宋体" w:hAnsi="宋体" w:cs="宋体"/>
          <w:b/>
          <w:bCs/>
          <w:szCs w:val="21"/>
        </w:rPr>
      </w:pPr>
      <w:r>
        <w:rPr>
          <w:rFonts w:hint="eastAsia" w:ascii="宋体" w:hAnsi="宋体" w:cs="宋体"/>
          <w:b/>
          <w:bCs/>
          <w:szCs w:val="21"/>
        </w:rPr>
        <w:t>表2.5-11    生态影响评价等级判定</w:t>
      </w:r>
    </w:p>
    <w:tbl>
      <w:tblPr>
        <w:tblStyle w:val="50"/>
        <w:tblW w:w="0" w:type="auto"/>
        <w:tblInd w:w="0" w:type="dxa"/>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autofit"/>
        <w:tblCellMar>
          <w:top w:w="0" w:type="dxa"/>
          <w:left w:w="108" w:type="dxa"/>
          <w:bottom w:w="0" w:type="dxa"/>
          <w:right w:w="108" w:type="dxa"/>
        </w:tblCellMar>
      </w:tblPr>
      <w:tblGrid>
        <w:gridCol w:w="816"/>
        <w:gridCol w:w="6681"/>
        <w:gridCol w:w="1734"/>
      </w:tblGrid>
      <w:tr w14:paraId="2C474F3B">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52" w:hRule="atLeast"/>
        </w:trPr>
        <w:tc>
          <w:tcPr>
            <w:tcW w:w="816" w:type="dxa"/>
            <w:tcBorders>
              <w:tl2br w:val="nil"/>
              <w:tr2bl w:val="nil"/>
            </w:tcBorders>
            <w:vAlign w:val="center"/>
          </w:tcPr>
          <w:p w14:paraId="7FE22164">
            <w:pPr>
              <w:pStyle w:val="228"/>
              <w:kinsoku w:val="0"/>
              <w:overflowPunct w:val="0"/>
              <w:rPr>
                <w:rFonts w:hint="eastAsia" w:ascii="宋体" w:hAnsi="宋体" w:cs="宋体"/>
                <w:szCs w:val="21"/>
              </w:rPr>
            </w:pPr>
            <w:r>
              <w:rPr>
                <w:rFonts w:hint="eastAsia" w:ascii="宋体" w:hAnsi="宋体" w:cs="宋体"/>
                <w:szCs w:val="21"/>
              </w:rPr>
              <w:t>序号</w:t>
            </w:r>
          </w:p>
        </w:tc>
        <w:tc>
          <w:tcPr>
            <w:tcW w:w="6681" w:type="dxa"/>
            <w:tcBorders>
              <w:tl2br w:val="nil"/>
              <w:tr2bl w:val="nil"/>
            </w:tcBorders>
            <w:vAlign w:val="center"/>
          </w:tcPr>
          <w:p w14:paraId="2127F0EA">
            <w:pPr>
              <w:pStyle w:val="228"/>
              <w:kinsoku w:val="0"/>
              <w:overflowPunct w:val="0"/>
              <w:rPr>
                <w:rFonts w:hint="eastAsia" w:ascii="宋体" w:hAnsi="宋体" w:cs="宋体"/>
                <w:szCs w:val="21"/>
              </w:rPr>
            </w:pPr>
            <w:r>
              <w:rPr>
                <w:rFonts w:hint="eastAsia" w:ascii="宋体" w:hAnsi="宋体" w:cs="宋体"/>
                <w:szCs w:val="21"/>
              </w:rPr>
              <w:t>判定原则</w:t>
            </w:r>
          </w:p>
        </w:tc>
        <w:tc>
          <w:tcPr>
            <w:tcW w:w="1734" w:type="dxa"/>
            <w:tcBorders>
              <w:tl2br w:val="nil"/>
              <w:tr2bl w:val="nil"/>
            </w:tcBorders>
            <w:vAlign w:val="center"/>
          </w:tcPr>
          <w:p w14:paraId="145216F4">
            <w:pPr>
              <w:pStyle w:val="228"/>
              <w:kinsoku w:val="0"/>
              <w:overflowPunct w:val="0"/>
              <w:rPr>
                <w:rFonts w:hint="eastAsia" w:ascii="宋体" w:hAnsi="宋体" w:cs="宋体"/>
                <w:szCs w:val="21"/>
              </w:rPr>
            </w:pPr>
            <w:r>
              <w:rPr>
                <w:rFonts w:hint="eastAsia" w:ascii="宋体" w:hAnsi="宋体" w:cs="宋体"/>
                <w:szCs w:val="21"/>
              </w:rPr>
              <w:t>本项目</w:t>
            </w:r>
          </w:p>
        </w:tc>
      </w:tr>
      <w:tr w14:paraId="1CCE94C5">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52" w:hRule="atLeast"/>
        </w:trPr>
        <w:tc>
          <w:tcPr>
            <w:tcW w:w="816" w:type="dxa"/>
            <w:tcBorders>
              <w:tl2br w:val="nil"/>
              <w:tr2bl w:val="nil"/>
            </w:tcBorders>
            <w:vAlign w:val="center"/>
          </w:tcPr>
          <w:p w14:paraId="46B753F0">
            <w:pPr>
              <w:pStyle w:val="228"/>
              <w:kinsoku w:val="0"/>
              <w:overflowPunct w:val="0"/>
              <w:rPr>
                <w:rFonts w:hint="eastAsia" w:ascii="宋体" w:hAnsi="宋体" w:cs="宋体"/>
                <w:szCs w:val="21"/>
              </w:rPr>
            </w:pPr>
            <w:r>
              <w:rPr>
                <w:rFonts w:hint="eastAsia" w:ascii="宋体" w:hAnsi="宋体" w:cs="宋体"/>
                <w:sz w:val="24"/>
                <w:szCs w:val="24"/>
              </w:rPr>
              <w:t>（a）</w:t>
            </w:r>
          </w:p>
        </w:tc>
        <w:tc>
          <w:tcPr>
            <w:tcW w:w="6681" w:type="dxa"/>
            <w:tcBorders>
              <w:tl2br w:val="nil"/>
              <w:tr2bl w:val="nil"/>
            </w:tcBorders>
            <w:vAlign w:val="center"/>
          </w:tcPr>
          <w:p w14:paraId="021BFF4C">
            <w:pPr>
              <w:pStyle w:val="228"/>
              <w:kinsoku w:val="0"/>
              <w:overflowPunct w:val="0"/>
              <w:rPr>
                <w:rFonts w:hint="eastAsia" w:ascii="宋体" w:hAnsi="宋体" w:cs="宋体"/>
                <w:szCs w:val="21"/>
              </w:rPr>
            </w:pPr>
            <w:r>
              <w:rPr>
                <w:rFonts w:hint="eastAsia" w:ascii="宋体" w:hAnsi="宋体" w:cs="宋体"/>
                <w:szCs w:val="21"/>
              </w:rPr>
              <w:t>涉及国家公园、自然保护区、世界自然遗产、重要生境时，评价等级为一级；</w:t>
            </w:r>
          </w:p>
        </w:tc>
        <w:tc>
          <w:tcPr>
            <w:tcW w:w="1734" w:type="dxa"/>
            <w:vMerge w:val="restart"/>
            <w:tcBorders>
              <w:tl2br w:val="nil"/>
              <w:tr2bl w:val="nil"/>
            </w:tcBorders>
            <w:vAlign w:val="center"/>
          </w:tcPr>
          <w:p w14:paraId="071DC9AD">
            <w:pPr>
              <w:pStyle w:val="228"/>
              <w:kinsoku w:val="0"/>
              <w:overflowPunct w:val="0"/>
              <w:rPr>
                <w:rFonts w:hint="eastAsia" w:ascii="宋体" w:hAnsi="宋体" w:cs="宋体"/>
                <w:szCs w:val="21"/>
              </w:rPr>
            </w:pPr>
            <w:r>
              <w:rPr>
                <w:rFonts w:hint="eastAsia" w:ascii="宋体" w:hAnsi="宋体" w:cs="宋体"/>
                <w:szCs w:val="21"/>
              </w:rPr>
              <w:t>项目位于新疆库尔勒市普惠乡润疆社区四分场，租用库尔勒惠泉工贸有限公司厂区内现有厂房，不新增占地且符合生态环境分区管控要求。确定本工程生态影响可不确定评价等级，直接进行生态影响简单分析</w:t>
            </w:r>
          </w:p>
        </w:tc>
      </w:tr>
      <w:tr w14:paraId="5E75C16F">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52" w:hRule="atLeast"/>
        </w:trPr>
        <w:tc>
          <w:tcPr>
            <w:tcW w:w="816" w:type="dxa"/>
            <w:tcBorders>
              <w:tl2br w:val="nil"/>
              <w:tr2bl w:val="nil"/>
            </w:tcBorders>
            <w:vAlign w:val="center"/>
          </w:tcPr>
          <w:p w14:paraId="3C2E0666">
            <w:pPr>
              <w:pStyle w:val="228"/>
              <w:kinsoku w:val="0"/>
              <w:overflowPunct w:val="0"/>
              <w:rPr>
                <w:rFonts w:hint="eastAsia" w:ascii="宋体" w:hAnsi="宋体" w:cs="宋体"/>
                <w:szCs w:val="21"/>
              </w:rPr>
            </w:pPr>
            <w:r>
              <w:rPr>
                <w:rFonts w:hint="eastAsia" w:ascii="宋体" w:hAnsi="宋体" w:cs="宋体"/>
                <w:szCs w:val="21"/>
              </w:rPr>
              <w:t>（b）</w:t>
            </w:r>
          </w:p>
        </w:tc>
        <w:tc>
          <w:tcPr>
            <w:tcW w:w="6681" w:type="dxa"/>
            <w:tcBorders>
              <w:tl2br w:val="nil"/>
              <w:tr2bl w:val="nil"/>
            </w:tcBorders>
            <w:vAlign w:val="center"/>
          </w:tcPr>
          <w:p w14:paraId="4CB85487">
            <w:pPr>
              <w:pStyle w:val="228"/>
              <w:kinsoku w:val="0"/>
              <w:overflowPunct w:val="0"/>
              <w:rPr>
                <w:rFonts w:hint="eastAsia" w:ascii="宋体" w:hAnsi="宋体" w:cs="宋体"/>
                <w:szCs w:val="21"/>
              </w:rPr>
            </w:pPr>
            <w:r>
              <w:rPr>
                <w:rFonts w:hint="eastAsia" w:ascii="宋体" w:hAnsi="宋体" w:cs="宋体"/>
                <w:szCs w:val="21"/>
              </w:rPr>
              <w:t xml:space="preserve">涉及自然公园时，评价等级为二级； </w:t>
            </w:r>
          </w:p>
        </w:tc>
        <w:tc>
          <w:tcPr>
            <w:tcW w:w="1734" w:type="dxa"/>
            <w:vMerge w:val="continue"/>
            <w:tcBorders>
              <w:tl2br w:val="nil"/>
              <w:tr2bl w:val="nil"/>
            </w:tcBorders>
            <w:vAlign w:val="center"/>
          </w:tcPr>
          <w:p w14:paraId="568F9C8D">
            <w:pPr>
              <w:pStyle w:val="228"/>
              <w:kinsoku w:val="0"/>
              <w:overflowPunct w:val="0"/>
              <w:rPr>
                <w:rFonts w:hint="eastAsia" w:ascii="宋体" w:hAnsi="宋体" w:cs="宋体"/>
                <w:szCs w:val="21"/>
              </w:rPr>
            </w:pPr>
          </w:p>
        </w:tc>
      </w:tr>
      <w:tr w14:paraId="1BC144A6">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52" w:hRule="atLeast"/>
        </w:trPr>
        <w:tc>
          <w:tcPr>
            <w:tcW w:w="816" w:type="dxa"/>
            <w:tcBorders>
              <w:tl2br w:val="nil"/>
              <w:tr2bl w:val="nil"/>
            </w:tcBorders>
            <w:vAlign w:val="center"/>
          </w:tcPr>
          <w:p w14:paraId="668AB4F6">
            <w:pPr>
              <w:pStyle w:val="228"/>
              <w:kinsoku w:val="0"/>
              <w:overflowPunct w:val="0"/>
              <w:rPr>
                <w:rFonts w:hint="eastAsia" w:ascii="宋体" w:hAnsi="宋体" w:cs="宋体"/>
                <w:szCs w:val="21"/>
              </w:rPr>
            </w:pPr>
            <w:r>
              <w:rPr>
                <w:rFonts w:hint="eastAsia" w:ascii="宋体" w:hAnsi="宋体" w:cs="宋体"/>
                <w:szCs w:val="21"/>
              </w:rPr>
              <w:t>（c）</w:t>
            </w:r>
          </w:p>
        </w:tc>
        <w:tc>
          <w:tcPr>
            <w:tcW w:w="6681" w:type="dxa"/>
            <w:tcBorders>
              <w:tl2br w:val="nil"/>
              <w:tr2bl w:val="nil"/>
            </w:tcBorders>
            <w:vAlign w:val="center"/>
          </w:tcPr>
          <w:p w14:paraId="724D21F2">
            <w:pPr>
              <w:pStyle w:val="228"/>
              <w:kinsoku w:val="0"/>
              <w:overflowPunct w:val="0"/>
              <w:rPr>
                <w:rFonts w:hint="eastAsia" w:ascii="宋体" w:hAnsi="宋体" w:cs="宋体"/>
                <w:szCs w:val="21"/>
              </w:rPr>
            </w:pPr>
            <w:r>
              <w:rPr>
                <w:rFonts w:hint="eastAsia" w:ascii="宋体" w:hAnsi="宋体" w:cs="宋体"/>
                <w:szCs w:val="21"/>
              </w:rPr>
              <w:t>涉及生态保护红线时，评价等级不低于二级；</w:t>
            </w:r>
          </w:p>
        </w:tc>
        <w:tc>
          <w:tcPr>
            <w:tcW w:w="1734" w:type="dxa"/>
            <w:vMerge w:val="continue"/>
            <w:tcBorders>
              <w:tl2br w:val="nil"/>
              <w:tr2bl w:val="nil"/>
            </w:tcBorders>
            <w:vAlign w:val="center"/>
          </w:tcPr>
          <w:p w14:paraId="141C464A">
            <w:pPr>
              <w:pStyle w:val="228"/>
              <w:kinsoku w:val="0"/>
              <w:overflowPunct w:val="0"/>
              <w:rPr>
                <w:rFonts w:hint="eastAsia" w:ascii="宋体" w:hAnsi="宋体" w:cs="宋体"/>
                <w:szCs w:val="21"/>
              </w:rPr>
            </w:pPr>
          </w:p>
        </w:tc>
      </w:tr>
      <w:tr w14:paraId="1F4A4E53">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52" w:hRule="atLeast"/>
        </w:trPr>
        <w:tc>
          <w:tcPr>
            <w:tcW w:w="816" w:type="dxa"/>
            <w:tcBorders>
              <w:tl2br w:val="nil"/>
              <w:tr2bl w:val="nil"/>
            </w:tcBorders>
            <w:vAlign w:val="center"/>
          </w:tcPr>
          <w:p w14:paraId="60735DE2">
            <w:pPr>
              <w:pStyle w:val="228"/>
              <w:kinsoku w:val="0"/>
              <w:overflowPunct w:val="0"/>
              <w:rPr>
                <w:rFonts w:hint="eastAsia" w:ascii="宋体" w:hAnsi="宋体" w:cs="宋体"/>
                <w:szCs w:val="21"/>
              </w:rPr>
            </w:pPr>
            <w:r>
              <w:rPr>
                <w:rFonts w:hint="eastAsia" w:ascii="宋体" w:hAnsi="宋体" w:cs="宋体"/>
                <w:szCs w:val="21"/>
              </w:rPr>
              <w:t>（d）</w:t>
            </w:r>
          </w:p>
        </w:tc>
        <w:tc>
          <w:tcPr>
            <w:tcW w:w="6681" w:type="dxa"/>
            <w:tcBorders>
              <w:tl2br w:val="nil"/>
              <w:tr2bl w:val="nil"/>
            </w:tcBorders>
            <w:vAlign w:val="center"/>
          </w:tcPr>
          <w:p w14:paraId="44E58F2D">
            <w:pPr>
              <w:pStyle w:val="228"/>
              <w:kinsoku w:val="0"/>
              <w:overflowPunct w:val="0"/>
              <w:rPr>
                <w:rFonts w:hint="eastAsia" w:ascii="宋体" w:hAnsi="宋体" w:cs="宋体"/>
                <w:szCs w:val="21"/>
              </w:rPr>
            </w:pPr>
            <w:r>
              <w:rPr>
                <w:rFonts w:hint="eastAsia" w:ascii="宋体" w:hAnsi="宋体" w:cs="宋体"/>
                <w:szCs w:val="21"/>
              </w:rPr>
              <w:t>根据HJ2.3判断属于水文要素影响型且地表水评价等级不低于二级的建设项目，生态影响评价等级不低于二级；</w:t>
            </w:r>
          </w:p>
        </w:tc>
        <w:tc>
          <w:tcPr>
            <w:tcW w:w="1734" w:type="dxa"/>
            <w:vMerge w:val="continue"/>
            <w:tcBorders>
              <w:tl2br w:val="nil"/>
              <w:tr2bl w:val="nil"/>
            </w:tcBorders>
            <w:vAlign w:val="center"/>
          </w:tcPr>
          <w:p w14:paraId="35B296A7">
            <w:pPr>
              <w:pStyle w:val="228"/>
              <w:kinsoku w:val="0"/>
              <w:overflowPunct w:val="0"/>
              <w:rPr>
                <w:rFonts w:hint="eastAsia" w:ascii="宋体" w:hAnsi="宋体" w:cs="宋体"/>
                <w:szCs w:val="21"/>
              </w:rPr>
            </w:pPr>
          </w:p>
        </w:tc>
      </w:tr>
      <w:tr w14:paraId="419C1898">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52" w:hRule="atLeast"/>
        </w:trPr>
        <w:tc>
          <w:tcPr>
            <w:tcW w:w="816" w:type="dxa"/>
            <w:tcBorders>
              <w:tl2br w:val="nil"/>
              <w:tr2bl w:val="nil"/>
            </w:tcBorders>
            <w:vAlign w:val="center"/>
          </w:tcPr>
          <w:p w14:paraId="00AB8ED6">
            <w:pPr>
              <w:pStyle w:val="228"/>
              <w:kinsoku w:val="0"/>
              <w:overflowPunct w:val="0"/>
              <w:rPr>
                <w:rFonts w:hint="eastAsia" w:ascii="宋体" w:hAnsi="宋体" w:cs="宋体"/>
                <w:szCs w:val="21"/>
              </w:rPr>
            </w:pPr>
            <w:r>
              <w:rPr>
                <w:rFonts w:hint="eastAsia" w:ascii="宋体" w:hAnsi="宋体" w:cs="宋体"/>
                <w:szCs w:val="21"/>
              </w:rPr>
              <w:t>（e）</w:t>
            </w:r>
          </w:p>
        </w:tc>
        <w:tc>
          <w:tcPr>
            <w:tcW w:w="6681" w:type="dxa"/>
            <w:tcBorders>
              <w:tl2br w:val="nil"/>
              <w:tr2bl w:val="nil"/>
            </w:tcBorders>
            <w:vAlign w:val="center"/>
          </w:tcPr>
          <w:p w14:paraId="5093628F">
            <w:pPr>
              <w:pStyle w:val="228"/>
              <w:kinsoku w:val="0"/>
              <w:overflowPunct w:val="0"/>
              <w:rPr>
                <w:rFonts w:hint="eastAsia" w:ascii="宋体" w:hAnsi="宋体" w:cs="宋体"/>
                <w:szCs w:val="21"/>
              </w:rPr>
            </w:pPr>
            <w:r>
              <w:rPr>
                <w:rFonts w:hint="eastAsia" w:ascii="宋体" w:hAnsi="宋体" w:cs="宋体"/>
                <w:szCs w:val="21"/>
              </w:rPr>
              <w:t xml:space="preserve">根据HJ610、HJ964判断地下水水位或土壤影响范围内分布有天然林、公益林、湿地等生态保护目标的建设项目，生态影响评价等级不低于二级； </w:t>
            </w:r>
          </w:p>
        </w:tc>
        <w:tc>
          <w:tcPr>
            <w:tcW w:w="1734" w:type="dxa"/>
            <w:vMerge w:val="continue"/>
            <w:tcBorders>
              <w:tl2br w:val="nil"/>
              <w:tr2bl w:val="nil"/>
            </w:tcBorders>
            <w:vAlign w:val="center"/>
          </w:tcPr>
          <w:p w14:paraId="4138F858">
            <w:pPr>
              <w:pStyle w:val="228"/>
              <w:kinsoku w:val="0"/>
              <w:overflowPunct w:val="0"/>
              <w:rPr>
                <w:rFonts w:hint="eastAsia" w:ascii="宋体" w:hAnsi="宋体" w:cs="宋体"/>
                <w:szCs w:val="21"/>
              </w:rPr>
            </w:pPr>
          </w:p>
        </w:tc>
      </w:tr>
      <w:tr w14:paraId="5C7EB74E">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52" w:hRule="atLeast"/>
        </w:trPr>
        <w:tc>
          <w:tcPr>
            <w:tcW w:w="816" w:type="dxa"/>
            <w:tcBorders>
              <w:tl2br w:val="nil"/>
              <w:tr2bl w:val="nil"/>
            </w:tcBorders>
            <w:vAlign w:val="center"/>
          </w:tcPr>
          <w:p w14:paraId="1C6843C8">
            <w:pPr>
              <w:pStyle w:val="228"/>
              <w:kinsoku w:val="0"/>
              <w:overflowPunct w:val="0"/>
              <w:rPr>
                <w:rFonts w:hint="eastAsia" w:ascii="宋体" w:hAnsi="宋体" w:cs="宋体"/>
                <w:szCs w:val="21"/>
              </w:rPr>
            </w:pPr>
            <w:r>
              <w:rPr>
                <w:rFonts w:hint="eastAsia" w:ascii="宋体" w:hAnsi="宋体" w:cs="宋体"/>
                <w:szCs w:val="21"/>
              </w:rPr>
              <w:t>（f）</w:t>
            </w:r>
          </w:p>
        </w:tc>
        <w:tc>
          <w:tcPr>
            <w:tcW w:w="6681" w:type="dxa"/>
            <w:tcBorders>
              <w:tl2br w:val="nil"/>
              <w:tr2bl w:val="nil"/>
            </w:tcBorders>
            <w:vAlign w:val="center"/>
          </w:tcPr>
          <w:p w14:paraId="66FD0AD9">
            <w:pPr>
              <w:pStyle w:val="228"/>
              <w:kinsoku w:val="0"/>
              <w:overflowPunct w:val="0"/>
              <w:rPr>
                <w:rFonts w:hint="eastAsia" w:ascii="宋体" w:hAnsi="宋体" w:cs="宋体"/>
                <w:szCs w:val="21"/>
              </w:rPr>
            </w:pPr>
            <w:r>
              <w:rPr>
                <w:rFonts w:hint="eastAsia" w:ascii="宋体" w:hAnsi="宋体" w:cs="宋体"/>
                <w:szCs w:val="21"/>
              </w:rPr>
              <w:t>当工程占地规模大于20km</w:t>
            </w:r>
            <w:r>
              <w:rPr>
                <w:rFonts w:hint="eastAsia" w:ascii="宋体" w:hAnsi="宋体" w:cs="宋体"/>
                <w:szCs w:val="21"/>
                <w:vertAlign w:val="superscript"/>
              </w:rPr>
              <w:t>2</w:t>
            </w:r>
            <w:r>
              <w:rPr>
                <w:rFonts w:hint="eastAsia" w:ascii="宋体" w:hAnsi="宋体" w:cs="宋体"/>
                <w:szCs w:val="21"/>
              </w:rPr>
              <w:t>时（包括永久和临时占用陆域和水域），评价等级不低于二级；改扩建项目的占地范围以新增占地（包括陆域和水域）确定；</w:t>
            </w:r>
          </w:p>
        </w:tc>
        <w:tc>
          <w:tcPr>
            <w:tcW w:w="1734" w:type="dxa"/>
            <w:vMerge w:val="continue"/>
            <w:tcBorders>
              <w:tl2br w:val="nil"/>
              <w:tr2bl w:val="nil"/>
            </w:tcBorders>
            <w:vAlign w:val="center"/>
          </w:tcPr>
          <w:p w14:paraId="149613B5">
            <w:pPr>
              <w:pStyle w:val="228"/>
              <w:kinsoku w:val="0"/>
              <w:overflowPunct w:val="0"/>
              <w:rPr>
                <w:rFonts w:hint="eastAsia" w:ascii="宋体" w:hAnsi="宋体" w:cs="宋体"/>
                <w:szCs w:val="21"/>
              </w:rPr>
            </w:pPr>
          </w:p>
        </w:tc>
      </w:tr>
      <w:tr w14:paraId="0B17467A">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52" w:hRule="atLeast"/>
        </w:trPr>
        <w:tc>
          <w:tcPr>
            <w:tcW w:w="816" w:type="dxa"/>
            <w:tcBorders>
              <w:tl2br w:val="nil"/>
              <w:tr2bl w:val="nil"/>
            </w:tcBorders>
            <w:vAlign w:val="center"/>
          </w:tcPr>
          <w:p w14:paraId="044B2027">
            <w:pPr>
              <w:pStyle w:val="228"/>
              <w:kinsoku w:val="0"/>
              <w:overflowPunct w:val="0"/>
              <w:rPr>
                <w:rFonts w:hint="eastAsia" w:ascii="宋体" w:hAnsi="宋体" w:cs="宋体"/>
                <w:szCs w:val="21"/>
              </w:rPr>
            </w:pPr>
            <w:r>
              <w:rPr>
                <w:rFonts w:hint="eastAsia" w:ascii="宋体" w:hAnsi="宋体" w:cs="宋体"/>
                <w:szCs w:val="21"/>
              </w:rPr>
              <w:t>（g）</w:t>
            </w:r>
          </w:p>
        </w:tc>
        <w:tc>
          <w:tcPr>
            <w:tcW w:w="6681" w:type="dxa"/>
            <w:tcBorders>
              <w:tl2br w:val="nil"/>
              <w:tr2bl w:val="nil"/>
            </w:tcBorders>
            <w:vAlign w:val="center"/>
          </w:tcPr>
          <w:p w14:paraId="511D3276">
            <w:pPr>
              <w:pStyle w:val="228"/>
              <w:kinsoku w:val="0"/>
              <w:overflowPunct w:val="0"/>
              <w:rPr>
                <w:rFonts w:hint="eastAsia" w:ascii="宋体" w:hAnsi="宋体" w:cs="宋体"/>
                <w:szCs w:val="21"/>
              </w:rPr>
            </w:pPr>
            <w:r>
              <w:rPr>
                <w:rFonts w:hint="eastAsia" w:ascii="宋体" w:hAnsi="宋体" w:cs="宋体"/>
                <w:szCs w:val="21"/>
              </w:rPr>
              <w:t>除本条a）、b）、c）、d）、e）、f）以外的情况，评价等级为三级；</w:t>
            </w:r>
          </w:p>
        </w:tc>
        <w:tc>
          <w:tcPr>
            <w:tcW w:w="1734" w:type="dxa"/>
            <w:vMerge w:val="continue"/>
            <w:tcBorders>
              <w:tl2br w:val="nil"/>
              <w:tr2bl w:val="nil"/>
            </w:tcBorders>
            <w:vAlign w:val="center"/>
          </w:tcPr>
          <w:p w14:paraId="6825BED8">
            <w:pPr>
              <w:pStyle w:val="228"/>
              <w:kinsoku w:val="0"/>
              <w:overflowPunct w:val="0"/>
              <w:rPr>
                <w:rFonts w:hint="eastAsia" w:ascii="宋体" w:hAnsi="宋体" w:cs="宋体"/>
                <w:szCs w:val="21"/>
              </w:rPr>
            </w:pPr>
          </w:p>
        </w:tc>
      </w:tr>
      <w:tr w14:paraId="343BA96A">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52" w:hRule="atLeast"/>
        </w:trPr>
        <w:tc>
          <w:tcPr>
            <w:tcW w:w="816" w:type="dxa"/>
            <w:tcBorders>
              <w:tl2br w:val="nil"/>
              <w:tr2bl w:val="nil"/>
            </w:tcBorders>
            <w:vAlign w:val="center"/>
          </w:tcPr>
          <w:p w14:paraId="16F78047">
            <w:pPr>
              <w:pStyle w:val="228"/>
              <w:kinsoku w:val="0"/>
              <w:overflowPunct w:val="0"/>
              <w:rPr>
                <w:rFonts w:hint="eastAsia" w:ascii="宋体" w:hAnsi="宋体" w:cs="宋体"/>
                <w:szCs w:val="21"/>
              </w:rPr>
            </w:pPr>
            <w:r>
              <w:rPr>
                <w:rFonts w:hint="eastAsia" w:ascii="宋体" w:hAnsi="宋体" w:cs="宋体"/>
                <w:szCs w:val="21"/>
              </w:rPr>
              <w:t>（h）</w:t>
            </w:r>
          </w:p>
        </w:tc>
        <w:tc>
          <w:tcPr>
            <w:tcW w:w="6681" w:type="dxa"/>
            <w:tcBorders>
              <w:tl2br w:val="nil"/>
              <w:tr2bl w:val="nil"/>
            </w:tcBorders>
            <w:vAlign w:val="center"/>
          </w:tcPr>
          <w:p w14:paraId="3000E1FC">
            <w:pPr>
              <w:pStyle w:val="228"/>
              <w:kinsoku w:val="0"/>
              <w:overflowPunct w:val="0"/>
              <w:jc w:val="both"/>
              <w:rPr>
                <w:rFonts w:hint="eastAsia" w:ascii="宋体" w:hAnsi="宋体" w:cs="宋体"/>
                <w:szCs w:val="21"/>
              </w:rPr>
            </w:pPr>
            <w:r>
              <w:rPr>
                <w:rFonts w:hint="eastAsia" w:ascii="宋体" w:hAnsi="宋体" w:cs="宋体"/>
                <w:szCs w:val="21"/>
              </w:rPr>
              <w:t xml:space="preserve">当评价等级判定同时符合上述多种情况时，应采用其中最高的评价等级。 </w:t>
            </w:r>
          </w:p>
        </w:tc>
        <w:tc>
          <w:tcPr>
            <w:tcW w:w="1734" w:type="dxa"/>
            <w:vMerge w:val="continue"/>
            <w:tcBorders>
              <w:tl2br w:val="nil"/>
              <w:tr2bl w:val="nil"/>
            </w:tcBorders>
            <w:vAlign w:val="center"/>
          </w:tcPr>
          <w:p w14:paraId="2CEA513F">
            <w:pPr>
              <w:pStyle w:val="228"/>
              <w:kinsoku w:val="0"/>
              <w:overflowPunct w:val="0"/>
              <w:rPr>
                <w:rFonts w:hint="eastAsia" w:ascii="宋体" w:hAnsi="宋体" w:cs="宋体"/>
                <w:szCs w:val="21"/>
              </w:rPr>
            </w:pPr>
          </w:p>
        </w:tc>
      </w:tr>
      <w:tr w14:paraId="1E4633D1">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63" w:hRule="atLeast"/>
        </w:trPr>
        <w:tc>
          <w:tcPr>
            <w:tcW w:w="816" w:type="dxa"/>
            <w:vMerge w:val="restart"/>
            <w:tcBorders>
              <w:tl2br w:val="nil"/>
              <w:tr2bl w:val="nil"/>
            </w:tcBorders>
            <w:vAlign w:val="center"/>
          </w:tcPr>
          <w:p w14:paraId="6FDF24F1">
            <w:pPr>
              <w:pStyle w:val="228"/>
              <w:kinsoku w:val="0"/>
              <w:overflowPunct w:val="0"/>
              <w:rPr>
                <w:rFonts w:hint="eastAsia" w:ascii="宋体" w:hAnsi="宋体" w:cs="宋体"/>
                <w:szCs w:val="21"/>
              </w:rPr>
            </w:pPr>
            <w:r>
              <w:rPr>
                <w:rFonts w:hint="eastAsia" w:ascii="宋体" w:hAnsi="宋体" w:cs="宋体"/>
                <w:szCs w:val="21"/>
              </w:rPr>
              <w:t>补充说明</w:t>
            </w:r>
          </w:p>
        </w:tc>
        <w:tc>
          <w:tcPr>
            <w:tcW w:w="6681" w:type="dxa"/>
            <w:tcBorders>
              <w:tl2br w:val="nil"/>
              <w:tr2bl w:val="nil"/>
            </w:tcBorders>
            <w:vAlign w:val="center"/>
          </w:tcPr>
          <w:p w14:paraId="5E991ECB">
            <w:pPr>
              <w:pStyle w:val="228"/>
              <w:kinsoku w:val="0"/>
              <w:overflowPunct w:val="0"/>
              <w:rPr>
                <w:rFonts w:hint="eastAsia" w:ascii="宋体" w:hAnsi="宋体" w:cs="宋体"/>
                <w:szCs w:val="21"/>
              </w:rPr>
            </w:pPr>
            <w:r>
              <w:rPr>
                <w:rFonts w:hint="eastAsia" w:ascii="宋体" w:hAnsi="宋体" w:cs="宋体"/>
                <w:szCs w:val="21"/>
              </w:rPr>
              <w:t>建设项目涉及经论证对保护生物多样性具有重要意义的区域时，可适当上调评价等级。</w:t>
            </w:r>
          </w:p>
        </w:tc>
        <w:tc>
          <w:tcPr>
            <w:tcW w:w="1734" w:type="dxa"/>
            <w:vMerge w:val="continue"/>
            <w:tcBorders>
              <w:tl2br w:val="nil"/>
              <w:tr2bl w:val="nil"/>
            </w:tcBorders>
            <w:vAlign w:val="center"/>
          </w:tcPr>
          <w:p w14:paraId="333F4BA8">
            <w:pPr>
              <w:pStyle w:val="228"/>
              <w:kinsoku w:val="0"/>
              <w:overflowPunct w:val="0"/>
              <w:rPr>
                <w:rFonts w:hint="eastAsia" w:ascii="宋体" w:hAnsi="宋体" w:cs="宋体"/>
                <w:szCs w:val="21"/>
              </w:rPr>
            </w:pPr>
          </w:p>
        </w:tc>
      </w:tr>
      <w:tr w14:paraId="73C552D3">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63" w:hRule="atLeast"/>
        </w:trPr>
        <w:tc>
          <w:tcPr>
            <w:tcW w:w="816" w:type="dxa"/>
            <w:vMerge w:val="continue"/>
            <w:tcBorders>
              <w:tl2br w:val="nil"/>
              <w:tr2bl w:val="nil"/>
            </w:tcBorders>
            <w:vAlign w:val="center"/>
          </w:tcPr>
          <w:p w14:paraId="063E8CDB">
            <w:pPr>
              <w:pStyle w:val="228"/>
              <w:kinsoku w:val="0"/>
              <w:overflowPunct w:val="0"/>
              <w:rPr>
                <w:rFonts w:hint="eastAsia" w:ascii="宋体" w:hAnsi="宋体" w:cs="宋体"/>
                <w:szCs w:val="21"/>
              </w:rPr>
            </w:pPr>
          </w:p>
        </w:tc>
        <w:tc>
          <w:tcPr>
            <w:tcW w:w="6681" w:type="dxa"/>
            <w:tcBorders>
              <w:tl2br w:val="nil"/>
              <w:tr2bl w:val="nil"/>
            </w:tcBorders>
            <w:vAlign w:val="center"/>
          </w:tcPr>
          <w:p w14:paraId="28AE5C51">
            <w:pPr>
              <w:pStyle w:val="228"/>
              <w:kinsoku w:val="0"/>
              <w:overflowPunct w:val="0"/>
              <w:rPr>
                <w:rFonts w:hint="eastAsia" w:ascii="宋体" w:hAnsi="宋体" w:cs="宋体"/>
                <w:szCs w:val="21"/>
              </w:rPr>
            </w:pPr>
            <w:r>
              <w:rPr>
                <w:rFonts w:hint="eastAsia" w:ascii="宋体" w:hAnsi="宋体" w:cs="宋体"/>
                <w:szCs w:val="21"/>
              </w:rPr>
              <w:t>建设项目同时涉及陆生、水生生态影响时，可针对陆生生态、水生生态分别判定评价等级。</w:t>
            </w:r>
          </w:p>
        </w:tc>
        <w:tc>
          <w:tcPr>
            <w:tcW w:w="1734" w:type="dxa"/>
            <w:vMerge w:val="continue"/>
            <w:tcBorders>
              <w:tl2br w:val="nil"/>
              <w:tr2bl w:val="nil"/>
            </w:tcBorders>
            <w:vAlign w:val="center"/>
          </w:tcPr>
          <w:p w14:paraId="44185017">
            <w:pPr>
              <w:pStyle w:val="228"/>
              <w:kinsoku w:val="0"/>
              <w:overflowPunct w:val="0"/>
              <w:rPr>
                <w:rFonts w:hint="eastAsia" w:ascii="宋体" w:hAnsi="宋体" w:cs="宋体"/>
                <w:szCs w:val="21"/>
              </w:rPr>
            </w:pPr>
          </w:p>
        </w:tc>
      </w:tr>
      <w:tr w14:paraId="0D8CD229">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63" w:hRule="atLeast"/>
        </w:trPr>
        <w:tc>
          <w:tcPr>
            <w:tcW w:w="816" w:type="dxa"/>
            <w:vMerge w:val="continue"/>
            <w:tcBorders>
              <w:tl2br w:val="nil"/>
              <w:tr2bl w:val="nil"/>
            </w:tcBorders>
            <w:vAlign w:val="center"/>
          </w:tcPr>
          <w:p w14:paraId="74076C00">
            <w:pPr>
              <w:pStyle w:val="228"/>
              <w:kinsoku w:val="0"/>
              <w:overflowPunct w:val="0"/>
              <w:rPr>
                <w:rFonts w:hint="eastAsia" w:ascii="宋体" w:hAnsi="宋体" w:cs="宋体"/>
                <w:szCs w:val="21"/>
              </w:rPr>
            </w:pPr>
          </w:p>
        </w:tc>
        <w:tc>
          <w:tcPr>
            <w:tcW w:w="6681" w:type="dxa"/>
            <w:tcBorders>
              <w:tl2br w:val="nil"/>
              <w:tr2bl w:val="nil"/>
            </w:tcBorders>
            <w:vAlign w:val="center"/>
          </w:tcPr>
          <w:p w14:paraId="5BC725DF">
            <w:pPr>
              <w:pStyle w:val="228"/>
              <w:kinsoku w:val="0"/>
              <w:overflowPunct w:val="0"/>
              <w:rPr>
                <w:rFonts w:hint="eastAsia" w:ascii="宋体" w:hAnsi="宋体" w:cs="宋体"/>
                <w:szCs w:val="21"/>
              </w:rPr>
            </w:pPr>
            <w:r>
              <w:rPr>
                <w:rFonts w:hint="eastAsia" w:ascii="宋体" w:hAnsi="宋体" w:cs="宋体"/>
                <w:szCs w:val="21"/>
              </w:rPr>
              <w:t>在矿山开采可能导致矿区土地利用类型明显改变，或拦河闸坝建设可能明显改变水文情势等情况下，评价等级应上调一级。</w:t>
            </w:r>
          </w:p>
        </w:tc>
        <w:tc>
          <w:tcPr>
            <w:tcW w:w="1734" w:type="dxa"/>
            <w:vMerge w:val="continue"/>
            <w:tcBorders>
              <w:tl2br w:val="nil"/>
              <w:tr2bl w:val="nil"/>
            </w:tcBorders>
            <w:vAlign w:val="center"/>
          </w:tcPr>
          <w:p w14:paraId="0204CF2E">
            <w:pPr>
              <w:pStyle w:val="228"/>
              <w:kinsoku w:val="0"/>
              <w:overflowPunct w:val="0"/>
              <w:rPr>
                <w:rFonts w:hint="eastAsia" w:ascii="宋体" w:hAnsi="宋体" w:cs="宋体"/>
                <w:szCs w:val="21"/>
              </w:rPr>
            </w:pPr>
          </w:p>
        </w:tc>
      </w:tr>
      <w:tr w14:paraId="7AE89A81">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63" w:hRule="atLeast"/>
        </w:trPr>
        <w:tc>
          <w:tcPr>
            <w:tcW w:w="816" w:type="dxa"/>
            <w:vMerge w:val="continue"/>
            <w:tcBorders>
              <w:tl2br w:val="nil"/>
              <w:tr2bl w:val="nil"/>
            </w:tcBorders>
            <w:vAlign w:val="center"/>
          </w:tcPr>
          <w:p w14:paraId="6E671615">
            <w:pPr>
              <w:pStyle w:val="228"/>
              <w:kinsoku w:val="0"/>
              <w:overflowPunct w:val="0"/>
              <w:rPr>
                <w:rFonts w:hint="eastAsia" w:ascii="宋体" w:hAnsi="宋体" w:cs="宋体"/>
                <w:szCs w:val="21"/>
              </w:rPr>
            </w:pPr>
          </w:p>
        </w:tc>
        <w:tc>
          <w:tcPr>
            <w:tcW w:w="6681" w:type="dxa"/>
            <w:tcBorders>
              <w:tl2br w:val="nil"/>
              <w:tr2bl w:val="nil"/>
            </w:tcBorders>
            <w:vAlign w:val="center"/>
          </w:tcPr>
          <w:p w14:paraId="03C71466">
            <w:pPr>
              <w:pStyle w:val="228"/>
              <w:kinsoku w:val="0"/>
              <w:overflowPunct w:val="0"/>
              <w:rPr>
                <w:rFonts w:hint="eastAsia" w:ascii="宋体" w:hAnsi="宋体" w:cs="宋体"/>
                <w:szCs w:val="21"/>
              </w:rPr>
            </w:pPr>
            <w:r>
              <w:rPr>
                <w:rFonts w:hint="eastAsia" w:ascii="宋体" w:hAnsi="宋体" w:cs="宋体"/>
                <w:szCs w:val="21"/>
              </w:rPr>
              <w:t>线性工程可分段确定评价等级。线性工程地下穿越或地表跨越生态敏感区，在生态敏感区范围内无永久、临时占地时，评价等级可下调一级</w:t>
            </w:r>
          </w:p>
        </w:tc>
        <w:tc>
          <w:tcPr>
            <w:tcW w:w="1734" w:type="dxa"/>
            <w:vMerge w:val="continue"/>
            <w:tcBorders>
              <w:tl2br w:val="nil"/>
              <w:tr2bl w:val="nil"/>
            </w:tcBorders>
            <w:vAlign w:val="center"/>
          </w:tcPr>
          <w:p w14:paraId="07664EC5">
            <w:pPr>
              <w:pStyle w:val="228"/>
              <w:kinsoku w:val="0"/>
              <w:overflowPunct w:val="0"/>
              <w:rPr>
                <w:rFonts w:hint="eastAsia" w:ascii="宋体" w:hAnsi="宋体" w:cs="宋体"/>
                <w:szCs w:val="21"/>
              </w:rPr>
            </w:pPr>
          </w:p>
        </w:tc>
      </w:tr>
      <w:tr w14:paraId="5D05A506">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63" w:hRule="atLeast"/>
        </w:trPr>
        <w:tc>
          <w:tcPr>
            <w:tcW w:w="816" w:type="dxa"/>
            <w:vMerge w:val="continue"/>
            <w:tcBorders>
              <w:tl2br w:val="nil"/>
              <w:tr2bl w:val="nil"/>
            </w:tcBorders>
            <w:vAlign w:val="center"/>
          </w:tcPr>
          <w:p w14:paraId="487C36E2">
            <w:pPr>
              <w:pStyle w:val="228"/>
              <w:kinsoku w:val="0"/>
              <w:overflowPunct w:val="0"/>
              <w:rPr>
                <w:rFonts w:hint="eastAsia" w:ascii="宋体" w:hAnsi="宋体" w:cs="宋体"/>
                <w:szCs w:val="21"/>
              </w:rPr>
            </w:pPr>
          </w:p>
        </w:tc>
        <w:tc>
          <w:tcPr>
            <w:tcW w:w="6681" w:type="dxa"/>
            <w:tcBorders>
              <w:tl2br w:val="nil"/>
              <w:tr2bl w:val="nil"/>
            </w:tcBorders>
            <w:vAlign w:val="center"/>
          </w:tcPr>
          <w:p w14:paraId="605244DB">
            <w:pPr>
              <w:pStyle w:val="228"/>
              <w:kinsoku w:val="0"/>
              <w:overflowPunct w:val="0"/>
              <w:rPr>
                <w:rFonts w:hint="eastAsia" w:ascii="宋体" w:hAnsi="宋体" w:cs="宋体"/>
                <w:szCs w:val="21"/>
              </w:rPr>
            </w:pPr>
            <w:r>
              <w:rPr>
                <w:rFonts w:hint="eastAsia" w:ascii="宋体" w:hAnsi="宋体" w:cs="宋体"/>
                <w:szCs w:val="21"/>
              </w:rPr>
              <w:t>涉海工程评价等级判定参照 GB/T19485</w:t>
            </w:r>
          </w:p>
        </w:tc>
        <w:tc>
          <w:tcPr>
            <w:tcW w:w="1734" w:type="dxa"/>
            <w:vMerge w:val="continue"/>
            <w:tcBorders>
              <w:tl2br w:val="nil"/>
              <w:tr2bl w:val="nil"/>
            </w:tcBorders>
            <w:vAlign w:val="center"/>
          </w:tcPr>
          <w:p w14:paraId="4F286DB5">
            <w:pPr>
              <w:pStyle w:val="228"/>
              <w:kinsoku w:val="0"/>
              <w:overflowPunct w:val="0"/>
              <w:rPr>
                <w:rFonts w:hint="eastAsia" w:ascii="宋体" w:hAnsi="宋体" w:cs="宋体"/>
                <w:szCs w:val="21"/>
              </w:rPr>
            </w:pPr>
          </w:p>
        </w:tc>
      </w:tr>
      <w:tr w14:paraId="0D6B1991">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63" w:hRule="atLeast"/>
        </w:trPr>
        <w:tc>
          <w:tcPr>
            <w:tcW w:w="816" w:type="dxa"/>
            <w:vMerge w:val="continue"/>
            <w:tcBorders>
              <w:tl2br w:val="nil"/>
              <w:tr2bl w:val="nil"/>
            </w:tcBorders>
            <w:vAlign w:val="center"/>
          </w:tcPr>
          <w:p w14:paraId="3C98C314">
            <w:pPr>
              <w:pStyle w:val="228"/>
              <w:kinsoku w:val="0"/>
              <w:overflowPunct w:val="0"/>
              <w:rPr>
                <w:rFonts w:hint="eastAsia" w:ascii="宋体" w:hAnsi="宋体" w:cs="宋体"/>
                <w:szCs w:val="21"/>
              </w:rPr>
            </w:pPr>
          </w:p>
        </w:tc>
        <w:tc>
          <w:tcPr>
            <w:tcW w:w="6681" w:type="dxa"/>
            <w:tcBorders>
              <w:tl2br w:val="nil"/>
              <w:tr2bl w:val="nil"/>
            </w:tcBorders>
            <w:vAlign w:val="center"/>
          </w:tcPr>
          <w:p w14:paraId="4B809F52">
            <w:pPr>
              <w:pStyle w:val="228"/>
              <w:kinsoku w:val="0"/>
              <w:overflowPunct w:val="0"/>
              <w:rPr>
                <w:rFonts w:hint="eastAsia" w:ascii="宋体" w:hAnsi="宋体" w:cs="宋体"/>
                <w:szCs w:val="21"/>
              </w:rPr>
            </w:pPr>
            <w:r>
              <w:rPr>
                <w:rFonts w:hint="eastAsia" w:ascii="宋体" w:hAnsi="宋体" w:cs="宋体"/>
                <w:szCs w:val="21"/>
              </w:rPr>
              <w:t>符合生态环境分区管控要求且位于原厂界（或永久用地）范围内的污染影响类改扩建项目，位于已批准规划环评的产业园区内且符合规划环评要求，不涉及生态敏感区的污染影响类建设项目，可不确定评价等级，直接进行生态影响简单分析。</w:t>
            </w:r>
          </w:p>
        </w:tc>
        <w:tc>
          <w:tcPr>
            <w:tcW w:w="1734" w:type="dxa"/>
            <w:vMerge w:val="continue"/>
            <w:tcBorders>
              <w:tl2br w:val="nil"/>
              <w:tr2bl w:val="nil"/>
            </w:tcBorders>
            <w:vAlign w:val="center"/>
          </w:tcPr>
          <w:p w14:paraId="206CEA74">
            <w:pPr>
              <w:pStyle w:val="228"/>
              <w:kinsoku w:val="0"/>
              <w:overflowPunct w:val="0"/>
              <w:rPr>
                <w:rFonts w:hint="eastAsia" w:ascii="宋体" w:hAnsi="宋体" w:cs="宋体"/>
                <w:szCs w:val="21"/>
              </w:rPr>
            </w:pPr>
          </w:p>
        </w:tc>
      </w:tr>
    </w:tbl>
    <w:p w14:paraId="60C096B5">
      <w:pPr>
        <w:pStyle w:val="5"/>
        <w:rPr>
          <w:rFonts w:ascii="Times New Roman" w:hAnsi="Times New Roman"/>
          <w:color w:val="000000"/>
          <w:lang w:val="en-US"/>
        </w:rPr>
      </w:pPr>
      <w:r>
        <w:rPr>
          <w:rFonts w:hint="eastAsia" w:ascii="Times New Roman" w:hAnsi="Times New Roman"/>
          <w:color w:val="000000"/>
          <w:lang w:val="en-US"/>
        </w:rPr>
        <w:t>2.4.6.2评价范围</w:t>
      </w:r>
    </w:p>
    <w:p w14:paraId="57627F16">
      <w:pPr>
        <w:pStyle w:val="16"/>
        <w:kinsoku w:val="0"/>
        <w:overflowPunct w:val="0"/>
        <w:spacing w:after="0" w:line="360" w:lineRule="auto"/>
        <w:ind w:firstLine="480"/>
        <w:rPr>
          <w:rFonts w:hint="eastAsia" w:ascii="宋体" w:hAnsi="宋体" w:cs="宋体"/>
          <w:sz w:val="24"/>
          <w:szCs w:val="24"/>
          <w:lang w:val="en-US"/>
        </w:rPr>
      </w:pPr>
      <w:r>
        <w:rPr>
          <w:rFonts w:hint="eastAsia" w:ascii="宋体" w:hAnsi="宋体" w:cs="宋体"/>
          <w:sz w:val="24"/>
          <w:szCs w:val="24"/>
        </w:rPr>
        <w:t>根据本项目的特点、生态影响区域及周边生态环境现状；本项目不设评价范围。</w:t>
      </w:r>
    </w:p>
    <w:p w14:paraId="78B246F4">
      <w:pPr>
        <w:pStyle w:val="4"/>
        <w:autoSpaceDE w:val="0"/>
        <w:autoSpaceDN w:val="0"/>
        <w:spacing w:before="0" w:after="0" w:line="360" w:lineRule="auto"/>
        <w:jc w:val="left"/>
        <w:rPr>
          <w:kern w:val="0"/>
          <w:sz w:val="24"/>
          <w:lang w:val="en-US" w:bidi="zh-CN"/>
        </w:rPr>
      </w:pPr>
      <w:bookmarkStart w:id="110" w:name="_Toc5348"/>
      <w:bookmarkStart w:id="111" w:name="_Toc32680"/>
      <w:bookmarkStart w:id="112" w:name="_Toc11061"/>
      <w:r>
        <w:rPr>
          <w:rFonts w:hint="eastAsia"/>
          <w:kern w:val="0"/>
          <w:sz w:val="24"/>
          <w:lang w:val="en-US" w:bidi="zh-CN"/>
        </w:rPr>
        <w:t>2.4.7环境风险评价等级和评价范围</w:t>
      </w:r>
      <w:bookmarkEnd w:id="110"/>
      <w:bookmarkEnd w:id="111"/>
      <w:bookmarkEnd w:id="112"/>
    </w:p>
    <w:p w14:paraId="6A590848">
      <w:pPr>
        <w:pStyle w:val="5"/>
        <w:rPr>
          <w:rFonts w:ascii="Times New Roman" w:hAnsi="Times New Roman"/>
          <w:color w:val="000000"/>
          <w:lang w:val="en-US"/>
        </w:rPr>
      </w:pPr>
      <w:r>
        <w:rPr>
          <w:rFonts w:hint="eastAsia" w:ascii="Times New Roman" w:hAnsi="Times New Roman"/>
          <w:color w:val="000000"/>
          <w:lang w:val="en-US"/>
        </w:rPr>
        <w:t>2.4.7.1评价等级</w:t>
      </w:r>
    </w:p>
    <w:p w14:paraId="749FA5EB">
      <w:pPr>
        <w:pStyle w:val="16"/>
        <w:kinsoku w:val="0"/>
        <w:overflowPunct w:val="0"/>
        <w:spacing w:after="0" w:line="360" w:lineRule="auto"/>
        <w:ind w:firstLine="480"/>
        <w:rPr>
          <w:rFonts w:hint="eastAsia" w:ascii="宋体" w:hAnsi="宋体" w:cs="宋体"/>
          <w:sz w:val="24"/>
          <w:szCs w:val="24"/>
        </w:rPr>
      </w:pPr>
      <w:r>
        <w:rPr>
          <w:rFonts w:hint="eastAsia" w:ascii="宋体" w:hAnsi="宋体" w:cs="宋体"/>
          <w:sz w:val="24"/>
          <w:szCs w:val="24"/>
        </w:rPr>
        <w:t>根据《建设项目环境风险评价技术导则》（HJ169-2018）中的有关规定，依据建设项目所涉及的物质及工艺系统危险性和所在地的环境敏感性确定环境风险潜势，按照评价工作等级划分依据进行确定。等级划分依据见表</w:t>
      </w:r>
      <w:r>
        <w:rPr>
          <w:rFonts w:hint="eastAsia" w:ascii="宋体" w:hAnsi="宋体" w:cs="宋体"/>
          <w:sz w:val="24"/>
          <w:szCs w:val="24"/>
          <w:lang w:val="en-US"/>
        </w:rPr>
        <w:t>2.5-12</w:t>
      </w:r>
      <w:r>
        <w:rPr>
          <w:rFonts w:hint="eastAsia" w:ascii="宋体" w:hAnsi="宋体" w:cs="宋体"/>
          <w:sz w:val="24"/>
          <w:szCs w:val="24"/>
        </w:rPr>
        <w:t>。</w:t>
      </w:r>
    </w:p>
    <w:p w14:paraId="7B362795">
      <w:pPr>
        <w:snapToGrid w:val="0"/>
        <w:spacing w:line="440" w:lineRule="exact"/>
        <w:jc w:val="center"/>
        <w:rPr>
          <w:rFonts w:hint="eastAsia" w:ascii="宋体" w:hAnsi="宋体" w:cs="宋体"/>
          <w:b/>
          <w:bCs/>
          <w:szCs w:val="21"/>
        </w:rPr>
      </w:pPr>
    </w:p>
    <w:p w14:paraId="349EA2A0">
      <w:pPr>
        <w:pStyle w:val="13"/>
        <w:rPr>
          <w:rFonts w:hint="eastAsia" w:ascii="宋体" w:hAnsi="宋体" w:cs="宋体"/>
          <w:b/>
          <w:bCs/>
          <w:szCs w:val="21"/>
        </w:rPr>
      </w:pPr>
    </w:p>
    <w:p w14:paraId="65D49A20">
      <w:pPr>
        <w:pStyle w:val="14"/>
        <w:rPr>
          <w:rFonts w:hint="eastAsia"/>
        </w:rPr>
      </w:pPr>
    </w:p>
    <w:p w14:paraId="2BAD1A90">
      <w:pPr>
        <w:snapToGrid w:val="0"/>
        <w:spacing w:line="440" w:lineRule="exact"/>
        <w:jc w:val="center"/>
        <w:rPr>
          <w:rFonts w:hint="eastAsia" w:ascii="宋体" w:hAnsi="宋体" w:cs="宋体"/>
          <w:b/>
          <w:bCs/>
          <w:szCs w:val="21"/>
        </w:rPr>
      </w:pPr>
      <w:r>
        <w:rPr>
          <w:rFonts w:hint="eastAsia" w:ascii="宋体" w:hAnsi="宋体" w:cs="宋体"/>
          <w:b/>
          <w:bCs/>
          <w:szCs w:val="21"/>
        </w:rPr>
        <w:t>表2.5-12   环境风险评价工作级别划分一览表</w:t>
      </w:r>
    </w:p>
    <w:tbl>
      <w:tblPr>
        <w:tblStyle w:val="49"/>
        <w:tblW w:w="5000"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1809"/>
        <w:gridCol w:w="1808"/>
        <w:gridCol w:w="1809"/>
        <w:gridCol w:w="1808"/>
        <w:gridCol w:w="1811"/>
      </w:tblGrid>
      <w:tr w14:paraId="70EA11B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09" w:hRule="atLeast"/>
          <w:jc w:val="center"/>
        </w:trPr>
        <w:tc>
          <w:tcPr>
            <w:tcW w:w="1704" w:type="dxa"/>
            <w:tcBorders>
              <w:tl2br w:val="nil"/>
              <w:tr2bl w:val="nil"/>
            </w:tcBorders>
            <w:vAlign w:val="center"/>
          </w:tcPr>
          <w:p w14:paraId="2AE0D942">
            <w:pPr>
              <w:pStyle w:val="228"/>
              <w:kinsoku w:val="0"/>
              <w:overflowPunct w:val="0"/>
              <w:adjustRightInd w:val="0"/>
              <w:snapToGrid w:val="0"/>
              <w:rPr>
                <w:szCs w:val="21"/>
              </w:rPr>
            </w:pPr>
            <w:r>
              <w:rPr>
                <w:spacing w:val="-1"/>
                <w:szCs w:val="21"/>
              </w:rPr>
              <w:t>环境风险潜势</w:t>
            </w:r>
          </w:p>
        </w:tc>
        <w:tc>
          <w:tcPr>
            <w:tcW w:w="1704" w:type="dxa"/>
            <w:tcBorders>
              <w:tl2br w:val="nil"/>
              <w:tr2bl w:val="nil"/>
            </w:tcBorders>
            <w:vAlign w:val="center"/>
          </w:tcPr>
          <w:p w14:paraId="0EFB95BE">
            <w:pPr>
              <w:pStyle w:val="228"/>
              <w:kinsoku w:val="0"/>
              <w:overflowPunct w:val="0"/>
              <w:adjustRightInd w:val="0"/>
              <w:snapToGrid w:val="0"/>
              <w:rPr>
                <w:szCs w:val="21"/>
              </w:rPr>
            </w:pPr>
            <w:r>
              <w:rPr>
                <w:spacing w:val="-1"/>
                <w:szCs w:val="21"/>
              </w:rPr>
              <w:t>Ⅳ</w:t>
            </w:r>
            <w:r>
              <w:rPr>
                <w:spacing w:val="-1"/>
                <w:position w:val="10"/>
                <w:szCs w:val="21"/>
              </w:rPr>
              <w:t>+</w:t>
            </w:r>
            <w:r>
              <w:rPr>
                <w:spacing w:val="-1"/>
                <w:szCs w:val="21"/>
              </w:rPr>
              <w:t>、Ⅳ</w:t>
            </w:r>
          </w:p>
        </w:tc>
        <w:tc>
          <w:tcPr>
            <w:tcW w:w="1705" w:type="dxa"/>
            <w:tcBorders>
              <w:tl2br w:val="nil"/>
              <w:tr2bl w:val="nil"/>
            </w:tcBorders>
            <w:vAlign w:val="center"/>
          </w:tcPr>
          <w:p w14:paraId="64AC488D">
            <w:pPr>
              <w:pStyle w:val="228"/>
              <w:kinsoku w:val="0"/>
              <w:overflowPunct w:val="0"/>
              <w:adjustRightInd w:val="0"/>
              <w:snapToGrid w:val="0"/>
              <w:rPr>
                <w:szCs w:val="21"/>
              </w:rPr>
            </w:pPr>
            <w:r>
              <w:rPr>
                <w:szCs w:val="21"/>
              </w:rPr>
              <w:t>Ⅲ</w:t>
            </w:r>
          </w:p>
        </w:tc>
        <w:tc>
          <w:tcPr>
            <w:tcW w:w="1704" w:type="dxa"/>
            <w:tcBorders>
              <w:tl2br w:val="nil"/>
              <w:tr2bl w:val="nil"/>
            </w:tcBorders>
            <w:vAlign w:val="center"/>
          </w:tcPr>
          <w:p w14:paraId="406841B5">
            <w:pPr>
              <w:pStyle w:val="228"/>
              <w:kinsoku w:val="0"/>
              <w:overflowPunct w:val="0"/>
              <w:adjustRightInd w:val="0"/>
              <w:snapToGrid w:val="0"/>
              <w:rPr>
                <w:szCs w:val="21"/>
              </w:rPr>
            </w:pPr>
            <w:r>
              <w:rPr>
                <w:szCs w:val="21"/>
              </w:rPr>
              <w:t>Ⅱ</w:t>
            </w:r>
          </w:p>
        </w:tc>
        <w:tc>
          <w:tcPr>
            <w:tcW w:w="1707" w:type="dxa"/>
            <w:tcBorders>
              <w:tl2br w:val="nil"/>
              <w:tr2bl w:val="nil"/>
            </w:tcBorders>
            <w:vAlign w:val="center"/>
          </w:tcPr>
          <w:p w14:paraId="7AAD9996">
            <w:pPr>
              <w:pStyle w:val="228"/>
              <w:kinsoku w:val="0"/>
              <w:overflowPunct w:val="0"/>
              <w:adjustRightInd w:val="0"/>
              <w:snapToGrid w:val="0"/>
              <w:rPr>
                <w:szCs w:val="21"/>
              </w:rPr>
            </w:pPr>
            <w:r>
              <w:rPr>
                <w:szCs w:val="21"/>
              </w:rPr>
              <w:t>Ⅰ</w:t>
            </w:r>
          </w:p>
        </w:tc>
      </w:tr>
      <w:tr w14:paraId="7186D1F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704" w:type="dxa"/>
            <w:tcBorders>
              <w:tl2br w:val="nil"/>
              <w:tr2bl w:val="nil"/>
            </w:tcBorders>
            <w:vAlign w:val="center"/>
          </w:tcPr>
          <w:p w14:paraId="5EB68DFE">
            <w:pPr>
              <w:pStyle w:val="228"/>
              <w:kinsoku w:val="0"/>
              <w:overflowPunct w:val="0"/>
              <w:adjustRightInd w:val="0"/>
              <w:snapToGrid w:val="0"/>
              <w:rPr>
                <w:szCs w:val="21"/>
              </w:rPr>
            </w:pPr>
            <w:r>
              <w:rPr>
                <w:spacing w:val="-1"/>
                <w:szCs w:val="21"/>
              </w:rPr>
              <w:t>评价工作等级</w:t>
            </w:r>
          </w:p>
        </w:tc>
        <w:tc>
          <w:tcPr>
            <w:tcW w:w="1704" w:type="dxa"/>
            <w:tcBorders>
              <w:tl2br w:val="nil"/>
              <w:tr2bl w:val="nil"/>
            </w:tcBorders>
            <w:vAlign w:val="center"/>
          </w:tcPr>
          <w:p w14:paraId="1C723480">
            <w:pPr>
              <w:pStyle w:val="228"/>
              <w:kinsoku w:val="0"/>
              <w:overflowPunct w:val="0"/>
              <w:adjustRightInd w:val="0"/>
              <w:snapToGrid w:val="0"/>
              <w:rPr>
                <w:szCs w:val="21"/>
              </w:rPr>
            </w:pPr>
            <w:r>
              <w:rPr>
                <w:szCs w:val="21"/>
              </w:rPr>
              <w:t>一</w:t>
            </w:r>
          </w:p>
        </w:tc>
        <w:tc>
          <w:tcPr>
            <w:tcW w:w="1705" w:type="dxa"/>
            <w:tcBorders>
              <w:tl2br w:val="nil"/>
              <w:tr2bl w:val="nil"/>
            </w:tcBorders>
            <w:vAlign w:val="center"/>
          </w:tcPr>
          <w:p w14:paraId="6454C334">
            <w:pPr>
              <w:pStyle w:val="228"/>
              <w:kinsoku w:val="0"/>
              <w:overflowPunct w:val="0"/>
              <w:adjustRightInd w:val="0"/>
              <w:snapToGrid w:val="0"/>
              <w:rPr>
                <w:szCs w:val="21"/>
              </w:rPr>
            </w:pPr>
            <w:r>
              <w:rPr>
                <w:szCs w:val="21"/>
              </w:rPr>
              <w:t>二</w:t>
            </w:r>
          </w:p>
        </w:tc>
        <w:tc>
          <w:tcPr>
            <w:tcW w:w="1704" w:type="dxa"/>
            <w:tcBorders>
              <w:tl2br w:val="nil"/>
              <w:tr2bl w:val="nil"/>
            </w:tcBorders>
            <w:vAlign w:val="center"/>
          </w:tcPr>
          <w:p w14:paraId="22D17E48">
            <w:pPr>
              <w:pStyle w:val="228"/>
              <w:kinsoku w:val="0"/>
              <w:overflowPunct w:val="0"/>
              <w:adjustRightInd w:val="0"/>
              <w:snapToGrid w:val="0"/>
              <w:rPr>
                <w:szCs w:val="21"/>
              </w:rPr>
            </w:pPr>
            <w:r>
              <w:rPr>
                <w:szCs w:val="21"/>
              </w:rPr>
              <w:t>三</w:t>
            </w:r>
          </w:p>
        </w:tc>
        <w:tc>
          <w:tcPr>
            <w:tcW w:w="1707" w:type="dxa"/>
            <w:tcBorders>
              <w:tl2br w:val="nil"/>
              <w:tr2bl w:val="nil"/>
            </w:tcBorders>
            <w:vAlign w:val="center"/>
          </w:tcPr>
          <w:p w14:paraId="59E64235">
            <w:pPr>
              <w:pStyle w:val="228"/>
              <w:kinsoku w:val="0"/>
              <w:overflowPunct w:val="0"/>
              <w:adjustRightInd w:val="0"/>
              <w:snapToGrid w:val="0"/>
              <w:rPr>
                <w:szCs w:val="21"/>
              </w:rPr>
            </w:pPr>
            <w:r>
              <w:rPr>
                <w:spacing w:val="-1"/>
                <w:szCs w:val="21"/>
              </w:rPr>
              <w:t>简单分析</w:t>
            </w:r>
            <w:r>
              <w:rPr>
                <w:position w:val="10"/>
                <w:szCs w:val="21"/>
              </w:rPr>
              <w:t>a</w:t>
            </w:r>
          </w:p>
        </w:tc>
      </w:tr>
      <w:tr w14:paraId="145F2A1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8524" w:type="dxa"/>
            <w:gridSpan w:val="5"/>
            <w:tcBorders>
              <w:tl2br w:val="nil"/>
              <w:tr2bl w:val="nil"/>
            </w:tcBorders>
            <w:vAlign w:val="center"/>
          </w:tcPr>
          <w:p w14:paraId="5C326525">
            <w:pPr>
              <w:pStyle w:val="228"/>
              <w:kinsoku w:val="0"/>
              <w:overflowPunct w:val="0"/>
              <w:jc w:val="left"/>
              <w:rPr>
                <w:szCs w:val="21"/>
              </w:rPr>
            </w:pPr>
            <w:r>
              <w:rPr>
                <w:spacing w:val="-2"/>
                <w:szCs w:val="21"/>
              </w:rPr>
              <w:t>a：是相对于详细评价工作内容而言，在描述危险物质、环境影响途径、环境危害后果、风险防范措施等方面给出定性的说明，见附录</w:t>
            </w:r>
            <w:r>
              <w:rPr>
                <w:szCs w:val="21"/>
              </w:rPr>
              <w:t>A</w:t>
            </w:r>
          </w:p>
        </w:tc>
      </w:tr>
    </w:tbl>
    <w:p w14:paraId="21DD77B0">
      <w:pPr>
        <w:pStyle w:val="16"/>
        <w:kinsoku w:val="0"/>
        <w:overflowPunct w:val="0"/>
        <w:spacing w:after="0" w:line="360" w:lineRule="auto"/>
        <w:ind w:firstLine="480"/>
        <w:rPr>
          <w:rFonts w:hint="eastAsia" w:ascii="宋体" w:hAnsi="宋体" w:cs="宋体"/>
          <w:sz w:val="24"/>
          <w:szCs w:val="24"/>
        </w:rPr>
      </w:pPr>
      <w:r>
        <w:rPr>
          <w:rFonts w:hint="eastAsia" w:ascii="宋体" w:hAnsi="宋体" w:cs="宋体"/>
          <w:sz w:val="24"/>
          <w:szCs w:val="24"/>
        </w:rPr>
        <w:t>根据建设项目涉及的物质和工艺系统的危险性及其所在地的环境敏感程度，结合事故情形下环境影响途径，对建设项目潜在环境危害程度进行简化分析，按照建设项目环境风险潜势划分依据进行确定，潜势划分依据见表</w:t>
      </w:r>
      <w:r>
        <w:rPr>
          <w:rFonts w:hint="eastAsia" w:ascii="宋体" w:hAnsi="宋体" w:cs="宋体"/>
          <w:sz w:val="24"/>
          <w:szCs w:val="24"/>
          <w:lang w:val="en-US"/>
        </w:rPr>
        <w:t>2.5-13</w:t>
      </w:r>
      <w:r>
        <w:rPr>
          <w:rFonts w:hint="eastAsia" w:ascii="宋体" w:hAnsi="宋体" w:cs="宋体"/>
          <w:sz w:val="24"/>
          <w:szCs w:val="24"/>
        </w:rPr>
        <w:t>。</w:t>
      </w:r>
    </w:p>
    <w:p w14:paraId="4845668A">
      <w:pPr>
        <w:snapToGrid w:val="0"/>
        <w:spacing w:line="440" w:lineRule="exact"/>
        <w:jc w:val="center"/>
        <w:rPr>
          <w:rFonts w:hint="eastAsia" w:ascii="宋体" w:hAnsi="宋体" w:cs="宋体"/>
          <w:b/>
          <w:bCs/>
          <w:szCs w:val="21"/>
        </w:rPr>
      </w:pPr>
      <w:r>
        <w:rPr>
          <w:rFonts w:hint="eastAsia" w:ascii="宋体" w:hAnsi="宋体" w:cs="宋体"/>
          <w:b/>
          <w:bCs/>
          <w:szCs w:val="21"/>
        </w:rPr>
        <w:t>表2.5-13     建设项目环境风险潜势划分一览表</w:t>
      </w:r>
    </w:p>
    <w:tbl>
      <w:tblPr>
        <w:tblStyle w:val="49"/>
        <w:tblW w:w="5000"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2469"/>
        <w:gridCol w:w="1644"/>
        <w:gridCol w:w="1644"/>
        <w:gridCol w:w="1644"/>
        <w:gridCol w:w="1644"/>
      </w:tblGrid>
      <w:tr w14:paraId="242574F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55" w:hRule="atLeast"/>
          <w:jc w:val="center"/>
        </w:trPr>
        <w:tc>
          <w:tcPr>
            <w:tcW w:w="2268" w:type="dxa"/>
            <w:vMerge w:val="restart"/>
            <w:tcBorders>
              <w:tl2br w:val="nil"/>
              <w:tr2bl w:val="nil"/>
            </w:tcBorders>
            <w:vAlign w:val="center"/>
          </w:tcPr>
          <w:p w14:paraId="297BA08A">
            <w:pPr>
              <w:pStyle w:val="228"/>
              <w:kinsoku w:val="0"/>
              <w:overflowPunct w:val="0"/>
              <w:rPr>
                <w:szCs w:val="21"/>
              </w:rPr>
            </w:pPr>
            <w:r>
              <w:rPr>
                <w:spacing w:val="-2"/>
                <w:szCs w:val="21"/>
              </w:rPr>
              <w:t>环境敏感度（E）</w:t>
            </w:r>
          </w:p>
        </w:tc>
        <w:tc>
          <w:tcPr>
            <w:tcW w:w="6044" w:type="dxa"/>
            <w:gridSpan w:val="4"/>
            <w:tcBorders>
              <w:tl2br w:val="nil"/>
              <w:tr2bl w:val="nil"/>
            </w:tcBorders>
            <w:vAlign w:val="center"/>
          </w:tcPr>
          <w:p w14:paraId="06CA90E6">
            <w:pPr>
              <w:pStyle w:val="228"/>
              <w:kinsoku w:val="0"/>
              <w:overflowPunct w:val="0"/>
              <w:rPr>
                <w:szCs w:val="21"/>
              </w:rPr>
            </w:pPr>
            <w:r>
              <w:rPr>
                <w:spacing w:val="-2"/>
                <w:szCs w:val="21"/>
              </w:rPr>
              <w:t>危险物质及工艺系统危险性（P）</w:t>
            </w:r>
          </w:p>
        </w:tc>
      </w:tr>
      <w:tr w14:paraId="6F50296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268" w:type="dxa"/>
            <w:vMerge w:val="continue"/>
            <w:tcBorders>
              <w:tl2br w:val="nil"/>
              <w:tr2bl w:val="nil"/>
            </w:tcBorders>
            <w:vAlign w:val="center"/>
          </w:tcPr>
          <w:p w14:paraId="4C04DE0E">
            <w:pPr>
              <w:pStyle w:val="228"/>
              <w:kinsoku w:val="0"/>
              <w:overflowPunct w:val="0"/>
              <w:rPr>
                <w:szCs w:val="21"/>
              </w:rPr>
            </w:pPr>
          </w:p>
        </w:tc>
        <w:tc>
          <w:tcPr>
            <w:tcW w:w="1511" w:type="dxa"/>
            <w:tcBorders>
              <w:tl2br w:val="nil"/>
              <w:tr2bl w:val="nil"/>
            </w:tcBorders>
            <w:vAlign w:val="center"/>
          </w:tcPr>
          <w:p w14:paraId="71C78D02">
            <w:pPr>
              <w:pStyle w:val="228"/>
              <w:kinsoku w:val="0"/>
              <w:overflowPunct w:val="0"/>
              <w:rPr>
                <w:szCs w:val="21"/>
              </w:rPr>
            </w:pPr>
            <w:r>
              <w:rPr>
                <w:spacing w:val="-1"/>
                <w:szCs w:val="21"/>
              </w:rPr>
              <w:t>极高危害（P1）</w:t>
            </w:r>
          </w:p>
        </w:tc>
        <w:tc>
          <w:tcPr>
            <w:tcW w:w="1511" w:type="dxa"/>
            <w:tcBorders>
              <w:tl2br w:val="nil"/>
              <w:tr2bl w:val="nil"/>
            </w:tcBorders>
            <w:vAlign w:val="center"/>
          </w:tcPr>
          <w:p w14:paraId="0F798256">
            <w:pPr>
              <w:pStyle w:val="228"/>
              <w:kinsoku w:val="0"/>
              <w:overflowPunct w:val="0"/>
              <w:rPr>
                <w:szCs w:val="21"/>
              </w:rPr>
            </w:pPr>
            <w:r>
              <w:rPr>
                <w:spacing w:val="-2"/>
                <w:szCs w:val="21"/>
              </w:rPr>
              <w:t>高度危害（P2）</w:t>
            </w:r>
          </w:p>
        </w:tc>
        <w:tc>
          <w:tcPr>
            <w:tcW w:w="1511" w:type="dxa"/>
            <w:tcBorders>
              <w:tl2br w:val="nil"/>
              <w:tr2bl w:val="nil"/>
            </w:tcBorders>
            <w:vAlign w:val="center"/>
          </w:tcPr>
          <w:p w14:paraId="4389D36A">
            <w:pPr>
              <w:pStyle w:val="228"/>
              <w:kinsoku w:val="0"/>
              <w:overflowPunct w:val="0"/>
              <w:rPr>
                <w:szCs w:val="21"/>
              </w:rPr>
            </w:pPr>
            <w:r>
              <w:rPr>
                <w:spacing w:val="-2"/>
                <w:szCs w:val="21"/>
              </w:rPr>
              <w:t>中度危害（P3）</w:t>
            </w:r>
          </w:p>
        </w:tc>
        <w:tc>
          <w:tcPr>
            <w:tcW w:w="1511" w:type="dxa"/>
            <w:tcBorders>
              <w:tl2br w:val="nil"/>
              <w:tr2bl w:val="nil"/>
            </w:tcBorders>
            <w:vAlign w:val="center"/>
          </w:tcPr>
          <w:p w14:paraId="19806FDD">
            <w:pPr>
              <w:pStyle w:val="228"/>
              <w:kinsoku w:val="0"/>
              <w:overflowPunct w:val="0"/>
              <w:rPr>
                <w:szCs w:val="21"/>
              </w:rPr>
            </w:pPr>
            <w:r>
              <w:rPr>
                <w:spacing w:val="-2"/>
                <w:szCs w:val="21"/>
              </w:rPr>
              <w:t>轻度危害（P4）</w:t>
            </w:r>
          </w:p>
        </w:tc>
      </w:tr>
      <w:tr w14:paraId="7826E91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12" w:hRule="atLeast"/>
          <w:jc w:val="center"/>
        </w:trPr>
        <w:tc>
          <w:tcPr>
            <w:tcW w:w="2268" w:type="dxa"/>
            <w:tcBorders>
              <w:tl2br w:val="nil"/>
              <w:tr2bl w:val="nil"/>
            </w:tcBorders>
            <w:vAlign w:val="center"/>
          </w:tcPr>
          <w:p w14:paraId="7151567E">
            <w:pPr>
              <w:pStyle w:val="228"/>
              <w:kinsoku w:val="0"/>
              <w:overflowPunct w:val="0"/>
              <w:adjustRightInd w:val="0"/>
              <w:snapToGrid w:val="0"/>
              <w:rPr>
                <w:szCs w:val="21"/>
              </w:rPr>
            </w:pPr>
            <w:r>
              <w:rPr>
                <w:spacing w:val="-1"/>
                <w:szCs w:val="21"/>
              </w:rPr>
              <w:t>环境高度敏感区（E1）</w:t>
            </w:r>
          </w:p>
        </w:tc>
        <w:tc>
          <w:tcPr>
            <w:tcW w:w="1511" w:type="dxa"/>
            <w:tcBorders>
              <w:tl2br w:val="nil"/>
              <w:tr2bl w:val="nil"/>
            </w:tcBorders>
            <w:vAlign w:val="center"/>
          </w:tcPr>
          <w:p w14:paraId="58700633">
            <w:pPr>
              <w:pStyle w:val="228"/>
              <w:kinsoku w:val="0"/>
              <w:overflowPunct w:val="0"/>
              <w:adjustRightInd w:val="0"/>
              <w:snapToGrid w:val="0"/>
              <w:rPr>
                <w:szCs w:val="21"/>
              </w:rPr>
            </w:pPr>
            <w:r>
              <w:rPr>
                <w:position w:val="-10"/>
                <w:szCs w:val="21"/>
              </w:rPr>
              <w:t>Ⅳ</w:t>
            </w:r>
            <w:r>
              <w:rPr>
                <w:szCs w:val="21"/>
              </w:rPr>
              <w:t>+</w:t>
            </w:r>
          </w:p>
        </w:tc>
        <w:tc>
          <w:tcPr>
            <w:tcW w:w="1511" w:type="dxa"/>
            <w:tcBorders>
              <w:tl2br w:val="nil"/>
              <w:tr2bl w:val="nil"/>
            </w:tcBorders>
            <w:vAlign w:val="center"/>
          </w:tcPr>
          <w:p w14:paraId="5CAAB80E">
            <w:pPr>
              <w:pStyle w:val="228"/>
              <w:kinsoku w:val="0"/>
              <w:overflowPunct w:val="0"/>
              <w:adjustRightInd w:val="0"/>
              <w:snapToGrid w:val="0"/>
              <w:rPr>
                <w:szCs w:val="21"/>
              </w:rPr>
            </w:pPr>
            <w:r>
              <w:rPr>
                <w:szCs w:val="21"/>
              </w:rPr>
              <w:t>Ⅳ</w:t>
            </w:r>
          </w:p>
        </w:tc>
        <w:tc>
          <w:tcPr>
            <w:tcW w:w="1511" w:type="dxa"/>
            <w:tcBorders>
              <w:tl2br w:val="nil"/>
              <w:tr2bl w:val="nil"/>
            </w:tcBorders>
            <w:vAlign w:val="center"/>
          </w:tcPr>
          <w:p w14:paraId="1C63CFA6">
            <w:pPr>
              <w:pStyle w:val="228"/>
              <w:kinsoku w:val="0"/>
              <w:overflowPunct w:val="0"/>
              <w:adjustRightInd w:val="0"/>
              <w:snapToGrid w:val="0"/>
              <w:rPr>
                <w:szCs w:val="21"/>
              </w:rPr>
            </w:pPr>
            <w:r>
              <w:rPr>
                <w:szCs w:val="21"/>
              </w:rPr>
              <w:t>Ⅲ</w:t>
            </w:r>
          </w:p>
        </w:tc>
        <w:tc>
          <w:tcPr>
            <w:tcW w:w="1511" w:type="dxa"/>
            <w:tcBorders>
              <w:tl2br w:val="nil"/>
              <w:tr2bl w:val="nil"/>
            </w:tcBorders>
            <w:vAlign w:val="center"/>
          </w:tcPr>
          <w:p w14:paraId="3C21CF9F">
            <w:pPr>
              <w:pStyle w:val="228"/>
              <w:kinsoku w:val="0"/>
              <w:overflowPunct w:val="0"/>
              <w:adjustRightInd w:val="0"/>
              <w:snapToGrid w:val="0"/>
              <w:rPr>
                <w:szCs w:val="21"/>
              </w:rPr>
            </w:pPr>
            <w:r>
              <w:rPr>
                <w:szCs w:val="21"/>
              </w:rPr>
              <w:t>Ⅲ</w:t>
            </w:r>
          </w:p>
        </w:tc>
      </w:tr>
      <w:tr w14:paraId="40E7C01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268" w:type="dxa"/>
            <w:tcBorders>
              <w:tl2br w:val="nil"/>
              <w:tr2bl w:val="nil"/>
            </w:tcBorders>
            <w:vAlign w:val="center"/>
          </w:tcPr>
          <w:p w14:paraId="07C81702">
            <w:pPr>
              <w:pStyle w:val="228"/>
              <w:kinsoku w:val="0"/>
              <w:overflowPunct w:val="0"/>
              <w:rPr>
                <w:szCs w:val="21"/>
              </w:rPr>
            </w:pPr>
            <w:r>
              <w:rPr>
                <w:spacing w:val="-1"/>
                <w:szCs w:val="21"/>
              </w:rPr>
              <w:t>环境中度敏感区（E2）</w:t>
            </w:r>
          </w:p>
        </w:tc>
        <w:tc>
          <w:tcPr>
            <w:tcW w:w="1511" w:type="dxa"/>
            <w:tcBorders>
              <w:tl2br w:val="nil"/>
              <w:tr2bl w:val="nil"/>
            </w:tcBorders>
            <w:vAlign w:val="center"/>
          </w:tcPr>
          <w:p w14:paraId="22275583">
            <w:pPr>
              <w:pStyle w:val="228"/>
              <w:kinsoku w:val="0"/>
              <w:overflowPunct w:val="0"/>
              <w:rPr>
                <w:szCs w:val="21"/>
              </w:rPr>
            </w:pPr>
            <w:r>
              <w:rPr>
                <w:szCs w:val="21"/>
              </w:rPr>
              <w:t>Ⅳ</w:t>
            </w:r>
          </w:p>
        </w:tc>
        <w:tc>
          <w:tcPr>
            <w:tcW w:w="1511" w:type="dxa"/>
            <w:tcBorders>
              <w:tl2br w:val="nil"/>
              <w:tr2bl w:val="nil"/>
            </w:tcBorders>
            <w:vAlign w:val="center"/>
          </w:tcPr>
          <w:p w14:paraId="5A083564">
            <w:pPr>
              <w:pStyle w:val="228"/>
              <w:kinsoku w:val="0"/>
              <w:overflowPunct w:val="0"/>
              <w:rPr>
                <w:szCs w:val="21"/>
              </w:rPr>
            </w:pPr>
            <w:r>
              <w:rPr>
                <w:szCs w:val="21"/>
              </w:rPr>
              <w:t>Ⅲ</w:t>
            </w:r>
          </w:p>
        </w:tc>
        <w:tc>
          <w:tcPr>
            <w:tcW w:w="1511" w:type="dxa"/>
            <w:tcBorders>
              <w:tl2br w:val="nil"/>
              <w:tr2bl w:val="nil"/>
            </w:tcBorders>
            <w:vAlign w:val="center"/>
          </w:tcPr>
          <w:p w14:paraId="07F51D04">
            <w:pPr>
              <w:pStyle w:val="228"/>
              <w:kinsoku w:val="0"/>
              <w:overflowPunct w:val="0"/>
              <w:rPr>
                <w:szCs w:val="21"/>
              </w:rPr>
            </w:pPr>
            <w:r>
              <w:rPr>
                <w:szCs w:val="21"/>
              </w:rPr>
              <w:t>Ⅲ</w:t>
            </w:r>
          </w:p>
        </w:tc>
        <w:tc>
          <w:tcPr>
            <w:tcW w:w="1511" w:type="dxa"/>
            <w:tcBorders>
              <w:tl2br w:val="nil"/>
              <w:tr2bl w:val="nil"/>
            </w:tcBorders>
            <w:vAlign w:val="center"/>
          </w:tcPr>
          <w:p w14:paraId="6166D434">
            <w:pPr>
              <w:pStyle w:val="228"/>
              <w:kinsoku w:val="0"/>
              <w:overflowPunct w:val="0"/>
              <w:rPr>
                <w:szCs w:val="21"/>
              </w:rPr>
            </w:pPr>
            <w:r>
              <w:rPr>
                <w:szCs w:val="21"/>
              </w:rPr>
              <w:t>Ⅱ</w:t>
            </w:r>
          </w:p>
        </w:tc>
      </w:tr>
      <w:tr w14:paraId="69FE829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268" w:type="dxa"/>
            <w:tcBorders>
              <w:tl2br w:val="nil"/>
              <w:tr2bl w:val="nil"/>
            </w:tcBorders>
            <w:vAlign w:val="center"/>
          </w:tcPr>
          <w:p w14:paraId="15C1B742">
            <w:pPr>
              <w:pStyle w:val="228"/>
              <w:kinsoku w:val="0"/>
              <w:overflowPunct w:val="0"/>
              <w:rPr>
                <w:szCs w:val="21"/>
              </w:rPr>
            </w:pPr>
            <w:r>
              <w:rPr>
                <w:spacing w:val="-1"/>
                <w:szCs w:val="21"/>
              </w:rPr>
              <w:t>环境低度敏感区（E3）</w:t>
            </w:r>
          </w:p>
        </w:tc>
        <w:tc>
          <w:tcPr>
            <w:tcW w:w="1511" w:type="dxa"/>
            <w:tcBorders>
              <w:tl2br w:val="nil"/>
              <w:tr2bl w:val="nil"/>
            </w:tcBorders>
            <w:vAlign w:val="center"/>
          </w:tcPr>
          <w:p w14:paraId="43A02496">
            <w:pPr>
              <w:pStyle w:val="228"/>
              <w:kinsoku w:val="0"/>
              <w:overflowPunct w:val="0"/>
              <w:rPr>
                <w:szCs w:val="21"/>
              </w:rPr>
            </w:pPr>
            <w:r>
              <w:rPr>
                <w:szCs w:val="21"/>
              </w:rPr>
              <w:t>Ⅲ</w:t>
            </w:r>
          </w:p>
        </w:tc>
        <w:tc>
          <w:tcPr>
            <w:tcW w:w="1511" w:type="dxa"/>
            <w:tcBorders>
              <w:tl2br w:val="nil"/>
              <w:tr2bl w:val="nil"/>
            </w:tcBorders>
            <w:vAlign w:val="center"/>
          </w:tcPr>
          <w:p w14:paraId="71A85E83">
            <w:pPr>
              <w:pStyle w:val="228"/>
              <w:kinsoku w:val="0"/>
              <w:overflowPunct w:val="0"/>
              <w:rPr>
                <w:szCs w:val="21"/>
              </w:rPr>
            </w:pPr>
            <w:r>
              <w:rPr>
                <w:szCs w:val="21"/>
              </w:rPr>
              <w:t>Ⅲ</w:t>
            </w:r>
          </w:p>
        </w:tc>
        <w:tc>
          <w:tcPr>
            <w:tcW w:w="1511" w:type="dxa"/>
            <w:tcBorders>
              <w:tl2br w:val="nil"/>
              <w:tr2bl w:val="nil"/>
            </w:tcBorders>
            <w:vAlign w:val="center"/>
          </w:tcPr>
          <w:p w14:paraId="633EC77E">
            <w:pPr>
              <w:pStyle w:val="228"/>
              <w:kinsoku w:val="0"/>
              <w:overflowPunct w:val="0"/>
              <w:rPr>
                <w:szCs w:val="21"/>
              </w:rPr>
            </w:pPr>
            <w:r>
              <w:rPr>
                <w:szCs w:val="21"/>
              </w:rPr>
              <w:t>Ⅱ</w:t>
            </w:r>
          </w:p>
        </w:tc>
        <w:tc>
          <w:tcPr>
            <w:tcW w:w="1511" w:type="dxa"/>
            <w:tcBorders>
              <w:tl2br w:val="nil"/>
              <w:tr2bl w:val="nil"/>
            </w:tcBorders>
            <w:vAlign w:val="center"/>
          </w:tcPr>
          <w:p w14:paraId="7A780902">
            <w:pPr>
              <w:pStyle w:val="228"/>
              <w:kinsoku w:val="0"/>
              <w:overflowPunct w:val="0"/>
              <w:rPr>
                <w:szCs w:val="21"/>
              </w:rPr>
            </w:pPr>
            <w:r>
              <w:rPr>
                <w:szCs w:val="21"/>
              </w:rPr>
              <w:t>Ⅰ</w:t>
            </w:r>
          </w:p>
        </w:tc>
      </w:tr>
    </w:tbl>
    <w:p w14:paraId="63E3E3CB">
      <w:pPr>
        <w:pStyle w:val="16"/>
        <w:overflowPunct w:val="0"/>
        <w:topLinePunct/>
        <w:spacing w:after="0" w:line="360" w:lineRule="auto"/>
        <w:ind w:firstLine="482"/>
        <w:rPr>
          <w:rFonts w:hint="eastAsia" w:ascii="宋体" w:hAnsi="宋体" w:cs="宋体"/>
          <w:sz w:val="24"/>
          <w:szCs w:val="24"/>
        </w:rPr>
      </w:pPr>
      <w:r>
        <w:rPr>
          <w:rFonts w:hint="eastAsia" w:ascii="宋体" w:hAnsi="宋体" w:cs="宋体"/>
          <w:sz w:val="24"/>
          <w:szCs w:val="24"/>
        </w:rPr>
        <w:t>根据《建设项目环境风险评价技术导则》（HJ169-2018）中环境风险评价工作等级分级判据，本项目储存和生产的塑料未列入重大危险源辨识的范围内，且项目区不属于环境敏感区，危险物质数量与临界量比值Q约为</w:t>
      </w:r>
      <w:r>
        <w:rPr>
          <w:rFonts w:hint="eastAsia" w:ascii="宋体" w:hAnsi="宋体" w:cs="宋体"/>
          <w:sz w:val="24"/>
          <w:szCs w:val="24"/>
          <w:lang w:val="en-US"/>
        </w:rPr>
        <w:t>0.000048</w:t>
      </w:r>
      <w:r>
        <w:rPr>
          <w:rFonts w:hint="eastAsia" w:ascii="宋体" w:hAnsi="宋体" w:cs="宋体"/>
          <w:sz w:val="24"/>
          <w:szCs w:val="24"/>
        </w:rPr>
        <w:t>＜1。根据《建设项目环境风险评价技术导则》（HJ169-2018）附录C中规定当Q＜1时，该项目环境风险潜势为Ⅰ，危害程度为轻度，按照风险评价工作等级划分依据</w:t>
      </w:r>
      <w:r>
        <w:rPr>
          <w:rFonts w:hint="eastAsia" w:ascii="宋体" w:hAnsi="宋体" w:cs="宋体"/>
          <w:sz w:val="24"/>
          <w:szCs w:val="24"/>
          <w:lang w:val="en-US"/>
        </w:rPr>
        <w:t>上</w:t>
      </w:r>
      <w:r>
        <w:rPr>
          <w:rFonts w:hint="eastAsia" w:ascii="宋体" w:hAnsi="宋体" w:cs="宋体"/>
          <w:sz w:val="24"/>
          <w:szCs w:val="24"/>
        </w:rPr>
        <w:t>表内容，评价工作等级为简单分析，对危险物质、环境影响途径、环境危害后果、风险防范措施等方面给出定性的说明。</w:t>
      </w:r>
    </w:p>
    <w:p w14:paraId="38A6CAE6">
      <w:pPr>
        <w:pStyle w:val="5"/>
        <w:rPr>
          <w:rFonts w:ascii="Times New Roman" w:hAnsi="Times New Roman"/>
          <w:color w:val="000000"/>
          <w:lang w:val="en-US"/>
        </w:rPr>
      </w:pPr>
      <w:r>
        <w:rPr>
          <w:rFonts w:hint="eastAsia" w:ascii="Times New Roman" w:hAnsi="Times New Roman"/>
          <w:color w:val="000000"/>
          <w:lang w:val="en-US"/>
        </w:rPr>
        <w:t>2.4.7.2评价范围</w:t>
      </w:r>
    </w:p>
    <w:p w14:paraId="71C29F76">
      <w:pPr>
        <w:pStyle w:val="16"/>
        <w:overflowPunct w:val="0"/>
        <w:topLinePunct/>
        <w:autoSpaceDE w:val="0"/>
        <w:autoSpaceDN w:val="0"/>
        <w:spacing w:after="0" w:line="360" w:lineRule="auto"/>
        <w:ind w:firstLine="482"/>
        <w:rPr>
          <w:rFonts w:hint="eastAsia" w:ascii="宋体" w:hAnsi="宋体" w:cs="宋体"/>
          <w:sz w:val="24"/>
          <w:szCs w:val="24"/>
        </w:rPr>
      </w:pPr>
      <w:r>
        <w:rPr>
          <w:rFonts w:hint="eastAsia" w:ascii="宋体" w:hAnsi="宋体" w:cs="宋体"/>
          <w:sz w:val="24"/>
          <w:szCs w:val="24"/>
        </w:rPr>
        <w:t>项目本身不存在物质危险性和功能性危险源，不涉及敏感地区，根据《建设项目环境风险评价技术导则》（HJ169-2018），本项目评价工作等级为简单分析，不设评价范围。</w:t>
      </w:r>
    </w:p>
    <w:p w14:paraId="526C5DC3">
      <w:pPr>
        <w:pStyle w:val="3"/>
        <w:keepNext w:val="0"/>
        <w:keepLines w:val="0"/>
        <w:autoSpaceDE w:val="0"/>
        <w:autoSpaceDN w:val="0"/>
        <w:spacing w:before="0" w:after="0" w:line="360" w:lineRule="auto"/>
        <w:jc w:val="left"/>
        <w:rPr>
          <w:rFonts w:ascii="Times New Roman" w:hAnsi="Times New Roman" w:eastAsia="宋体"/>
          <w:kern w:val="0"/>
          <w:sz w:val="24"/>
          <w:szCs w:val="30"/>
          <w:lang w:val="en-US" w:bidi="zh-CN"/>
        </w:rPr>
      </w:pPr>
      <w:bookmarkStart w:id="113" w:name="_Toc22972"/>
      <w:r>
        <w:rPr>
          <w:rFonts w:hint="eastAsia" w:ascii="Times New Roman" w:hAnsi="Times New Roman" w:eastAsia="宋体"/>
          <w:kern w:val="0"/>
          <w:sz w:val="24"/>
          <w:szCs w:val="30"/>
          <w:lang w:val="en-US" w:bidi="zh-CN"/>
        </w:rPr>
        <w:t>2.6评价标准</w:t>
      </w:r>
      <w:bookmarkEnd w:id="113"/>
    </w:p>
    <w:p w14:paraId="2255F143">
      <w:pPr>
        <w:pStyle w:val="4"/>
        <w:autoSpaceDE w:val="0"/>
        <w:autoSpaceDN w:val="0"/>
        <w:spacing w:before="0" w:after="0" w:line="360" w:lineRule="auto"/>
        <w:jc w:val="left"/>
        <w:rPr>
          <w:kern w:val="0"/>
          <w:sz w:val="24"/>
          <w:lang w:val="en-US" w:bidi="zh-CN"/>
        </w:rPr>
      </w:pPr>
      <w:r>
        <w:rPr>
          <w:rFonts w:hint="eastAsia"/>
          <w:kern w:val="0"/>
          <w:sz w:val="24"/>
          <w:lang w:val="en-US" w:bidi="zh-CN"/>
        </w:rPr>
        <w:t>2.6.1环境质量标准</w:t>
      </w:r>
    </w:p>
    <w:p w14:paraId="56154EA3">
      <w:pPr>
        <w:pStyle w:val="5"/>
        <w:rPr>
          <w:rFonts w:ascii="Times New Roman" w:hAnsi="Times New Roman"/>
          <w:color w:val="000000"/>
          <w:lang w:val="en-US"/>
        </w:rPr>
      </w:pPr>
      <w:r>
        <w:rPr>
          <w:rFonts w:hint="eastAsia" w:ascii="Times New Roman" w:hAnsi="Times New Roman"/>
          <w:color w:val="000000"/>
          <w:lang w:val="en-US"/>
        </w:rPr>
        <w:t>2.6.1.1环境空气</w:t>
      </w:r>
    </w:p>
    <w:p w14:paraId="0A769F01">
      <w:pPr>
        <w:pStyle w:val="16"/>
        <w:overflowPunct w:val="0"/>
        <w:topLinePunct/>
        <w:autoSpaceDE w:val="0"/>
        <w:autoSpaceDN w:val="0"/>
        <w:spacing w:after="0" w:line="360" w:lineRule="auto"/>
        <w:ind w:firstLine="482"/>
        <w:rPr>
          <w:rFonts w:hint="eastAsia" w:ascii="宋体" w:hAnsi="宋体" w:cs="宋体"/>
          <w:sz w:val="24"/>
          <w:szCs w:val="24"/>
        </w:rPr>
      </w:pPr>
      <w:r>
        <w:rPr>
          <w:rFonts w:hint="eastAsia" w:ascii="宋体" w:hAnsi="宋体" w:cs="宋体"/>
          <w:sz w:val="24"/>
          <w:szCs w:val="24"/>
        </w:rPr>
        <w:t>项目所在地属环境空气质量二类区，SO</w:t>
      </w:r>
      <w:r>
        <w:rPr>
          <w:rFonts w:hint="eastAsia" w:ascii="宋体" w:hAnsi="宋体" w:cs="宋体"/>
          <w:sz w:val="24"/>
          <w:szCs w:val="24"/>
          <w:vertAlign w:val="subscript"/>
        </w:rPr>
        <w:t>2</w:t>
      </w:r>
      <w:r>
        <w:rPr>
          <w:rFonts w:hint="eastAsia" w:ascii="宋体" w:hAnsi="宋体" w:cs="宋体"/>
          <w:sz w:val="24"/>
          <w:szCs w:val="24"/>
        </w:rPr>
        <w:t>、NO</w:t>
      </w:r>
      <w:r>
        <w:rPr>
          <w:rFonts w:hint="eastAsia" w:ascii="宋体" w:hAnsi="宋体" w:cs="宋体"/>
          <w:sz w:val="24"/>
          <w:szCs w:val="24"/>
          <w:vertAlign w:val="subscript"/>
        </w:rPr>
        <w:t>2</w:t>
      </w:r>
      <w:r>
        <w:rPr>
          <w:rFonts w:hint="eastAsia" w:ascii="宋体" w:hAnsi="宋体" w:cs="宋体"/>
          <w:sz w:val="24"/>
          <w:szCs w:val="24"/>
        </w:rPr>
        <w:t>、</w:t>
      </w:r>
      <w:r>
        <w:rPr>
          <w:rFonts w:hint="eastAsia" w:ascii="宋体" w:hAnsi="宋体" w:cs="宋体"/>
          <w:sz w:val="24"/>
          <w:szCs w:val="24"/>
          <w:lang w:val="en-US"/>
        </w:rPr>
        <w:t>TSP、</w:t>
      </w:r>
      <w:r>
        <w:rPr>
          <w:rFonts w:hint="eastAsia" w:ascii="宋体" w:hAnsi="宋体" w:cs="宋体"/>
          <w:sz w:val="24"/>
          <w:szCs w:val="24"/>
        </w:rPr>
        <w:t>PM</w:t>
      </w:r>
      <w:r>
        <w:rPr>
          <w:rFonts w:hint="eastAsia" w:ascii="宋体" w:hAnsi="宋体" w:cs="宋体"/>
          <w:sz w:val="24"/>
          <w:szCs w:val="24"/>
          <w:vertAlign w:val="subscript"/>
        </w:rPr>
        <w:t>10</w:t>
      </w:r>
      <w:r>
        <w:rPr>
          <w:rFonts w:hint="eastAsia" w:ascii="宋体" w:hAnsi="宋体" w:cs="宋体"/>
          <w:sz w:val="24"/>
          <w:szCs w:val="24"/>
        </w:rPr>
        <w:t>、PM</w:t>
      </w:r>
      <w:r>
        <w:rPr>
          <w:rFonts w:hint="eastAsia" w:ascii="宋体" w:hAnsi="宋体" w:cs="宋体"/>
          <w:sz w:val="24"/>
          <w:szCs w:val="24"/>
          <w:vertAlign w:val="subscript"/>
        </w:rPr>
        <w:t>2.5</w:t>
      </w:r>
      <w:r>
        <w:rPr>
          <w:rFonts w:hint="eastAsia" w:ascii="宋体" w:hAnsi="宋体" w:cs="宋体"/>
          <w:sz w:val="24"/>
          <w:szCs w:val="24"/>
        </w:rPr>
        <w:t>、CO、O</w:t>
      </w:r>
      <w:r>
        <w:rPr>
          <w:rFonts w:hint="eastAsia" w:ascii="宋体" w:hAnsi="宋体" w:cs="宋体"/>
          <w:sz w:val="24"/>
          <w:szCs w:val="24"/>
          <w:vertAlign w:val="subscript"/>
        </w:rPr>
        <w:t>3</w:t>
      </w:r>
      <w:r>
        <w:rPr>
          <w:rFonts w:hint="eastAsia" w:ascii="宋体" w:hAnsi="宋体" w:cs="宋体"/>
          <w:sz w:val="24"/>
          <w:szCs w:val="24"/>
        </w:rPr>
        <w:t>执行《环境空气质量标准》（GB3095-2012）二级标准；</w:t>
      </w:r>
      <w:r>
        <w:rPr>
          <w:rFonts w:hint="eastAsia" w:ascii="宋体" w:hAnsi="宋体" w:cs="宋体"/>
          <w:sz w:val="24"/>
          <w:szCs w:val="24"/>
          <w:lang w:val="en-US"/>
        </w:rPr>
        <w:t>非甲烷总烃执行</w:t>
      </w:r>
      <w:r>
        <w:rPr>
          <w:rFonts w:hint="eastAsia" w:ascii="宋体" w:hAnsi="宋体" w:cs="宋体"/>
          <w:sz w:val="24"/>
          <w:szCs w:val="24"/>
        </w:rPr>
        <w:t>《大气污染物综合排放标准详解》。具体详见表</w:t>
      </w:r>
      <w:r>
        <w:rPr>
          <w:rFonts w:hint="eastAsia" w:ascii="宋体" w:hAnsi="宋体" w:cs="宋体"/>
          <w:sz w:val="24"/>
          <w:szCs w:val="24"/>
          <w:lang w:val="en-US"/>
        </w:rPr>
        <w:t>2.6-1</w:t>
      </w:r>
      <w:r>
        <w:rPr>
          <w:rFonts w:hint="eastAsia" w:ascii="宋体" w:hAnsi="宋体" w:cs="宋体"/>
          <w:sz w:val="24"/>
          <w:szCs w:val="24"/>
        </w:rPr>
        <w:t>。</w:t>
      </w:r>
    </w:p>
    <w:p w14:paraId="2BA4324E">
      <w:pPr>
        <w:snapToGrid w:val="0"/>
        <w:spacing w:line="440" w:lineRule="exact"/>
        <w:jc w:val="center"/>
        <w:rPr>
          <w:rFonts w:hint="eastAsia" w:ascii="宋体" w:hAnsi="宋体" w:cs="宋体"/>
          <w:b/>
          <w:bCs/>
          <w:szCs w:val="21"/>
        </w:rPr>
      </w:pPr>
    </w:p>
    <w:p w14:paraId="4D48EF06">
      <w:pPr>
        <w:snapToGrid w:val="0"/>
        <w:spacing w:line="440" w:lineRule="exact"/>
        <w:jc w:val="center"/>
        <w:rPr>
          <w:rFonts w:hint="eastAsia" w:ascii="宋体" w:hAnsi="宋体" w:cs="宋体"/>
          <w:b/>
          <w:bCs/>
          <w:szCs w:val="21"/>
        </w:rPr>
      </w:pPr>
    </w:p>
    <w:p w14:paraId="03BEB066">
      <w:pPr>
        <w:snapToGrid w:val="0"/>
        <w:spacing w:line="440" w:lineRule="exact"/>
        <w:jc w:val="center"/>
        <w:rPr>
          <w:rFonts w:hint="eastAsia" w:ascii="宋体" w:hAnsi="宋体" w:cs="宋体"/>
          <w:b/>
          <w:bCs/>
          <w:szCs w:val="21"/>
        </w:rPr>
      </w:pPr>
      <w:r>
        <w:rPr>
          <w:rFonts w:hint="eastAsia" w:ascii="宋体" w:hAnsi="宋体" w:cs="宋体"/>
          <w:b/>
          <w:bCs/>
          <w:szCs w:val="21"/>
        </w:rPr>
        <w:t>表2.6-1    环境空气质量标准</w:t>
      </w:r>
    </w:p>
    <w:tbl>
      <w:tblPr>
        <w:tblStyle w:val="49"/>
        <w:tblW w:w="5000"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717"/>
        <w:gridCol w:w="1135"/>
        <w:gridCol w:w="1851"/>
        <w:gridCol w:w="1080"/>
        <w:gridCol w:w="925"/>
        <w:gridCol w:w="3337"/>
      </w:tblGrid>
      <w:tr w14:paraId="5C74B0F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714" w:type="dxa"/>
            <w:tcBorders>
              <w:tl2br w:val="nil"/>
              <w:tr2bl w:val="nil"/>
            </w:tcBorders>
            <w:vAlign w:val="center"/>
          </w:tcPr>
          <w:p w14:paraId="4581F406">
            <w:pPr>
              <w:pStyle w:val="228"/>
              <w:kinsoku w:val="0"/>
              <w:overflowPunct w:val="0"/>
              <w:rPr>
                <w:b/>
                <w:bCs/>
                <w:szCs w:val="21"/>
              </w:rPr>
            </w:pPr>
            <w:r>
              <w:rPr>
                <w:b/>
                <w:bCs/>
                <w:szCs w:val="21"/>
              </w:rPr>
              <w:t>序号</w:t>
            </w:r>
          </w:p>
        </w:tc>
        <w:tc>
          <w:tcPr>
            <w:tcW w:w="1131" w:type="dxa"/>
            <w:tcBorders>
              <w:tl2br w:val="nil"/>
              <w:tr2bl w:val="nil"/>
            </w:tcBorders>
            <w:vAlign w:val="center"/>
          </w:tcPr>
          <w:p w14:paraId="257B6226">
            <w:pPr>
              <w:pStyle w:val="228"/>
              <w:kinsoku w:val="0"/>
              <w:overflowPunct w:val="0"/>
              <w:rPr>
                <w:b/>
                <w:bCs/>
                <w:szCs w:val="21"/>
              </w:rPr>
            </w:pPr>
            <w:r>
              <w:rPr>
                <w:b/>
                <w:bCs/>
                <w:spacing w:val="-1"/>
                <w:szCs w:val="21"/>
              </w:rPr>
              <w:t>评价因子</w:t>
            </w:r>
          </w:p>
        </w:tc>
        <w:tc>
          <w:tcPr>
            <w:tcW w:w="1845" w:type="dxa"/>
            <w:tcBorders>
              <w:tl2br w:val="nil"/>
              <w:tr2bl w:val="nil"/>
            </w:tcBorders>
            <w:vAlign w:val="center"/>
          </w:tcPr>
          <w:p w14:paraId="097108BA">
            <w:pPr>
              <w:pStyle w:val="228"/>
              <w:kinsoku w:val="0"/>
              <w:overflowPunct w:val="0"/>
              <w:rPr>
                <w:b/>
                <w:bCs/>
                <w:szCs w:val="21"/>
              </w:rPr>
            </w:pPr>
            <w:r>
              <w:rPr>
                <w:b/>
                <w:bCs/>
                <w:spacing w:val="-1"/>
                <w:szCs w:val="21"/>
              </w:rPr>
              <w:t>平均时间</w:t>
            </w:r>
          </w:p>
        </w:tc>
        <w:tc>
          <w:tcPr>
            <w:tcW w:w="1077" w:type="dxa"/>
            <w:tcBorders>
              <w:tl2br w:val="nil"/>
              <w:tr2bl w:val="nil"/>
            </w:tcBorders>
            <w:vAlign w:val="center"/>
          </w:tcPr>
          <w:p w14:paraId="50686E88">
            <w:pPr>
              <w:pStyle w:val="228"/>
              <w:kinsoku w:val="0"/>
              <w:overflowPunct w:val="0"/>
              <w:rPr>
                <w:b/>
                <w:bCs/>
                <w:szCs w:val="21"/>
              </w:rPr>
            </w:pPr>
            <w:r>
              <w:rPr>
                <w:b/>
                <w:bCs/>
                <w:spacing w:val="-1"/>
                <w:szCs w:val="21"/>
              </w:rPr>
              <w:t>浓度限值</w:t>
            </w:r>
          </w:p>
        </w:tc>
        <w:tc>
          <w:tcPr>
            <w:tcW w:w="922" w:type="dxa"/>
            <w:tcBorders>
              <w:tl2br w:val="nil"/>
              <w:tr2bl w:val="nil"/>
            </w:tcBorders>
            <w:vAlign w:val="center"/>
          </w:tcPr>
          <w:p w14:paraId="516542A1">
            <w:pPr>
              <w:pStyle w:val="228"/>
              <w:kinsoku w:val="0"/>
              <w:overflowPunct w:val="0"/>
              <w:rPr>
                <w:b/>
                <w:bCs/>
                <w:szCs w:val="21"/>
              </w:rPr>
            </w:pPr>
            <w:r>
              <w:rPr>
                <w:b/>
                <w:bCs/>
                <w:szCs w:val="21"/>
              </w:rPr>
              <w:t>单位</w:t>
            </w:r>
          </w:p>
        </w:tc>
        <w:tc>
          <w:tcPr>
            <w:tcW w:w="3326" w:type="dxa"/>
            <w:tcBorders>
              <w:tl2br w:val="nil"/>
              <w:tr2bl w:val="nil"/>
            </w:tcBorders>
            <w:vAlign w:val="center"/>
          </w:tcPr>
          <w:p w14:paraId="34B9F18E">
            <w:pPr>
              <w:pStyle w:val="228"/>
              <w:kinsoku w:val="0"/>
              <w:overflowPunct w:val="0"/>
              <w:rPr>
                <w:b/>
                <w:bCs/>
                <w:szCs w:val="21"/>
              </w:rPr>
            </w:pPr>
            <w:r>
              <w:rPr>
                <w:b/>
                <w:bCs/>
                <w:spacing w:val="-1"/>
                <w:szCs w:val="21"/>
              </w:rPr>
              <w:t>执行标准</w:t>
            </w:r>
          </w:p>
        </w:tc>
      </w:tr>
      <w:tr w14:paraId="271882B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714" w:type="dxa"/>
            <w:vMerge w:val="restart"/>
            <w:tcBorders>
              <w:tl2br w:val="nil"/>
              <w:tr2bl w:val="nil"/>
            </w:tcBorders>
            <w:vAlign w:val="center"/>
          </w:tcPr>
          <w:p w14:paraId="03B618E0">
            <w:pPr>
              <w:pStyle w:val="228"/>
              <w:kinsoku w:val="0"/>
              <w:overflowPunct w:val="0"/>
              <w:rPr>
                <w:szCs w:val="21"/>
              </w:rPr>
            </w:pPr>
            <w:r>
              <w:rPr>
                <w:szCs w:val="21"/>
              </w:rPr>
              <w:t>1</w:t>
            </w:r>
          </w:p>
        </w:tc>
        <w:tc>
          <w:tcPr>
            <w:tcW w:w="1131" w:type="dxa"/>
            <w:vMerge w:val="restart"/>
            <w:tcBorders>
              <w:tl2br w:val="nil"/>
              <w:tr2bl w:val="nil"/>
            </w:tcBorders>
            <w:vAlign w:val="center"/>
          </w:tcPr>
          <w:p w14:paraId="7BE509BC">
            <w:pPr>
              <w:pStyle w:val="228"/>
              <w:kinsoku w:val="0"/>
              <w:overflowPunct w:val="0"/>
              <w:rPr>
                <w:szCs w:val="21"/>
              </w:rPr>
            </w:pPr>
            <w:r>
              <w:rPr>
                <w:szCs w:val="21"/>
              </w:rPr>
              <w:t>SO</w:t>
            </w:r>
            <w:r>
              <w:rPr>
                <w:szCs w:val="21"/>
                <w:vertAlign w:val="subscript"/>
              </w:rPr>
              <w:t>2</w:t>
            </w:r>
          </w:p>
        </w:tc>
        <w:tc>
          <w:tcPr>
            <w:tcW w:w="1845" w:type="dxa"/>
            <w:tcBorders>
              <w:tl2br w:val="nil"/>
              <w:tr2bl w:val="nil"/>
            </w:tcBorders>
            <w:vAlign w:val="center"/>
          </w:tcPr>
          <w:p w14:paraId="1CB372A0">
            <w:pPr>
              <w:pStyle w:val="228"/>
              <w:kinsoku w:val="0"/>
              <w:overflowPunct w:val="0"/>
              <w:rPr>
                <w:szCs w:val="21"/>
              </w:rPr>
            </w:pPr>
            <w:r>
              <w:rPr>
                <w:szCs w:val="21"/>
              </w:rPr>
              <w:t>年平均</w:t>
            </w:r>
          </w:p>
        </w:tc>
        <w:tc>
          <w:tcPr>
            <w:tcW w:w="1077" w:type="dxa"/>
            <w:tcBorders>
              <w:tl2br w:val="nil"/>
              <w:tr2bl w:val="nil"/>
            </w:tcBorders>
            <w:vAlign w:val="center"/>
          </w:tcPr>
          <w:p w14:paraId="2B412B62">
            <w:pPr>
              <w:pStyle w:val="228"/>
              <w:kinsoku w:val="0"/>
              <w:overflowPunct w:val="0"/>
              <w:rPr>
                <w:szCs w:val="21"/>
              </w:rPr>
            </w:pPr>
            <w:r>
              <w:rPr>
                <w:szCs w:val="21"/>
              </w:rPr>
              <w:t>60</w:t>
            </w:r>
          </w:p>
        </w:tc>
        <w:tc>
          <w:tcPr>
            <w:tcW w:w="922" w:type="dxa"/>
            <w:vMerge w:val="restart"/>
            <w:tcBorders>
              <w:tl2br w:val="nil"/>
              <w:tr2bl w:val="nil"/>
            </w:tcBorders>
            <w:vAlign w:val="center"/>
          </w:tcPr>
          <w:p w14:paraId="7E2A1E79">
            <w:pPr>
              <w:pStyle w:val="228"/>
              <w:kinsoku w:val="0"/>
              <w:overflowPunct w:val="0"/>
              <w:rPr>
                <w:szCs w:val="21"/>
              </w:rPr>
            </w:pPr>
            <w:r>
              <w:rPr>
                <w:spacing w:val="-2"/>
                <w:szCs w:val="21"/>
              </w:rPr>
              <w:t>μg/m</w:t>
            </w:r>
            <w:r>
              <w:rPr>
                <w:spacing w:val="-2"/>
                <w:szCs w:val="21"/>
                <w:vertAlign w:val="superscript"/>
              </w:rPr>
              <w:t>3</w:t>
            </w:r>
          </w:p>
        </w:tc>
        <w:tc>
          <w:tcPr>
            <w:tcW w:w="3326" w:type="dxa"/>
            <w:vMerge w:val="restart"/>
            <w:tcBorders>
              <w:tl2br w:val="nil"/>
              <w:tr2bl w:val="nil"/>
            </w:tcBorders>
            <w:vAlign w:val="center"/>
          </w:tcPr>
          <w:p w14:paraId="30DFF9ED">
            <w:pPr>
              <w:pStyle w:val="228"/>
              <w:kinsoku w:val="0"/>
              <w:overflowPunct w:val="0"/>
              <w:rPr>
                <w:spacing w:val="-2"/>
                <w:szCs w:val="21"/>
              </w:rPr>
            </w:pPr>
            <w:r>
              <w:rPr>
                <w:spacing w:val="-2"/>
                <w:szCs w:val="21"/>
              </w:rPr>
              <w:t>《环境空气质量标准》</w:t>
            </w:r>
          </w:p>
          <w:p w14:paraId="1B83B737">
            <w:pPr>
              <w:pStyle w:val="228"/>
              <w:kinsoku w:val="0"/>
              <w:overflowPunct w:val="0"/>
              <w:rPr>
                <w:szCs w:val="21"/>
              </w:rPr>
            </w:pPr>
            <w:r>
              <w:rPr>
                <w:spacing w:val="-1"/>
                <w:szCs w:val="21"/>
              </w:rPr>
              <w:t>（GB3095-2012）</w:t>
            </w:r>
          </w:p>
        </w:tc>
      </w:tr>
      <w:tr w14:paraId="325A7AE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714" w:type="dxa"/>
            <w:vMerge w:val="continue"/>
            <w:tcBorders>
              <w:tl2br w:val="nil"/>
              <w:tr2bl w:val="nil"/>
            </w:tcBorders>
            <w:vAlign w:val="center"/>
          </w:tcPr>
          <w:p w14:paraId="725B4FC3">
            <w:pPr>
              <w:pStyle w:val="228"/>
              <w:kinsoku w:val="0"/>
              <w:overflowPunct w:val="0"/>
              <w:rPr>
                <w:szCs w:val="21"/>
              </w:rPr>
            </w:pPr>
          </w:p>
        </w:tc>
        <w:tc>
          <w:tcPr>
            <w:tcW w:w="1131" w:type="dxa"/>
            <w:vMerge w:val="continue"/>
            <w:tcBorders>
              <w:tl2br w:val="nil"/>
              <w:tr2bl w:val="nil"/>
            </w:tcBorders>
            <w:vAlign w:val="center"/>
          </w:tcPr>
          <w:p w14:paraId="340FEF44">
            <w:pPr>
              <w:pStyle w:val="228"/>
              <w:kinsoku w:val="0"/>
              <w:overflowPunct w:val="0"/>
              <w:rPr>
                <w:szCs w:val="21"/>
              </w:rPr>
            </w:pPr>
          </w:p>
        </w:tc>
        <w:tc>
          <w:tcPr>
            <w:tcW w:w="1845" w:type="dxa"/>
            <w:tcBorders>
              <w:tl2br w:val="nil"/>
              <w:tr2bl w:val="nil"/>
            </w:tcBorders>
            <w:vAlign w:val="center"/>
          </w:tcPr>
          <w:p w14:paraId="625ACE41">
            <w:pPr>
              <w:pStyle w:val="228"/>
              <w:kinsoku w:val="0"/>
              <w:overflowPunct w:val="0"/>
              <w:rPr>
                <w:szCs w:val="21"/>
              </w:rPr>
            </w:pPr>
            <w:r>
              <w:rPr>
                <w:szCs w:val="21"/>
              </w:rPr>
              <w:t>24</w:t>
            </w:r>
            <w:r>
              <w:rPr>
                <w:spacing w:val="-2"/>
                <w:szCs w:val="21"/>
              </w:rPr>
              <w:t>小时平均</w:t>
            </w:r>
          </w:p>
        </w:tc>
        <w:tc>
          <w:tcPr>
            <w:tcW w:w="1077" w:type="dxa"/>
            <w:tcBorders>
              <w:tl2br w:val="nil"/>
              <w:tr2bl w:val="nil"/>
            </w:tcBorders>
            <w:vAlign w:val="center"/>
          </w:tcPr>
          <w:p w14:paraId="50A7898D">
            <w:pPr>
              <w:pStyle w:val="228"/>
              <w:kinsoku w:val="0"/>
              <w:overflowPunct w:val="0"/>
              <w:rPr>
                <w:szCs w:val="21"/>
              </w:rPr>
            </w:pPr>
            <w:r>
              <w:rPr>
                <w:szCs w:val="21"/>
              </w:rPr>
              <w:t>150</w:t>
            </w:r>
          </w:p>
        </w:tc>
        <w:tc>
          <w:tcPr>
            <w:tcW w:w="922" w:type="dxa"/>
            <w:vMerge w:val="continue"/>
            <w:tcBorders>
              <w:tl2br w:val="nil"/>
              <w:tr2bl w:val="nil"/>
            </w:tcBorders>
            <w:vAlign w:val="center"/>
          </w:tcPr>
          <w:p w14:paraId="4654BC51">
            <w:pPr>
              <w:pStyle w:val="228"/>
              <w:kinsoku w:val="0"/>
              <w:overflowPunct w:val="0"/>
              <w:rPr>
                <w:szCs w:val="21"/>
              </w:rPr>
            </w:pPr>
          </w:p>
        </w:tc>
        <w:tc>
          <w:tcPr>
            <w:tcW w:w="3326" w:type="dxa"/>
            <w:vMerge w:val="continue"/>
            <w:tcBorders>
              <w:tl2br w:val="nil"/>
              <w:tr2bl w:val="nil"/>
            </w:tcBorders>
            <w:vAlign w:val="center"/>
          </w:tcPr>
          <w:p w14:paraId="3BC93DF4">
            <w:pPr>
              <w:pStyle w:val="228"/>
              <w:kinsoku w:val="0"/>
              <w:overflowPunct w:val="0"/>
              <w:rPr>
                <w:szCs w:val="21"/>
              </w:rPr>
            </w:pPr>
          </w:p>
        </w:tc>
      </w:tr>
      <w:tr w14:paraId="334BACB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714" w:type="dxa"/>
            <w:vMerge w:val="continue"/>
            <w:tcBorders>
              <w:tl2br w:val="nil"/>
              <w:tr2bl w:val="nil"/>
            </w:tcBorders>
            <w:vAlign w:val="center"/>
          </w:tcPr>
          <w:p w14:paraId="5429D1C6">
            <w:pPr>
              <w:pStyle w:val="228"/>
              <w:kinsoku w:val="0"/>
              <w:overflowPunct w:val="0"/>
              <w:rPr>
                <w:szCs w:val="21"/>
              </w:rPr>
            </w:pPr>
          </w:p>
        </w:tc>
        <w:tc>
          <w:tcPr>
            <w:tcW w:w="1131" w:type="dxa"/>
            <w:vMerge w:val="continue"/>
            <w:tcBorders>
              <w:tl2br w:val="nil"/>
              <w:tr2bl w:val="nil"/>
            </w:tcBorders>
            <w:vAlign w:val="center"/>
          </w:tcPr>
          <w:p w14:paraId="63617B4F">
            <w:pPr>
              <w:pStyle w:val="228"/>
              <w:kinsoku w:val="0"/>
              <w:overflowPunct w:val="0"/>
              <w:rPr>
                <w:szCs w:val="21"/>
              </w:rPr>
            </w:pPr>
          </w:p>
        </w:tc>
        <w:tc>
          <w:tcPr>
            <w:tcW w:w="1845" w:type="dxa"/>
            <w:tcBorders>
              <w:tl2br w:val="nil"/>
              <w:tr2bl w:val="nil"/>
            </w:tcBorders>
            <w:vAlign w:val="center"/>
          </w:tcPr>
          <w:p w14:paraId="2DC4727F">
            <w:pPr>
              <w:pStyle w:val="228"/>
              <w:kinsoku w:val="0"/>
              <w:overflowPunct w:val="0"/>
              <w:rPr>
                <w:szCs w:val="21"/>
              </w:rPr>
            </w:pPr>
            <w:r>
              <w:rPr>
                <w:szCs w:val="21"/>
              </w:rPr>
              <w:t>1</w:t>
            </w:r>
            <w:r>
              <w:rPr>
                <w:spacing w:val="-1"/>
                <w:szCs w:val="21"/>
              </w:rPr>
              <w:t>小时平均</w:t>
            </w:r>
          </w:p>
        </w:tc>
        <w:tc>
          <w:tcPr>
            <w:tcW w:w="1077" w:type="dxa"/>
            <w:tcBorders>
              <w:tl2br w:val="nil"/>
              <w:tr2bl w:val="nil"/>
            </w:tcBorders>
            <w:vAlign w:val="center"/>
          </w:tcPr>
          <w:p w14:paraId="64694215">
            <w:pPr>
              <w:pStyle w:val="228"/>
              <w:kinsoku w:val="0"/>
              <w:overflowPunct w:val="0"/>
              <w:rPr>
                <w:szCs w:val="21"/>
              </w:rPr>
            </w:pPr>
            <w:r>
              <w:rPr>
                <w:szCs w:val="21"/>
              </w:rPr>
              <w:t>500</w:t>
            </w:r>
          </w:p>
        </w:tc>
        <w:tc>
          <w:tcPr>
            <w:tcW w:w="922" w:type="dxa"/>
            <w:vMerge w:val="continue"/>
            <w:tcBorders>
              <w:tl2br w:val="nil"/>
              <w:tr2bl w:val="nil"/>
            </w:tcBorders>
            <w:vAlign w:val="center"/>
          </w:tcPr>
          <w:p w14:paraId="35191890">
            <w:pPr>
              <w:pStyle w:val="228"/>
              <w:kinsoku w:val="0"/>
              <w:overflowPunct w:val="0"/>
              <w:rPr>
                <w:szCs w:val="21"/>
              </w:rPr>
            </w:pPr>
          </w:p>
        </w:tc>
        <w:tc>
          <w:tcPr>
            <w:tcW w:w="3326" w:type="dxa"/>
            <w:vMerge w:val="continue"/>
            <w:tcBorders>
              <w:tl2br w:val="nil"/>
              <w:tr2bl w:val="nil"/>
            </w:tcBorders>
            <w:vAlign w:val="center"/>
          </w:tcPr>
          <w:p w14:paraId="1ED02C99">
            <w:pPr>
              <w:pStyle w:val="228"/>
              <w:kinsoku w:val="0"/>
              <w:overflowPunct w:val="0"/>
              <w:rPr>
                <w:szCs w:val="21"/>
              </w:rPr>
            </w:pPr>
          </w:p>
        </w:tc>
      </w:tr>
      <w:tr w14:paraId="2B75DC8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714" w:type="dxa"/>
            <w:vMerge w:val="restart"/>
            <w:tcBorders>
              <w:tl2br w:val="nil"/>
              <w:tr2bl w:val="nil"/>
            </w:tcBorders>
            <w:vAlign w:val="center"/>
          </w:tcPr>
          <w:p w14:paraId="792DDF17">
            <w:pPr>
              <w:pStyle w:val="228"/>
              <w:kinsoku w:val="0"/>
              <w:overflowPunct w:val="0"/>
              <w:rPr>
                <w:szCs w:val="21"/>
              </w:rPr>
            </w:pPr>
            <w:r>
              <w:rPr>
                <w:szCs w:val="21"/>
              </w:rPr>
              <w:t>2</w:t>
            </w:r>
          </w:p>
        </w:tc>
        <w:tc>
          <w:tcPr>
            <w:tcW w:w="1131" w:type="dxa"/>
            <w:vMerge w:val="restart"/>
            <w:tcBorders>
              <w:tl2br w:val="nil"/>
              <w:tr2bl w:val="nil"/>
            </w:tcBorders>
            <w:vAlign w:val="center"/>
          </w:tcPr>
          <w:p w14:paraId="6FD463CC">
            <w:pPr>
              <w:pStyle w:val="228"/>
              <w:kinsoku w:val="0"/>
              <w:overflowPunct w:val="0"/>
              <w:rPr>
                <w:szCs w:val="21"/>
              </w:rPr>
            </w:pPr>
            <w:r>
              <w:rPr>
                <w:spacing w:val="-1"/>
                <w:szCs w:val="21"/>
              </w:rPr>
              <w:t>N</w:t>
            </w:r>
            <w:r>
              <w:rPr>
                <w:szCs w:val="21"/>
              </w:rPr>
              <w:t>O</w:t>
            </w:r>
            <w:r>
              <w:rPr>
                <w:szCs w:val="21"/>
                <w:vertAlign w:val="subscript"/>
              </w:rPr>
              <w:t>2</w:t>
            </w:r>
          </w:p>
        </w:tc>
        <w:tc>
          <w:tcPr>
            <w:tcW w:w="1845" w:type="dxa"/>
            <w:tcBorders>
              <w:tl2br w:val="nil"/>
              <w:tr2bl w:val="nil"/>
            </w:tcBorders>
            <w:vAlign w:val="center"/>
          </w:tcPr>
          <w:p w14:paraId="42057F6C">
            <w:pPr>
              <w:pStyle w:val="228"/>
              <w:kinsoku w:val="0"/>
              <w:overflowPunct w:val="0"/>
              <w:rPr>
                <w:szCs w:val="21"/>
              </w:rPr>
            </w:pPr>
            <w:r>
              <w:rPr>
                <w:szCs w:val="21"/>
              </w:rPr>
              <w:t>年平均</w:t>
            </w:r>
          </w:p>
        </w:tc>
        <w:tc>
          <w:tcPr>
            <w:tcW w:w="1077" w:type="dxa"/>
            <w:tcBorders>
              <w:tl2br w:val="nil"/>
              <w:tr2bl w:val="nil"/>
            </w:tcBorders>
            <w:vAlign w:val="center"/>
          </w:tcPr>
          <w:p w14:paraId="67F624E1">
            <w:pPr>
              <w:pStyle w:val="228"/>
              <w:kinsoku w:val="0"/>
              <w:overflowPunct w:val="0"/>
              <w:rPr>
                <w:szCs w:val="21"/>
              </w:rPr>
            </w:pPr>
            <w:r>
              <w:rPr>
                <w:szCs w:val="21"/>
              </w:rPr>
              <w:t>40</w:t>
            </w:r>
          </w:p>
        </w:tc>
        <w:tc>
          <w:tcPr>
            <w:tcW w:w="922" w:type="dxa"/>
            <w:vMerge w:val="continue"/>
            <w:tcBorders>
              <w:tl2br w:val="nil"/>
              <w:tr2bl w:val="nil"/>
            </w:tcBorders>
            <w:vAlign w:val="center"/>
          </w:tcPr>
          <w:p w14:paraId="68F1B2FD">
            <w:pPr>
              <w:pStyle w:val="228"/>
              <w:kinsoku w:val="0"/>
              <w:overflowPunct w:val="0"/>
              <w:rPr>
                <w:szCs w:val="21"/>
              </w:rPr>
            </w:pPr>
          </w:p>
        </w:tc>
        <w:tc>
          <w:tcPr>
            <w:tcW w:w="3326" w:type="dxa"/>
            <w:vMerge w:val="continue"/>
            <w:tcBorders>
              <w:tl2br w:val="nil"/>
              <w:tr2bl w:val="nil"/>
            </w:tcBorders>
            <w:vAlign w:val="center"/>
          </w:tcPr>
          <w:p w14:paraId="1B6C794A">
            <w:pPr>
              <w:pStyle w:val="228"/>
              <w:kinsoku w:val="0"/>
              <w:overflowPunct w:val="0"/>
              <w:rPr>
                <w:szCs w:val="21"/>
              </w:rPr>
            </w:pPr>
          </w:p>
        </w:tc>
      </w:tr>
      <w:tr w14:paraId="3978070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714" w:type="dxa"/>
            <w:vMerge w:val="continue"/>
            <w:tcBorders>
              <w:tl2br w:val="nil"/>
              <w:tr2bl w:val="nil"/>
            </w:tcBorders>
            <w:vAlign w:val="center"/>
          </w:tcPr>
          <w:p w14:paraId="63992BC9">
            <w:pPr>
              <w:pStyle w:val="228"/>
              <w:kinsoku w:val="0"/>
              <w:overflowPunct w:val="0"/>
              <w:rPr>
                <w:szCs w:val="21"/>
              </w:rPr>
            </w:pPr>
          </w:p>
        </w:tc>
        <w:tc>
          <w:tcPr>
            <w:tcW w:w="1131" w:type="dxa"/>
            <w:vMerge w:val="continue"/>
            <w:tcBorders>
              <w:tl2br w:val="nil"/>
              <w:tr2bl w:val="nil"/>
            </w:tcBorders>
            <w:vAlign w:val="center"/>
          </w:tcPr>
          <w:p w14:paraId="06319F94">
            <w:pPr>
              <w:pStyle w:val="228"/>
              <w:kinsoku w:val="0"/>
              <w:overflowPunct w:val="0"/>
              <w:rPr>
                <w:szCs w:val="21"/>
              </w:rPr>
            </w:pPr>
          </w:p>
        </w:tc>
        <w:tc>
          <w:tcPr>
            <w:tcW w:w="1845" w:type="dxa"/>
            <w:tcBorders>
              <w:tl2br w:val="nil"/>
              <w:tr2bl w:val="nil"/>
            </w:tcBorders>
            <w:vAlign w:val="center"/>
          </w:tcPr>
          <w:p w14:paraId="38C3B746">
            <w:pPr>
              <w:pStyle w:val="228"/>
              <w:kinsoku w:val="0"/>
              <w:overflowPunct w:val="0"/>
              <w:rPr>
                <w:szCs w:val="21"/>
              </w:rPr>
            </w:pPr>
            <w:r>
              <w:rPr>
                <w:szCs w:val="21"/>
              </w:rPr>
              <w:t>24</w:t>
            </w:r>
            <w:r>
              <w:rPr>
                <w:spacing w:val="-2"/>
                <w:szCs w:val="21"/>
              </w:rPr>
              <w:t>小时平均</w:t>
            </w:r>
          </w:p>
        </w:tc>
        <w:tc>
          <w:tcPr>
            <w:tcW w:w="1077" w:type="dxa"/>
            <w:tcBorders>
              <w:tl2br w:val="nil"/>
              <w:tr2bl w:val="nil"/>
            </w:tcBorders>
            <w:vAlign w:val="center"/>
          </w:tcPr>
          <w:p w14:paraId="475ACF59">
            <w:pPr>
              <w:pStyle w:val="228"/>
              <w:kinsoku w:val="0"/>
              <w:overflowPunct w:val="0"/>
              <w:rPr>
                <w:szCs w:val="21"/>
              </w:rPr>
            </w:pPr>
            <w:r>
              <w:rPr>
                <w:szCs w:val="21"/>
              </w:rPr>
              <w:t>80</w:t>
            </w:r>
          </w:p>
        </w:tc>
        <w:tc>
          <w:tcPr>
            <w:tcW w:w="922" w:type="dxa"/>
            <w:vMerge w:val="continue"/>
            <w:tcBorders>
              <w:tl2br w:val="nil"/>
              <w:tr2bl w:val="nil"/>
            </w:tcBorders>
            <w:vAlign w:val="center"/>
          </w:tcPr>
          <w:p w14:paraId="01D157C9">
            <w:pPr>
              <w:pStyle w:val="228"/>
              <w:kinsoku w:val="0"/>
              <w:overflowPunct w:val="0"/>
              <w:rPr>
                <w:szCs w:val="21"/>
              </w:rPr>
            </w:pPr>
          </w:p>
        </w:tc>
        <w:tc>
          <w:tcPr>
            <w:tcW w:w="3326" w:type="dxa"/>
            <w:vMerge w:val="continue"/>
            <w:tcBorders>
              <w:tl2br w:val="nil"/>
              <w:tr2bl w:val="nil"/>
            </w:tcBorders>
            <w:vAlign w:val="center"/>
          </w:tcPr>
          <w:p w14:paraId="57217450">
            <w:pPr>
              <w:pStyle w:val="228"/>
              <w:kinsoku w:val="0"/>
              <w:overflowPunct w:val="0"/>
              <w:rPr>
                <w:szCs w:val="21"/>
              </w:rPr>
            </w:pPr>
          </w:p>
        </w:tc>
      </w:tr>
      <w:tr w14:paraId="2385C83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714" w:type="dxa"/>
            <w:vMerge w:val="continue"/>
            <w:tcBorders>
              <w:tl2br w:val="nil"/>
              <w:tr2bl w:val="nil"/>
            </w:tcBorders>
            <w:vAlign w:val="center"/>
          </w:tcPr>
          <w:p w14:paraId="4CB303A4">
            <w:pPr>
              <w:pStyle w:val="228"/>
              <w:kinsoku w:val="0"/>
              <w:overflowPunct w:val="0"/>
              <w:rPr>
                <w:szCs w:val="21"/>
              </w:rPr>
            </w:pPr>
          </w:p>
        </w:tc>
        <w:tc>
          <w:tcPr>
            <w:tcW w:w="1131" w:type="dxa"/>
            <w:vMerge w:val="continue"/>
            <w:tcBorders>
              <w:tl2br w:val="nil"/>
              <w:tr2bl w:val="nil"/>
            </w:tcBorders>
            <w:vAlign w:val="center"/>
          </w:tcPr>
          <w:p w14:paraId="0A9F91D5">
            <w:pPr>
              <w:pStyle w:val="228"/>
              <w:kinsoku w:val="0"/>
              <w:overflowPunct w:val="0"/>
              <w:rPr>
                <w:szCs w:val="21"/>
              </w:rPr>
            </w:pPr>
          </w:p>
        </w:tc>
        <w:tc>
          <w:tcPr>
            <w:tcW w:w="1845" w:type="dxa"/>
            <w:tcBorders>
              <w:tl2br w:val="nil"/>
              <w:tr2bl w:val="nil"/>
            </w:tcBorders>
            <w:vAlign w:val="center"/>
          </w:tcPr>
          <w:p w14:paraId="26AA5765">
            <w:pPr>
              <w:pStyle w:val="228"/>
              <w:kinsoku w:val="0"/>
              <w:overflowPunct w:val="0"/>
              <w:rPr>
                <w:szCs w:val="21"/>
              </w:rPr>
            </w:pPr>
            <w:r>
              <w:rPr>
                <w:szCs w:val="21"/>
              </w:rPr>
              <w:t>1</w:t>
            </w:r>
            <w:r>
              <w:rPr>
                <w:spacing w:val="-1"/>
                <w:szCs w:val="21"/>
              </w:rPr>
              <w:t>小时平均</w:t>
            </w:r>
          </w:p>
        </w:tc>
        <w:tc>
          <w:tcPr>
            <w:tcW w:w="1077" w:type="dxa"/>
            <w:tcBorders>
              <w:tl2br w:val="nil"/>
              <w:tr2bl w:val="nil"/>
            </w:tcBorders>
            <w:vAlign w:val="center"/>
          </w:tcPr>
          <w:p w14:paraId="6FE78E50">
            <w:pPr>
              <w:pStyle w:val="228"/>
              <w:kinsoku w:val="0"/>
              <w:overflowPunct w:val="0"/>
              <w:rPr>
                <w:szCs w:val="21"/>
              </w:rPr>
            </w:pPr>
            <w:r>
              <w:rPr>
                <w:szCs w:val="21"/>
              </w:rPr>
              <w:t>200</w:t>
            </w:r>
          </w:p>
        </w:tc>
        <w:tc>
          <w:tcPr>
            <w:tcW w:w="922" w:type="dxa"/>
            <w:vMerge w:val="continue"/>
            <w:tcBorders>
              <w:tl2br w:val="nil"/>
              <w:tr2bl w:val="nil"/>
            </w:tcBorders>
            <w:vAlign w:val="center"/>
          </w:tcPr>
          <w:p w14:paraId="214B7DFD">
            <w:pPr>
              <w:pStyle w:val="228"/>
              <w:kinsoku w:val="0"/>
              <w:overflowPunct w:val="0"/>
              <w:rPr>
                <w:szCs w:val="21"/>
              </w:rPr>
            </w:pPr>
          </w:p>
        </w:tc>
        <w:tc>
          <w:tcPr>
            <w:tcW w:w="3326" w:type="dxa"/>
            <w:vMerge w:val="continue"/>
            <w:tcBorders>
              <w:tl2br w:val="nil"/>
              <w:tr2bl w:val="nil"/>
            </w:tcBorders>
            <w:vAlign w:val="center"/>
          </w:tcPr>
          <w:p w14:paraId="682D0E2D">
            <w:pPr>
              <w:pStyle w:val="228"/>
              <w:kinsoku w:val="0"/>
              <w:overflowPunct w:val="0"/>
              <w:rPr>
                <w:szCs w:val="21"/>
              </w:rPr>
            </w:pPr>
          </w:p>
        </w:tc>
      </w:tr>
      <w:tr w14:paraId="0AE7ABA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714" w:type="dxa"/>
            <w:vMerge w:val="restart"/>
            <w:tcBorders>
              <w:tl2br w:val="nil"/>
              <w:tr2bl w:val="nil"/>
            </w:tcBorders>
            <w:vAlign w:val="center"/>
          </w:tcPr>
          <w:p w14:paraId="5E5DAC3B">
            <w:pPr>
              <w:pStyle w:val="228"/>
              <w:kinsoku w:val="0"/>
              <w:overflowPunct w:val="0"/>
              <w:rPr>
                <w:szCs w:val="21"/>
              </w:rPr>
            </w:pPr>
            <w:r>
              <w:rPr>
                <w:szCs w:val="21"/>
              </w:rPr>
              <w:t>3</w:t>
            </w:r>
          </w:p>
        </w:tc>
        <w:tc>
          <w:tcPr>
            <w:tcW w:w="1131" w:type="dxa"/>
            <w:vMerge w:val="restart"/>
            <w:tcBorders>
              <w:tl2br w:val="nil"/>
              <w:tr2bl w:val="nil"/>
            </w:tcBorders>
            <w:vAlign w:val="center"/>
          </w:tcPr>
          <w:p w14:paraId="4AA5489F">
            <w:pPr>
              <w:pStyle w:val="228"/>
              <w:kinsoku w:val="0"/>
              <w:overflowPunct w:val="0"/>
              <w:rPr>
                <w:szCs w:val="21"/>
              </w:rPr>
            </w:pPr>
            <w:r>
              <w:rPr>
                <w:szCs w:val="21"/>
              </w:rPr>
              <w:t>CO</w:t>
            </w:r>
          </w:p>
        </w:tc>
        <w:tc>
          <w:tcPr>
            <w:tcW w:w="1845" w:type="dxa"/>
            <w:tcBorders>
              <w:tl2br w:val="nil"/>
              <w:tr2bl w:val="nil"/>
            </w:tcBorders>
            <w:vAlign w:val="center"/>
          </w:tcPr>
          <w:p w14:paraId="41DFD8E6">
            <w:pPr>
              <w:pStyle w:val="228"/>
              <w:kinsoku w:val="0"/>
              <w:overflowPunct w:val="0"/>
              <w:rPr>
                <w:szCs w:val="21"/>
              </w:rPr>
            </w:pPr>
            <w:r>
              <w:rPr>
                <w:szCs w:val="21"/>
              </w:rPr>
              <w:t>24</w:t>
            </w:r>
            <w:r>
              <w:rPr>
                <w:spacing w:val="-2"/>
                <w:szCs w:val="21"/>
              </w:rPr>
              <w:t>小时平均</w:t>
            </w:r>
          </w:p>
        </w:tc>
        <w:tc>
          <w:tcPr>
            <w:tcW w:w="1077" w:type="dxa"/>
            <w:tcBorders>
              <w:tl2br w:val="nil"/>
              <w:tr2bl w:val="nil"/>
            </w:tcBorders>
            <w:vAlign w:val="center"/>
          </w:tcPr>
          <w:p w14:paraId="4390C0ED">
            <w:pPr>
              <w:pStyle w:val="228"/>
              <w:kinsoku w:val="0"/>
              <w:overflowPunct w:val="0"/>
              <w:rPr>
                <w:szCs w:val="21"/>
              </w:rPr>
            </w:pPr>
            <w:r>
              <w:rPr>
                <w:szCs w:val="21"/>
              </w:rPr>
              <w:t>4</w:t>
            </w:r>
          </w:p>
        </w:tc>
        <w:tc>
          <w:tcPr>
            <w:tcW w:w="922" w:type="dxa"/>
            <w:vMerge w:val="restart"/>
            <w:tcBorders>
              <w:tl2br w:val="nil"/>
              <w:tr2bl w:val="nil"/>
            </w:tcBorders>
            <w:vAlign w:val="center"/>
          </w:tcPr>
          <w:p w14:paraId="234627FB">
            <w:pPr>
              <w:pStyle w:val="228"/>
              <w:kinsoku w:val="0"/>
              <w:overflowPunct w:val="0"/>
              <w:rPr>
                <w:szCs w:val="21"/>
              </w:rPr>
            </w:pPr>
            <w:r>
              <w:rPr>
                <w:spacing w:val="-2"/>
                <w:szCs w:val="21"/>
              </w:rPr>
              <w:t>mg/m</w:t>
            </w:r>
            <w:r>
              <w:rPr>
                <w:spacing w:val="-2"/>
                <w:szCs w:val="21"/>
                <w:vertAlign w:val="superscript"/>
              </w:rPr>
              <w:t>3</w:t>
            </w:r>
          </w:p>
        </w:tc>
        <w:tc>
          <w:tcPr>
            <w:tcW w:w="3326" w:type="dxa"/>
            <w:vMerge w:val="continue"/>
            <w:tcBorders>
              <w:tl2br w:val="nil"/>
              <w:tr2bl w:val="nil"/>
            </w:tcBorders>
            <w:vAlign w:val="center"/>
          </w:tcPr>
          <w:p w14:paraId="55788087">
            <w:pPr>
              <w:pStyle w:val="228"/>
              <w:kinsoku w:val="0"/>
              <w:overflowPunct w:val="0"/>
              <w:rPr>
                <w:szCs w:val="21"/>
              </w:rPr>
            </w:pPr>
          </w:p>
        </w:tc>
      </w:tr>
      <w:tr w14:paraId="021F51F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714" w:type="dxa"/>
            <w:vMerge w:val="continue"/>
            <w:tcBorders>
              <w:tl2br w:val="nil"/>
              <w:tr2bl w:val="nil"/>
            </w:tcBorders>
            <w:vAlign w:val="center"/>
          </w:tcPr>
          <w:p w14:paraId="74B14C75">
            <w:pPr>
              <w:pStyle w:val="228"/>
              <w:kinsoku w:val="0"/>
              <w:overflowPunct w:val="0"/>
              <w:rPr>
                <w:szCs w:val="21"/>
              </w:rPr>
            </w:pPr>
          </w:p>
        </w:tc>
        <w:tc>
          <w:tcPr>
            <w:tcW w:w="1131" w:type="dxa"/>
            <w:vMerge w:val="continue"/>
            <w:tcBorders>
              <w:tl2br w:val="nil"/>
              <w:tr2bl w:val="nil"/>
            </w:tcBorders>
            <w:vAlign w:val="center"/>
          </w:tcPr>
          <w:p w14:paraId="50CF0B14">
            <w:pPr>
              <w:pStyle w:val="228"/>
              <w:kinsoku w:val="0"/>
              <w:overflowPunct w:val="0"/>
              <w:rPr>
                <w:szCs w:val="21"/>
              </w:rPr>
            </w:pPr>
          </w:p>
        </w:tc>
        <w:tc>
          <w:tcPr>
            <w:tcW w:w="1845" w:type="dxa"/>
            <w:tcBorders>
              <w:tl2br w:val="nil"/>
              <w:tr2bl w:val="nil"/>
            </w:tcBorders>
            <w:vAlign w:val="center"/>
          </w:tcPr>
          <w:p w14:paraId="31E8F1BB">
            <w:pPr>
              <w:pStyle w:val="228"/>
              <w:kinsoku w:val="0"/>
              <w:overflowPunct w:val="0"/>
              <w:rPr>
                <w:szCs w:val="21"/>
              </w:rPr>
            </w:pPr>
            <w:r>
              <w:rPr>
                <w:szCs w:val="21"/>
              </w:rPr>
              <w:t>1</w:t>
            </w:r>
            <w:r>
              <w:rPr>
                <w:spacing w:val="-1"/>
                <w:szCs w:val="21"/>
              </w:rPr>
              <w:t>小时平均</w:t>
            </w:r>
          </w:p>
        </w:tc>
        <w:tc>
          <w:tcPr>
            <w:tcW w:w="1077" w:type="dxa"/>
            <w:tcBorders>
              <w:tl2br w:val="nil"/>
              <w:tr2bl w:val="nil"/>
            </w:tcBorders>
            <w:vAlign w:val="center"/>
          </w:tcPr>
          <w:p w14:paraId="508E6940">
            <w:pPr>
              <w:pStyle w:val="228"/>
              <w:kinsoku w:val="0"/>
              <w:overflowPunct w:val="0"/>
              <w:rPr>
                <w:szCs w:val="21"/>
              </w:rPr>
            </w:pPr>
            <w:r>
              <w:rPr>
                <w:szCs w:val="21"/>
              </w:rPr>
              <w:t>10</w:t>
            </w:r>
          </w:p>
        </w:tc>
        <w:tc>
          <w:tcPr>
            <w:tcW w:w="922" w:type="dxa"/>
            <w:vMerge w:val="continue"/>
            <w:tcBorders>
              <w:tl2br w:val="nil"/>
              <w:tr2bl w:val="nil"/>
            </w:tcBorders>
            <w:vAlign w:val="center"/>
          </w:tcPr>
          <w:p w14:paraId="02689FAF">
            <w:pPr>
              <w:pStyle w:val="228"/>
              <w:kinsoku w:val="0"/>
              <w:overflowPunct w:val="0"/>
              <w:rPr>
                <w:szCs w:val="21"/>
              </w:rPr>
            </w:pPr>
          </w:p>
        </w:tc>
        <w:tc>
          <w:tcPr>
            <w:tcW w:w="3326" w:type="dxa"/>
            <w:vMerge w:val="continue"/>
            <w:tcBorders>
              <w:tl2br w:val="nil"/>
              <w:tr2bl w:val="nil"/>
            </w:tcBorders>
            <w:vAlign w:val="center"/>
          </w:tcPr>
          <w:p w14:paraId="02C2B17A">
            <w:pPr>
              <w:pStyle w:val="228"/>
              <w:kinsoku w:val="0"/>
              <w:overflowPunct w:val="0"/>
              <w:rPr>
                <w:szCs w:val="21"/>
              </w:rPr>
            </w:pPr>
          </w:p>
        </w:tc>
      </w:tr>
      <w:tr w14:paraId="0A83690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714" w:type="dxa"/>
            <w:vMerge w:val="restart"/>
            <w:tcBorders>
              <w:tl2br w:val="nil"/>
              <w:tr2bl w:val="nil"/>
            </w:tcBorders>
            <w:vAlign w:val="center"/>
          </w:tcPr>
          <w:p w14:paraId="06975301">
            <w:pPr>
              <w:pStyle w:val="228"/>
              <w:kinsoku w:val="0"/>
              <w:overflowPunct w:val="0"/>
              <w:rPr>
                <w:szCs w:val="21"/>
              </w:rPr>
            </w:pPr>
            <w:r>
              <w:rPr>
                <w:szCs w:val="21"/>
              </w:rPr>
              <w:t>4</w:t>
            </w:r>
          </w:p>
        </w:tc>
        <w:tc>
          <w:tcPr>
            <w:tcW w:w="1131" w:type="dxa"/>
            <w:vMerge w:val="restart"/>
            <w:tcBorders>
              <w:tl2br w:val="nil"/>
              <w:tr2bl w:val="nil"/>
            </w:tcBorders>
            <w:vAlign w:val="center"/>
          </w:tcPr>
          <w:p w14:paraId="76581203">
            <w:pPr>
              <w:pStyle w:val="228"/>
              <w:kinsoku w:val="0"/>
              <w:overflowPunct w:val="0"/>
              <w:rPr>
                <w:szCs w:val="21"/>
              </w:rPr>
            </w:pPr>
            <w:r>
              <w:rPr>
                <w:szCs w:val="21"/>
              </w:rPr>
              <w:t>O</w:t>
            </w:r>
            <w:r>
              <w:rPr>
                <w:szCs w:val="21"/>
                <w:vertAlign w:val="subscript"/>
              </w:rPr>
              <w:t>3</w:t>
            </w:r>
          </w:p>
        </w:tc>
        <w:tc>
          <w:tcPr>
            <w:tcW w:w="1845" w:type="dxa"/>
            <w:tcBorders>
              <w:tl2br w:val="nil"/>
              <w:tr2bl w:val="nil"/>
            </w:tcBorders>
            <w:vAlign w:val="center"/>
          </w:tcPr>
          <w:p w14:paraId="2BB7ED23">
            <w:pPr>
              <w:pStyle w:val="228"/>
              <w:kinsoku w:val="0"/>
              <w:overflowPunct w:val="0"/>
              <w:rPr>
                <w:szCs w:val="21"/>
              </w:rPr>
            </w:pPr>
            <w:r>
              <w:rPr>
                <w:spacing w:val="-1"/>
                <w:szCs w:val="21"/>
              </w:rPr>
              <w:t>日最大</w:t>
            </w:r>
            <w:r>
              <w:rPr>
                <w:szCs w:val="21"/>
              </w:rPr>
              <w:t>8</w:t>
            </w:r>
            <w:r>
              <w:rPr>
                <w:spacing w:val="-2"/>
                <w:szCs w:val="21"/>
              </w:rPr>
              <w:t>小时平均</w:t>
            </w:r>
          </w:p>
        </w:tc>
        <w:tc>
          <w:tcPr>
            <w:tcW w:w="1077" w:type="dxa"/>
            <w:tcBorders>
              <w:tl2br w:val="nil"/>
              <w:tr2bl w:val="nil"/>
            </w:tcBorders>
            <w:vAlign w:val="center"/>
          </w:tcPr>
          <w:p w14:paraId="4A1127D0">
            <w:pPr>
              <w:pStyle w:val="228"/>
              <w:kinsoku w:val="0"/>
              <w:overflowPunct w:val="0"/>
              <w:rPr>
                <w:szCs w:val="21"/>
              </w:rPr>
            </w:pPr>
            <w:r>
              <w:rPr>
                <w:szCs w:val="21"/>
              </w:rPr>
              <w:t>160</w:t>
            </w:r>
          </w:p>
        </w:tc>
        <w:tc>
          <w:tcPr>
            <w:tcW w:w="922" w:type="dxa"/>
            <w:vMerge w:val="restart"/>
            <w:tcBorders>
              <w:tl2br w:val="nil"/>
              <w:tr2bl w:val="nil"/>
            </w:tcBorders>
            <w:vAlign w:val="center"/>
          </w:tcPr>
          <w:p w14:paraId="0F313713">
            <w:pPr>
              <w:pStyle w:val="228"/>
              <w:kinsoku w:val="0"/>
              <w:overflowPunct w:val="0"/>
              <w:rPr>
                <w:szCs w:val="21"/>
              </w:rPr>
            </w:pPr>
            <w:r>
              <w:rPr>
                <w:spacing w:val="-2"/>
                <w:szCs w:val="21"/>
              </w:rPr>
              <w:t>μg/m</w:t>
            </w:r>
            <w:r>
              <w:rPr>
                <w:spacing w:val="-2"/>
                <w:szCs w:val="21"/>
                <w:vertAlign w:val="superscript"/>
              </w:rPr>
              <w:t>3</w:t>
            </w:r>
          </w:p>
        </w:tc>
        <w:tc>
          <w:tcPr>
            <w:tcW w:w="3326" w:type="dxa"/>
            <w:vMerge w:val="continue"/>
            <w:tcBorders>
              <w:tl2br w:val="nil"/>
              <w:tr2bl w:val="nil"/>
            </w:tcBorders>
            <w:vAlign w:val="center"/>
          </w:tcPr>
          <w:p w14:paraId="6E1A8594">
            <w:pPr>
              <w:pStyle w:val="228"/>
              <w:kinsoku w:val="0"/>
              <w:overflowPunct w:val="0"/>
              <w:rPr>
                <w:szCs w:val="21"/>
              </w:rPr>
            </w:pPr>
          </w:p>
        </w:tc>
      </w:tr>
      <w:tr w14:paraId="1962645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714" w:type="dxa"/>
            <w:vMerge w:val="continue"/>
            <w:tcBorders>
              <w:tl2br w:val="nil"/>
              <w:tr2bl w:val="nil"/>
            </w:tcBorders>
            <w:vAlign w:val="center"/>
          </w:tcPr>
          <w:p w14:paraId="6E6087CE">
            <w:pPr>
              <w:pStyle w:val="228"/>
              <w:kinsoku w:val="0"/>
              <w:overflowPunct w:val="0"/>
              <w:rPr>
                <w:szCs w:val="21"/>
              </w:rPr>
            </w:pPr>
          </w:p>
        </w:tc>
        <w:tc>
          <w:tcPr>
            <w:tcW w:w="1131" w:type="dxa"/>
            <w:vMerge w:val="continue"/>
            <w:tcBorders>
              <w:tl2br w:val="nil"/>
              <w:tr2bl w:val="nil"/>
            </w:tcBorders>
            <w:vAlign w:val="center"/>
          </w:tcPr>
          <w:p w14:paraId="0846E360">
            <w:pPr>
              <w:pStyle w:val="228"/>
              <w:kinsoku w:val="0"/>
              <w:overflowPunct w:val="0"/>
              <w:rPr>
                <w:szCs w:val="21"/>
              </w:rPr>
            </w:pPr>
          </w:p>
        </w:tc>
        <w:tc>
          <w:tcPr>
            <w:tcW w:w="1845" w:type="dxa"/>
            <w:tcBorders>
              <w:tl2br w:val="nil"/>
              <w:tr2bl w:val="nil"/>
            </w:tcBorders>
            <w:vAlign w:val="center"/>
          </w:tcPr>
          <w:p w14:paraId="228D7EF7">
            <w:pPr>
              <w:pStyle w:val="228"/>
              <w:kinsoku w:val="0"/>
              <w:overflowPunct w:val="0"/>
              <w:rPr>
                <w:szCs w:val="21"/>
              </w:rPr>
            </w:pPr>
            <w:r>
              <w:rPr>
                <w:szCs w:val="21"/>
              </w:rPr>
              <w:t>1</w:t>
            </w:r>
            <w:r>
              <w:rPr>
                <w:spacing w:val="-1"/>
                <w:szCs w:val="21"/>
              </w:rPr>
              <w:t>小时平均</w:t>
            </w:r>
          </w:p>
        </w:tc>
        <w:tc>
          <w:tcPr>
            <w:tcW w:w="1077" w:type="dxa"/>
            <w:tcBorders>
              <w:tl2br w:val="nil"/>
              <w:tr2bl w:val="nil"/>
            </w:tcBorders>
            <w:vAlign w:val="center"/>
          </w:tcPr>
          <w:p w14:paraId="294CA033">
            <w:pPr>
              <w:pStyle w:val="228"/>
              <w:kinsoku w:val="0"/>
              <w:overflowPunct w:val="0"/>
              <w:rPr>
                <w:szCs w:val="21"/>
              </w:rPr>
            </w:pPr>
            <w:r>
              <w:rPr>
                <w:szCs w:val="21"/>
              </w:rPr>
              <w:t>200</w:t>
            </w:r>
          </w:p>
        </w:tc>
        <w:tc>
          <w:tcPr>
            <w:tcW w:w="922" w:type="dxa"/>
            <w:vMerge w:val="continue"/>
            <w:tcBorders>
              <w:tl2br w:val="nil"/>
              <w:tr2bl w:val="nil"/>
            </w:tcBorders>
            <w:vAlign w:val="center"/>
          </w:tcPr>
          <w:p w14:paraId="7BAA8F87">
            <w:pPr>
              <w:pStyle w:val="228"/>
              <w:kinsoku w:val="0"/>
              <w:overflowPunct w:val="0"/>
              <w:rPr>
                <w:szCs w:val="21"/>
              </w:rPr>
            </w:pPr>
          </w:p>
        </w:tc>
        <w:tc>
          <w:tcPr>
            <w:tcW w:w="3326" w:type="dxa"/>
            <w:vMerge w:val="continue"/>
            <w:tcBorders>
              <w:tl2br w:val="nil"/>
              <w:tr2bl w:val="nil"/>
            </w:tcBorders>
            <w:vAlign w:val="center"/>
          </w:tcPr>
          <w:p w14:paraId="5951276D">
            <w:pPr>
              <w:pStyle w:val="228"/>
              <w:kinsoku w:val="0"/>
              <w:overflowPunct w:val="0"/>
              <w:rPr>
                <w:szCs w:val="21"/>
              </w:rPr>
            </w:pPr>
          </w:p>
        </w:tc>
      </w:tr>
      <w:tr w14:paraId="2BA029D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714" w:type="dxa"/>
            <w:vMerge w:val="restart"/>
            <w:tcBorders>
              <w:tl2br w:val="nil"/>
              <w:tr2bl w:val="nil"/>
            </w:tcBorders>
            <w:vAlign w:val="center"/>
          </w:tcPr>
          <w:p w14:paraId="6EAFBB49">
            <w:pPr>
              <w:pStyle w:val="228"/>
              <w:kinsoku w:val="0"/>
              <w:overflowPunct w:val="0"/>
              <w:rPr>
                <w:szCs w:val="21"/>
              </w:rPr>
            </w:pPr>
            <w:r>
              <w:rPr>
                <w:szCs w:val="21"/>
              </w:rPr>
              <w:t>5</w:t>
            </w:r>
          </w:p>
        </w:tc>
        <w:tc>
          <w:tcPr>
            <w:tcW w:w="1131" w:type="dxa"/>
            <w:vMerge w:val="restart"/>
            <w:tcBorders>
              <w:tl2br w:val="nil"/>
              <w:tr2bl w:val="nil"/>
            </w:tcBorders>
            <w:vAlign w:val="center"/>
          </w:tcPr>
          <w:p w14:paraId="66B0D860">
            <w:pPr>
              <w:pStyle w:val="228"/>
              <w:kinsoku w:val="0"/>
              <w:overflowPunct w:val="0"/>
              <w:rPr>
                <w:szCs w:val="21"/>
              </w:rPr>
            </w:pPr>
            <w:r>
              <w:rPr>
                <w:spacing w:val="-1"/>
                <w:szCs w:val="21"/>
              </w:rPr>
              <w:t>PM</w:t>
            </w:r>
            <w:r>
              <w:rPr>
                <w:spacing w:val="-1"/>
                <w:szCs w:val="21"/>
                <w:vertAlign w:val="subscript"/>
              </w:rPr>
              <w:t>10</w:t>
            </w:r>
          </w:p>
        </w:tc>
        <w:tc>
          <w:tcPr>
            <w:tcW w:w="1845" w:type="dxa"/>
            <w:tcBorders>
              <w:tl2br w:val="nil"/>
              <w:tr2bl w:val="nil"/>
            </w:tcBorders>
            <w:vAlign w:val="center"/>
          </w:tcPr>
          <w:p w14:paraId="2969DAA1">
            <w:pPr>
              <w:pStyle w:val="228"/>
              <w:kinsoku w:val="0"/>
              <w:overflowPunct w:val="0"/>
              <w:rPr>
                <w:szCs w:val="21"/>
              </w:rPr>
            </w:pPr>
            <w:r>
              <w:rPr>
                <w:szCs w:val="21"/>
              </w:rPr>
              <w:t>年平均</w:t>
            </w:r>
          </w:p>
        </w:tc>
        <w:tc>
          <w:tcPr>
            <w:tcW w:w="1077" w:type="dxa"/>
            <w:tcBorders>
              <w:tl2br w:val="nil"/>
              <w:tr2bl w:val="nil"/>
            </w:tcBorders>
            <w:vAlign w:val="center"/>
          </w:tcPr>
          <w:p w14:paraId="5CF520B6">
            <w:pPr>
              <w:pStyle w:val="228"/>
              <w:kinsoku w:val="0"/>
              <w:overflowPunct w:val="0"/>
              <w:rPr>
                <w:szCs w:val="21"/>
              </w:rPr>
            </w:pPr>
            <w:r>
              <w:rPr>
                <w:szCs w:val="21"/>
              </w:rPr>
              <w:t>70</w:t>
            </w:r>
          </w:p>
        </w:tc>
        <w:tc>
          <w:tcPr>
            <w:tcW w:w="922" w:type="dxa"/>
            <w:vMerge w:val="continue"/>
            <w:tcBorders>
              <w:tl2br w:val="nil"/>
              <w:tr2bl w:val="nil"/>
            </w:tcBorders>
            <w:vAlign w:val="center"/>
          </w:tcPr>
          <w:p w14:paraId="42F4D83C">
            <w:pPr>
              <w:pStyle w:val="228"/>
              <w:kinsoku w:val="0"/>
              <w:overflowPunct w:val="0"/>
              <w:rPr>
                <w:szCs w:val="21"/>
              </w:rPr>
            </w:pPr>
          </w:p>
        </w:tc>
        <w:tc>
          <w:tcPr>
            <w:tcW w:w="3326" w:type="dxa"/>
            <w:vMerge w:val="continue"/>
            <w:tcBorders>
              <w:tl2br w:val="nil"/>
              <w:tr2bl w:val="nil"/>
            </w:tcBorders>
            <w:vAlign w:val="center"/>
          </w:tcPr>
          <w:p w14:paraId="461841C6">
            <w:pPr>
              <w:pStyle w:val="228"/>
              <w:kinsoku w:val="0"/>
              <w:overflowPunct w:val="0"/>
              <w:rPr>
                <w:szCs w:val="21"/>
              </w:rPr>
            </w:pPr>
          </w:p>
        </w:tc>
      </w:tr>
      <w:tr w14:paraId="580F515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714" w:type="dxa"/>
            <w:vMerge w:val="continue"/>
            <w:tcBorders>
              <w:tl2br w:val="nil"/>
              <w:tr2bl w:val="nil"/>
            </w:tcBorders>
            <w:vAlign w:val="center"/>
          </w:tcPr>
          <w:p w14:paraId="3A70E515">
            <w:pPr>
              <w:pStyle w:val="228"/>
              <w:kinsoku w:val="0"/>
              <w:overflowPunct w:val="0"/>
              <w:rPr>
                <w:szCs w:val="21"/>
              </w:rPr>
            </w:pPr>
          </w:p>
        </w:tc>
        <w:tc>
          <w:tcPr>
            <w:tcW w:w="1131" w:type="dxa"/>
            <w:vMerge w:val="continue"/>
            <w:tcBorders>
              <w:tl2br w:val="nil"/>
              <w:tr2bl w:val="nil"/>
            </w:tcBorders>
            <w:vAlign w:val="center"/>
          </w:tcPr>
          <w:p w14:paraId="18112C46">
            <w:pPr>
              <w:pStyle w:val="228"/>
              <w:kinsoku w:val="0"/>
              <w:overflowPunct w:val="0"/>
              <w:rPr>
                <w:szCs w:val="21"/>
              </w:rPr>
            </w:pPr>
          </w:p>
        </w:tc>
        <w:tc>
          <w:tcPr>
            <w:tcW w:w="1845" w:type="dxa"/>
            <w:tcBorders>
              <w:tl2br w:val="nil"/>
              <w:tr2bl w:val="nil"/>
            </w:tcBorders>
            <w:vAlign w:val="center"/>
          </w:tcPr>
          <w:p w14:paraId="65DC4481">
            <w:pPr>
              <w:pStyle w:val="228"/>
              <w:kinsoku w:val="0"/>
              <w:overflowPunct w:val="0"/>
              <w:rPr>
                <w:szCs w:val="21"/>
              </w:rPr>
            </w:pPr>
            <w:r>
              <w:rPr>
                <w:szCs w:val="21"/>
              </w:rPr>
              <w:t>24</w:t>
            </w:r>
            <w:r>
              <w:rPr>
                <w:spacing w:val="-2"/>
                <w:szCs w:val="21"/>
              </w:rPr>
              <w:t>小时平均</w:t>
            </w:r>
          </w:p>
        </w:tc>
        <w:tc>
          <w:tcPr>
            <w:tcW w:w="1077" w:type="dxa"/>
            <w:tcBorders>
              <w:tl2br w:val="nil"/>
              <w:tr2bl w:val="nil"/>
            </w:tcBorders>
            <w:vAlign w:val="center"/>
          </w:tcPr>
          <w:p w14:paraId="4E3D0937">
            <w:pPr>
              <w:pStyle w:val="228"/>
              <w:kinsoku w:val="0"/>
              <w:overflowPunct w:val="0"/>
              <w:rPr>
                <w:szCs w:val="21"/>
              </w:rPr>
            </w:pPr>
            <w:r>
              <w:rPr>
                <w:szCs w:val="21"/>
              </w:rPr>
              <w:t>150</w:t>
            </w:r>
          </w:p>
        </w:tc>
        <w:tc>
          <w:tcPr>
            <w:tcW w:w="922" w:type="dxa"/>
            <w:vMerge w:val="continue"/>
            <w:tcBorders>
              <w:tl2br w:val="nil"/>
              <w:tr2bl w:val="nil"/>
            </w:tcBorders>
            <w:vAlign w:val="center"/>
          </w:tcPr>
          <w:p w14:paraId="16976298">
            <w:pPr>
              <w:pStyle w:val="228"/>
              <w:kinsoku w:val="0"/>
              <w:overflowPunct w:val="0"/>
              <w:rPr>
                <w:szCs w:val="21"/>
              </w:rPr>
            </w:pPr>
          </w:p>
        </w:tc>
        <w:tc>
          <w:tcPr>
            <w:tcW w:w="3326" w:type="dxa"/>
            <w:vMerge w:val="continue"/>
            <w:tcBorders>
              <w:tl2br w:val="nil"/>
              <w:tr2bl w:val="nil"/>
            </w:tcBorders>
            <w:vAlign w:val="center"/>
          </w:tcPr>
          <w:p w14:paraId="48AE0C01">
            <w:pPr>
              <w:pStyle w:val="228"/>
              <w:kinsoku w:val="0"/>
              <w:overflowPunct w:val="0"/>
              <w:rPr>
                <w:szCs w:val="21"/>
              </w:rPr>
            </w:pPr>
          </w:p>
        </w:tc>
      </w:tr>
      <w:tr w14:paraId="3AC8B7B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714" w:type="dxa"/>
            <w:vMerge w:val="restart"/>
            <w:tcBorders>
              <w:tl2br w:val="nil"/>
              <w:tr2bl w:val="nil"/>
            </w:tcBorders>
            <w:vAlign w:val="center"/>
          </w:tcPr>
          <w:p w14:paraId="5EB03B50">
            <w:pPr>
              <w:pStyle w:val="228"/>
              <w:kinsoku w:val="0"/>
              <w:overflowPunct w:val="0"/>
              <w:rPr>
                <w:szCs w:val="21"/>
              </w:rPr>
            </w:pPr>
            <w:r>
              <w:rPr>
                <w:szCs w:val="21"/>
              </w:rPr>
              <w:t>6</w:t>
            </w:r>
          </w:p>
        </w:tc>
        <w:tc>
          <w:tcPr>
            <w:tcW w:w="1131" w:type="dxa"/>
            <w:vMerge w:val="restart"/>
            <w:tcBorders>
              <w:tl2br w:val="nil"/>
              <w:tr2bl w:val="nil"/>
            </w:tcBorders>
            <w:vAlign w:val="center"/>
          </w:tcPr>
          <w:p w14:paraId="29E05B8F">
            <w:pPr>
              <w:pStyle w:val="228"/>
              <w:kinsoku w:val="0"/>
              <w:overflowPunct w:val="0"/>
              <w:rPr>
                <w:szCs w:val="21"/>
              </w:rPr>
            </w:pPr>
            <w:r>
              <w:rPr>
                <w:position w:val="3"/>
                <w:szCs w:val="21"/>
              </w:rPr>
              <w:t>PM</w:t>
            </w:r>
            <w:r>
              <w:rPr>
                <w:position w:val="3"/>
                <w:szCs w:val="21"/>
                <w:vertAlign w:val="subscript"/>
              </w:rPr>
              <w:t>2.5</w:t>
            </w:r>
          </w:p>
        </w:tc>
        <w:tc>
          <w:tcPr>
            <w:tcW w:w="1845" w:type="dxa"/>
            <w:tcBorders>
              <w:tl2br w:val="nil"/>
              <w:tr2bl w:val="nil"/>
            </w:tcBorders>
            <w:vAlign w:val="center"/>
          </w:tcPr>
          <w:p w14:paraId="1F253B38">
            <w:pPr>
              <w:pStyle w:val="228"/>
              <w:kinsoku w:val="0"/>
              <w:overflowPunct w:val="0"/>
              <w:rPr>
                <w:szCs w:val="21"/>
              </w:rPr>
            </w:pPr>
            <w:r>
              <w:rPr>
                <w:szCs w:val="21"/>
              </w:rPr>
              <w:t>年平均</w:t>
            </w:r>
          </w:p>
        </w:tc>
        <w:tc>
          <w:tcPr>
            <w:tcW w:w="1077" w:type="dxa"/>
            <w:tcBorders>
              <w:tl2br w:val="nil"/>
              <w:tr2bl w:val="nil"/>
            </w:tcBorders>
            <w:vAlign w:val="center"/>
          </w:tcPr>
          <w:p w14:paraId="725D84A5">
            <w:pPr>
              <w:pStyle w:val="228"/>
              <w:kinsoku w:val="0"/>
              <w:overflowPunct w:val="0"/>
              <w:rPr>
                <w:szCs w:val="21"/>
              </w:rPr>
            </w:pPr>
            <w:r>
              <w:rPr>
                <w:szCs w:val="21"/>
              </w:rPr>
              <w:t>35</w:t>
            </w:r>
          </w:p>
        </w:tc>
        <w:tc>
          <w:tcPr>
            <w:tcW w:w="922" w:type="dxa"/>
            <w:vMerge w:val="continue"/>
            <w:tcBorders>
              <w:tl2br w:val="nil"/>
              <w:tr2bl w:val="nil"/>
            </w:tcBorders>
            <w:vAlign w:val="center"/>
          </w:tcPr>
          <w:p w14:paraId="08B69BB7">
            <w:pPr>
              <w:pStyle w:val="228"/>
              <w:kinsoku w:val="0"/>
              <w:overflowPunct w:val="0"/>
              <w:rPr>
                <w:szCs w:val="21"/>
              </w:rPr>
            </w:pPr>
          </w:p>
        </w:tc>
        <w:tc>
          <w:tcPr>
            <w:tcW w:w="3326" w:type="dxa"/>
            <w:vMerge w:val="continue"/>
            <w:tcBorders>
              <w:tl2br w:val="nil"/>
              <w:tr2bl w:val="nil"/>
            </w:tcBorders>
            <w:vAlign w:val="center"/>
          </w:tcPr>
          <w:p w14:paraId="60807300">
            <w:pPr>
              <w:pStyle w:val="228"/>
              <w:kinsoku w:val="0"/>
              <w:overflowPunct w:val="0"/>
              <w:rPr>
                <w:szCs w:val="21"/>
              </w:rPr>
            </w:pPr>
          </w:p>
        </w:tc>
      </w:tr>
      <w:tr w14:paraId="5E379D7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714" w:type="dxa"/>
            <w:vMerge w:val="continue"/>
            <w:tcBorders>
              <w:tl2br w:val="nil"/>
              <w:tr2bl w:val="nil"/>
            </w:tcBorders>
            <w:vAlign w:val="center"/>
          </w:tcPr>
          <w:p w14:paraId="413BE255">
            <w:pPr>
              <w:pStyle w:val="228"/>
              <w:kinsoku w:val="0"/>
              <w:overflowPunct w:val="0"/>
              <w:rPr>
                <w:szCs w:val="21"/>
              </w:rPr>
            </w:pPr>
          </w:p>
        </w:tc>
        <w:tc>
          <w:tcPr>
            <w:tcW w:w="1131" w:type="dxa"/>
            <w:vMerge w:val="continue"/>
            <w:tcBorders>
              <w:tl2br w:val="nil"/>
              <w:tr2bl w:val="nil"/>
            </w:tcBorders>
            <w:vAlign w:val="center"/>
          </w:tcPr>
          <w:p w14:paraId="3166B956">
            <w:pPr>
              <w:pStyle w:val="228"/>
              <w:kinsoku w:val="0"/>
              <w:overflowPunct w:val="0"/>
              <w:rPr>
                <w:szCs w:val="21"/>
              </w:rPr>
            </w:pPr>
          </w:p>
        </w:tc>
        <w:tc>
          <w:tcPr>
            <w:tcW w:w="1845" w:type="dxa"/>
            <w:tcBorders>
              <w:tl2br w:val="nil"/>
              <w:tr2bl w:val="nil"/>
            </w:tcBorders>
            <w:vAlign w:val="center"/>
          </w:tcPr>
          <w:p w14:paraId="4CE0E5A5">
            <w:pPr>
              <w:pStyle w:val="228"/>
              <w:kinsoku w:val="0"/>
              <w:overflowPunct w:val="0"/>
              <w:rPr>
                <w:szCs w:val="21"/>
              </w:rPr>
            </w:pPr>
            <w:r>
              <w:rPr>
                <w:szCs w:val="21"/>
              </w:rPr>
              <w:t>24</w:t>
            </w:r>
            <w:r>
              <w:rPr>
                <w:spacing w:val="-2"/>
                <w:szCs w:val="21"/>
              </w:rPr>
              <w:t>小时平均</w:t>
            </w:r>
          </w:p>
        </w:tc>
        <w:tc>
          <w:tcPr>
            <w:tcW w:w="1077" w:type="dxa"/>
            <w:tcBorders>
              <w:tl2br w:val="nil"/>
              <w:tr2bl w:val="nil"/>
            </w:tcBorders>
            <w:vAlign w:val="center"/>
          </w:tcPr>
          <w:p w14:paraId="6AD6B6C4">
            <w:pPr>
              <w:pStyle w:val="228"/>
              <w:kinsoku w:val="0"/>
              <w:overflowPunct w:val="0"/>
              <w:rPr>
                <w:szCs w:val="21"/>
              </w:rPr>
            </w:pPr>
            <w:r>
              <w:rPr>
                <w:szCs w:val="21"/>
              </w:rPr>
              <w:t>75</w:t>
            </w:r>
          </w:p>
        </w:tc>
        <w:tc>
          <w:tcPr>
            <w:tcW w:w="922" w:type="dxa"/>
            <w:vMerge w:val="continue"/>
            <w:tcBorders>
              <w:tl2br w:val="nil"/>
              <w:tr2bl w:val="nil"/>
            </w:tcBorders>
            <w:vAlign w:val="center"/>
          </w:tcPr>
          <w:p w14:paraId="4A2E7683">
            <w:pPr>
              <w:pStyle w:val="228"/>
              <w:kinsoku w:val="0"/>
              <w:overflowPunct w:val="0"/>
              <w:rPr>
                <w:szCs w:val="21"/>
              </w:rPr>
            </w:pPr>
          </w:p>
        </w:tc>
        <w:tc>
          <w:tcPr>
            <w:tcW w:w="3326" w:type="dxa"/>
            <w:vMerge w:val="continue"/>
            <w:tcBorders>
              <w:tl2br w:val="nil"/>
              <w:tr2bl w:val="nil"/>
            </w:tcBorders>
            <w:vAlign w:val="center"/>
          </w:tcPr>
          <w:p w14:paraId="73855C6C">
            <w:pPr>
              <w:pStyle w:val="228"/>
              <w:kinsoku w:val="0"/>
              <w:overflowPunct w:val="0"/>
              <w:rPr>
                <w:szCs w:val="21"/>
              </w:rPr>
            </w:pPr>
          </w:p>
        </w:tc>
      </w:tr>
      <w:tr w14:paraId="46483AD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714" w:type="dxa"/>
            <w:tcBorders>
              <w:tl2br w:val="nil"/>
              <w:tr2bl w:val="nil"/>
            </w:tcBorders>
            <w:vAlign w:val="center"/>
          </w:tcPr>
          <w:p w14:paraId="16A08605">
            <w:pPr>
              <w:pStyle w:val="228"/>
              <w:kinsoku w:val="0"/>
              <w:overflowPunct w:val="0"/>
              <w:rPr>
                <w:szCs w:val="21"/>
              </w:rPr>
            </w:pPr>
            <w:r>
              <w:rPr>
                <w:rFonts w:hint="eastAsia"/>
                <w:szCs w:val="21"/>
              </w:rPr>
              <w:t>7</w:t>
            </w:r>
          </w:p>
        </w:tc>
        <w:tc>
          <w:tcPr>
            <w:tcW w:w="1131" w:type="dxa"/>
            <w:tcBorders>
              <w:tl2br w:val="nil"/>
              <w:tr2bl w:val="nil"/>
            </w:tcBorders>
            <w:vAlign w:val="center"/>
          </w:tcPr>
          <w:p w14:paraId="2742329A">
            <w:pPr>
              <w:pStyle w:val="228"/>
              <w:kinsoku w:val="0"/>
              <w:overflowPunct w:val="0"/>
              <w:rPr>
                <w:spacing w:val="-1"/>
                <w:szCs w:val="21"/>
              </w:rPr>
            </w:pPr>
            <w:r>
              <w:rPr>
                <w:rFonts w:hint="eastAsia"/>
                <w:spacing w:val="-1"/>
                <w:szCs w:val="21"/>
              </w:rPr>
              <w:t>TSP</w:t>
            </w:r>
          </w:p>
        </w:tc>
        <w:tc>
          <w:tcPr>
            <w:tcW w:w="1845" w:type="dxa"/>
            <w:tcBorders>
              <w:tl2br w:val="nil"/>
              <w:tr2bl w:val="nil"/>
            </w:tcBorders>
            <w:vAlign w:val="center"/>
          </w:tcPr>
          <w:p w14:paraId="319C0E0B">
            <w:pPr>
              <w:pStyle w:val="228"/>
              <w:kinsoku w:val="0"/>
              <w:overflowPunct w:val="0"/>
              <w:rPr>
                <w:szCs w:val="21"/>
              </w:rPr>
            </w:pPr>
            <w:r>
              <w:rPr>
                <w:szCs w:val="21"/>
              </w:rPr>
              <w:t>1</w:t>
            </w:r>
            <w:r>
              <w:rPr>
                <w:spacing w:val="-1"/>
                <w:szCs w:val="21"/>
              </w:rPr>
              <w:t>小时平均</w:t>
            </w:r>
          </w:p>
        </w:tc>
        <w:tc>
          <w:tcPr>
            <w:tcW w:w="1077" w:type="dxa"/>
            <w:tcBorders>
              <w:tl2br w:val="nil"/>
              <w:tr2bl w:val="nil"/>
            </w:tcBorders>
            <w:vAlign w:val="center"/>
          </w:tcPr>
          <w:p w14:paraId="4AD39C81">
            <w:pPr>
              <w:pStyle w:val="228"/>
              <w:kinsoku w:val="0"/>
              <w:overflowPunct w:val="0"/>
              <w:rPr>
                <w:szCs w:val="21"/>
              </w:rPr>
            </w:pPr>
            <w:r>
              <w:rPr>
                <w:rFonts w:hint="eastAsia"/>
                <w:szCs w:val="21"/>
              </w:rPr>
              <w:t>900</w:t>
            </w:r>
          </w:p>
        </w:tc>
        <w:tc>
          <w:tcPr>
            <w:tcW w:w="922" w:type="dxa"/>
            <w:tcBorders>
              <w:tl2br w:val="nil"/>
              <w:tr2bl w:val="nil"/>
            </w:tcBorders>
            <w:vAlign w:val="center"/>
          </w:tcPr>
          <w:p w14:paraId="3327D8E8">
            <w:pPr>
              <w:pStyle w:val="228"/>
              <w:kinsoku w:val="0"/>
              <w:overflowPunct w:val="0"/>
              <w:rPr>
                <w:spacing w:val="-2"/>
                <w:szCs w:val="21"/>
              </w:rPr>
            </w:pPr>
            <w:r>
              <w:rPr>
                <w:spacing w:val="-2"/>
                <w:szCs w:val="21"/>
              </w:rPr>
              <w:t>μg/m</w:t>
            </w:r>
            <w:r>
              <w:rPr>
                <w:spacing w:val="-2"/>
                <w:szCs w:val="21"/>
                <w:vertAlign w:val="superscript"/>
              </w:rPr>
              <w:t>3</w:t>
            </w:r>
          </w:p>
        </w:tc>
        <w:tc>
          <w:tcPr>
            <w:tcW w:w="3326" w:type="dxa"/>
            <w:vMerge w:val="continue"/>
            <w:tcBorders>
              <w:tl2br w:val="nil"/>
              <w:tr2bl w:val="nil"/>
            </w:tcBorders>
            <w:vAlign w:val="center"/>
          </w:tcPr>
          <w:p w14:paraId="1AB9002B">
            <w:pPr>
              <w:pStyle w:val="228"/>
              <w:kinsoku w:val="0"/>
              <w:overflowPunct w:val="0"/>
              <w:rPr>
                <w:spacing w:val="-2"/>
                <w:szCs w:val="21"/>
              </w:rPr>
            </w:pPr>
          </w:p>
        </w:tc>
      </w:tr>
      <w:tr w14:paraId="768FD33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03" w:hRule="atLeast"/>
          <w:jc w:val="center"/>
        </w:trPr>
        <w:tc>
          <w:tcPr>
            <w:tcW w:w="714" w:type="dxa"/>
            <w:tcBorders>
              <w:tl2br w:val="nil"/>
              <w:tr2bl w:val="nil"/>
            </w:tcBorders>
            <w:vAlign w:val="center"/>
          </w:tcPr>
          <w:p w14:paraId="5C059C3F">
            <w:pPr>
              <w:pStyle w:val="228"/>
              <w:kinsoku w:val="0"/>
              <w:overflowPunct w:val="0"/>
              <w:rPr>
                <w:szCs w:val="21"/>
              </w:rPr>
            </w:pPr>
            <w:r>
              <w:rPr>
                <w:rFonts w:hint="eastAsia"/>
                <w:szCs w:val="21"/>
              </w:rPr>
              <w:t>8</w:t>
            </w:r>
          </w:p>
        </w:tc>
        <w:tc>
          <w:tcPr>
            <w:tcW w:w="1131" w:type="dxa"/>
            <w:tcBorders>
              <w:tl2br w:val="nil"/>
              <w:tr2bl w:val="nil"/>
            </w:tcBorders>
            <w:vAlign w:val="center"/>
          </w:tcPr>
          <w:p w14:paraId="5E4816CB">
            <w:pPr>
              <w:pStyle w:val="228"/>
              <w:kinsoku w:val="0"/>
              <w:overflowPunct w:val="0"/>
              <w:rPr>
                <w:szCs w:val="21"/>
              </w:rPr>
            </w:pPr>
            <w:r>
              <w:rPr>
                <w:rFonts w:hint="eastAsia"/>
                <w:spacing w:val="-1"/>
                <w:szCs w:val="21"/>
              </w:rPr>
              <w:t>非甲烷总烃</w:t>
            </w:r>
          </w:p>
        </w:tc>
        <w:tc>
          <w:tcPr>
            <w:tcW w:w="1845" w:type="dxa"/>
            <w:tcBorders>
              <w:tl2br w:val="nil"/>
              <w:tr2bl w:val="nil"/>
            </w:tcBorders>
            <w:vAlign w:val="center"/>
          </w:tcPr>
          <w:p w14:paraId="0E9F57E5">
            <w:pPr>
              <w:pStyle w:val="228"/>
              <w:kinsoku w:val="0"/>
              <w:overflowPunct w:val="0"/>
              <w:rPr>
                <w:szCs w:val="21"/>
              </w:rPr>
            </w:pPr>
            <w:r>
              <w:rPr>
                <w:szCs w:val="21"/>
              </w:rPr>
              <w:t>1</w:t>
            </w:r>
            <w:r>
              <w:rPr>
                <w:spacing w:val="-1"/>
                <w:szCs w:val="21"/>
              </w:rPr>
              <w:t>小时平均</w:t>
            </w:r>
          </w:p>
        </w:tc>
        <w:tc>
          <w:tcPr>
            <w:tcW w:w="1077" w:type="dxa"/>
            <w:tcBorders>
              <w:tl2br w:val="nil"/>
              <w:tr2bl w:val="nil"/>
            </w:tcBorders>
            <w:vAlign w:val="center"/>
          </w:tcPr>
          <w:p w14:paraId="11FBA01F">
            <w:pPr>
              <w:pStyle w:val="228"/>
              <w:kinsoku w:val="0"/>
              <w:overflowPunct w:val="0"/>
              <w:rPr>
                <w:szCs w:val="21"/>
              </w:rPr>
            </w:pPr>
            <w:r>
              <w:rPr>
                <w:szCs w:val="21"/>
              </w:rPr>
              <w:t>200</w:t>
            </w:r>
            <w:r>
              <w:rPr>
                <w:rFonts w:hint="eastAsia"/>
                <w:szCs w:val="21"/>
              </w:rPr>
              <w:t>0</w:t>
            </w:r>
          </w:p>
        </w:tc>
        <w:tc>
          <w:tcPr>
            <w:tcW w:w="922" w:type="dxa"/>
            <w:tcBorders>
              <w:tl2br w:val="nil"/>
              <w:tr2bl w:val="nil"/>
            </w:tcBorders>
            <w:vAlign w:val="center"/>
          </w:tcPr>
          <w:p w14:paraId="7D3A7403">
            <w:pPr>
              <w:pStyle w:val="228"/>
              <w:kinsoku w:val="0"/>
              <w:overflowPunct w:val="0"/>
              <w:rPr>
                <w:szCs w:val="21"/>
              </w:rPr>
            </w:pPr>
            <w:r>
              <w:rPr>
                <w:spacing w:val="-2"/>
                <w:szCs w:val="21"/>
              </w:rPr>
              <w:t>μg/m</w:t>
            </w:r>
            <w:r>
              <w:rPr>
                <w:spacing w:val="-2"/>
                <w:szCs w:val="21"/>
                <w:vertAlign w:val="superscript"/>
              </w:rPr>
              <w:t>3</w:t>
            </w:r>
          </w:p>
        </w:tc>
        <w:tc>
          <w:tcPr>
            <w:tcW w:w="3326" w:type="dxa"/>
            <w:tcBorders>
              <w:tl2br w:val="nil"/>
              <w:tr2bl w:val="nil"/>
            </w:tcBorders>
            <w:vAlign w:val="center"/>
          </w:tcPr>
          <w:p w14:paraId="4681A47B">
            <w:pPr>
              <w:pStyle w:val="228"/>
              <w:kinsoku w:val="0"/>
              <w:overflowPunct w:val="0"/>
              <w:rPr>
                <w:szCs w:val="21"/>
              </w:rPr>
            </w:pPr>
            <w:r>
              <w:rPr>
                <w:szCs w:val="21"/>
              </w:rPr>
              <w:t>《大气污染物综合排放标准详解》</w:t>
            </w:r>
          </w:p>
        </w:tc>
      </w:tr>
    </w:tbl>
    <w:p w14:paraId="5E7655CA">
      <w:pPr>
        <w:pStyle w:val="5"/>
        <w:rPr>
          <w:rFonts w:ascii="Times New Roman" w:hAnsi="Times New Roman"/>
          <w:color w:val="000000"/>
          <w:lang w:val="en-US"/>
        </w:rPr>
      </w:pPr>
      <w:r>
        <w:rPr>
          <w:rFonts w:hint="eastAsia" w:ascii="Times New Roman" w:hAnsi="Times New Roman"/>
          <w:color w:val="000000"/>
          <w:lang w:val="en-US"/>
        </w:rPr>
        <w:t>2.6.1.2水环境</w:t>
      </w:r>
    </w:p>
    <w:p w14:paraId="7CC620D0">
      <w:pPr>
        <w:pStyle w:val="16"/>
        <w:overflowPunct w:val="0"/>
        <w:topLinePunct/>
        <w:autoSpaceDE w:val="0"/>
        <w:autoSpaceDN w:val="0"/>
        <w:spacing w:after="0" w:line="360" w:lineRule="auto"/>
        <w:ind w:firstLine="480"/>
        <w:rPr>
          <w:rFonts w:hint="eastAsia" w:ascii="宋体" w:hAnsi="宋体" w:cs="宋体"/>
          <w:sz w:val="24"/>
          <w:szCs w:val="24"/>
        </w:rPr>
      </w:pPr>
      <w:r>
        <w:rPr>
          <w:rFonts w:hint="eastAsia" w:ascii="宋体" w:hAnsi="宋体" w:cs="宋体"/>
          <w:sz w:val="24"/>
          <w:szCs w:val="24"/>
        </w:rPr>
        <w:t>地表水环境：本项目建成投产后，</w:t>
      </w:r>
      <w:r>
        <w:rPr>
          <w:rFonts w:hint="eastAsia" w:ascii="宋体" w:hAnsi="宋体" w:cs="宋体"/>
          <w:sz w:val="24"/>
          <w:szCs w:val="24"/>
          <w:lang w:val="en-US"/>
        </w:rPr>
        <w:t>不产生生产废水</w:t>
      </w:r>
      <w:r>
        <w:rPr>
          <w:rFonts w:hint="eastAsia" w:ascii="宋体" w:hAnsi="宋体" w:cs="宋体"/>
          <w:sz w:val="24"/>
          <w:szCs w:val="24"/>
        </w:rPr>
        <w:t>，</w:t>
      </w:r>
      <w:r>
        <w:rPr>
          <w:rFonts w:hint="eastAsia" w:ascii="宋体" w:hAnsi="宋体" w:cs="宋体"/>
          <w:sz w:val="24"/>
          <w:szCs w:val="24"/>
          <w:lang w:val="en-US" w:eastAsia="zh-CN"/>
        </w:rPr>
        <w:t>员工</w:t>
      </w:r>
      <w:r>
        <w:rPr>
          <w:rFonts w:hint="eastAsia" w:ascii="宋体" w:hAnsi="宋体" w:cs="宋体"/>
          <w:sz w:val="24"/>
          <w:szCs w:val="24"/>
        </w:rPr>
        <w:t>生活污水</w:t>
      </w:r>
      <w:r>
        <w:rPr>
          <w:rFonts w:hint="eastAsia" w:ascii="宋体" w:hAnsi="宋体" w:cs="宋体"/>
          <w:sz w:val="24"/>
          <w:szCs w:val="24"/>
          <w:lang w:eastAsia="zh-CN"/>
        </w:rPr>
        <w:t>依托现有防渗</w:t>
      </w:r>
      <w:r>
        <w:rPr>
          <w:rFonts w:hint="eastAsia" w:ascii="宋体" w:hAnsi="宋体" w:cs="宋体"/>
          <w:sz w:val="24"/>
          <w:szCs w:val="24"/>
          <w:lang w:val="en-US" w:eastAsia="zh-CN"/>
        </w:rPr>
        <w:t>化粪池</w:t>
      </w:r>
      <w:r>
        <w:rPr>
          <w:rFonts w:hint="eastAsia" w:ascii="宋体" w:hAnsi="宋体" w:cs="宋体"/>
          <w:sz w:val="24"/>
          <w:szCs w:val="24"/>
          <w:lang w:eastAsia="zh-CN"/>
        </w:rPr>
        <w:t>，定期</w:t>
      </w:r>
      <w:r>
        <w:rPr>
          <w:rFonts w:hint="eastAsia" w:ascii="宋体" w:hAnsi="宋体" w:cs="宋体"/>
          <w:sz w:val="24"/>
          <w:szCs w:val="24"/>
          <w:lang w:val="en-US" w:eastAsia="zh-CN"/>
        </w:rPr>
        <w:t>由库尔勒龙润水处理有限公司采用罐车</w:t>
      </w:r>
      <w:r>
        <w:rPr>
          <w:rFonts w:hint="eastAsia" w:ascii="宋体" w:hAnsi="宋体" w:cs="宋体"/>
          <w:sz w:val="24"/>
          <w:szCs w:val="24"/>
          <w:lang w:eastAsia="zh-CN"/>
        </w:rPr>
        <w:t>拉运至</w:t>
      </w:r>
      <w:r>
        <w:rPr>
          <w:rFonts w:hint="eastAsia" w:ascii="宋体" w:hAnsi="宋体" w:cs="宋体"/>
          <w:sz w:val="24"/>
          <w:szCs w:val="24"/>
          <w:lang w:val="en-US" w:eastAsia="zh-CN"/>
        </w:rPr>
        <w:t>库尔勒南市区</w:t>
      </w:r>
      <w:r>
        <w:rPr>
          <w:rFonts w:hint="eastAsia" w:ascii="宋体" w:hAnsi="宋体" w:cs="宋体"/>
          <w:sz w:val="24"/>
          <w:szCs w:val="24"/>
          <w:lang w:eastAsia="zh-CN"/>
        </w:rPr>
        <w:t>污水处理</w:t>
      </w:r>
      <w:r>
        <w:rPr>
          <w:rFonts w:hint="eastAsia" w:ascii="宋体" w:hAnsi="宋体" w:cs="宋体"/>
          <w:sz w:val="24"/>
          <w:szCs w:val="24"/>
          <w:lang w:val="en-US" w:eastAsia="zh-CN"/>
        </w:rPr>
        <w:t>厂</w:t>
      </w:r>
      <w:r>
        <w:rPr>
          <w:rFonts w:hint="eastAsia" w:ascii="宋体" w:hAnsi="宋体" w:cs="宋体"/>
          <w:sz w:val="24"/>
          <w:szCs w:val="24"/>
        </w:rPr>
        <w:t>。本项目与周围地表水系不存在直接水力联系，本次环评仅作现状评价。</w:t>
      </w:r>
    </w:p>
    <w:p w14:paraId="57E5C41F">
      <w:pPr>
        <w:pStyle w:val="16"/>
        <w:kinsoku w:val="0"/>
        <w:overflowPunct w:val="0"/>
        <w:spacing w:after="0" w:line="360" w:lineRule="auto"/>
        <w:ind w:firstLine="480"/>
        <w:rPr>
          <w:rFonts w:hint="eastAsia" w:ascii="宋体" w:hAnsi="宋体" w:cs="宋体"/>
          <w:sz w:val="24"/>
          <w:szCs w:val="24"/>
        </w:rPr>
      </w:pPr>
      <w:r>
        <w:rPr>
          <w:rFonts w:hint="eastAsia" w:ascii="宋体" w:hAnsi="宋体" w:cs="宋体"/>
          <w:sz w:val="24"/>
          <w:szCs w:val="24"/>
        </w:rPr>
        <w:t>地下水环境：按照项目所在地水环境功能区划，区域地下水水质执行《地下水质量标准》（GB/T14848-2017）中Ⅲ类标准。</w:t>
      </w:r>
    </w:p>
    <w:p w14:paraId="24A1BD25">
      <w:pPr>
        <w:snapToGrid w:val="0"/>
        <w:spacing w:line="440" w:lineRule="exact"/>
        <w:jc w:val="center"/>
        <w:rPr>
          <w:rFonts w:hint="eastAsia" w:ascii="宋体" w:hAnsi="宋体" w:cs="宋体"/>
          <w:b/>
          <w:bCs/>
          <w:szCs w:val="21"/>
        </w:rPr>
      </w:pPr>
      <w:r>
        <w:rPr>
          <w:rFonts w:hint="eastAsia" w:ascii="宋体" w:hAnsi="宋体" w:cs="宋体"/>
          <w:b/>
          <w:bCs/>
          <w:szCs w:val="21"/>
        </w:rPr>
        <w:t>表2.6-2    地下水质量标准限值</w:t>
      </w:r>
    </w:p>
    <w:tbl>
      <w:tblPr>
        <w:tblStyle w:val="49"/>
        <w:tblW w:w="4997"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607"/>
        <w:gridCol w:w="2274"/>
        <w:gridCol w:w="1157"/>
        <w:gridCol w:w="1004"/>
        <w:gridCol w:w="1316"/>
        <w:gridCol w:w="1129"/>
        <w:gridCol w:w="1738"/>
      </w:tblGrid>
      <w:tr w14:paraId="5E35919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9" w:type="pct"/>
            <w:tcBorders>
              <w:tl2br w:val="nil"/>
              <w:tr2bl w:val="nil"/>
            </w:tcBorders>
            <w:noWrap w:val="0"/>
            <w:vAlign w:val="center"/>
          </w:tcPr>
          <w:p w14:paraId="758CFCB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序号</w:t>
            </w:r>
          </w:p>
        </w:tc>
        <w:tc>
          <w:tcPr>
            <w:tcW w:w="1232" w:type="pct"/>
            <w:tcBorders>
              <w:tl2br w:val="nil"/>
              <w:tr2bl w:val="nil"/>
            </w:tcBorders>
            <w:noWrap w:val="0"/>
            <w:vAlign w:val="center"/>
          </w:tcPr>
          <w:p w14:paraId="532884C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评价因子</w:t>
            </w:r>
          </w:p>
        </w:tc>
        <w:tc>
          <w:tcPr>
            <w:tcW w:w="627" w:type="pct"/>
            <w:tcBorders>
              <w:tl2br w:val="nil"/>
              <w:tr2bl w:val="nil"/>
            </w:tcBorders>
            <w:noWrap w:val="0"/>
            <w:vAlign w:val="center"/>
          </w:tcPr>
          <w:p w14:paraId="3E6901D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标准限值（mg/L）</w:t>
            </w:r>
          </w:p>
        </w:tc>
        <w:tc>
          <w:tcPr>
            <w:tcW w:w="544" w:type="pct"/>
            <w:tcBorders>
              <w:tl2br w:val="nil"/>
              <w:tr2bl w:val="nil"/>
            </w:tcBorders>
            <w:noWrap w:val="0"/>
            <w:vAlign w:val="center"/>
          </w:tcPr>
          <w:p w14:paraId="3DE12FB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序号</w:t>
            </w:r>
          </w:p>
        </w:tc>
        <w:tc>
          <w:tcPr>
            <w:tcW w:w="713" w:type="pct"/>
            <w:tcBorders>
              <w:tl2br w:val="nil"/>
              <w:tr2bl w:val="nil"/>
            </w:tcBorders>
            <w:noWrap w:val="0"/>
            <w:vAlign w:val="center"/>
          </w:tcPr>
          <w:p w14:paraId="57A3CAA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评价因子</w:t>
            </w:r>
          </w:p>
        </w:tc>
        <w:tc>
          <w:tcPr>
            <w:tcW w:w="612" w:type="pct"/>
            <w:tcBorders>
              <w:tl2br w:val="nil"/>
              <w:tr2bl w:val="nil"/>
            </w:tcBorders>
            <w:noWrap w:val="0"/>
            <w:vAlign w:val="center"/>
          </w:tcPr>
          <w:p w14:paraId="0084423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标准限值（mg/L）</w:t>
            </w:r>
          </w:p>
        </w:tc>
        <w:tc>
          <w:tcPr>
            <w:tcW w:w="942" w:type="pct"/>
            <w:tcBorders>
              <w:tl2br w:val="nil"/>
              <w:tr2bl w:val="nil"/>
            </w:tcBorders>
            <w:noWrap w:val="0"/>
            <w:vAlign w:val="center"/>
          </w:tcPr>
          <w:p w14:paraId="7C65707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标准来源</w:t>
            </w:r>
          </w:p>
        </w:tc>
      </w:tr>
      <w:tr w14:paraId="77266F2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9" w:type="pct"/>
            <w:tcBorders>
              <w:tl2br w:val="nil"/>
              <w:tr2bl w:val="nil"/>
            </w:tcBorders>
            <w:noWrap w:val="0"/>
            <w:vAlign w:val="center"/>
          </w:tcPr>
          <w:p w14:paraId="1AF8DF3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1232" w:type="pct"/>
            <w:tcBorders>
              <w:tl2br w:val="nil"/>
              <w:tr2bl w:val="nil"/>
            </w:tcBorders>
            <w:noWrap w:val="0"/>
            <w:vAlign w:val="center"/>
          </w:tcPr>
          <w:p w14:paraId="751E41D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pH</w:t>
            </w:r>
          </w:p>
        </w:tc>
        <w:tc>
          <w:tcPr>
            <w:tcW w:w="627" w:type="pct"/>
            <w:tcBorders>
              <w:tl2br w:val="nil"/>
              <w:tr2bl w:val="nil"/>
            </w:tcBorders>
            <w:noWrap w:val="0"/>
            <w:vAlign w:val="center"/>
          </w:tcPr>
          <w:p w14:paraId="7701C61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6.5-8.5</w:t>
            </w:r>
          </w:p>
        </w:tc>
        <w:tc>
          <w:tcPr>
            <w:tcW w:w="544" w:type="pct"/>
            <w:tcBorders>
              <w:tl2br w:val="nil"/>
              <w:tr2bl w:val="nil"/>
            </w:tcBorders>
            <w:noWrap w:val="0"/>
            <w:vAlign w:val="center"/>
          </w:tcPr>
          <w:p w14:paraId="17A97FA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16</w:t>
            </w:r>
          </w:p>
        </w:tc>
        <w:tc>
          <w:tcPr>
            <w:tcW w:w="713" w:type="pct"/>
            <w:tcBorders>
              <w:tl2br w:val="nil"/>
              <w:tr2bl w:val="nil"/>
            </w:tcBorders>
            <w:noWrap w:val="0"/>
            <w:vAlign w:val="center"/>
          </w:tcPr>
          <w:p w14:paraId="0EED745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硫酸盐</w:t>
            </w:r>
          </w:p>
        </w:tc>
        <w:tc>
          <w:tcPr>
            <w:tcW w:w="612" w:type="pct"/>
            <w:tcBorders>
              <w:tl2br w:val="nil"/>
              <w:tr2bl w:val="nil"/>
            </w:tcBorders>
            <w:noWrap w:val="0"/>
            <w:vAlign w:val="center"/>
          </w:tcPr>
          <w:p w14:paraId="0FD0E9C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≤250</w:t>
            </w:r>
          </w:p>
        </w:tc>
        <w:tc>
          <w:tcPr>
            <w:tcW w:w="942" w:type="pct"/>
            <w:vMerge w:val="restart"/>
            <w:tcBorders>
              <w:tl2br w:val="nil"/>
              <w:tr2bl w:val="nil"/>
            </w:tcBorders>
            <w:noWrap w:val="0"/>
            <w:vAlign w:val="center"/>
          </w:tcPr>
          <w:p w14:paraId="062A30F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GB/T14848-2017</w:t>
            </w:r>
          </w:p>
          <w:p w14:paraId="6F8E9A8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类标准</w:t>
            </w:r>
          </w:p>
        </w:tc>
      </w:tr>
      <w:tr w14:paraId="0444F2E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9" w:type="pct"/>
            <w:tcBorders>
              <w:tl2br w:val="nil"/>
              <w:tr2bl w:val="nil"/>
            </w:tcBorders>
            <w:noWrap w:val="0"/>
            <w:vAlign w:val="center"/>
          </w:tcPr>
          <w:p w14:paraId="43BB7E6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w:t>
            </w:r>
          </w:p>
        </w:tc>
        <w:tc>
          <w:tcPr>
            <w:tcW w:w="1232" w:type="pct"/>
            <w:tcBorders>
              <w:tl2br w:val="nil"/>
              <w:tr2bl w:val="nil"/>
            </w:tcBorders>
            <w:noWrap w:val="0"/>
            <w:vAlign w:val="center"/>
          </w:tcPr>
          <w:p w14:paraId="7DD6037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总硬度</w:t>
            </w:r>
          </w:p>
        </w:tc>
        <w:tc>
          <w:tcPr>
            <w:tcW w:w="627" w:type="pct"/>
            <w:tcBorders>
              <w:tl2br w:val="nil"/>
              <w:tr2bl w:val="nil"/>
            </w:tcBorders>
            <w:noWrap w:val="0"/>
            <w:vAlign w:val="center"/>
          </w:tcPr>
          <w:p w14:paraId="503C528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≤450</w:t>
            </w:r>
          </w:p>
        </w:tc>
        <w:tc>
          <w:tcPr>
            <w:tcW w:w="544" w:type="pct"/>
            <w:tcBorders>
              <w:tl2br w:val="nil"/>
              <w:tr2bl w:val="nil"/>
            </w:tcBorders>
            <w:noWrap w:val="0"/>
            <w:vAlign w:val="center"/>
          </w:tcPr>
          <w:p w14:paraId="04C333F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17</w:t>
            </w:r>
          </w:p>
        </w:tc>
        <w:tc>
          <w:tcPr>
            <w:tcW w:w="713" w:type="pct"/>
            <w:tcBorders>
              <w:tl2br w:val="nil"/>
              <w:tr2bl w:val="nil"/>
            </w:tcBorders>
            <w:noWrap w:val="0"/>
            <w:vAlign w:val="center"/>
          </w:tcPr>
          <w:p w14:paraId="4EBEC35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氯化物</w:t>
            </w:r>
          </w:p>
        </w:tc>
        <w:tc>
          <w:tcPr>
            <w:tcW w:w="612" w:type="pct"/>
            <w:tcBorders>
              <w:tl2br w:val="nil"/>
              <w:tr2bl w:val="nil"/>
            </w:tcBorders>
            <w:noWrap w:val="0"/>
            <w:vAlign w:val="center"/>
          </w:tcPr>
          <w:p w14:paraId="5CAB518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≤250</w:t>
            </w:r>
          </w:p>
        </w:tc>
        <w:tc>
          <w:tcPr>
            <w:tcW w:w="942" w:type="pct"/>
            <w:vMerge w:val="continue"/>
            <w:tcBorders>
              <w:tl2br w:val="nil"/>
              <w:tr2bl w:val="nil"/>
            </w:tcBorders>
            <w:noWrap w:val="0"/>
            <w:vAlign w:val="center"/>
          </w:tcPr>
          <w:p w14:paraId="2AFD1F4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rPr>
            </w:pPr>
          </w:p>
        </w:tc>
      </w:tr>
      <w:tr w14:paraId="307AA18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9" w:type="pct"/>
            <w:tcBorders>
              <w:tl2br w:val="nil"/>
              <w:tr2bl w:val="nil"/>
            </w:tcBorders>
            <w:noWrap w:val="0"/>
            <w:vAlign w:val="center"/>
          </w:tcPr>
          <w:p w14:paraId="219AFB7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w:t>
            </w:r>
          </w:p>
        </w:tc>
        <w:tc>
          <w:tcPr>
            <w:tcW w:w="1232" w:type="pct"/>
            <w:tcBorders>
              <w:tl2br w:val="nil"/>
              <w:tr2bl w:val="nil"/>
            </w:tcBorders>
            <w:noWrap w:val="0"/>
            <w:vAlign w:val="center"/>
          </w:tcPr>
          <w:p w14:paraId="0CB5805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val="en-US" w:eastAsia="zh-CN"/>
              </w:rPr>
              <w:t>耗氧量（COD</w:t>
            </w:r>
            <w:r>
              <w:rPr>
                <w:rFonts w:hint="eastAsia" w:ascii="Times New Roman" w:hAnsi="Times New Roman" w:eastAsia="宋体" w:cs="Times New Roman"/>
                <w:color w:val="auto"/>
                <w:sz w:val="21"/>
                <w:szCs w:val="21"/>
                <w:vertAlign w:val="subscript"/>
                <w:lang w:val="en-US" w:eastAsia="zh-CN"/>
              </w:rPr>
              <w:t>Mn</w:t>
            </w:r>
            <w:r>
              <w:rPr>
                <w:rFonts w:hint="eastAsia" w:ascii="Times New Roman" w:hAnsi="Times New Roman" w:eastAsia="宋体" w:cs="Times New Roman"/>
                <w:color w:val="auto"/>
                <w:sz w:val="21"/>
                <w:szCs w:val="21"/>
                <w:vertAlign w:val="baseline"/>
                <w:lang w:val="en-US" w:eastAsia="zh-CN"/>
              </w:rPr>
              <w:t>法</w:t>
            </w:r>
            <w:r>
              <w:rPr>
                <w:rFonts w:hint="eastAsia" w:ascii="Times New Roman" w:hAnsi="Times New Roman" w:eastAsia="宋体" w:cs="Times New Roman"/>
                <w:color w:val="auto"/>
                <w:sz w:val="21"/>
                <w:szCs w:val="21"/>
                <w:lang w:val="en-US" w:eastAsia="zh-CN"/>
              </w:rPr>
              <w:t>）</w:t>
            </w:r>
          </w:p>
        </w:tc>
        <w:tc>
          <w:tcPr>
            <w:tcW w:w="627" w:type="pct"/>
            <w:tcBorders>
              <w:tl2br w:val="nil"/>
              <w:tr2bl w:val="nil"/>
            </w:tcBorders>
            <w:noWrap w:val="0"/>
            <w:vAlign w:val="center"/>
          </w:tcPr>
          <w:p w14:paraId="48E1553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≤3.0</w:t>
            </w:r>
          </w:p>
        </w:tc>
        <w:tc>
          <w:tcPr>
            <w:tcW w:w="544" w:type="pct"/>
            <w:tcBorders>
              <w:tl2br w:val="nil"/>
              <w:tr2bl w:val="nil"/>
            </w:tcBorders>
            <w:noWrap w:val="0"/>
            <w:vAlign w:val="center"/>
          </w:tcPr>
          <w:p w14:paraId="1EDE5C3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18</w:t>
            </w:r>
          </w:p>
        </w:tc>
        <w:tc>
          <w:tcPr>
            <w:tcW w:w="713" w:type="pct"/>
            <w:tcBorders>
              <w:tl2br w:val="nil"/>
              <w:tr2bl w:val="nil"/>
            </w:tcBorders>
            <w:noWrap w:val="0"/>
            <w:vAlign w:val="center"/>
          </w:tcPr>
          <w:p w14:paraId="33DC7C3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砷</w:t>
            </w:r>
          </w:p>
        </w:tc>
        <w:tc>
          <w:tcPr>
            <w:tcW w:w="612" w:type="pct"/>
            <w:tcBorders>
              <w:tl2br w:val="nil"/>
              <w:tr2bl w:val="nil"/>
            </w:tcBorders>
            <w:noWrap w:val="0"/>
            <w:vAlign w:val="center"/>
          </w:tcPr>
          <w:p w14:paraId="60D7EED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≤0.01</w:t>
            </w:r>
          </w:p>
        </w:tc>
        <w:tc>
          <w:tcPr>
            <w:tcW w:w="942" w:type="pct"/>
            <w:vMerge w:val="continue"/>
            <w:tcBorders>
              <w:tl2br w:val="nil"/>
              <w:tr2bl w:val="nil"/>
            </w:tcBorders>
            <w:noWrap w:val="0"/>
            <w:vAlign w:val="center"/>
          </w:tcPr>
          <w:p w14:paraId="35F9B03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rPr>
            </w:pPr>
          </w:p>
        </w:tc>
      </w:tr>
      <w:tr w14:paraId="2CC98AA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9" w:type="pct"/>
            <w:tcBorders>
              <w:tl2br w:val="nil"/>
              <w:tr2bl w:val="nil"/>
            </w:tcBorders>
            <w:noWrap w:val="0"/>
            <w:vAlign w:val="center"/>
          </w:tcPr>
          <w:p w14:paraId="281B464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w:t>
            </w:r>
          </w:p>
        </w:tc>
        <w:tc>
          <w:tcPr>
            <w:tcW w:w="1232" w:type="pct"/>
            <w:tcBorders>
              <w:tl2br w:val="nil"/>
              <w:tr2bl w:val="nil"/>
            </w:tcBorders>
            <w:noWrap w:val="0"/>
            <w:vAlign w:val="center"/>
          </w:tcPr>
          <w:p w14:paraId="67121B7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氟化物</w:t>
            </w:r>
          </w:p>
        </w:tc>
        <w:tc>
          <w:tcPr>
            <w:tcW w:w="627" w:type="pct"/>
            <w:tcBorders>
              <w:tl2br w:val="nil"/>
              <w:tr2bl w:val="nil"/>
            </w:tcBorders>
            <w:noWrap w:val="0"/>
            <w:vAlign w:val="center"/>
          </w:tcPr>
          <w:p w14:paraId="25C1931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w:t>
            </w:r>
          </w:p>
        </w:tc>
        <w:tc>
          <w:tcPr>
            <w:tcW w:w="544" w:type="pct"/>
            <w:tcBorders>
              <w:tl2br w:val="nil"/>
              <w:tr2bl w:val="nil"/>
            </w:tcBorders>
            <w:noWrap w:val="0"/>
            <w:vAlign w:val="center"/>
          </w:tcPr>
          <w:p w14:paraId="1832A93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19</w:t>
            </w:r>
          </w:p>
        </w:tc>
        <w:tc>
          <w:tcPr>
            <w:tcW w:w="713" w:type="pct"/>
            <w:tcBorders>
              <w:tl2br w:val="nil"/>
              <w:tr2bl w:val="nil"/>
            </w:tcBorders>
            <w:noWrap w:val="0"/>
            <w:vAlign w:val="center"/>
          </w:tcPr>
          <w:p w14:paraId="6769080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汞</w:t>
            </w:r>
          </w:p>
        </w:tc>
        <w:tc>
          <w:tcPr>
            <w:tcW w:w="612" w:type="pct"/>
            <w:tcBorders>
              <w:tl2br w:val="nil"/>
              <w:tr2bl w:val="nil"/>
            </w:tcBorders>
            <w:noWrap w:val="0"/>
            <w:vAlign w:val="center"/>
          </w:tcPr>
          <w:p w14:paraId="541BEA5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≤0.001</w:t>
            </w:r>
          </w:p>
        </w:tc>
        <w:tc>
          <w:tcPr>
            <w:tcW w:w="942" w:type="pct"/>
            <w:vMerge w:val="continue"/>
            <w:tcBorders>
              <w:tl2br w:val="nil"/>
              <w:tr2bl w:val="nil"/>
            </w:tcBorders>
            <w:noWrap w:val="0"/>
            <w:vAlign w:val="center"/>
          </w:tcPr>
          <w:p w14:paraId="7A5AFC5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rPr>
            </w:pPr>
          </w:p>
        </w:tc>
      </w:tr>
      <w:tr w14:paraId="49137EE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9" w:type="pct"/>
            <w:tcBorders>
              <w:tl2br w:val="nil"/>
              <w:tr2bl w:val="nil"/>
            </w:tcBorders>
            <w:noWrap w:val="0"/>
            <w:vAlign w:val="center"/>
          </w:tcPr>
          <w:p w14:paraId="4BEF793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w:t>
            </w:r>
          </w:p>
        </w:tc>
        <w:tc>
          <w:tcPr>
            <w:tcW w:w="1232" w:type="pct"/>
            <w:tcBorders>
              <w:tl2br w:val="nil"/>
              <w:tr2bl w:val="nil"/>
            </w:tcBorders>
            <w:noWrap w:val="0"/>
            <w:vAlign w:val="center"/>
          </w:tcPr>
          <w:p w14:paraId="59C32D0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亚硝酸盐</w:t>
            </w:r>
          </w:p>
        </w:tc>
        <w:tc>
          <w:tcPr>
            <w:tcW w:w="627" w:type="pct"/>
            <w:tcBorders>
              <w:tl2br w:val="nil"/>
              <w:tr2bl w:val="nil"/>
            </w:tcBorders>
            <w:noWrap w:val="0"/>
            <w:vAlign w:val="center"/>
          </w:tcPr>
          <w:p w14:paraId="2B6488B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w:t>
            </w:r>
          </w:p>
        </w:tc>
        <w:tc>
          <w:tcPr>
            <w:tcW w:w="544" w:type="pct"/>
            <w:tcBorders>
              <w:tl2br w:val="nil"/>
              <w:tr2bl w:val="nil"/>
            </w:tcBorders>
            <w:noWrap w:val="0"/>
            <w:vAlign w:val="center"/>
          </w:tcPr>
          <w:p w14:paraId="677BEE22">
            <w:pPr>
              <w:pStyle w:val="26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textAlignment w:val="auto"/>
              <w:rPr>
                <w:rFonts w:hint="default" w:ascii="Times New Roman" w:hAnsi="Times New Roman" w:eastAsia="宋体" w:cs="Times New Roman"/>
                <w:color w:val="auto"/>
                <w:szCs w:val="24"/>
              </w:rPr>
            </w:pPr>
            <w:r>
              <w:rPr>
                <w:rFonts w:hint="default" w:ascii="Times New Roman" w:hAnsi="Times New Roman" w:eastAsia="宋体" w:cs="Times New Roman"/>
                <w:color w:val="auto"/>
                <w:szCs w:val="24"/>
              </w:rPr>
              <w:t>20</w:t>
            </w:r>
          </w:p>
        </w:tc>
        <w:tc>
          <w:tcPr>
            <w:tcW w:w="713" w:type="pct"/>
            <w:tcBorders>
              <w:tl2br w:val="nil"/>
              <w:tr2bl w:val="nil"/>
            </w:tcBorders>
            <w:noWrap w:val="0"/>
            <w:vAlign w:val="center"/>
          </w:tcPr>
          <w:p w14:paraId="28B9A967">
            <w:pPr>
              <w:pStyle w:val="26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textAlignment w:val="auto"/>
              <w:rPr>
                <w:rFonts w:hint="default" w:ascii="Times New Roman" w:hAnsi="Times New Roman" w:eastAsia="宋体" w:cs="Times New Roman"/>
                <w:color w:val="auto"/>
                <w:szCs w:val="24"/>
              </w:rPr>
            </w:pPr>
            <w:r>
              <w:rPr>
                <w:rFonts w:hint="default" w:ascii="Times New Roman" w:hAnsi="Times New Roman" w:eastAsia="宋体" w:cs="Times New Roman"/>
                <w:color w:val="auto"/>
                <w:szCs w:val="24"/>
              </w:rPr>
              <w:t>六价铬</w:t>
            </w:r>
          </w:p>
        </w:tc>
        <w:tc>
          <w:tcPr>
            <w:tcW w:w="612" w:type="pct"/>
            <w:tcBorders>
              <w:tl2br w:val="nil"/>
              <w:tr2bl w:val="nil"/>
            </w:tcBorders>
            <w:noWrap w:val="0"/>
            <w:vAlign w:val="center"/>
          </w:tcPr>
          <w:p w14:paraId="5A07ABF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≤0.05</w:t>
            </w:r>
          </w:p>
        </w:tc>
        <w:tc>
          <w:tcPr>
            <w:tcW w:w="942" w:type="pct"/>
            <w:vMerge w:val="continue"/>
            <w:tcBorders>
              <w:tl2br w:val="nil"/>
              <w:tr2bl w:val="nil"/>
            </w:tcBorders>
            <w:noWrap w:val="0"/>
            <w:vAlign w:val="center"/>
          </w:tcPr>
          <w:p w14:paraId="45BA542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rPr>
            </w:pPr>
          </w:p>
        </w:tc>
      </w:tr>
      <w:tr w14:paraId="3AECB79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9" w:type="pct"/>
            <w:tcBorders>
              <w:tl2br w:val="nil"/>
              <w:tr2bl w:val="nil"/>
            </w:tcBorders>
            <w:noWrap w:val="0"/>
            <w:vAlign w:val="center"/>
          </w:tcPr>
          <w:p w14:paraId="491E662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w:t>
            </w:r>
          </w:p>
        </w:tc>
        <w:tc>
          <w:tcPr>
            <w:tcW w:w="1232" w:type="pct"/>
            <w:tcBorders>
              <w:tl2br w:val="nil"/>
              <w:tr2bl w:val="nil"/>
            </w:tcBorders>
            <w:noWrap w:val="0"/>
            <w:vAlign w:val="center"/>
          </w:tcPr>
          <w:p w14:paraId="27167CE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硝酸盐</w:t>
            </w:r>
          </w:p>
        </w:tc>
        <w:tc>
          <w:tcPr>
            <w:tcW w:w="627" w:type="pct"/>
            <w:tcBorders>
              <w:tl2br w:val="nil"/>
              <w:tr2bl w:val="nil"/>
            </w:tcBorders>
            <w:noWrap w:val="0"/>
            <w:vAlign w:val="center"/>
          </w:tcPr>
          <w:p w14:paraId="13798B4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w:t>
            </w:r>
          </w:p>
        </w:tc>
        <w:tc>
          <w:tcPr>
            <w:tcW w:w="544" w:type="pct"/>
            <w:tcBorders>
              <w:tl2br w:val="nil"/>
              <w:tr2bl w:val="nil"/>
            </w:tcBorders>
            <w:noWrap w:val="0"/>
            <w:vAlign w:val="center"/>
          </w:tcPr>
          <w:p w14:paraId="4C65CCB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21</w:t>
            </w:r>
          </w:p>
        </w:tc>
        <w:tc>
          <w:tcPr>
            <w:tcW w:w="713" w:type="pct"/>
            <w:tcBorders>
              <w:tl2br w:val="nil"/>
              <w:tr2bl w:val="nil"/>
            </w:tcBorders>
            <w:noWrap w:val="0"/>
            <w:vAlign w:val="center"/>
          </w:tcPr>
          <w:p w14:paraId="48DA4C7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铅</w:t>
            </w:r>
          </w:p>
        </w:tc>
        <w:tc>
          <w:tcPr>
            <w:tcW w:w="612" w:type="pct"/>
            <w:tcBorders>
              <w:tl2br w:val="nil"/>
              <w:tr2bl w:val="nil"/>
            </w:tcBorders>
            <w:noWrap w:val="0"/>
            <w:vAlign w:val="center"/>
          </w:tcPr>
          <w:p w14:paraId="5482BB7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≤0.01</w:t>
            </w:r>
          </w:p>
        </w:tc>
        <w:tc>
          <w:tcPr>
            <w:tcW w:w="942" w:type="pct"/>
            <w:vMerge w:val="continue"/>
            <w:tcBorders>
              <w:tl2br w:val="nil"/>
              <w:tr2bl w:val="nil"/>
            </w:tcBorders>
            <w:noWrap w:val="0"/>
            <w:vAlign w:val="center"/>
          </w:tcPr>
          <w:p w14:paraId="0772CC0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rPr>
            </w:pPr>
          </w:p>
        </w:tc>
      </w:tr>
      <w:tr w14:paraId="388DB4C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9" w:type="pct"/>
            <w:tcBorders>
              <w:tl2br w:val="nil"/>
              <w:tr2bl w:val="nil"/>
            </w:tcBorders>
            <w:noWrap w:val="0"/>
            <w:vAlign w:val="center"/>
          </w:tcPr>
          <w:p w14:paraId="713DB41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w:t>
            </w:r>
          </w:p>
        </w:tc>
        <w:tc>
          <w:tcPr>
            <w:tcW w:w="1232" w:type="pct"/>
            <w:tcBorders>
              <w:tl2br w:val="nil"/>
              <w:tr2bl w:val="nil"/>
            </w:tcBorders>
            <w:noWrap w:val="0"/>
            <w:vAlign w:val="center"/>
          </w:tcPr>
          <w:p w14:paraId="0DE36A6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挥发酚</w:t>
            </w:r>
          </w:p>
        </w:tc>
        <w:tc>
          <w:tcPr>
            <w:tcW w:w="627" w:type="pct"/>
            <w:tcBorders>
              <w:tl2br w:val="nil"/>
              <w:tr2bl w:val="nil"/>
            </w:tcBorders>
            <w:noWrap w:val="0"/>
            <w:vAlign w:val="center"/>
          </w:tcPr>
          <w:p w14:paraId="235CB34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≤0.002</w:t>
            </w:r>
          </w:p>
        </w:tc>
        <w:tc>
          <w:tcPr>
            <w:tcW w:w="544" w:type="pct"/>
            <w:tcBorders>
              <w:tl2br w:val="nil"/>
              <w:tr2bl w:val="nil"/>
            </w:tcBorders>
            <w:noWrap w:val="0"/>
            <w:vAlign w:val="center"/>
          </w:tcPr>
          <w:p w14:paraId="7882FF3C">
            <w:pPr>
              <w:pStyle w:val="26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textAlignment w:val="auto"/>
              <w:rPr>
                <w:rFonts w:hint="default" w:ascii="Times New Roman" w:hAnsi="Times New Roman" w:eastAsia="宋体" w:cs="Times New Roman"/>
                <w:color w:val="auto"/>
                <w:szCs w:val="24"/>
              </w:rPr>
            </w:pPr>
            <w:r>
              <w:rPr>
                <w:rFonts w:hint="default" w:ascii="Times New Roman" w:hAnsi="Times New Roman" w:eastAsia="宋体" w:cs="Times New Roman"/>
                <w:color w:val="auto"/>
                <w:szCs w:val="24"/>
              </w:rPr>
              <w:t>22</w:t>
            </w:r>
          </w:p>
        </w:tc>
        <w:tc>
          <w:tcPr>
            <w:tcW w:w="713" w:type="pct"/>
            <w:tcBorders>
              <w:tl2br w:val="nil"/>
              <w:tr2bl w:val="nil"/>
            </w:tcBorders>
            <w:noWrap w:val="0"/>
            <w:vAlign w:val="center"/>
          </w:tcPr>
          <w:p w14:paraId="0ACCF851">
            <w:pPr>
              <w:pStyle w:val="26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textAlignment w:val="auto"/>
              <w:rPr>
                <w:rFonts w:hint="default" w:ascii="Times New Roman" w:hAnsi="Times New Roman" w:eastAsia="宋体" w:cs="Times New Roman"/>
                <w:color w:val="auto"/>
                <w:szCs w:val="24"/>
              </w:rPr>
            </w:pPr>
            <w:r>
              <w:rPr>
                <w:rFonts w:hint="default" w:ascii="Times New Roman" w:hAnsi="Times New Roman" w:eastAsia="宋体" w:cs="Times New Roman"/>
                <w:color w:val="auto"/>
                <w:szCs w:val="24"/>
              </w:rPr>
              <w:t>K</w:t>
            </w:r>
            <w:r>
              <w:rPr>
                <w:rFonts w:hint="default" w:ascii="Times New Roman" w:hAnsi="Times New Roman" w:eastAsia="宋体" w:cs="Times New Roman"/>
                <w:color w:val="auto"/>
                <w:szCs w:val="24"/>
                <w:vertAlign w:val="superscript"/>
              </w:rPr>
              <w:t>+</w:t>
            </w:r>
          </w:p>
        </w:tc>
        <w:tc>
          <w:tcPr>
            <w:tcW w:w="612" w:type="pct"/>
            <w:tcBorders>
              <w:tl2br w:val="nil"/>
              <w:tr2bl w:val="nil"/>
            </w:tcBorders>
            <w:noWrap w:val="0"/>
            <w:vAlign w:val="center"/>
          </w:tcPr>
          <w:p w14:paraId="4723845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942" w:type="pct"/>
            <w:vMerge w:val="continue"/>
            <w:tcBorders>
              <w:tl2br w:val="nil"/>
              <w:tr2bl w:val="nil"/>
            </w:tcBorders>
            <w:noWrap w:val="0"/>
            <w:vAlign w:val="center"/>
          </w:tcPr>
          <w:p w14:paraId="3CFD53A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rPr>
            </w:pPr>
          </w:p>
        </w:tc>
      </w:tr>
      <w:tr w14:paraId="299486D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9" w:type="pct"/>
            <w:tcBorders>
              <w:tl2br w:val="nil"/>
              <w:tr2bl w:val="nil"/>
            </w:tcBorders>
            <w:noWrap w:val="0"/>
            <w:vAlign w:val="center"/>
          </w:tcPr>
          <w:p w14:paraId="0575FF7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8</w:t>
            </w:r>
          </w:p>
        </w:tc>
        <w:tc>
          <w:tcPr>
            <w:tcW w:w="1232" w:type="pct"/>
            <w:tcBorders>
              <w:tl2br w:val="nil"/>
              <w:tr2bl w:val="nil"/>
            </w:tcBorders>
            <w:noWrap w:val="0"/>
            <w:vAlign w:val="center"/>
          </w:tcPr>
          <w:p w14:paraId="3E0897F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氨氮</w:t>
            </w:r>
          </w:p>
        </w:tc>
        <w:tc>
          <w:tcPr>
            <w:tcW w:w="627" w:type="pct"/>
            <w:tcBorders>
              <w:tl2br w:val="nil"/>
              <w:tr2bl w:val="nil"/>
            </w:tcBorders>
            <w:noWrap w:val="0"/>
            <w:vAlign w:val="center"/>
          </w:tcPr>
          <w:p w14:paraId="5549D55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≤0.5</w:t>
            </w:r>
          </w:p>
        </w:tc>
        <w:tc>
          <w:tcPr>
            <w:tcW w:w="544" w:type="pct"/>
            <w:tcBorders>
              <w:tl2br w:val="nil"/>
              <w:tr2bl w:val="nil"/>
            </w:tcBorders>
            <w:noWrap w:val="0"/>
            <w:vAlign w:val="center"/>
          </w:tcPr>
          <w:p w14:paraId="6CFB81B0">
            <w:pPr>
              <w:pStyle w:val="26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textAlignment w:val="auto"/>
              <w:rPr>
                <w:rFonts w:hint="default" w:ascii="Times New Roman" w:hAnsi="Times New Roman" w:eastAsia="宋体" w:cs="Times New Roman"/>
                <w:color w:val="auto"/>
                <w:szCs w:val="24"/>
              </w:rPr>
            </w:pPr>
            <w:r>
              <w:rPr>
                <w:rFonts w:hint="default" w:ascii="Times New Roman" w:hAnsi="Times New Roman" w:eastAsia="宋体" w:cs="Times New Roman"/>
                <w:color w:val="auto"/>
                <w:szCs w:val="24"/>
              </w:rPr>
              <w:t>23</w:t>
            </w:r>
          </w:p>
        </w:tc>
        <w:tc>
          <w:tcPr>
            <w:tcW w:w="713" w:type="pct"/>
            <w:tcBorders>
              <w:tl2br w:val="nil"/>
              <w:tr2bl w:val="nil"/>
            </w:tcBorders>
            <w:noWrap w:val="0"/>
            <w:vAlign w:val="center"/>
          </w:tcPr>
          <w:p w14:paraId="1C158E09">
            <w:pPr>
              <w:pStyle w:val="26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textAlignment w:val="auto"/>
              <w:rPr>
                <w:rFonts w:hint="default" w:ascii="Times New Roman" w:hAnsi="Times New Roman" w:eastAsia="宋体" w:cs="Times New Roman"/>
                <w:color w:val="auto"/>
                <w:szCs w:val="24"/>
              </w:rPr>
            </w:pPr>
            <w:r>
              <w:rPr>
                <w:rFonts w:hint="default" w:ascii="Times New Roman" w:hAnsi="Times New Roman" w:eastAsia="宋体" w:cs="Times New Roman"/>
                <w:color w:val="auto"/>
                <w:szCs w:val="24"/>
              </w:rPr>
              <w:t>Na</w:t>
            </w:r>
            <w:r>
              <w:rPr>
                <w:rFonts w:hint="default" w:ascii="Times New Roman" w:hAnsi="Times New Roman" w:eastAsia="宋体" w:cs="Times New Roman"/>
                <w:color w:val="auto"/>
                <w:szCs w:val="24"/>
                <w:vertAlign w:val="superscript"/>
              </w:rPr>
              <w:t>+</w:t>
            </w:r>
          </w:p>
        </w:tc>
        <w:tc>
          <w:tcPr>
            <w:tcW w:w="612" w:type="pct"/>
            <w:tcBorders>
              <w:tl2br w:val="nil"/>
              <w:tr2bl w:val="nil"/>
            </w:tcBorders>
            <w:noWrap w:val="0"/>
            <w:vAlign w:val="center"/>
          </w:tcPr>
          <w:p w14:paraId="775B867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w:t>
            </w:r>
            <w:r>
              <w:rPr>
                <w:rFonts w:hint="eastAsia" w:ascii="Times New Roman" w:hAnsi="Times New Roman" w:eastAsia="宋体" w:cs="Times New Roman"/>
                <w:color w:val="auto"/>
                <w:sz w:val="21"/>
                <w:szCs w:val="21"/>
                <w:lang w:val="en-US" w:eastAsia="zh-CN"/>
              </w:rPr>
              <w:t>200</w:t>
            </w:r>
          </w:p>
        </w:tc>
        <w:tc>
          <w:tcPr>
            <w:tcW w:w="942" w:type="pct"/>
            <w:vMerge w:val="continue"/>
            <w:tcBorders>
              <w:tl2br w:val="nil"/>
              <w:tr2bl w:val="nil"/>
            </w:tcBorders>
            <w:noWrap w:val="0"/>
            <w:vAlign w:val="center"/>
          </w:tcPr>
          <w:p w14:paraId="4E8034F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rPr>
            </w:pPr>
          </w:p>
        </w:tc>
      </w:tr>
      <w:tr w14:paraId="057218B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9" w:type="pct"/>
            <w:tcBorders>
              <w:tl2br w:val="nil"/>
              <w:tr2bl w:val="nil"/>
            </w:tcBorders>
            <w:noWrap w:val="0"/>
            <w:vAlign w:val="center"/>
          </w:tcPr>
          <w:p w14:paraId="2753BBB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9</w:t>
            </w:r>
          </w:p>
        </w:tc>
        <w:tc>
          <w:tcPr>
            <w:tcW w:w="1232" w:type="pct"/>
            <w:tcBorders>
              <w:tl2br w:val="nil"/>
              <w:tr2bl w:val="nil"/>
            </w:tcBorders>
            <w:noWrap w:val="0"/>
            <w:vAlign w:val="center"/>
          </w:tcPr>
          <w:p w14:paraId="510901B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氰化物</w:t>
            </w:r>
          </w:p>
        </w:tc>
        <w:tc>
          <w:tcPr>
            <w:tcW w:w="627" w:type="pct"/>
            <w:tcBorders>
              <w:tl2br w:val="nil"/>
              <w:tr2bl w:val="nil"/>
            </w:tcBorders>
            <w:noWrap w:val="0"/>
            <w:vAlign w:val="center"/>
          </w:tcPr>
          <w:p w14:paraId="24A1749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≤0.05</w:t>
            </w:r>
          </w:p>
        </w:tc>
        <w:tc>
          <w:tcPr>
            <w:tcW w:w="544" w:type="pct"/>
            <w:tcBorders>
              <w:tl2br w:val="nil"/>
              <w:tr2bl w:val="nil"/>
            </w:tcBorders>
            <w:noWrap w:val="0"/>
            <w:vAlign w:val="center"/>
          </w:tcPr>
          <w:p w14:paraId="3FF89E28">
            <w:pPr>
              <w:pStyle w:val="26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textAlignment w:val="auto"/>
              <w:rPr>
                <w:rFonts w:hint="default" w:ascii="Times New Roman" w:hAnsi="Times New Roman" w:eastAsia="宋体" w:cs="Times New Roman"/>
                <w:color w:val="auto"/>
                <w:szCs w:val="24"/>
              </w:rPr>
            </w:pPr>
            <w:r>
              <w:rPr>
                <w:rFonts w:hint="default" w:ascii="Times New Roman" w:hAnsi="Times New Roman" w:eastAsia="宋体" w:cs="Times New Roman"/>
                <w:color w:val="auto"/>
                <w:szCs w:val="24"/>
              </w:rPr>
              <w:t>24</w:t>
            </w:r>
          </w:p>
        </w:tc>
        <w:tc>
          <w:tcPr>
            <w:tcW w:w="713" w:type="pct"/>
            <w:tcBorders>
              <w:tl2br w:val="nil"/>
              <w:tr2bl w:val="nil"/>
            </w:tcBorders>
            <w:noWrap w:val="0"/>
            <w:vAlign w:val="center"/>
          </w:tcPr>
          <w:p w14:paraId="7A14AA98">
            <w:pPr>
              <w:pStyle w:val="26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textAlignment w:val="auto"/>
              <w:rPr>
                <w:rFonts w:hint="default" w:ascii="Times New Roman" w:hAnsi="Times New Roman" w:eastAsia="宋体" w:cs="Times New Roman"/>
                <w:color w:val="auto"/>
                <w:szCs w:val="24"/>
              </w:rPr>
            </w:pPr>
            <w:r>
              <w:rPr>
                <w:rFonts w:hint="default" w:ascii="Times New Roman" w:hAnsi="Times New Roman" w:eastAsia="宋体" w:cs="Times New Roman"/>
                <w:color w:val="auto"/>
                <w:szCs w:val="24"/>
              </w:rPr>
              <w:t>Ca</w:t>
            </w:r>
            <w:r>
              <w:rPr>
                <w:rFonts w:hint="default" w:ascii="Times New Roman" w:hAnsi="Times New Roman" w:eastAsia="宋体" w:cs="Times New Roman"/>
                <w:color w:val="auto"/>
                <w:szCs w:val="24"/>
                <w:vertAlign w:val="superscript"/>
              </w:rPr>
              <w:t>2+</w:t>
            </w:r>
          </w:p>
        </w:tc>
        <w:tc>
          <w:tcPr>
            <w:tcW w:w="612" w:type="pct"/>
            <w:tcBorders>
              <w:tl2br w:val="nil"/>
              <w:tr2bl w:val="nil"/>
            </w:tcBorders>
            <w:noWrap w:val="0"/>
            <w:vAlign w:val="center"/>
          </w:tcPr>
          <w:p w14:paraId="085498B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942" w:type="pct"/>
            <w:vMerge w:val="continue"/>
            <w:tcBorders>
              <w:tl2br w:val="nil"/>
              <w:tr2bl w:val="nil"/>
            </w:tcBorders>
            <w:noWrap w:val="0"/>
            <w:vAlign w:val="center"/>
          </w:tcPr>
          <w:p w14:paraId="33F46D8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rPr>
            </w:pPr>
          </w:p>
        </w:tc>
      </w:tr>
      <w:tr w14:paraId="1BAA803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9" w:type="pct"/>
            <w:tcBorders>
              <w:tl2br w:val="nil"/>
              <w:tr2bl w:val="nil"/>
            </w:tcBorders>
            <w:noWrap w:val="0"/>
            <w:vAlign w:val="center"/>
          </w:tcPr>
          <w:p w14:paraId="24CB8C9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w:t>
            </w:r>
          </w:p>
        </w:tc>
        <w:tc>
          <w:tcPr>
            <w:tcW w:w="1232" w:type="pct"/>
            <w:tcBorders>
              <w:tl2br w:val="nil"/>
              <w:tr2bl w:val="nil"/>
            </w:tcBorders>
            <w:noWrap w:val="0"/>
            <w:vAlign w:val="center"/>
          </w:tcPr>
          <w:p w14:paraId="5166194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溶解性总固体</w:t>
            </w:r>
          </w:p>
        </w:tc>
        <w:tc>
          <w:tcPr>
            <w:tcW w:w="627" w:type="pct"/>
            <w:tcBorders>
              <w:tl2br w:val="nil"/>
              <w:tr2bl w:val="nil"/>
            </w:tcBorders>
            <w:noWrap w:val="0"/>
            <w:vAlign w:val="center"/>
          </w:tcPr>
          <w:p w14:paraId="09A847C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≤1000</w:t>
            </w:r>
          </w:p>
        </w:tc>
        <w:tc>
          <w:tcPr>
            <w:tcW w:w="544" w:type="pct"/>
            <w:tcBorders>
              <w:tl2br w:val="nil"/>
              <w:tr2bl w:val="nil"/>
            </w:tcBorders>
            <w:noWrap w:val="0"/>
            <w:vAlign w:val="center"/>
          </w:tcPr>
          <w:p w14:paraId="307647C1">
            <w:pPr>
              <w:pStyle w:val="26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textAlignment w:val="auto"/>
              <w:rPr>
                <w:rFonts w:hint="default" w:ascii="Times New Roman" w:hAnsi="Times New Roman" w:eastAsia="宋体" w:cs="Times New Roman"/>
                <w:color w:val="auto"/>
                <w:szCs w:val="24"/>
              </w:rPr>
            </w:pPr>
            <w:r>
              <w:rPr>
                <w:rFonts w:hint="default" w:ascii="Times New Roman" w:hAnsi="Times New Roman" w:eastAsia="宋体" w:cs="Times New Roman"/>
                <w:color w:val="auto"/>
                <w:szCs w:val="24"/>
              </w:rPr>
              <w:t>25</w:t>
            </w:r>
          </w:p>
        </w:tc>
        <w:tc>
          <w:tcPr>
            <w:tcW w:w="713" w:type="pct"/>
            <w:tcBorders>
              <w:tl2br w:val="nil"/>
              <w:tr2bl w:val="nil"/>
            </w:tcBorders>
            <w:noWrap w:val="0"/>
            <w:vAlign w:val="center"/>
          </w:tcPr>
          <w:p w14:paraId="560DD0CD">
            <w:pPr>
              <w:pStyle w:val="26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textAlignment w:val="auto"/>
              <w:rPr>
                <w:rFonts w:hint="default" w:ascii="Times New Roman" w:hAnsi="Times New Roman" w:eastAsia="宋体" w:cs="Times New Roman"/>
                <w:color w:val="auto"/>
                <w:szCs w:val="24"/>
              </w:rPr>
            </w:pPr>
            <w:r>
              <w:rPr>
                <w:rFonts w:hint="default" w:ascii="Times New Roman" w:hAnsi="Times New Roman" w:eastAsia="宋体" w:cs="Times New Roman"/>
                <w:color w:val="auto"/>
                <w:szCs w:val="24"/>
              </w:rPr>
              <w:t>Mg</w:t>
            </w:r>
            <w:r>
              <w:rPr>
                <w:rFonts w:hint="default" w:ascii="Times New Roman" w:hAnsi="Times New Roman" w:eastAsia="宋体" w:cs="Times New Roman"/>
                <w:color w:val="auto"/>
                <w:szCs w:val="24"/>
                <w:vertAlign w:val="superscript"/>
              </w:rPr>
              <w:t>2+</w:t>
            </w:r>
          </w:p>
        </w:tc>
        <w:tc>
          <w:tcPr>
            <w:tcW w:w="612" w:type="pct"/>
            <w:tcBorders>
              <w:tl2br w:val="nil"/>
              <w:tr2bl w:val="nil"/>
            </w:tcBorders>
            <w:noWrap w:val="0"/>
            <w:vAlign w:val="center"/>
          </w:tcPr>
          <w:p w14:paraId="0F5FEBE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942" w:type="pct"/>
            <w:vMerge w:val="continue"/>
            <w:tcBorders>
              <w:tl2br w:val="nil"/>
              <w:tr2bl w:val="nil"/>
            </w:tcBorders>
            <w:noWrap w:val="0"/>
            <w:vAlign w:val="center"/>
          </w:tcPr>
          <w:p w14:paraId="1B39C35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rPr>
            </w:pPr>
          </w:p>
        </w:tc>
      </w:tr>
      <w:tr w14:paraId="64BC6EB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9" w:type="pct"/>
            <w:tcBorders>
              <w:tl2br w:val="nil"/>
              <w:tr2bl w:val="nil"/>
            </w:tcBorders>
            <w:noWrap w:val="0"/>
            <w:vAlign w:val="center"/>
          </w:tcPr>
          <w:p w14:paraId="5612B33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11</w:t>
            </w:r>
          </w:p>
        </w:tc>
        <w:tc>
          <w:tcPr>
            <w:tcW w:w="1232" w:type="pct"/>
            <w:tcBorders>
              <w:tl2br w:val="nil"/>
              <w:tr2bl w:val="nil"/>
            </w:tcBorders>
            <w:noWrap w:val="0"/>
            <w:vAlign w:val="center"/>
          </w:tcPr>
          <w:p w14:paraId="4A1D8CF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总大肠菌群（MPN/100mL）</w:t>
            </w:r>
          </w:p>
        </w:tc>
        <w:tc>
          <w:tcPr>
            <w:tcW w:w="627" w:type="pct"/>
            <w:tcBorders>
              <w:tl2br w:val="nil"/>
              <w:tr2bl w:val="nil"/>
            </w:tcBorders>
            <w:noWrap w:val="0"/>
            <w:vAlign w:val="center"/>
          </w:tcPr>
          <w:p w14:paraId="0A9DAE4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≤3.0</w:t>
            </w:r>
          </w:p>
        </w:tc>
        <w:tc>
          <w:tcPr>
            <w:tcW w:w="544" w:type="pct"/>
            <w:tcBorders>
              <w:tl2br w:val="nil"/>
              <w:tr2bl w:val="nil"/>
            </w:tcBorders>
            <w:noWrap w:val="0"/>
            <w:vAlign w:val="center"/>
          </w:tcPr>
          <w:p w14:paraId="2F593FAC">
            <w:pPr>
              <w:pStyle w:val="26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textAlignment w:val="auto"/>
              <w:rPr>
                <w:rFonts w:hint="default" w:ascii="Times New Roman" w:hAnsi="Times New Roman" w:eastAsia="宋体" w:cs="Times New Roman"/>
                <w:color w:val="auto"/>
                <w:szCs w:val="24"/>
              </w:rPr>
            </w:pPr>
            <w:r>
              <w:rPr>
                <w:rFonts w:hint="default" w:ascii="Times New Roman" w:hAnsi="Times New Roman" w:eastAsia="宋体" w:cs="Times New Roman"/>
                <w:color w:val="auto"/>
                <w:szCs w:val="24"/>
              </w:rPr>
              <w:t>26</w:t>
            </w:r>
          </w:p>
        </w:tc>
        <w:tc>
          <w:tcPr>
            <w:tcW w:w="713" w:type="pct"/>
            <w:tcBorders>
              <w:tl2br w:val="nil"/>
              <w:tr2bl w:val="nil"/>
            </w:tcBorders>
            <w:noWrap w:val="0"/>
            <w:vAlign w:val="center"/>
          </w:tcPr>
          <w:p w14:paraId="3D7CBE9E">
            <w:pPr>
              <w:pStyle w:val="26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textAlignment w:val="auto"/>
              <w:rPr>
                <w:rFonts w:hint="default" w:ascii="Times New Roman" w:hAnsi="Times New Roman" w:eastAsia="宋体" w:cs="Times New Roman"/>
                <w:color w:val="auto"/>
                <w:szCs w:val="24"/>
              </w:rPr>
            </w:pPr>
            <w:r>
              <w:rPr>
                <w:rFonts w:hint="default" w:ascii="Times New Roman" w:hAnsi="Times New Roman" w:eastAsia="宋体" w:cs="Times New Roman"/>
                <w:color w:val="auto"/>
                <w:szCs w:val="24"/>
              </w:rPr>
              <w:t>CO</w:t>
            </w:r>
            <w:r>
              <w:rPr>
                <w:rFonts w:hint="default" w:ascii="Times New Roman" w:hAnsi="Times New Roman" w:eastAsia="宋体" w:cs="Times New Roman"/>
                <w:color w:val="auto"/>
                <w:szCs w:val="24"/>
                <w:vertAlign w:val="subscript"/>
              </w:rPr>
              <w:t>3</w:t>
            </w:r>
            <w:r>
              <w:rPr>
                <w:rFonts w:hint="default" w:ascii="Times New Roman" w:hAnsi="Times New Roman" w:eastAsia="宋体" w:cs="Times New Roman"/>
                <w:color w:val="auto"/>
                <w:szCs w:val="24"/>
                <w:vertAlign w:val="superscript"/>
              </w:rPr>
              <w:t>2-</w:t>
            </w:r>
          </w:p>
        </w:tc>
        <w:tc>
          <w:tcPr>
            <w:tcW w:w="612" w:type="pct"/>
            <w:tcBorders>
              <w:tl2br w:val="nil"/>
              <w:tr2bl w:val="nil"/>
            </w:tcBorders>
            <w:noWrap w:val="0"/>
            <w:vAlign w:val="center"/>
          </w:tcPr>
          <w:p w14:paraId="0757675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942" w:type="pct"/>
            <w:vMerge w:val="continue"/>
            <w:tcBorders>
              <w:tl2br w:val="nil"/>
              <w:tr2bl w:val="nil"/>
            </w:tcBorders>
            <w:noWrap w:val="0"/>
            <w:vAlign w:val="center"/>
          </w:tcPr>
          <w:p w14:paraId="7D9C8D7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rPr>
            </w:pPr>
          </w:p>
        </w:tc>
      </w:tr>
      <w:tr w14:paraId="43C4520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9" w:type="pct"/>
            <w:tcBorders>
              <w:tl2br w:val="nil"/>
              <w:tr2bl w:val="nil"/>
            </w:tcBorders>
            <w:noWrap w:val="0"/>
            <w:vAlign w:val="center"/>
          </w:tcPr>
          <w:p w14:paraId="66B979B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w:t>
            </w:r>
          </w:p>
        </w:tc>
        <w:tc>
          <w:tcPr>
            <w:tcW w:w="1232" w:type="pct"/>
            <w:tcBorders>
              <w:tl2br w:val="nil"/>
              <w:tr2bl w:val="nil"/>
            </w:tcBorders>
            <w:noWrap w:val="0"/>
            <w:vAlign w:val="center"/>
          </w:tcPr>
          <w:p w14:paraId="2149BE1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镉</w:t>
            </w:r>
          </w:p>
        </w:tc>
        <w:tc>
          <w:tcPr>
            <w:tcW w:w="627" w:type="pct"/>
            <w:tcBorders>
              <w:tl2br w:val="nil"/>
              <w:tr2bl w:val="nil"/>
            </w:tcBorders>
            <w:noWrap w:val="0"/>
            <w:vAlign w:val="center"/>
          </w:tcPr>
          <w:p w14:paraId="1B14186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≤0.005</w:t>
            </w:r>
          </w:p>
        </w:tc>
        <w:tc>
          <w:tcPr>
            <w:tcW w:w="544" w:type="pct"/>
            <w:tcBorders>
              <w:tl2br w:val="nil"/>
              <w:tr2bl w:val="nil"/>
            </w:tcBorders>
            <w:noWrap w:val="0"/>
            <w:vAlign w:val="center"/>
          </w:tcPr>
          <w:p w14:paraId="5ED89897">
            <w:pPr>
              <w:pStyle w:val="26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textAlignment w:val="auto"/>
              <w:rPr>
                <w:rFonts w:hint="default" w:ascii="Times New Roman" w:hAnsi="Times New Roman" w:eastAsia="宋体" w:cs="Times New Roman"/>
                <w:color w:val="auto"/>
                <w:szCs w:val="24"/>
              </w:rPr>
            </w:pPr>
            <w:r>
              <w:rPr>
                <w:rFonts w:hint="default" w:ascii="Times New Roman" w:hAnsi="Times New Roman" w:eastAsia="宋体" w:cs="Times New Roman"/>
                <w:color w:val="auto"/>
                <w:szCs w:val="24"/>
              </w:rPr>
              <w:t>27</w:t>
            </w:r>
          </w:p>
        </w:tc>
        <w:tc>
          <w:tcPr>
            <w:tcW w:w="713" w:type="pct"/>
            <w:tcBorders>
              <w:tl2br w:val="nil"/>
              <w:tr2bl w:val="nil"/>
            </w:tcBorders>
            <w:noWrap w:val="0"/>
            <w:vAlign w:val="center"/>
          </w:tcPr>
          <w:p w14:paraId="18A43A96">
            <w:pPr>
              <w:pStyle w:val="26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textAlignment w:val="auto"/>
              <w:rPr>
                <w:rFonts w:hint="default" w:ascii="Times New Roman" w:hAnsi="Times New Roman" w:eastAsia="宋体" w:cs="Times New Roman"/>
                <w:color w:val="auto"/>
                <w:szCs w:val="24"/>
              </w:rPr>
            </w:pPr>
            <w:r>
              <w:rPr>
                <w:rFonts w:hint="default" w:ascii="Times New Roman" w:hAnsi="Times New Roman" w:eastAsia="宋体" w:cs="Times New Roman"/>
                <w:color w:val="auto"/>
                <w:szCs w:val="24"/>
              </w:rPr>
              <w:t>HCO</w:t>
            </w:r>
            <w:r>
              <w:rPr>
                <w:rFonts w:hint="default" w:ascii="Times New Roman" w:hAnsi="Times New Roman" w:eastAsia="宋体" w:cs="Times New Roman"/>
                <w:color w:val="auto"/>
                <w:szCs w:val="24"/>
                <w:vertAlign w:val="subscript"/>
              </w:rPr>
              <w:t>3</w:t>
            </w:r>
            <w:r>
              <w:rPr>
                <w:rFonts w:hint="default" w:ascii="Times New Roman" w:hAnsi="Times New Roman" w:eastAsia="宋体" w:cs="Times New Roman"/>
                <w:color w:val="auto"/>
                <w:szCs w:val="24"/>
                <w:vertAlign w:val="superscript"/>
              </w:rPr>
              <w:t>-</w:t>
            </w:r>
          </w:p>
        </w:tc>
        <w:tc>
          <w:tcPr>
            <w:tcW w:w="612" w:type="pct"/>
            <w:tcBorders>
              <w:tl2br w:val="nil"/>
              <w:tr2bl w:val="nil"/>
            </w:tcBorders>
            <w:noWrap w:val="0"/>
            <w:vAlign w:val="center"/>
          </w:tcPr>
          <w:p w14:paraId="42E5B3C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942" w:type="pct"/>
            <w:vMerge w:val="continue"/>
            <w:tcBorders>
              <w:tl2br w:val="nil"/>
              <w:tr2bl w:val="nil"/>
            </w:tcBorders>
            <w:noWrap w:val="0"/>
            <w:vAlign w:val="center"/>
          </w:tcPr>
          <w:p w14:paraId="120063A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rPr>
            </w:pPr>
          </w:p>
        </w:tc>
      </w:tr>
      <w:tr w14:paraId="10EAD4F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9" w:type="pct"/>
            <w:tcBorders>
              <w:tl2br w:val="nil"/>
              <w:tr2bl w:val="nil"/>
            </w:tcBorders>
            <w:noWrap w:val="0"/>
            <w:vAlign w:val="center"/>
          </w:tcPr>
          <w:p w14:paraId="5699F35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13</w:t>
            </w:r>
          </w:p>
        </w:tc>
        <w:tc>
          <w:tcPr>
            <w:tcW w:w="1232" w:type="pct"/>
            <w:tcBorders>
              <w:tl2br w:val="nil"/>
              <w:tr2bl w:val="nil"/>
            </w:tcBorders>
            <w:noWrap w:val="0"/>
            <w:vAlign w:val="center"/>
          </w:tcPr>
          <w:p w14:paraId="550E0CA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铁</w:t>
            </w:r>
          </w:p>
        </w:tc>
        <w:tc>
          <w:tcPr>
            <w:tcW w:w="627" w:type="pct"/>
            <w:tcBorders>
              <w:tl2br w:val="nil"/>
              <w:tr2bl w:val="nil"/>
            </w:tcBorders>
            <w:noWrap w:val="0"/>
            <w:vAlign w:val="center"/>
          </w:tcPr>
          <w:p w14:paraId="44F1F04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≤0.3</w:t>
            </w:r>
          </w:p>
        </w:tc>
        <w:tc>
          <w:tcPr>
            <w:tcW w:w="544" w:type="pct"/>
            <w:tcBorders>
              <w:tl2br w:val="nil"/>
              <w:tr2bl w:val="nil"/>
            </w:tcBorders>
            <w:noWrap w:val="0"/>
            <w:vAlign w:val="center"/>
          </w:tcPr>
          <w:p w14:paraId="0B3D733F">
            <w:pPr>
              <w:pStyle w:val="26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textAlignment w:val="auto"/>
              <w:rPr>
                <w:rFonts w:hint="default" w:ascii="Times New Roman" w:hAnsi="Times New Roman" w:eastAsia="宋体" w:cs="Times New Roman"/>
                <w:color w:val="auto"/>
                <w:szCs w:val="24"/>
              </w:rPr>
            </w:pPr>
            <w:r>
              <w:rPr>
                <w:rFonts w:hint="default" w:ascii="Times New Roman" w:hAnsi="Times New Roman" w:eastAsia="宋体" w:cs="Times New Roman"/>
                <w:color w:val="auto"/>
                <w:szCs w:val="24"/>
              </w:rPr>
              <w:t>28</w:t>
            </w:r>
          </w:p>
        </w:tc>
        <w:tc>
          <w:tcPr>
            <w:tcW w:w="713" w:type="pct"/>
            <w:tcBorders>
              <w:tl2br w:val="nil"/>
              <w:tr2bl w:val="nil"/>
            </w:tcBorders>
            <w:noWrap w:val="0"/>
            <w:vAlign w:val="center"/>
          </w:tcPr>
          <w:p w14:paraId="508D0E29">
            <w:pPr>
              <w:pStyle w:val="26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textAlignment w:val="auto"/>
              <w:rPr>
                <w:rFonts w:hint="default" w:ascii="Times New Roman" w:hAnsi="Times New Roman" w:eastAsia="宋体" w:cs="Times New Roman"/>
                <w:color w:val="auto"/>
                <w:szCs w:val="24"/>
              </w:rPr>
            </w:pPr>
            <w:r>
              <w:rPr>
                <w:rFonts w:hint="default" w:ascii="Times New Roman" w:hAnsi="Times New Roman" w:eastAsia="宋体" w:cs="Times New Roman"/>
                <w:color w:val="auto"/>
                <w:szCs w:val="24"/>
              </w:rPr>
              <w:t>Cl</w:t>
            </w:r>
            <w:r>
              <w:rPr>
                <w:rFonts w:hint="default" w:ascii="Times New Roman" w:hAnsi="Times New Roman" w:eastAsia="宋体" w:cs="Times New Roman"/>
                <w:color w:val="auto"/>
                <w:szCs w:val="24"/>
                <w:vertAlign w:val="superscript"/>
              </w:rPr>
              <w:t>-</w:t>
            </w:r>
          </w:p>
        </w:tc>
        <w:tc>
          <w:tcPr>
            <w:tcW w:w="612" w:type="pct"/>
            <w:tcBorders>
              <w:tl2br w:val="nil"/>
              <w:tr2bl w:val="nil"/>
            </w:tcBorders>
            <w:noWrap w:val="0"/>
            <w:vAlign w:val="center"/>
          </w:tcPr>
          <w:p w14:paraId="57DF653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942" w:type="pct"/>
            <w:vMerge w:val="continue"/>
            <w:tcBorders>
              <w:tl2br w:val="nil"/>
              <w:tr2bl w:val="nil"/>
            </w:tcBorders>
            <w:noWrap w:val="0"/>
            <w:vAlign w:val="center"/>
          </w:tcPr>
          <w:p w14:paraId="14620D5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rPr>
            </w:pPr>
          </w:p>
        </w:tc>
      </w:tr>
      <w:tr w14:paraId="4E1BE20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9" w:type="pct"/>
            <w:tcBorders>
              <w:tl2br w:val="nil"/>
              <w:tr2bl w:val="nil"/>
            </w:tcBorders>
            <w:noWrap w:val="0"/>
            <w:vAlign w:val="center"/>
          </w:tcPr>
          <w:p w14:paraId="565FD87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14</w:t>
            </w:r>
          </w:p>
        </w:tc>
        <w:tc>
          <w:tcPr>
            <w:tcW w:w="1232" w:type="pct"/>
            <w:tcBorders>
              <w:tl2br w:val="nil"/>
              <w:tr2bl w:val="nil"/>
            </w:tcBorders>
            <w:noWrap w:val="0"/>
            <w:vAlign w:val="center"/>
          </w:tcPr>
          <w:p w14:paraId="607B4AF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锰</w:t>
            </w:r>
          </w:p>
        </w:tc>
        <w:tc>
          <w:tcPr>
            <w:tcW w:w="627" w:type="pct"/>
            <w:tcBorders>
              <w:tl2br w:val="nil"/>
              <w:tr2bl w:val="nil"/>
            </w:tcBorders>
            <w:noWrap w:val="0"/>
            <w:vAlign w:val="center"/>
          </w:tcPr>
          <w:p w14:paraId="543286D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≤0.1</w:t>
            </w:r>
          </w:p>
        </w:tc>
        <w:tc>
          <w:tcPr>
            <w:tcW w:w="544" w:type="pct"/>
            <w:tcBorders>
              <w:tl2br w:val="nil"/>
              <w:tr2bl w:val="nil"/>
            </w:tcBorders>
            <w:noWrap w:val="0"/>
            <w:vAlign w:val="center"/>
          </w:tcPr>
          <w:p w14:paraId="2E767A0A">
            <w:pPr>
              <w:pStyle w:val="26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textAlignment w:val="auto"/>
              <w:rPr>
                <w:rFonts w:hint="default" w:ascii="Times New Roman" w:hAnsi="Times New Roman" w:eastAsia="宋体" w:cs="Times New Roman"/>
                <w:color w:val="auto"/>
                <w:szCs w:val="24"/>
              </w:rPr>
            </w:pPr>
            <w:r>
              <w:rPr>
                <w:rFonts w:hint="default" w:ascii="Times New Roman" w:hAnsi="Times New Roman" w:eastAsia="宋体" w:cs="Times New Roman"/>
                <w:color w:val="auto"/>
                <w:szCs w:val="24"/>
              </w:rPr>
              <w:t>29</w:t>
            </w:r>
          </w:p>
        </w:tc>
        <w:tc>
          <w:tcPr>
            <w:tcW w:w="713" w:type="pct"/>
            <w:tcBorders>
              <w:tl2br w:val="nil"/>
              <w:tr2bl w:val="nil"/>
            </w:tcBorders>
            <w:noWrap w:val="0"/>
            <w:vAlign w:val="center"/>
          </w:tcPr>
          <w:p w14:paraId="7B8B2738">
            <w:pPr>
              <w:pStyle w:val="26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textAlignment w:val="auto"/>
              <w:rPr>
                <w:rFonts w:hint="default" w:ascii="Times New Roman" w:hAnsi="Times New Roman" w:eastAsia="宋体" w:cs="Times New Roman"/>
                <w:color w:val="auto"/>
                <w:szCs w:val="24"/>
              </w:rPr>
            </w:pPr>
            <w:r>
              <w:rPr>
                <w:rFonts w:hint="default" w:ascii="Times New Roman" w:hAnsi="Times New Roman" w:eastAsia="宋体" w:cs="Times New Roman"/>
                <w:color w:val="auto"/>
                <w:szCs w:val="24"/>
              </w:rPr>
              <w:t>SO</w:t>
            </w:r>
            <w:r>
              <w:rPr>
                <w:rFonts w:hint="default" w:ascii="Times New Roman" w:hAnsi="Times New Roman" w:eastAsia="宋体" w:cs="Times New Roman"/>
                <w:color w:val="auto"/>
                <w:szCs w:val="24"/>
                <w:vertAlign w:val="subscript"/>
              </w:rPr>
              <w:t>4</w:t>
            </w:r>
            <w:r>
              <w:rPr>
                <w:rFonts w:hint="default" w:ascii="Times New Roman" w:hAnsi="Times New Roman" w:eastAsia="宋体" w:cs="Times New Roman"/>
                <w:color w:val="auto"/>
                <w:szCs w:val="24"/>
                <w:vertAlign w:val="superscript"/>
              </w:rPr>
              <w:t>2-</w:t>
            </w:r>
          </w:p>
        </w:tc>
        <w:tc>
          <w:tcPr>
            <w:tcW w:w="612" w:type="pct"/>
            <w:tcBorders>
              <w:tl2br w:val="nil"/>
              <w:tr2bl w:val="nil"/>
            </w:tcBorders>
            <w:noWrap w:val="0"/>
            <w:vAlign w:val="center"/>
          </w:tcPr>
          <w:p w14:paraId="52B8DE2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942" w:type="pct"/>
            <w:vMerge w:val="continue"/>
            <w:tcBorders>
              <w:tl2br w:val="nil"/>
              <w:tr2bl w:val="nil"/>
            </w:tcBorders>
            <w:noWrap w:val="0"/>
            <w:vAlign w:val="center"/>
          </w:tcPr>
          <w:p w14:paraId="6C81248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rPr>
            </w:pPr>
          </w:p>
        </w:tc>
      </w:tr>
      <w:tr w14:paraId="6F79686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9" w:type="pct"/>
            <w:tcBorders>
              <w:tl2br w:val="nil"/>
              <w:tr2bl w:val="nil"/>
            </w:tcBorders>
            <w:noWrap w:val="0"/>
            <w:vAlign w:val="center"/>
          </w:tcPr>
          <w:p w14:paraId="23DF092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15</w:t>
            </w:r>
          </w:p>
        </w:tc>
        <w:tc>
          <w:tcPr>
            <w:tcW w:w="1232" w:type="pct"/>
            <w:tcBorders>
              <w:tl2br w:val="nil"/>
              <w:tr2bl w:val="nil"/>
            </w:tcBorders>
            <w:noWrap w:val="0"/>
            <w:vAlign w:val="center"/>
          </w:tcPr>
          <w:p w14:paraId="71D6E80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菌落总数（CFU/mL）</w:t>
            </w:r>
          </w:p>
        </w:tc>
        <w:tc>
          <w:tcPr>
            <w:tcW w:w="627" w:type="pct"/>
            <w:tcBorders>
              <w:tl2br w:val="nil"/>
              <w:tr2bl w:val="nil"/>
            </w:tcBorders>
            <w:noWrap w:val="0"/>
            <w:vAlign w:val="center"/>
          </w:tcPr>
          <w:p w14:paraId="20A97E8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≤100</w:t>
            </w:r>
          </w:p>
        </w:tc>
        <w:tc>
          <w:tcPr>
            <w:tcW w:w="544" w:type="pct"/>
            <w:tcBorders>
              <w:tl2br w:val="nil"/>
              <w:tr2bl w:val="nil"/>
            </w:tcBorders>
            <w:noWrap w:val="0"/>
            <w:vAlign w:val="center"/>
          </w:tcPr>
          <w:p w14:paraId="38DC5C0C">
            <w:pPr>
              <w:pStyle w:val="26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textAlignment w:val="auto"/>
              <w:rPr>
                <w:rFonts w:hint="default" w:ascii="Times New Roman" w:hAnsi="Times New Roman" w:eastAsia="宋体" w:cs="Times New Roman"/>
                <w:color w:val="auto"/>
                <w:szCs w:val="24"/>
              </w:rPr>
            </w:pPr>
          </w:p>
        </w:tc>
        <w:tc>
          <w:tcPr>
            <w:tcW w:w="713" w:type="pct"/>
            <w:tcBorders>
              <w:tl2br w:val="nil"/>
              <w:tr2bl w:val="nil"/>
            </w:tcBorders>
            <w:noWrap w:val="0"/>
            <w:vAlign w:val="center"/>
          </w:tcPr>
          <w:p w14:paraId="07B9779B">
            <w:pPr>
              <w:pStyle w:val="26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textAlignment w:val="auto"/>
              <w:rPr>
                <w:rFonts w:hint="default" w:ascii="Times New Roman" w:hAnsi="Times New Roman" w:eastAsia="宋体" w:cs="Times New Roman"/>
                <w:color w:val="auto"/>
                <w:szCs w:val="24"/>
              </w:rPr>
            </w:pPr>
          </w:p>
        </w:tc>
        <w:tc>
          <w:tcPr>
            <w:tcW w:w="612" w:type="pct"/>
            <w:tcBorders>
              <w:tl2br w:val="nil"/>
              <w:tr2bl w:val="nil"/>
            </w:tcBorders>
            <w:noWrap w:val="0"/>
            <w:vAlign w:val="center"/>
          </w:tcPr>
          <w:p w14:paraId="62780D1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rPr>
            </w:pPr>
          </w:p>
        </w:tc>
        <w:tc>
          <w:tcPr>
            <w:tcW w:w="942" w:type="pct"/>
            <w:vMerge w:val="continue"/>
            <w:tcBorders>
              <w:tl2br w:val="nil"/>
              <w:tr2bl w:val="nil"/>
            </w:tcBorders>
            <w:noWrap w:val="0"/>
            <w:vAlign w:val="center"/>
          </w:tcPr>
          <w:p w14:paraId="406B604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rPr>
            </w:pPr>
          </w:p>
        </w:tc>
      </w:tr>
    </w:tbl>
    <w:p w14:paraId="3F8CA0DF">
      <w:pPr>
        <w:pStyle w:val="5"/>
        <w:rPr>
          <w:rFonts w:ascii="Times New Roman" w:hAnsi="Times New Roman"/>
          <w:color w:val="000000"/>
          <w:lang w:val="en-US"/>
        </w:rPr>
      </w:pPr>
      <w:r>
        <w:rPr>
          <w:rFonts w:hint="eastAsia" w:ascii="Times New Roman" w:hAnsi="Times New Roman"/>
          <w:color w:val="000000"/>
          <w:lang w:val="en-US"/>
        </w:rPr>
        <w:t>2.6.1.3声环境</w:t>
      </w:r>
    </w:p>
    <w:p w14:paraId="11045E30">
      <w:pPr>
        <w:pStyle w:val="16"/>
        <w:overflowPunct w:val="0"/>
        <w:topLinePunct/>
        <w:autoSpaceDE w:val="0"/>
        <w:autoSpaceDN w:val="0"/>
        <w:spacing w:after="0" w:line="360" w:lineRule="auto"/>
        <w:ind w:firstLine="480"/>
        <w:rPr>
          <w:rFonts w:hint="eastAsia" w:ascii="宋体" w:hAnsi="宋体" w:cs="宋体"/>
          <w:sz w:val="24"/>
          <w:szCs w:val="24"/>
        </w:rPr>
      </w:pPr>
      <w:r>
        <w:rPr>
          <w:rFonts w:hint="eastAsia" w:ascii="宋体" w:hAnsi="宋体" w:cs="宋体"/>
          <w:sz w:val="24"/>
          <w:szCs w:val="24"/>
        </w:rPr>
        <w:t>本项目位于</w:t>
      </w:r>
      <w:r>
        <w:rPr>
          <w:rFonts w:hint="eastAsia" w:ascii="宋体" w:hAnsi="宋体" w:cs="宋体"/>
          <w:kern w:val="0"/>
          <w:sz w:val="24"/>
          <w:szCs w:val="24"/>
          <w:lang w:bidi="zh-CN"/>
        </w:rPr>
        <w:t>新疆库尔勒市普惠乡润疆社区四分场库尔勒惠泉工贸有限公司厂区内</w:t>
      </w:r>
      <w:r>
        <w:rPr>
          <w:rFonts w:hint="eastAsia" w:ascii="宋体" w:hAnsi="宋体" w:cs="宋体"/>
          <w:sz w:val="24"/>
          <w:szCs w:val="24"/>
        </w:rPr>
        <w:t>，依据《</w:t>
      </w:r>
      <w:r>
        <w:rPr>
          <w:rFonts w:hint="eastAsia" w:ascii="宋体" w:hAnsi="宋体" w:cs="宋体"/>
          <w:sz w:val="24"/>
          <w:szCs w:val="24"/>
          <w:lang w:val="en-US"/>
        </w:rPr>
        <w:t>库尔勒市</w:t>
      </w:r>
      <w:r>
        <w:rPr>
          <w:rFonts w:hint="eastAsia" w:ascii="宋体" w:hAnsi="宋体" w:cs="宋体"/>
          <w:sz w:val="24"/>
          <w:szCs w:val="24"/>
        </w:rPr>
        <w:t>环境功能区划</w:t>
      </w:r>
      <w:r>
        <w:rPr>
          <w:rFonts w:hint="eastAsia" w:ascii="宋体" w:hAnsi="宋体" w:cs="宋体"/>
          <w:sz w:val="24"/>
          <w:szCs w:val="24"/>
          <w:lang w:eastAsia="zh-CN"/>
        </w:rPr>
        <w:t>》《</w:t>
      </w:r>
      <w:r>
        <w:rPr>
          <w:rFonts w:hint="eastAsia" w:ascii="宋体" w:hAnsi="宋体" w:cs="宋体"/>
          <w:sz w:val="24"/>
          <w:szCs w:val="24"/>
        </w:rPr>
        <w:t>声环境功能区划分技术规范》（GB/T15190-2014）噪声区划分要求及项目区域所处位置特点，项目区域划分为</w:t>
      </w:r>
      <w:r>
        <w:rPr>
          <w:rFonts w:hint="eastAsia" w:ascii="宋体" w:hAnsi="宋体" w:cs="宋体"/>
          <w:sz w:val="24"/>
          <w:szCs w:val="24"/>
          <w:lang w:val="en-US"/>
        </w:rPr>
        <w:t>2</w:t>
      </w:r>
      <w:r>
        <w:rPr>
          <w:rFonts w:hint="eastAsia" w:ascii="宋体" w:hAnsi="宋体" w:cs="宋体"/>
          <w:sz w:val="24"/>
          <w:szCs w:val="24"/>
        </w:rPr>
        <w:t>类声环境功能区。因此本项目声环境满足《声环境质量标准》（GB3096-2008）</w:t>
      </w:r>
      <w:r>
        <w:rPr>
          <w:rFonts w:hint="eastAsia" w:ascii="宋体" w:hAnsi="宋体" w:cs="宋体"/>
          <w:sz w:val="24"/>
          <w:szCs w:val="24"/>
          <w:lang w:val="en-US"/>
        </w:rPr>
        <w:t>2</w:t>
      </w:r>
      <w:r>
        <w:rPr>
          <w:rFonts w:hint="eastAsia" w:ascii="宋体" w:hAnsi="宋体" w:cs="宋体"/>
          <w:sz w:val="24"/>
          <w:szCs w:val="24"/>
        </w:rPr>
        <w:t>类标准，标准值见表</w:t>
      </w:r>
      <w:r>
        <w:rPr>
          <w:rFonts w:hint="eastAsia" w:ascii="宋体" w:hAnsi="宋体" w:cs="宋体"/>
          <w:sz w:val="24"/>
          <w:szCs w:val="24"/>
          <w:lang w:val="en-US"/>
        </w:rPr>
        <w:t>2.6-3</w:t>
      </w:r>
      <w:r>
        <w:rPr>
          <w:rFonts w:hint="eastAsia" w:ascii="宋体" w:hAnsi="宋体" w:cs="宋体"/>
          <w:sz w:val="24"/>
          <w:szCs w:val="24"/>
        </w:rPr>
        <w:t>。</w:t>
      </w:r>
    </w:p>
    <w:p w14:paraId="6F9E1361">
      <w:pPr>
        <w:snapToGrid w:val="0"/>
        <w:spacing w:line="440" w:lineRule="exact"/>
        <w:jc w:val="center"/>
        <w:rPr>
          <w:rFonts w:hint="eastAsia" w:ascii="宋体" w:hAnsi="宋体" w:cs="宋体"/>
          <w:b/>
          <w:bCs/>
          <w:szCs w:val="21"/>
        </w:rPr>
      </w:pPr>
      <w:r>
        <w:rPr>
          <w:rFonts w:hint="eastAsia" w:ascii="宋体" w:hAnsi="宋体" w:cs="宋体"/>
          <w:b/>
          <w:bCs/>
          <w:szCs w:val="21"/>
        </w:rPr>
        <w:t>表2.6-3  声环境质量标准限值单位：dB（A）</w:t>
      </w:r>
    </w:p>
    <w:tbl>
      <w:tblPr>
        <w:tblStyle w:val="49"/>
        <w:tblW w:w="5013"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3019"/>
        <w:gridCol w:w="3024"/>
        <w:gridCol w:w="3025"/>
      </w:tblGrid>
      <w:tr w14:paraId="7444D85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08" w:hRule="atLeast"/>
          <w:jc w:val="center"/>
        </w:trPr>
        <w:tc>
          <w:tcPr>
            <w:tcW w:w="3010" w:type="dxa"/>
            <w:tcBorders>
              <w:tl2br w:val="nil"/>
              <w:tr2bl w:val="nil"/>
            </w:tcBorders>
            <w:vAlign w:val="center"/>
          </w:tcPr>
          <w:p w14:paraId="1E5A5611">
            <w:pPr>
              <w:pStyle w:val="228"/>
              <w:kinsoku w:val="0"/>
              <w:overflowPunct w:val="0"/>
              <w:autoSpaceDE w:val="0"/>
              <w:autoSpaceDN w:val="0"/>
              <w:spacing w:line="360" w:lineRule="exact"/>
              <w:ind w:firstLine="414"/>
              <w:rPr>
                <w:bCs/>
              </w:rPr>
            </w:pPr>
            <w:r>
              <w:rPr>
                <w:bCs/>
                <w:spacing w:val="-2"/>
                <w:szCs w:val="21"/>
              </w:rPr>
              <w:t>声环境功能区类别</w:t>
            </w:r>
          </w:p>
        </w:tc>
        <w:tc>
          <w:tcPr>
            <w:tcW w:w="3014" w:type="dxa"/>
            <w:tcBorders>
              <w:tl2br w:val="nil"/>
              <w:tr2bl w:val="nil"/>
            </w:tcBorders>
            <w:vAlign w:val="center"/>
          </w:tcPr>
          <w:p w14:paraId="0AA49E53">
            <w:pPr>
              <w:pStyle w:val="228"/>
              <w:kinsoku w:val="0"/>
              <w:overflowPunct w:val="0"/>
              <w:autoSpaceDE w:val="0"/>
              <w:autoSpaceDN w:val="0"/>
              <w:spacing w:line="360" w:lineRule="exact"/>
              <w:ind w:firstLine="422"/>
              <w:rPr>
                <w:bCs/>
              </w:rPr>
            </w:pPr>
            <w:r>
              <w:rPr>
                <w:bCs/>
                <w:szCs w:val="21"/>
              </w:rPr>
              <w:t>昼间</w:t>
            </w:r>
          </w:p>
        </w:tc>
        <w:tc>
          <w:tcPr>
            <w:tcW w:w="3015" w:type="dxa"/>
            <w:tcBorders>
              <w:tl2br w:val="nil"/>
              <w:tr2bl w:val="nil"/>
            </w:tcBorders>
            <w:vAlign w:val="center"/>
          </w:tcPr>
          <w:p w14:paraId="685A88F4">
            <w:pPr>
              <w:pStyle w:val="228"/>
              <w:kinsoku w:val="0"/>
              <w:overflowPunct w:val="0"/>
              <w:autoSpaceDE w:val="0"/>
              <w:autoSpaceDN w:val="0"/>
              <w:spacing w:line="360" w:lineRule="exact"/>
              <w:ind w:firstLine="422"/>
              <w:rPr>
                <w:bCs/>
              </w:rPr>
            </w:pPr>
            <w:r>
              <w:rPr>
                <w:bCs/>
                <w:szCs w:val="21"/>
              </w:rPr>
              <w:t>夜间</w:t>
            </w:r>
          </w:p>
        </w:tc>
      </w:tr>
      <w:tr w14:paraId="5715410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57" w:hRule="atLeast"/>
          <w:jc w:val="center"/>
        </w:trPr>
        <w:tc>
          <w:tcPr>
            <w:tcW w:w="3010" w:type="dxa"/>
            <w:tcBorders>
              <w:tl2br w:val="nil"/>
              <w:tr2bl w:val="nil"/>
            </w:tcBorders>
            <w:vAlign w:val="center"/>
          </w:tcPr>
          <w:p w14:paraId="102BC045">
            <w:pPr>
              <w:pStyle w:val="228"/>
              <w:kinsoku w:val="0"/>
              <w:overflowPunct w:val="0"/>
              <w:autoSpaceDE w:val="0"/>
              <w:autoSpaceDN w:val="0"/>
              <w:spacing w:line="360" w:lineRule="exact"/>
              <w:ind w:firstLine="420"/>
            </w:pPr>
            <w:r>
              <w:rPr>
                <w:rFonts w:hint="eastAsia"/>
                <w:szCs w:val="21"/>
              </w:rPr>
              <w:t>2</w:t>
            </w:r>
            <w:r>
              <w:rPr>
                <w:szCs w:val="21"/>
              </w:rPr>
              <w:t>类</w:t>
            </w:r>
          </w:p>
        </w:tc>
        <w:tc>
          <w:tcPr>
            <w:tcW w:w="3014" w:type="dxa"/>
            <w:tcBorders>
              <w:tl2br w:val="nil"/>
              <w:tr2bl w:val="nil"/>
            </w:tcBorders>
            <w:vAlign w:val="center"/>
          </w:tcPr>
          <w:p w14:paraId="797BE1EB">
            <w:pPr>
              <w:pStyle w:val="228"/>
              <w:kinsoku w:val="0"/>
              <w:overflowPunct w:val="0"/>
              <w:autoSpaceDE w:val="0"/>
              <w:autoSpaceDN w:val="0"/>
              <w:spacing w:line="360" w:lineRule="exact"/>
              <w:ind w:firstLine="420"/>
            </w:pPr>
            <w:r>
              <w:rPr>
                <w:szCs w:val="21"/>
              </w:rPr>
              <w:t>6</w:t>
            </w:r>
            <w:r>
              <w:rPr>
                <w:rFonts w:hint="eastAsia"/>
                <w:szCs w:val="21"/>
              </w:rPr>
              <w:t>0</w:t>
            </w:r>
          </w:p>
        </w:tc>
        <w:tc>
          <w:tcPr>
            <w:tcW w:w="3015" w:type="dxa"/>
            <w:tcBorders>
              <w:tl2br w:val="nil"/>
              <w:tr2bl w:val="nil"/>
            </w:tcBorders>
            <w:vAlign w:val="center"/>
          </w:tcPr>
          <w:p w14:paraId="2096DFD2">
            <w:pPr>
              <w:pStyle w:val="228"/>
              <w:kinsoku w:val="0"/>
              <w:overflowPunct w:val="0"/>
              <w:autoSpaceDE w:val="0"/>
              <w:autoSpaceDN w:val="0"/>
              <w:spacing w:line="360" w:lineRule="exact"/>
              <w:ind w:firstLine="420"/>
            </w:pPr>
            <w:r>
              <w:rPr>
                <w:szCs w:val="21"/>
              </w:rPr>
              <w:t>5</w:t>
            </w:r>
            <w:r>
              <w:rPr>
                <w:rFonts w:hint="eastAsia"/>
                <w:szCs w:val="21"/>
              </w:rPr>
              <w:t>0</w:t>
            </w:r>
          </w:p>
        </w:tc>
      </w:tr>
    </w:tbl>
    <w:p w14:paraId="656D4751">
      <w:pPr>
        <w:pStyle w:val="5"/>
        <w:rPr>
          <w:rFonts w:ascii="Times New Roman" w:hAnsi="Times New Roman"/>
          <w:color w:val="000000"/>
          <w:lang w:val="en-US"/>
        </w:rPr>
      </w:pPr>
      <w:r>
        <w:rPr>
          <w:rFonts w:hint="eastAsia" w:ascii="Times New Roman" w:hAnsi="Times New Roman"/>
          <w:color w:val="000000"/>
          <w:lang w:val="en-US"/>
        </w:rPr>
        <w:t>2.6.1.4土壤环境质量标准</w:t>
      </w:r>
    </w:p>
    <w:p w14:paraId="2C55E616">
      <w:pPr>
        <w:spacing w:line="360" w:lineRule="auto"/>
        <w:ind w:firstLine="480"/>
        <w:rPr>
          <w:rFonts w:hint="eastAsia" w:ascii="宋体" w:hAnsi="宋体" w:eastAsia="宋体" w:cs="宋体"/>
          <w:sz w:val="24"/>
          <w:szCs w:val="24"/>
          <w:lang w:eastAsia="zh-CN"/>
        </w:rPr>
      </w:pPr>
      <w:r>
        <w:rPr>
          <w:rFonts w:hint="eastAsia" w:ascii="宋体" w:hAnsi="宋体" w:cs="宋体"/>
          <w:sz w:val="24"/>
          <w:szCs w:val="24"/>
        </w:rPr>
        <w:t>本项目所在区域建设用地土壤环境执行《土壤环境质量</w:t>
      </w:r>
      <w:r>
        <w:rPr>
          <w:rFonts w:hint="eastAsia" w:ascii="宋体" w:hAnsi="宋体" w:cs="宋体"/>
          <w:sz w:val="24"/>
          <w:szCs w:val="24"/>
          <w:lang w:val="en-US" w:eastAsia="zh-CN"/>
        </w:rPr>
        <w:t xml:space="preserve">  </w:t>
      </w:r>
      <w:r>
        <w:rPr>
          <w:rFonts w:hint="eastAsia" w:ascii="宋体" w:hAnsi="宋体" w:cs="宋体"/>
          <w:sz w:val="24"/>
          <w:szCs w:val="24"/>
        </w:rPr>
        <w:t>建设用地土壤污染风险管控标准（试行）》（GB36600-2018）表</w:t>
      </w:r>
      <w:r>
        <w:rPr>
          <w:rFonts w:hint="eastAsia" w:ascii="宋体" w:hAnsi="宋体" w:cs="宋体"/>
          <w:sz w:val="24"/>
          <w:szCs w:val="24"/>
          <w:lang w:val="en-US" w:eastAsia="zh-CN"/>
        </w:rPr>
        <w:t>1</w:t>
      </w:r>
      <w:r>
        <w:rPr>
          <w:rFonts w:hint="eastAsia" w:ascii="宋体" w:hAnsi="宋体" w:cs="宋体"/>
          <w:sz w:val="24"/>
          <w:szCs w:val="24"/>
        </w:rPr>
        <w:t>中第二类用地标准值，具体限值详见表2.6-4。项目区周边执行《土壤环境质量标准 农用地土壤污染风险管控标准》（GB15618-2018）表1、表2和表3风险筛选和管控值中相关标准要求</w:t>
      </w:r>
      <w:r>
        <w:rPr>
          <w:rFonts w:hint="eastAsia" w:ascii="宋体" w:hAnsi="宋体" w:cs="宋体"/>
          <w:sz w:val="24"/>
          <w:szCs w:val="24"/>
          <w:lang w:eastAsia="zh-CN"/>
        </w:rPr>
        <w:t>，</w:t>
      </w:r>
      <w:r>
        <w:rPr>
          <w:rFonts w:hint="eastAsia" w:ascii="宋体" w:hAnsi="宋体" w:cs="宋体"/>
          <w:sz w:val="24"/>
          <w:szCs w:val="24"/>
        </w:rPr>
        <w:t>具体限值详见表2.6-</w:t>
      </w:r>
      <w:r>
        <w:rPr>
          <w:rFonts w:hint="eastAsia" w:ascii="宋体" w:hAnsi="宋体" w:cs="宋体"/>
          <w:sz w:val="24"/>
          <w:szCs w:val="24"/>
          <w:lang w:val="en-US" w:eastAsia="zh-CN"/>
        </w:rPr>
        <w:t>5</w:t>
      </w:r>
      <w:r>
        <w:rPr>
          <w:rFonts w:hint="eastAsia" w:ascii="宋体" w:hAnsi="宋体" w:cs="宋体"/>
          <w:sz w:val="24"/>
          <w:szCs w:val="24"/>
          <w:lang w:eastAsia="zh-CN"/>
        </w:rPr>
        <w:t>。</w:t>
      </w:r>
    </w:p>
    <w:p w14:paraId="7668B6E6">
      <w:pPr>
        <w:pStyle w:val="237"/>
      </w:pPr>
      <w:r>
        <w:rPr>
          <w:rFonts w:hint="eastAsia" w:ascii="宋体" w:hAnsi="宋体" w:cs="宋体"/>
          <w:szCs w:val="21"/>
        </w:rPr>
        <w:t xml:space="preserve">表2.6-4    </w:t>
      </w:r>
      <w:r>
        <w:t>土壤环境质量标准一览表     单位：mg/kg</w:t>
      </w:r>
    </w:p>
    <w:tbl>
      <w:tblPr>
        <w:tblStyle w:val="49"/>
        <w:tblW w:w="5093"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0" w:type="dxa"/>
          <w:bottom w:w="0" w:type="dxa"/>
          <w:right w:w="0" w:type="dxa"/>
        </w:tblCellMar>
      </w:tblPr>
      <w:tblGrid>
        <w:gridCol w:w="479"/>
        <w:gridCol w:w="2019"/>
        <w:gridCol w:w="1003"/>
        <w:gridCol w:w="1186"/>
        <w:gridCol w:w="540"/>
        <w:gridCol w:w="1960"/>
        <w:gridCol w:w="970"/>
        <w:gridCol w:w="1056"/>
      </w:tblGrid>
      <w:tr w14:paraId="420E0FE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blHeader/>
          <w:jc w:val="center"/>
        </w:trPr>
        <w:tc>
          <w:tcPr>
            <w:tcW w:w="260" w:type="pct"/>
            <w:tcBorders>
              <w:tl2br w:val="nil"/>
              <w:tr2bl w:val="nil"/>
            </w:tcBorders>
            <w:vAlign w:val="center"/>
          </w:tcPr>
          <w:p w14:paraId="2A3D9EC0">
            <w:pPr>
              <w:pStyle w:val="238"/>
              <w:rPr>
                <w:rFonts w:hint="default"/>
              </w:rPr>
            </w:pPr>
            <w:r>
              <w:rPr>
                <w:rFonts w:hint="default"/>
              </w:rPr>
              <w:t>序号</w:t>
            </w:r>
          </w:p>
        </w:tc>
        <w:tc>
          <w:tcPr>
            <w:tcW w:w="1095" w:type="pct"/>
            <w:tcBorders>
              <w:tl2br w:val="nil"/>
              <w:tr2bl w:val="nil"/>
            </w:tcBorders>
            <w:vAlign w:val="center"/>
          </w:tcPr>
          <w:p w14:paraId="18FFF5B5">
            <w:pPr>
              <w:pStyle w:val="238"/>
              <w:rPr>
                <w:rFonts w:hint="default"/>
              </w:rPr>
            </w:pPr>
            <w:r>
              <w:rPr>
                <w:rFonts w:hint="default"/>
              </w:rPr>
              <w:t>污染物项目</w:t>
            </w:r>
          </w:p>
        </w:tc>
        <w:tc>
          <w:tcPr>
            <w:tcW w:w="544" w:type="pct"/>
            <w:tcBorders>
              <w:tl2br w:val="nil"/>
              <w:tr2bl w:val="nil"/>
            </w:tcBorders>
            <w:vAlign w:val="center"/>
          </w:tcPr>
          <w:p w14:paraId="2E81DEF2">
            <w:pPr>
              <w:pStyle w:val="238"/>
              <w:rPr>
                <w:rFonts w:hint="default"/>
              </w:rPr>
            </w:pPr>
            <w:r>
              <w:rPr>
                <w:rFonts w:hint="default"/>
              </w:rPr>
              <w:t>筛选值</w:t>
            </w:r>
          </w:p>
          <w:p w14:paraId="4752BA9D">
            <w:pPr>
              <w:pStyle w:val="238"/>
              <w:rPr>
                <w:rFonts w:hint="default"/>
              </w:rPr>
            </w:pPr>
            <w:r>
              <w:rPr>
                <w:rFonts w:hint="default"/>
              </w:rPr>
              <w:t>（第二类）</w:t>
            </w:r>
          </w:p>
        </w:tc>
        <w:tc>
          <w:tcPr>
            <w:tcW w:w="643" w:type="pct"/>
            <w:tcBorders>
              <w:tl2br w:val="nil"/>
              <w:tr2bl w:val="nil"/>
            </w:tcBorders>
            <w:vAlign w:val="center"/>
          </w:tcPr>
          <w:p w14:paraId="4BCDE490">
            <w:pPr>
              <w:pStyle w:val="238"/>
              <w:rPr>
                <w:rFonts w:hint="default"/>
              </w:rPr>
            </w:pPr>
            <w:r>
              <w:rPr>
                <w:rFonts w:hint="default"/>
              </w:rPr>
              <w:t>管制值</w:t>
            </w:r>
          </w:p>
          <w:p w14:paraId="34C645C0">
            <w:pPr>
              <w:pStyle w:val="238"/>
              <w:rPr>
                <w:rFonts w:hint="default"/>
              </w:rPr>
            </w:pPr>
            <w:r>
              <w:rPr>
                <w:rFonts w:hint="default"/>
              </w:rPr>
              <w:t>（第二类）</w:t>
            </w:r>
          </w:p>
        </w:tc>
        <w:tc>
          <w:tcPr>
            <w:tcW w:w="293" w:type="pct"/>
            <w:tcBorders>
              <w:tl2br w:val="nil"/>
              <w:tr2bl w:val="nil"/>
            </w:tcBorders>
            <w:vAlign w:val="center"/>
          </w:tcPr>
          <w:p w14:paraId="356E9DA2">
            <w:pPr>
              <w:pStyle w:val="238"/>
              <w:rPr>
                <w:rFonts w:hint="default"/>
              </w:rPr>
            </w:pPr>
            <w:r>
              <w:rPr>
                <w:rFonts w:hint="default"/>
              </w:rPr>
              <w:t>序号</w:t>
            </w:r>
          </w:p>
        </w:tc>
        <w:tc>
          <w:tcPr>
            <w:tcW w:w="1063" w:type="pct"/>
            <w:tcBorders>
              <w:tl2br w:val="nil"/>
              <w:tr2bl w:val="nil"/>
            </w:tcBorders>
            <w:vAlign w:val="center"/>
          </w:tcPr>
          <w:p w14:paraId="6FA2233F">
            <w:pPr>
              <w:pStyle w:val="238"/>
              <w:rPr>
                <w:rFonts w:hint="default"/>
              </w:rPr>
            </w:pPr>
            <w:r>
              <w:rPr>
                <w:rFonts w:hint="default"/>
              </w:rPr>
              <w:t>污染物项目</w:t>
            </w:r>
          </w:p>
        </w:tc>
        <w:tc>
          <w:tcPr>
            <w:tcW w:w="526" w:type="pct"/>
            <w:tcBorders>
              <w:tl2br w:val="nil"/>
              <w:tr2bl w:val="nil"/>
            </w:tcBorders>
            <w:vAlign w:val="center"/>
          </w:tcPr>
          <w:p w14:paraId="3A2F0818">
            <w:pPr>
              <w:pStyle w:val="238"/>
              <w:rPr>
                <w:rFonts w:hint="default"/>
              </w:rPr>
            </w:pPr>
            <w:r>
              <w:rPr>
                <w:rFonts w:hint="default"/>
              </w:rPr>
              <w:t>筛选值</w:t>
            </w:r>
          </w:p>
          <w:p w14:paraId="39566340">
            <w:pPr>
              <w:pStyle w:val="238"/>
              <w:rPr>
                <w:rFonts w:hint="default"/>
              </w:rPr>
            </w:pPr>
            <w:r>
              <w:rPr>
                <w:rFonts w:hint="default"/>
              </w:rPr>
              <w:t>（第二类）</w:t>
            </w:r>
          </w:p>
        </w:tc>
        <w:tc>
          <w:tcPr>
            <w:tcW w:w="572" w:type="pct"/>
            <w:tcBorders>
              <w:tl2br w:val="nil"/>
              <w:tr2bl w:val="nil"/>
            </w:tcBorders>
            <w:vAlign w:val="center"/>
          </w:tcPr>
          <w:p w14:paraId="422A629F">
            <w:pPr>
              <w:pStyle w:val="238"/>
              <w:rPr>
                <w:rFonts w:hint="default"/>
              </w:rPr>
            </w:pPr>
            <w:r>
              <w:rPr>
                <w:rFonts w:hint="default"/>
              </w:rPr>
              <w:t>管制值</w:t>
            </w:r>
          </w:p>
          <w:p w14:paraId="6F163577">
            <w:pPr>
              <w:pStyle w:val="238"/>
              <w:rPr>
                <w:rFonts w:hint="default"/>
              </w:rPr>
            </w:pPr>
            <w:r>
              <w:rPr>
                <w:rFonts w:hint="default"/>
              </w:rPr>
              <w:t>（第二类）</w:t>
            </w:r>
          </w:p>
        </w:tc>
      </w:tr>
      <w:tr w14:paraId="1DA3B38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260" w:type="pct"/>
            <w:tcBorders>
              <w:tl2br w:val="nil"/>
              <w:tr2bl w:val="nil"/>
            </w:tcBorders>
            <w:vAlign w:val="center"/>
          </w:tcPr>
          <w:p w14:paraId="30855D40">
            <w:pPr>
              <w:pStyle w:val="238"/>
              <w:rPr>
                <w:rFonts w:hint="default"/>
              </w:rPr>
            </w:pPr>
            <w:r>
              <w:rPr>
                <w:rFonts w:hint="default"/>
              </w:rPr>
              <w:t>1</w:t>
            </w:r>
          </w:p>
        </w:tc>
        <w:tc>
          <w:tcPr>
            <w:tcW w:w="1095" w:type="pct"/>
            <w:tcBorders>
              <w:tl2br w:val="nil"/>
              <w:tr2bl w:val="nil"/>
            </w:tcBorders>
            <w:vAlign w:val="center"/>
          </w:tcPr>
          <w:p w14:paraId="0757208B">
            <w:pPr>
              <w:pStyle w:val="238"/>
              <w:rPr>
                <w:rFonts w:hint="default"/>
              </w:rPr>
            </w:pPr>
            <w:r>
              <w:rPr>
                <w:rFonts w:hint="default"/>
              </w:rPr>
              <w:t>砷</w:t>
            </w:r>
          </w:p>
        </w:tc>
        <w:tc>
          <w:tcPr>
            <w:tcW w:w="544" w:type="pct"/>
            <w:tcBorders>
              <w:tl2br w:val="nil"/>
              <w:tr2bl w:val="nil"/>
            </w:tcBorders>
            <w:vAlign w:val="center"/>
          </w:tcPr>
          <w:p w14:paraId="34882221">
            <w:pPr>
              <w:pStyle w:val="238"/>
              <w:rPr>
                <w:rFonts w:hint="default"/>
              </w:rPr>
            </w:pPr>
            <w:r>
              <w:rPr>
                <w:rFonts w:hint="default"/>
              </w:rPr>
              <w:t>60</w:t>
            </w:r>
          </w:p>
        </w:tc>
        <w:tc>
          <w:tcPr>
            <w:tcW w:w="643" w:type="pct"/>
            <w:tcBorders>
              <w:tl2br w:val="nil"/>
              <w:tr2bl w:val="nil"/>
            </w:tcBorders>
            <w:vAlign w:val="center"/>
          </w:tcPr>
          <w:p w14:paraId="65921737">
            <w:pPr>
              <w:pStyle w:val="238"/>
              <w:rPr>
                <w:rFonts w:hint="default"/>
              </w:rPr>
            </w:pPr>
            <w:r>
              <w:rPr>
                <w:rFonts w:hint="default"/>
              </w:rPr>
              <w:t>140</w:t>
            </w:r>
          </w:p>
        </w:tc>
        <w:tc>
          <w:tcPr>
            <w:tcW w:w="293" w:type="pct"/>
            <w:tcBorders>
              <w:tl2br w:val="nil"/>
              <w:tr2bl w:val="nil"/>
            </w:tcBorders>
            <w:vAlign w:val="center"/>
          </w:tcPr>
          <w:p w14:paraId="309180E8">
            <w:pPr>
              <w:pStyle w:val="238"/>
              <w:rPr>
                <w:rFonts w:hint="default"/>
              </w:rPr>
            </w:pPr>
            <w:r>
              <w:rPr>
                <w:rFonts w:hint="default"/>
              </w:rPr>
              <w:t>24</w:t>
            </w:r>
          </w:p>
        </w:tc>
        <w:tc>
          <w:tcPr>
            <w:tcW w:w="1063" w:type="pct"/>
            <w:tcBorders>
              <w:tl2br w:val="nil"/>
              <w:tr2bl w:val="nil"/>
            </w:tcBorders>
            <w:vAlign w:val="center"/>
          </w:tcPr>
          <w:p w14:paraId="590B1BA5">
            <w:pPr>
              <w:pStyle w:val="238"/>
              <w:rPr>
                <w:rFonts w:hint="default"/>
              </w:rPr>
            </w:pPr>
            <w:r>
              <w:rPr>
                <w:rFonts w:hint="default"/>
              </w:rPr>
              <w:t>1，2，3-三氯丙烷</w:t>
            </w:r>
          </w:p>
        </w:tc>
        <w:tc>
          <w:tcPr>
            <w:tcW w:w="526" w:type="pct"/>
            <w:tcBorders>
              <w:tl2br w:val="nil"/>
              <w:tr2bl w:val="nil"/>
            </w:tcBorders>
            <w:vAlign w:val="center"/>
          </w:tcPr>
          <w:p w14:paraId="1A308134">
            <w:pPr>
              <w:pStyle w:val="238"/>
              <w:rPr>
                <w:rFonts w:hint="default"/>
              </w:rPr>
            </w:pPr>
            <w:r>
              <w:rPr>
                <w:rFonts w:hint="default"/>
              </w:rPr>
              <w:t>0.5</w:t>
            </w:r>
          </w:p>
        </w:tc>
        <w:tc>
          <w:tcPr>
            <w:tcW w:w="572" w:type="pct"/>
            <w:tcBorders>
              <w:tl2br w:val="nil"/>
              <w:tr2bl w:val="nil"/>
            </w:tcBorders>
            <w:vAlign w:val="center"/>
          </w:tcPr>
          <w:p w14:paraId="51D96FD2">
            <w:pPr>
              <w:pStyle w:val="238"/>
              <w:rPr>
                <w:rFonts w:hint="default"/>
              </w:rPr>
            </w:pPr>
            <w:r>
              <w:rPr>
                <w:rFonts w:hint="default"/>
              </w:rPr>
              <w:t>5</w:t>
            </w:r>
          </w:p>
        </w:tc>
      </w:tr>
      <w:tr w14:paraId="06B4494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260" w:type="pct"/>
            <w:tcBorders>
              <w:tl2br w:val="nil"/>
              <w:tr2bl w:val="nil"/>
            </w:tcBorders>
            <w:vAlign w:val="center"/>
          </w:tcPr>
          <w:p w14:paraId="2C2A9BD5">
            <w:pPr>
              <w:pStyle w:val="238"/>
              <w:rPr>
                <w:rFonts w:hint="default"/>
              </w:rPr>
            </w:pPr>
            <w:r>
              <w:rPr>
                <w:rFonts w:hint="default"/>
              </w:rPr>
              <w:t>2</w:t>
            </w:r>
          </w:p>
        </w:tc>
        <w:tc>
          <w:tcPr>
            <w:tcW w:w="1095" w:type="pct"/>
            <w:tcBorders>
              <w:tl2br w:val="nil"/>
              <w:tr2bl w:val="nil"/>
            </w:tcBorders>
            <w:vAlign w:val="center"/>
          </w:tcPr>
          <w:p w14:paraId="79A8FBCA">
            <w:pPr>
              <w:pStyle w:val="238"/>
              <w:rPr>
                <w:rFonts w:hint="default"/>
              </w:rPr>
            </w:pPr>
            <w:r>
              <w:rPr>
                <w:rFonts w:hint="default"/>
              </w:rPr>
              <w:t>镉</w:t>
            </w:r>
          </w:p>
        </w:tc>
        <w:tc>
          <w:tcPr>
            <w:tcW w:w="544" w:type="pct"/>
            <w:tcBorders>
              <w:tl2br w:val="nil"/>
              <w:tr2bl w:val="nil"/>
            </w:tcBorders>
            <w:vAlign w:val="center"/>
          </w:tcPr>
          <w:p w14:paraId="62D0642D">
            <w:pPr>
              <w:pStyle w:val="238"/>
              <w:rPr>
                <w:rFonts w:hint="default"/>
              </w:rPr>
            </w:pPr>
            <w:r>
              <w:rPr>
                <w:rFonts w:hint="default"/>
              </w:rPr>
              <w:t>65</w:t>
            </w:r>
          </w:p>
        </w:tc>
        <w:tc>
          <w:tcPr>
            <w:tcW w:w="643" w:type="pct"/>
            <w:tcBorders>
              <w:tl2br w:val="nil"/>
              <w:tr2bl w:val="nil"/>
            </w:tcBorders>
            <w:vAlign w:val="center"/>
          </w:tcPr>
          <w:p w14:paraId="6F9FEC7C">
            <w:pPr>
              <w:pStyle w:val="238"/>
              <w:rPr>
                <w:rFonts w:hint="default"/>
              </w:rPr>
            </w:pPr>
            <w:r>
              <w:rPr>
                <w:rFonts w:hint="default"/>
              </w:rPr>
              <w:t>172</w:t>
            </w:r>
          </w:p>
        </w:tc>
        <w:tc>
          <w:tcPr>
            <w:tcW w:w="293" w:type="pct"/>
            <w:tcBorders>
              <w:tl2br w:val="nil"/>
              <w:tr2bl w:val="nil"/>
            </w:tcBorders>
            <w:vAlign w:val="center"/>
          </w:tcPr>
          <w:p w14:paraId="65403E97">
            <w:pPr>
              <w:pStyle w:val="238"/>
              <w:rPr>
                <w:rFonts w:hint="default"/>
              </w:rPr>
            </w:pPr>
            <w:r>
              <w:rPr>
                <w:rFonts w:hint="default"/>
              </w:rPr>
              <w:t>25</w:t>
            </w:r>
          </w:p>
        </w:tc>
        <w:tc>
          <w:tcPr>
            <w:tcW w:w="1063" w:type="pct"/>
            <w:tcBorders>
              <w:tl2br w:val="nil"/>
              <w:tr2bl w:val="nil"/>
            </w:tcBorders>
            <w:vAlign w:val="center"/>
          </w:tcPr>
          <w:p w14:paraId="6CAE1645">
            <w:pPr>
              <w:pStyle w:val="238"/>
              <w:rPr>
                <w:rFonts w:hint="default"/>
              </w:rPr>
            </w:pPr>
            <w:r>
              <w:rPr>
                <w:rFonts w:hint="default"/>
              </w:rPr>
              <w:t>氯乙烯</w:t>
            </w:r>
          </w:p>
        </w:tc>
        <w:tc>
          <w:tcPr>
            <w:tcW w:w="526" w:type="pct"/>
            <w:tcBorders>
              <w:tl2br w:val="nil"/>
              <w:tr2bl w:val="nil"/>
            </w:tcBorders>
            <w:vAlign w:val="center"/>
          </w:tcPr>
          <w:p w14:paraId="6D995916">
            <w:pPr>
              <w:pStyle w:val="238"/>
              <w:rPr>
                <w:rFonts w:hint="default"/>
              </w:rPr>
            </w:pPr>
            <w:r>
              <w:rPr>
                <w:rFonts w:hint="default"/>
              </w:rPr>
              <w:t>0.43</w:t>
            </w:r>
          </w:p>
        </w:tc>
        <w:tc>
          <w:tcPr>
            <w:tcW w:w="572" w:type="pct"/>
            <w:tcBorders>
              <w:tl2br w:val="nil"/>
              <w:tr2bl w:val="nil"/>
            </w:tcBorders>
            <w:vAlign w:val="center"/>
          </w:tcPr>
          <w:p w14:paraId="2EFBA34B">
            <w:pPr>
              <w:pStyle w:val="238"/>
              <w:rPr>
                <w:rFonts w:hint="default"/>
              </w:rPr>
            </w:pPr>
            <w:r>
              <w:rPr>
                <w:rFonts w:hint="default"/>
              </w:rPr>
              <w:t>4.3</w:t>
            </w:r>
          </w:p>
        </w:tc>
      </w:tr>
      <w:tr w14:paraId="5D0466F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260" w:type="pct"/>
            <w:tcBorders>
              <w:tl2br w:val="nil"/>
              <w:tr2bl w:val="nil"/>
            </w:tcBorders>
            <w:vAlign w:val="center"/>
          </w:tcPr>
          <w:p w14:paraId="4D6C7BF1">
            <w:pPr>
              <w:pStyle w:val="238"/>
              <w:rPr>
                <w:rFonts w:hint="default"/>
              </w:rPr>
            </w:pPr>
            <w:r>
              <w:rPr>
                <w:rFonts w:hint="default"/>
              </w:rPr>
              <w:t>3</w:t>
            </w:r>
          </w:p>
        </w:tc>
        <w:tc>
          <w:tcPr>
            <w:tcW w:w="1095" w:type="pct"/>
            <w:tcBorders>
              <w:tl2br w:val="nil"/>
              <w:tr2bl w:val="nil"/>
            </w:tcBorders>
            <w:vAlign w:val="center"/>
          </w:tcPr>
          <w:p w14:paraId="55DBA125">
            <w:pPr>
              <w:pStyle w:val="238"/>
              <w:rPr>
                <w:rFonts w:hint="default"/>
              </w:rPr>
            </w:pPr>
            <w:r>
              <w:rPr>
                <w:rFonts w:hint="default"/>
              </w:rPr>
              <w:t>铬（六价）</w:t>
            </w:r>
          </w:p>
        </w:tc>
        <w:tc>
          <w:tcPr>
            <w:tcW w:w="544" w:type="pct"/>
            <w:tcBorders>
              <w:tl2br w:val="nil"/>
              <w:tr2bl w:val="nil"/>
            </w:tcBorders>
            <w:vAlign w:val="center"/>
          </w:tcPr>
          <w:p w14:paraId="65C1E50D">
            <w:pPr>
              <w:pStyle w:val="238"/>
              <w:rPr>
                <w:rFonts w:hint="default"/>
              </w:rPr>
            </w:pPr>
            <w:r>
              <w:rPr>
                <w:rFonts w:hint="default"/>
              </w:rPr>
              <w:t>5.7</w:t>
            </w:r>
          </w:p>
        </w:tc>
        <w:tc>
          <w:tcPr>
            <w:tcW w:w="643" w:type="pct"/>
            <w:tcBorders>
              <w:tl2br w:val="nil"/>
              <w:tr2bl w:val="nil"/>
            </w:tcBorders>
            <w:vAlign w:val="center"/>
          </w:tcPr>
          <w:p w14:paraId="5A7D110B">
            <w:pPr>
              <w:pStyle w:val="238"/>
              <w:rPr>
                <w:rFonts w:hint="default"/>
              </w:rPr>
            </w:pPr>
            <w:r>
              <w:rPr>
                <w:rFonts w:hint="default"/>
              </w:rPr>
              <w:t>78</w:t>
            </w:r>
          </w:p>
        </w:tc>
        <w:tc>
          <w:tcPr>
            <w:tcW w:w="293" w:type="pct"/>
            <w:tcBorders>
              <w:tl2br w:val="nil"/>
              <w:tr2bl w:val="nil"/>
            </w:tcBorders>
            <w:vAlign w:val="center"/>
          </w:tcPr>
          <w:p w14:paraId="0B03AD5D">
            <w:pPr>
              <w:pStyle w:val="238"/>
              <w:rPr>
                <w:rFonts w:hint="default"/>
              </w:rPr>
            </w:pPr>
            <w:r>
              <w:rPr>
                <w:rFonts w:hint="default"/>
              </w:rPr>
              <w:t>26</w:t>
            </w:r>
          </w:p>
        </w:tc>
        <w:tc>
          <w:tcPr>
            <w:tcW w:w="1063" w:type="pct"/>
            <w:tcBorders>
              <w:tl2br w:val="nil"/>
              <w:tr2bl w:val="nil"/>
            </w:tcBorders>
            <w:vAlign w:val="center"/>
          </w:tcPr>
          <w:p w14:paraId="271E7E83">
            <w:pPr>
              <w:pStyle w:val="238"/>
              <w:rPr>
                <w:rFonts w:hint="default"/>
              </w:rPr>
            </w:pPr>
            <w:r>
              <w:rPr>
                <w:rFonts w:hint="default"/>
              </w:rPr>
              <w:t>苯</w:t>
            </w:r>
          </w:p>
        </w:tc>
        <w:tc>
          <w:tcPr>
            <w:tcW w:w="526" w:type="pct"/>
            <w:tcBorders>
              <w:tl2br w:val="nil"/>
              <w:tr2bl w:val="nil"/>
            </w:tcBorders>
            <w:vAlign w:val="center"/>
          </w:tcPr>
          <w:p w14:paraId="57E82421">
            <w:pPr>
              <w:pStyle w:val="238"/>
              <w:rPr>
                <w:rFonts w:hint="default"/>
              </w:rPr>
            </w:pPr>
            <w:r>
              <w:rPr>
                <w:rFonts w:hint="default"/>
              </w:rPr>
              <w:t>4</w:t>
            </w:r>
          </w:p>
        </w:tc>
        <w:tc>
          <w:tcPr>
            <w:tcW w:w="572" w:type="pct"/>
            <w:tcBorders>
              <w:tl2br w:val="nil"/>
              <w:tr2bl w:val="nil"/>
            </w:tcBorders>
            <w:vAlign w:val="center"/>
          </w:tcPr>
          <w:p w14:paraId="7FBEFD32">
            <w:pPr>
              <w:pStyle w:val="238"/>
              <w:rPr>
                <w:rFonts w:hint="default"/>
              </w:rPr>
            </w:pPr>
            <w:r>
              <w:rPr>
                <w:rFonts w:hint="default"/>
              </w:rPr>
              <w:t>40</w:t>
            </w:r>
          </w:p>
        </w:tc>
      </w:tr>
      <w:tr w14:paraId="68A4851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260" w:type="pct"/>
            <w:tcBorders>
              <w:tl2br w:val="nil"/>
              <w:tr2bl w:val="nil"/>
            </w:tcBorders>
            <w:vAlign w:val="center"/>
          </w:tcPr>
          <w:p w14:paraId="0CEFF39F">
            <w:pPr>
              <w:pStyle w:val="238"/>
              <w:rPr>
                <w:rFonts w:hint="default"/>
              </w:rPr>
            </w:pPr>
            <w:r>
              <w:rPr>
                <w:rFonts w:hint="default"/>
              </w:rPr>
              <w:t>4</w:t>
            </w:r>
          </w:p>
        </w:tc>
        <w:tc>
          <w:tcPr>
            <w:tcW w:w="1095" w:type="pct"/>
            <w:tcBorders>
              <w:tl2br w:val="nil"/>
              <w:tr2bl w:val="nil"/>
            </w:tcBorders>
            <w:vAlign w:val="center"/>
          </w:tcPr>
          <w:p w14:paraId="6C61C9F7">
            <w:pPr>
              <w:pStyle w:val="238"/>
              <w:rPr>
                <w:rFonts w:hint="default"/>
              </w:rPr>
            </w:pPr>
            <w:r>
              <w:rPr>
                <w:rFonts w:hint="default"/>
              </w:rPr>
              <w:t>铜</w:t>
            </w:r>
          </w:p>
        </w:tc>
        <w:tc>
          <w:tcPr>
            <w:tcW w:w="544" w:type="pct"/>
            <w:tcBorders>
              <w:tl2br w:val="nil"/>
              <w:tr2bl w:val="nil"/>
            </w:tcBorders>
            <w:vAlign w:val="center"/>
          </w:tcPr>
          <w:p w14:paraId="7E8DF333">
            <w:pPr>
              <w:pStyle w:val="238"/>
              <w:rPr>
                <w:rFonts w:hint="default"/>
              </w:rPr>
            </w:pPr>
            <w:r>
              <w:rPr>
                <w:rFonts w:hint="default"/>
              </w:rPr>
              <w:t>18000</w:t>
            </w:r>
          </w:p>
        </w:tc>
        <w:tc>
          <w:tcPr>
            <w:tcW w:w="643" w:type="pct"/>
            <w:tcBorders>
              <w:tl2br w:val="nil"/>
              <w:tr2bl w:val="nil"/>
            </w:tcBorders>
            <w:vAlign w:val="center"/>
          </w:tcPr>
          <w:p w14:paraId="26B7F014">
            <w:pPr>
              <w:pStyle w:val="238"/>
              <w:rPr>
                <w:rFonts w:hint="default"/>
              </w:rPr>
            </w:pPr>
            <w:r>
              <w:rPr>
                <w:rFonts w:hint="default"/>
              </w:rPr>
              <w:t>36000</w:t>
            </w:r>
          </w:p>
        </w:tc>
        <w:tc>
          <w:tcPr>
            <w:tcW w:w="293" w:type="pct"/>
            <w:tcBorders>
              <w:tl2br w:val="nil"/>
              <w:tr2bl w:val="nil"/>
            </w:tcBorders>
            <w:vAlign w:val="center"/>
          </w:tcPr>
          <w:p w14:paraId="7981EF2D">
            <w:pPr>
              <w:pStyle w:val="238"/>
              <w:rPr>
                <w:rFonts w:hint="default"/>
              </w:rPr>
            </w:pPr>
            <w:r>
              <w:rPr>
                <w:rFonts w:hint="default"/>
              </w:rPr>
              <w:t>27</w:t>
            </w:r>
          </w:p>
        </w:tc>
        <w:tc>
          <w:tcPr>
            <w:tcW w:w="1063" w:type="pct"/>
            <w:tcBorders>
              <w:tl2br w:val="nil"/>
              <w:tr2bl w:val="nil"/>
            </w:tcBorders>
            <w:vAlign w:val="center"/>
          </w:tcPr>
          <w:p w14:paraId="08C18F3B">
            <w:pPr>
              <w:pStyle w:val="238"/>
              <w:rPr>
                <w:rFonts w:hint="default"/>
              </w:rPr>
            </w:pPr>
            <w:r>
              <w:rPr>
                <w:rFonts w:hint="default"/>
              </w:rPr>
              <w:t>氯苯</w:t>
            </w:r>
          </w:p>
        </w:tc>
        <w:tc>
          <w:tcPr>
            <w:tcW w:w="526" w:type="pct"/>
            <w:tcBorders>
              <w:tl2br w:val="nil"/>
              <w:tr2bl w:val="nil"/>
            </w:tcBorders>
            <w:vAlign w:val="center"/>
          </w:tcPr>
          <w:p w14:paraId="04A083E8">
            <w:pPr>
              <w:pStyle w:val="238"/>
              <w:rPr>
                <w:rFonts w:hint="default"/>
              </w:rPr>
            </w:pPr>
            <w:r>
              <w:rPr>
                <w:rFonts w:hint="default"/>
              </w:rPr>
              <w:t>270</w:t>
            </w:r>
          </w:p>
        </w:tc>
        <w:tc>
          <w:tcPr>
            <w:tcW w:w="572" w:type="pct"/>
            <w:tcBorders>
              <w:tl2br w:val="nil"/>
              <w:tr2bl w:val="nil"/>
            </w:tcBorders>
            <w:vAlign w:val="center"/>
          </w:tcPr>
          <w:p w14:paraId="1CF11AF9">
            <w:pPr>
              <w:pStyle w:val="238"/>
              <w:rPr>
                <w:rFonts w:hint="default"/>
              </w:rPr>
            </w:pPr>
            <w:r>
              <w:rPr>
                <w:rFonts w:hint="default"/>
              </w:rPr>
              <w:t>1000</w:t>
            </w:r>
          </w:p>
        </w:tc>
      </w:tr>
      <w:tr w14:paraId="61AC944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260" w:type="pct"/>
            <w:tcBorders>
              <w:tl2br w:val="nil"/>
              <w:tr2bl w:val="nil"/>
            </w:tcBorders>
            <w:vAlign w:val="center"/>
          </w:tcPr>
          <w:p w14:paraId="0A91C960">
            <w:pPr>
              <w:pStyle w:val="238"/>
              <w:rPr>
                <w:rFonts w:hint="default"/>
              </w:rPr>
            </w:pPr>
            <w:r>
              <w:rPr>
                <w:rFonts w:hint="default"/>
              </w:rPr>
              <w:t>5</w:t>
            </w:r>
          </w:p>
        </w:tc>
        <w:tc>
          <w:tcPr>
            <w:tcW w:w="1095" w:type="pct"/>
            <w:tcBorders>
              <w:tl2br w:val="nil"/>
              <w:tr2bl w:val="nil"/>
            </w:tcBorders>
            <w:vAlign w:val="center"/>
          </w:tcPr>
          <w:p w14:paraId="15E72671">
            <w:pPr>
              <w:pStyle w:val="238"/>
              <w:rPr>
                <w:rFonts w:hint="default"/>
              </w:rPr>
            </w:pPr>
            <w:r>
              <w:rPr>
                <w:rFonts w:hint="default"/>
              </w:rPr>
              <w:t>铅</w:t>
            </w:r>
          </w:p>
        </w:tc>
        <w:tc>
          <w:tcPr>
            <w:tcW w:w="544" w:type="pct"/>
            <w:tcBorders>
              <w:tl2br w:val="nil"/>
              <w:tr2bl w:val="nil"/>
            </w:tcBorders>
            <w:vAlign w:val="center"/>
          </w:tcPr>
          <w:p w14:paraId="5FBA8A3A">
            <w:pPr>
              <w:pStyle w:val="238"/>
              <w:rPr>
                <w:rFonts w:hint="default"/>
              </w:rPr>
            </w:pPr>
            <w:r>
              <w:rPr>
                <w:rFonts w:hint="default"/>
              </w:rPr>
              <w:t>800</w:t>
            </w:r>
          </w:p>
        </w:tc>
        <w:tc>
          <w:tcPr>
            <w:tcW w:w="643" w:type="pct"/>
            <w:tcBorders>
              <w:tl2br w:val="nil"/>
              <w:tr2bl w:val="nil"/>
            </w:tcBorders>
            <w:vAlign w:val="center"/>
          </w:tcPr>
          <w:p w14:paraId="1255B05C">
            <w:pPr>
              <w:pStyle w:val="238"/>
              <w:rPr>
                <w:rFonts w:hint="default"/>
              </w:rPr>
            </w:pPr>
            <w:r>
              <w:rPr>
                <w:rFonts w:hint="default"/>
              </w:rPr>
              <w:t>2500</w:t>
            </w:r>
          </w:p>
        </w:tc>
        <w:tc>
          <w:tcPr>
            <w:tcW w:w="293" w:type="pct"/>
            <w:tcBorders>
              <w:tl2br w:val="nil"/>
              <w:tr2bl w:val="nil"/>
            </w:tcBorders>
            <w:vAlign w:val="center"/>
          </w:tcPr>
          <w:p w14:paraId="7C5B725D">
            <w:pPr>
              <w:pStyle w:val="238"/>
              <w:rPr>
                <w:rFonts w:hint="default"/>
              </w:rPr>
            </w:pPr>
            <w:r>
              <w:rPr>
                <w:rFonts w:hint="default"/>
              </w:rPr>
              <w:t>28</w:t>
            </w:r>
          </w:p>
        </w:tc>
        <w:tc>
          <w:tcPr>
            <w:tcW w:w="1063" w:type="pct"/>
            <w:tcBorders>
              <w:tl2br w:val="nil"/>
              <w:tr2bl w:val="nil"/>
            </w:tcBorders>
            <w:vAlign w:val="center"/>
          </w:tcPr>
          <w:p w14:paraId="5B3F5BC9">
            <w:pPr>
              <w:pStyle w:val="238"/>
              <w:rPr>
                <w:rFonts w:hint="default"/>
              </w:rPr>
            </w:pPr>
            <w:r>
              <w:rPr>
                <w:rFonts w:hint="default"/>
              </w:rPr>
              <w:t>1，2-二氯苯</w:t>
            </w:r>
          </w:p>
        </w:tc>
        <w:tc>
          <w:tcPr>
            <w:tcW w:w="526" w:type="pct"/>
            <w:tcBorders>
              <w:tl2br w:val="nil"/>
              <w:tr2bl w:val="nil"/>
            </w:tcBorders>
            <w:vAlign w:val="center"/>
          </w:tcPr>
          <w:p w14:paraId="28B10D8E">
            <w:pPr>
              <w:pStyle w:val="238"/>
              <w:rPr>
                <w:rFonts w:hint="default"/>
              </w:rPr>
            </w:pPr>
            <w:r>
              <w:rPr>
                <w:rFonts w:hint="default"/>
              </w:rPr>
              <w:t>560</w:t>
            </w:r>
          </w:p>
        </w:tc>
        <w:tc>
          <w:tcPr>
            <w:tcW w:w="572" w:type="pct"/>
            <w:tcBorders>
              <w:tl2br w:val="nil"/>
              <w:tr2bl w:val="nil"/>
            </w:tcBorders>
            <w:vAlign w:val="center"/>
          </w:tcPr>
          <w:p w14:paraId="2B61CAC4">
            <w:pPr>
              <w:pStyle w:val="238"/>
              <w:rPr>
                <w:rFonts w:hint="default"/>
              </w:rPr>
            </w:pPr>
            <w:r>
              <w:rPr>
                <w:rFonts w:hint="default"/>
              </w:rPr>
              <w:t>560</w:t>
            </w:r>
          </w:p>
        </w:tc>
      </w:tr>
      <w:tr w14:paraId="24ED6E0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260" w:type="pct"/>
            <w:tcBorders>
              <w:tl2br w:val="nil"/>
              <w:tr2bl w:val="nil"/>
            </w:tcBorders>
            <w:vAlign w:val="center"/>
          </w:tcPr>
          <w:p w14:paraId="34C2124F">
            <w:pPr>
              <w:pStyle w:val="238"/>
              <w:rPr>
                <w:rFonts w:hint="default"/>
              </w:rPr>
            </w:pPr>
            <w:r>
              <w:rPr>
                <w:rFonts w:hint="default"/>
              </w:rPr>
              <w:t>6</w:t>
            </w:r>
          </w:p>
        </w:tc>
        <w:tc>
          <w:tcPr>
            <w:tcW w:w="1095" w:type="pct"/>
            <w:tcBorders>
              <w:tl2br w:val="nil"/>
              <w:tr2bl w:val="nil"/>
            </w:tcBorders>
            <w:vAlign w:val="center"/>
          </w:tcPr>
          <w:p w14:paraId="14452D5B">
            <w:pPr>
              <w:pStyle w:val="238"/>
              <w:rPr>
                <w:rFonts w:hint="default"/>
              </w:rPr>
            </w:pPr>
            <w:r>
              <w:rPr>
                <w:rFonts w:hint="default"/>
              </w:rPr>
              <w:t>汞</w:t>
            </w:r>
          </w:p>
        </w:tc>
        <w:tc>
          <w:tcPr>
            <w:tcW w:w="544" w:type="pct"/>
            <w:tcBorders>
              <w:tl2br w:val="nil"/>
              <w:tr2bl w:val="nil"/>
            </w:tcBorders>
            <w:vAlign w:val="center"/>
          </w:tcPr>
          <w:p w14:paraId="3CE9A891">
            <w:pPr>
              <w:pStyle w:val="238"/>
              <w:rPr>
                <w:rFonts w:hint="default"/>
              </w:rPr>
            </w:pPr>
            <w:r>
              <w:rPr>
                <w:rFonts w:hint="default"/>
              </w:rPr>
              <w:t>38</w:t>
            </w:r>
          </w:p>
        </w:tc>
        <w:tc>
          <w:tcPr>
            <w:tcW w:w="643" w:type="pct"/>
            <w:tcBorders>
              <w:tl2br w:val="nil"/>
              <w:tr2bl w:val="nil"/>
            </w:tcBorders>
            <w:vAlign w:val="center"/>
          </w:tcPr>
          <w:p w14:paraId="6AF49877">
            <w:pPr>
              <w:pStyle w:val="238"/>
              <w:rPr>
                <w:rFonts w:hint="default"/>
              </w:rPr>
            </w:pPr>
            <w:r>
              <w:rPr>
                <w:rFonts w:hint="default"/>
              </w:rPr>
              <w:t>82</w:t>
            </w:r>
          </w:p>
        </w:tc>
        <w:tc>
          <w:tcPr>
            <w:tcW w:w="293" w:type="pct"/>
            <w:tcBorders>
              <w:tl2br w:val="nil"/>
              <w:tr2bl w:val="nil"/>
            </w:tcBorders>
            <w:vAlign w:val="center"/>
          </w:tcPr>
          <w:p w14:paraId="448A0C9C">
            <w:pPr>
              <w:pStyle w:val="238"/>
              <w:rPr>
                <w:rFonts w:hint="default"/>
              </w:rPr>
            </w:pPr>
            <w:r>
              <w:rPr>
                <w:rFonts w:hint="default"/>
              </w:rPr>
              <w:t>29</w:t>
            </w:r>
          </w:p>
        </w:tc>
        <w:tc>
          <w:tcPr>
            <w:tcW w:w="1063" w:type="pct"/>
            <w:tcBorders>
              <w:tl2br w:val="nil"/>
              <w:tr2bl w:val="nil"/>
            </w:tcBorders>
            <w:vAlign w:val="center"/>
          </w:tcPr>
          <w:p w14:paraId="7F128E6A">
            <w:pPr>
              <w:pStyle w:val="238"/>
              <w:rPr>
                <w:rFonts w:hint="default"/>
              </w:rPr>
            </w:pPr>
            <w:r>
              <w:rPr>
                <w:rFonts w:hint="default"/>
              </w:rPr>
              <w:t>1，4-二氯苯</w:t>
            </w:r>
          </w:p>
        </w:tc>
        <w:tc>
          <w:tcPr>
            <w:tcW w:w="526" w:type="pct"/>
            <w:tcBorders>
              <w:tl2br w:val="nil"/>
              <w:tr2bl w:val="nil"/>
            </w:tcBorders>
            <w:vAlign w:val="center"/>
          </w:tcPr>
          <w:p w14:paraId="05EE7F3C">
            <w:pPr>
              <w:pStyle w:val="238"/>
              <w:rPr>
                <w:rFonts w:hint="default"/>
              </w:rPr>
            </w:pPr>
            <w:r>
              <w:rPr>
                <w:rFonts w:hint="default"/>
              </w:rPr>
              <w:t>20</w:t>
            </w:r>
          </w:p>
        </w:tc>
        <w:tc>
          <w:tcPr>
            <w:tcW w:w="572" w:type="pct"/>
            <w:tcBorders>
              <w:tl2br w:val="nil"/>
              <w:tr2bl w:val="nil"/>
            </w:tcBorders>
            <w:vAlign w:val="center"/>
          </w:tcPr>
          <w:p w14:paraId="2993C4B0">
            <w:pPr>
              <w:pStyle w:val="238"/>
              <w:rPr>
                <w:rFonts w:hint="default"/>
              </w:rPr>
            </w:pPr>
            <w:r>
              <w:rPr>
                <w:rFonts w:hint="default"/>
              </w:rPr>
              <w:t>200</w:t>
            </w:r>
          </w:p>
        </w:tc>
      </w:tr>
      <w:tr w14:paraId="769B7C4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260" w:type="pct"/>
            <w:tcBorders>
              <w:tl2br w:val="nil"/>
              <w:tr2bl w:val="nil"/>
            </w:tcBorders>
            <w:vAlign w:val="center"/>
          </w:tcPr>
          <w:p w14:paraId="43A1DC94">
            <w:pPr>
              <w:pStyle w:val="238"/>
              <w:rPr>
                <w:rFonts w:hint="default"/>
              </w:rPr>
            </w:pPr>
            <w:r>
              <w:rPr>
                <w:rFonts w:hint="default"/>
              </w:rPr>
              <w:t>7</w:t>
            </w:r>
          </w:p>
        </w:tc>
        <w:tc>
          <w:tcPr>
            <w:tcW w:w="1095" w:type="pct"/>
            <w:tcBorders>
              <w:tl2br w:val="nil"/>
              <w:tr2bl w:val="nil"/>
            </w:tcBorders>
            <w:vAlign w:val="center"/>
          </w:tcPr>
          <w:p w14:paraId="3397E6CB">
            <w:pPr>
              <w:pStyle w:val="238"/>
              <w:rPr>
                <w:rFonts w:hint="default"/>
              </w:rPr>
            </w:pPr>
            <w:r>
              <w:rPr>
                <w:rFonts w:hint="default"/>
              </w:rPr>
              <w:t>镍</w:t>
            </w:r>
          </w:p>
        </w:tc>
        <w:tc>
          <w:tcPr>
            <w:tcW w:w="544" w:type="pct"/>
            <w:tcBorders>
              <w:tl2br w:val="nil"/>
              <w:tr2bl w:val="nil"/>
            </w:tcBorders>
            <w:vAlign w:val="center"/>
          </w:tcPr>
          <w:p w14:paraId="657DC918">
            <w:pPr>
              <w:pStyle w:val="238"/>
              <w:rPr>
                <w:rFonts w:hint="default"/>
              </w:rPr>
            </w:pPr>
            <w:r>
              <w:rPr>
                <w:rFonts w:hint="default"/>
              </w:rPr>
              <w:t>900</w:t>
            </w:r>
          </w:p>
        </w:tc>
        <w:tc>
          <w:tcPr>
            <w:tcW w:w="643" w:type="pct"/>
            <w:tcBorders>
              <w:tl2br w:val="nil"/>
              <w:tr2bl w:val="nil"/>
            </w:tcBorders>
            <w:vAlign w:val="center"/>
          </w:tcPr>
          <w:p w14:paraId="25988546">
            <w:pPr>
              <w:pStyle w:val="238"/>
              <w:rPr>
                <w:rFonts w:hint="default"/>
              </w:rPr>
            </w:pPr>
            <w:r>
              <w:rPr>
                <w:rFonts w:hint="default"/>
              </w:rPr>
              <w:t>2000</w:t>
            </w:r>
          </w:p>
        </w:tc>
        <w:tc>
          <w:tcPr>
            <w:tcW w:w="293" w:type="pct"/>
            <w:tcBorders>
              <w:tl2br w:val="nil"/>
              <w:tr2bl w:val="nil"/>
            </w:tcBorders>
            <w:vAlign w:val="center"/>
          </w:tcPr>
          <w:p w14:paraId="673D82F4">
            <w:pPr>
              <w:pStyle w:val="238"/>
              <w:rPr>
                <w:rFonts w:hint="default"/>
              </w:rPr>
            </w:pPr>
            <w:r>
              <w:rPr>
                <w:rFonts w:hint="default"/>
              </w:rPr>
              <w:t>30</w:t>
            </w:r>
          </w:p>
        </w:tc>
        <w:tc>
          <w:tcPr>
            <w:tcW w:w="1063" w:type="pct"/>
            <w:tcBorders>
              <w:tl2br w:val="nil"/>
              <w:tr2bl w:val="nil"/>
            </w:tcBorders>
            <w:vAlign w:val="center"/>
          </w:tcPr>
          <w:p w14:paraId="3DD5B125">
            <w:pPr>
              <w:pStyle w:val="238"/>
              <w:rPr>
                <w:rFonts w:hint="default"/>
              </w:rPr>
            </w:pPr>
            <w:r>
              <w:rPr>
                <w:rFonts w:hint="default"/>
              </w:rPr>
              <w:t>乙苯</w:t>
            </w:r>
          </w:p>
        </w:tc>
        <w:tc>
          <w:tcPr>
            <w:tcW w:w="526" w:type="pct"/>
            <w:tcBorders>
              <w:tl2br w:val="nil"/>
              <w:tr2bl w:val="nil"/>
            </w:tcBorders>
            <w:vAlign w:val="center"/>
          </w:tcPr>
          <w:p w14:paraId="49F99E80">
            <w:pPr>
              <w:pStyle w:val="238"/>
              <w:rPr>
                <w:rFonts w:hint="default"/>
              </w:rPr>
            </w:pPr>
            <w:r>
              <w:rPr>
                <w:rFonts w:hint="default"/>
              </w:rPr>
              <w:t>28</w:t>
            </w:r>
          </w:p>
        </w:tc>
        <w:tc>
          <w:tcPr>
            <w:tcW w:w="572" w:type="pct"/>
            <w:tcBorders>
              <w:tl2br w:val="nil"/>
              <w:tr2bl w:val="nil"/>
            </w:tcBorders>
            <w:vAlign w:val="center"/>
          </w:tcPr>
          <w:p w14:paraId="084267F9">
            <w:pPr>
              <w:pStyle w:val="238"/>
              <w:rPr>
                <w:rFonts w:hint="default"/>
              </w:rPr>
            </w:pPr>
            <w:r>
              <w:rPr>
                <w:rFonts w:hint="default"/>
              </w:rPr>
              <w:t>280</w:t>
            </w:r>
          </w:p>
        </w:tc>
      </w:tr>
      <w:tr w14:paraId="7F3A941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260" w:type="pct"/>
            <w:tcBorders>
              <w:tl2br w:val="nil"/>
              <w:tr2bl w:val="nil"/>
            </w:tcBorders>
            <w:vAlign w:val="center"/>
          </w:tcPr>
          <w:p w14:paraId="45FB417A">
            <w:pPr>
              <w:pStyle w:val="238"/>
              <w:rPr>
                <w:rFonts w:hint="default"/>
              </w:rPr>
            </w:pPr>
            <w:r>
              <w:rPr>
                <w:rFonts w:hint="default"/>
              </w:rPr>
              <w:t>8</w:t>
            </w:r>
          </w:p>
        </w:tc>
        <w:tc>
          <w:tcPr>
            <w:tcW w:w="1095" w:type="pct"/>
            <w:tcBorders>
              <w:tl2br w:val="nil"/>
              <w:tr2bl w:val="nil"/>
            </w:tcBorders>
            <w:vAlign w:val="center"/>
          </w:tcPr>
          <w:p w14:paraId="530BBA10">
            <w:pPr>
              <w:pStyle w:val="238"/>
              <w:rPr>
                <w:rFonts w:hint="default"/>
              </w:rPr>
            </w:pPr>
            <w:r>
              <w:rPr>
                <w:rFonts w:hint="default"/>
              </w:rPr>
              <w:t>四氯化碳</w:t>
            </w:r>
          </w:p>
        </w:tc>
        <w:tc>
          <w:tcPr>
            <w:tcW w:w="544" w:type="pct"/>
            <w:tcBorders>
              <w:tl2br w:val="nil"/>
              <w:tr2bl w:val="nil"/>
            </w:tcBorders>
            <w:vAlign w:val="center"/>
          </w:tcPr>
          <w:p w14:paraId="03EDE25D">
            <w:pPr>
              <w:pStyle w:val="238"/>
              <w:rPr>
                <w:rFonts w:hint="default"/>
              </w:rPr>
            </w:pPr>
            <w:r>
              <w:rPr>
                <w:rFonts w:hint="default"/>
              </w:rPr>
              <w:t>2.8</w:t>
            </w:r>
          </w:p>
        </w:tc>
        <w:tc>
          <w:tcPr>
            <w:tcW w:w="643" w:type="pct"/>
            <w:tcBorders>
              <w:tl2br w:val="nil"/>
              <w:tr2bl w:val="nil"/>
            </w:tcBorders>
            <w:vAlign w:val="center"/>
          </w:tcPr>
          <w:p w14:paraId="5811C880">
            <w:pPr>
              <w:pStyle w:val="238"/>
              <w:rPr>
                <w:rFonts w:hint="default"/>
              </w:rPr>
            </w:pPr>
            <w:r>
              <w:rPr>
                <w:rFonts w:hint="default"/>
              </w:rPr>
              <w:t>36</w:t>
            </w:r>
          </w:p>
        </w:tc>
        <w:tc>
          <w:tcPr>
            <w:tcW w:w="293" w:type="pct"/>
            <w:tcBorders>
              <w:tl2br w:val="nil"/>
              <w:tr2bl w:val="nil"/>
            </w:tcBorders>
            <w:vAlign w:val="center"/>
          </w:tcPr>
          <w:p w14:paraId="3D45B19D">
            <w:pPr>
              <w:pStyle w:val="238"/>
              <w:rPr>
                <w:rFonts w:hint="default"/>
              </w:rPr>
            </w:pPr>
            <w:r>
              <w:rPr>
                <w:rFonts w:hint="default"/>
              </w:rPr>
              <w:t>31</w:t>
            </w:r>
          </w:p>
        </w:tc>
        <w:tc>
          <w:tcPr>
            <w:tcW w:w="1063" w:type="pct"/>
            <w:tcBorders>
              <w:tl2br w:val="nil"/>
              <w:tr2bl w:val="nil"/>
            </w:tcBorders>
            <w:vAlign w:val="center"/>
          </w:tcPr>
          <w:p w14:paraId="35BBA914">
            <w:pPr>
              <w:pStyle w:val="238"/>
              <w:rPr>
                <w:rFonts w:hint="default"/>
              </w:rPr>
            </w:pPr>
            <w:r>
              <w:rPr>
                <w:rFonts w:hint="default"/>
              </w:rPr>
              <w:t>苯乙烯</w:t>
            </w:r>
          </w:p>
        </w:tc>
        <w:tc>
          <w:tcPr>
            <w:tcW w:w="526" w:type="pct"/>
            <w:tcBorders>
              <w:tl2br w:val="nil"/>
              <w:tr2bl w:val="nil"/>
            </w:tcBorders>
            <w:vAlign w:val="center"/>
          </w:tcPr>
          <w:p w14:paraId="7B524452">
            <w:pPr>
              <w:pStyle w:val="238"/>
              <w:rPr>
                <w:rFonts w:hint="default"/>
              </w:rPr>
            </w:pPr>
            <w:r>
              <w:rPr>
                <w:rFonts w:hint="default"/>
              </w:rPr>
              <w:t>1290</w:t>
            </w:r>
          </w:p>
        </w:tc>
        <w:tc>
          <w:tcPr>
            <w:tcW w:w="572" w:type="pct"/>
            <w:tcBorders>
              <w:tl2br w:val="nil"/>
              <w:tr2bl w:val="nil"/>
            </w:tcBorders>
            <w:vAlign w:val="center"/>
          </w:tcPr>
          <w:p w14:paraId="1E13F8C0">
            <w:pPr>
              <w:pStyle w:val="238"/>
              <w:rPr>
                <w:rFonts w:hint="default"/>
              </w:rPr>
            </w:pPr>
            <w:r>
              <w:rPr>
                <w:rFonts w:hint="default"/>
              </w:rPr>
              <w:t>1290</w:t>
            </w:r>
          </w:p>
        </w:tc>
      </w:tr>
      <w:tr w14:paraId="0030DF6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260" w:type="pct"/>
            <w:tcBorders>
              <w:tl2br w:val="nil"/>
              <w:tr2bl w:val="nil"/>
            </w:tcBorders>
            <w:vAlign w:val="center"/>
          </w:tcPr>
          <w:p w14:paraId="054F6AD5">
            <w:pPr>
              <w:pStyle w:val="238"/>
              <w:rPr>
                <w:rFonts w:hint="default"/>
              </w:rPr>
            </w:pPr>
            <w:r>
              <w:rPr>
                <w:rFonts w:hint="default"/>
              </w:rPr>
              <w:t>9</w:t>
            </w:r>
          </w:p>
        </w:tc>
        <w:tc>
          <w:tcPr>
            <w:tcW w:w="1095" w:type="pct"/>
            <w:tcBorders>
              <w:tl2br w:val="nil"/>
              <w:tr2bl w:val="nil"/>
            </w:tcBorders>
            <w:vAlign w:val="center"/>
          </w:tcPr>
          <w:p w14:paraId="52C21D42">
            <w:pPr>
              <w:pStyle w:val="238"/>
              <w:rPr>
                <w:rFonts w:hint="default"/>
              </w:rPr>
            </w:pPr>
            <w:r>
              <w:rPr>
                <w:rFonts w:hint="default"/>
              </w:rPr>
              <w:t>氯仿</w:t>
            </w:r>
          </w:p>
        </w:tc>
        <w:tc>
          <w:tcPr>
            <w:tcW w:w="544" w:type="pct"/>
            <w:tcBorders>
              <w:tl2br w:val="nil"/>
              <w:tr2bl w:val="nil"/>
            </w:tcBorders>
            <w:vAlign w:val="center"/>
          </w:tcPr>
          <w:p w14:paraId="7BE9496F">
            <w:pPr>
              <w:pStyle w:val="238"/>
              <w:rPr>
                <w:rFonts w:hint="default"/>
              </w:rPr>
            </w:pPr>
            <w:r>
              <w:rPr>
                <w:rFonts w:hint="default"/>
              </w:rPr>
              <w:t>0.9</w:t>
            </w:r>
          </w:p>
        </w:tc>
        <w:tc>
          <w:tcPr>
            <w:tcW w:w="643" w:type="pct"/>
            <w:tcBorders>
              <w:tl2br w:val="nil"/>
              <w:tr2bl w:val="nil"/>
            </w:tcBorders>
            <w:vAlign w:val="center"/>
          </w:tcPr>
          <w:p w14:paraId="3FB32D12">
            <w:pPr>
              <w:pStyle w:val="238"/>
              <w:rPr>
                <w:rFonts w:hint="default"/>
              </w:rPr>
            </w:pPr>
            <w:r>
              <w:rPr>
                <w:rFonts w:hint="default"/>
              </w:rPr>
              <w:t>10</w:t>
            </w:r>
          </w:p>
        </w:tc>
        <w:tc>
          <w:tcPr>
            <w:tcW w:w="293" w:type="pct"/>
            <w:tcBorders>
              <w:tl2br w:val="nil"/>
              <w:tr2bl w:val="nil"/>
            </w:tcBorders>
            <w:vAlign w:val="center"/>
          </w:tcPr>
          <w:p w14:paraId="57D4EE38">
            <w:pPr>
              <w:pStyle w:val="238"/>
              <w:rPr>
                <w:rFonts w:hint="default"/>
              </w:rPr>
            </w:pPr>
            <w:r>
              <w:rPr>
                <w:rFonts w:hint="default"/>
              </w:rPr>
              <w:t>32</w:t>
            </w:r>
          </w:p>
        </w:tc>
        <w:tc>
          <w:tcPr>
            <w:tcW w:w="1063" w:type="pct"/>
            <w:tcBorders>
              <w:tl2br w:val="nil"/>
              <w:tr2bl w:val="nil"/>
            </w:tcBorders>
            <w:vAlign w:val="center"/>
          </w:tcPr>
          <w:p w14:paraId="1EC3BCA7">
            <w:pPr>
              <w:pStyle w:val="238"/>
              <w:rPr>
                <w:rFonts w:hint="default"/>
              </w:rPr>
            </w:pPr>
            <w:r>
              <w:rPr>
                <w:rFonts w:hint="default"/>
              </w:rPr>
              <w:t>甲苯</w:t>
            </w:r>
          </w:p>
        </w:tc>
        <w:tc>
          <w:tcPr>
            <w:tcW w:w="526" w:type="pct"/>
            <w:tcBorders>
              <w:tl2br w:val="nil"/>
              <w:tr2bl w:val="nil"/>
            </w:tcBorders>
            <w:vAlign w:val="center"/>
          </w:tcPr>
          <w:p w14:paraId="56291222">
            <w:pPr>
              <w:pStyle w:val="238"/>
              <w:rPr>
                <w:rFonts w:hint="default"/>
              </w:rPr>
            </w:pPr>
            <w:r>
              <w:rPr>
                <w:rFonts w:hint="default"/>
              </w:rPr>
              <w:t>1200</w:t>
            </w:r>
          </w:p>
        </w:tc>
        <w:tc>
          <w:tcPr>
            <w:tcW w:w="572" w:type="pct"/>
            <w:tcBorders>
              <w:tl2br w:val="nil"/>
              <w:tr2bl w:val="nil"/>
            </w:tcBorders>
            <w:vAlign w:val="center"/>
          </w:tcPr>
          <w:p w14:paraId="00A9766D">
            <w:pPr>
              <w:pStyle w:val="238"/>
              <w:rPr>
                <w:rFonts w:hint="default"/>
              </w:rPr>
            </w:pPr>
            <w:r>
              <w:rPr>
                <w:rFonts w:hint="default"/>
              </w:rPr>
              <w:t>1200</w:t>
            </w:r>
          </w:p>
        </w:tc>
      </w:tr>
      <w:tr w14:paraId="6FB8E19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260" w:type="pct"/>
            <w:tcBorders>
              <w:tl2br w:val="nil"/>
              <w:tr2bl w:val="nil"/>
            </w:tcBorders>
            <w:vAlign w:val="center"/>
          </w:tcPr>
          <w:p w14:paraId="6DF862C4">
            <w:pPr>
              <w:pStyle w:val="238"/>
              <w:rPr>
                <w:rFonts w:hint="default"/>
              </w:rPr>
            </w:pPr>
            <w:r>
              <w:rPr>
                <w:rFonts w:hint="default"/>
              </w:rPr>
              <w:t>10</w:t>
            </w:r>
          </w:p>
        </w:tc>
        <w:tc>
          <w:tcPr>
            <w:tcW w:w="1095" w:type="pct"/>
            <w:tcBorders>
              <w:tl2br w:val="nil"/>
              <w:tr2bl w:val="nil"/>
            </w:tcBorders>
            <w:vAlign w:val="center"/>
          </w:tcPr>
          <w:p w14:paraId="6CF1DC71">
            <w:pPr>
              <w:pStyle w:val="238"/>
              <w:rPr>
                <w:rFonts w:hint="default"/>
              </w:rPr>
            </w:pPr>
            <w:r>
              <w:rPr>
                <w:rFonts w:hint="default"/>
              </w:rPr>
              <w:t>氯甲烷</w:t>
            </w:r>
          </w:p>
        </w:tc>
        <w:tc>
          <w:tcPr>
            <w:tcW w:w="544" w:type="pct"/>
            <w:tcBorders>
              <w:tl2br w:val="nil"/>
              <w:tr2bl w:val="nil"/>
            </w:tcBorders>
            <w:vAlign w:val="center"/>
          </w:tcPr>
          <w:p w14:paraId="15A2CA52">
            <w:pPr>
              <w:pStyle w:val="238"/>
              <w:rPr>
                <w:rFonts w:hint="default"/>
              </w:rPr>
            </w:pPr>
            <w:r>
              <w:rPr>
                <w:rFonts w:hint="default"/>
              </w:rPr>
              <w:t>37</w:t>
            </w:r>
          </w:p>
        </w:tc>
        <w:tc>
          <w:tcPr>
            <w:tcW w:w="643" w:type="pct"/>
            <w:tcBorders>
              <w:tl2br w:val="nil"/>
              <w:tr2bl w:val="nil"/>
            </w:tcBorders>
            <w:vAlign w:val="center"/>
          </w:tcPr>
          <w:p w14:paraId="21387B97">
            <w:pPr>
              <w:pStyle w:val="238"/>
              <w:rPr>
                <w:rFonts w:hint="default"/>
              </w:rPr>
            </w:pPr>
            <w:r>
              <w:rPr>
                <w:rFonts w:hint="default"/>
              </w:rPr>
              <w:t>120</w:t>
            </w:r>
          </w:p>
        </w:tc>
        <w:tc>
          <w:tcPr>
            <w:tcW w:w="293" w:type="pct"/>
            <w:tcBorders>
              <w:tl2br w:val="nil"/>
              <w:tr2bl w:val="nil"/>
            </w:tcBorders>
            <w:vAlign w:val="center"/>
          </w:tcPr>
          <w:p w14:paraId="0EEA147E">
            <w:pPr>
              <w:pStyle w:val="238"/>
              <w:rPr>
                <w:rFonts w:hint="default"/>
              </w:rPr>
            </w:pPr>
            <w:r>
              <w:rPr>
                <w:rFonts w:hint="default"/>
              </w:rPr>
              <w:t>33</w:t>
            </w:r>
          </w:p>
        </w:tc>
        <w:tc>
          <w:tcPr>
            <w:tcW w:w="1063" w:type="pct"/>
            <w:tcBorders>
              <w:tl2br w:val="nil"/>
              <w:tr2bl w:val="nil"/>
            </w:tcBorders>
            <w:vAlign w:val="center"/>
          </w:tcPr>
          <w:p w14:paraId="4520E7EF">
            <w:pPr>
              <w:pStyle w:val="238"/>
              <w:rPr>
                <w:rFonts w:hint="default"/>
              </w:rPr>
            </w:pPr>
            <w:r>
              <w:rPr>
                <w:rFonts w:hint="default"/>
              </w:rPr>
              <w:t>间二甲苯+对二甲苯</w:t>
            </w:r>
          </w:p>
        </w:tc>
        <w:tc>
          <w:tcPr>
            <w:tcW w:w="526" w:type="pct"/>
            <w:tcBorders>
              <w:tl2br w:val="nil"/>
              <w:tr2bl w:val="nil"/>
            </w:tcBorders>
            <w:vAlign w:val="center"/>
          </w:tcPr>
          <w:p w14:paraId="1A6EA494">
            <w:pPr>
              <w:pStyle w:val="238"/>
              <w:rPr>
                <w:rFonts w:hint="default"/>
              </w:rPr>
            </w:pPr>
            <w:r>
              <w:rPr>
                <w:rFonts w:hint="default"/>
              </w:rPr>
              <w:t>570</w:t>
            </w:r>
          </w:p>
        </w:tc>
        <w:tc>
          <w:tcPr>
            <w:tcW w:w="572" w:type="pct"/>
            <w:tcBorders>
              <w:tl2br w:val="nil"/>
              <w:tr2bl w:val="nil"/>
            </w:tcBorders>
            <w:vAlign w:val="center"/>
          </w:tcPr>
          <w:p w14:paraId="21AC72B2">
            <w:pPr>
              <w:pStyle w:val="238"/>
              <w:rPr>
                <w:rFonts w:hint="default"/>
              </w:rPr>
            </w:pPr>
            <w:r>
              <w:rPr>
                <w:rFonts w:hint="default"/>
              </w:rPr>
              <w:t>570</w:t>
            </w:r>
          </w:p>
        </w:tc>
      </w:tr>
      <w:tr w14:paraId="64BCD5C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260" w:type="pct"/>
            <w:tcBorders>
              <w:tl2br w:val="nil"/>
              <w:tr2bl w:val="nil"/>
            </w:tcBorders>
            <w:vAlign w:val="center"/>
          </w:tcPr>
          <w:p w14:paraId="22B35046">
            <w:pPr>
              <w:pStyle w:val="238"/>
              <w:rPr>
                <w:rFonts w:hint="default"/>
              </w:rPr>
            </w:pPr>
            <w:r>
              <w:rPr>
                <w:rFonts w:hint="default"/>
              </w:rPr>
              <w:t>11</w:t>
            </w:r>
          </w:p>
        </w:tc>
        <w:tc>
          <w:tcPr>
            <w:tcW w:w="1095" w:type="pct"/>
            <w:tcBorders>
              <w:tl2br w:val="nil"/>
              <w:tr2bl w:val="nil"/>
            </w:tcBorders>
            <w:vAlign w:val="center"/>
          </w:tcPr>
          <w:p w14:paraId="541B4EFE">
            <w:pPr>
              <w:pStyle w:val="238"/>
              <w:rPr>
                <w:rFonts w:hint="default"/>
              </w:rPr>
            </w:pPr>
            <w:r>
              <w:rPr>
                <w:rFonts w:hint="default"/>
              </w:rPr>
              <w:t>1，1-二氯乙烷</w:t>
            </w:r>
          </w:p>
        </w:tc>
        <w:tc>
          <w:tcPr>
            <w:tcW w:w="544" w:type="pct"/>
            <w:tcBorders>
              <w:tl2br w:val="nil"/>
              <w:tr2bl w:val="nil"/>
            </w:tcBorders>
            <w:vAlign w:val="center"/>
          </w:tcPr>
          <w:p w14:paraId="36B23DA4">
            <w:pPr>
              <w:pStyle w:val="238"/>
              <w:rPr>
                <w:rFonts w:hint="default"/>
              </w:rPr>
            </w:pPr>
            <w:r>
              <w:rPr>
                <w:rFonts w:hint="default"/>
              </w:rPr>
              <w:t>9</w:t>
            </w:r>
          </w:p>
        </w:tc>
        <w:tc>
          <w:tcPr>
            <w:tcW w:w="643" w:type="pct"/>
            <w:tcBorders>
              <w:tl2br w:val="nil"/>
              <w:tr2bl w:val="nil"/>
            </w:tcBorders>
            <w:vAlign w:val="center"/>
          </w:tcPr>
          <w:p w14:paraId="6EF38E79">
            <w:pPr>
              <w:pStyle w:val="238"/>
              <w:rPr>
                <w:rFonts w:hint="default"/>
              </w:rPr>
            </w:pPr>
            <w:r>
              <w:rPr>
                <w:rFonts w:hint="default"/>
              </w:rPr>
              <w:t>100</w:t>
            </w:r>
          </w:p>
        </w:tc>
        <w:tc>
          <w:tcPr>
            <w:tcW w:w="293" w:type="pct"/>
            <w:tcBorders>
              <w:tl2br w:val="nil"/>
              <w:tr2bl w:val="nil"/>
            </w:tcBorders>
            <w:vAlign w:val="center"/>
          </w:tcPr>
          <w:p w14:paraId="10ADA641">
            <w:pPr>
              <w:pStyle w:val="238"/>
              <w:rPr>
                <w:rFonts w:hint="default"/>
              </w:rPr>
            </w:pPr>
            <w:r>
              <w:rPr>
                <w:rFonts w:hint="default"/>
              </w:rPr>
              <w:t>34</w:t>
            </w:r>
          </w:p>
        </w:tc>
        <w:tc>
          <w:tcPr>
            <w:tcW w:w="1063" w:type="pct"/>
            <w:tcBorders>
              <w:tl2br w:val="nil"/>
              <w:tr2bl w:val="nil"/>
            </w:tcBorders>
            <w:vAlign w:val="center"/>
          </w:tcPr>
          <w:p w14:paraId="70CFCD79">
            <w:pPr>
              <w:pStyle w:val="238"/>
              <w:rPr>
                <w:rFonts w:hint="default"/>
              </w:rPr>
            </w:pPr>
            <w:r>
              <w:rPr>
                <w:rFonts w:hint="default"/>
              </w:rPr>
              <w:t>邻二甲苯</w:t>
            </w:r>
          </w:p>
        </w:tc>
        <w:tc>
          <w:tcPr>
            <w:tcW w:w="526" w:type="pct"/>
            <w:tcBorders>
              <w:tl2br w:val="nil"/>
              <w:tr2bl w:val="nil"/>
            </w:tcBorders>
            <w:vAlign w:val="center"/>
          </w:tcPr>
          <w:p w14:paraId="6F0A8E32">
            <w:pPr>
              <w:pStyle w:val="238"/>
              <w:rPr>
                <w:rFonts w:hint="default"/>
              </w:rPr>
            </w:pPr>
            <w:r>
              <w:rPr>
                <w:rFonts w:hint="default"/>
              </w:rPr>
              <w:t>640</w:t>
            </w:r>
          </w:p>
        </w:tc>
        <w:tc>
          <w:tcPr>
            <w:tcW w:w="572" w:type="pct"/>
            <w:tcBorders>
              <w:tl2br w:val="nil"/>
              <w:tr2bl w:val="nil"/>
            </w:tcBorders>
            <w:vAlign w:val="center"/>
          </w:tcPr>
          <w:p w14:paraId="02FDFC18">
            <w:pPr>
              <w:pStyle w:val="238"/>
              <w:rPr>
                <w:rFonts w:hint="default"/>
              </w:rPr>
            </w:pPr>
            <w:r>
              <w:rPr>
                <w:rFonts w:hint="default"/>
              </w:rPr>
              <w:t>640</w:t>
            </w:r>
          </w:p>
        </w:tc>
      </w:tr>
      <w:tr w14:paraId="25EC140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260" w:type="pct"/>
            <w:tcBorders>
              <w:tl2br w:val="nil"/>
              <w:tr2bl w:val="nil"/>
            </w:tcBorders>
            <w:vAlign w:val="center"/>
          </w:tcPr>
          <w:p w14:paraId="3B62CBFA">
            <w:pPr>
              <w:pStyle w:val="238"/>
              <w:rPr>
                <w:rFonts w:hint="default"/>
              </w:rPr>
            </w:pPr>
            <w:r>
              <w:rPr>
                <w:rFonts w:hint="default"/>
              </w:rPr>
              <w:t>12</w:t>
            </w:r>
          </w:p>
        </w:tc>
        <w:tc>
          <w:tcPr>
            <w:tcW w:w="1095" w:type="pct"/>
            <w:tcBorders>
              <w:tl2br w:val="nil"/>
              <w:tr2bl w:val="nil"/>
            </w:tcBorders>
            <w:vAlign w:val="center"/>
          </w:tcPr>
          <w:p w14:paraId="583810A2">
            <w:pPr>
              <w:pStyle w:val="238"/>
              <w:rPr>
                <w:rFonts w:hint="default"/>
              </w:rPr>
            </w:pPr>
            <w:r>
              <w:rPr>
                <w:rFonts w:hint="default"/>
              </w:rPr>
              <w:t>1，2-二氯乙烷</w:t>
            </w:r>
          </w:p>
        </w:tc>
        <w:tc>
          <w:tcPr>
            <w:tcW w:w="544" w:type="pct"/>
            <w:tcBorders>
              <w:tl2br w:val="nil"/>
              <w:tr2bl w:val="nil"/>
            </w:tcBorders>
            <w:vAlign w:val="center"/>
          </w:tcPr>
          <w:p w14:paraId="79E2F662">
            <w:pPr>
              <w:pStyle w:val="238"/>
              <w:rPr>
                <w:rFonts w:hint="default"/>
              </w:rPr>
            </w:pPr>
            <w:r>
              <w:rPr>
                <w:rFonts w:hint="default"/>
              </w:rPr>
              <w:t>5</w:t>
            </w:r>
          </w:p>
        </w:tc>
        <w:tc>
          <w:tcPr>
            <w:tcW w:w="643" w:type="pct"/>
            <w:tcBorders>
              <w:tl2br w:val="nil"/>
              <w:tr2bl w:val="nil"/>
            </w:tcBorders>
            <w:vAlign w:val="center"/>
          </w:tcPr>
          <w:p w14:paraId="1312FE26">
            <w:pPr>
              <w:pStyle w:val="238"/>
              <w:rPr>
                <w:rFonts w:hint="default"/>
              </w:rPr>
            </w:pPr>
            <w:r>
              <w:rPr>
                <w:rFonts w:hint="default"/>
              </w:rPr>
              <w:t>21</w:t>
            </w:r>
          </w:p>
        </w:tc>
        <w:tc>
          <w:tcPr>
            <w:tcW w:w="293" w:type="pct"/>
            <w:tcBorders>
              <w:tl2br w:val="nil"/>
              <w:tr2bl w:val="nil"/>
            </w:tcBorders>
            <w:vAlign w:val="center"/>
          </w:tcPr>
          <w:p w14:paraId="5AACA4AF">
            <w:pPr>
              <w:pStyle w:val="238"/>
              <w:rPr>
                <w:rFonts w:hint="default"/>
              </w:rPr>
            </w:pPr>
            <w:r>
              <w:rPr>
                <w:rFonts w:hint="default"/>
              </w:rPr>
              <w:t>35</w:t>
            </w:r>
          </w:p>
        </w:tc>
        <w:tc>
          <w:tcPr>
            <w:tcW w:w="1063" w:type="pct"/>
            <w:tcBorders>
              <w:tl2br w:val="nil"/>
              <w:tr2bl w:val="nil"/>
            </w:tcBorders>
            <w:vAlign w:val="center"/>
          </w:tcPr>
          <w:p w14:paraId="2C36C636">
            <w:pPr>
              <w:pStyle w:val="238"/>
              <w:rPr>
                <w:rFonts w:hint="default"/>
              </w:rPr>
            </w:pPr>
            <w:r>
              <w:rPr>
                <w:rFonts w:hint="default"/>
              </w:rPr>
              <w:t>硝基苯</w:t>
            </w:r>
          </w:p>
        </w:tc>
        <w:tc>
          <w:tcPr>
            <w:tcW w:w="526" w:type="pct"/>
            <w:tcBorders>
              <w:tl2br w:val="nil"/>
              <w:tr2bl w:val="nil"/>
            </w:tcBorders>
            <w:vAlign w:val="center"/>
          </w:tcPr>
          <w:p w14:paraId="4C5ECA07">
            <w:pPr>
              <w:pStyle w:val="238"/>
              <w:rPr>
                <w:rFonts w:hint="default"/>
              </w:rPr>
            </w:pPr>
            <w:r>
              <w:rPr>
                <w:rFonts w:hint="default"/>
              </w:rPr>
              <w:t>76</w:t>
            </w:r>
          </w:p>
        </w:tc>
        <w:tc>
          <w:tcPr>
            <w:tcW w:w="572" w:type="pct"/>
            <w:tcBorders>
              <w:tl2br w:val="nil"/>
              <w:tr2bl w:val="nil"/>
            </w:tcBorders>
            <w:vAlign w:val="center"/>
          </w:tcPr>
          <w:p w14:paraId="6B794229">
            <w:pPr>
              <w:pStyle w:val="238"/>
              <w:rPr>
                <w:rFonts w:hint="default"/>
              </w:rPr>
            </w:pPr>
            <w:r>
              <w:rPr>
                <w:rFonts w:hint="default"/>
              </w:rPr>
              <w:t>760</w:t>
            </w:r>
          </w:p>
        </w:tc>
      </w:tr>
      <w:tr w14:paraId="722A6B7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260" w:type="pct"/>
            <w:tcBorders>
              <w:tl2br w:val="nil"/>
              <w:tr2bl w:val="nil"/>
            </w:tcBorders>
            <w:vAlign w:val="center"/>
          </w:tcPr>
          <w:p w14:paraId="6CC866F7">
            <w:pPr>
              <w:pStyle w:val="238"/>
              <w:rPr>
                <w:rFonts w:hint="default"/>
              </w:rPr>
            </w:pPr>
            <w:r>
              <w:rPr>
                <w:rFonts w:hint="default"/>
              </w:rPr>
              <w:t>13</w:t>
            </w:r>
          </w:p>
        </w:tc>
        <w:tc>
          <w:tcPr>
            <w:tcW w:w="1095" w:type="pct"/>
            <w:tcBorders>
              <w:tl2br w:val="nil"/>
              <w:tr2bl w:val="nil"/>
            </w:tcBorders>
            <w:vAlign w:val="center"/>
          </w:tcPr>
          <w:p w14:paraId="5F23148E">
            <w:pPr>
              <w:pStyle w:val="238"/>
              <w:rPr>
                <w:rFonts w:hint="default"/>
              </w:rPr>
            </w:pPr>
            <w:r>
              <w:rPr>
                <w:rFonts w:hint="default"/>
              </w:rPr>
              <w:t>1，1-二氯乙烯</w:t>
            </w:r>
          </w:p>
        </w:tc>
        <w:tc>
          <w:tcPr>
            <w:tcW w:w="544" w:type="pct"/>
            <w:tcBorders>
              <w:tl2br w:val="nil"/>
              <w:tr2bl w:val="nil"/>
            </w:tcBorders>
            <w:vAlign w:val="center"/>
          </w:tcPr>
          <w:p w14:paraId="5FD86B1E">
            <w:pPr>
              <w:pStyle w:val="238"/>
              <w:rPr>
                <w:rFonts w:hint="default"/>
              </w:rPr>
            </w:pPr>
            <w:r>
              <w:rPr>
                <w:rFonts w:hint="default"/>
              </w:rPr>
              <w:t>66</w:t>
            </w:r>
          </w:p>
        </w:tc>
        <w:tc>
          <w:tcPr>
            <w:tcW w:w="643" w:type="pct"/>
            <w:tcBorders>
              <w:tl2br w:val="nil"/>
              <w:tr2bl w:val="nil"/>
            </w:tcBorders>
            <w:vAlign w:val="center"/>
          </w:tcPr>
          <w:p w14:paraId="0C924E72">
            <w:pPr>
              <w:pStyle w:val="238"/>
              <w:rPr>
                <w:rFonts w:hint="default"/>
              </w:rPr>
            </w:pPr>
            <w:r>
              <w:rPr>
                <w:rFonts w:hint="default"/>
              </w:rPr>
              <w:t>200</w:t>
            </w:r>
          </w:p>
        </w:tc>
        <w:tc>
          <w:tcPr>
            <w:tcW w:w="293" w:type="pct"/>
            <w:tcBorders>
              <w:tl2br w:val="nil"/>
              <w:tr2bl w:val="nil"/>
            </w:tcBorders>
            <w:vAlign w:val="center"/>
          </w:tcPr>
          <w:p w14:paraId="63D81825">
            <w:pPr>
              <w:pStyle w:val="238"/>
              <w:rPr>
                <w:rFonts w:hint="default"/>
              </w:rPr>
            </w:pPr>
            <w:r>
              <w:rPr>
                <w:rFonts w:hint="default"/>
              </w:rPr>
              <w:t>36</w:t>
            </w:r>
          </w:p>
        </w:tc>
        <w:tc>
          <w:tcPr>
            <w:tcW w:w="1063" w:type="pct"/>
            <w:tcBorders>
              <w:tl2br w:val="nil"/>
              <w:tr2bl w:val="nil"/>
            </w:tcBorders>
            <w:vAlign w:val="center"/>
          </w:tcPr>
          <w:p w14:paraId="74232E23">
            <w:pPr>
              <w:pStyle w:val="238"/>
              <w:rPr>
                <w:rFonts w:hint="default"/>
              </w:rPr>
            </w:pPr>
            <w:r>
              <w:rPr>
                <w:rFonts w:hint="default"/>
              </w:rPr>
              <w:t>苯胺</w:t>
            </w:r>
          </w:p>
        </w:tc>
        <w:tc>
          <w:tcPr>
            <w:tcW w:w="526" w:type="pct"/>
            <w:tcBorders>
              <w:tl2br w:val="nil"/>
              <w:tr2bl w:val="nil"/>
            </w:tcBorders>
            <w:vAlign w:val="center"/>
          </w:tcPr>
          <w:p w14:paraId="04ADE7BC">
            <w:pPr>
              <w:pStyle w:val="238"/>
              <w:rPr>
                <w:rFonts w:hint="default"/>
              </w:rPr>
            </w:pPr>
            <w:r>
              <w:rPr>
                <w:rFonts w:hint="default"/>
              </w:rPr>
              <w:t>260</w:t>
            </w:r>
          </w:p>
        </w:tc>
        <w:tc>
          <w:tcPr>
            <w:tcW w:w="572" w:type="pct"/>
            <w:tcBorders>
              <w:tl2br w:val="nil"/>
              <w:tr2bl w:val="nil"/>
            </w:tcBorders>
            <w:vAlign w:val="center"/>
          </w:tcPr>
          <w:p w14:paraId="1E9FC3E2">
            <w:pPr>
              <w:pStyle w:val="238"/>
              <w:rPr>
                <w:rFonts w:hint="default"/>
              </w:rPr>
            </w:pPr>
            <w:r>
              <w:rPr>
                <w:rFonts w:hint="default"/>
              </w:rPr>
              <w:t>663</w:t>
            </w:r>
          </w:p>
        </w:tc>
      </w:tr>
      <w:tr w14:paraId="3DD3186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260" w:type="pct"/>
            <w:tcBorders>
              <w:tl2br w:val="nil"/>
              <w:tr2bl w:val="nil"/>
            </w:tcBorders>
            <w:vAlign w:val="center"/>
          </w:tcPr>
          <w:p w14:paraId="606AE264">
            <w:pPr>
              <w:pStyle w:val="238"/>
              <w:rPr>
                <w:rFonts w:hint="default"/>
              </w:rPr>
            </w:pPr>
            <w:r>
              <w:rPr>
                <w:rFonts w:hint="default"/>
              </w:rPr>
              <w:t>14</w:t>
            </w:r>
          </w:p>
        </w:tc>
        <w:tc>
          <w:tcPr>
            <w:tcW w:w="1095" w:type="pct"/>
            <w:tcBorders>
              <w:tl2br w:val="nil"/>
              <w:tr2bl w:val="nil"/>
            </w:tcBorders>
            <w:vAlign w:val="center"/>
          </w:tcPr>
          <w:p w14:paraId="7F7C0EE2">
            <w:pPr>
              <w:pStyle w:val="238"/>
              <w:rPr>
                <w:rFonts w:hint="default"/>
              </w:rPr>
            </w:pPr>
            <w:r>
              <w:rPr>
                <w:rFonts w:hint="default"/>
              </w:rPr>
              <w:t>顺-1，2-二氯乙烯</w:t>
            </w:r>
          </w:p>
        </w:tc>
        <w:tc>
          <w:tcPr>
            <w:tcW w:w="544" w:type="pct"/>
            <w:tcBorders>
              <w:tl2br w:val="nil"/>
              <w:tr2bl w:val="nil"/>
            </w:tcBorders>
            <w:vAlign w:val="center"/>
          </w:tcPr>
          <w:p w14:paraId="5553FE45">
            <w:pPr>
              <w:pStyle w:val="238"/>
              <w:rPr>
                <w:rFonts w:hint="default"/>
              </w:rPr>
            </w:pPr>
            <w:r>
              <w:rPr>
                <w:rFonts w:hint="default"/>
              </w:rPr>
              <w:t>596</w:t>
            </w:r>
          </w:p>
        </w:tc>
        <w:tc>
          <w:tcPr>
            <w:tcW w:w="643" w:type="pct"/>
            <w:tcBorders>
              <w:tl2br w:val="nil"/>
              <w:tr2bl w:val="nil"/>
            </w:tcBorders>
            <w:vAlign w:val="center"/>
          </w:tcPr>
          <w:p w14:paraId="124E74D0">
            <w:pPr>
              <w:pStyle w:val="238"/>
              <w:rPr>
                <w:rFonts w:hint="default"/>
              </w:rPr>
            </w:pPr>
            <w:r>
              <w:rPr>
                <w:rFonts w:hint="default"/>
              </w:rPr>
              <w:t>2000</w:t>
            </w:r>
          </w:p>
        </w:tc>
        <w:tc>
          <w:tcPr>
            <w:tcW w:w="293" w:type="pct"/>
            <w:tcBorders>
              <w:tl2br w:val="nil"/>
              <w:tr2bl w:val="nil"/>
            </w:tcBorders>
            <w:vAlign w:val="center"/>
          </w:tcPr>
          <w:p w14:paraId="66E3F792">
            <w:pPr>
              <w:pStyle w:val="238"/>
              <w:rPr>
                <w:rFonts w:hint="default"/>
              </w:rPr>
            </w:pPr>
            <w:r>
              <w:rPr>
                <w:rFonts w:hint="default"/>
              </w:rPr>
              <w:t>37</w:t>
            </w:r>
          </w:p>
        </w:tc>
        <w:tc>
          <w:tcPr>
            <w:tcW w:w="1063" w:type="pct"/>
            <w:tcBorders>
              <w:tl2br w:val="nil"/>
              <w:tr2bl w:val="nil"/>
            </w:tcBorders>
            <w:vAlign w:val="center"/>
          </w:tcPr>
          <w:p w14:paraId="529D9C17">
            <w:pPr>
              <w:pStyle w:val="238"/>
              <w:rPr>
                <w:rFonts w:hint="default"/>
              </w:rPr>
            </w:pPr>
            <w:r>
              <w:rPr>
                <w:rFonts w:hint="default"/>
              </w:rPr>
              <w:t>2-氯酚</w:t>
            </w:r>
          </w:p>
        </w:tc>
        <w:tc>
          <w:tcPr>
            <w:tcW w:w="526" w:type="pct"/>
            <w:tcBorders>
              <w:tl2br w:val="nil"/>
              <w:tr2bl w:val="nil"/>
            </w:tcBorders>
            <w:vAlign w:val="center"/>
          </w:tcPr>
          <w:p w14:paraId="037A0875">
            <w:pPr>
              <w:pStyle w:val="238"/>
              <w:rPr>
                <w:rFonts w:hint="default"/>
              </w:rPr>
            </w:pPr>
            <w:r>
              <w:rPr>
                <w:rFonts w:hint="default"/>
              </w:rPr>
              <w:t>2256</w:t>
            </w:r>
          </w:p>
        </w:tc>
        <w:tc>
          <w:tcPr>
            <w:tcW w:w="572" w:type="pct"/>
            <w:tcBorders>
              <w:tl2br w:val="nil"/>
              <w:tr2bl w:val="nil"/>
            </w:tcBorders>
            <w:vAlign w:val="center"/>
          </w:tcPr>
          <w:p w14:paraId="7BA32BC5">
            <w:pPr>
              <w:pStyle w:val="238"/>
              <w:rPr>
                <w:rFonts w:hint="default"/>
              </w:rPr>
            </w:pPr>
            <w:r>
              <w:rPr>
                <w:rFonts w:hint="default"/>
              </w:rPr>
              <w:t>4500</w:t>
            </w:r>
          </w:p>
        </w:tc>
      </w:tr>
      <w:tr w14:paraId="1DB884E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260" w:type="pct"/>
            <w:tcBorders>
              <w:tl2br w:val="nil"/>
              <w:tr2bl w:val="nil"/>
            </w:tcBorders>
            <w:vAlign w:val="center"/>
          </w:tcPr>
          <w:p w14:paraId="665C20BA">
            <w:pPr>
              <w:pStyle w:val="238"/>
              <w:rPr>
                <w:rFonts w:hint="default"/>
              </w:rPr>
            </w:pPr>
            <w:r>
              <w:rPr>
                <w:rFonts w:hint="default"/>
              </w:rPr>
              <w:t>15</w:t>
            </w:r>
          </w:p>
        </w:tc>
        <w:tc>
          <w:tcPr>
            <w:tcW w:w="1095" w:type="pct"/>
            <w:tcBorders>
              <w:tl2br w:val="nil"/>
              <w:tr2bl w:val="nil"/>
            </w:tcBorders>
            <w:vAlign w:val="center"/>
          </w:tcPr>
          <w:p w14:paraId="77605C54">
            <w:pPr>
              <w:pStyle w:val="238"/>
              <w:rPr>
                <w:rFonts w:hint="default"/>
              </w:rPr>
            </w:pPr>
            <w:r>
              <w:rPr>
                <w:rFonts w:hint="default"/>
              </w:rPr>
              <w:t>反-1，2-二氯乙烯</w:t>
            </w:r>
          </w:p>
        </w:tc>
        <w:tc>
          <w:tcPr>
            <w:tcW w:w="544" w:type="pct"/>
            <w:tcBorders>
              <w:tl2br w:val="nil"/>
              <w:tr2bl w:val="nil"/>
            </w:tcBorders>
            <w:vAlign w:val="center"/>
          </w:tcPr>
          <w:p w14:paraId="46C2FDC6">
            <w:pPr>
              <w:pStyle w:val="238"/>
              <w:rPr>
                <w:rFonts w:hint="default"/>
              </w:rPr>
            </w:pPr>
            <w:r>
              <w:rPr>
                <w:rFonts w:hint="default"/>
              </w:rPr>
              <w:t>54</w:t>
            </w:r>
          </w:p>
        </w:tc>
        <w:tc>
          <w:tcPr>
            <w:tcW w:w="643" w:type="pct"/>
            <w:tcBorders>
              <w:tl2br w:val="nil"/>
              <w:tr2bl w:val="nil"/>
            </w:tcBorders>
            <w:vAlign w:val="center"/>
          </w:tcPr>
          <w:p w14:paraId="418E6720">
            <w:pPr>
              <w:pStyle w:val="238"/>
              <w:rPr>
                <w:rFonts w:hint="default"/>
              </w:rPr>
            </w:pPr>
            <w:r>
              <w:rPr>
                <w:rFonts w:hint="default"/>
              </w:rPr>
              <w:t>163</w:t>
            </w:r>
          </w:p>
        </w:tc>
        <w:tc>
          <w:tcPr>
            <w:tcW w:w="293" w:type="pct"/>
            <w:tcBorders>
              <w:tl2br w:val="nil"/>
              <w:tr2bl w:val="nil"/>
            </w:tcBorders>
            <w:vAlign w:val="center"/>
          </w:tcPr>
          <w:p w14:paraId="0F171A6F">
            <w:pPr>
              <w:pStyle w:val="238"/>
              <w:rPr>
                <w:rFonts w:hint="default"/>
              </w:rPr>
            </w:pPr>
            <w:r>
              <w:rPr>
                <w:rFonts w:hint="default"/>
              </w:rPr>
              <w:t>38</w:t>
            </w:r>
          </w:p>
        </w:tc>
        <w:tc>
          <w:tcPr>
            <w:tcW w:w="1063" w:type="pct"/>
            <w:tcBorders>
              <w:tl2br w:val="nil"/>
              <w:tr2bl w:val="nil"/>
            </w:tcBorders>
            <w:vAlign w:val="center"/>
          </w:tcPr>
          <w:p w14:paraId="045DC5B5">
            <w:pPr>
              <w:pStyle w:val="238"/>
              <w:rPr>
                <w:rFonts w:hint="default"/>
              </w:rPr>
            </w:pPr>
            <w:r>
              <w:rPr>
                <w:rFonts w:hint="default"/>
              </w:rPr>
              <w:t>苯并[a]蒽</w:t>
            </w:r>
          </w:p>
        </w:tc>
        <w:tc>
          <w:tcPr>
            <w:tcW w:w="526" w:type="pct"/>
            <w:tcBorders>
              <w:tl2br w:val="nil"/>
              <w:tr2bl w:val="nil"/>
            </w:tcBorders>
            <w:vAlign w:val="center"/>
          </w:tcPr>
          <w:p w14:paraId="1C7658C5">
            <w:pPr>
              <w:pStyle w:val="238"/>
              <w:rPr>
                <w:rFonts w:hint="default"/>
              </w:rPr>
            </w:pPr>
            <w:r>
              <w:rPr>
                <w:rFonts w:hint="default"/>
              </w:rPr>
              <w:t>15</w:t>
            </w:r>
          </w:p>
        </w:tc>
        <w:tc>
          <w:tcPr>
            <w:tcW w:w="572" w:type="pct"/>
            <w:tcBorders>
              <w:tl2br w:val="nil"/>
              <w:tr2bl w:val="nil"/>
            </w:tcBorders>
            <w:vAlign w:val="center"/>
          </w:tcPr>
          <w:p w14:paraId="033830E5">
            <w:pPr>
              <w:pStyle w:val="238"/>
              <w:rPr>
                <w:rFonts w:hint="default"/>
              </w:rPr>
            </w:pPr>
            <w:r>
              <w:rPr>
                <w:rFonts w:hint="default"/>
              </w:rPr>
              <w:t>151</w:t>
            </w:r>
          </w:p>
        </w:tc>
      </w:tr>
      <w:tr w14:paraId="2AAEB4F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260" w:type="pct"/>
            <w:tcBorders>
              <w:tl2br w:val="nil"/>
              <w:tr2bl w:val="nil"/>
            </w:tcBorders>
            <w:vAlign w:val="center"/>
          </w:tcPr>
          <w:p w14:paraId="4AD059BB">
            <w:pPr>
              <w:pStyle w:val="238"/>
              <w:rPr>
                <w:rFonts w:hint="default"/>
              </w:rPr>
            </w:pPr>
            <w:r>
              <w:rPr>
                <w:rFonts w:hint="default"/>
              </w:rPr>
              <w:t>16</w:t>
            </w:r>
          </w:p>
        </w:tc>
        <w:tc>
          <w:tcPr>
            <w:tcW w:w="1095" w:type="pct"/>
            <w:tcBorders>
              <w:tl2br w:val="nil"/>
              <w:tr2bl w:val="nil"/>
            </w:tcBorders>
            <w:vAlign w:val="center"/>
          </w:tcPr>
          <w:p w14:paraId="360F3F6A">
            <w:pPr>
              <w:pStyle w:val="238"/>
              <w:rPr>
                <w:rFonts w:hint="default"/>
              </w:rPr>
            </w:pPr>
            <w:r>
              <w:rPr>
                <w:rFonts w:hint="default"/>
              </w:rPr>
              <w:t>二氯甲烷</w:t>
            </w:r>
          </w:p>
        </w:tc>
        <w:tc>
          <w:tcPr>
            <w:tcW w:w="544" w:type="pct"/>
            <w:tcBorders>
              <w:tl2br w:val="nil"/>
              <w:tr2bl w:val="nil"/>
            </w:tcBorders>
            <w:vAlign w:val="center"/>
          </w:tcPr>
          <w:p w14:paraId="02008F3E">
            <w:pPr>
              <w:pStyle w:val="238"/>
              <w:rPr>
                <w:rFonts w:hint="default"/>
              </w:rPr>
            </w:pPr>
            <w:r>
              <w:rPr>
                <w:rFonts w:hint="default"/>
              </w:rPr>
              <w:t>616</w:t>
            </w:r>
          </w:p>
        </w:tc>
        <w:tc>
          <w:tcPr>
            <w:tcW w:w="643" w:type="pct"/>
            <w:tcBorders>
              <w:tl2br w:val="nil"/>
              <w:tr2bl w:val="nil"/>
            </w:tcBorders>
            <w:vAlign w:val="center"/>
          </w:tcPr>
          <w:p w14:paraId="6A83E6CF">
            <w:pPr>
              <w:pStyle w:val="238"/>
              <w:rPr>
                <w:rFonts w:hint="default"/>
              </w:rPr>
            </w:pPr>
            <w:r>
              <w:rPr>
                <w:rFonts w:hint="default"/>
              </w:rPr>
              <w:t>2000</w:t>
            </w:r>
          </w:p>
        </w:tc>
        <w:tc>
          <w:tcPr>
            <w:tcW w:w="293" w:type="pct"/>
            <w:tcBorders>
              <w:tl2br w:val="nil"/>
              <w:tr2bl w:val="nil"/>
            </w:tcBorders>
            <w:vAlign w:val="center"/>
          </w:tcPr>
          <w:p w14:paraId="613A7043">
            <w:pPr>
              <w:pStyle w:val="238"/>
              <w:rPr>
                <w:rFonts w:hint="default"/>
              </w:rPr>
            </w:pPr>
            <w:r>
              <w:rPr>
                <w:rFonts w:hint="default"/>
              </w:rPr>
              <w:t>39</w:t>
            </w:r>
          </w:p>
        </w:tc>
        <w:tc>
          <w:tcPr>
            <w:tcW w:w="1063" w:type="pct"/>
            <w:tcBorders>
              <w:tl2br w:val="nil"/>
              <w:tr2bl w:val="nil"/>
            </w:tcBorders>
            <w:vAlign w:val="center"/>
          </w:tcPr>
          <w:p w14:paraId="19F19BC0">
            <w:pPr>
              <w:pStyle w:val="238"/>
              <w:rPr>
                <w:rFonts w:hint="default"/>
              </w:rPr>
            </w:pPr>
            <w:r>
              <w:rPr>
                <w:rFonts w:hint="default"/>
              </w:rPr>
              <w:t>苯并[a]芘</w:t>
            </w:r>
          </w:p>
        </w:tc>
        <w:tc>
          <w:tcPr>
            <w:tcW w:w="526" w:type="pct"/>
            <w:tcBorders>
              <w:tl2br w:val="nil"/>
              <w:tr2bl w:val="nil"/>
            </w:tcBorders>
            <w:vAlign w:val="center"/>
          </w:tcPr>
          <w:p w14:paraId="64F0CD52">
            <w:pPr>
              <w:pStyle w:val="238"/>
              <w:rPr>
                <w:rFonts w:hint="default"/>
              </w:rPr>
            </w:pPr>
            <w:r>
              <w:rPr>
                <w:rFonts w:hint="default"/>
              </w:rPr>
              <w:t>1.5</w:t>
            </w:r>
          </w:p>
        </w:tc>
        <w:tc>
          <w:tcPr>
            <w:tcW w:w="572" w:type="pct"/>
            <w:tcBorders>
              <w:tl2br w:val="nil"/>
              <w:tr2bl w:val="nil"/>
            </w:tcBorders>
            <w:vAlign w:val="center"/>
          </w:tcPr>
          <w:p w14:paraId="0501A1F4">
            <w:pPr>
              <w:pStyle w:val="238"/>
              <w:rPr>
                <w:rFonts w:hint="default"/>
              </w:rPr>
            </w:pPr>
            <w:r>
              <w:rPr>
                <w:rFonts w:hint="default"/>
              </w:rPr>
              <w:t>15</w:t>
            </w:r>
          </w:p>
        </w:tc>
      </w:tr>
      <w:tr w14:paraId="67CF0B4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260" w:type="pct"/>
            <w:tcBorders>
              <w:tl2br w:val="nil"/>
              <w:tr2bl w:val="nil"/>
            </w:tcBorders>
            <w:vAlign w:val="center"/>
          </w:tcPr>
          <w:p w14:paraId="0B61C286">
            <w:pPr>
              <w:pStyle w:val="238"/>
              <w:rPr>
                <w:rFonts w:hint="default"/>
              </w:rPr>
            </w:pPr>
            <w:r>
              <w:rPr>
                <w:rFonts w:hint="default"/>
              </w:rPr>
              <w:t>17</w:t>
            </w:r>
          </w:p>
        </w:tc>
        <w:tc>
          <w:tcPr>
            <w:tcW w:w="1095" w:type="pct"/>
            <w:tcBorders>
              <w:tl2br w:val="nil"/>
              <w:tr2bl w:val="nil"/>
            </w:tcBorders>
            <w:vAlign w:val="center"/>
          </w:tcPr>
          <w:p w14:paraId="40705124">
            <w:pPr>
              <w:pStyle w:val="238"/>
              <w:rPr>
                <w:rFonts w:hint="default"/>
              </w:rPr>
            </w:pPr>
            <w:r>
              <w:rPr>
                <w:rFonts w:hint="default"/>
              </w:rPr>
              <w:t>1，2-二氯丙烷</w:t>
            </w:r>
          </w:p>
        </w:tc>
        <w:tc>
          <w:tcPr>
            <w:tcW w:w="544" w:type="pct"/>
            <w:tcBorders>
              <w:tl2br w:val="nil"/>
              <w:tr2bl w:val="nil"/>
            </w:tcBorders>
            <w:vAlign w:val="center"/>
          </w:tcPr>
          <w:p w14:paraId="2FE5B057">
            <w:pPr>
              <w:pStyle w:val="238"/>
              <w:rPr>
                <w:rFonts w:hint="default"/>
              </w:rPr>
            </w:pPr>
            <w:r>
              <w:rPr>
                <w:rFonts w:hint="default"/>
              </w:rPr>
              <w:t>5</w:t>
            </w:r>
          </w:p>
        </w:tc>
        <w:tc>
          <w:tcPr>
            <w:tcW w:w="643" w:type="pct"/>
            <w:tcBorders>
              <w:tl2br w:val="nil"/>
              <w:tr2bl w:val="nil"/>
            </w:tcBorders>
            <w:vAlign w:val="center"/>
          </w:tcPr>
          <w:p w14:paraId="19AAC06A">
            <w:pPr>
              <w:pStyle w:val="238"/>
              <w:rPr>
                <w:rFonts w:hint="default"/>
              </w:rPr>
            </w:pPr>
            <w:r>
              <w:rPr>
                <w:rFonts w:hint="default"/>
              </w:rPr>
              <w:t>47</w:t>
            </w:r>
          </w:p>
        </w:tc>
        <w:tc>
          <w:tcPr>
            <w:tcW w:w="293" w:type="pct"/>
            <w:tcBorders>
              <w:tl2br w:val="nil"/>
              <w:tr2bl w:val="nil"/>
            </w:tcBorders>
            <w:vAlign w:val="center"/>
          </w:tcPr>
          <w:p w14:paraId="46A46EEF">
            <w:pPr>
              <w:pStyle w:val="238"/>
              <w:rPr>
                <w:rFonts w:hint="default"/>
              </w:rPr>
            </w:pPr>
            <w:r>
              <w:rPr>
                <w:rFonts w:hint="default"/>
              </w:rPr>
              <w:t>40</w:t>
            </w:r>
          </w:p>
        </w:tc>
        <w:tc>
          <w:tcPr>
            <w:tcW w:w="1063" w:type="pct"/>
            <w:tcBorders>
              <w:tl2br w:val="nil"/>
              <w:tr2bl w:val="nil"/>
            </w:tcBorders>
            <w:vAlign w:val="center"/>
          </w:tcPr>
          <w:p w14:paraId="2D40AB28">
            <w:pPr>
              <w:pStyle w:val="238"/>
              <w:rPr>
                <w:rFonts w:hint="default"/>
              </w:rPr>
            </w:pPr>
            <w:r>
              <w:rPr>
                <w:rFonts w:hint="default"/>
              </w:rPr>
              <w:t>苯并[b]荧蒽</w:t>
            </w:r>
          </w:p>
        </w:tc>
        <w:tc>
          <w:tcPr>
            <w:tcW w:w="526" w:type="pct"/>
            <w:tcBorders>
              <w:tl2br w:val="nil"/>
              <w:tr2bl w:val="nil"/>
            </w:tcBorders>
            <w:vAlign w:val="center"/>
          </w:tcPr>
          <w:p w14:paraId="24F2D953">
            <w:pPr>
              <w:pStyle w:val="238"/>
              <w:rPr>
                <w:rFonts w:hint="default"/>
              </w:rPr>
            </w:pPr>
            <w:r>
              <w:rPr>
                <w:rFonts w:hint="default"/>
              </w:rPr>
              <w:t>15</w:t>
            </w:r>
          </w:p>
        </w:tc>
        <w:tc>
          <w:tcPr>
            <w:tcW w:w="572" w:type="pct"/>
            <w:tcBorders>
              <w:tl2br w:val="nil"/>
              <w:tr2bl w:val="nil"/>
            </w:tcBorders>
            <w:vAlign w:val="center"/>
          </w:tcPr>
          <w:p w14:paraId="13881D0C">
            <w:pPr>
              <w:pStyle w:val="238"/>
              <w:rPr>
                <w:rFonts w:hint="default"/>
              </w:rPr>
            </w:pPr>
            <w:r>
              <w:rPr>
                <w:rFonts w:hint="default"/>
              </w:rPr>
              <w:t>151</w:t>
            </w:r>
          </w:p>
        </w:tc>
      </w:tr>
      <w:tr w14:paraId="127C27D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260" w:type="pct"/>
            <w:tcBorders>
              <w:tl2br w:val="nil"/>
              <w:tr2bl w:val="nil"/>
            </w:tcBorders>
            <w:vAlign w:val="center"/>
          </w:tcPr>
          <w:p w14:paraId="0CF1A726">
            <w:pPr>
              <w:pStyle w:val="238"/>
              <w:rPr>
                <w:rFonts w:hint="default"/>
              </w:rPr>
            </w:pPr>
            <w:r>
              <w:rPr>
                <w:rFonts w:hint="default"/>
              </w:rPr>
              <w:t>18</w:t>
            </w:r>
          </w:p>
        </w:tc>
        <w:tc>
          <w:tcPr>
            <w:tcW w:w="1095" w:type="pct"/>
            <w:tcBorders>
              <w:tl2br w:val="nil"/>
              <w:tr2bl w:val="nil"/>
            </w:tcBorders>
            <w:vAlign w:val="center"/>
          </w:tcPr>
          <w:p w14:paraId="2DA6214A">
            <w:pPr>
              <w:pStyle w:val="238"/>
              <w:rPr>
                <w:rFonts w:hint="default"/>
              </w:rPr>
            </w:pPr>
            <w:r>
              <w:rPr>
                <w:rFonts w:hint="default"/>
              </w:rPr>
              <w:t>1，1，1，2-四氯乙烷</w:t>
            </w:r>
          </w:p>
        </w:tc>
        <w:tc>
          <w:tcPr>
            <w:tcW w:w="544" w:type="pct"/>
            <w:tcBorders>
              <w:tl2br w:val="nil"/>
              <w:tr2bl w:val="nil"/>
            </w:tcBorders>
            <w:vAlign w:val="center"/>
          </w:tcPr>
          <w:p w14:paraId="5957EE78">
            <w:pPr>
              <w:pStyle w:val="238"/>
              <w:rPr>
                <w:rFonts w:hint="default"/>
              </w:rPr>
            </w:pPr>
            <w:r>
              <w:rPr>
                <w:rFonts w:hint="default"/>
              </w:rPr>
              <w:t>10</w:t>
            </w:r>
          </w:p>
        </w:tc>
        <w:tc>
          <w:tcPr>
            <w:tcW w:w="643" w:type="pct"/>
            <w:tcBorders>
              <w:tl2br w:val="nil"/>
              <w:tr2bl w:val="nil"/>
            </w:tcBorders>
            <w:vAlign w:val="center"/>
          </w:tcPr>
          <w:p w14:paraId="1D646297">
            <w:pPr>
              <w:pStyle w:val="238"/>
              <w:rPr>
                <w:rFonts w:hint="default"/>
              </w:rPr>
            </w:pPr>
            <w:r>
              <w:rPr>
                <w:rFonts w:hint="default"/>
              </w:rPr>
              <w:t>100</w:t>
            </w:r>
          </w:p>
        </w:tc>
        <w:tc>
          <w:tcPr>
            <w:tcW w:w="293" w:type="pct"/>
            <w:tcBorders>
              <w:tl2br w:val="nil"/>
              <w:tr2bl w:val="nil"/>
            </w:tcBorders>
            <w:vAlign w:val="center"/>
          </w:tcPr>
          <w:p w14:paraId="2F26EB09">
            <w:pPr>
              <w:pStyle w:val="238"/>
              <w:rPr>
                <w:rFonts w:hint="default"/>
              </w:rPr>
            </w:pPr>
            <w:r>
              <w:rPr>
                <w:rFonts w:hint="default"/>
              </w:rPr>
              <w:t>41</w:t>
            </w:r>
          </w:p>
        </w:tc>
        <w:tc>
          <w:tcPr>
            <w:tcW w:w="1063" w:type="pct"/>
            <w:tcBorders>
              <w:tl2br w:val="nil"/>
              <w:tr2bl w:val="nil"/>
            </w:tcBorders>
            <w:vAlign w:val="center"/>
          </w:tcPr>
          <w:p w14:paraId="03138A3F">
            <w:pPr>
              <w:pStyle w:val="238"/>
              <w:rPr>
                <w:rFonts w:hint="default"/>
              </w:rPr>
            </w:pPr>
            <w:r>
              <w:rPr>
                <w:rFonts w:hint="default"/>
              </w:rPr>
              <w:t>苯并[k]荧蒽</w:t>
            </w:r>
          </w:p>
        </w:tc>
        <w:tc>
          <w:tcPr>
            <w:tcW w:w="526" w:type="pct"/>
            <w:tcBorders>
              <w:tl2br w:val="nil"/>
              <w:tr2bl w:val="nil"/>
            </w:tcBorders>
            <w:vAlign w:val="center"/>
          </w:tcPr>
          <w:p w14:paraId="1FAB3B6D">
            <w:pPr>
              <w:pStyle w:val="238"/>
              <w:rPr>
                <w:rFonts w:hint="default"/>
              </w:rPr>
            </w:pPr>
            <w:r>
              <w:rPr>
                <w:rFonts w:hint="default"/>
              </w:rPr>
              <w:t>151</w:t>
            </w:r>
          </w:p>
        </w:tc>
        <w:tc>
          <w:tcPr>
            <w:tcW w:w="572" w:type="pct"/>
            <w:tcBorders>
              <w:tl2br w:val="nil"/>
              <w:tr2bl w:val="nil"/>
            </w:tcBorders>
            <w:vAlign w:val="center"/>
          </w:tcPr>
          <w:p w14:paraId="07138258">
            <w:pPr>
              <w:pStyle w:val="238"/>
              <w:rPr>
                <w:rFonts w:hint="default"/>
              </w:rPr>
            </w:pPr>
            <w:r>
              <w:rPr>
                <w:rFonts w:hint="default"/>
              </w:rPr>
              <w:t>1500</w:t>
            </w:r>
          </w:p>
        </w:tc>
      </w:tr>
      <w:tr w14:paraId="19F26B6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260" w:type="pct"/>
            <w:tcBorders>
              <w:tl2br w:val="nil"/>
              <w:tr2bl w:val="nil"/>
            </w:tcBorders>
            <w:vAlign w:val="center"/>
          </w:tcPr>
          <w:p w14:paraId="4011FE1C">
            <w:pPr>
              <w:pStyle w:val="238"/>
              <w:rPr>
                <w:rFonts w:hint="default"/>
              </w:rPr>
            </w:pPr>
            <w:r>
              <w:rPr>
                <w:rFonts w:hint="default"/>
              </w:rPr>
              <w:t>19</w:t>
            </w:r>
          </w:p>
        </w:tc>
        <w:tc>
          <w:tcPr>
            <w:tcW w:w="1095" w:type="pct"/>
            <w:tcBorders>
              <w:tl2br w:val="nil"/>
              <w:tr2bl w:val="nil"/>
            </w:tcBorders>
            <w:vAlign w:val="center"/>
          </w:tcPr>
          <w:p w14:paraId="0D4E5430">
            <w:pPr>
              <w:pStyle w:val="238"/>
              <w:rPr>
                <w:rFonts w:hint="default"/>
              </w:rPr>
            </w:pPr>
            <w:r>
              <w:rPr>
                <w:rFonts w:hint="default"/>
              </w:rPr>
              <w:t>1，1，2，2-四氯乙烷</w:t>
            </w:r>
          </w:p>
        </w:tc>
        <w:tc>
          <w:tcPr>
            <w:tcW w:w="544" w:type="pct"/>
            <w:tcBorders>
              <w:tl2br w:val="nil"/>
              <w:tr2bl w:val="nil"/>
            </w:tcBorders>
            <w:vAlign w:val="center"/>
          </w:tcPr>
          <w:p w14:paraId="11006B04">
            <w:pPr>
              <w:pStyle w:val="238"/>
              <w:rPr>
                <w:rFonts w:hint="default"/>
              </w:rPr>
            </w:pPr>
            <w:r>
              <w:rPr>
                <w:rFonts w:hint="default"/>
              </w:rPr>
              <w:t>6.8</w:t>
            </w:r>
          </w:p>
        </w:tc>
        <w:tc>
          <w:tcPr>
            <w:tcW w:w="643" w:type="pct"/>
            <w:tcBorders>
              <w:tl2br w:val="nil"/>
              <w:tr2bl w:val="nil"/>
            </w:tcBorders>
            <w:vAlign w:val="center"/>
          </w:tcPr>
          <w:p w14:paraId="5816270F">
            <w:pPr>
              <w:pStyle w:val="238"/>
              <w:rPr>
                <w:rFonts w:hint="default"/>
              </w:rPr>
            </w:pPr>
            <w:r>
              <w:rPr>
                <w:rFonts w:hint="default"/>
              </w:rPr>
              <w:t>50</w:t>
            </w:r>
          </w:p>
        </w:tc>
        <w:tc>
          <w:tcPr>
            <w:tcW w:w="293" w:type="pct"/>
            <w:tcBorders>
              <w:tl2br w:val="nil"/>
              <w:tr2bl w:val="nil"/>
            </w:tcBorders>
            <w:vAlign w:val="center"/>
          </w:tcPr>
          <w:p w14:paraId="64E54389">
            <w:pPr>
              <w:pStyle w:val="238"/>
              <w:rPr>
                <w:rFonts w:hint="default"/>
              </w:rPr>
            </w:pPr>
            <w:r>
              <w:rPr>
                <w:rFonts w:hint="default"/>
              </w:rPr>
              <w:t>42</w:t>
            </w:r>
          </w:p>
        </w:tc>
        <w:tc>
          <w:tcPr>
            <w:tcW w:w="1063" w:type="pct"/>
            <w:tcBorders>
              <w:tl2br w:val="nil"/>
              <w:tr2bl w:val="nil"/>
            </w:tcBorders>
            <w:vAlign w:val="center"/>
          </w:tcPr>
          <w:p w14:paraId="4A5CDDD9">
            <w:pPr>
              <w:pStyle w:val="238"/>
              <w:rPr>
                <w:rFonts w:hint="default"/>
              </w:rPr>
            </w:pPr>
            <w:r>
              <w:rPr>
                <w:rFonts w:hint="default"/>
              </w:rPr>
              <w:t>䓛</w:t>
            </w:r>
          </w:p>
        </w:tc>
        <w:tc>
          <w:tcPr>
            <w:tcW w:w="526" w:type="pct"/>
            <w:tcBorders>
              <w:tl2br w:val="nil"/>
              <w:tr2bl w:val="nil"/>
            </w:tcBorders>
            <w:vAlign w:val="center"/>
          </w:tcPr>
          <w:p w14:paraId="67B7AA11">
            <w:pPr>
              <w:pStyle w:val="238"/>
              <w:rPr>
                <w:rFonts w:hint="default"/>
              </w:rPr>
            </w:pPr>
            <w:r>
              <w:rPr>
                <w:rFonts w:hint="default"/>
              </w:rPr>
              <w:t>1293</w:t>
            </w:r>
          </w:p>
        </w:tc>
        <w:tc>
          <w:tcPr>
            <w:tcW w:w="572" w:type="pct"/>
            <w:tcBorders>
              <w:tl2br w:val="nil"/>
              <w:tr2bl w:val="nil"/>
            </w:tcBorders>
            <w:vAlign w:val="center"/>
          </w:tcPr>
          <w:p w14:paraId="0C043F05">
            <w:pPr>
              <w:pStyle w:val="238"/>
              <w:rPr>
                <w:rFonts w:hint="default"/>
              </w:rPr>
            </w:pPr>
            <w:r>
              <w:rPr>
                <w:rFonts w:hint="default"/>
              </w:rPr>
              <w:t>12900</w:t>
            </w:r>
          </w:p>
        </w:tc>
      </w:tr>
      <w:tr w14:paraId="74B49A8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260" w:type="pct"/>
            <w:tcBorders>
              <w:tl2br w:val="nil"/>
              <w:tr2bl w:val="nil"/>
            </w:tcBorders>
            <w:vAlign w:val="center"/>
          </w:tcPr>
          <w:p w14:paraId="040FE874">
            <w:pPr>
              <w:pStyle w:val="238"/>
              <w:rPr>
                <w:rFonts w:hint="default"/>
              </w:rPr>
            </w:pPr>
            <w:r>
              <w:rPr>
                <w:rFonts w:hint="default"/>
              </w:rPr>
              <w:t>20</w:t>
            </w:r>
          </w:p>
        </w:tc>
        <w:tc>
          <w:tcPr>
            <w:tcW w:w="1095" w:type="pct"/>
            <w:tcBorders>
              <w:tl2br w:val="nil"/>
              <w:tr2bl w:val="nil"/>
            </w:tcBorders>
            <w:vAlign w:val="center"/>
          </w:tcPr>
          <w:p w14:paraId="715551ED">
            <w:pPr>
              <w:pStyle w:val="238"/>
              <w:rPr>
                <w:rFonts w:hint="default"/>
              </w:rPr>
            </w:pPr>
            <w:r>
              <w:rPr>
                <w:rFonts w:hint="default"/>
              </w:rPr>
              <w:t>四氯乙烯</w:t>
            </w:r>
          </w:p>
        </w:tc>
        <w:tc>
          <w:tcPr>
            <w:tcW w:w="544" w:type="pct"/>
            <w:tcBorders>
              <w:tl2br w:val="nil"/>
              <w:tr2bl w:val="nil"/>
            </w:tcBorders>
            <w:vAlign w:val="center"/>
          </w:tcPr>
          <w:p w14:paraId="7134DC3E">
            <w:pPr>
              <w:pStyle w:val="238"/>
              <w:rPr>
                <w:rFonts w:hint="default"/>
              </w:rPr>
            </w:pPr>
            <w:r>
              <w:rPr>
                <w:rFonts w:hint="default"/>
              </w:rPr>
              <w:t>53</w:t>
            </w:r>
          </w:p>
        </w:tc>
        <w:tc>
          <w:tcPr>
            <w:tcW w:w="643" w:type="pct"/>
            <w:tcBorders>
              <w:tl2br w:val="nil"/>
              <w:tr2bl w:val="nil"/>
            </w:tcBorders>
            <w:vAlign w:val="center"/>
          </w:tcPr>
          <w:p w14:paraId="13F22D23">
            <w:pPr>
              <w:pStyle w:val="238"/>
              <w:rPr>
                <w:rFonts w:hint="default"/>
              </w:rPr>
            </w:pPr>
            <w:r>
              <w:rPr>
                <w:rFonts w:hint="default"/>
              </w:rPr>
              <w:t>183</w:t>
            </w:r>
          </w:p>
        </w:tc>
        <w:tc>
          <w:tcPr>
            <w:tcW w:w="293" w:type="pct"/>
            <w:tcBorders>
              <w:tl2br w:val="nil"/>
              <w:tr2bl w:val="nil"/>
            </w:tcBorders>
            <w:vAlign w:val="center"/>
          </w:tcPr>
          <w:p w14:paraId="4CBA5FDF">
            <w:pPr>
              <w:pStyle w:val="238"/>
              <w:rPr>
                <w:rFonts w:hint="default"/>
              </w:rPr>
            </w:pPr>
            <w:r>
              <w:rPr>
                <w:rFonts w:hint="default"/>
              </w:rPr>
              <w:t>43</w:t>
            </w:r>
          </w:p>
        </w:tc>
        <w:tc>
          <w:tcPr>
            <w:tcW w:w="1063" w:type="pct"/>
            <w:tcBorders>
              <w:tl2br w:val="nil"/>
              <w:tr2bl w:val="nil"/>
            </w:tcBorders>
            <w:vAlign w:val="center"/>
          </w:tcPr>
          <w:p w14:paraId="24FCC4C8">
            <w:pPr>
              <w:pStyle w:val="238"/>
              <w:rPr>
                <w:rFonts w:hint="default"/>
              </w:rPr>
            </w:pPr>
            <w:r>
              <w:rPr>
                <w:rFonts w:hint="default"/>
              </w:rPr>
              <w:t>二苯并[a，h]蒽</w:t>
            </w:r>
          </w:p>
        </w:tc>
        <w:tc>
          <w:tcPr>
            <w:tcW w:w="526" w:type="pct"/>
            <w:tcBorders>
              <w:tl2br w:val="nil"/>
              <w:tr2bl w:val="nil"/>
            </w:tcBorders>
            <w:vAlign w:val="center"/>
          </w:tcPr>
          <w:p w14:paraId="1015ED2C">
            <w:pPr>
              <w:pStyle w:val="238"/>
              <w:rPr>
                <w:rFonts w:hint="default"/>
              </w:rPr>
            </w:pPr>
            <w:r>
              <w:rPr>
                <w:rFonts w:hint="default"/>
              </w:rPr>
              <w:t>1.5</w:t>
            </w:r>
          </w:p>
        </w:tc>
        <w:tc>
          <w:tcPr>
            <w:tcW w:w="572" w:type="pct"/>
            <w:tcBorders>
              <w:tl2br w:val="nil"/>
              <w:tr2bl w:val="nil"/>
            </w:tcBorders>
            <w:vAlign w:val="center"/>
          </w:tcPr>
          <w:p w14:paraId="34387386">
            <w:pPr>
              <w:pStyle w:val="238"/>
              <w:rPr>
                <w:rFonts w:hint="default"/>
              </w:rPr>
            </w:pPr>
            <w:r>
              <w:rPr>
                <w:rFonts w:hint="default"/>
              </w:rPr>
              <w:t>15</w:t>
            </w:r>
          </w:p>
        </w:tc>
      </w:tr>
      <w:tr w14:paraId="0C4C734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260" w:type="pct"/>
            <w:tcBorders>
              <w:tl2br w:val="nil"/>
              <w:tr2bl w:val="nil"/>
            </w:tcBorders>
            <w:vAlign w:val="center"/>
          </w:tcPr>
          <w:p w14:paraId="4F99AF8C">
            <w:pPr>
              <w:pStyle w:val="238"/>
              <w:rPr>
                <w:rFonts w:hint="default"/>
              </w:rPr>
            </w:pPr>
            <w:r>
              <w:rPr>
                <w:rFonts w:hint="default"/>
              </w:rPr>
              <w:t>21</w:t>
            </w:r>
          </w:p>
        </w:tc>
        <w:tc>
          <w:tcPr>
            <w:tcW w:w="1095" w:type="pct"/>
            <w:tcBorders>
              <w:tl2br w:val="nil"/>
              <w:tr2bl w:val="nil"/>
            </w:tcBorders>
            <w:vAlign w:val="center"/>
          </w:tcPr>
          <w:p w14:paraId="55F05ACF">
            <w:pPr>
              <w:pStyle w:val="238"/>
              <w:rPr>
                <w:rFonts w:hint="default"/>
              </w:rPr>
            </w:pPr>
            <w:r>
              <w:rPr>
                <w:rFonts w:hint="default"/>
              </w:rPr>
              <w:t>1，1，1-三氯乙烷</w:t>
            </w:r>
          </w:p>
        </w:tc>
        <w:tc>
          <w:tcPr>
            <w:tcW w:w="544" w:type="pct"/>
            <w:tcBorders>
              <w:tl2br w:val="nil"/>
              <w:tr2bl w:val="nil"/>
            </w:tcBorders>
            <w:vAlign w:val="center"/>
          </w:tcPr>
          <w:p w14:paraId="00D8A5F3">
            <w:pPr>
              <w:pStyle w:val="238"/>
              <w:rPr>
                <w:rFonts w:hint="default"/>
              </w:rPr>
            </w:pPr>
            <w:r>
              <w:rPr>
                <w:rFonts w:hint="default"/>
              </w:rPr>
              <w:t>840</w:t>
            </w:r>
          </w:p>
        </w:tc>
        <w:tc>
          <w:tcPr>
            <w:tcW w:w="643" w:type="pct"/>
            <w:tcBorders>
              <w:tl2br w:val="nil"/>
              <w:tr2bl w:val="nil"/>
            </w:tcBorders>
            <w:vAlign w:val="center"/>
          </w:tcPr>
          <w:p w14:paraId="1262FA3A">
            <w:pPr>
              <w:pStyle w:val="238"/>
              <w:rPr>
                <w:rFonts w:hint="default"/>
              </w:rPr>
            </w:pPr>
            <w:r>
              <w:rPr>
                <w:rFonts w:hint="default"/>
              </w:rPr>
              <w:t>840</w:t>
            </w:r>
          </w:p>
        </w:tc>
        <w:tc>
          <w:tcPr>
            <w:tcW w:w="293" w:type="pct"/>
            <w:tcBorders>
              <w:tl2br w:val="nil"/>
              <w:tr2bl w:val="nil"/>
            </w:tcBorders>
            <w:vAlign w:val="center"/>
          </w:tcPr>
          <w:p w14:paraId="7A263738">
            <w:pPr>
              <w:pStyle w:val="238"/>
              <w:rPr>
                <w:rFonts w:hint="default"/>
              </w:rPr>
            </w:pPr>
            <w:r>
              <w:rPr>
                <w:rFonts w:hint="default"/>
              </w:rPr>
              <w:t>44</w:t>
            </w:r>
          </w:p>
        </w:tc>
        <w:tc>
          <w:tcPr>
            <w:tcW w:w="1063" w:type="pct"/>
            <w:tcBorders>
              <w:tl2br w:val="nil"/>
              <w:tr2bl w:val="nil"/>
            </w:tcBorders>
            <w:vAlign w:val="center"/>
          </w:tcPr>
          <w:p w14:paraId="272154DF">
            <w:pPr>
              <w:pStyle w:val="238"/>
              <w:rPr>
                <w:rFonts w:hint="default"/>
              </w:rPr>
            </w:pPr>
            <w:r>
              <w:rPr>
                <w:rFonts w:hint="default"/>
              </w:rPr>
              <w:t>茚并[1，2，3-cd]芘</w:t>
            </w:r>
          </w:p>
        </w:tc>
        <w:tc>
          <w:tcPr>
            <w:tcW w:w="526" w:type="pct"/>
            <w:tcBorders>
              <w:tl2br w:val="nil"/>
              <w:tr2bl w:val="nil"/>
            </w:tcBorders>
            <w:vAlign w:val="center"/>
          </w:tcPr>
          <w:p w14:paraId="44C1B213">
            <w:pPr>
              <w:pStyle w:val="238"/>
              <w:rPr>
                <w:rFonts w:hint="default"/>
              </w:rPr>
            </w:pPr>
            <w:r>
              <w:rPr>
                <w:rFonts w:hint="default"/>
              </w:rPr>
              <w:t>15</w:t>
            </w:r>
          </w:p>
        </w:tc>
        <w:tc>
          <w:tcPr>
            <w:tcW w:w="572" w:type="pct"/>
            <w:tcBorders>
              <w:tl2br w:val="nil"/>
              <w:tr2bl w:val="nil"/>
            </w:tcBorders>
            <w:vAlign w:val="center"/>
          </w:tcPr>
          <w:p w14:paraId="55D94C2E">
            <w:pPr>
              <w:pStyle w:val="238"/>
              <w:rPr>
                <w:rFonts w:hint="default"/>
              </w:rPr>
            </w:pPr>
            <w:r>
              <w:rPr>
                <w:rFonts w:hint="default"/>
              </w:rPr>
              <w:t>151</w:t>
            </w:r>
          </w:p>
        </w:tc>
      </w:tr>
      <w:tr w14:paraId="6C66786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260" w:type="pct"/>
            <w:tcBorders>
              <w:tl2br w:val="nil"/>
              <w:tr2bl w:val="nil"/>
            </w:tcBorders>
            <w:vAlign w:val="center"/>
          </w:tcPr>
          <w:p w14:paraId="6BEF3A37">
            <w:pPr>
              <w:pStyle w:val="238"/>
              <w:rPr>
                <w:rFonts w:hint="default"/>
              </w:rPr>
            </w:pPr>
            <w:r>
              <w:rPr>
                <w:rFonts w:hint="default"/>
              </w:rPr>
              <w:t>22</w:t>
            </w:r>
          </w:p>
        </w:tc>
        <w:tc>
          <w:tcPr>
            <w:tcW w:w="1095" w:type="pct"/>
            <w:tcBorders>
              <w:tl2br w:val="nil"/>
              <w:tr2bl w:val="nil"/>
            </w:tcBorders>
            <w:vAlign w:val="center"/>
          </w:tcPr>
          <w:p w14:paraId="53993E80">
            <w:pPr>
              <w:pStyle w:val="238"/>
              <w:rPr>
                <w:rFonts w:hint="default"/>
              </w:rPr>
            </w:pPr>
            <w:r>
              <w:rPr>
                <w:rFonts w:hint="default"/>
              </w:rPr>
              <w:t>1，1，2-三氯乙烷</w:t>
            </w:r>
          </w:p>
        </w:tc>
        <w:tc>
          <w:tcPr>
            <w:tcW w:w="544" w:type="pct"/>
            <w:tcBorders>
              <w:tl2br w:val="nil"/>
              <w:tr2bl w:val="nil"/>
            </w:tcBorders>
            <w:vAlign w:val="center"/>
          </w:tcPr>
          <w:p w14:paraId="38FF8B58">
            <w:pPr>
              <w:pStyle w:val="238"/>
              <w:rPr>
                <w:rFonts w:hint="default"/>
              </w:rPr>
            </w:pPr>
            <w:r>
              <w:rPr>
                <w:rFonts w:hint="default"/>
              </w:rPr>
              <w:t>2.8</w:t>
            </w:r>
          </w:p>
        </w:tc>
        <w:tc>
          <w:tcPr>
            <w:tcW w:w="643" w:type="pct"/>
            <w:tcBorders>
              <w:tl2br w:val="nil"/>
              <w:tr2bl w:val="nil"/>
            </w:tcBorders>
            <w:vAlign w:val="center"/>
          </w:tcPr>
          <w:p w14:paraId="3E917673">
            <w:pPr>
              <w:pStyle w:val="238"/>
              <w:rPr>
                <w:rFonts w:hint="default"/>
              </w:rPr>
            </w:pPr>
            <w:r>
              <w:rPr>
                <w:rFonts w:hint="default"/>
              </w:rPr>
              <w:t>15</w:t>
            </w:r>
          </w:p>
        </w:tc>
        <w:tc>
          <w:tcPr>
            <w:tcW w:w="293" w:type="pct"/>
            <w:tcBorders>
              <w:tl2br w:val="nil"/>
              <w:tr2bl w:val="nil"/>
            </w:tcBorders>
            <w:vAlign w:val="center"/>
          </w:tcPr>
          <w:p w14:paraId="6D79FE8E">
            <w:pPr>
              <w:pStyle w:val="238"/>
              <w:rPr>
                <w:rFonts w:hint="default"/>
              </w:rPr>
            </w:pPr>
            <w:r>
              <w:rPr>
                <w:rFonts w:hint="default"/>
              </w:rPr>
              <w:t>45</w:t>
            </w:r>
          </w:p>
        </w:tc>
        <w:tc>
          <w:tcPr>
            <w:tcW w:w="1063" w:type="pct"/>
            <w:tcBorders>
              <w:tl2br w:val="nil"/>
              <w:tr2bl w:val="nil"/>
            </w:tcBorders>
            <w:vAlign w:val="center"/>
          </w:tcPr>
          <w:p w14:paraId="7C27732F">
            <w:pPr>
              <w:pStyle w:val="238"/>
              <w:rPr>
                <w:rFonts w:hint="default"/>
              </w:rPr>
            </w:pPr>
            <w:r>
              <w:rPr>
                <w:rFonts w:hint="default"/>
              </w:rPr>
              <w:t>萘</w:t>
            </w:r>
          </w:p>
        </w:tc>
        <w:tc>
          <w:tcPr>
            <w:tcW w:w="526" w:type="pct"/>
            <w:tcBorders>
              <w:tl2br w:val="nil"/>
              <w:tr2bl w:val="nil"/>
            </w:tcBorders>
            <w:vAlign w:val="center"/>
          </w:tcPr>
          <w:p w14:paraId="107ADDF8">
            <w:pPr>
              <w:pStyle w:val="238"/>
              <w:rPr>
                <w:rFonts w:hint="default"/>
              </w:rPr>
            </w:pPr>
            <w:r>
              <w:rPr>
                <w:rFonts w:hint="default"/>
              </w:rPr>
              <w:t>70</w:t>
            </w:r>
          </w:p>
        </w:tc>
        <w:tc>
          <w:tcPr>
            <w:tcW w:w="572" w:type="pct"/>
            <w:tcBorders>
              <w:tl2br w:val="nil"/>
              <w:tr2bl w:val="nil"/>
            </w:tcBorders>
            <w:vAlign w:val="center"/>
          </w:tcPr>
          <w:p w14:paraId="54A22B5D">
            <w:pPr>
              <w:pStyle w:val="238"/>
              <w:rPr>
                <w:rFonts w:hint="default"/>
              </w:rPr>
            </w:pPr>
            <w:r>
              <w:rPr>
                <w:rFonts w:hint="default"/>
              </w:rPr>
              <w:t>700</w:t>
            </w:r>
          </w:p>
        </w:tc>
      </w:tr>
      <w:tr w14:paraId="5A57A01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260" w:type="pct"/>
            <w:tcBorders>
              <w:tl2br w:val="nil"/>
              <w:tr2bl w:val="nil"/>
            </w:tcBorders>
            <w:vAlign w:val="center"/>
          </w:tcPr>
          <w:p w14:paraId="32271883">
            <w:pPr>
              <w:pStyle w:val="238"/>
              <w:rPr>
                <w:rFonts w:hint="default"/>
              </w:rPr>
            </w:pPr>
            <w:r>
              <w:rPr>
                <w:rFonts w:hint="default"/>
              </w:rPr>
              <w:t>23</w:t>
            </w:r>
          </w:p>
        </w:tc>
        <w:tc>
          <w:tcPr>
            <w:tcW w:w="1095" w:type="pct"/>
            <w:tcBorders>
              <w:tl2br w:val="nil"/>
              <w:tr2bl w:val="nil"/>
            </w:tcBorders>
            <w:vAlign w:val="center"/>
          </w:tcPr>
          <w:p w14:paraId="20E41982">
            <w:pPr>
              <w:pStyle w:val="238"/>
              <w:rPr>
                <w:rFonts w:hint="default"/>
              </w:rPr>
            </w:pPr>
            <w:r>
              <w:rPr>
                <w:rFonts w:hint="default"/>
              </w:rPr>
              <w:t>三氯乙烯</w:t>
            </w:r>
          </w:p>
        </w:tc>
        <w:tc>
          <w:tcPr>
            <w:tcW w:w="544" w:type="pct"/>
            <w:tcBorders>
              <w:tl2br w:val="nil"/>
              <w:tr2bl w:val="nil"/>
            </w:tcBorders>
            <w:vAlign w:val="center"/>
          </w:tcPr>
          <w:p w14:paraId="69B34161">
            <w:pPr>
              <w:pStyle w:val="238"/>
              <w:rPr>
                <w:rFonts w:hint="default"/>
              </w:rPr>
            </w:pPr>
            <w:r>
              <w:rPr>
                <w:rFonts w:hint="default"/>
              </w:rPr>
              <w:t>2.8</w:t>
            </w:r>
          </w:p>
        </w:tc>
        <w:tc>
          <w:tcPr>
            <w:tcW w:w="643" w:type="pct"/>
            <w:tcBorders>
              <w:tl2br w:val="nil"/>
              <w:tr2bl w:val="nil"/>
            </w:tcBorders>
            <w:vAlign w:val="center"/>
          </w:tcPr>
          <w:p w14:paraId="1CE00613">
            <w:pPr>
              <w:pStyle w:val="238"/>
              <w:rPr>
                <w:rFonts w:hint="default"/>
              </w:rPr>
            </w:pPr>
            <w:r>
              <w:rPr>
                <w:rFonts w:hint="default"/>
              </w:rPr>
              <w:t>20</w:t>
            </w:r>
          </w:p>
        </w:tc>
        <w:tc>
          <w:tcPr>
            <w:tcW w:w="293" w:type="pct"/>
            <w:tcBorders>
              <w:tl2br w:val="nil"/>
              <w:tr2bl w:val="nil"/>
            </w:tcBorders>
            <w:vAlign w:val="center"/>
          </w:tcPr>
          <w:p w14:paraId="5955C697">
            <w:pPr>
              <w:pStyle w:val="238"/>
              <w:rPr>
                <w:rFonts w:hint="default"/>
              </w:rPr>
            </w:pPr>
          </w:p>
        </w:tc>
        <w:tc>
          <w:tcPr>
            <w:tcW w:w="1063" w:type="pct"/>
            <w:tcBorders>
              <w:tl2br w:val="nil"/>
              <w:tr2bl w:val="nil"/>
            </w:tcBorders>
            <w:vAlign w:val="center"/>
          </w:tcPr>
          <w:p w14:paraId="4AB077D4">
            <w:pPr>
              <w:pStyle w:val="238"/>
              <w:rPr>
                <w:rFonts w:hint="default"/>
              </w:rPr>
            </w:pPr>
          </w:p>
        </w:tc>
        <w:tc>
          <w:tcPr>
            <w:tcW w:w="526" w:type="pct"/>
            <w:tcBorders>
              <w:tl2br w:val="nil"/>
              <w:tr2bl w:val="nil"/>
            </w:tcBorders>
            <w:vAlign w:val="center"/>
          </w:tcPr>
          <w:p w14:paraId="6EF1EC36">
            <w:pPr>
              <w:pStyle w:val="238"/>
              <w:rPr>
                <w:rFonts w:hint="default"/>
              </w:rPr>
            </w:pPr>
          </w:p>
        </w:tc>
        <w:tc>
          <w:tcPr>
            <w:tcW w:w="572" w:type="pct"/>
            <w:tcBorders>
              <w:tl2br w:val="nil"/>
              <w:tr2bl w:val="nil"/>
            </w:tcBorders>
            <w:vAlign w:val="center"/>
          </w:tcPr>
          <w:p w14:paraId="51FFB88B">
            <w:pPr>
              <w:pStyle w:val="238"/>
              <w:rPr>
                <w:rFonts w:hint="default"/>
              </w:rPr>
            </w:pPr>
          </w:p>
        </w:tc>
      </w:tr>
    </w:tbl>
    <w:p w14:paraId="124AF2B2">
      <w:pPr>
        <w:widowControl/>
        <w:adjustRightInd/>
        <w:snapToGrid/>
        <w:ind w:firstLine="0" w:firstLineChars="0"/>
        <w:jc w:val="center"/>
        <w:rPr>
          <w:rFonts w:hint="eastAsia" w:ascii="宋体" w:hAnsi="宋体" w:eastAsia="宋体" w:cs="宋体"/>
          <w:b/>
          <w:bCs/>
          <w:sz w:val="21"/>
          <w:szCs w:val="21"/>
        </w:rPr>
      </w:pPr>
    </w:p>
    <w:p w14:paraId="7C97D431">
      <w:pPr>
        <w:widowControl/>
        <w:adjustRightInd/>
        <w:snapToGrid/>
        <w:ind w:firstLine="0" w:firstLineChars="0"/>
        <w:jc w:val="center"/>
        <w:rPr>
          <w:rFonts w:hint="eastAsia" w:ascii="宋体" w:hAnsi="宋体" w:eastAsia="宋体" w:cs="宋体"/>
          <w:b/>
          <w:bCs/>
          <w:sz w:val="21"/>
          <w:szCs w:val="21"/>
        </w:rPr>
      </w:pPr>
      <w:r>
        <w:rPr>
          <w:rFonts w:hint="eastAsia" w:ascii="宋体" w:hAnsi="宋体" w:eastAsia="宋体" w:cs="宋体"/>
          <w:b/>
          <w:bCs/>
          <w:sz w:val="21"/>
          <w:szCs w:val="21"/>
        </w:rPr>
        <w:t>表2.</w:t>
      </w:r>
      <w:r>
        <w:rPr>
          <w:rFonts w:hint="eastAsia" w:ascii="宋体" w:hAnsi="宋体" w:eastAsia="宋体" w:cs="宋体"/>
          <w:b/>
          <w:bCs/>
          <w:sz w:val="21"/>
          <w:szCs w:val="21"/>
          <w:lang w:val="en-US" w:eastAsia="zh-CN"/>
        </w:rPr>
        <w:t xml:space="preserve">6-5   </w:t>
      </w:r>
      <w:r>
        <w:rPr>
          <w:rFonts w:hint="eastAsia" w:ascii="宋体" w:hAnsi="宋体" w:eastAsia="宋体" w:cs="宋体"/>
          <w:b/>
          <w:bCs/>
          <w:sz w:val="21"/>
          <w:szCs w:val="21"/>
        </w:rPr>
        <w:t xml:space="preserve">  </w:t>
      </w:r>
      <w:r>
        <w:rPr>
          <w:rFonts w:hint="eastAsia" w:ascii="宋体" w:hAnsi="宋体" w:cs="宋体"/>
          <w:b/>
          <w:bCs/>
          <w:sz w:val="21"/>
          <w:szCs w:val="21"/>
          <w:lang w:val="en-US" w:eastAsia="zh-CN"/>
        </w:rPr>
        <w:t>农用地</w:t>
      </w:r>
      <w:r>
        <w:rPr>
          <w:rFonts w:hint="eastAsia" w:ascii="宋体" w:hAnsi="宋体" w:eastAsia="宋体" w:cs="宋体"/>
          <w:b/>
          <w:bCs/>
          <w:sz w:val="21"/>
          <w:szCs w:val="21"/>
        </w:rPr>
        <w:t>土壤环境质量标准一览表 单位：mg/kg</w:t>
      </w:r>
    </w:p>
    <w:tbl>
      <w:tblPr>
        <w:tblStyle w:val="49"/>
        <w:tblW w:w="5046"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0" w:type="dxa"/>
          <w:bottom w:w="0" w:type="dxa"/>
          <w:right w:w="0" w:type="dxa"/>
        </w:tblCellMar>
      </w:tblPr>
      <w:tblGrid>
        <w:gridCol w:w="965"/>
        <w:gridCol w:w="1985"/>
        <w:gridCol w:w="1578"/>
        <w:gridCol w:w="1514"/>
        <w:gridCol w:w="1463"/>
        <w:gridCol w:w="1623"/>
      </w:tblGrid>
      <w:tr w14:paraId="391655B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60" w:hRule="atLeast"/>
        </w:trPr>
        <w:tc>
          <w:tcPr>
            <w:tcW w:w="529" w:type="pct"/>
            <w:vMerge w:val="restart"/>
            <w:tcBorders>
              <w:tl2br w:val="nil"/>
              <w:tr2bl w:val="nil"/>
            </w:tcBorders>
            <w:vAlign w:val="center"/>
          </w:tcPr>
          <w:p w14:paraId="072F218D">
            <w:pPr>
              <w:pStyle w:val="238"/>
              <w:rPr>
                <w:rFonts w:hint="eastAsia" w:ascii="Times New Roman" w:hAnsi="Times New Roman" w:eastAsia="宋体" w:cs="Times New Roman"/>
              </w:rPr>
            </w:pPr>
            <w:r>
              <w:rPr>
                <w:rFonts w:hint="eastAsia" w:ascii="Times New Roman" w:hAnsi="Times New Roman" w:eastAsia="宋体" w:cs="Times New Roman"/>
              </w:rPr>
              <w:t>序号</w:t>
            </w:r>
          </w:p>
        </w:tc>
        <w:tc>
          <w:tcPr>
            <w:tcW w:w="1087" w:type="pct"/>
            <w:vMerge w:val="restart"/>
            <w:tcBorders>
              <w:tl2br w:val="nil"/>
              <w:tr2bl w:val="nil"/>
            </w:tcBorders>
            <w:vAlign w:val="center"/>
          </w:tcPr>
          <w:p w14:paraId="1E7DE702">
            <w:pPr>
              <w:pStyle w:val="238"/>
              <w:rPr>
                <w:rFonts w:hint="eastAsia" w:ascii="Times New Roman" w:hAnsi="Times New Roman" w:eastAsia="宋体" w:cs="Times New Roman"/>
              </w:rPr>
            </w:pPr>
            <w:r>
              <w:rPr>
                <w:rFonts w:hint="eastAsia" w:ascii="Times New Roman" w:hAnsi="Times New Roman" w:eastAsia="宋体" w:cs="Times New Roman"/>
              </w:rPr>
              <w:t>污染物项目</w:t>
            </w:r>
          </w:p>
          <w:p w14:paraId="174AAB2C">
            <w:pPr>
              <w:pStyle w:val="238"/>
              <w:rPr>
                <w:rFonts w:hint="eastAsia" w:ascii="Times New Roman" w:hAnsi="Times New Roman" w:eastAsia="宋体" w:cs="Times New Roman"/>
              </w:rPr>
            </w:pPr>
            <w:r>
              <w:rPr>
                <w:rFonts w:hint="eastAsia" w:ascii="Times New Roman" w:hAnsi="Times New Roman" w:eastAsia="宋体" w:cs="Times New Roman"/>
              </w:rPr>
              <w:t>（其他）</w:t>
            </w:r>
          </w:p>
        </w:tc>
        <w:tc>
          <w:tcPr>
            <w:tcW w:w="3383" w:type="pct"/>
            <w:gridSpan w:val="4"/>
            <w:tcBorders>
              <w:tl2br w:val="nil"/>
              <w:tr2bl w:val="nil"/>
            </w:tcBorders>
            <w:vAlign w:val="center"/>
          </w:tcPr>
          <w:p w14:paraId="17E0A1AD">
            <w:pPr>
              <w:pStyle w:val="238"/>
              <w:rPr>
                <w:rFonts w:hint="eastAsia" w:ascii="Times New Roman" w:hAnsi="Times New Roman" w:eastAsia="宋体" w:cs="Times New Roman"/>
              </w:rPr>
            </w:pPr>
            <w:r>
              <w:rPr>
                <w:rFonts w:hint="eastAsia" w:ascii="Times New Roman" w:hAnsi="Times New Roman" w:eastAsia="宋体" w:cs="Times New Roman"/>
              </w:rPr>
              <w:t>风险筛选值</w:t>
            </w:r>
          </w:p>
        </w:tc>
      </w:tr>
      <w:tr w14:paraId="779FDCB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66" w:hRule="atLeast"/>
        </w:trPr>
        <w:tc>
          <w:tcPr>
            <w:tcW w:w="529" w:type="pct"/>
            <w:vMerge w:val="continue"/>
            <w:tcBorders>
              <w:tl2br w:val="nil"/>
              <w:tr2bl w:val="nil"/>
            </w:tcBorders>
            <w:vAlign w:val="center"/>
          </w:tcPr>
          <w:p w14:paraId="3BD990FE">
            <w:pPr>
              <w:pStyle w:val="238"/>
              <w:rPr>
                <w:rFonts w:hint="eastAsia" w:ascii="Times New Roman" w:hAnsi="Times New Roman" w:eastAsia="宋体" w:cs="Times New Roman"/>
              </w:rPr>
            </w:pPr>
          </w:p>
        </w:tc>
        <w:tc>
          <w:tcPr>
            <w:tcW w:w="1087" w:type="pct"/>
            <w:vMerge w:val="continue"/>
            <w:tcBorders>
              <w:tl2br w:val="nil"/>
              <w:tr2bl w:val="nil"/>
            </w:tcBorders>
            <w:vAlign w:val="center"/>
          </w:tcPr>
          <w:p w14:paraId="136C2817">
            <w:pPr>
              <w:pStyle w:val="238"/>
              <w:rPr>
                <w:rFonts w:hint="eastAsia" w:ascii="Times New Roman" w:hAnsi="Times New Roman" w:eastAsia="宋体" w:cs="Times New Roman"/>
              </w:rPr>
            </w:pPr>
          </w:p>
        </w:tc>
        <w:tc>
          <w:tcPr>
            <w:tcW w:w="864" w:type="pct"/>
            <w:tcBorders>
              <w:right w:val="single" w:color="auto" w:sz="4" w:space="0"/>
              <w:tl2br w:val="nil"/>
              <w:tr2bl w:val="nil"/>
            </w:tcBorders>
            <w:vAlign w:val="center"/>
          </w:tcPr>
          <w:p w14:paraId="369F856A">
            <w:pPr>
              <w:pStyle w:val="238"/>
              <w:rPr>
                <w:rFonts w:hint="eastAsia" w:ascii="Times New Roman" w:hAnsi="Times New Roman" w:eastAsia="宋体" w:cs="Times New Roman"/>
              </w:rPr>
            </w:pPr>
            <w:r>
              <w:rPr>
                <w:rFonts w:hint="eastAsia" w:ascii="Times New Roman" w:hAnsi="Times New Roman" w:eastAsia="宋体" w:cs="Times New Roman"/>
              </w:rPr>
              <w:t>pH≤5.5</w:t>
            </w:r>
          </w:p>
        </w:tc>
        <w:tc>
          <w:tcPr>
            <w:tcW w:w="829" w:type="pct"/>
            <w:tcBorders>
              <w:left w:val="single" w:color="auto" w:sz="4" w:space="0"/>
              <w:right w:val="single" w:color="auto" w:sz="4" w:space="0"/>
              <w:tl2br w:val="nil"/>
              <w:tr2bl w:val="nil"/>
            </w:tcBorders>
            <w:vAlign w:val="center"/>
          </w:tcPr>
          <w:p w14:paraId="7626AF6A">
            <w:pPr>
              <w:pStyle w:val="238"/>
              <w:rPr>
                <w:rFonts w:hint="eastAsia" w:ascii="Times New Roman" w:hAnsi="Times New Roman" w:eastAsia="宋体" w:cs="Times New Roman"/>
              </w:rPr>
            </w:pPr>
            <w:r>
              <w:rPr>
                <w:rFonts w:hint="eastAsia" w:ascii="Times New Roman" w:hAnsi="Times New Roman" w:eastAsia="宋体" w:cs="Times New Roman"/>
              </w:rPr>
              <w:t>5.5＜pH≤6.5</w:t>
            </w:r>
          </w:p>
        </w:tc>
        <w:tc>
          <w:tcPr>
            <w:tcW w:w="801" w:type="pct"/>
            <w:tcBorders>
              <w:left w:val="single" w:color="auto" w:sz="4" w:space="0"/>
              <w:right w:val="single" w:color="auto" w:sz="4" w:space="0"/>
              <w:tl2br w:val="nil"/>
              <w:tr2bl w:val="nil"/>
            </w:tcBorders>
            <w:vAlign w:val="center"/>
          </w:tcPr>
          <w:p w14:paraId="19ECC06A">
            <w:pPr>
              <w:pStyle w:val="238"/>
              <w:rPr>
                <w:rFonts w:hint="eastAsia" w:ascii="Times New Roman" w:hAnsi="Times New Roman" w:eastAsia="宋体" w:cs="Times New Roman"/>
              </w:rPr>
            </w:pPr>
            <w:r>
              <w:rPr>
                <w:rFonts w:hint="eastAsia" w:ascii="Times New Roman" w:hAnsi="Times New Roman" w:eastAsia="宋体" w:cs="Times New Roman"/>
              </w:rPr>
              <w:t>6.5＜pH≤7.5</w:t>
            </w:r>
          </w:p>
        </w:tc>
        <w:tc>
          <w:tcPr>
            <w:tcW w:w="887" w:type="pct"/>
            <w:tcBorders>
              <w:left w:val="single" w:color="auto" w:sz="4" w:space="0"/>
              <w:tl2br w:val="nil"/>
              <w:tr2bl w:val="nil"/>
            </w:tcBorders>
            <w:vAlign w:val="center"/>
          </w:tcPr>
          <w:p w14:paraId="76860D23">
            <w:pPr>
              <w:pStyle w:val="238"/>
              <w:rPr>
                <w:rFonts w:hint="eastAsia" w:ascii="Times New Roman" w:hAnsi="Times New Roman" w:eastAsia="宋体" w:cs="Times New Roman"/>
              </w:rPr>
            </w:pPr>
            <w:r>
              <w:rPr>
                <w:rFonts w:hint="eastAsia" w:ascii="Times New Roman" w:hAnsi="Times New Roman" w:eastAsia="宋体" w:cs="Times New Roman"/>
              </w:rPr>
              <w:t>pH＞7.5</w:t>
            </w:r>
          </w:p>
        </w:tc>
      </w:tr>
      <w:tr w14:paraId="1DDC209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45" w:hRule="atLeast"/>
        </w:trPr>
        <w:tc>
          <w:tcPr>
            <w:tcW w:w="529" w:type="pct"/>
            <w:tcBorders>
              <w:tl2br w:val="nil"/>
              <w:tr2bl w:val="nil"/>
            </w:tcBorders>
            <w:vAlign w:val="center"/>
          </w:tcPr>
          <w:p w14:paraId="77CDC1F9">
            <w:pPr>
              <w:pStyle w:val="238"/>
              <w:rPr>
                <w:rFonts w:hint="eastAsia" w:ascii="Times New Roman" w:hAnsi="Times New Roman" w:eastAsia="宋体" w:cs="Times New Roman"/>
              </w:rPr>
            </w:pPr>
            <w:r>
              <w:rPr>
                <w:rFonts w:hint="eastAsia" w:ascii="Times New Roman" w:hAnsi="Times New Roman" w:eastAsia="宋体" w:cs="Times New Roman"/>
              </w:rPr>
              <w:t>1</w:t>
            </w:r>
          </w:p>
        </w:tc>
        <w:tc>
          <w:tcPr>
            <w:tcW w:w="1087" w:type="pct"/>
            <w:tcBorders>
              <w:tl2br w:val="nil"/>
              <w:tr2bl w:val="nil"/>
            </w:tcBorders>
            <w:vAlign w:val="center"/>
          </w:tcPr>
          <w:p w14:paraId="2000B987">
            <w:pPr>
              <w:pStyle w:val="238"/>
              <w:rPr>
                <w:rFonts w:hint="eastAsia" w:ascii="Times New Roman" w:hAnsi="Times New Roman" w:eastAsia="宋体" w:cs="Times New Roman"/>
              </w:rPr>
            </w:pPr>
            <w:r>
              <w:rPr>
                <w:rFonts w:hint="eastAsia" w:ascii="Times New Roman" w:hAnsi="Times New Roman" w:eastAsia="宋体" w:cs="Times New Roman"/>
              </w:rPr>
              <w:t>镉</w:t>
            </w:r>
          </w:p>
        </w:tc>
        <w:tc>
          <w:tcPr>
            <w:tcW w:w="864" w:type="pct"/>
            <w:tcBorders>
              <w:right w:val="single" w:color="auto" w:sz="4" w:space="0"/>
              <w:tl2br w:val="nil"/>
              <w:tr2bl w:val="nil"/>
            </w:tcBorders>
            <w:vAlign w:val="center"/>
          </w:tcPr>
          <w:p w14:paraId="23FCAC0A">
            <w:pPr>
              <w:pStyle w:val="238"/>
              <w:rPr>
                <w:rFonts w:hint="eastAsia" w:ascii="Times New Roman" w:hAnsi="Times New Roman" w:eastAsia="宋体" w:cs="Times New Roman"/>
              </w:rPr>
            </w:pPr>
            <w:r>
              <w:rPr>
                <w:rFonts w:hint="eastAsia" w:ascii="Times New Roman" w:hAnsi="Times New Roman" w:eastAsia="宋体" w:cs="Times New Roman"/>
              </w:rPr>
              <w:t>03</w:t>
            </w:r>
          </w:p>
        </w:tc>
        <w:tc>
          <w:tcPr>
            <w:tcW w:w="829" w:type="pct"/>
            <w:tcBorders>
              <w:left w:val="single" w:color="auto" w:sz="4" w:space="0"/>
              <w:right w:val="single" w:color="auto" w:sz="4" w:space="0"/>
              <w:tl2br w:val="nil"/>
              <w:tr2bl w:val="nil"/>
            </w:tcBorders>
            <w:vAlign w:val="center"/>
          </w:tcPr>
          <w:p w14:paraId="016921D3">
            <w:pPr>
              <w:pStyle w:val="238"/>
              <w:rPr>
                <w:rFonts w:hint="eastAsia" w:ascii="Times New Roman" w:hAnsi="Times New Roman" w:eastAsia="宋体" w:cs="Times New Roman"/>
              </w:rPr>
            </w:pPr>
            <w:r>
              <w:rPr>
                <w:rFonts w:hint="eastAsia" w:ascii="Times New Roman" w:hAnsi="Times New Roman" w:eastAsia="宋体" w:cs="Times New Roman"/>
              </w:rPr>
              <w:t>0.3</w:t>
            </w:r>
          </w:p>
        </w:tc>
        <w:tc>
          <w:tcPr>
            <w:tcW w:w="801" w:type="pct"/>
            <w:tcBorders>
              <w:left w:val="single" w:color="auto" w:sz="4" w:space="0"/>
              <w:right w:val="single" w:color="auto" w:sz="4" w:space="0"/>
              <w:tl2br w:val="nil"/>
              <w:tr2bl w:val="nil"/>
            </w:tcBorders>
            <w:vAlign w:val="center"/>
          </w:tcPr>
          <w:p w14:paraId="1DA933A2">
            <w:pPr>
              <w:pStyle w:val="238"/>
              <w:rPr>
                <w:rFonts w:hint="eastAsia" w:ascii="Times New Roman" w:hAnsi="Times New Roman" w:eastAsia="宋体" w:cs="Times New Roman"/>
              </w:rPr>
            </w:pPr>
            <w:r>
              <w:rPr>
                <w:rFonts w:hint="eastAsia" w:ascii="Times New Roman" w:hAnsi="Times New Roman" w:eastAsia="宋体" w:cs="Times New Roman"/>
              </w:rPr>
              <w:t>0.3</w:t>
            </w:r>
          </w:p>
        </w:tc>
        <w:tc>
          <w:tcPr>
            <w:tcW w:w="887" w:type="pct"/>
            <w:tcBorders>
              <w:left w:val="single" w:color="auto" w:sz="4" w:space="0"/>
              <w:tl2br w:val="nil"/>
              <w:tr2bl w:val="nil"/>
            </w:tcBorders>
            <w:vAlign w:val="center"/>
          </w:tcPr>
          <w:p w14:paraId="75675AFA">
            <w:pPr>
              <w:pStyle w:val="238"/>
              <w:rPr>
                <w:rFonts w:hint="eastAsia" w:ascii="Times New Roman" w:hAnsi="Times New Roman" w:eastAsia="宋体" w:cs="Times New Roman"/>
              </w:rPr>
            </w:pPr>
            <w:r>
              <w:rPr>
                <w:rFonts w:hint="eastAsia" w:ascii="Times New Roman" w:hAnsi="Times New Roman" w:eastAsia="宋体" w:cs="Times New Roman"/>
              </w:rPr>
              <w:t>0.6</w:t>
            </w:r>
          </w:p>
        </w:tc>
      </w:tr>
      <w:tr w14:paraId="5BB7040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45" w:hRule="atLeast"/>
        </w:trPr>
        <w:tc>
          <w:tcPr>
            <w:tcW w:w="529" w:type="pct"/>
            <w:tcBorders>
              <w:tl2br w:val="nil"/>
              <w:tr2bl w:val="nil"/>
            </w:tcBorders>
            <w:vAlign w:val="center"/>
          </w:tcPr>
          <w:p w14:paraId="2BC57163">
            <w:pPr>
              <w:pStyle w:val="238"/>
              <w:rPr>
                <w:rFonts w:hint="eastAsia" w:ascii="Times New Roman" w:hAnsi="Times New Roman" w:eastAsia="宋体" w:cs="Times New Roman"/>
              </w:rPr>
            </w:pPr>
            <w:r>
              <w:rPr>
                <w:rFonts w:hint="eastAsia" w:ascii="Times New Roman" w:hAnsi="Times New Roman" w:eastAsia="宋体" w:cs="Times New Roman"/>
              </w:rPr>
              <w:t>2</w:t>
            </w:r>
          </w:p>
        </w:tc>
        <w:tc>
          <w:tcPr>
            <w:tcW w:w="1087" w:type="pct"/>
            <w:tcBorders>
              <w:tl2br w:val="nil"/>
              <w:tr2bl w:val="nil"/>
            </w:tcBorders>
            <w:vAlign w:val="center"/>
          </w:tcPr>
          <w:p w14:paraId="593CB25C">
            <w:pPr>
              <w:pStyle w:val="238"/>
              <w:rPr>
                <w:rFonts w:hint="eastAsia" w:ascii="Times New Roman" w:hAnsi="Times New Roman" w:eastAsia="宋体" w:cs="Times New Roman"/>
              </w:rPr>
            </w:pPr>
            <w:r>
              <w:rPr>
                <w:rFonts w:hint="eastAsia" w:ascii="Times New Roman" w:hAnsi="Times New Roman" w:eastAsia="宋体" w:cs="Times New Roman"/>
              </w:rPr>
              <w:t>汞</w:t>
            </w:r>
          </w:p>
        </w:tc>
        <w:tc>
          <w:tcPr>
            <w:tcW w:w="864" w:type="pct"/>
            <w:tcBorders>
              <w:right w:val="single" w:color="auto" w:sz="4" w:space="0"/>
              <w:tl2br w:val="nil"/>
              <w:tr2bl w:val="nil"/>
            </w:tcBorders>
            <w:vAlign w:val="center"/>
          </w:tcPr>
          <w:p w14:paraId="17F7AB53">
            <w:pPr>
              <w:pStyle w:val="238"/>
              <w:rPr>
                <w:rFonts w:hint="eastAsia" w:ascii="Times New Roman" w:hAnsi="Times New Roman" w:eastAsia="宋体" w:cs="Times New Roman"/>
              </w:rPr>
            </w:pPr>
            <w:r>
              <w:rPr>
                <w:rFonts w:hint="eastAsia" w:ascii="Times New Roman" w:hAnsi="Times New Roman" w:eastAsia="宋体" w:cs="Times New Roman"/>
              </w:rPr>
              <w:t>1.3</w:t>
            </w:r>
          </w:p>
        </w:tc>
        <w:tc>
          <w:tcPr>
            <w:tcW w:w="829" w:type="pct"/>
            <w:tcBorders>
              <w:left w:val="single" w:color="auto" w:sz="4" w:space="0"/>
              <w:right w:val="single" w:color="auto" w:sz="4" w:space="0"/>
              <w:tl2br w:val="nil"/>
              <w:tr2bl w:val="nil"/>
            </w:tcBorders>
            <w:vAlign w:val="center"/>
          </w:tcPr>
          <w:p w14:paraId="0609D32C">
            <w:pPr>
              <w:pStyle w:val="238"/>
              <w:rPr>
                <w:rFonts w:hint="eastAsia" w:ascii="Times New Roman" w:hAnsi="Times New Roman" w:eastAsia="宋体" w:cs="Times New Roman"/>
              </w:rPr>
            </w:pPr>
            <w:r>
              <w:rPr>
                <w:rFonts w:hint="eastAsia" w:ascii="Times New Roman" w:hAnsi="Times New Roman" w:eastAsia="宋体" w:cs="Times New Roman"/>
              </w:rPr>
              <w:t>1.8</w:t>
            </w:r>
          </w:p>
        </w:tc>
        <w:tc>
          <w:tcPr>
            <w:tcW w:w="801" w:type="pct"/>
            <w:tcBorders>
              <w:left w:val="single" w:color="auto" w:sz="4" w:space="0"/>
              <w:right w:val="single" w:color="auto" w:sz="4" w:space="0"/>
              <w:tl2br w:val="nil"/>
              <w:tr2bl w:val="nil"/>
            </w:tcBorders>
            <w:vAlign w:val="center"/>
          </w:tcPr>
          <w:p w14:paraId="1CFA22AF">
            <w:pPr>
              <w:pStyle w:val="238"/>
              <w:rPr>
                <w:rFonts w:hint="eastAsia" w:ascii="Times New Roman" w:hAnsi="Times New Roman" w:eastAsia="宋体" w:cs="Times New Roman"/>
              </w:rPr>
            </w:pPr>
            <w:r>
              <w:rPr>
                <w:rFonts w:hint="eastAsia" w:ascii="Times New Roman" w:hAnsi="Times New Roman" w:eastAsia="宋体" w:cs="Times New Roman"/>
              </w:rPr>
              <w:t>2.4</w:t>
            </w:r>
          </w:p>
        </w:tc>
        <w:tc>
          <w:tcPr>
            <w:tcW w:w="887" w:type="pct"/>
            <w:tcBorders>
              <w:left w:val="single" w:color="auto" w:sz="4" w:space="0"/>
              <w:tl2br w:val="nil"/>
              <w:tr2bl w:val="nil"/>
            </w:tcBorders>
            <w:vAlign w:val="center"/>
          </w:tcPr>
          <w:p w14:paraId="74686092">
            <w:pPr>
              <w:pStyle w:val="238"/>
              <w:rPr>
                <w:rFonts w:hint="eastAsia" w:ascii="Times New Roman" w:hAnsi="Times New Roman" w:eastAsia="宋体" w:cs="Times New Roman"/>
              </w:rPr>
            </w:pPr>
            <w:r>
              <w:rPr>
                <w:rFonts w:hint="eastAsia" w:ascii="Times New Roman" w:hAnsi="Times New Roman" w:eastAsia="宋体" w:cs="Times New Roman"/>
              </w:rPr>
              <w:t>3.4</w:t>
            </w:r>
          </w:p>
        </w:tc>
      </w:tr>
      <w:tr w14:paraId="3FE1B69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45" w:hRule="atLeast"/>
        </w:trPr>
        <w:tc>
          <w:tcPr>
            <w:tcW w:w="529" w:type="pct"/>
            <w:tcBorders>
              <w:tl2br w:val="nil"/>
              <w:tr2bl w:val="nil"/>
            </w:tcBorders>
            <w:vAlign w:val="center"/>
          </w:tcPr>
          <w:p w14:paraId="2D414AF3">
            <w:pPr>
              <w:pStyle w:val="238"/>
              <w:rPr>
                <w:rFonts w:hint="eastAsia" w:ascii="Times New Roman" w:hAnsi="Times New Roman" w:eastAsia="宋体" w:cs="Times New Roman"/>
              </w:rPr>
            </w:pPr>
            <w:r>
              <w:rPr>
                <w:rFonts w:hint="eastAsia" w:ascii="Times New Roman" w:hAnsi="Times New Roman" w:eastAsia="宋体" w:cs="Times New Roman"/>
              </w:rPr>
              <w:t>3</w:t>
            </w:r>
          </w:p>
        </w:tc>
        <w:tc>
          <w:tcPr>
            <w:tcW w:w="1087" w:type="pct"/>
            <w:tcBorders>
              <w:tl2br w:val="nil"/>
              <w:tr2bl w:val="nil"/>
            </w:tcBorders>
            <w:vAlign w:val="center"/>
          </w:tcPr>
          <w:p w14:paraId="42B83145">
            <w:pPr>
              <w:pStyle w:val="238"/>
              <w:rPr>
                <w:rFonts w:hint="eastAsia" w:ascii="Times New Roman" w:hAnsi="Times New Roman" w:eastAsia="宋体" w:cs="Times New Roman"/>
              </w:rPr>
            </w:pPr>
            <w:r>
              <w:rPr>
                <w:rFonts w:hint="eastAsia" w:ascii="Times New Roman" w:hAnsi="Times New Roman" w:eastAsia="宋体" w:cs="Times New Roman"/>
              </w:rPr>
              <w:t>砷</w:t>
            </w:r>
          </w:p>
        </w:tc>
        <w:tc>
          <w:tcPr>
            <w:tcW w:w="864" w:type="pct"/>
            <w:tcBorders>
              <w:right w:val="single" w:color="auto" w:sz="4" w:space="0"/>
              <w:tl2br w:val="nil"/>
              <w:tr2bl w:val="nil"/>
            </w:tcBorders>
            <w:vAlign w:val="center"/>
          </w:tcPr>
          <w:p w14:paraId="7F96232E">
            <w:pPr>
              <w:pStyle w:val="238"/>
              <w:rPr>
                <w:rFonts w:hint="eastAsia" w:ascii="Times New Roman" w:hAnsi="Times New Roman" w:eastAsia="宋体" w:cs="Times New Roman"/>
              </w:rPr>
            </w:pPr>
            <w:r>
              <w:rPr>
                <w:rFonts w:hint="eastAsia" w:ascii="Times New Roman" w:hAnsi="Times New Roman" w:eastAsia="宋体" w:cs="Times New Roman"/>
              </w:rPr>
              <w:t>40</w:t>
            </w:r>
          </w:p>
        </w:tc>
        <w:tc>
          <w:tcPr>
            <w:tcW w:w="829" w:type="pct"/>
            <w:tcBorders>
              <w:left w:val="single" w:color="auto" w:sz="4" w:space="0"/>
              <w:right w:val="single" w:color="auto" w:sz="4" w:space="0"/>
              <w:tl2br w:val="nil"/>
              <w:tr2bl w:val="nil"/>
            </w:tcBorders>
            <w:vAlign w:val="center"/>
          </w:tcPr>
          <w:p w14:paraId="00E214C7">
            <w:pPr>
              <w:pStyle w:val="238"/>
              <w:rPr>
                <w:rFonts w:hint="eastAsia" w:ascii="Times New Roman" w:hAnsi="Times New Roman" w:eastAsia="宋体" w:cs="Times New Roman"/>
              </w:rPr>
            </w:pPr>
            <w:r>
              <w:rPr>
                <w:rFonts w:hint="eastAsia" w:ascii="Times New Roman" w:hAnsi="Times New Roman" w:eastAsia="宋体" w:cs="Times New Roman"/>
              </w:rPr>
              <w:t>40</w:t>
            </w:r>
          </w:p>
        </w:tc>
        <w:tc>
          <w:tcPr>
            <w:tcW w:w="801" w:type="pct"/>
            <w:tcBorders>
              <w:left w:val="single" w:color="auto" w:sz="4" w:space="0"/>
              <w:right w:val="single" w:color="auto" w:sz="4" w:space="0"/>
              <w:tl2br w:val="nil"/>
              <w:tr2bl w:val="nil"/>
            </w:tcBorders>
            <w:vAlign w:val="center"/>
          </w:tcPr>
          <w:p w14:paraId="3C805E43">
            <w:pPr>
              <w:pStyle w:val="238"/>
              <w:rPr>
                <w:rFonts w:hint="eastAsia" w:ascii="Times New Roman" w:hAnsi="Times New Roman" w:eastAsia="宋体" w:cs="Times New Roman"/>
              </w:rPr>
            </w:pPr>
            <w:r>
              <w:rPr>
                <w:rFonts w:hint="eastAsia" w:ascii="Times New Roman" w:hAnsi="Times New Roman" w:eastAsia="宋体" w:cs="Times New Roman"/>
              </w:rPr>
              <w:t>30</w:t>
            </w:r>
          </w:p>
        </w:tc>
        <w:tc>
          <w:tcPr>
            <w:tcW w:w="887" w:type="pct"/>
            <w:tcBorders>
              <w:left w:val="single" w:color="auto" w:sz="4" w:space="0"/>
              <w:tl2br w:val="nil"/>
              <w:tr2bl w:val="nil"/>
            </w:tcBorders>
            <w:vAlign w:val="center"/>
          </w:tcPr>
          <w:p w14:paraId="7480A3CF">
            <w:pPr>
              <w:pStyle w:val="238"/>
              <w:rPr>
                <w:rFonts w:hint="eastAsia" w:ascii="Times New Roman" w:hAnsi="Times New Roman" w:eastAsia="宋体" w:cs="Times New Roman"/>
              </w:rPr>
            </w:pPr>
            <w:r>
              <w:rPr>
                <w:rFonts w:hint="eastAsia" w:ascii="Times New Roman" w:hAnsi="Times New Roman" w:eastAsia="宋体" w:cs="Times New Roman"/>
              </w:rPr>
              <w:t>25</w:t>
            </w:r>
          </w:p>
        </w:tc>
      </w:tr>
      <w:tr w14:paraId="6004B30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45" w:hRule="atLeast"/>
        </w:trPr>
        <w:tc>
          <w:tcPr>
            <w:tcW w:w="529" w:type="pct"/>
            <w:tcBorders>
              <w:tl2br w:val="nil"/>
              <w:tr2bl w:val="nil"/>
            </w:tcBorders>
            <w:vAlign w:val="center"/>
          </w:tcPr>
          <w:p w14:paraId="641C6AFB">
            <w:pPr>
              <w:pStyle w:val="238"/>
              <w:rPr>
                <w:rFonts w:hint="eastAsia" w:ascii="Times New Roman" w:hAnsi="Times New Roman" w:eastAsia="宋体" w:cs="Times New Roman"/>
              </w:rPr>
            </w:pPr>
            <w:r>
              <w:rPr>
                <w:rFonts w:hint="eastAsia" w:ascii="Times New Roman" w:hAnsi="Times New Roman" w:eastAsia="宋体" w:cs="Times New Roman"/>
              </w:rPr>
              <w:t>4</w:t>
            </w:r>
          </w:p>
        </w:tc>
        <w:tc>
          <w:tcPr>
            <w:tcW w:w="1087" w:type="pct"/>
            <w:tcBorders>
              <w:tl2br w:val="nil"/>
              <w:tr2bl w:val="nil"/>
            </w:tcBorders>
            <w:vAlign w:val="center"/>
          </w:tcPr>
          <w:p w14:paraId="45D95F4B">
            <w:pPr>
              <w:pStyle w:val="238"/>
              <w:rPr>
                <w:rFonts w:hint="eastAsia" w:ascii="Times New Roman" w:hAnsi="Times New Roman" w:eastAsia="宋体" w:cs="Times New Roman"/>
              </w:rPr>
            </w:pPr>
            <w:r>
              <w:rPr>
                <w:rFonts w:hint="eastAsia" w:ascii="Times New Roman" w:hAnsi="Times New Roman" w:eastAsia="宋体" w:cs="Times New Roman"/>
              </w:rPr>
              <w:t>铅</w:t>
            </w:r>
          </w:p>
        </w:tc>
        <w:tc>
          <w:tcPr>
            <w:tcW w:w="864" w:type="pct"/>
            <w:tcBorders>
              <w:right w:val="single" w:color="auto" w:sz="4" w:space="0"/>
              <w:tl2br w:val="nil"/>
              <w:tr2bl w:val="nil"/>
            </w:tcBorders>
            <w:vAlign w:val="center"/>
          </w:tcPr>
          <w:p w14:paraId="0A8A9746">
            <w:pPr>
              <w:pStyle w:val="238"/>
              <w:rPr>
                <w:rFonts w:hint="eastAsia" w:ascii="Times New Roman" w:hAnsi="Times New Roman" w:eastAsia="宋体" w:cs="Times New Roman"/>
              </w:rPr>
            </w:pPr>
            <w:r>
              <w:rPr>
                <w:rFonts w:hint="eastAsia" w:ascii="Times New Roman" w:hAnsi="Times New Roman" w:eastAsia="宋体" w:cs="Times New Roman"/>
              </w:rPr>
              <w:t>70</w:t>
            </w:r>
          </w:p>
        </w:tc>
        <w:tc>
          <w:tcPr>
            <w:tcW w:w="829" w:type="pct"/>
            <w:tcBorders>
              <w:left w:val="single" w:color="auto" w:sz="4" w:space="0"/>
              <w:right w:val="single" w:color="auto" w:sz="4" w:space="0"/>
              <w:tl2br w:val="nil"/>
              <w:tr2bl w:val="nil"/>
            </w:tcBorders>
            <w:vAlign w:val="center"/>
          </w:tcPr>
          <w:p w14:paraId="1DAF1B45">
            <w:pPr>
              <w:pStyle w:val="238"/>
              <w:rPr>
                <w:rFonts w:hint="eastAsia" w:ascii="Times New Roman" w:hAnsi="Times New Roman" w:eastAsia="宋体" w:cs="Times New Roman"/>
              </w:rPr>
            </w:pPr>
            <w:r>
              <w:rPr>
                <w:rFonts w:hint="eastAsia" w:ascii="Times New Roman" w:hAnsi="Times New Roman" w:eastAsia="宋体" w:cs="Times New Roman"/>
              </w:rPr>
              <w:t>90</w:t>
            </w:r>
          </w:p>
        </w:tc>
        <w:tc>
          <w:tcPr>
            <w:tcW w:w="801" w:type="pct"/>
            <w:tcBorders>
              <w:left w:val="single" w:color="auto" w:sz="4" w:space="0"/>
              <w:right w:val="single" w:color="auto" w:sz="4" w:space="0"/>
              <w:tl2br w:val="nil"/>
              <w:tr2bl w:val="nil"/>
            </w:tcBorders>
            <w:vAlign w:val="center"/>
          </w:tcPr>
          <w:p w14:paraId="07FC7754">
            <w:pPr>
              <w:pStyle w:val="238"/>
              <w:rPr>
                <w:rFonts w:hint="eastAsia" w:ascii="Times New Roman" w:hAnsi="Times New Roman" w:eastAsia="宋体" w:cs="Times New Roman"/>
              </w:rPr>
            </w:pPr>
            <w:r>
              <w:rPr>
                <w:rFonts w:hint="eastAsia" w:ascii="Times New Roman" w:hAnsi="Times New Roman" w:eastAsia="宋体" w:cs="Times New Roman"/>
              </w:rPr>
              <w:t>120</w:t>
            </w:r>
          </w:p>
        </w:tc>
        <w:tc>
          <w:tcPr>
            <w:tcW w:w="887" w:type="pct"/>
            <w:tcBorders>
              <w:left w:val="single" w:color="auto" w:sz="4" w:space="0"/>
              <w:tl2br w:val="nil"/>
              <w:tr2bl w:val="nil"/>
            </w:tcBorders>
            <w:vAlign w:val="center"/>
          </w:tcPr>
          <w:p w14:paraId="580485B1">
            <w:pPr>
              <w:pStyle w:val="238"/>
              <w:rPr>
                <w:rFonts w:hint="eastAsia" w:ascii="Times New Roman" w:hAnsi="Times New Roman" w:eastAsia="宋体" w:cs="Times New Roman"/>
              </w:rPr>
            </w:pPr>
            <w:r>
              <w:rPr>
                <w:rFonts w:hint="eastAsia" w:ascii="Times New Roman" w:hAnsi="Times New Roman" w:eastAsia="宋体" w:cs="Times New Roman"/>
              </w:rPr>
              <w:t>170</w:t>
            </w:r>
          </w:p>
        </w:tc>
      </w:tr>
      <w:tr w14:paraId="56D16D4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45" w:hRule="atLeast"/>
        </w:trPr>
        <w:tc>
          <w:tcPr>
            <w:tcW w:w="529" w:type="pct"/>
            <w:tcBorders>
              <w:tl2br w:val="nil"/>
              <w:tr2bl w:val="nil"/>
            </w:tcBorders>
            <w:vAlign w:val="center"/>
          </w:tcPr>
          <w:p w14:paraId="76822E3E">
            <w:pPr>
              <w:pStyle w:val="238"/>
              <w:rPr>
                <w:rFonts w:hint="eastAsia" w:ascii="Times New Roman" w:hAnsi="Times New Roman" w:eastAsia="宋体" w:cs="Times New Roman"/>
              </w:rPr>
            </w:pPr>
            <w:r>
              <w:rPr>
                <w:rFonts w:hint="eastAsia" w:ascii="Times New Roman" w:hAnsi="Times New Roman" w:eastAsia="宋体" w:cs="Times New Roman"/>
              </w:rPr>
              <w:t>5</w:t>
            </w:r>
          </w:p>
        </w:tc>
        <w:tc>
          <w:tcPr>
            <w:tcW w:w="1087" w:type="pct"/>
            <w:tcBorders>
              <w:tl2br w:val="nil"/>
              <w:tr2bl w:val="nil"/>
            </w:tcBorders>
            <w:vAlign w:val="center"/>
          </w:tcPr>
          <w:p w14:paraId="78AC1514">
            <w:pPr>
              <w:pStyle w:val="238"/>
              <w:rPr>
                <w:rFonts w:hint="eastAsia" w:ascii="Times New Roman" w:hAnsi="Times New Roman" w:eastAsia="宋体" w:cs="Times New Roman"/>
              </w:rPr>
            </w:pPr>
            <w:r>
              <w:rPr>
                <w:rFonts w:hint="eastAsia" w:ascii="Times New Roman" w:hAnsi="Times New Roman" w:eastAsia="宋体" w:cs="Times New Roman"/>
              </w:rPr>
              <w:t>铬</w:t>
            </w:r>
          </w:p>
        </w:tc>
        <w:tc>
          <w:tcPr>
            <w:tcW w:w="864" w:type="pct"/>
            <w:tcBorders>
              <w:right w:val="single" w:color="auto" w:sz="4" w:space="0"/>
              <w:tl2br w:val="nil"/>
              <w:tr2bl w:val="nil"/>
            </w:tcBorders>
            <w:vAlign w:val="center"/>
          </w:tcPr>
          <w:p w14:paraId="294FC8CC">
            <w:pPr>
              <w:pStyle w:val="238"/>
              <w:rPr>
                <w:rFonts w:hint="eastAsia" w:ascii="Times New Roman" w:hAnsi="Times New Roman" w:eastAsia="宋体" w:cs="Times New Roman"/>
              </w:rPr>
            </w:pPr>
            <w:r>
              <w:rPr>
                <w:rFonts w:hint="eastAsia" w:ascii="Times New Roman" w:hAnsi="Times New Roman" w:eastAsia="宋体" w:cs="Times New Roman"/>
              </w:rPr>
              <w:t>150</w:t>
            </w:r>
          </w:p>
        </w:tc>
        <w:tc>
          <w:tcPr>
            <w:tcW w:w="829" w:type="pct"/>
            <w:tcBorders>
              <w:left w:val="single" w:color="auto" w:sz="4" w:space="0"/>
              <w:right w:val="single" w:color="auto" w:sz="4" w:space="0"/>
              <w:tl2br w:val="nil"/>
              <w:tr2bl w:val="nil"/>
            </w:tcBorders>
            <w:vAlign w:val="center"/>
          </w:tcPr>
          <w:p w14:paraId="0C6C9CFF">
            <w:pPr>
              <w:pStyle w:val="238"/>
              <w:rPr>
                <w:rFonts w:hint="eastAsia" w:ascii="Times New Roman" w:hAnsi="Times New Roman" w:eastAsia="宋体" w:cs="Times New Roman"/>
              </w:rPr>
            </w:pPr>
            <w:r>
              <w:rPr>
                <w:rFonts w:hint="eastAsia" w:ascii="Times New Roman" w:hAnsi="Times New Roman" w:eastAsia="宋体" w:cs="Times New Roman"/>
              </w:rPr>
              <w:t>150</w:t>
            </w:r>
          </w:p>
        </w:tc>
        <w:tc>
          <w:tcPr>
            <w:tcW w:w="801" w:type="pct"/>
            <w:tcBorders>
              <w:left w:val="single" w:color="auto" w:sz="4" w:space="0"/>
              <w:right w:val="single" w:color="auto" w:sz="4" w:space="0"/>
              <w:tl2br w:val="nil"/>
              <w:tr2bl w:val="nil"/>
            </w:tcBorders>
            <w:vAlign w:val="center"/>
          </w:tcPr>
          <w:p w14:paraId="51009D76">
            <w:pPr>
              <w:pStyle w:val="238"/>
              <w:rPr>
                <w:rFonts w:hint="eastAsia" w:ascii="Times New Roman" w:hAnsi="Times New Roman" w:eastAsia="宋体" w:cs="Times New Roman"/>
              </w:rPr>
            </w:pPr>
            <w:r>
              <w:rPr>
                <w:rFonts w:hint="eastAsia" w:ascii="Times New Roman" w:hAnsi="Times New Roman" w:eastAsia="宋体" w:cs="Times New Roman"/>
              </w:rPr>
              <w:t>200</w:t>
            </w:r>
          </w:p>
        </w:tc>
        <w:tc>
          <w:tcPr>
            <w:tcW w:w="887" w:type="pct"/>
            <w:tcBorders>
              <w:left w:val="single" w:color="auto" w:sz="4" w:space="0"/>
              <w:tl2br w:val="nil"/>
              <w:tr2bl w:val="nil"/>
            </w:tcBorders>
            <w:vAlign w:val="center"/>
          </w:tcPr>
          <w:p w14:paraId="75804C6F">
            <w:pPr>
              <w:pStyle w:val="238"/>
              <w:rPr>
                <w:rFonts w:hint="eastAsia" w:ascii="Times New Roman" w:hAnsi="Times New Roman" w:eastAsia="宋体" w:cs="Times New Roman"/>
              </w:rPr>
            </w:pPr>
            <w:r>
              <w:rPr>
                <w:rFonts w:hint="eastAsia" w:ascii="Times New Roman" w:hAnsi="Times New Roman" w:eastAsia="宋体" w:cs="Times New Roman"/>
              </w:rPr>
              <w:t>250</w:t>
            </w:r>
          </w:p>
        </w:tc>
      </w:tr>
      <w:tr w14:paraId="4C8FF32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45" w:hRule="atLeast"/>
        </w:trPr>
        <w:tc>
          <w:tcPr>
            <w:tcW w:w="529" w:type="pct"/>
            <w:tcBorders>
              <w:tl2br w:val="nil"/>
              <w:tr2bl w:val="nil"/>
            </w:tcBorders>
            <w:vAlign w:val="center"/>
          </w:tcPr>
          <w:p w14:paraId="51BE2B1A">
            <w:pPr>
              <w:pStyle w:val="238"/>
              <w:rPr>
                <w:rFonts w:hint="eastAsia" w:ascii="Times New Roman" w:hAnsi="Times New Roman" w:eastAsia="宋体" w:cs="Times New Roman"/>
              </w:rPr>
            </w:pPr>
            <w:r>
              <w:rPr>
                <w:rFonts w:hint="eastAsia" w:ascii="Times New Roman" w:hAnsi="Times New Roman" w:eastAsia="宋体" w:cs="Times New Roman"/>
              </w:rPr>
              <w:t>6</w:t>
            </w:r>
          </w:p>
        </w:tc>
        <w:tc>
          <w:tcPr>
            <w:tcW w:w="1087" w:type="pct"/>
            <w:tcBorders>
              <w:tl2br w:val="nil"/>
              <w:tr2bl w:val="nil"/>
            </w:tcBorders>
            <w:vAlign w:val="center"/>
          </w:tcPr>
          <w:p w14:paraId="0F78E846">
            <w:pPr>
              <w:pStyle w:val="238"/>
              <w:rPr>
                <w:rFonts w:hint="eastAsia" w:ascii="Times New Roman" w:hAnsi="Times New Roman" w:eastAsia="宋体" w:cs="Times New Roman"/>
              </w:rPr>
            </w:pPr>
            <w:r>
              <w:rPr>
                <w:rFonts w:hint="eastAsia" w:ascii="Times New Roman" w:hAnsi="Times New Roman" w:eastAsia="宋体" w:cs="Times New Roman"/>
              </w:rPr>
              <w:t>铜</w:t>
            </w:r>
          </w:p>
        </w:tc>
        <w:tc>
          <w:tcPr>
            <w:tcW w:w="864" w:type="pct"/>
            <w:tcBorders>
              <w:right w:val="single" w:color="auto" w:sz="4" w:space="0"/>
              <w:tl2br w:val="nil"/>
              <w:tr2bl w:val="nil"/>
            </w:tcBorders>
            <w:vAlign w:val="center"/>
          </w:tcPr>
          <w:p w14:paraId="696E7581">
            <w:pPr>
              <w:pStyle w:val="238"/>
              <w:rPr>
                <w:rFonts w:hint="eastAsia" w:ascii="Times New Roman" w:hAnsi="Times New Roman" w:eastAsia="宋体" w:cs="Times New Roman"/>
              </w:rPr>
            </w:pPr>
            <w:r>
              <w:rPr>
                <w:rFonts w:hint="eastAsia" w:ascii="Times New Roman" w:hAnsi="Times New Roman" w:eastAsia="宋体" w:cs="Times New Roman"/>
              </w:rPr>
              <w:t>50</w:t>
            </w:r>
          </w:p>
        </w:tc>
        <w:tc>
          <w:tcPr>
            <w:tcW w:w="829" w:type="pct"/>
            <w:tcBorders>
              <w:left w:val="single" w:color="auto" w:sz="4" w:space="0"/>
              <w:right w:val="single" w:color="auto" w:sz="4" w:space="0"/>
              <w:tl2br w:val="nil"/>
              <w:tr2bl w:val="nil"/>
            </w:tcBorders>
            <w:vAlign w:val="center"/>
          </w:tcPr>
          <w:p w14:paraId="238C4F2B">
            <w:pPr>
              <w:pStyle w:val="238"/>
              <w:rPr>
                <w:rFonts w:hint="eastAsia" w:ascii="Times New Roman" w:hAnsi="Times New Roman" w:eastAsia="宋体" w:cs="Times New Roman"/>
              </w:rPr>
            </w:pPr>
            <w:r>
              <w:rPr>
                <w:rFonts w:hint="eastAsia" w:ascii="Times New Roman" w:hAnsi="Times New Roman" w:eastAsia="宋体" w:cs="Times New Roman"/>
              </w:rPr>
              <w:t>50</w:t>
            </w:r>
          </w:p>
        </w:tc>
        <w:tc>
          <w:tcPr>
            <w:tcW w:w="801" w:type="pct"/>
            <w:tcBorders>
              <w:left w:val="single" w:color="auto" w:sz="4" w:space="0"/>
              <w:right w:val="single" w:color="auto" w:sz="4" w:space="0"/>
              <w:tl2br w:val="nil"/>
              <w:tr2bl w:val="nil"/>
            </w:tcBorders>
            <w:vAlign w:val="center"/>
          </w:tcPr>
          <w:p w14:paraId="27897A31">
            <w:pPr>
              <w:pStyle w:val="238"/>
              <w:rPr>
                <w:rFonts w:hint="eastAsia" w:ascii="Times New Roman" w:hAnsi="Times New Roman" w:eastAsia="宋体" w:cs="Times New Roman"/>
              </w:rPr>
            </w:pPr>
            <w:r>
              <w:rPr>
                <w:rFonts w:hint="eastAsia" w:ascii="Times New Roman" w:hAnsi="Times New Roman" w:eastAsia="宋体" w:cs="Times New Roman"/>
              </w:rPr>
              <w:t>100</w:t>
            </w:r>
          </w:p>
        </w:tc>
        <w:tc>
          <w:tcPr>
            <w:tcW w:w="887" w:type="pct"/>
            <w:tcBorders>
              <w:left w:val="single" w:color="auto" w:sz="4" w:space="0"/>
              <w:tl2br w:val="nil"/>
              <w:tr2bl w:val="nil"/>
            </w:tcBorders>
            <w:vAlign w:val="center"/>
          </w:tcPr>
          <w:p w14:paraId="1844E980">
            <w:pPr>
              <w:pStyle w:val="238"/>
              <w:rPr>
                <w:rFonts w:hint="eastAsia" w:ascii="Times New Roman" w:hAnsi="Times New Roman" w:eastAsia="宋体" w:cs="Times New Roman"/>
              </w:rPr>
            </w:pPr>
            <w:r>
              <w:rPr>
                <w:rFonts w:hint="eastAsia" w:ascii="Times New Roman" w:hAnsi="Times New Roman" w:eastAsia="宋体" w:cs="Times New Roman"/>
              </w:rPr>
              <w:t>100</w:t>
            </w:r>
          </w:p>
        </w:tc>
      </w:tr>
      <w:tr w14:paraId="6AFAACE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45" w:hRule="atLeast"/>
        </w:trPr>
        <w:tc>
          <w:tcPr>
            <w:tcW w:w="529" w:type="pct"/>
            <w:tcBorders>
              <w:tl2br w:val="nil"/>
              <w:tr2bl w:val="nil"/>
            </w:tcBorders>
            <w:vAlign w:val="center"/>
          </w:tcPr>
          <w:p w14:paraId="15CBF622">
            <w:pPr>
              <w:pStyle w:val="238"/>
              <w:rPr>
                <w:rFonts w:hint="eastAsia" w:ascii="Times New Roman" w:hAnsi="Times New Roman" w:eastAsia="宋体" w:cs="Times New Roman"/>
              </w:rPr>
            </w:pPr>
            <w:r>
              <w:rPr>
                <w:rFonts w:hint="eastAsia" w:ascii="Times New Roman" w:hAnsi="Times New Roman" w:eastAsia="宋体" w:cs="Times New Roman"/>
              </w:rPr>
              <w:t>7</w:t>
            </w:r>
          </w:p>
        </w:tc>
        <w:tc>
          <w:tcPr>
            <w:tcW w:w="1087" w:type="pct"/>
            <w:tcBorders>
              <w:tl2br w:val="nil"/>
              <w:tr2bl w:val="nil"/>
            </w:tcBorders>
            <w:vAlign w:val="center"/>
          </w:tcPr>
          <w:p w14:paraId="1EBAFDB0">
            <w:pPr>
              <w:pStyle w:val="238"/>
              <w:rPr>
                <w:rFonts w:hint="eastAsia" w:ascii="Times New Roman" w:hAnsi="Times New Roman" w:eastAsia="宋体" w:cs="Times New Roman"/>
              </w:rPr>
            </w:pPr>
            <w:r>
              <w:rPr>
                <w:rFonts w:hint="eastAsia" w:ascii="Times New Roman" w:hAnsi="Times New Roman" w:eastAsia="宋体" w:cs="Times New Roman"/>
              </w:rPr>
              <w:t>镍</w:t>
            </w:r>
          </w:p>
        </w:tc>
        <w:tc>
          <w:tcPr>
            <w:tcW w:w="864" w:type="pct"/>
            <w:tcBorders>
              <w:right w:val="single" w:color="auto" w:sz="4" w:space="0"/>
              <w:tl2br w:val="nil"/>
              <w:tr2bl w:val="nil"/>
            </w:tcBorders>
            <w:vAlign w:val="center"/>
          </w:tcPr>
          <w:p w14:paraId="28C6F725">
            <w:pPr>
              <w:pStyle w:val="238"/>
              <w:rPr>
                <w:rFonts w:hint="eastAsia" w:ascii="Times New Roman" w:hAnsi="Times New Roman" w:eastAsia="宋体" w:cs="Times New Roman"/>
              </w:rPr>
            </w:pPr>
            <w:r>
              <w:rPr>
                <w:rFonts w:hint="eastAsia" w:ascii="Times New Roman" w:hAnsi="Times New Roman" w:eastAsia="宋体" w:cs="Times New Roman"/>
              </w:rPr>
              <w:t>60</w:t>
            </w:r>
          </w:p>
        </w:tc>
        <w:tc>
          <w:tcPr>
            <w:tcW w:w="829" w:type="pct"/>
            <w:tcBorders>
              <w:left w:val="single" w:color="auto" w:sz="4" w:space="0"/>
              <w:right w:val="single" w:color="auto" w:sz="4" w:space="0"/>
              <w:tl2br w:val="nil"/>
              <w:tr2bl w:val="nil"/>
            </w:tcBorders>
            <w:vAlign w:val="center"/>
          </w:tcPr>
          <w:p w14:paraId="166C2AFC">
            <w:pPr>
              <w:pStyle w:val="238"/>
              <w:rPr>
                <w:rFonts w:hint="eastAsia" w:ascii="Times New Roman" w:hAnsi="Times New Roman" w:eastAsia="宋体" w:cs="Times New Roman"/>
              </w:rPr>
            </w:pPr>
            <w:r>
              <w:rPr>
                <w:rFonts w:hint="eastAsia" w:ascii="Times New Roman" w:hAnsi="Times New Roman" w:eastAsia="宋体" w:cs="Times New Roman"/>
              </w:rPr>
              <w:t>70</w:t>
            </w:r>
          </w:p>
        </w:tc>
        <w:tc>
          <w:tcPr>
            <w:tcW w:w="801" w:type="pct"/>
            <w:tcBorders>
              <w:left w:val="single" w:color="auto" w:sz="4" w:space="0"/>
              <w:right w:val="single" w:color="auto" w:sz="4" w:space="0"/>
              <w:tl2br w:val="nil"/>
              <w:tr2bl w:val="nil"/>
            </w:tcBorders>
            <w:vAlign w:val="center"/>
          </w:tcPr>
          <w:p w14:paraId="3F6E03A0">
            <w:pPr>
              <w:pStyle w:val="238"/>
              <w:rPr>
                <w:rFonts w:hint="eastAsia" w:ascii="Times New Roman" w:hAnsi="Times New Roman" w:eastAsia="宋体" w:cs="Times New Roman"/>
              </w:rPr>
            </w:pPr>
            <w:r>
              <w:rPr>
                <w:rFonts w:hint="eastAsia" w:ascii="Times New Roman" w:hAnsi="Times New Roman" w:eastAsia="宋体" w:cs="Times New Roman"/>
              </w:rPr>
              <w:t>100</w:t>
            </w:r>
          </w:p>
        </w:tc>
        <w:tc>
          <w:tcPr>
            <w:tcW w:w="887" w:type="pct"/>
            <w:tcBorders>
              <w:left w:val="single" w:color="auto" w:sz="4" w:space="0"/>
              <w:tl2br w:val="nil"/>
              <w:tr2bl w:val="nil"/>
            </w:tcBorders>
            <w:vAlign w:val="center"/>
          </w:tcPr>
          <w:p w14:paraId="2A2E4E4A">
            <w:pPr>
              <w:pStyle w:val="238"/>
              <w:rPr>
                <w:rFonts w:hint="eastAsia" w:ascii="Times New Roman" w:hAnsi="Times New Roman" w:eastAsia="宋体" w:cs="Times New Roman"/>
              </w:rPr>
            </w:pPr>
            <w:r>
              <w:rPr>
                <w:rFonts w:hint="eastAsia" w:ascii="Times New Roman" w:hAnsi="Times New Roman" w:eastAsia="宋体" w:cs="Times New Roman"/>
              </w:rPr>
              <w:t>190</w:t>
            </w:r>
          </w:p>
        </w:tc>
      </w:tr>
      <w:tr w14:paraId="38EBA3E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45" w:hRule="atLeast"/>
        </w:trPr>
        <w:tc>
          <w:tcPr>
            <w:tcW w:w="529" w:type="pct"/>
            <w:tcBorders>
              <w:tl2br w:val="nil"/>
              <w:tr2bl w:val="nil"/>
            </w:tcBorders>
            <w:vAlign w:val="center"/>
          </w:tcPr>
          <w:p w14:paraId="4338A7B8">
            <w:pPr>
              <w:pStyle w:val="238"/>
              <w:rPr>
                <w:rFonts w:hint="eastAsia" w:ascii="Times New Roman" w:hAnsi="Times New Roman" w:eastAsia="宋体" w:cs="Times New Roman"/>
              </w:rPr>
            </w:pPr>
            <w:r>
              <w:rPr>
                <w:rFonts w:hint="eastAsia" w:ascii="Times New Roman" w:hAnsi="Times New Roman" w:eastAsia="宋体" w:cs="Times New Roman"/>
              </w:rPr>
              <w:t>8</w:t>
            </w:r>
          </w:p>
        </w:tc>
        <w:tc>
          <w:tcPr>
            <w:tcW w:w="1087" w:type="pct"/>
            <w:tcBorders>
              <w:tl2br w:val="nil"/>
              <w:tr2bl w:val="nil"/>
            </w:tcBorders>
            <w:vAlign w:val="center"/>
          </w:tcPr>
          <w:p w14:paraId="44DA887A">
            <w:pPr>
              <w:pStyle w:val="238"/>
              <w:rPr>
                <w:rFonts w:hint="eastAsia" w:ascii="Times New Roman" w:hAnsi="Times New Roman" w:eastAsia="宋体" w:cs="Times New Roman"/>
              </w:rPr>
            </w:pPr>
            <w:r>
              <w:rPr>
                <w:rFonts w:hint="eastAsia" w:ascii="Times New Roman" w:hAnsi="Times New Roman" w:eastAsia="宋体" w:cs="Times New Roman"/>
              </w:rPr>
              <w:t>锌</w:t>
            </w:r>
          </w:p>
        </w:tc>
        <w:tc>
          <w:tcPr>
            <w:tcW w:w="864" w:type="pct"/>
            <w:tcBorders>
              <w:right w:val="single" w:color="auto" w:sz="4" w:space="0"/>
              <w:tl2br w:val="nil"/>
              <w:tr2bl w:val="nil"/>
            </w:tcBorders>
            <w:vAlign w:val="center"/>
          </w:tcPr>
          <w:p w14:paraId="6DC26BF3">
            <w:pPr>
              <w:pStyle w:val="238"/>
              <w:rPr>
                <w:rFonts w:hint="eastAsia" w:ascii="Times New Roman" w:hAnsi="Times New Roman" w:eastAsia="宋体" w:cs="Times New Roman"/>
              </w:rPr>
            </w:pPr>
            <w:r>
              <w:rPr>
                <w:rFonts w:hint="eastAsia" w:ascii="Times New Roman" w:hAnsi="Times New Roman" w:eastAsia="宋体" w:cs="Times New Roman"/>
              </w:rPr>
              <w:t>200</w:t>
            </w:r>
          </w:p>
        </w:tc>
        <w:tc>
          <w:tcPr>
            <w:tcW w:w="829" w:type="pct"/>
            <w:tcBorders>
              <w:left w:val="single" w:color="auto" w:sz="4" w:space="0"/>
              <w:right w:val="single" w:color="auto" w:sz="4" w:space="0"/>
              <w:tl2br w:val="nil"/>
              <w:tr2bl w:val="nil"/>
            </w:tcBorders>
            <w:vAlign w:val="center"/>
          </w:tcPr>
          <w:p w14:paraId="72B3C4B5">
            <w:pPr>
              <w:pStyle w:val="238"/>
              <w:rPr>
                <w:rFonts w:hint="eastAsia" w:ascii="Times New Roman" w:hAnsi="Times New Roman" w:eastAsia="宋体" w:cs="Times New Roman"/>
              </w:rPr>
            </w:pPr>
            <w:r>
              <w:rPr>
                <w:rFonts w:hint="eastAsia" w:ascii="Times New Roman" w:hAnsi="Times New Roman" w:eastAsia="宋体" w:cs="Times New Roman"/>
              </w:rPr>
              <w:t>200</w:t>
            </w:r>
          </w:p>
        </w:tc>
        <w:tc>
          <w:tcPr>
            <w:tcW w:w="801" w:type="pct"/>
            <w:tcBorders>
              <w:left w:val="single" w:color="auto" w:sz="4" w:space="0"/>
              <w:right w:val="single" w:color="auto" w:sz="4" w:space="0"/>
              <w:tl2br w:val="nil"/>
              <w:tr2bl w:val="nil"/>
            </w:tcBorders>
            <w:vAlign w:val="center"/>
          </w:tcPr>
          <w:p w14:paraId="03E264B3">
            <w:pPr>
              <w:pStyle w:val="238"/>
              <w:rPr>
                <w:rFonts w:hint="eastAsia" w:ascii="Times New Roman" w:hAnsi="Times New Roman" w:eastAsia="宋体" w:cs="Times New Roman"/>
              </w:rPr>
            </w:pPr>
            <w:r>
              <w:rPr>
                <w:rFonts w:hint="eastAsia" w:ascii="Times New Roman" w:hAnsi="Times New Roman" w:eastAsia="宋体" w:cs="Times New Roman"/>
              </w:rPr>
              <w:t>250</w:t>
            </w:r>
          </w:p>
        </w:tc>
        <w:tc>
          <w:tcPr>
            <w:tcW w:w="887" w:type="pct"/>
            <w:tcBorders>
              <w:left w:val="single" w:color="auto" w:sz="4" w:space="0"/>
              <w:tl2br w:val="nil"/>
              <w:tr2bl w:val="nil"/>
            </w:tcBorders>
            <w:vAlign w:val="center"/>
          </w:tcPr>
          <w:p w14:paraId="00CC5AFA">
            <w:pPr>
              <w:pStyle w:val="238"/>
              <w:rPr>
                <w:rFonts w:hint="eastAsia" w:ascii="Times New Roman" w:hAnsi="Times New Roman" w:eastAsia="宋体" w:cs="Times New Roman"/>
              </w:rPr>
            </w:pPr>
            <w:r>
              <w:rPr>
                <w:rFonts w:hint="eastAsia" w:ascii="Times New Roman" w:hAnsi="Times New Roman" w:eastAsia="宋体" w:cs="Times New Roman"/>
              </w:rPr>
              <w:t>300</w:t>
            </w:r>
          </w:p>
        </w:tc>
      </w:tr>
      <w:tr w14:paraId="407F0F9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45" w:hRule="atLeast"/>
        </w:trPr>
        <w:tc>
          <w:tcPr>
            <w:tcW w:w="529" w:type="pct"/>
            <w:tcBorders>
              <w:tl2br w:val="nil"/>
              <w:tr2bl w:val="nil"/>
            </w:tcBorders>
            <w:vAlign w:val="center"/>
          </w:tcPr>
          <w:p w14:paraId="1950C054">
            <w:pPr>
              <w:pStyle w:val="238"/>
              <w:rPr>
                <w:rFonts w:hint="eastAsia" w:ascii="Times New Roman" w:hAnsi="Times New Roman" w:eastAsia="宋体" w:cs="Times New Roman"/>
              </w:rPr>
            </w:pPr>
            <w:r>
              <w:rPr>
                <w:rFonts w:hint="eastAsia" w:ascii="Times New Roman" w:hAnsi="Times New Roman" w:eastAsia="宋体" w:cs="Times New Roman"/>
              </w:rPr>
              <w:t>9</w:t>
            </w:r>
          </w:p>
        </w:tc>
        <w:tc>
          <w:tcPr>
            <w:tcW w:w="1087" w:type="pct"/>
            <w:tcBorders>
              <w:tl2br w:val="nil"/>
              <w:tr2bl w:val="nil"/>
            </w:tcBorders>
            <w:vAlign w:val="center"/>
          </w:tcPr>
          <w:p w14:paraId="6C754C1B">
            <w:pPr>
              <w:pStyle w:val="238"/>
              <w:rPr>
                <w:rFonts w:hint="eastAsia" w:ascii="Times New Roman" w:hAnsi="Times New Roman" w:eastAsia="宋体" w:cs="Times New Roman"/>
              </w:rPr>
            </w:pPr>
            <w:r>
              <w:rPr>
                <w:rFonts w:hint="eastAsia" w:ascii="Times New Roman" w:hAnsi="Times New Roman" w:eastAsia="宋体" w:cs="Times New Roman"/>
              </w:rPr>
              <w:t>六六六总量</w:t>
            </w:r>
          </w:p>
        </w:tc>
        <w:tc>
          <w:tcPr>
            <w:tcW w:w="3383" w:type="pct"/>
            <w:gridSpan w:val="4"/>
            <w:tcBorders>
              <w:tl2br w:val="nil"/>
              <w:tr2bl w:val="nil"/>
            </w:tcBorders>
            <w:vAlign w:val="center"/>
          </w:tcPr>
          <w:p w14:paraId="6E55AD1B">
            <w:pPr>
              <w:pStyle w:val="238"/>
              <w:rPr>
                <w:rFonts w:hint="eastAsia" w:ascii="Times New Roman" w:hAnsi="Times New Roman" w:eastAsia="宋体" w:cs="Times New Roman"/>
              </w:rPr>
            </w:pPr>
            <w:r>
              <w:rPr>
                <w:rFonts w:hint="eastAsia" w:ascii="Times New Roman" w:hAnsi="Times New Roman" w:eastAsia="宋体" w:cs="Times New Roman"/>
              </w:rPr>
              <w:t>0.10</w:t>
            </w:r>
          </w:p>
        </w:tc>
      </w:tr>
      <w:tr w14:paraId="529E298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64" w:hRule="atLeast"/>
        </w:trPr>
        <w:tc>
          <w:tcPr>
            <w:tcW w:w="529" w:type="pct"/>
            <w:tcBorders>
              <w:tl2br w:val="nil"/>
              <w:tr2bl w:val="nil"/>
            </w:tcBorders>
            <w:vAlign w:val="center"/>
          </w:tcPr>
          <w:p w14:paraId="712A5C35">
            <w:pPr>
              <w:pStyle w:val="238"/>
              <w:rPr>
                <w:rFonts w:hint="eastAsia" w:ascii="Times New Roman" w:hAnsi="Times New Roman" w:eastAsia="宋体" w:cs="Times New Roman"/>
              </w:rPr>
            </w:pPr>
            <w:r>
              <w:rPr>
                <w:rFonts w:hint="eastAsia" w:ascii="Times New Roman" w:hAnsi="Times New Roman" w:eastAsia="宋体" w:cs="Times New Roman"/>
              </w:rPr>
              <w:t>10</w:t>
            </w:r>
          </w:p>
        </w:tc>
        <w:tc>
          <w:tcPr>
            <w:tcW w:w="1087" w:type="pct"/>
            <w:tcBorders>
              <w:tl2br w:val="nil"/>
              <w:tr2bl w:val="nil"/>
            </w:tcBorders>
            <w:vAlign w:val="center"/>
          </w:tcPr>
          <w:p w14:paraId="76E553B7">
            <w:pPr>
              <w:pStyle w:val="238"/>
              <w:rPr>
                <w:rFonts w:hint="eastAsia" w:ascii="Times New Roman" w:hAnsi="Times New Roman" w:eastAsia="宋体" w:cs="Times New Roman"/>
              </w:rPr>
            </w:pPr>
            <w:r>
              <w:rPr>
                <w:rFonts w:hint="eastAsia" w:ascii="Times New Roman" w:hAnsi="Times New Roman" w:eastAsia="宋体" w:cs="Times New Roman"/>
              </w:rPr>
              <w:t>滴滴涕总量</w:t>
            </w:r>
          </w:p>
        </w:tc>
        <w:tc>
          <w:tcPr>
            <w:tcW w:w="3383" w:type="pct"/>
            <w:gridSpan w:val="4"/>
            <w:tcBorders>
              <w:tl2br w:val="nil"/>
              <w:tr2bl w:val="nil"/>
            </w:tcBorders>
            <w:vAlign w:val="center"/>
          </w:tcPr>
          <w:p w14:paraId="046411D5">
            <w:pPr>
              <w:pStyle w:val="238"/>
              <w:rPr>
                <w:rFonts w:hint="eastAsia" w:ascii="Times New Roman" w:hAnsi="Times New Roman" w:eastAsia="宋体" w:cs="Times New Roman"/>
              </w:rPr>
            </w:pPr>
            <w:r>
              <w:rPr>
                <w:rFonts w:hint="eastAsia" w:ascii="Times New Roman" w:hAnsi="Times New Roman" w:eastAsia="宋体" w:cs="Times New Roman"/>
              </w:rPr>
              <w:t>0.10</w:t>
            </w:r>
          </w:p>
        </w:tc>
      </w:tr>
    </w:tbl>
    <w:p w14:paraId="667BBF8F">
      <w:pPr>
        <w:bidi w:val="0"/>
        <w:rPr>
          <w:rFonts w:hint="eastAsia"/>
          <w:lang w:val="en-US"/>
        </w:rPr>
      </w:pPr>
    </w:p>
    <w:p w14:paraId="442B1298">
      <w:pPr>
        <w:pStyle w:val="4"/>
        <w:autoSpaceDE w:val="0"/>
        <w:autoSpaceDN w:val="0"/>
        <w:spacing w:before="0" w:after="0" w:line="360" w:lineRule="auto"/>
        <w:jc w:val="left"/>
        <w:rPr>
          <w:kern w:val="0"/>
          <w:sz w:val="24"/>
          <w:lang w:val="en-US" w:bidi="zh-CN"/>
        </w:rPr>
      </w:pPr>
      <w:r>
        <w:rPr>
          <w:rFonts w:hint="eastAsia"/>
          <w:kern w:val="0"/>
          <w:sz w:val="24"/>
          <w:lang w:val="en-US" w:bidi="zh-CN"/>
        </w:rPr>
        <w:t>2.6.2污染物排放标准</w:t>
      </w:r>
    </w:p>
    <w:p w14:paraId="43752A75">
      <w:pPr>
        <w:pStyle w:val="5"/>
        <w:rPr>
          <w:rFonts w:ascii="Times New Roman" w:hAnsi="Times New Roman"/>
          <w:color w:val="000000"/>
          <w:lang w:val="en-US"/>
        </w:rPr>
      </w:pPr>
      <w:r>
        <w:rPr>
          <w:rFonts w:hint="eastAsia" w:ascii="Times New Roman" w:hAnsi="Times New Roman"/>
          <w:color w:val="000000"/>
          <w:lang w:val="en-US"/>
        </w:rPr>
        <w:t>2.6.2.1废气</w:t>
      </w:r>
    </w:p>
    <w:p w14:paraId="00EAB129">
      <w:pPr>
        <w:spacing w:line="360" w:lineRule="auto"/>
        <w:ind w:firstLine="480"/>
        <w:rPr>
          <w:rFonts w:hint="eastAsia" w:ascii="宋体" w:hAnsi="宋体" w:cs="宋体"/>
          <w:sz w:val="24"/>
          <w:szCs w:val="24"/>
        </w:rPr>
      </w:pPr>
      <w:r>
        <w:rPr>
          <w:rFonts w:hint="eastAsia" w:ascii="宋体" w:hAnsi="宋体" w:cs="宋体"/>
          <w:sz w:val="24"/>
          <w:szCs w:val="24"/>
        </w:rPr>
        <w:t>本项目工艺废气非甲烷总烃排放执行《合成树脂工业污染物排放标准》（GB31572-2015，含2024年修改单）表</w:t>
      </w:r>
      <w:r>
        <w:rPr>
          <w:rFonts w:hint="eastAsia" w:ascii="宋体" w:hAnsi="宋体" w:cs="宋体"/>
          <w:sz w:val="24"/>
          <w:szCs w:val="24"/>
          <w:lang w:val="en-US" w:eastAsia="zh-CN"/>
        </w:rPr>
        <w:t>4</w:t>
      </w:r>
      <w:r>
        <w:rPr>
          <w:rFonts w:hint="eastAsia" w:ascii="宋体" w:hAnsi="宋体" w:cs="宋体"/>
          <w:sz w:val="24"/>
          <w:szCs w:val="24"/>
        </w:rPr>
        <w:t>大气污染物排放限值，</w:t>
      </w:r>
      <w:r>
        <w:rPr>
          <w:rFonts w:hint="eastAsia"/>
          <w:color w:val="000000"/>
          <w:sz w:val="24"/>
        </w:rPr>
        <w:t>即非甲烷总烃</w:t>
      </w:r>
      <w:r>
        <w:rPr>
          <w:rFonts w:hint="eastAsia"/>
          <w:color w:val="000000"/>
          <w:sz w:val="24"/>
          <w:lang w:val="en-US" w:eastAsia="zh-CN"/>
        </w:rPr>
        <w:t>10</w:t>
      </w:r>
      <w:r>
        <w:rPr>
          <w:rFonts w:hint="eastAsia"/>
          <w:color w:val="000000"/>
          <w:sz w:val="24"/>
        </w:rPr>
        <w:t>0mg/m</w:t>
      </w:r>
      <w:r>
        <w:rPr>
          <w:rFonts w:hint="eastAsia"/>
          <w:color w:val="000000"/>
          <w:sz w:val="24"/>
          <w:vertAlign w:val="superscript"/>
        </w:rPr>
        <w:t>3</w:t>
      </w:r>
      <w:r>
        <w:rPr>
          <w:rFonts w:hint="eastAsia"/>
          <w:color w:val="000000"/>
          <w:sz w:val="24"/>
        </w:rPr>
        <w:t>要求</w:t>
      </w:r>
      <w:r>
        <w:rPr>
          <w:rFonts w:hint="eastAsia" w:ascii="宋体" w:hAnsi="宋体" w:cs="宋体"/>
          <w:sz w:val="24"/>
          <w:szCs w:val="24"/>
        </w:rPr>
        <w:t>。厂界非甲烷总烃执行《合成树脂工业污染物排放标准》（GB31572-2015，含2024年修改单）表9企业边界大气污染物浓度限值；厂区内无组织非甲烷总烃执行《挥发性有机物无组织排放控制标准》（GB37822-2019）附录A.1排放限值；</w:t>
      </w:r>
      <w:r>
        <w:rPr>
          <w:rFonts w:hint="eastAsia"/>
          <w:color w:val="000000"/>
          <w:sz w:val="24"/>
        </w:rPr>
        <w:t>有组织废气</w:t>
      </w:r>
      <w:r>
        <w:rPr>
          <w:color w:val="000000"/>
          <w:sz w:val="24"/>
        </w:rPr>
        <w:t>臭气浓度执行《恶臭污染物排放标准》（GB14554-93）表2 恶臭污染物排放标准值中臭气浓度排放限值2000（排气筒高度15m）要求。</w:t>
      </w:r>
      <w:r>
        <w:rPr>
          <w:rFonts w:hint="eastAsia" w:ascii="宋体" w:hAnsi="宋体" w:cs="宋体"/>
          <w:color w:val="000000"/>
          <w:sz w:val="24"/>
        </w:rPr>
        <w:t>无组织排放</w:t>
      </w:r>
      <w:r>
        <w:rPr>
          <w:rFonts w:hint="eastAsia"/>
          <w:color w:val="000000"/>
          <w:sz w:val="24"/>
        </w:rPr>
        <w:t>臭气浓度执行</w:t>
      </w:r>
      <w:r>
        <w:rPr>
          <w:color w:val="000000"/>
          <w:sz w:val="24"/>
        </w:rPr>
        <w:t>《恶臭污染物排放标准》（GB14554-93）</w:t>
      </w:r>
      <w:r>
        <w:rPr>
          <w:rFonts w:hint="eastAsia"/>
          <w:color w:val="000000"/>
          <w:sz w:val="24"/>
        </w:rPr>
        <w:t>表1恶臭污染物厂界标准值中臭气浓度二级新改扩建排放限值20要求</w:t>
      </w:r>
      <w:r>
        <w:rPr>
          <w:rFonts w:hint="eastAsia" w:ascii="宋体" w:hAnsi="宋体" w:cs="宋体"/>
          <w:sz w:val="24"/>
          <w:szCs w:val="24"/>
        </w:rPr>
        <w:t>标准值见表2.6-</w:t>
      </w:r>
      <w:r>
        <w:rPr>
          <w:rFonts w:hint="eastAsia" w:ascii="宋体" w:hAnsi="宋体" w:cs="宋体"/>
          <w:sz w:val="24"/>
          <w:szCs w:val="24"/>
          <w:lang w:val="en-US" w:eastAsia="zh-CN"/>
        </w:rPr>
        <w:t>6</w:t>
      </w:r>
      <w:r>
        <w:rPr>
          <w:rFonts w:hint="eastAsia" w:ascii="宋体" w:hAnsi="宋体" w:cs="宋体"/>
          <w:sz w:val="24"/>
          <w:szCs w:val="24"/>
        </w:rPr>
        <w:t>、表2.6-</w:t>
      </w:r>
      <w:r>
        <w:rPr>
          <w:rFonts w:hint="eastAsia" w:ascii="宋体" w:hAnsi="宋体" w:cs="宋体"/>
          <w:sz w:val="24"/>
          <w:szCs w:val="24"/>
          <w:lang w:val="en-US" w:eastAsia="zh-CN"/>
        </w:rPr>
        <w:t>7</w:t>
      </w:r>
      <w:r>
        <w:rPr>
          <w:rFonts w:hint="eastAsia" w:ascii="宋体" w:hAnsi="宋体" w:cs="宋体"/>
          <w:sz w:val="24"/>
          <w:szCs w:val="24"/>
        </w:rPr>
        <w:t>。</w:t>
      </w:r>
    </w:p>
    <w:p w14:paraId="469B1F87">
      <w:pPr>
        <w:snapToGrid w:val="0"/>
        <w:spacing w:line="440" w:lineRule="exact"/>
        <w:jc w:val="center"/>
        <w:rPr>
          <w:rFonts w:hint="eastAsia" w:ascii="宋体" w:hAnsi="宋体" w:cs="宋体"/>
          <w:b/>
          <w:bCs/>
          <w:szCs w:val="21"/>
        </w:rPr>
      </w:pPr>
      <w:r>
        <w:rPr>
          <w:rFonts w:hint="eastAsia" w:ascii="宋体" w:hAnsi="宋体" w:cs="宋体"/>
          <w:b/>
          <w:bCs/>
          <w:szCs w:val="21"/>
        </w:rPr>
        <w:t>表2.6-</w:t>
      </w:r>
      <w:r>
        <w:rPr>
          <w:rFonts w:hint="eastAsia" w:ascii="宋体" w:hAnsi="宋体" w:cs="宋体"/>
          <w:b/>
          <w:bCs/>
          <w:szCs w:val="21"/>
          <w:lang w:val="en-US" w:eastAsia="zh-CN"/>
        </w:rPr>
        <w:t>6</w:t>
      </w:r>
      <w:r>
        <w:rPr>
          <w:rFonts w:hint="eastAsia" w:ascii="宋体" w:hAnsi="宋体" w:cs="宋体"/>
          <w:b/>
          <w:bCs/>
          <w:szCs w:val="21"/>
        </w:rPr>
        <w:t xml:space="preserve">  有组织非甲烷总烃、厂界无组织粉尘及非甲烷总烃排放标准限值</w:t>
      </w:r>
    </w:p>
    <w:tbl>
      <w:tblPr>
        <w:tblStyle w:val="49"/>
        <w:tblW w:w="5068"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0" w:type="dxa"/>
          <w:bottom w:w="0" w:type="dxa"/>
          <w:right w:w="0" w:type="dxa"/>
        </w:tblCellMar>
      </w:tblPr>
      <w:tblGrid>
        <w:gridCol w:w="578"/>
        <w:gridCol w:w="1293"/>
        <w:gridCol w:w="1326"/>
        <w:gridCol w:w="5971"/>
      </w:tblGrid>
      <w:tr w14:paraId="577AB4D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83" w:hRule="atLeast"/>
          <w:jc w:val="center"/>
        </w:trPr>
        <w:tc>
          <w:tcPr>
            <w:tcW w:w="1020" w:type="pct"/>
            <w:gridSpan w:val="2"/>
            <w:tcBorders>
              <w:tl2br w:val="nil"/>
              <w:tr2bl w:val="nil"/>
            </w:tcBorders>
            <w:vAlign w:val="center"/>
          </w:tcPr>
          <w:p w14:paraId="48154946">
            <w:pPr>
              <w:pStyle w:val="228"/>
              <w:kinsoku w:val="0"/>
              <w:overflowPunct w:val="0"/>
              <w:autoSpaceDE w:val="0"/>
              <w:autoSpaceDN w:val="0"/>
              <w:spacing w:line="360" w:lineRule="exact"/>
              <w:rPr>
                <w:spacing w:val="-1"/>
                <w:szCs w:val="21"/>
              </w:rPr>
            </w:pPr>
            <w:r>
              <w:rPr>
                <w:spacing w:val="-1"/>
                <w:szCs w:val="21"/>
              </w:rPr>
              <w:t>控制项目</w:t>
            </w:r>
          </w:p>
        </w:tc>
        <w:tc>
          <w:tcPr>
            <w:tcW w:w="723" w:type="pct"/>
            <w:tcBorders>
              <w:tl2br w:val="nil"/>
              <w:tr2bl w:val="nil"/>
            </w:tcBorders>
            <w:vAlign w:val="center"/>
          </w:tcPr>
          <w:p w14:paraId="73A8CF74">
            <w:pPr>
              <w:pStyle w:val="228"/>
              <w:kinsoku w:val="0"/>
              <w:overflowPunct w:val="0"/>
              <w:autoSpaceDE w:val="0"/>
              <w:autoSpaceDN w:val="0"/>
              <w:spacing w:line="360" w:lineRule="exact"/>
              <w:rPr>
                <w:szCs w:val="21"/>
              </w:rPr>
            </w:pPr>
            <w:r>
              <w:rPr>
                <w:szCs w:val="21"/>
              </w:rPr>
              <w:t>标准值</w:t>
            </w:r>
          </w:p>
        </w:tc>
        <w:tc>
          <w:tcPr>
            <w:tcW w:w="3255" w:type="pct"/>
            <w:tcBorders>
              <w:tl2br w:val="nil"/>
              <w:tr2bl w:val="nil"/>
            </w:tcBorders>
            <w:vAlign w:val="center"/>
          </w:tcPr>
          <w:p w14:paraId="2E2B8ADB">
            <w:pPr>
              <w:pStyle w:val="228"/>
              <w:kinsoku w:val="0"/>
              <w:overflowPunct w:val="0"/>
              <w:autoSpaceDE w:val="0"/>
              <w:autoSpaceDN w:val="0"/>
              <w:spacing w:line="360" w:lineRule="exact"/>
              <w:rPr>
                <w:szCs w:val="21"/>
              </w:rPr>
            </w:pPr>
            <w:r>
              <w:rPr>
                <w:spacing w:val="-1"/>
                <w:szCs w:val="21"/>
              </w:rPr>
              <w:t>标准来源</w:t>
            </w:r>
          </w:p>
        </w:tc>
      </w:tr>
      <w:tr w14:paraId="47314B1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716" w:hRule="atLeast"/>
          <w:jc w:val="center"/>
        </w:trPr>
        <w:tc>
          <w:tcPr>
            <w:tcW w:w="315" w:type="pct"/>
            <w:vMerge w:val="restart"/>
            <w:tcBorders>
              <w:tl2br w:val="nil"/>
              <w:tr2bl w:val="nil"/>
            </w:tcBorders>
            <w:vAlign w:val="center"/>
          </w:tcPr>
          <w:p w14:paraId="1977BE26">
            <w:pPr>
              <w:pStyle w:val="228"/>
              <w:kinsoku w:val="0"/>
              <w:overflowPunct w:val="0"/>
              <w:autoSpaceDE w:val="0"/>
              <w:autoSpaceDN w:val="0"/>
              <w:spacing w:line="360" w:lineRule="exact"/>
              <w:rPr>
                <w:szCs w:val="21"/>
              </w:rPr>
            </w:pPr>
            <w:r>
              <w:rPr>
                <w:spacing w:val="-1"/>
                <w:szCs w:val="21"/>
              </w:rPr>
              <w:t>有组织排放</w:t>
            </w:r>
          </w:p>
        </w:tc>
        <w:tc>
          <w:tcPr>
            <w:tcW w:w="705" w:type="pct"/>
            <w:tcBorders>
              <w:tl2br w:val="nil"/>
              <w:tr2bl w:val="nil"/>
            </w:tcBorders>
            <w:vAlign w:val="center"/>
          </w:tcPr>
          <w:p w14:paraId="21C673D3">
            <w:pPr>
              <w:pStyle w:val="228"/>
              <w:kinsoku w:val="0"/>
              <w:overflowPunct w:val="0"/>
              <w:autoSpaceDE w:val="0"/>
              <w:autoSpaceDN w:val="0"/>
              <w:spacing w:line="360" w:lineRule="exact"/>
              <w:rPr>
                <w:spacing w:val="-1"/>
                <w:szCs w:val="21"/>
              </w:rPr>
            </w:pPr>
            <w:r>
              <w:rPr>
                <w:spacing w:val="-1"/>
                <w:szCs w:val="21"/>
              </w:rPr>
              <w:t>非甲烷总烃</w:t>
            </w:r>
          </w:p>
        </w:tc>
        <w:tc>
          <w:tcPr>
            <w:tcW w:w="723" w:type="pct"/>
            <w:tcBorders>
              <w:tl2br w:val="nil"/>
              <w:tr2bl w:val="nil"/>
            </w:tcBorders>
            <w:vAlign w:val="center"/>
          </w:tcPr>
          <w:p w14:paraId="55562C15">
            <w:pPr>
              <w:pStyle w:val="228"/>
              <w:kinsoku w:val="0"/>
              <w:overflowPunct w:val="0"/>
              <w:autoSpaceDE w:val="0"/>
              <w:autoSpaceDN w:val="0"/>
              <w:spacing w:line="360" w:lineRule="exact"/>
              <w:rPr>
                <w:szCs w:val="21"/>
              </w:rPr>
            </w:pPr>
            <w:r>
              <w:rPr>
                <w:rFonts w:hint="eastAsia"/>
                <w:szCs w:val="21"/>
                <w:lang w:val="en-US" w:eastAsia="zh-CN"/>
              </w:rPr>
              <w:t>10</w:t>
            </w:r>
            <w:r>
              <w:rPr>
                <w:rFonts w:hint="eastAsia"/>
                <w:szCs w:val="21"/>
              </w:rPr>
              <w:t>0</w:t>
            </w:r>
            <w:r>
              <w:rPr>
                <w:szCs w:val="21"/>
              </w:rPr>
              <w:t>mg/m</w:t>
            </w:r>
            <w:r>
              <w:rPr>
                <w:rFonts w:hint="eastAsia"/>
                <w:szCs w:val="21"/>
                <w:vertAlign w:val="superscript"/>
              </w:rPr>
              <w:t>3</w:t>
            </w:r>
          </w:p>
        </w:tc>
        <w:tc>
          <w:tcPr>
            <w:tcW w:w="3255" w:type="pct"/>
            <w:tcBorders>
              <w:tl2br w:val="nil"/>
              <w:tr2bl w:val="nil"/>
            </w:tcBorders>
            <w:vAlign w:val="center"/>
          </w:tcPr>
          <w:p w14:paraId="65E617F0">
            <w:pPr>
              <w:pStyle w:val="228"/>
              <w:kinsoku w:val="0"/>
              <w:overflowPunct w:val="0"/>
              <w:autoSpaceDE w:val="0"/>
              <w:autoSpaceDN w:val="0"/>
              <w:spacing w:line="360" w:lineRule="exact"/>
              <w:rPr>
                <w:szCs w:val="21"/>
              </w:rPr>
            </w:pPr>
            <w:r>
              <w:rPr>
                <w:spacing w:val="-2"/>
                <w:szCs w:val="21"/>
              </w:rPr>
              <w:t>《合成树脂工业污染物排放标准》（GB-31572-2015</w:t>
            </w:r>
            <w:r>
              <w:rPr>
                <w:rFonts w:hint="eastAsia"/>
                <w:spacing w:val="-2"/>
                <w:szCs w:val="21"/>
              </w:rPr>
              <w:t>，含2024年修改单</w:t>
            </w:r>
            <w:r>
              <w:rPr>
                <w:spacing w:val="-2"/>
                <w:szCs w:val="21"/>
              </w:rPr>
              <w:t>）表</w:t>
            </w:r>
            <w:r>
              <w:rPr>
                <w:rFonts w:hint="eastAsia"/>
                <w:spacing w:val="-2"/>
                <w:szCs w:val="21"/>
                <w:lang w:val="en-US" w:eastAsia="zh-CN"/>
              </w:rPr>
              <w:t>4</w:t>
            </w:r>
            <w:r>
              <w:rPr>
                <w:rFonts w:hint="eastAsia"/>
                <w:spacing w:val="-2"/>
                <w:szCs w:val="21"/>
              </w:rPr>
              <w:t>大气污染物排放限值</w:t>
            </w:r>
          </w:p>
        </w:tc>
      </w:tr>
      <w:tr w14:paraId="73BF51A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716" w:hRule="atLeast"/>
          <w:jc w:val="center"/>
        </w:trPr>
        <w:tc>
          <w:tcPr>
            <w:tcW w:w="315" w:type="pct"/>
            <w:vMerge w:val="continue"/>
            <w:tcBorders>
              <w:tl2br w:val="nil"/>
              <w:tr2bl w:val="nil"/>
            </w:tcBorders>
            <w:vAlign w:val="center"/>
          </w:tcPr>
          <w:p w14:paraId="491BC48B">
            <w:pPr>
              <w:pStyle w:val="228"/>
              <w:kinsoku w:val="0"/>
              <w:overflowPunct w:val="0"/>
              <w:autoSpaceDE w:val="0"/>
              <w:autoSpaceDN w:val="0"/>
              <w:spacing w:line="360" w:lineRule="exact"/>
              <w:rPr>
                <w:spacing w:val="-1"/>
                <w:szCs w:val="21"/>
              </w:rPr>
            </w:pPr>
          </w:p>
        </w:tc>
        <w:tc>
          <w:tcPr>
            <w:tcW w:w="705" w:type="pct"/>
            <w:tcBorders>
              <w:tl2br w:val="nil"/>
              <w:tr2bl w:val="nil"/>
            </w:tcBorders>
            <w:vAlign w:val="center"/>
          </w:tcPr>
          <w:p w14:paraId="494FF1FF">
            <w:pPr>
              <w:pStyle w:val="240"/>
              <w:rPr>
                <w:rFonts w:hint="default"/>
              </w:rPr>
            </w:pPr>
            <w:r>
              <w:t>臭气浓度</w:t>
            </w:r>
          </w:p>
        </w:tc>
        <w:tc>
          <w:tcPr>
            <w:tcW w:w="723" w:type="pct"/>
            <w:tcBorders>
              <w:tl2br w:val="nil"/>
              <w:tr2bl w:val="nil"/>
            </w:tcBorders>
            <w:vAlign w:val="center"/>
          </w:tcPr>
          <w:p w14:paraId="1B0393E3">
            <w:pPr>
              <w:pStyle w:val="240"/>
              <w:rPr>
                <w:rFonts w:hint="default"/>
              </w:rPr>
            </w:pPr>
            <w:r>
              <w:t>2000</w:t>
            </w:r>
          </w:p>
        </w:tc>
        <w:tc>
          <w:tcPr>
            <w:tcW w:w="3255" w:type="pct"/>
            <w:tcBorders>
              <w:tl2br w:val="nil"/>
              <w:tr2bl w:val="nil"/>
            </w:tcBorders>
            <w:vAlign w:val="center"/>
          </w:tcPr>
          <w:p w14:paraId="734D338B">
            <w:pPr>
              <w:pStyle w:val="228"/>
              <w:kinsoku w:val="0"/>
              <w:overflowPunct w:val="0"/>
              <w:autoSpaceDE w:val="0"/>
              <w:autoSpaceDN w:val="0"/>
              <w:spacing w:line="360" w:lineRule="exact"/>
              <w:rPr>
                <w:spacing w:val="-2"/>
                <w:szCs w:val="21"/>
              </w:rPr>
            </w:pPr>
            <w:r>
              <w:rPr>
                <w:color w:val="000000"/>
              </w:rPr>
              <w:t>《恶臭污染物排放标准》（GB14554-93）表2恶臭污染物排放标准值</w:t>
            </w:r>
          </w:p>
        </w:tc>
      </w:tr>
      <w:tr w14:paraId="77EB6FD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716" w:hRule="atLeast"/>
          <w:jc w:val="center"/>
        </w:trPr>
        <w:tc>
          <w:tcPr>
            <w:tcW w:w="315" w:type="pct"/>
            <w:vMerge w:val="restart"/>
            <w:tcBorders>
              <w:tl2br w:val="nil"/>
              <w:tr2bl w:val="nil"/>
            </w:tcBorders>
            <w:vAlign w:val="center"/>
          </w:tcPr>
          <w:p w14:paraId="0DAC851B">
            <w:pPr>
              <w:pStyle w:val="228"/>
              <w:kinsoku w:val="0"/>
              <w:overflowPunct w:val="0"/>
              <w:autoSpaceDE w:val="0"/>
              <w:autoSpaceDN w:val="0"/>
              <w:spacing w:line="360" w:lineRule="exact"/>
              <w:rPr>
                <w:szCs w:val="21"/>
              </w:rPr>
            </w:pPr>
            <w:r>
              <w:rPr>
                <w:rFonts w:hint="eastAsia"/>
                <w:szCs w:val="21"/>
              </w:rPr>
              <w:t>无组织排放</w:t>
            </w:r>
          </w:p>
        </w:tc>
        <w:tc>
          <w:tcPr>
            <w:tcW w:w="705" w:type="pct"/>
            <w:tcBorders>
              <w:tl2br w:val="nil"/>
              <w:tr2bl w:val="nil"/>
            </w:tcBorders>
            <w:vAlign w:val="center"/>
          </w:tcPr>
          <w:p w14:paraId="2E7B2604">
            <w:pPr>
              <w:pStyle w:val="228"/>
              <w:kinsoku w:val="0"/>
              <w:overflowPunct w:val="0"/>
              <w:autoSpaceDE w:val="0"/>
              <w:autoSpaceDN w:val="0"/>
              <w:spacing w:line="360" w:lineRule="exact"/>
              <w:rPr>
                <w:szCs w:val="21"/>
              </w:rPr>
            </w:pPr>
            <w:r>
              <w:rPr>
                <w:szCs w:val="21"/>
              </w:rPr>
              <w:t>非甲烷总烃</w:t>
            </w:r>
          </w:p>
        </w:tc>
        <w:tc>
          <w:tcPr>
            <w:tcW w:w="723" w:type="pct"/>
            <w:tcBorders>
              <w:tl2br w:val="nil"/>
              <w:tr2bl w:val="nil"/>
            </w:tcBorders>
            <w:vAlign w:val="center"/>
          </w:tcPr>
          <w:p w14:paraId="456E2CB0">
            <w:pPr>
              <w:pStyle w:val="228"/>
              <w:kinsoku w:val="0"/>
              <w:overflowPunct w:val="0"/>
              <w:autoSpaceDE w:val="0"/>
              <w:autoSpaceDN w:val="0"/>
              <w:spacing w:line="360" w:lineRule="exact"/>
              <w:rPr>
                <w:szCs w:val="21"/>
              </w:rPr>
            </w:pPr>
            <w:r>
              <w:rPr>
                <w:rFonts w:hint="eastAsia"/>
                <w:spacing w:val="-1"/>
                <w:szCs w:val="21"/>
              </w:rPr>
              <w:t>4.0</w:t>
            </w:r>
            <w:r>
              <w:rPr>
                <w:spacing w:val="-1"/>
                <w:szCs w:val="21"/>
              </w:rPr>
              <w:t>mg/m</w:t>
            </w:r>
            <w:r>
              <w:rPr>
                <w:spacing w:val="-1"/>
                <w:szCs w:val="21"/>
                <w:vertAlign w:val="superscript"/>
              </w:rPr>
              <w:t>3</w:t>
            </w:r>
          </w:p>
        </w:tc>
        <w:tc>
          <w:tcPr>
            <w:tcW w:w="3255" w:type="pct"/>
            <w:tcBorders>
              <w:tl2br w:val="nil"/>
              <w:tr2bl w:val="nil"/>
            </w:tcBorders>
            <w:vAlign w:val="center"/>
          </w:tcPr>
          <w:p w14:paraId="2EB52F7C">
            <w:pPr>
              <w:pStyle w:val="228"/>
              <w:kinsoku w:val="0"/>
              <w:overflowPunct w:val="0"/>
              <w:autoSpaceDE w:val="0"/>
              <w:autoSpaceDN w:val="0"/>
              <w:spacing w:line="360" w:lineRule="exact"/>
              <w:rPr>
                <w:szCs w:val="21"/>
              </w:rPr>
            </w:pPr>
            <w:r>
              <w:rPr>
                <w:rFonts w:hint="eastAsia"/>
                <w:spacing w:val="-2"/>
                <w:szCs w:val="21"/>
              </w:rPr>
              <w:t>《合成树脂工业污染物排放标准》（GB-31572-2015，含2024年修改单）表9中浓度限值</w:t>
            </w:r>
          </w:p>
        </w:tc>
      </w:tr>
      <w:tr w14:paraId="1C173BE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745" w:hRule="atLeast"/>
          <w:jc w:val="center"/>
        </w:trPr>
        <w:tc>
          <w:tcPr>
            <w:tcW w:w="315" w:type="pct"/>
            <w:vMerge w:val="continue"/>
            <w:tcBorders>
              <w:tl2br w:val="nil"/>
              <w:tr2bl w:val="nil"/>
            </w:tcBorders>
            <w:vAlign w:val="center"/>
          </w:tcPr>
          <w:p w14:paraId="1E2DF24E">
            <w:pPr>
              <w:pStyle w:val="228"/>
              <w:kinsoku w:val="0"/>
              <w:overflowPunct w:val="0"/>
              <w:autoSpaceDE w:val="0"/>
              <w:autoSpaceDN w:val="0"/>
              <w:spacing w:line="360" w:lineRule="exact"/>
              <w:rPr>
                <w:szCs w:val="21"/>
              </w:rPr>
            </w:pPr>
          </w:p>
        </w:tc>
        <w:tc>
          <w:tcPr>
            <w:tcW w:w="705" w:type="pct"/>
            <w:tcBorders>
              <w:tl2br w:val="nil"/>
              <w:tr2bl w:val="nil"/>
            </w:tcBorders>
            <w:vAlign w:val="center"/>
          </w:tcPr>
          <w:p w14:paraId="63B56F87">
            <w:pPr>
              <w:pStyle w:val="240"/>
              <w:rPr>
                <w:rFonts w:hint="default"/>
              </w:rPr>
            </w:pPr>
            <w:r>
              <w:t>臭气浓度</w:t>
            </w:r>
          </w:p>
        </w:tc>
        <w:tc>
          <w:tcPr>
            <w:tcW w:w="723" w:type="pct"/>
            <w:tcBorders>
              <w:tl2br w:val="nil"/>
              <w:tr2bl w:val="nil"/>
            </w:tcBorders>
            <w:vAlign w:val="center"/>
          </w:tcPr>
          <w:p w14:paraId="42847C0A">
            <w:pPr>
              <w:pStyle w:val="240"/>
              <w:rPr>
                <w:rFonts w:hint="default"/>
              </w:rPr>
            </w:pPr>
            <w:r>
              <w:t>20</w:t>
            </w:r>
          </w:p>
        </w:tc>
        <w:tc>
          <w:tcPr>
            <w:tcW w:w="3255" w:type="pct"/>
            <w:tcBorders>
              <w:tl2br w:val="nil"/>
              <w:tr2bl w:val="nil"/>
            </w:tcBorders>
            <w:vAlign w:val="center"/>
          </w:tcPr>
          <w:p w14:paraId="6F9757FB">
            <w:pPr>
              <w:pStyle w:val="228"/>
              <w:kinsoku w:val="0"/>
              <w:overflowPunct w:val="0"/>
              <w:autoSpaceDE w:val="0"/>
              <w:autoSpaceDN w:val="0"/>
              <w:spacing w:line="360" w:lineRule="exact"/>
              <w:rPr>
                <w:spacing w:val="-2"/>
                <w:szCs w:val="21"/>
              </w:rPr>
            </w:pPr>
            <w:r>
              <w:rPr>
                <w:color w:val="000000"/>
              </w:rPr>
              <w:t>《恶臭污染物排放标准》（GB14554-93）表1恶臭污染物厂界标准值</w:t>
            </w:r>
          </w:p>
        </w:tc>
      </w:tr>
    </w:tbl>
    <w:p w14:paraId="20F2C6FD">
      <w:pPr>
        <w:snapToGrid w:val="0"/>
        <w:spacing w:line="440" w:lineRule="exact"/>
        <w:jc w:val="center"/>
        <w:rPr>
          <w:rFonts w:hint="eastAsia" w:ascii="宋体" w:hAnsi="宋体" w:cs="宋体"/>
          <w:b/>
          <w:bCs/>
          <w:szCs w:val="21"/>
        </w:rPr>
      </w:pPr>
      <w:r>
        <w:rPr>
          <w:rFonts w:hint="eastAsia" w:ascii="宋体" w:hAnsi="宋体" w:cs="宋体"/>
          <w:b/>
          <w:bCs/>
          <w:szCs w:val="21"/>
        </w:rPr>
        <w:t>表2.6-</w:t>
      </w:r>
      <w:r>
        <w:rPr>
          <w:rFonts w:hint="eastAsia" w:ascii="宋体" w:hAnsi="宋体" w:cs="宋体"/>
          <w:b/>
          <w:bCs/>
          <w:szCs w:val="21"/>
          <w:lang w:val="en-US" w:eastAsia="zh-CN"/>
        </w:rPr>
        <w:t>7</w:t>
      </w:r>
      <w:r>
        <w:rPr>
          <w:rFonts w:hint="eastAsia" w:ascii="宋体" w:hAnsi="宋体" w:cs="宋体"/>
          <w:b/>
          <w:bCs/>
          <w:szCs w:val="21"/>
        </w:rPr>
        <w:t xml:space="preserve">    厂区内无组织VOCs控制标准</w:t>
      </w:r>
    </w:p>
    <w:tbl>
      <w:tblPr>
        <w:tblStyle w:val="49"/>
        <w:tblW w:w="5116"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0" w:type="dxa"/>
          <w:bottom w:w="0" w:type="dxa"/>
          <w:right w:w="0" w:type="dxa"/>
        </w:tblCellMar>
      </w:tblPr>
      <w:tblGrid>
        <w:gridCol w:w="1725"/>
        <w:gridCol w:w="1473"/>
        <w:gridCol w:w="3056"/>
        <w:gridCol w:w="3001"/>
      </w:tblGrid>
      <w:tr w14:paraId="28C3732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12" w:hRule="atLeast"/>
          <w:jc w:val="center"/>
        </w:trPr>
        <w:tc>
          <w:tcPr>
            <w:tcW w:w="932" w:type="pct"/>
            <w:tcBorders>
              <w:tl2br w:val="nil"/>
              <w:tr2bl w:val="nil"/>
            </w:tcBorders>
            <w:vAlign w:val="center"/>
          </w:tcPr>
          <w:p w14:paraId="1CC89A39">
            <w:pPr>
              <w:pStyle w:val="228"/>
              <w:keepNext w:val="0"/>
              <w:keepLines w:val="0"/>
              <w:pageBreakBefore w:val="0"/>
              <w:widowControl w:val="0"/>
              <w:kinsoku w:val="0"/>
              <w:wordWrap/>
              <w:overflowPunct w:val="0"/>
              <w:topLinePunct w:val="0"/>
              <w:autoSpaceDE w:val="0"/>
              <w:autoSpaceDN w:val="0"/>
              <w:bidi w:val="0"/>
              <w:adjustRightInd/>
              <w:snapToGrid/>
              <w:spacing w:line="240" w:lineRule="exact"/>
              <w:textAlignment w:val="auto"/>
              <w:rPr>
                <w:szCs w:val="21"/>
              </w:rPr>
            </w:pPr>
            <w:r>
              <w:rPr>
                <w:rFonts w:hint="eastAsia"/>
                <w:szCs w:val="21"/>
              </w:rPr>
              <w:t>污染物</w:t>
            </w:r>
          </w:p>
        </w:tc>
        <w:tc>
          <w:tcPr>
            <w:tcW w:w="796" w:type="pct"/>
            <w:tcBorders>
              <w:tl2br w:val="nil"/>
              <w:tr2bl w:val="nil"/>
            </w:tcBorders>
            <w:vAlign w:val="center"/>
          </w:tcPr>
          <w:p w14:paraId="56D14D07">
            <w:pPr>
              <w:pStyle w:val="228"/>
              <w:keepNext w:val="0"/>
              <w:keepLines w:val="0"/>
              <w:pageBreakBefore w:val="0"/>
              <w:widowControl w:val="0"/>
              <w:kinsoku w:val="0"/>
              <w:wordWrap/>
              <w:overflowPunct w:val="0"/>
              <w:topLinePunct w:val="0"/>
              <w:autoSpaceDE w:val="0"/>
              <w:autoSpaceDN w:val="0"/>
              <w:bidi w:val="0"/>
              <w:adjustRightInd/>
              <w:snapToGrid/>
              <w:spacing w:line="240" w:lineRule="exact"/>
              <w:textAlignment w:val="auto"/>
              <w:rPr>
                <w:spacing w:val="-1"/>
                <w:szCs w:val="21"/>
              </w:rPr>
            </w:pPr>
            <w:r>
              <w:rPr>
                <w:rFonts w:hint="eastAsia"/>
                <w:spacing w:val="-1"/>
                <w:szCs w:val="21"/>
              </w:rPr>
              <w:t>排放限值</w:t>
            </w:r>
          </w:p>
          <w:p w14:paraId="3684FAF5">
            <w:pPr>
              <w:pStyle w:val="228"/>
              <w:keepNext w:val="0"/>
              <w:keepLines w:val="0"/>
              <w:pageBreakBefore w:val="0"/>
              <w:widowControl w:val="0"/>
              <w:kinsoku w:val="0"/>
              <w:wordWrap/>
              <w:overflowPunct w:val="0"/>
              <w:topLinePunct w:val="0"/>
              <w:autoSpaceDE w:val="0"/>
              <w:autoSpaceDN w:val="0"/>
              <w:bidi w:val="0"/>
              <w:adjustRightInd/>
              <w:snapToGrid/>
              <w:spacing w:line="240" w:lineRule="exact"/>
              <w:textAlignment w:val="auto"/>
              <w:rPr>
                <w:spacing w:val="-1"/>
                <w:szCs w:val="21"/>
              </w:rPr>
            </w:pPr>
            <w:r>
              <w:rPr>
                <w:szCs w:val="21"/>
              </w:rPr>
              <w:t>mg/m</w:t>
            </w:r>
            <w:r>
              <w:rPr>
                <w:rFonts w:hint="eastAsia"/>
                <w:szCs w:val="21"/>
                <w:vertAlign w:val="superscript"/>
              </w:rPr>
              <w:t>3</w:t>
            </w:r>
          </w:p>
        </w:tc>
        <w:tc>
          <w:tcPr>
            <w:tcW w:w="1651" w:type="pct"/>
            <w:tcBorders>
              <w:tl2br w:val="nil"/>
              <w:tr2bl w:val="nil"/>
            </w:tcBorders>
            <w:vAlign w:val="center"/>
          </w:tcPr>
          <w:p w14:paraId="269C54AF">
            <w:pPr>
              <w:pStyle w:val="228"/>
              <w:keepNext w:val="0"/>
              <w:keepLines w:val="0"/>
              <w:pageBreakBefore w:val="0"/>
              <w:widowControl w:val="0"/>
              <w:kinsoku w:val="0"/>
              <w:wordWrap/>
              <w:overflowPunct w:val="0"/>
              <w:topLinePunct w:val="0"/>
              <w:autoSpaceDE w:val="0"/>
              <w:autoSpaceDN w:val="0"/>
              <w:bidi w:val="0"/>
              <w:adjustRightInd/>
              <w:snapToGrid/>
              <w:spacing w:line="240" w:lineRule="exact"/>
              <w:textAlignment w:val="auto"/>
              <w:rPr>
                <w:szCs w:val="21"/>
              </w:rPr>
            </w:pPr>
            <w:r>
              <w:rPr>
                <w:rFonts w:hint="eastAsia"/>
                <w:szCs w:val="21"/>
              </w:rPr>
              <w:t>限定含义</w:t>
            </w:r>
          </w:p>
        </w:tc>
        <w:tc>
          <w:tcPr>
            <w:tcW w:w="1621" w:type="pct"/>
            <w:tcBorders>
              <w:tl2br w:val="nil"/>
              <w:tr2bl w:val="nil"/>
            </w:tcBorders>
            <w:vAlign w:val="center"/>
          </w:tcPr>
          <w:p w14:paraId="56698295">
            <w:pPr>
              <w:pStyle w:val="228"/>
              <w:kinsoku w:val="0"/>
              <w:overflowPunct w:val="0"/>
              <w:autoSpaceDE w:val="0"/>
              <w:autoSpaceDN w:val="0"/>
              <w:spacing w:line="360" w:lineRule="exact"/>
              <w:rPr>
                <w:szCs w:val="21"/>
              </w:rPr>
            </w:pPr>
            <w:r>
              <w:rPr>
                <w:rFonts w:hint="eastAsia"/>
                <w:szCs w:val="21"/>
              </w:rPr>
              <w:t>标准来源</w:t>
            </w:r>
          </w:p>
        </w:tc>
      </w:tr>
      <w:tr w14:paraId="3D3F1A7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10" w:hRule="atLeast"/>
          <w:jc w:val="center"/>
        </w:trPr>
        <w:tc>
          <w:tcPr>
            <w:tcW w:w="932" w:type="pct"/>
            <w:tcBorders>
              <w:tl2br w:val="nil"/>
              <w:tr2bl w:val="nil"/>
            </w:tcBorders>
            <w:vAlign w:val="center"/>
          </w:tcPr>
          <w:p w14:paraId="6D24B37E">
            <w:pPr>
              <w:keepNext w:val="0"/>
              <w:keepLines w:val="0"/>
              <w:pageBreakBefore w:val="0"/>
              <w:widowControl w:val="0"/>
              <w:kinsoku w:val="0"/>
              <w:wordWrap/>
              <w:overflowPunct w:val="0"/>
              <w:topLinePunct w:val="0"/>
              <w:autoSpaceDE w:val="0"/>
              <w:autoSpaceDN w:val="0"/>
              <w:bidi w:val="0"/>
              <w:adjustRightInd/>
              <w:snapToGrid/>
              <w:spacing w:line="240" w:lineRule="exact"/>
              <w:ind w:firstLine="420"/>
              <w:textAlignment w:val="auto"/>
              <w:rPr>
                <w:szCs w:val="21"/>
              </w:rPr>
            </w:pPr>
            <w:r>
              <w:rPr>
                <w:szCs w:val="21"/>
              </w:rPr>
              <w:t>非甲烷总烃</w:t>
            </w:r>
          </w:p>
        </w:tc>
        <w:tc>
          <w:tcPr>
            <w:tcW w:w="796" w:type="pct"/>
            <w:tcBorders>
              <w:tl2br w:val="nil"/>
              <w:tr2bl w:val="nil"/>
            </w:tcBorders>
            <w:vAlign w:val="center"/>
          </w:tcPr>
          <w:p w14:paraId="3406E84D">
            <w:pPr>
              <w:pStyle w:val="228"/>
              <w:keepNext w:val="0"/>
              <w:keepLines w:val="0"/>
              <w:pageBreakBefore w:val="0"/>
              <w:widowControl w:val="0"/>
              <w:kinsoku w:val="0"/>
              <w:wordWrap/>
              <w:overflowPunct w:val="0"/>
              <w:topLinePunct w:val="0"/>
              <w:autoSpaceDE w:val="0"/>
              <w:autoSpaceDN w:val="0"/>
              <w:bidi w:val="0"/>
              <w:adjustRightInd/>
              <w:snapToGrid/>
              <w:spacing w:line="240" w:lineRule="exact"/>
              <w:textAlignment w:val="auto"/>
              <w:rPr>
                <w:rFonts w:hint="default" w:eastAsia="宋体"/>
                <w:szCs w:val="21"/>
                <w:lang w:val="en-US" w:eastAsia="zh-CN"/>
              </w:rPr>
            </w:pPr>
            <w:r>
              <w:rPr>
                <w:rFonts w:hint="eastAsia"/>
                <w:szCs w:val="21"/>
                <w:lang w:val="en-US" w:eastAsia="zh-CN"/>
              </w:rPr>
              <w:t>10</w:t>
            </w:r>
          </w:p>
        </w:tc>
        <w:tc>
          <w:tcPr>
            <w:tcW w:w="1651" w:type="pct"/>
            <w:tcBorders>
              <w:tl2br w:val="nil"/>
              <w:tr2bl w:val="nil"/>
            </w:tcBorders>
            <w:vAlign w:val="center"/>
          </w:tcPr>
          <w:p w14:paraId="080AB1CF">
            <w:pPr>
              <w:pStyle w:val="228"/>
              <w:keepNext w:val="0"/>
              <w:keepLines w:val="0"/>
              <w:pageBreakBefore w:val="0"/>
              <w:widowControl w:val="0"/>
              <w:kinsoku w:val="0"/>
              <w:wordWrap/>
              <w:overflowPunct w:val="0"/>
              <w:topLinePunct w:val="0"/>
              <w:autoSpaceDE w:val="0"/>
              <w:autoSpaceDN w:val="0"/>
              <w:bidi w:val="0"/>
              <w:adjustRightInd/>
              <w:snapToGrid/>
              <w:spacing w:line="240" w:lineRule="exact"/>
              <w:textAlignment w:val="auto"/>
              <w:rPr>
                <w:spacing w:val="-1"/>
                <w:szCs w:val="21"/>
              </w:rPr>
            </w:pPr>
            <w:r>
              <w:rPr>
                <w:rFonts w:hint="eastAsia"/>
                <w:spacing w:val="-1"/>
                <w:szCs w:val="21"/>
              </w:rPr>
              <w:t>厂区内监控点处1h平均浓度值</w:t>
            </w:r>
          </w:p>
        </w:tc>
        <w:tc>
          <w:tcPr>
            <w:tcW w:w="1621" w:type="pct"/>
            <w:vMerge w:val="restart"/>
            <w:tcBorders>
              <w:tl2br w:val="nil"/>
              <w:tr2bl w:val="nil"/>
            </w:tcBorders>
            <w:vAlign w:val="center"/>
          </w:tcPr>
          <w:p w14:paraId="1D5411E4">
            <w:pPr>
              <w:pStyle w:val="228"/>
              <w:keepNext w:val="0"/>
              <w:keepLines w:val="0"/>
              <w:pageBreakBefore w:val="0"/>
              <w:widowControl w:val="0"/>
              <w:kinsoku w:val="0"/>
              <w:wordWrap/>
              <w:overflowPunct w:val="0"/>
              <w:topLinePunct w:val="0"/>
              <w:autoSpaceDE w:val="0"/>
              <w:autoSpaceDN w:val="0"/>
              <w:bidi w:val="0"/>
              <w:adjustRightInd/>
              <w:snapToGrid/>
              <w:spacing w:line="240" w:lineRule="exact"/>
              <w:textAlignment w:val="auto"/>
              <w:rPr>
                <w:szCs w:val="21"/>
              </w:rPr>
            </w:pPr>
            <w:r>
              <w:rPr>
                <w:rFonts w:hint="eastAsia" w:ascii="Times New Roman" w:hAnsi="Times New Roman" w:eastAsia="宋体" w:cs="Times New Roman"/>
                <w:szCs w:val="21"/>
                <w:lang w:val="en-US" w:eastAsia="zh-CN"/>
              </w:rPr>
              <w:t>《挥发性有机物无组织排放控制标准》（GB37822—2019）附录A.1排放限值</w:t>
            </w:r>
          </w:p>
        </w:tc>
      </w:tr>
      <w:tr w14:paraId="7AC13F0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12" w:hRule="atLeast"/>
          <w:jc w:val="center"/>
        </w:trPr>
        <w:tc>
          <w:tcPr>
            <w:tcW w:w="932" w:type="pct"/>
            <w:tcBorders>
              <w:tl2br w:val="nil"/>
              <w:tr2bl w:val="nil"/>
            </w:tcBorders>
            <w:vAlign w:val="center"/>
          </w:tcPr>
          <w:p w14:paraId="38E626E2">
            <w:pPr>
              <w:keepNext w:val="0"/>
              <w:keepLines w:val="0"/>
              <w:pageBreakBefore w:val="0"/>
              <w:widowControl w:val="0"/>
              <w:kinsoku w:val="0"/>
              <w:wordWrap/>
              <w:overflowPunct w:val="0"/>
              <w:topLinePunct w:val="0"/>
              <w:bidi w:val="0"/>
              <w:adjustRightInd/>
              <w:snapToGrid/>
              <w:spacing w:line="240" w:lineRule="exact"/>
              <w:ind w:firstLine="420"/>
              <w:textAlignment w:val="auto"/>
              <w:rPr>
                <w:szCs w:val="21"/>
              </w:rPr>
            </w:pPr>
            <w:r>
              <w:rPr>
                <w:szCs w:val="21"/>
              </w:rPr>
              <w:t>非甲烷总烃</w:t>
            </w:r>
          </w:p>
        </w:tc>
        <w:tc>
          <w:tcPr>
            <w:tcW w:w="796" w:type="pct"/>
            <w:tcBorders>
              <w:tl2br w:val="nil"/>
              <w:tr2bl w:val="nil"/>
            </w:tcBorders>
            <w:vAlign w:val="center"/>
          </w:tcPr>
          <w:p w14:paraId="706E9107">
            <w:pPr>
              <w:pStyle w:val="228"/>
              <w:keepNext w:val="0"/>
              <w:keepLines w:val="0"/>
              <w:pageBreakBefore w:val="0"/>
              <w:widowControl w:val="0"/>
              <w:kinsoku w:val="0"/>
              <w:wordWrap/>
              <w:overflowPunct w:val="0"/>
              <w:topLinePunct w:val="0"/>
              <w:bidi w:val="0"/>
              <w:adjustRightInd/>
              <w:snapToGrid/>
              <w:spacing w:line="240" w:lineRule="exact"/>
              <w:textAlignment w:val="auto"/>
              <w:rPr>
                <w:rFonts w:hint="default" w:eastAsia="宋体"/>
                <w:szCs w:val="21"/>
                <w:lang w:val="en-US" w:eastAsia="zh-CN"/>
              </w:rPr>
            </w:pPr>
            <w:r>
              <w:rPr>
                <w:rFonts w:hint="eastAsia"/>
                <w:szCs w:val="21"/>
                <w:lang w:val="en-US" w:eastAsia="zh-CN"/>
              </w:rPr>
              <w:t>30</w:t>
            </w:r>
          </w:p>
        </w:tc>
        <w:tc>
          <w:tcPr>
            <w:tcW w:w="1651" w:type="pct"/>
            <w:tcBorders>
              <w:tl2br w:val="nil"/>
              <w:tr2bl w:val="nil"/>
            </w:tcBorders>
            <w:vAlign w:val="center"/>
          </w:tcPr>
          <w:p w14:paraId="5CBEAD15">
            <w:pPr>
              <w:pStyle w:val="228"/>
              <w:keepNext w:val="0"/>
              <w:keepLines w:val="0"/>
              <w:pageBreakBefore w:val="0"/>
              <w:widowControl w:val="0"/>
              <w:kinsoku w:val="0"/>
              <w:wordWrap/>
              <w:overflowPunct w:val="0"/>
              <w:topLinePunct w:val="0"/>
              <w:autoSpaceDE w:val="0"/>
              <w:autoSpaceDN w:val="0"/>
              <w:bidi w:val="0"/>
              <w:adjustRightInd/>
              <w:snapToGrid/>
              <w:spacing w:line="240" w:lineRule="exact"/>
              <w:textAlignment w:val="auto"/>
              <w:rPr>
                <w:spacing w:val="-1"/>
                <w:szCs w:val="21"/>
              </w:rPr>
            </w:pPr>
            <w:r>
              <w:rPr>
                <w:rFonts w:hint="eastAsia"/>
                <w:spacing w:val="-1"/>
                <w:szCs w:val="21"/>
              </w:rPr>
              <w:t>厂区内监控点处任意一次浓度值</w:t>
            </w:r>
          </w:p>
        </w:tc>
        <w:tc>
          <w:tcPr>
            <w:tcW w:w="1621" w:type="pct"/>
            <w:vMerge w:val="continue"/>
            <w:tcBorders>
              <w:tl2br w:val="nil"/>
              <w:tr2bl w:val="nil"/>
            </w:tcBorders>
            <w:vAlign w:val="center"/>
          </w:tcPr>
          <w:p w14:paraId="1A02DC11">
            <w:pPr>
              <w:pStyle w:val="228"/>
              <w:kinsoku w:val="0"/>
              <w:overflowPunct w:val="0"/>
              <w:rPr>
                <w:szCs w:val="21"/>
              </w:rPr>
            </w:pPr>
          </w:p>
        </w:tc>
      </w:tr>
    </w:tbl>
    <w:p w14:paraId="36A8CA41">
      <w:pPr>
        <w:pStyle w:val="5"/>
        <w:rPr>
          <w:rFonts w:ascii="Times New Roman" w:hAnsi="Times New Roman"/>
          <w:color w:val="000000"/>
          <w:lang w:val="en-US"/>
        </w:rPr>
      </w:pPr>
      <w:r>
        <w:rPr>
          <w:rFonts w:hint="eastAsia" w:ascii="Times New Roman" w:hAnsi="Times New Roman"/>
          <w:color w:val="000000"/>
          <w:lang w:val="en-US"/>
        </w:rPr>
        <w:t>2.6.2.2废水</w:t>
      </w:r>
    </w:p>
    <w:p w14:paraId="44CE8286">
      <w:pPr>
        <w:spacing w:line="360" w:lineRule="auto"/>
        <w:ind w:firstLine="480"/>
        <w:rPr>
          <w:rFonts w:ascii="宋体" w:hAnsi="宋体" w:eastAsia="宋体" w:cs="宋体"/>
          <w:sz w:val="24"/>
          <w:szCs w:val="24"/>
        </w:rPr>
      </w:pPr>
      <w:r>
        <w:rPr>
          <w:rFonts w:hint="eastAsia" w:ascii="宋体" w:hAnsi="宋体" w:cs="宋体"/>
          <w:sz w:val="24"/>
          <w:szCs w:val="24"/>
        </w:rPr>
        <w:t>本项目无废膜清洗工序，采用风冷，无废水；</w:t>
      </w:r>
      <w:r>
        <w:rPr>
          <w:rFonts w:hint="eastAsia" w:ascii="宋体" w:hAnsi="宋体" w:cs="宋体"/>
          <w:sz w:val="24"/>
          <w:szCs w:val="24"/>
          <w:lang w:eastAsia="zh-CN"/>
        </w:rPr>
        <w:t>员工不在项目区吃住，只设倒班宿舍，产生的生活污水</w:t>
      </w:r>
      <w:r>
        <w:rPr>
          <w:rFonts w:hint="eastAsia" w:ascii="宋体" w:hAnsi="宋体" w:cs="宋体"/>
          <w:sz w:val="24"/>
          <w:szCs w:val="24"/>
          <w:lang w:val="en-US" w:eastAsia="zh-CN"/>
        </w:rPr>
        <w:t>排入防渗化粪池</w:t>
      </w:r>
      <w:r>
        <w:rPr>
          <w:rFonts w:hint="eastAsia" w:ascii="宋体" w:hAnsi="宋体" w:cs="宋体"/>
          <w:sz w:val="24"/>
          <w:szCs w:val="24"/>
          <w:lang w:eastAsia="zh-CN"/>
        </w:rPr>
        <w:t>，定期</w:t>
      </w:r>
      <w:r>
        <w:rPr>
          <w:rFonts w:hint="eastAsia" w:ascii="宋体" w:hAnsi="宋体" w:cs="宋体"/>
          <w:sz w:val="24"/>
          <w:szCs w:val="24"/>
          <w:lang w:val="en-US" w:eastAsia="zh-CN"/>
        </w:rPr>
        <w:t>由库尔勒龙润水处理有限公司采用罐车</w:t>
      </w:r>
      <w:r>
        <w:rPr>
          <w:rFonts w:hint="eastAsia" w:ascii="宋体" w:hAnsi="宋体" w:cs="宋体"/>
          <w:sz w:val="24"/>
          <w:szCs w:val="24"/>
          <w:lang w:eastAsia="zh-CN"/>
        </w:rPr>
        <w:t>拉运至</w:t>
      </w:r>
      <w:r>
        <w:rPr>
          <w:rFonts w:hint="eastAsia" w:ascii="宋体" w:hAnsi="宋体" w:cs="宋体"/>
          <w:sz w:val="24"/>
          <w:szCs w:val="24"/>
          <w:lang w:val="en-US" w:eastAsia="zh-CN"/>
        </w:rPr>
        <w:t>库尔勒南市区</w:t>
      </w:r>
      <w:r>
        <w:rPr>
          <w:rFonts w:hint="eastAsia" w:ascii="宋体" w:hAnsi="宋体" w:cs="宋体"/>
          <w:sz w:val="24"/>
          <w:szCs w:val="24"/>
          <w:lang w:eastAsia="zh-CN"/>
        </w:rPr>
        <w:t>污水处理</w:t>
      </w:r>
      <w:r>
        <w:rPr>
          <w:rFonts w:hint="eastAsia" w:ascii="宋体" w:hAnsi="宋体" w:cs="宋体"/>
          <w:sz w:val="24"/>
          <w:szCs w:val="24"/>
          <w:lang w:val="en-US" w:eastAsia="zh-CN"/>
        </w:rPr>
        <w:t>厂，</w:t>
      </w:r>
      <w:r>
        <w:rPr>
          <w:rFonts w:ascii="宋体" w:hAnsi="宋体" w:eastAsia="宋体" w:cs="宋体"/>
          <w:sz w:val="24"/>
          <w:szCs w:val="24"/>
        </w:rPr>
        <w:t>执行《污水综合排放标准》（GB8978-1996）表4三级标准限值，见表2.</w:t>
      </w:r>
      <w:r>
        <w:rPr>
          <w:rFonts w:hint="eastAsia" w:ascii="宋体" w:hAnsi="宋体" w:eastAsia="宋体" w:cs="宋体"/>
          <w:sz w:val="24"/>
          <w:szCs w:val="24"/>
          <w:lang w:val="en-US" w:eastAsia="zh-CN"/>
        </w:rPr>
        <w:t>6</w:t>
      </w:r>
      <w:r>
        <w:rPr>
          <w:rFonts w:ascii="宋体" w:hAnsi="宋体" w:eastAsia="宋体" w:cs="宋体"/>
          <w:sz w:val="24"/>
          <w:szCs w:val="24"/>
        </w:rPr>
        <w:t xml:space="preserve">-8。 </w:t>
      </w:r>
    </w:p>
    <w:p w14:paraId="046E8776">
      <w:pPr>
        <w:snapToGrid w:val="0"/>
        <w:spacing w:line="440" w:lineRule="exact"/>
        <w:jc w:val="center"/>
        <w:rPr>
          <w:rFonts w:hint="eastAsia" w:ascii="宋体" w:hAnsi="宋体" w:cs="宋体"/>
          <w:b/>
          <w:bCs/>
          <w:szCs w:val="21"/>
        </w:rPr>
      </w:pPr>
      <w:r>
        <w:rPr>
          <w:rFonts w:hint="eastAsia" w:ascii="宋体" w:hAnsi="宋体" w:cs="宋体"/>
          <w:b/>
          <w:bCs/>
          <w:szCs w:val="21"/>
        </w:rPr>
        <w:t>表2.</w:t>
      </w:r>
      <w:r>
        <w:rPr>
          <w:rFonts w:hint="eastAsia" w:ascii="宋体" w:hAnsi="宋体" w:cs="宋体"/>
          <w:b/>
          <w:bCs/>
          <w:szCs w:val="21"/>
          <w:lang w:val="en-US" w:eastAsia="zh-CN"/>
        </w:rPr>
        <w:t>6</w:t>
      </w:r>
      <w:r>
        <w:rPr>
          <w:rFonts w:hint="eastAsia" w:ascii="宋体" w:hAnsi="宋体" w:cs="宋体"/>
          <w:b/>
          <w:bCs/>
          <w:szCs w:val="21"/>
        </w:rPr>
        <w:t xml:space="preserve">-8 </w:t>
      </w:r>
      <w:r>
        <w:rPr>
          <w:rFonts w:hint="eastAsia" w:ascii="宋体" w:hAnsi="宋体" w:cs="宋体"/>
          <w:b/>
          <w:bCs/>
          <w:szCs w:val="21"/>
          <w:lang w:val="en-US" w:eastAsia="zh-CN"/>
        </w:rPr>
        <w:t xml:space="preserve">   </w:t>
      </w:r>
      <w:r>
        <w:rPr>
          <w:rFonts w:hint="eastAsia" w:ascii="宋体" w:hAnsi="宋体" w:cs="宋体"/>
          <w:b/>
          <w:bCs/>
          <w:szCs w:val="21"/>
        </w:rPr>
        <w:t xml:space="preserve">污水综合排放标准 </w:t>
      </w:r>
      <w:r>
        <w:rPr>
          <w:rFonts w:hint="eastAsia" w:ascii="宋体" w:hAnsi="宋体" w:cs="宋体"/>
          <w:b/>
          <w:bCs/>
          <w:szCs w:val="21"/>
          <w:lang w:val="en-US" w:eastAsia="zh-CN"/>
        </w:rPr>
        <w:t xml:space="preserve">      </w:t>
      </w:r>
      <w:r>
        <w:rPr>
          <w:rFonts w:hint="eastAsia" w:ascii="宋体" w:hAnsi="宋体" w:cs="宋体"/>
          <w:b/>
          <w:bCs/>
          <w:szCs w:val="21"/>
        </w:rPr>
        <w:t>单位：mg/m</w:t>
      </w:r>
      <w:r>
        <w:rPr>
          <w:rFonts w:hint="eastAsia" w:ascii="宋体" w:hAnsi="宋体" w:cs="宋体"/>
          <w:b/>
          <w:bCs/>
          <w:szCs w:val="21"/>
          <w:vertAlign w:val="superscript"/>
        </w:rPr>
        <w:t>3</w:t>
      </w:r>
      <w:r>
        <w:rPr>
          <w:rFonts w:hint="eastAsia" w:ascii="宋体" w:hAnsi="宋体" w:cs="宋体"/>
          <w:b/>
          <w:bCs/>
          <w:szCs w:val="21"/>
        </w:rPr>
        <w:t xml:space="preserve">（pH除外） </w:t>
      </w:r>
    </w:p>
    <w:tbl>
      <w:tblPr>
        <w:tblStyle w:val="49"/>
        <w:tblW w:w="5200"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0" w:type="dxa"/>
          <w:bottom w:w="0" w:type="dxa"/>
          <w:right w:w="0" w:type="dxa"/>
        </w:tblCellMar>
      </w:tblPr>
      <w:tblGrid>
        <w:gridCol w:w="1752"/>
        <w:gridCol w:w="2509"/>
        <w:gridCol w:w="2093"/>
        <w:gridCol w:w="3053"/>
      </w:tblGrid>
      <w:tr w14:paraId="3E46D07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12" w:hRule="atLeast"/>
          <w:jc w:val="center"/>
        </w:trPr>
        <w:tc>
          <w:tcPr>
            <w:tcW w:w="931" w:type="pct"/>
            <w:tcBorders>
              <w:tl2br w:val="nil"/>
              <w:tr2bl w:val="nil"/>
            </w:tcBorders>
            <w:vAlign w:val="center"/>
          </w:tcPr>
          <w:p w14:paraId="6F67B83A">
            <w:pPr>
              <w:pStyle w:val="228"/>
              <w:keepNext w:val="0"/>
              <w:keepLines w:val="0"/>
              <w:pageBreakBefore w:val="0"/>
              <w:widowControl w:val="0"/>
              <w:kinsoku w:val="0"/>
              <w:wordWrap/>
              <w:overflowPunct w:val="0"/>
              <w:topLinePunct w:val="0"/>
              <w:autoSpaceDE w:val="0"/>
              <w:autoSpaceDN w:val="0"/>
              <w:bidi w:val="0"/>
              <w:adjustRightInd/>
              <w:snapToGrid/>
              <w:spacing w:line="240" w:lineRule="exact"/>
              <w:textAlignment w:val="auto"/>
              <w:rPr>
                <w:rFonts w:hint="default" w:eastAsia="宋体"/>
                <w:szCs w:val="21"/>
                <w:lang w:val="en-US" w:eastAsia="zh-CN"/>
              </w:rPr>
            </w:pPr>
            <w:r>
              <w:rPr>
                <w:rFonts w:hint="eastAsia"/>
                <w:szCs w:val="21"/>
                <w:lang w:val="en-US" w:eastAsia="zh-CN"/>
              </w:rPr>
              <w:t>序号</w:t>
            </w:r>
          </w:p>
        </w:tc>
        <w:tc>
          <w:tcPr>
            <w:tcW w:w="1333" w:type="pct"/>
            <w:tcBorders>
              <w:tl2br w:val="nil"/>
              <w:tr2bl w:val="nil"/>
            </w:tcBorders>
            <w:vAlign w:val="center"/>
          </w:tcPr>
          <w:p w14:paraId="65DE2E66">
            <w:pPr>
              <w:pStyle w:val="228"/>
              <w:keepNext w:val="0"/>
              <w:keepLines w:val="0"/>
              <w:pageBreakBefore w:val="0"/>
              <w:widowControl w:val="0"/>
              <w:kinsoku w:val="0"/>
              <w:wordWrap/>
              <w:overflowPunct w:val="0"/>
              <w:topLinePunct w:val="0"/>
              <w:autoSpaceDE w:val="0"/>
              <w:autoSpaceDN w:val="0"/>
              <w:bidi w:val="0"/>
              <w:adjustRightInd/>
              <w:snapToGrid/>
              <w:spacing w:line="240" w:lineRule="exact"/>
              <w:textAlignment w:val="auto"/>
              <w:rPr>
                <w:rFonts w:hint="eastAsia" w:eastAsia="宋体"/>
                <w:spacing w:val="-1"/>
                <w:szCs w:val="21"/>
                <w:lang w:val="en-US" w:eastAsia="zh-CN"/>
              </w:rPr>
            </w:pPr>
            <w:r>
              <w:rPr>
                <w:rFonts w:hint="eastAsia"/>
                <w:spacing w:val="-1"/>
                <w:szCs w:val="21"/>
                <w:lang w:val="en-US" w:eastAsia="zh-CN"/>
              </w:rPr>
              <w:t>项目</w:t>
            </w:r>
          </w:p>
        </w:tc>
        <w:tc>
          <w:tcPr>
            <w:tcW w:w="1112" w:type="pct"/>
            <w:tcBorders>
              <w:tl2br w:val="nil"/>
              <w:tr2bl w:val="nil"/>
            </w:tcBorders>
            <w:vAlign w:val="center"/>
          </w:tcPr>
          <w:p w14:paraId="4F1C0ECF">
            <w:pPr>
              <w:pStyle w:val="228"/>
              <w:keepNext w:val="0"/>
              <w:keepLines w:val="0"/>
              <w:pageBreakBefore w:val="0"/>
              <w:widowControl w:val="0"/>
              <w:kinsoku w:val="0"/>
              <w:wordWrap/>
              <w:overflowPunct w:val="0"/>
              <w:topLinePunct w:val="0"/>
              <w:autoSpaceDE w:val="0"/>
              <w:autoSpaceDN w:val="0"/>
              <w:bidi w:val="0"/>
              <w:adjustRightInd/>
              <w:snapToGrid/>
              <w:spacing w:line="240" w:lineRule="exact"/>
              <w:textAlignment w:val="auto"/>
              <w:rPr>
                <w:szCs w:val="21"/>
              </w:rPr>
            </w:pPr>
            <w:r>
              <w:rPr>
                <w:rFonts w:hint="eastAsia"/>
                <w:szCs w:val="21"/>
              </w:rPr>
              <w:t>标准值</w:t>
            </w:r>
          </w:p>
        </w:tc>
        <w:tc>
          <w:tcPr>
            <w:tcW w:w="1622" w:type="pct"/>
            <w:tcBorders>
              <w:tl2br w:val="nil"/>
              <w:tr2bl w:val="nil"/>
            </w:tcBorders>
            <w:vAlign w:val="center"/>
          </w:tcPr>
          <w:p w14:paraId="09D454D1">
            <w:pPr>
              <w:pStyle w:val="228"/>
              <w:kinsoku w:val="0"/>
              <w:overflowPunct w:val="0"/>
              <w:autoSpaceDE w:val="0"/>
              <w:autoSpaceDN w:val="0"/>
              <w:spacing w:line="360" w:lineRule="exact"/>
              <w:rPr>
                <w:szCs w:val="21"/>
              </w:rPr>
            </w:pPr>
            <w:r>
              <w:rPr>
                <w:rFonts w:hint="eastAsia"/>
                <w:szCs w:val="21"/>
              </w:rPr>
              <w:t>标准来源</w:t>
            </w:r>
          </w:p>
        </w:tc>
      </w:tr>
      <w:tr w14:paraId="075565C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12" w:hRule="atLeast"/>
          <w:jc w:val="center"/>
        </w:trPr>
        <w:tc>
          <w:tcPr>
            <w:tcW w:w="931" w:type="pct"/>
            <w:tcBorders>
              <w:tl2br w:val="nil"/>
              <w:tr2bl w:val="nil"/>
            </w:tcBorders>
            <w:vAlign w:val="center"/>
          </w:tcPr>
          <w:p w14:paraId="1090BA67">
            <w:pPr>
              <w:keepNext w:val="0"/>
              <w:keepLines w:val="0"/>
              <w:pageBreakBefore w:val="0"/>
              <w:widowControl w:val="0"/>
              <w:kinsoku w:val="0"/>
              <w:wordWrap/>
              <w:overflowPunct w:val="0"/>
              <w:topLinePunct w:val="0"/>
              <w:bidi w:val="0"/>
              <w:adjustRightInd/>
              <w:snapToGrid/>
              <w:spacing w:line="240" w:lineRule="exact"/>
              <w:ind w:left="0" w:leftChars="0" w:firstLine="0" w:firstLineChars="0"/>
              <w:jc w:val="center"/>
              <w:textAlignment w:val="auto"/>
              <w:rPr>
                <w:rFonts w:hint="default" w:eastAsia="宋体"/>
                <w:szCs w:val="21"/>
                <w:lang w:val="en-US" w:eastAsia="zh-CN"/>
              </w:rPr>
            </w:pPr>
            <w:r>
              <w:rPr>
                <w:rFonts w:hint="eastAsia"/>
                <w:szCs w:val="21"/>
                <w:lang w:val="en-US" w:eastAsia="zh-CN"/>
              </w:rPr>
              <w:t>1</w:t>
            </w:r>
          </w:p>
        </w:tc>
        <w:tc>
          <w:tcPr>
            <w:tcW w:w="1333" w:type="pct"/>
            <w:tcBorders>
              <w:tl2br w:val="nil"/>
              <w:tr2bl w:val="nil"/>
            </w:tcBorders>
            <w:vAlign w:val="center"/>
          </w:tcPr>
          <w:p w14:paraId="5B4AB00A">
            <w:pPr>
              <w:pStyle w:val="228"/>
              <w:keepNext w:val="0"/>
              <w:keepLines w:val="0"/>
              <w:pageBreakBefore w:val="0"/>
              <w:widowControl w:val="0"/>
              <w:kinsoku w:val="0"/>
              <w:wordWrap/>
              <w:overflowPunct w:val="0"/>
              <w:topLinePunct w:val="0"/>
              <w:bidi w:val="0"/>
              <w:adjustRightInd/>
              <w:snapToGrid/>
              <w:spacing w:line="240" w:lineRule="exact"/>
              <w:textAlignment w:val="auto"/>
              <w:rPr>
                <w:rFonts w:hint="default" w:eastAsia="宋体"/>
                <w:szCs w:val="21"/>
                <w:lang w:val="en-US" w:eastAsia="zh-CN"/>
              </w:rPr>
            </w:pPr>
            <w:r>
              <w:rPr>
                <w:rFonts w:hint="eastAsia"/>
                <w:szCs w:val="21"/>
                <w:lang w:val="en-US" w:eastAsia="zh-CN"/>
              </w:rPr>
              <w:t>SS</w:t>
            </w:r>
          </w:p>
        </w:tc>
        <w:tc>
          <w:tcPr>
            <w:tcW w:w="1112" w:type="pct"/>
            <w:tcBorders>
              <w:tl2br w:val="nil"/>
              <w:tr2bl w:val="nil"/>
            </w:tcBorders>
            <w:vAlign w:val="center"/>
          </w:tcPr>
          <w:p w14:paraId="3E068F4F">
            <w:pPr>
              <w:pStyle w:val="228"/>
              <w:keepNext w:val="0"/>
              <w:keepLines w:val="0"/>
              <w:pageBreakBefore w:val="0"/>
              <w:widowControl w:val="0"/>
              <w:kinsoku w:val="0"/>
              <w:wordWrap/>
              <w:overflowPunct w:val="0"/>
              <w:topLinePunct w:val="0"/>
              <w:autoSpaceDE w:val="0"/>
              <w:autoSpaceDN w:val="0"/>
              <w:bidi w:val="0"/>
              <w:adjustRightInd/>
              <w:snapToGrid/>
              <w:spacing w:line="240" w:lineRule="exact"/>
              <w:textAlignment w:val="auto"/>
              <w:rPr>
                <w:rFonts w:hint="default" w:eastAsia="宋体"/>
                <w:spacing w:val="-1"/>
                <w:szCs w:val="21"/>
                <w:lang w:val="en-US" w:eastAsia="zh-CN"/>
              </w:rPr>
            </w:pPr>
            <w:r>
              <w:rPr>
                <w:rFonts w:hint="eastAsia"/>
                <w:spacing w:val="-1"/>
                <w:szCs w:val="21"/>
                <w:lang w:val="en-US" w:eastAsia="zh-CN"/>
              </w:rPr>
              <w:t>400</w:t>
            </w:r>
          </w:p>
        </w:tc>
        <w:tc>
          <w:tcPr>
            <w:tcW w:w="1622" w:type="pct"/>
            <w:vMerge w:val="restart"/>
            <w:tcBorders>
              <w:tl2br w:val="nil"/>
              <w:tr2bl w:val="nil"/>
            </w:tcBorders>
            <w:vAlign w:val="center"/>
          </w:tcPr>
          <w:p w14:paraId="399927D8">
            <w:pPr>
              <w:pStyle w:val="228"/>
              <w:kinsoku w:val="0"/>
              <w:overflowPunct w:val="0"/>
              <w:rPr>
                <w:szCs w:val="21"/>
              </w:rPr>
            </w:pPr>
            <w:r>
              <w:rPr>
                <w:color w:val="auto"/>
              </w:rPr>
              <w:t>《污水综合排放标准》（GB8978-1996）</w:t>
            </w:r>
            <w:r>
              <w:rPr>
                <w:rFonts w:ascii="宋体" w:hAnsi="宋体" w:eastAsia="宋体" w:cs="宋体"/>
                <w:sz w:val="24"/>
                <w:szCs w:val="24"/>
              </w:rPr>
              <w:t>表4</w:t>
            </w:r>
            <w:r>
              <w:rPr>
                <w:color w:val="auto"/>
              </w:rPr>
              <w:t>三级标准</w:t>
            </w:r>
          </w:p>
        </w:tc>
      </w:tr>
      <w:tr w14:paraId="1479006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12" w:hRule="atLeast"/>
          <w:jc w:val="center"/>
        </w:trPr>
        <w:tc>
          <w:tcPr>
            <w:tcW w:w="931" w:type="pct"/>
            <w:tcBorders>
              <w:tl2br w:val="nil"/>
              <w:tr2bl w:val="nil"/>
            </w:tcBorders>
            <w:vAlign w:val="center"/>
          </w:tcPr>
          <w:p w14:paraId="6ECF4BDE">
            <w:pPr>
              <w:keepNext w:val="0"/>
              <w:keepLines w:val="0"/>
              <w:pageBreakBefore w:val="0"/>
              <w:widowControl w:val="0"/>
              <w:kinsoku w:val="0"/>
              <w:wordWrap/>
              <w:overflowPunct w:val="0"/>
              <w:topLinePunct w:val="0"/>
              <w:bidi w:val="0"/>
              <w:adjustRightInd/>
              <w:snapToGrid/>
              <w:spacing w:line="240" w:lineRule="exact"/>
              <w:ind w:left="0" w:leftChars="0" w:firstLine="0" w:firstLineChars="0"/>
              <w:jc w:val="center"/>
              <w:textAlignment w:val="auto"/>
              <w:rPr>
                <w:rFonts w:hint="default" w:eastAsia="宋体"/>
                <w:szCs w:val="21"/>
                <w:lang w:val="en-US" w:eastAsia="zh-CN"/>
              </w:rPr>
            </w:pPr>
            <w:r>
              <w:rPr>
                <w:rFonts w:hint="eastAsia"/>
                <w:szCs w:val="21"/>
                <w:lang w:val="en-US" w:eastAsia="zh-CN"/>
              </w:rPr>
              <w:t>2</w:t>
            </w:r>
          </w:p>
        </w:tc>
        <w:tc>
          <w:tcPr>
            <w:tcW w:w="1333" w:type="pct"/>
            <w:tcBorders>
              <w:tl2br w:val="nil"/>
              <w:tr2bl w:val="nil"/>
            </w:tcBorders>
            <w:vAlign w:val="center"/>
          </w:tcPr>
          <w:p w14:paraId="5BA4CFDB">
            <w:pPr>
              <w:pStyle w:val="228"/>
              <w:keepNext w:val="0"/>
              <w:keepLines w:val="0"/>
              <w:pageBreakBefore w:val="0"/>
              <w:widowControl w:val="0"/>
              <w:kinsoku w:val="0"/>
              <w:wordWrap/>
              <w:overflowPunct w:val="0"/>
              <w:topLinePunct w:val="0"/>
              <w:bidi w:val="0"/>
              <w:adjustRightInd/>
              <w:snapToGrid/>
              <w:spacing w:line="240" w:lineRule="exact"/>
              <w:textAlignment w:val="auto"/>
              <w:rPr>
                <w:rFonts w:hint="default"/>
                <w:szCs w:val="21"/>
                <w:lang w:val="en-US" w:eastAsia="zh-CN"/>
              </w:rPr>
            </w:pPr>
            <w:r>
              <w:rPr>
                <w:rFonts w:hint="eastAsia"/>
                <w:szCs w:val="21"/>
                <w:lang w:val="en-US" w:eastAsia="zh-CN"/>
              </w:rPr>
              <w:t>BOD</w:t>
            </w:r>
            <w:r>
              <w:rPr>
                <w:rFonts w:hint="eastAsia"/>
                <w:szCs w:val="21"/>
                <w:vertAlign w:val="subscript"/>
                <w:lang w:val="en-US" w:eastAsia="zh-CN"/>
              </w:rPr>
              <w:t>5</w:t>
            </w:r>
          </w:p>
        </w:tc>
        <w:tc>
          <w:tcPr>
            <w:tcW w:w="1112" w:type="pct"/>
            <w:tcBorders>
              <w:tl2br w:val="nil"/>
              <w:tr2bl w:val="nil"/>
            </w:tcBorders>
            <w:vAlign w:val="center"/>
          </w:tcPr>
          <w:p w14:paraId="3B37EC0C">
            <w:pPr>
              <w:pStyle w:val="228"/>
              <w:keepNext w:val="0"/>
              <w:keepLines w:val="0"/>
              <w:pageBreakBefore w:val="0"/>
              <w:widowControl w:val="0"/>
              <w:kinsoku w:val="0"/>
              <w:wordWrap/>
              <w:overflowPunct w:val="0"/>
              <w:topLinePunct w:val="0"/>
              <w:autoSpaceDE w:val="0"/>
              <w:autoSpaceDN w:val="0"/>
              <w:bidi w:val="0"/>
              <w:adjustRightInd/>
              <w:snapToGrid/>
              <w:spacing w:line="240" w:lineRule="exact"/>
              <w:textAlignment w:val="auto"/>
              <w:rPr>
                <w:rFonts w:hint="default" w:eastAsia="宋体"/>
                <w:spacing w:val="-1"/>
                <w:szCs w:val="21"/>
                <w:lang w:val="en-US" w:eastAsia="zh-CN"/>
              </w:rPr>
            </w:pPr>
            <w:r>
              <w:rPr>
                <w:rFonts w:hint="eastAsia"/>
                <w:spacing w:val="-1"/>
                <w:szCs w:val="21"/>
                <w:lang w:val="en-US" w:eastAsia="zh-CN"/>
              </w:rPr>
              <w:t>300</w:t>
            </w:r>
          </w:p>
        </w:tc>
        <w:tc>
          <w:tcPr>
            <w:tcW w:w="1622" w:type="pct"/>
            <w:vMerge w:val="continue"/>
            <w:tcBorders>
              <w:tl2br w:val="nil"/>
              <w:tr2bl w:val="nil"/>
            </w:tcBorders>
            <w:vAlign w:val="center"/>
          </w:tcPr>
          <w:p w14:paraId="1D55348C">
            <w:pPr>
              <w:pStyle w:val="228"/>
              <w:kinsoku w:val="0"/>
              <w:overflowPunct w:val="0"/>
              <w:rPr>
                <w:szCs w:val="21"/>
              </w:rPr>
            </w:pPr>
          </w:p>
        </w:tc>
      </w:tr>
      <w:tr w14:paraId="560A84B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12" w:hRule="atLeast"/>
          <w:jc w:val="center"/>
        </w:trPr>
        <w:tc>
          <w:tcPr>
            <w:tcW w:w="931" w:type="pct"/>
            <w:tcBorders>
              <w:tl2br w:val="nil"/>
              <w:tr2bl w:val="nil"/>
            </w:tcBorders>
            <w:vAlign w:val="center"/>
          </w:tcPr>
          <w:p w14:paraId="36041E08">
            <w:pPr>
              <w:keepNext w:val="0"/>
              <w:keepLines w:val="0"/>
              <w:pageBreakBefore w:val="0"/>
              <w:widowControl w:val="0"/>
              <w:kinsoku w:val="0"/>
              <w:wordWrap/>
              <w:overflowPunct w:val="0"/>
              <w:topLinePunct w:val="0"/>
              <w:bidi w:val="0"/>
              <w:adjustRightInd/>
              <w:snapToGrid/>
              <w:spacing w:line="240" w:lineRule="exact"/>
              <w:ind w:left="0" w:leftChars="0" w:firstLine="0" w:firstLineChars="0"/>
              <w:jc w:val="center"/>
              <w:textAlignment w:val="auto"/>
              <w:rPr>
                <w:rFonts w:hint="default" w:eastAsia="宋体"/>
                <w:szCs w:val="21"/>
                <w:lang w:val="en-US" w:eastAsia="zh-CN"/>
              </w:rPr>
            </w:pPr>
            <w:r>
              <w:rPr>
                <w:rFonts w:hint="eastAsia"/>
                <w:szCs w:val="21"/>
                <w:lang w:val="en-US" w:eastAsia="zh-CN"/>
              </w:rPr>
              <w:t>3</w:t>
            </w:r>
          </w:p>
        </w:tc>
        <w:tc>
          <w:tcPr>
            <w:tcW w:w="1333" w:type="pct"/>
            <w:tcBorders>
              <w:tl2br w:val="nil"/>
              <w:tr2bl w:val="nil"/>
            </w:tcBorders>
            <w:vAlign w:val="center"/>
          </w:tcPr>
          <w:p w14:paraId="2E0DA1F4">
            <w:pPr>
              <w:pStyle w:val="228"/>
              <w:keepNext w:val="0"/>
              <w:keepLines w:val="0"/>
              <w:pageBreakBefore w:val="0"/>
              <w:widowControl w:val="0"/>
              <w:kinsoku w:val="0"/>
              <w:wordWrap/>
              <w:overflowPunct w:val="0"/>
              <w:topLinePunct w:val="0"/>
              <w:bidi w:val="0"/>
              <w:adjustRightInd/>
              <w:snapToGrid/>
              <w:spacing w:line="240" w:lineRule="exact"/>
              <w:textAlignment w:val="auto"/>
              <w:rPr>
                <w:rFonts w:hint="default"/>
                <w:szCs w:val="21"/>
                <w:lang w:val="en-US" w:eastAsia="zh-CN"/>
              </w:rPr>
            </w:pPr>
            <w:r>
              <w:rPr>
                <w:rFonts w:hint="eastAsia"/>
                <w:szCs w:val="21"/>
                <w:lang w:val="en-US" w:eastAsia="zh-CN"/>
              </w:rPr>
              <w:t>COD</w:t>
            </w:r>
            <w:r>
              <w:rPr>
                <w:rFonts w:hint="eastAsia"/>
                <w:szCs w:val="21"/>
                <w:vertAlign w:val="subscript"/>
                <w:lang w:val="en-US" w:eastAsia="zh-CN"/>
              </w:rPr>
              <w:t>cr</w:t>
            </w:r>
          </w:p>
        </w:tc>
        <w:tc>
          <w:tcPr>
            <w:tcW w:w="1112" w:type="pct"/>
            <w:tcBorders>
              <w:tl2br w:val="nil"/>
              <w:tr2bl w:val="nil"/>
            </w:tcBorders>
            <w:vAlign w:val="center"/>
          </w:tcPr>
          <w:p w14:paraId="43636F61">
            <w:pPr>
              <w:pStyle w:val="228"/>
              <w:keepNext w:val="0"/>
              <w:keepLines w:val="0"/>
              <w:pageBreakBefore w:val="0"/>
              <w:widowControl w:val="0"/>
              <w:kinsoku w:val="0"/>
              <w:wordWrap/>
              <w:overflowPunct w:val="0"/>
              <w:topLinePunct w:val="0"/>
              <w:autoSpaceDE w:val="0"/>
              <w:autoSpaceDN w:val="0"/>
              <w:bidi w:val="0"/>
              <w:adjustRightInd/>
              <w:snapToGrid/>
              <w:spacing w:line="240" w:lineRule="exact"/>
              <w:textAlignment w:val="auto"/>
              <w:rPr>
                <w:rFonts w:hint="default" w:eastAsia="宋体"/>
                <w:spacing w:val="-1"/>
                <w:szCs w:val="21"/>
                <w:lang w:val="en-US" w:eastAsia="zh-CN"/>
              </w:rPr>
            </w:pPr>
            <w:r>
              <w:rPr>
                <w:rFonts w:hint="eastAsia"/>
                <w:spacing w:val="-1"/>
                <w:szCs w:val="21"/>
                <w:lang w:val="en-US" w:eastAsia="zh-CN"/>
              </w:rPr>
              <w:t>500</w:t>
            </w:r>
          </w:p>
        </w:tc>
        <w:tc>
          <w:tcPr>
            <w:tcW w:w="1622" w:type="pct"/>
            <w:vMerge w:val="continue"/>
            <w:tcBorders>
              <w:tl2br w:val="nil"/>
              <w:tr2bl w:val="nil"/>
            </w:tcBorders>
            <w:vAlign w:val="center"/>
          </w:tcPr>
          <w:p w14:paraId="00B4F776">
            <w:pPr>
              <w:pStyle w:val="228"/>
              <w:kinsoku w:val="0"/>
              <w:overflowPunct w:val="0"/>
              <w:rPr>
                <w:szCs w:val="21"/>
              </w:rPr>
            </w:pPr>
          </w:p>
        </w:tc>
      </w:tr>
      <w:tr w14:paraId="3120BF7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12" w:hRule="atLeast"/>
          <w:jc w:val="center"/>
        </w:trPr>
        <w:tc>
          <w:tcPr>
            <w:tcW w:w="931" w:type="pct"/>
            <w:tcBorders>
              <w:tl2br w:val="nil"/>
              <w:tr2bl w:val="nil"/>
            </w:tcBorders>
            <w:vAlign w:val="center"/>
          </w:tcPr>
          <w:p w14:paraId="244AA79C">
            <w:pPr>
              <w:keepNext w:val="0"/>
              <w:keepLines w:val="0"/>
              <w:pageBreakBefore w:val="0"/>
              <w:widowControl w:val="0"/>
              <w:kinsoku w:val="0"/>
              <w:wordWrap/>
              <w:overflowPunct w:val="0"/>
              <w:topLinePunct w:val="0"/>
              <w:bidi w:val="0"/>
              <w:adjustRightInd/>
              <w:snapToGrid/>
              <w:spacing w:line="240" w:lineRule="exact"/>
              <w:ind w:left="0" w:leftChars="0" w:firstLine="0" w:firstLineChars="0"/>
              <w:jc w:val="center"/>
              <w:textAlignment w:val="auto"/>
              <w:rPr>
                <w:rFonts w:hint="default"/>
                <w:szCs w:val="21"/>
                <w:lang w:val="en-US" w:eastAsia="zh-CN"/>
              </w:rPr>
            </w:pPr>
            <w:r>
              <w:rPr>
                <w:rFonts w:hint="eastAsia"/>
                <w:szCs w:val="21"/>
                <w:lang w:val="en-US" w:eastAsia="zh-CN"/>
              </w:rPr>
              <w:t>4</w:t>
            </w:r>
          </w:p>
        </w:tc>
        <w:tc>
          <w:tcPr>
            <w:tcW w:w="1333" w:type="pct"/>
            <w:tcBorders>
              <w:tl2br w:val="nil"/>
              <w:tr2bl w:val="nil"/>
            </w:tcBorders>
            <w:vAlign w:val="center"/>
          </w:tcPr>
          <w:p w14:paraId="164B8EFF">
            <w:pPr>
              <w:pStyle w:val="228"/>
              <w:keepNext w:val="0"/>
              <w:keepLines w:val="0"/>
              <w:pageBreakBefore w:val="0"/>
              <w:widowControl w:val="0"/>
              <w:kinsoku w:val="0"/>
              <w:wordWrap/>
              <w:overflowPunct w:val="0"/>
              <w:topLinePunct w:val="0"/>
              <w:bidi w:val="0"/>
              <w:adjustRightInd/>
              <w:snapToGrid/>
              <w:spacing w:line="240" w:lineRule="exact"/>
              <w:textAlignment w:val="auto"/>
              <w:rPr>
                <w:rFonts w:hint="default"/>
                <w:szCs w:val="21"/>
                <w:lang w:val="en-US" w:eastAsia="zh-CN"/>
              </w:rPr>
            </w:pPr>
            <w:r>
              <w:rPr>
                <w:rFonts w:hint="eastAsia"/>
                <w:szCs w:val="21"/>
                <w:lang w:val="en-US" w:eastAsia="zh-CN"/>
              </w:rPr>
              <w:t>氨氮</w:t>
            </w:r>
          </w:p>
        </w:tc>
        <w:tc>
          <w:tcPr>
            <w:tcW w:w="1112" w:type="pct"/>
            <w:tcBorders>
              <w:tl2br w:val="nil"/>
              <w:tr2bl w:val="nil"/>
            </w:tcBorders>
            <w:vAlign w:val="center"/>
          </w:tcPr>
          <w:p w14:paraId="38725711">
            <w:pPr>
              <w:pStyle w:val="228"/>
              <w:keepNext w:val="0"/>
              <w:keepLines w:val="0"/>
              <w:pageBreakBefore w:val="0"/>
              <w:widowControl w:val="0"/>
              <w:kinsoku w:val="0"/>
              <w:wordWrap/>
              <w:overflowPunct w:val="0"/>
              <w:topLinePunct w:val="0"/>
              <w:autoSpaceDE w:val="0"/>
              <w:autoSpaceDN w:val="0"/>
              <w:bidi w:val="0"/>
              <w:adjustRightInd/>
              <w:snapToGrid/>
              <w:spacing w:line="240" w:lineRule="exact"/>
              <w:textAlignment w:val="auto"/>
              <w:rPr>
                <w:rFonts w:hint="default" w:eastAsia="宋体"/>
                <w:spacing w:val="-1"/>
                <w:szCs w:val="21"/>
                <w:lang w:val="en-US" w:eastAsia="zh-CN"/>
              </w:rPr>
            </w:pPr>
            <w:r>
              <w:rPr>
                <w:rFonts w:hint="eastAsia"/>
                <w:spacing w:val="-1"/>
                <w:szCs w:val="21"/>
                <w:lang w:val="en-US" w:eastAsia="zh-CN"/>
              </w:rPr>
              <w:t>/</w:t>
            </w:r>
          </w:p>
        </w:tc>
        <w:tc>
          <w:tcPr>
            <w:tcW w:w="1622" w:type="pct"/>
            <w:vMerge w:val="continue"/>
            <w:tcBorders>
              <w:tl2br w:val="nil"/>
              <w:tr2bl w:val="nil"/>
            </w:tcBorders>
            <w:vAlign w:val="center"/>
          </w:tcPr>
          <w:p w14:paraId="6FEEC012">
            <w:pPr>
              <w:pStyle w:val="228"/>
              <w:kinsoku w:val="0"/>
              <w:overflowPunct w:val="0"/>
              <w:rPr>
                <w:szCs w:val="21"/>
              </w:rPr>
            </w:pPr>
          </w:p>
        </w:tc>
      </w:tr>
    </w:tbl>
    <w:p w14:paraId="2EE29EAA">
      <w:pPr>
        <w:pStyle w:val="5"/>
        <w:rPr>
          <w:rFonts w:ascii="Times New Roman" w:hAnsi="Times New Roman"/>
          <w:color w:val="000000"/>
          <w:lang w:val="en-US"/>
        </w:rPr>
      </w:pPr>
      <w:r>
        <w:rPr>
          <w:rFonts w:hint="eastAsia" w:ascii="Times New Roman" w:hAnsi="Times New Roman"/>
          <w:color w:val="000000"/>
          <w:lang w:val="en-US"/>
        </w:rPr>
        <w:t>2.6.2.3噪声</w:t>
      </w:r>
    </w:p>
    <w:p w14:paraId="46ED9EFF">
      <w:pPr>
        <w:pStyle w:val="16"/>
        <w:spacing w:after="0" w:line="360" w:lineRule="auto"/>
        <w:ind w:firstLine="480"/>
        <w:rPr>
          <w:rFonts w:hint="eastAsia" w:ascii="宋体" w:hAnsi="宋体" w:cs="宋体"/>
          <w:sz w:val="24"/>
          <w:szCs w:val="24"/>
          <w:lang w:val="en-US"/>
        </w:rPr>
      </w:pPr>
      <w:r>
        <w:rPr>
          <w:rFonts w:hint="eastAsia" w:ascii="宋体" w:hAnsi="宋体" w:cs="宋体"/>
          <w:sz w:val="24"/>
          <w:szCs w:val="24"/>
          <w:lang w:val="en-US"/>
        </w:rPr>
        <w:t>本项目施工期噪声执行《建筑施工噪声排放标准》（GB12523-20</w:t>
      </w:r>
      <w:r>
        <w:rPr>
          <w:rFonts w:hint="eastAsia" w:ascii="宋体" w:hAnsi="宋体" w:cs="宋体"/>
          <w:sz w:val="24"/>
          <w:szCs w:val="24"/>
          <w:lang w:val="en-US" w:eastAsia="zh-CN"/>
        </w:rPr>
        <w:t>25</w:t>
      </w:r>
      <w:r>
        <w:rPr>
          <w:rFonts w:hint="eastAsia" w:ascii="宋体" w:hAnsi="宋体" w:cs="宋体"/>
          <w:sz w:val="24"/>
          <w:szCs w:val="24"/>
          <w:lang w:val="en-US"/>
        </w:rPr>
        <w:t>）标准，运营期厂界噪声排放标准执行《工业企业厂界环境噪声排放标准》（GB12348-2008）表1中2类标准；标准值见表2.6-</w:t>
      </w:r>
      <w:r>
        <w:rPr>
          <w:rFonts w:hint="eastAsia" w:ascii="宋体" w:hAnsi="宋体" w:cs="宋体"/>
          <w:sz w:val="24"/>
          <w:szCs w:val="24"/>
          <w:lang w:val="en-US" w:eastAsia="zh-CN"/>
        </w:rPr>
        <w:t>9</w:t>
      </w:r>
      <w:r>
        <w:rPr>
          <w:rFonts w:hint="eastAsia" w:ascii="宋体" w:hAnsi="宋体" w:cs="宋体"/>
          <w:sz w:val="24"/>
          <w:szCs w:val="24"/>
          <w:lang w:val="en-US"/>
        </w:rPr>
        <w:t>。</w:t>
      </w:r>
    </w:p>
    <w:p w14:paraId="1080B44D">
      <w:pPr>
        <w:pStyle w:val="16"/>
        <w:tabs>
          <w:tab w:val="left" w:pos="779"/>
        </w:tabs>
        <w:spacing w:after="0"/>
        <w:ind w:firstLine="420"/>
        <w:jc w:val="center"/>
        <w:rPr>
          <w:b/>
          <w:szCs w:val="21"/>
        </w:rPr>
      </w:pPr>
    </w:p>
    <w:p w14:paraId="10DF0A3D">
      <w:pPr>
        <w:pStyle w:val="16"/>
        <w:tabs>
          <w:tab w:val="left" w:pos="779"/>
        </w:tabs>
        <w:spacing w:after="0"/>
        <w:ind w:firstLine="420"/>
        <w:jc w:val="center"/>
        <w:rPr>
          <w:b/>
          <w:szCs w:val="21"/>
        </w:rPr>
      </w:pPr>
    </w:p>
    <w:p w14:paraId="53C8AF28">
      <w:pPr>
        <w:pStyle w:val="16"/>
        <w:tabs>
          <w:tab w:val="left" w:pos="779"/>
        </w:tabs>
        <w:spacing w:after="0"/>
        <w:ind w:firstLine="420"/>
        <w:jc w:val="center"/>
        <w:rPr>
          <w:b/>
          <w:szCs w:val="21"/>
        </w:rPr>
      </w:pPr>
    </w:p>
    <w:p w14:paraId="24F9822B">
      <w:pPr>
        <w:pStyle w:val="16"/>
        <w:tabs>
          <w:tab w:val="left" w:pos="779"/>
        </w:tabs>
        <w:spacing w:after="0"/>
        <w:ind w:firstLine="420"/>
        <w:jc w:val="center"/>
        <w:rPr>
          <w:b/>
          <w:szCs w:val="21"/>
        </w:rPr>
      </w:pPr>
      <w:r>
        <w:rPr>
          <w:b/>
          <w:szCs w:val="21"/>
        </w:rPr>
        <w:t>表2</w:t>
      </w:r>
      <w:r>
        <w:rPr>
          <w:rFonts w:hint="eastAsia"/>
          <w:b/>
          <w:szCs w:val="21"/>
          <w:lang w:val="en-US"/>
        </w:rPr>
        <w:t>.6</w:t>
      </w:r>
      <w:r>
        <w:rPr>
          <w:b/>
          <w:szCs w:val="21"/>
        </w:rPr>
        <w:t>-</w:t>
      </w:r>
      <w:r>
        <w:rPr>
          <w:rFonts w:hint="eastAsia"/>
          <w:b/>
          <w:szCs w:val="21"/>
          <w:lang w:val="en-US" w:eastAsia="zh-CN"/>
        </w:rPr>
        <w:t>9</w:t>
      </w:r>
      <w:r>
        <w:rPr>
          <w:rFonts w:hint="eastAsia"/>
          <w:b/>
          <w:szCs w:val="21"/>
          <w:lang w:val="en-US"/>
        </w:rPr>
        <w:t xml:space="preserve">    </w:t>
      </w:r>
      <w:r>
        <w:rPr>
          <w:b/>
          <w:szCs w:val="21"/>
        </w:rPr>
        <w:t>工业企业厂界环境噪声排放限值</w:t>
      </w:r>
    </w:p>
    <w:tbl>
      <w:tblPr>
        <w:tblStyle w:val="49"/>
        <w:tblW w:w="4981"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2" w:space="0"/>
        </w:tblBorders>
        <w:tblLayout w:type="autofit"/>
        <w:tblCellMar>
          <w:top w:w="0" w:type="dxa"/>
          <w:left w:w="0" w:type="dxa"/>
          <w:bottom w:w="0" w:type="dxa"/>
          <w:right w:w="0" w:type="dxa"/>
        </w:tblCellMar>
      </w:tblPr>
      <w:tblGrid>
        <w:gridCol w:w="1514"/>
        <w:gridCol w:w="2991"/>
        <w:gridCol w:w="1560"/>
        <w:gridCol w:w="1702"/>
        <w:gridCol w:w="1244"/>
      </w:tblGrid>
      <w:tr w14:paraId="3E79D24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2" w:space="0"/>
          </w:tblBorders>
          <w:tblCellMar>
            <w:top w:w="0" w:type="dxa"/>
            <w:left w:w="0" w:type="dxa"/>
            <w:bottom w:w="0" w:type="dxa"/>
            <w:right w:w="0" w:type="dxa"/>
          </w:tblCellMar>
        </w:tblPrEx>
        <w:trPr>
          <w:trHeight w:val="372" w:hRule="atLeast"/>
          <w:jc w:val="center"/>
        </w:trPr>
        <w:tc>
          <w:tcPr>
            <w:tcW w:w="840" w:type="pct"/>
            <w:tcBorders>
              <w:tl2br w:val="nil"/>
              <w:tr2bl w:val="nil"/>
            </w:tcBorders>
            <w:vAlign w:val="center"/>
          </w:tcPr>
          <w:p w14:paraId="130363D2">
            <w:pPr>
              <w:pStyle w:val="228"/>
              <w:kinsoku w:val="0"/>
              <w:overflowPunct w:val="0"/>
              <w:rPr>
                <w:spacing w:val="-2"/>
                <w:szCs w:val="21"/>
              </w:rPr>
            </w:pPr>
            <w:r>
              <w:rPr>
                <w:rFonts w:hint="eastAsia"/>
                <w:spacing w:val="-2"/>
                <w:szCs w:val="21"/>
              </w:rPr>
              <w:t>评价时段</w:t>
            </w:r>
          </w:p>
        </w:tc>
        <w:tc>
          <w:tcPr>
            <w:tcW w:w="1659" w:type="pct"/>
            <w:tcBorders>
              <w:tl2br w:val="nil"/>
              <w:tr2bl w:val="nil"/>
            </w:tcBorders>
            <w:vAlign w:val="center"/>
          </w:tcPr>
          <w:p w14:paraId="04192B9C">
            <w:pPr>
              <w:pStyle w:val="228"/>
              <w:kinsoku w:val="0"/>
              <w:overflowPunct w:val="0"/>
              <w:rPr>
                <w:szCs w:val="21"/>
              </w:rPr>
            </w:pPr>
            <w:r>
              <w:rPr>
                <w:rFonts w:hint="eastAsia"/>
                <w:szCs w:val="21"/>
              </w:rPr>
              <w:t>声环境功能区类别</w:t>
            </w:r>
          </w:p>
        </w:tc>
        <w:tc>
          <w:tcPr>
            <w:tcW w:w="865" w:type="pct"/>
            <w:tcBorders>
              <w:tl2br w:val="nil"/>
              <w:tr2bl w:val="nil"/>
            </w:tcBorders>
            <w:vAlign w:val="center"/>
          </w:tcPr>
          <w:p w14:paraId="54AABB9D">
            <w:pPr>
              <w:pStyle w:val="228"/>
              <w:kinsoku w:val="0"/>
              <w:overflowPunct w:val="0"/>
            </w:pPr>
            <w:r>
              <w:rPr>
                <w:rFonts w:hint="eastAsia"/>
              </w:rPr>
              <w:t>单位</w:t>
            </w:r>
          </w:p>
        </w:tc>
        <w:tc>
          <w:tcPr>
            <w:tcW w:w="944" w:type="pct"/>
            <w:tcBorders>
              <w:tl2br w:val="nil"/>
              <w:tr2bl w:val="nil"/>
            </w:tcBorders>
            <w:vAlign w:val="center"/>
          </w:tcPr>
          <w:p w14:paraId="34EC5BDD">
            <w:pPr>
              <w:pStyle w:val="228"/>
              <w:kinsoku w:val="0"/>
              <w:overflowPunct w:val="0"/>
              <w:rPr>
                <w:szCs w:val="21"/>
              </w:rPr>
            </w:pPr>
            <w:r>
              <w:rPr>
                <w:szCs w:val="21"/>
              </w:rPr>
              <w:t>昼间</w:t>
            </w:r>
          </w:p>
        </w:tc>
        <w:tc>
          <w:tcPr>
            <w:tcW w:w="690" w:type="pct"/>
            <w:tcBorders>
              <w:tl2br w:val="nil"/>
              <w:tr2bl w:val="nil"/>
            </w:tcBorders>
            <w:vAlign w:val="center"/>
          </w:tcPr>
          <w:p w14:paraId="6A8D015A">
            <w:pPr>
              <w:pStyle w:val="228"/>
              <w:kinsoku w:val="0"/>
              <w:overflowPunct w:val="0"/>
              <w:rPr>
                <w:szCs w:val="21"/>
              </w:rPr>
            </w:pPr>
            <w:r>
              <w:rPr>
                <w:szCs w:val="21"/>
              </w:rPr>
              <w:t>夜间</w:t>
            </w:r>
          </w:p>
        </w:tc>
      </w:tr>
      <w:tr w14:paraId="158A73B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2" w:space="0"/>
          </w:tblBorders>
          <w:tblCellMar>
            <w:top w:w="0" w:type="dxa"/>
            <w:left w:w="0" w:type="dxa"/>
            <w:bottom w:w="0" w:type="dxa"/>
            <w:right w:w="0" w:type="dxa"/>
          </w:tblCellMar>
        </w:tblPrEx>
        <w:trPr>
          <w:trHeight w:val="380" w:hRule="atLeast"/>
          <w:jc w:val="center"/>
        </w:trPr>
        <w:tc>
          <w:tcPr>
            <w:tcW w:w="840" w:type="pct"/>
            <w:tcBorders>
              <w:tl2br w:val="nil"/>
              <w:tr2bl w:val="nil"/>
            </w:tcBorders>
            <w:vAlign w:val="center"/>
          </w:tcPr>
          <w:p w14:paraId="6283EB6A">
            <w:pPr>
              <w:pStyle w:val="228"/>
              <w:kinsoku w:val="0"/>
              <w:overflowPunct w:val="0"/>
              <w:rPr>
                <w:szCs w:val="21"/>
              </w:rPr>
            </w:pPr>
            <w:r>
              <w:rPr>
                <w:rFonts w:hint="eastAsia"/>
                <w:szCs w:val="21"/>
              </w:rPr>
              <w:t>施工期</w:t>
            </w:r>
          </w:p>
        </w:tc>
        <w:tc>
          <w:tcPr>
            <w:tcW w:w="1659" w:type="pct"/>
            <w:tcBorders>
              <w:tl2br w:val="nil"/>
              <w:tr2bl w:val="nil"/>
            </w:tcBorders>
            <w:vAlign w:val="center"/>
          </w:tcPr>
          <w:p w14:paraId="79EB3F9C">
            <w:pPr>
              <w:pStyle w:val="228"/>
              <w:kinsoku w:val="0"/>
              <w:overflowPunct w:val="0"/>
              <w:rPr>
                <w:szCs w:val="21"/>
              </w:rPr>
            </w:pPr>
            <w:r>
              <w:rPr>
                <w:rFonts w:hint="eastAsia"/>
                <w:szCs w:val="21"/>
              </w:rPr>
              <w:t>/</w:t>
            </w:r>
          </w:p>
        </w:tc>
        <w:tc>
          <w:tcPr>
            <w:tcW w:w="865" w:type="pct"/>
            <w:tcBorders>
              <w:tl2br w:val="nil"/>
              <w:tr2bl w:val="nil"/>
            </w:tcBorders>
            <w:vAlign w:val="center"/>
          </w:tcPr>
          <w:p w14:paraId="50F43869">
            <w:pPr>
              <w:pStyle w:val="228"/>
              <w:kinsoku w:val="0"/>
              <w:overflowPunct w:val="0"/>
              <w:rPr>
                <w:szCs w:val="21"/>
              </w:rPr>
            </w:pPr>
            <w:r>
              <w:rPr>
                <w:rFonts w:hint="eastAsia"/>
                <w:szCs w:val="21"/>
              </w:rPr>
              <w:t>dB（A）</w:t>
            </w:r>
          </w:p>
        </w:tc>
        <w:tc>
          <w:tcPr>
            <w:tcW w:w="944" w:type="pct"/>
            <w:tcBorders>
              <w:tl2br w:val="nil"/>
              <w:tr2bl w:val="nil"/>
            </w:tcBorders>
            <w:vAlign w:val="center"/>
          </w:tcPr>
          <w:p w14:paraId="4424EDFC">
            <w:pPr>
              <w:pStyle w:val="228"/>
              <w:kinsoku w:val="0"/>
              <w:overflowPunct w:val="0"/>
              <w:rPr>
                <w:szCs w:val="21"/>
              </w:rPr>
            </w:pPr>
            <w:r>
              <w:rPr>
                <w:rFonts w:hint="eastAsia"/>
                <w:szCs w:val="21"/>
              </w:rPr>
              <w:t>70</w:t>
            </w:r>
          </w:p>
        </w:tc>
        <w:tc>
          <w:tcPr>
            <w:tcW w:w="690" w:type="pct"/>
            <w:tcBorders>
              <w:tl2br w:val="nil"/>
              <w:tr2bl w:val="nil"/>
            </w:tcBorders>
            <w:vAlign w:val="center"/>
          </w:tcPr>
          <w:p w14:paraId="57CAAE38">
            <w:pPr>
              <w:pStyle w:val="228"/>
              <w:kinsoku w:val="0"/>
              <w:overflowPunct w:val="0"/>
              <w:rPr>
                <w:szCs w:val="21"/>
              </w:rPr>
            </w:pPr>
            <w:r>
              <w:rPr>
                <w:rFonts w:hint="eastAsia"/>
                <w:szCs w:val="21"/>
              </w:rPr>
              <w:t>55</w:t>
            </w:r>
          </w:p>
        </w:tc>
      </w:tr>
      <w:tr w14:paraId="243FCA0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2" w:space="0"/>
          </w:tblBorders>
          <w:tblCellMar>
            <w:top w:w="0" w:type="dxa"/>
            <w:left w:w="0" w:type="dxa"/>
            <w:bottom w:w="0" w:type="dxa"/>
            <w:right w:w="0" w:type="dxa"/>
          </w:tblCellMar>
        </w:tblPrEx>
        <w:trPr>
          <w:trHeight w:val="380" w:hRule="atLeast"/>
          <w:jc w:val="center"/>
        </w:trPr>
        <w:tc>
          <w:tcPr>
            <w:tcW w:w="840" w:type="pct"/>
            <w:tcBorders>
              <w:tl2br w:val="nil"/>
              <w:tr2bl w:val="nil"/>
            </w:tcBorders>
            <w:vAlign w:val="center"/>
          </w:tcPr>
          <w:p w14:paraId="7B86C185">
            <w:pPr>
              <w:pStyle w:val="228"/>
              <w:kinsoku w:val="0"/>
              <w:overflowPunct w:val="0"/>
              <w:rPr>
                <w:szCs w:val="21"/>
              </w:rPr>
            </w:pPr>
            <w:r>
              <w:rPr>
                <w:rFonts w:hint="eastAsia"/>
                <w:szCs w:val="21"/>
              </w:rPr>
              <w:t>运营期</w:t>
            </w:r>
          </w:p>
        </w:tc>
        <w:tc>
          <w:tcPr>
            <w:tcW w:w="1659" w:type="pct"/>
            <w:tcBorders>
              <w:tl2br w:val="nil"/>
              <w:tr2bl w:val="nil"/>
            </w:tcBorders>
            <w:vAlign w:val="center"/>
          </w:tcPr>
          <w:p w14:paraId="7BBAFD6E">
            <w:pPr>
              <w:pStyle w:val="228"/>
              <w:kinsoku w:val="0"/>
              <w:overflowPunct w:val="0"/>
              <w:rPr>
                <w:szCs w:val="21"/>
              </w:rPr>
            </w:pPr>
            <w:r>
              <w:rPr>
                <w:rFonts w:hint="eastAsia"/>
                <w:szCs w:val="21"/>
              </w:rPr>
              <w:t>2类</w:t>
            </w:r>
          </w:p>
        </w:tc>
        <w:tc>
          <w:tcPr>
            <w:tcW w:w="865" w:type="pct"/>
            <w:tcBorders>
              <w:tl2br w:val="nil"/>
              <w:tr2bl w:val="nil"/>
            </w:tcBorders>
            <w:vAlign w:val="center"/>
          </w:tcPr>
          <w:p w14:paraId="4F995760">
            <w:pPr>
              <w:pStyle w:val="228"/>
              <w:kinsoku w:val="0"/>
              <w:overflowPunct w:val="0"/>
              <w:rPr>
                <w:szCs w:val="21"/>
              </w:rPr>
            </w:pPr>
            <w:r>
              <w:rPr>
                <w:rFonts w:hint="eastAsia"/>
                <w:szCs w:val="21"/>
              </w:rPr>
              <w:t>dB（A）</w:t>
            </w:r>
          </w:p>
        </w:tc>
        <w:tc>
          <w:tcPr>
            <w:tcW w:w="944" w:type="pct"/>
            <w:tcBorders>
              <w:tl2br w:val="nil"/>
              <w:tr2bl w:val="nil"/>
            </w:tcBorders>
            <w:vAlign w:val="center"/>
          </w:tcPr>
          <w:p w14:paraId="48B9E5CD">
            <w:pPr>
              <w:pStyle w:val="228"/>
              <w:kinsoku w:val="0"/>
              <w:overflowPunct w:val="0"/>
              <w:rPr>
                <w:szCs w:val="21"/>
              </w:rPr>
            </w:pPr>
            <w:r>
              <w:rPr>
                <w:szCs w:val="21"/>
              </w:rPr>
              <w:t>6</w:t>
            </w:r>
            <w:r>
              <w:rPr>
                <w:rFonts w:hint="eastAsia"/>
                <w:szCs w:val="21"/>
              </w:rPr>
              <w:t>0</w:t>
            </w:r>
          </w:p>
        </w:tc>
        <w:tc>
          <w:tcPr>
            <w:tcW w:w="690" w:type="pct"/>
            <w:tcBorders>
              <w:tl2br w:val="nil"/>
              <w:tr2bl w:val="nil"/>
            </w:tcBorders>
            <w:vAlign w:val="center"/>
          </w:tcPr>
          <w:p w14:paraId="1EB1C0D7">
            <w:pPr>
              <w:pStyle w:val="228"/>
              <w:kinsoku w:val="0"/>
              <w:overflowPunct w:val="0"/>
              <w:rPr>
                <w:szCs w:val="21"/>
              </w:rPr>
            </w:pPr>
            <w:r>
              <w:rPr>
                <w:szCs w:val="21"/>
              </w:rPr>
              <w:t>5</w:t>
            </w:r>
            <w:r>
              <w:rPr>
                <w:rFonts w:hint="eastAsia"/>
                <w:szCs w:val="21"/>
              </w:rPr>
              <w:t>0</w:t>
            </w:r>
          </w:p>
        </w:tc>
      </w:tr>
    </w:tbl>
    <w:p w14:paraId="1E563579">
      <w:pPr>
        <w:pStyle w:val="5"/>
        <w:rPr>
          <w:rFonts w:ascii="Times New Roman" w:hAnsi="Times New Roman"/>
          <w:color w:val="000000"/>
          <w:lang w:val="en-US"/>
        </w:rPr>
      </w:pPr>
      <w:r>
        <w:rPr>
          <w:rFonts w:hint="eastAsia" w:ascii="Times New Roman" w:hAnsi="Times New Roman"/>
          <w:color w:val="000000"/>
          <w:lang w:val="en-US"/>
        </w:rPr>
        <w:t>2.6.2.4固体废物</w:t>
      </w:r>
    </w:p>
    <w:p w14:paraId="6C4E2FD5">
      <w:pPr>
        <w:widowControl/>
        <w:tabs>
          <w:tab w:val="left" w:leader="dot" w:pos="8770"/>
        </w:tabs>
        <w:spacing w:line="360" w:lineRule="auto"/>
        <w:ind w:firstLine="480" w:firstLineChars="200"/>
        <w:rPr>
          <w:color w:val="000000"/>
        </w:rPr>
      </w:pPr>
      <w:r>
        <w:rPr>
          <w:rFonts w:hint="eastAsia"/>
          <w:color w:val="000000"/>
          <w:sz w:val="24"/>
          <w:szCs w:val="24"/>
        </w:rPr>
        <w:t>一般生产固废按照</w:t>
      </w:r>
      <w:r>
        <w:rPr>
          <w:rFonts w:hAnsi="宋体"/>
          <w:color w:val="000000"/>
          <w:sz w:val="24"/>
          <w:szCs w:val="24"/>
        </w:rPr>
        <w:t>《中华人民共和国固体废物污染环境防治法》</w:t>
      </w:r>
      <w:r>
        <w:rPr>
          <w:rFonts w:hint="eastAsia"/>
          <w:color w:val="000000"/>
          <w:sz w:val="24"/>
          <w:szCs w:val="24"/>
        </w:rPr>
        <w:t>《一般工业固体废物贮存和填埋污染控制标准》（</w:t>
      </w:r>
      <w:r>
        <w:rPr>
          <w:color w:val="000000"/>
          <w:sz w:val="24"/>
          <w:szCs w:val="24"/>
        </w:rPr>
        <w:t>GB18599-</w:t>
      </w:r>
      <w:r>
        <w:rPr>
          <w:rFonts w:hint="eastAsia"/>
          <w:color w:val="000000"/>
          <w:sz w:val="24"/>
          <w:szCs w:val="24"/>
        </w:rPr>
        <w:t>2020）、</w:t>
      </w:r>
      <w:r>
        <w:rPr>
          <w:rFonts w:hint="eastAsia" w:hAnsi="宋体"/>
          <w:color w:val="000000"/>
          <w:sz w:val="24"/>
          <w:szCs w:val="24"/>
        </w:rPr>
        <w:t>《关于工业固体废物环境管理有关要求的公告》（新疆维吾尔自治区生态环境厅，公告〔2023〕53号）</w:t>
      </w:r>
      <w:r>
        <w:rPr>
          <w:rFonts w:hint="eastAsia"/>
          <w:color w:val="000000"/>
          <w:sz w:val="24"/>
          <w:szCs w:val="24"/>
        </w:rPr>
        <w:t>中的相关要求进行管理，并</w:t>
      </w:r>
      <w:r>
        <w:rPr>
          <w:rFonts w:hint="eastAsia"/>
          <w:color w:val="000000"/>
          <w:sz w:val="24"/>
        </w:rPr>
        <w:t>按相关要求建设一般工业固体废物贮存设施，落实防渗漏、防雨淋、防扬尘等要求。危险废物贮存执行《危险废物贮存污染控制标准》（GB18597-2023）要求。</w:t>
      </w:r>
    </w:p>
    <w:p w14:paraId="0E8DE628">
      <w:pPr>
        <w:pStyle w:val="5"/>
        <w:rPr>
          <w:rFonts w:ascii="Times New Roman" w:hAnsi="Times New Roman"/>
          <w:color w:val="000000"/>
          <w:lang w:val="en-US"/>
        </w:rPr>
      </w:pPr>
      <w:r>
        <w:rPr>
          <w:rFonts w:hint="eastAsia" w:ascii="Times New Roman" w:hAnsi="Times New Roman"/>
          <w:color w:val="000000"/>
          <w:lang w:val="en-US"/>
        </w:rPr>
        <w:t>2.6.2.5</w:t>
      </w:r>
      <w:r>
        <w:rPr>
          <w:rFonts w:hint="eastAsia" w:ascii="Times New Roman" w:hAnsi="Times New Roman"/>
          <w:color w:val="000000"/>
          <w:lang w:val="en-US" w:eastAsia="zh-CN"/>
        </w:rPr>
        <w:t>其他</w:t>
      </w:r>
      <w:r>
        <w:rPr>
          <w:rFonts w:hint="eastAsia" w:ascii="Times New Roman" w:hAnsi="Times New Roman"/>
          <w:color w:val="000000"/>
          <w:lang w:val="en-US"/>
        </w:rPr>
        <w:t>标准</w:t>
      </w:r>
    </w:p>
    <w:p w14:paraId="74C35608">
      <w:pPr>
        <w:pStyle w:val="16"/>
        <w:kinsoku w:val="0"/>
        <w:overflowPunct w:val="0"/>
        <w:spacing w:after="0" w:line="360" w:lineRule="auto"/>
        <w:ind w:firstLine="482"/>
        <w:rPr>
          <w:rFonts w:hint="eastAsia" w:ascii="宋体" w:hAnsi="宋体" w:cs="宋体"/>
          <w:sz w:val="24"/>
          <w:szCs w:val="24"/>
          <w:lang w:val="en-US"/>
        </w:rPr>
      </w:pPr>
      <w:r>
        <w:rPr>
          <w:rFonts w:hint="eastAsia" w:ascii="宋体" w:hAnsi="宋体" w:cs="宋体"/>
          <w:sz w:val="24"/>
          <w:szCs w:val="24"/>
          <w:lang w:val="en-US"/>
        </w:rPr>
        <w:t>①《环境保护图形标志排放口（源）》（GB15562.1-1995）；</w:t>
      </w:r>
    </w:p>
    <w:p w14:paraId="04C87861">
      <w:pPr>
        <w:pStyle w:val="16"/>
        <w:kinsoku w:val="0"/>
        <w:overflowPunct w:val="0"/>
        <w:spacing w:after="0" w:line="360" w:lineRule="auto"/>
        <w:ind w:firstLine="482"/>
        <w:rPr>
          <w:rFonts w:hint="eastAsia" w:ascii="宋体" w:hAnsi="宋体" w:cs="宋体"/>
          <w:sz w:val="24"/>
          <w:szCs w:val="24"/>
          <w:lang w:val="en-US"/>
        </w:rPr>
      </w:pPr>
      <w:r>
        <w:rPr>
          <w:rFonts w:hint="eastAsia" w:ascii="宋体" w:hAnsi="宋体" w:cs="宋体"/>
          <w:sz w:val="24"/>
          <w:szCs w:val="24"/>
          <w:lang w:val="en-US"/>
        </w:rPr>
        <w:t>②《环境保护图形标志－固体废物贮存（处置）场》（GB15562.2-1995）。</w:t>
      </w:r>
    </w:p>
    <w:p w14:paraId="7FCE3747">
      <w:pPr>
        <w:pStyle w:val="3"/>
        <w:keepNext w:val="0"/>
        <w:keepLines w:val="0"/>
        <w:autoSpaceDE w:val="0"/>
        <w:autoSpaceDN w:val="0"/>
        <w:spacing w:before="0" w:after="0" w:line="360" w:lineRule="auto"/>
        <w:jc w:val="left"/>
        <w:rPr>
          <w:rFonts w:ascii="Times New Roman" w:hAnsi="Times New Roman" w:eastAsia="宋体"/>
          <w:kern w:val="0"/>
          <w:sz w:val="24"/>
          <w:szCs w:val="30"/>
          <w:lang w:val="en-US" w:bidi="zh-CN"/>
        </w:rPr>
      </w:pPr>
      <w:bookmarkStart w:id="114" w:name="_Toc14401"/>
      <w:r>
        <w:rPr>
          <w:rFonts w:hint="eastAsia" w:ascii="Times New Roman" w:hAnsi="Times New Roman" w:eastAsia="宋体"/>
          <w:kern w:val="0"/>
          <w:sz w:val="24"/>
          <w:szCs w:val="30"/>
          <w:lang w:val="en-US" w:bidi="zh-CN"/>
        </w:rPr>
        <w:t>2.7环境功能区划</w:t>
      </w:r>
      <w:bookmarkEnd w:id="114"/>
    </w:p>
    <w:p w14:paraId="252BABCF">
      <w:pPr>
        <w:pStyle w:val="4"/>
        <w:autoSpaceDE w:val="0"/>
        <w:autoSpaceDN w:val="0"/>
        <w:spacing w:before="0" w:after="0" w:line="360" w:lineRule="auto"/>
        <w:jc w:val="left"/>
        <w:rPr>
          <w:kern w:val="0"/>
          <w:sz w:val="24"/>
          <w:lang w:val="en-US" w:bidi="zh-CN"/>
        </w:rPr>
      </w:pPr>
      <w:r>
        <w:rPr>
          <w:rFonts w:hint="eastAsia"/>
          <w:kern w:val="0"/>
          <w:sz w:val="24"/>
          <w:lang w:val="en-US" w:bidi="zh-CN"/>
        </w:rPr>
        <w:t>2.7.1环境空气功能区划</w:t>
      </w:r>
    </w:p>
    <w:p w14:paraId="176AF859">
      <w:pPr>
        <w:pStyle w:val="16"/>
        <w:overflowPunct w:val="0"/>
        <w:topLinePunct/>
        <w:autoSpaceDN w:val="0"/>
        <w:spacing w:after="0" w:line="360" w:lineRule="auto"/>
        <w:ind w:firstLine="482"/>
        <w:rPr>
          <w:rFonts w:hint="eastAsia" w:ascii="宋体" w:hAnsi="宋体" w:cs="宋体"/>
          <w:sz w:val="24"/>
          <w:szCs w:val="24"/>
          <w:lang w:val="en-US"/>
        </w:rPr>
      </w:pPr>
      <w:r>
        <w:rPr>
          <w:rFonts w:hint="eastAsia" w:ascii="宋体" w:hAnsi="宋体" w:cs="宋体"/>
          <w:sz w:val="24"/>
          <w:szCs w:val="24"/>
          <w:lang w:val="en-US"/>
        </w:rPr>
        <w:t>本项目所在区域属于二类环境空气功能区，执行《环境空气质量标准》（GB3095-2012）二级标准。</w:t>
      </w:r>
    </w:p>
    <w:p w14:paraId="7DC62121">
      <w:pPr>
        <w:pStyle w:val="4"/>
        <w:autoSpaceDE w:val="0"/>
        <w:autoSpaceDN w:val="0"/>
        <w:spacing w:before="0" w:after="0" w:line="360" w:lineRule="auto"/>
        <w:jc w:val="left"/>
        <w:rPr>
          <w:kern w:val="0"/>
          <w:sz w:val="24"/>
          <w:lang w:val="en-US" w:bidi="zh-CN"/>
        </w:rPr>
      </w:pPr>
      <w:r>
        <w:rPr>
          <w:rFonts w:hint="eastAsia"/>
          <w:kern w:val="0"/>
          <w:sz w:val="24"/>
          <w:lang w:val="en-US" w:bidi="zh-CN"/>
        </w:rPr>
        <w:t>2.7.2水环境功能区划</w:t>
      </w:r>
    </w:p>
    <w:p w14:paraId="34F1F509">
      <w:pPr>
        <w:pStyle w:val="16"/>
        <w:overflowPunct w:val="0"/>
        <w:topLinePunct/>
        <w:spacing w:after="0" w:line="360" w:lineRule="auto"/>
        <w:ind w:firstLine="482"/>
        <w:rPr>
          <w:rFonts w:hint="eastAsia" w:ascii="宋体" w:hAnsi="宋体" w:cs="宋体"/>
          <w:sz w:val="24"/>
          <w:szCs w:val="24"/>
          <w:lang w:val="en-US"/>
        </w:rPr>
      </w:pPr>
      <w:r>
        <w:rPr>
          <w:rFonts w:hint="eastAsia" w:ascii="宋体" w:hAnsi="宋体" w:cs="宋体"/>
          <w:sz w:val="24"/>
          <w:szCs w:val="24"/>
        </w:rPr>
        <w:t>本项目</w:t>
      </w:r>
      <w:r>
        <w:rPr>
          <w:rFonts w:hint="eastAsia" w:ascii="宋体" w:hAnsi="宋体" w:cs="宋体"/>
          <w:sz w:val="24"/>
          <w:szCs w:val="24"/>
          <w:lang w:val="en-US"/>
        </w:rPr>
        <w:t>无废膜清洗工序，采用风冷，无废水产生</w:t>
      </w:r>
      <w:r>
        <w:rPr>
          <w:rFonts w:hint="eastAsia" w:ascii="宋体" w:hAnsi="宋体" w:cs="宋体"/>
          <w:sz w:val="24"/>
          <w:szCs w:val="24"/>
        </w:rPr>
        <w:t>，</w:t>
      </w:r>
      <w:r>
        <w:rPr>
          <w:rFonts w:hint="eastAsia" w:ascii="宋体" w:hAnsi="宋体" w:cs="宋体"/>
          <w:sz w:val="24"/>
          <w:szCs w:val="24"/>
          <w:lang w:val="en-US"/>
        </w:rPr>
        <w:t>生活污水排入</w:t>
      </w:r>
      <w:r>
        <w:rPr>
          <w:rFonts w:hint="eastAsia" w:ascii="宋体" w:hAnsi="宋体" w:cs="宋体"/>
          <w:sz w:val="24"/>
          <w:szCs w:val="24"/>
          <w:lang w:val="en-US" w:eastAsia="zh-CN"/>
        </w:rPr>
        <w:t>防渗化粪池</w:t>
      </w:r>
      <w:r>
        <w:rPr>
          <w:rFonts w:hint="eastAsia" w:ascii="宋体" w:hAnsi="宋体" w:cs="宋体"/>
          <w:sz w:val="24"/>
          <w:szCs w:val="24"/>
          <w:lang w:val="en-US"/>
        </w:rPr>
        <w:t>，</w:t>
      </w:r>
      <w:r>
        <w:rPr>
          <w:rFonts w:hint="eastAsia" w:ascii="宋体" w:hAnsi="宋体" w:cs="宋体"/>
          <w:sz w:val="24"/>
          <w:szCs w:val="24"/>
          <w:lang w:eastAsia="zh-CN"/>
        </w:rPr>
        <w:t>定期</w:t>
      </w:r>
      <w:r>
        <w:rPr>
          <w:rFonts w:hint="eastAsia" w:ascii="宋体" w:hAnsi="宋体" w:cs="宋体"/>
          <w:sz w:val="24"/>
          <w:szCs w:val="24"/>
          <w:lang w:val="en-US" w:eastAsia="zh-CN"/>
        </w:rPr>
        <w:t>由库尔勒龙润水处理有限公司采用罐车</w:t>
      </w:r>
      <w:r>
        <w:rPr>
          <w:rFonts w:hint="eastAsia" w:ascii="宋体" w:hAnsi="宋体" w:cs="宋体"/>
          <w:sz w:val="24"/>
          <w:szCs w:val="24"/>
          <w:lang w:eastAsia="zh-CN"/>
        </w:rPr>
        <w:t>拉运至</w:t>
      </w:r>
      <w:r>
        <w:rPr>
          <w:rFonts w:hint="eastAsia" w:ascii="宋体" w:hAnsi="宋体" w:cs="宋体"/>
          <w:sz w:val="24"/>
          <w:szCs w:val="24"/>
          <w:lang w:val="en-US" w:eastAsia="zh-CN"/>
        </w:rPr>
        <w:t>库尔勒南市区</w:t>
      </w:r>
      <w:r>
        <w:rPr>
          <w:rFonts w:hint="eastAsia" w:ascii="宋体" w:hAnsi="宋体" w:cs="宋体"/>
          <w:sz w:val="24"/>
          <w:szCs w:val="24"/>
          <w:lang w:eastAsia="zh-CN"/>
        </w:rPr>
        <w:t>污水处理</w:t>
      </w:r>
      <w:r>
        <w:rPr>
          <w:rFonts w:hint="eastAsia" w:ascii="宋体" w:hAnsi="宋体" w:cs="宋体"/>
          <w:sz w:val="24"/>
          <w:szCs w:val="24"/>
          <w:lang w:val="en-US" w:eastAsia="zh-CN"/>
        </w:rPr>
        <w:t>厂，</w:t>
      </w:r>
      <w:r>
        <w:rPr>
          <w:rFonts w:hint="eastAsia" w:ascii="宋体" w:hAnsi="宋体" w:cs="宋体"/>
          <w:sz w:val="24"/>
          <w:szCs w:val="24"/>
          <w:lang w:val="en-US"/>
        </w:rPr>
        <w:t>废水不排入</w:t>
      </w:r>
      <w:r>
        <w:rPr>
          <w:rFonts w:hint="eastAsia" w:ascii="宋体" w:hAnsi="宋体" w:cs="宋体"/>
          <w:sz w:val="24"/>
          <w:szCs w:val="24"/>
          <w:lang w:val="en-US" w:eastAsia="zh-CN"/>
        </w:rPr>
        <w:t>外</w:t>
      </w:r>
      <w:r>
        <w:rPr>
          <w:rFonts w:hint="eastAsia" w:ascii="宋体" w:hAnsi="宋体" w:cs="宋体"/>
          <w:sz w:val="24"/>
          <w:szCs w:val="24"/>
          <w:lang w:val="en-US"/>
        </w:rPr>
        <w:t>环境。项目与周围地表水系不存在直接水力联系。项目区域地下水水质执行《地下水质量标准》（GB/T14848-2017）中Ⅲ类标准。</w:t>
      </w:r>
    </w:p>
    <w:p w14:paraId="41523276">
      <w:pPr>
        <w:pStyle w:val="4"/>
        <w:autoSpaceDE w:val="0"/>
        <w:autoSpaceDN w:val="0"/>
        <w:spacing w:before="0" w:after="0" w:line="360" w:lineRule="auto"/>
        <w:jc w:val="left"/>
        <w:rPr>
          <w:kern w:val="0"/>
          <w:sz w:val="24"/>
          <w:lang w:val="en-US" w:bidi="zh-CN"/>
        </w:rPr>
      </w:pPr>
      <w:r>
        <w:rPr>
          <w:rFonts w:hint="eastAsia"/>
          <w:kern w:val="0"/>
          <w:sz w:val="24"/>
          <w:lang w:val="en-US" w:bidi="zh-CN"/>
        </w:rPr>
        <w:t>2.7.3声环境功能区划</w:t>
      </w:r>
    </w:p>
    <w:p w14:paraId="0966AAB1">
      <w:pPr>
        <w:pStyle w:val="16"/>
        <w:overflowPunct w:val="0"/>
        <w:topLinePunct/>
        <w:autoSpaceDN w:val="0"/>
        <w:spacing w:after="0" w:line="360" w:lineRule="auto"/>
        <w:ind w:firstLine="482"/>
        <w:rPr>
          <w:rFonts w:hint="eastAsia" w:ascii="宋体" w:hAnsi="宋体" w:cs="宋体"/>
          <w:sz w:val="24"/>
          <w:szCs w:val="24"/>
          <w:lang w:val="en-US"/>
        </w:rPr>
      </w:pPr>
      <w:r>
        <w:rPr>
          <w:rFonts w:hint="eastAsia" w:ascii="宋体" w:hAnsi="宋体" w:cs="宋体"/>
          <w:sz w:val="24"/>
          <w:szCs w:val="24"/>
          <w:lang w:val="en-US"/>
        </w:rPr>
        <w:t>本项目位于新疆库尔勒市普惠乡润疆社区四分场库尔勒惠泉工贸有限公司厂区内，按照《声环境质量标准》（GB3096-2008）和《声环境功能区划分技术规范》（GB/T15190-2014），确定为声环境功能2类区。</w:t>
      </w:r>
    </w:p>
    <w:p w14:paraId="42AF0944">
      <w:pPr>
        <w:pStyle w:val="4"/>
        <w:autoSpaceDE w:val="0"/>
        <w:autoSpaceDN w:val="0"/>
        <w:spacing w:before="0" w:after="0" w:line="360" w:lineRule="auto"/>
        <w:jc w:val="left"/>
        <w:rPr>
          <w:kern w:val="0"/>
          <w:sz w:val="24"/>
          <w:lang w:val="en-US" w:bidi="zh-CN"/>
        </w:rPr>
      </w:pPr>
      <w:r>
        <w:rPr>
          <w:rFonts w:hint="eastAsia"/>
          <w:kern w:val="0"/>
          <w:sz w:val="24"/>
          <w:lang w:val="en-US" w:bidi="zh-CN"/>
        </w:rPr>
        <w:t>2.7.4生态功能区划</w:t>
      </w:r>
    </w:p>
    <w:p w14:paraId="50033BAF">
      <w:pPr>
        <w:pStyle w:val="16"/>
        <w:kinsoku w:val="0"/>
        <w:overflowPunct w:val="0"/>
        <w:spacing w:after="0" w:line="360" w:lineRule="auto"/>
        <w:ind w:firstLine="482"/>
        <w:rPr>
          <w:rFonts w:hint="eastAsia" w:ascii="宋体" w:hAnsi="宋体" w:cs="宋体"/>
          <w:sz w:val="24"/>
          <w:szCs w:val="24"/>
          <w:lang w:val="en-US"/>
        </w:rPr>
      </w:pPr>
      <w:r>
        <w:rPr>
          <w:rFonts w:hint="eastAsia" w:ascii="宋体" w:hAnsi="宋体" w:cs="宋体"/>
          <w:sz w:val="24"/>
          <w:szCs w:val="24"/>
          <w:lang w:val="en-US"/>
        </w:rPr>
        <w:t>根据《新疆生态功能区划》，工程区属于Ⅳ塔里木盆地暖温荒漠及绿洲农业生态功能区，Ⅳ1塔里木盆地西部、北部荒漠及绿洲农业生态亚区，54.库尔勒--轮台城镇和石油基地建设生态功能区。见附图2.7-1项目在新疆生态功能区划中的位置关系图。</w:t>
      </w:r>
    </w:p>
    <w:p w14:paraId="27159B71">
      <w:pPr>
        <w:pStyle w:val="4"/>
        <w:autoSpaceDE w:val="0"/>
        <w:autoSpaceDN w:val="0"/>
        <w:spacing w:before="0" w:after="0" w:line="360" w:lineRule="auto"/>
        <w:jc w:val="left"/>
        <w:rPr>
          <w:kern w:val="0"/>
          <w:sz w:val="24"/>
          <w:lang w:val="en-US" w:bidi="zh-CN"/>
        </w:rPr>
      </w:pPr>
      <w:r>
        <w:rPr>
          <w:rFonts w:hint="eastAsia"/>
          <w:kern w:val="0"/>
          <w:sz w:val="24"/>
          <w:lang w:val="en-US" w:bidi="zh-CN"/>
        </w:rPr>
        <w:t>2.7.5土壤功能区划</w:t>
      </w:r>
    </w:p>
    <w:p w14:paraId="02F902FD">
      <w:pPr>
        <w:pStyle w:val="16"/>
        <w:overflowPunct w:val="0"/>
        <w:topLinePunct/>
        <w:autoSpaceDN w:val="0"/>
        <w:spacing w:after="0" w:line="360" w:lineRule="auto"/>
        <w:ind w:firstLine="482"/>
        <w:rPr>
          <w:rFonts w:hint="eastAsia" w:ascii="宋体" w:hAnsi="宋体" w:cs="宋体"/>
          <w:sz w:val="24"/>
          <w:szCs w:val="24"/>
          <w:lang w:val="en-US"/>
        </w:rPr>
      </w:pPr>
      <w:r>
        <w:rPr>
          <w:rFonts w:hint="eastAsia" w:ascii="宋体" w:hAnsi="宋体" w:cs="宋体"/>
          <w:sz w:val="24"/>
          <w:szCs w:val="24"/>
          <w:lang w:val="en-US"/>
        </w:rPr>
        <w:t>本项目所在地执行《土壤环境质量</w:t>
      </w:r>
      <w:r>
        <w:rPr>
          <w:rFonts w:hint="eastAsia" w:ascii="宋体" w:hAnsi="宋体" w:cs="宋体"/>
          <w:sz w:val="24"/>
          <w:szCs w:val="24"/>
          <w:lang w:val="en-US" w:eastAsia="zh-CN"/>
        </w:rPr>
        <w:t xml:space="preserve">  </w:t>
      </w:r>
      <w:r>
        <w:rPr>
          <w:rFonts w:hint="eastAsia" w:ascii="宋体" w:hAnsi="宋体" w:cs="宋体"/>
          <w:sz w:val="24"/>
          <w:szCs w:val="24"/>
          <w:lang w:val="en-US"/>
        </w:rPr>
        <w:t>建设用地土壤污染风险管控标准（试行）》（GB36600-2018）。</w:t>
      </w:r>
    </w:p>
    <w:p w14:paraId="53A74C3E">
      <w:pPr>
        <w:pStyle w:val="3"/>
        <w:keepNext w:val="0"/>
        <w:keepLines w:val="0"/>
        <w:autoSpaceDE w:val="0"/>
        <w:autoSpaceDN w:val="0"/>
        <w:spacing w:before="0" w:after="0" w:line="360" w:lineRule="auto"/>
        <w:jc w:val="left"/>
        <w:rPr>
          <w:rFonts w:ascii="Times New Roman" w:hAnsi="Times New Roman" w:eastAsia="宋体"/>
          <w:kern w:val="0"/>
          <w:sz w:val="24"/>
          <w:szCs w:val="30"/>
          <w:lang w:val="en-US" w:bidi="zh-CN"/>
        </w:rPr>
      </w:pPr>
      <w:bookmarkStart w:id="115" w:name="_Toc12039"/>
      <w:r>
        <w:rPr>
          <w:rFonts w:hint="eastAsia" w:ascii="Times New Roman" w:hAnsi="Times New Roman" w:eastAsia="宋体"/>
          <w:kern w:val="0"/>
          <w:sz w:val="24"/>
          <w:szCs w:val="30"/>
          <w:lang w:val="en-US" w:bidi="zh-CN"/>
        </w:rPr>
        <w:t>2.8环境保护目标</w:t>
      </w:r>
      <w:bookmarkEnd w:id="115"/>
    </w:p>
    <w:p w14:paraId="5424C23C">
      <w:pPr>
        <w:pStyle w:val="16"/>
        <w:kinsoku w:val="0"/>
        <w:overflowPunct w:val="0"/>
        <w:spacing w:after="0" w:line="360" w:lineRule="auto"/>
        <w:ind w:firstLine="482"/>
        <w:rPr>
          <w:rFonts w:hint="eastAsia" w:ascii="宋体" w:hAnsi="宋体" w:cs="宋体"/>
          <w:sz w:val="24"/>
          <w:szCs w:val="24"/>
          <w:lang w:val="en-US"/>
        </w:rPr>
      </w:pPr>
      <w:r>
        <w:rPr>
          <w:rFonts w:hint="eastAsia" w:ascii="宋体" w:hAnsi="宋体" w:cs="宋体"/>
          <w:sz w:val="24"/>
          <w:szCs w:val="24"/>
          <w:lang w:val="en-US"/>
        </w:rPr>
        <w:t>项目位于新疆库尔勒市普惠乡润疆社区四分场库尔勒惠泉工贸有限公司厂区内，评价范围内无自然保护区、风景名胜区、饮用水水源保护区、野生动物重要栖息地、重点保护野生植物生长繁殖地等环境敏感区，评价范围内环境保护目标包括：①项目区东侧约1030m处的普惠农场三队居民区、东北侧约2240m处的普惠农场二队居民区、西北侧约650m处的普惠农场八队居民区；②项目区东侧、西侧和南侧的处农田。</w:t>
      </w:r>
    </w:p>
    <w:p w14:paraId="213C5E3A">
      <w:pPr>
        <w:pStyle w:val="16"/>
        <w:kinsoku w:val="0"/>
        <w:overflowPunct w:val="0"/>
        <w:spacing w:after="0" w:line="360" w:lineRule="auto"/>
        <w:ind w:firstLine="482"/>
        <w:rPr>
          <w:rFonts w:hint="eastAsia" w:ascii="宋体" w:hAnsi="宋体" w:cs="宋体"/>
          <w:sz w:val="24"/>
          <w:szCs w:val="24"/>
          <w:lang w:val="en-US"/>
        </w:rPr>
      </w:pPr>
      <w:r>
        <w:rPr>
          <w:rFonts w:hint="eastAsia" w:ascii="宋体" w:hAnsi="宋体" w:cs="宋体"/>
          <w:sz w:val="24"/>
          <w:szCs w:val="24"/>
          <w:lang w:val="en-US"/>
        </w:rPr>
        <w:t>主要环境保护目标见表2.8-1和项目周边关系及环境敏感目标分布图2.8-1。</w:t>
      </w:r>
    </w:p>
    <w:p w14:paraId="23F79629">
      <w:pPr>
        <w:pStyle w:val="233"/>
        <w:ind w:firstLine="0"/>
        <w:jc w:val="center"/>
        <w:rPr>
          <w:rFonts w:hint="eastAsia" w:ascii="宋体" w:hAnsi="宋体"/>
          <w:b/>
          <w:bCs/>
          <w:szCs w:val="21"/>
        </w:rPr>
      </w:pPr>
      <w:r>
        <w:rPr>
          <w:rFonts w:hint="eastAsia" w:cs="Times New Roman"/>
          <w:b/>
          <w:szCs w:val="21"/>
        </w:rPr>
        <w:t>表2.8-1     主要环境保护目标</w:t>
      </w:r>
    </w:p>
    <w:tbl>
      <w:tblPr>
        <w:tblStyle w:val="49"/>
        <w:tblW w:w="4958"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726"/>
        <w:gridCol w:w="1325"/>
        <w:gridCol w:w="1150"/>
        <w:gridCol w:w="1150"/>
        <w:gridCol w:w="800"/>
        <w:gridCol w:w="994"/>
        <w:gridCol w:w="1051"/>
        <w:gridCol w:w="861"/>
        <w:gridCol w:w="1098"/>
      </w:tblGrid>
      <w:tr w14:paraId="38CD8DD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89" w:hRule="atLeast"/>
        </w:trPr>
        <w:tc>
          <w:tcPr>
            <w:tcW w:w="396" w:type="pct"/>
            <w:vMerge w:val="restart"/>
            <w:tcBorders>
              <w:tl2br w:val="nil"/>
              <w:tr2bl w:val="nil"/>
            </w:tcBorders>
            <w:vAlign w:val="center"/>
          </w:tcPr>
          <w:p w14:paraId="6C487A7C">
            <w:pPr>
              <w:adjustRightInd w:val="0"/>
              <w:snapToGrid w:val="0"/>
              <w:spacing w:line="320" w:lineRule="exact"/>
              <w:jc w:val="center"/>
              <w:rPr>
                <w:szCs w:val="21"/>
              </w:rPr>
            </w:pPr>
            <w:r>
              <w:rPr>
                <w:szCs w:val="21"/>
              </w:rPr>
              <w:t>环境</w:t>
            </w:r>
          </w:p>
          <w:p w14:paraId="338FCDD9">
            <w:pPr>
              <w:adjustRightInd w:val="0"/>
              <w:snapToGrid w:val="0"/>
              <w:spacing w:line="320" w:lineRule="exact"/>
              <w:jc w:val="center"/>
              <w:rPr>
                <w:szCs w:val="21"/>
              </w:rPr>
            </w:pPr>
            <w:r>
              <w:rPr>
                <w:szCs w:val="21"/>
              </w:rPr>
              <w:t>要素</w:t>
            </w:r>
          </w:p>
        </w:tc>
        <w:tc>
          <w:tcPr>
            <w:tcW w:w="723" w:type="pct"/>
            <w:vMerge w:val="restart"/>
            <w:tcBorders>
              <w:tl2br w:val="nil"/>
              <w:tr2bl w:val="nil"/>
            </w:tcBorders>
            <w:vAlign w:val="center"/>
          </w:tcPr>
          <w:p w14:paraId="2ED8DFC4">
            <w:pPr>
              <w:adjustRightInd w:val="0"/>
              <w:snapToGrid w:val="0"/>
              <w:spacing w:line="320" w:lineRule="exact"/>
              <w:jc w:val="center"/>
              <w:rPr>
                <w:szCs w:val="21"/>
              </w:rPr>
            </w:pPr>
            <w:r>
              <w:rPr>
                <w:rFonts w:hint="eastAsia"/>
                <w:szCs w:val="21"/>
              </w:rPr>
              <w:t>保护对象</w:t>
            </w:r>
          </w:p>
        </w:tc>
        <w:tc>
          <w:tcPr>
            <w:tcW w:w="1256" w:type="pct"/>
            <w:gridSpan w:val="2"/>
            <w:tcBorders>
              <w:tl2br w:val="nil"/>
              <w:tr2bl w:val="nil"/>
            </w:tcBorders>
            <w:vAlign w:val="center"/>
          </w:tcPr>
          <w:p w14:paraId="510D2530">
            <w:pPr>
              <w:adjustRightInd w:val="0"/>
              <w:snapToGrid w:val="0"/>
              <w:spacing w:line="320" w:lineRule="exact"/>
              <w:jc w:val="center"/>
              <w:rPr>
                <w:szCs w:val="21"/>
              </w:rPr>
            </w:pPr>
            <w:r>
              <w:rPr>
                <w:szCs w:val="21"/>
              </w:rPr>
              <w:t>坐标/m</w:t>
            </w:r>
          </w:p>
        </w:tc>
        <w:tc>
          <w:tcPr>
            <w:tcW w:w="436" w:type="pct"/>
            <w:vMerge w:val="restart"/>
            <w:tcBorders>
              <w:tl2br w:val="nil"/>
              <w:tr2bl w:val="nil"/>
            </w:tcBorders>
            <w:vAlign w:val="center"/>
          </w:tcPr>
          <w:p w14:paraId="00588B1E">
            <w:pPr>
              <w:adjustRightInd w:val="0"/>
              <w:snapToGrid w:val="0"/>
              <w:spacing w:line="320" w:lineRule="exact"/>
              <w:jc w:val="center"/>
              <w:rPr>
                <w:szCs w:val="21"/>
              </w:rPr>
            </w:pPr>
            <w:r>
              <w:rPr>
                <w:szCs w:val="21"/>
              </w:rPr>
              <w:t>保护</w:t>
            </w:r>
          </w:p>
          <w:p w14:paraId="5FDDA7DB">
            <w:pPr>
              <w:adjustRightInd w:val="0"/>
              <w:snapToGrid w:val="0"/>
              <w:spacing w:line="320" w:lineRule="exact"/>
              <w:jc w:val="center"/>
              <w:rPr>
                <w:szCs w:val="21"/>
              </w:rPr>
            </w:pPr>
            <w:r>
              <w:rPr>
                <w:szCs w:val="21"/>
              </w:rPr>
              <w:t>内容</w:t>
            </w:r>
          </w:p>
        </w:tc>
        <w:tc>
          <w:tcPr>
            <w:tcW w:w="542" w:type="pct"/>
            <w:vMerge w:val="restart"/>
            <w:tcBorders>
              <w:tl2br w:val="nil"/>
              <w:tr2bl w:val="nil"/>
            </w:tcBorders>
            <w:vAlign w:val="center"/>
          </w:tcPr>
          <w:p w14:paraId="488A3785">
            <w:pPr>
              <w:adjustRightInd w:val="0"/>
              <w:snapToGrid w:val="0"/>
              <w:spacing w:line="320" w:lineRule="exact"/>
              <w:jc w:val="center"/>
              <w:rPr>
                <w:szCs w:val="21"/>
              </w:rPr>
            </w:pPr>
            <w:r>
              <w:rPr>
                <w:szCs w:val="21"/>
              </w:rPr>
              <w:t>保护</w:t>
            </w:r>
            <w:r>
              <w:rPr>
                <w:rFonts w:hint="eastAsia"/>
                <w:szCs w:val="21"/>
              </w:rPr>
              <w:t>对象规模</w:t>
            </w:r>
          </w:p>
        </w:tc>
        <w:tc>
          <w:tcPr>
            <w:tcW w:w="574" w:type="pct"/>
            <w:vMerge w:val="restart"/>
            <w:tcBorders>
              <w:tl2br w:val="nil"/>
              <w:tr2bl w:val="nil"/>
            </w:tcBorders>
            <w:vAlign w:val="center"/>
          </w:tcPr>
          <w:p w14:paraId="7980CFE4">
            <w:pPr>
              <w:adjustRightInd w:val="0"/>
              <w:snapToGrid w:val="0"/>
              <w:spacing w:line="320" w:lineRule="exact"/>
              <w:jc w:val="center"/>
              <w:rPr>
                <w:szCs w:val="21"/>
              </w:rPr>
            </w:pPr>
            <w:r>
              <w:rPr>
                <w:szCs w:val="21"/>
              </w:rPr>
              <w:t>环境功能</w:t>
            </w:r>
          </w:p>
        </w:tc>
        <w:tc>
          <w:tcPr>
            <w:tcW w:w="470" w:type="pct"/>
            <w:vMerge w:val="restart"/>
            <w:tcBorders>
              <w:tl2br w:val="nil"/>
              <w:tr2bl w:val="nil"/>
            </w:tcBorders>
            <w:vAlign w:val="center"/>
          </w:tcPr>
          <w:p w14:paraId="5DB45137">
            <w:pPr>
              <w:adjustRightInd w:val="0"/>
              <w:snapToGrid w:val="0"/>
              <w:spacing w:line="320" w:lineRule="exact"/>
              <w:jc w:val="center"/>
              <w:rPr>
                <w:szCs w:val="21"/>
              </w:rPr>
            </w:pPr>
            <w:r>
              <w:rPr>
                <w:szCs w:val="21"/>
              </w:rPr>
              <w:t>相对场址方位</w:t>
            </w:r>
          </w:p>
        </w:tc>
        <w:tc>
          <w:tcPr>
            <w:tcW w:w="599" w:type="pct"/>
            <w:vMerge w:val="restart"/>
            <w:tcBorders>
              <w:tl2br w:val="nil"/>
              <w:tr2bl w:val="nil"/>
            </w:tcBorders>
            <w:vAlign w:val="center"/>
          </w:tcPr>
          <w:p w14:paraId="699CA0B1">
            <w:pPr>
              <w:adjustRightInd w:val="0"/>
              <w:snapToGrid w:val="0"/>
              <w:spacing w:line="320" w:lineRule="exact"/>
              <w:jc w:val="center"/>
              <w:rPr>
                <w:szCs w:val="21"/>
              </w:rPr>
            </w:pPr>
            <w:r>
              <w:rPr>
                <w:szCs w:val="21"/>
              </w:rPr>
              <w:t>相对厂界距离/m</w:t>
            </w:r>
          </w:p>
        </w:tc>
      </w:tr>
      <w:tr w14:paraId="7EECEF7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89" w:hRule="atLeast"/>
        </w:trPr>
        <w:tc>
          <w:tcPr>
            <w:tcW w:w="396" w:type="pct"/>
            <w:vMerge w:val="continue"/>
            <w:tcBorders>
              <w:tl2br w:val="nil"/>
              <w:tr2bl w:val="nil"/>
            </w:tcBorders>
            <w:vAlign w:val="center"/>
          </w:tcPr>
          <w:p w14:paraId="40C7BF15">
            <w:pPr>
              <w:adjustRightInd w:val="0"/>
              <w:snapToGrid w:val="0"/>
              <w:spacing w:line="320" w:lineRule="exact"/>
              <w:jc w:val="center"/>
              <w:rPr>
                <w:szCs w:val="21"/>
              </w:rPr>
            </w:pPr>
          </w:p>
        </w:tc>
        <w:tc>
          <w:tcPr>
            <w:tcW w:w="723" w:type="pct"/>
            <w:vMerge w:val="continue"/>
            <w:tcBorders>
              <w:tl2br w:val="nil"/>
              <w:tr2bl w:val="nil"/>
            </w:tcBorders>
            <w:vAlign w:val="center"/>
          </w:tcPr>
          <w:p w14:paraId="49FA6F21">
            <w:pPr>
              <w:adjustRightInd w:val="0"/>
              <w:snapToGrid w:val="0"/>
              <w:spacing w:line="320" w:lineRule="exact"/>
              <w:jc w:val="center"/>
              <w:rPr>
                <w:szCs w:val="21"/>
              </w:rPr>
            </w:pPr>
          </w:p>
        </w:tc>
        <w:tc>
          <w:tcPr>
            <w:tcW w:w="628" w:type="pct"/>
            <w:tcBorders>
              <w:tl2br w:val="nil"/>
              <w:tr2bl w:val="nil"/>
            </w:tcBorders>
            <w:vAlign w:val="center"/>
          </w:tcPr>
          <w:p w14:paraId="27863169">
            <w:pPr>
              <w:adjustRightInd w:val="0"/>
              <w:snapToGrid w:val="0"/>
              <w:spacing w:line="320" w:lineRule="exact"/>
              <w:jc w:val="center"/>
              <w:rPr>
                <w:szCs w:val="21"/>
              </w:rPr>
            </w:pPr>
            <w:r>
              <w:rPr>
                <w:rFonts w:hint="eastAsia"/>
                <w:szCs w:val="21"/>
              </w:rPr>
              <w:t>东经</w:t>
            </w:r>
          </w:p>
        </w:tc>
        <w:tc>
          <w:tcPr>
            <w:tcW w:w="628" w:type="pct"/>
            <w:tcBorders>
              <w:tl2br w:val="nil"/>
              <w:tr2bl w:val="nil"/>
            </w:tcBorders>
            <w:vAlign w:val="center"/>
          </w:tcPr>
          <w:p w14:paraId="62225C9D">
            <w:pPr>
              <w:adjustRightInd w:val="0"/>
              <w:snapToGrid w:val="0"/>
              <w:spacing w:line="320" w:lineRule="exact"/>
              <w:jc w:val="center"/>
              <w:rPr>
                <w:szCs w:val="21"/>
              </w:rPr>
            </w:pPr>
            <w:r>
              <w:rPr>
                <w:rFonts w:hint="eastAsia"/>
                <w:szCs w:val="21"/>
              </w:rPr>
              <w:t>北纬</w:t>
            </w:r>
          </w:p>
        </w:tc>
        <w:tc>
          <w:tcPr>
            <w:tcW w:w="436" w:type="pct"/>
            <w:vMerge w:val="continue"/>
            <w:tcBorders>
              <w:tl2br w:val="nil"/>
              <w:tr2bl w:val="nil"/>
            </w:tcBorders>
            <w:vAlign w:val="center"/>
          </w:tcPr>
          <w:p w14:paraId="5B47DA36">
            <w:pPr>
              <w:adjustRightInd w:val="0"/>
              <w:snapToGrid w:val="0"/>
              <w:spacing w:line="320" w:lineRule="exact"/>
              <w:jc w:val="center"/>
              <w:rPr>
                <w:szCs w:val="21"/>
              </w:rPr>
            </w:pPr>
          </w:p>
        </w:tc>
        <w:tc>
          <w:tcPr>
            <w:tcW w:w="542" w:type="pct"/>
            <w:vMerge w:val="continue"/>
            <w:tcBorders>
              <w:tl2br w:val="nil"/>
              <w:tr2bl w:val="nil"/>
            </w:tcBorders>
            <w:vAlign w:val="center"/>
          </w:tcPr>
          <w:p w14:paraId="6E8B2806">
            <w:pPr>
              <w:adjustRightInd w:val="0"/>
              <w:snapToGrid w:val="0"/>
              <w:spacing w:line="320" w:lineRule="exact"/>
              <w:jc w:val="center"/>
              <w:rPr>
                <w:szCs w:val="21"/>
              </w:rPr>
            </w:pPr>
          </w:p>
        </w:tc>
        <w:tc>
          <w:tcPr>
            <w:tcW w:w="574" w:type="pct"/>
            <w:vMerge w:val="continue"/>
            <w:tcBorders>
              <w:tl2br w:val="nil"/>
              <w:tr2bl w:val="nil"/>
            </w:tcBorders>
            <w:vAlign w:val="center"/>
          </w:tcPr>
          <w:p w14:paraId="6B8B6949">
            <w:pPr>
              <w:adjustRightInd w:val="0"/>
              <w:snapToGrid w:val="0"/>
              <w:spacing w:line="320" w:lineRule="exact"/>
              <w:jc w:val="center"/>
              <w:rPr>
                <w:szCs w:val="21"/>
              </w:rPr>
            </w:pPr>
          </w:p>
        </w:tc>
        <w:tc>
          <w:tcPr>
            <w:tcW w:w="470" w:type="pct"/>
            <w:vMerge w:val="continue"/>
            <w:tcBorders>
              <w:tl2br w:val="nil"/>
              <w:tr2bl w:val="nil"/>
            </w:tcBorders>
            <w:vAlign w:val="center"/>
          </w:tcPr>
          <w:p w14:paraId="5E530024">
            <w:pPr>
              <w:adjustRightInd w:val="0"/>
              <w:snapToGrid w:val="0"/>
              <w:spacing w:line="320" w:lineRule="exact"/>
              <w:jc w:val="center"/>
              <w:rPr>
                <w:szCs w:val="21"/>
              </w:rPr>
            </w:pPr>
          </w:p>
        </w:tc>
        <w:tc>
          <w:tcPr>
            <w:tcW w:w="599" w:type="pct"/>
            <w:vMerge w:val="continue"/>
            <w:tcBorders>
              <w:tl2br w:val="nil"/>
              <w:tr2bl w:val="nil"/>
            </w:tcBorders>
            <w:vAlign w:val="center"/>
          </w:tcPr>
          <w:p w14:paraId="31395133">
            <w:pPr>
              <w:adjustRightInd w:val="0"/>
              <w:snapToGrid w:val="0"/>
              <w:spacing w:line="320" w:lineRule="exact"/>
              <w:jc w:val="center"/>
              <w:rPr>
                <w:szCs w:val="21"/>
              </w:rPr>
            </w:pPr>
          </w:p>
        </w:tc>
      </w:tr>
      <w:tr w14:paraId="514CF6D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9" w:hRule="atLeast"/>
        </w:trPr>
        <w:tc>
          <w:tcPr>
            <w:tcW w:w="396" w:type="pct"/>
            <w:vMerge w:val="restart"/>
            <w:tcBorders>
              <w:tl2br w:val="nil"/>
              <w:tr2bl w:val="nil"/>
            </w:tcBorders>
            <w:vAlign w:val="center"/>
          </w:tcPr>
          <w:p w14:paraId="62AC5FB5">
            <w:pPr>
              <w:adjustRightInd w:val="0"/>
              <w:snapToGrid w:val="0"/>
              <w:spacing w:line="320" w:lineRule="exact"/>
              <w:jc w:val="center"/>
              <w:rPr>
                <w:szCs w:val="21"/>
              </w:rPr>
            </w:pPr>
            <w:r>
              <w:rPr>
                <w:szCs w:val="21"/>
              </w:rPr>
              <w:t>环境</w:t>
            </w:r>
          </w:p>
          <w:p w14:paraId="09E07FBE">
            <w:pPr>
              <w:adjustRightInd w:val="0"/>
              <w:snapToGrid w:val="0"/>
              <w:spacing w:line="320" w:lineRule="exact"/>
              <w:jc w:val="center"/>
              <w:rPr>
                <w:szCs w:val="21"/>
              </w:rPr>
            </w:pPr>
            <w:r>
              <w:rPr>
                <w:szCs w:val="21"/>
              </w:rPr>
              <w:t>空气</w:t>
            </w:r>
          </w:p>
        </w:tc>
        <w:tc>
          <w:tcPr>
            <w:tcW w:w="723" w:type="pct"/>
            <w:tcBorders>
              <w:tl2br w:val="nil"/>
              <w:tr2bl w:val="nil"/>
            </w:tcBorders>
            <w:vAlign w:val="center"/>
          </w:tcPr>
          <w:p w14:paraId="04915F76">
            <w:pPr>
              <w:adjustRightInd w:val="0"/>
              <w:snapToGrid w:val="0"/>
              <w:spacing w:line="320" w:lineRule="exact"/>
              <w:jc w:val="center"/>
              <w:rPr>
                <w:szCs w:val="21"/>
              </w:rPr>
            </w:pPr>
            <w:r>
              <w:rPr>
                <w:rFonts w:hint="eastAsia"/>
                <w:szCs w:val="21"/>
              </w:rPr>
              <w:t>普惠农场三队居民区</w:t>
            </w:r>
          </w:p>
        </w:tc>
        <w:tc>
          <w:tcPr>
            <w:tcW w:w="628" w:type="pct"/>
            <w:tcBorders>
              <w:tl2br w:val="nil"/>
              <w:tr2bl w:val="nil"/>
            </w:tcBorders>
            <w:vAlign w:val="center"/>
          </w:tcPr>
          <w:p w14:paraId="5807F7A0">
            <w:pPr>
              <w:adjustRightInd w:val="0"/>
              <w:snapToGrid w:val="0"/>
              <w:spacing w:line="320" w:lineRule="exact"/>
              <w:jc w:val="center"/>
              <w:rPr>
                <w:rFonts w:hint="default" w:eastAsia="宋体"/>
                <w:szCs w:val="21"/>
                <w:lang w:val="en-US" w:eastAsia="zh-CN"/>
              </w:rPr>
            </w:pPr>
            <w:r>
              <w:rPr>
                <w:rFonts w:hint="eastAsia"/>
                <w:szCs w:val="21"/>
              </w:rPr>
              <w:t>85.853</w:t>
            </w:r>
            <w:r>
              <w:rPr>
                <w:rFonts w:hint="eastAsia"/>
                <w:szCs w:val="21"/>
                <w:lang w:val="en-US" w:eastAsia="zh-CN"/>
              </w:rPr>
              <w:t>432</w:t>
            </w:r>
          </w:p>
        </w:tc>
        <w:tc>
          <w:tcPr>
            <w:tcW w:w="628" w:type="pct"/>
            <w:tcBorders>
              <w:tl2br w:val="nil"/>
              <w:tr2bl w:val="nil"/>
            </w:tcBorders>
            <w:vAlign w:val="center"/>
          </w:tcPr>
          <w:p w14:paraId="44B39316">
            <w:pPr>
              <w:adjustRightInd w:val="0"/>
              <w:snapToGrid w:val="0"/>
              <w:spacing w:line="320" w:lineRule="exact"/>
              <w:jc w:val="center"/>
              <w:rPr>
                <w:rFonts w:hint="default" w:eastAsia="宋体"/>
                <w:szCs w:val="21"/>
                <w:lang w:val="en-US" w:eastAsia="zh-CN"/>
              </w:rPr>
            </w:pPr>
            <w:r>
              <w:rPr>
                <w:rFonts w:hint="eastAsia"/>
                <w:szCs w:val="21"/>
              </w:rPr>
              <w:t>41.413</w:t>
            </w:r>
            <w:r>
              <w:rPr>
                <w:rFonts w:hint="eastAsia"/>
                <w:szCs w:val="21"/>
                <w:lang w:val="en-US" w:eastAsia="zh-CN"/>
              </w:rPr>
              <w:t>153</w:t>
            </w:r>
          </w:p>
        </w:tc>
        <w:tc>
          <w:tcPr>
            <w:tcW w:w="436" w:type="pct"/>
            <w:vMerge w:val="restart"/>
            <w:tcBorders>
              <w:tl2br w:val="nil"/>
              <w:tr2bl w:val="nil"/>
            </w:tcBorders>
            <w:vAlign w:val="center"/>
          </w:tcPr>
          <w:p w14:paraId="381E844A">
            <w:pPr>
              <w:adjustRightInd w:val="0"/>
              <w:snapToGrid w:val="0"/>
              <w:spacing w:line="320" w:lineRule="exact"/>
              <w:jc w:val="center"/>
              <w:rPr>
                <w:szCs w:val="21"/>
              </w:rPr>
            </w:pPr>
            <w:r>
              <w:rPr>
                <w:rFonts w:hint="eastAsia"/>
                <w:szCs w:val="21"/>
              </w:rPr>
              <w:t>居住区</w:t>
            </w:r>
          </w:p>
        </w:tc>
        <w:tc>
          <w:tcPr>
            <w:tcW w:w="542" w:type="pct"/>
            <w:tcBorders>
              <w:tl2br w:val="nil"/>
              <w:tr2bl w:val="nil"/>
            </w:tcBorders>
            <w:vAlign w:val="center"/>
          </w:tcPr>
          <w:p w14:paraId="05C5E7CC">
            <w:pPr>
              <w:adjustRightInd w:val="0"/>
              <w:snapToGrid w:val="0"/>
              <w:spacing w:line="320" w:lineRule="exact"/>
              <w:jc w:val="center"/>
              <w:rPr>
                <w:szCs w:val="21"/>
              </w:rPr>
            </w:pPr>
            <w:r>
              <w:rPr>
                <w:rFonts w:hint="eastAsia"/>
                <w:szCs w:val="21"/>
              </w:rPr>
              <w:t>约64户201</w:t>
            </w:r>
            <w:r>
              <w:rPr>
                <w:szCs w:val="21"/>
              </w:rPr>
              <w:t>人</w:t>
            </w:r>
          </w:p>
        </w:tc>
        <w:tc>
          <w:tcPr>
            <w:tcW w:w="574" w:type="pct"/>
            <w:vMerge w:val="restart"/>
            <w:tcBorders>
              <w:tl2br w:val="nil"/>
              <w:tr2bl w:val="nil"/>
            </w:tcBorders>
            <w:vAlign w:val="center"/>
          </w:tcPr>
          <w:p w14:paraId="145A3994">
            <w:pPr>
              <w:adjustRightInd w:val="0"/>
              <w:snapToGrid w:val="0"/>
              <w:spacing w:line="320" w:lineRule="exact"/>
              <w:jc w:val="center"/>
              <w:rPr>
                <w:szCs w:val="21"/>
              </w:rPr>
            </w:pPr>
            <w:r>
              <w:rPr>
                <w:szCs w:val="21"/>
              </w:rPr>
              <w:t>大气环境二类区</w:t>
            </w:r>
          </w:p>
        </w:tc>
        <w:tc>
          <w:tcPr>
            <w:tcW w:w="470" w:type="pct"/>
            <w:tcBorders>
              <w:tl2br w:val="nil"/>
              <w:tr2bl w:val="nil"/>
            </w:tcBorders>
            <w:vAlign w:val="center"/>
          </w:tcPr>
          <w:p w14:paraId="645FACA5">
            <w:pPr>
              <w:adjustRightInd w:val="0"/>
              <w:snapToGrid w:val="0"/>
              <w:spacing w:line="320" w:lineRule="exact"/>
              <w:jc w:val="center"/>
              <w:rPr>
                <w:szCs w:val="21"/>
              </w:rPr>
            </w:pPr>
            <w:r>
              <w:rPr>
                <w:rFonts w:hint="eastAsia"/>
                <w:szCs w:val="21"/>
              </w:rPr>
              <w:t>东</w:t>
            </w:r>
            <w:r>
              <w:rPr>
                <w:szCs w:val="21"/>
              </w:rPr>
              <w:t>侧</w:t>
            </w:r>
          </w:p>
        </w:tc>
        <w:tc>
          <w:tcPr>
            <w:tcW w:w="599" w:type="pct"/>
            <w:tcBorders>
              <w:tl2br w:val="nil"/>
              <w:tr2bl w:val="nil"/>
            </w:tcBorders>
            <w:vAlign w:val="center"/>
          </w:tcPr>
          <w:p w14:paraId="456F1387">
            <w:pPr>
              <w:adjustRightInd w:val="0"/>
              <w:snapToGrid w:val="0"/>
              <w:spacing w:line="320" w:lineRule="exact"/>
              <w:jc w:val="center"/>
              <w:rPr>
                <w:szCs w:val="21"/>
              </w:rPr>
            </w:pPr>
            <w:r>
              <w:rPr>
                <w:rFonts w:hint="eastAsia"/>
                <w:szCs w:val="21"/>
              </w:rPr>
              <w:t>1.03km</w:t>
            </w:r>
          </w:p>
        </w:tc>
      </w:tr>
      <w:tr w14:paraId="1D22954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9" w:hRule="atLeast"/>
        </w:trPr>
        <w:tc>
          <w:tcPr>
            <w:tcW w:w="396" w:type="pct"/>
            <w:vMerge w:val="continue"/>
            <w:tcBorders>
              <w:tl2br w:val="nil"/>
              <w:tr2bl w:val="nil"/>
            </w:tcBorders>
            <w:vAlign w:val="center"/>
          </w:tcPr>
          <w:p w14:paraId="10A74771">
            <w:pPr>
              <w:adjustRightInd w:val="0"/>
              <w:snapToGrid w:val="0"/>
              <w:spacing w:line="320" w:lineRule="exact"/>
              <w:jc w:val="center"/>
              <w:rPr>
                <w:szCs w:val="21"/>
              </w:rPr>
            </w:pPr>
          </w:p>
        </w:tc>
        <w:tc>
          <w:tcPr>
            <w:tcW w:w="723" w:type="pct"/>
            <w:tcBorders>
              <w:tl2br w:val="nil"/>
              <w:tr2bl w:val="nil"/>
            </w:tcBorders>
            <w:vAlign w:val="center"/>
          </w:tcPr>
          <w:p w14:paraId="7C6C74A4">
            <w:pPr>
              <w:adjustRightInd w:val="0"/>
              <w:snapToGrid w:val="0"/>
              <w:spacing w:line="320" w:lineRule="exact"/>
              <w:jc w:val="center"/>
              <w:rPr>
                <w:szCs w:val="21"/>
              </w:rPr>
            </w:pPr>
            <w:r>
              <w:rPr>
                <w:rFonts w:hint="eastAsia"/>
                <w:szCs w:val="21"/>
              </w:rPr>
              <w:t>普惠农场二队居民区</w:t>
            </w:r>
          </w:p>
        </w:tc>
        <w:tc>
          <w:tcPr>
            <w:tcW w:w="628" w:type="pct"/>
            <w:tcBorders>
              <w:tl2br w:val="nil"/>
              <w:tr2bl w:val="nil"/>
            </w:tcBorders>
            <w:vAlign w:val="center"/>
          </w:tcPr>
          <w:p w14:paraId="67C3B96D">
            <w:pPr>
              <w:adjustRightInd w:val="0"/>
              <w:snapToGrid w:val="0"/>
              <w:spacing w:line="320" w:lineRule="exact"/>
              <w:jc w:val="center"/>
              <w:rPr>
                <w:rFonts w:hint="default" w:eastAsia="宋体"/>
                <w:szCs w:val="21"/>
                <w:lang w:val="en-US" w:eastAsia="zh-CN"/>
              </w:rPr>
            </w:pPr>
            <w:r>
              <w:rPr>
                <w:rFonts w:hint="eastAsia"/>
                <w:szCs w:val="21"/>
                <w:lang w:val="en-US" w:eastAsia="zh-CN"/>
              </w:rPr>
              <w:t>85.864804</w:t>
            </w:r>
          </w:p>
        </w:tc>
        <w:tc>
          <w:tcPr>
            <w:tcW w:w="628" w:type="pct"/>
            <w:tcBorders>
              <w:tl2br w:val="nil"/>
              <w:tr2bl w:val="nil"/>
            </w:tcBorders>
            <w:vAlign w:val="center"/>
          </w:tcPr>
          <w:p w14:paraId="5AAD828E">
            <w:pPr>
              <w:adjustRightInd w:val="0"/>
              <w:snapToGrid w:val="0"/>
              <w:spacing w:line="320" w:lineRule="exact"/>
              <w:jc w:val="center"/>
              <w:rPr>
                <w:rFonts w:hint="default" w:eastAsia="宋体"/>
                <w:szCs w:val="21"/>
                <w:lang w:val="en-US" w:eastAsia="zh-CN"/>
              </w:rPr>
            </w:pPr>
            <w:r>
              <w:rPr>
                <w:rFonts w:hint="eastAsia"/>
                <w:szCs w:val="21"/>
              </w:rPr>
              <w:t>41.</w:t>
            </w:r>
            <w:r>
              <w:rPr>
                <w:rFonts w:hint="eastAsia"/>
                <w:szCs w:val="21"/>
                <w:lang w:val="en-US" w:eastAsia="zh-CN"/>
              </w:rPr>
              <w:t>425298</w:t>
            </w:r>
          </w:p>
        </w:tc>
        <w:tc>
          <w:tcPr>
            <w:tcW w:w="436" w:type="pct"/>
            <w:vMerge w:val="continue"/>
            <w:tcBorders>
              <w:tl2br w:val="nil"/>
              <w:tr2bl w:val="nil"/>
            </w:tcBorders>
            <w:vAlign w:val="center"/>
          </w:tcPr>
          <w:p w14:paraId="4D767A5F">
            <w:pPr>
              <w:adjustRightInd w:val="0"/>
              <w:snapToGrid w:val="0"/>
              <w:spacing w:line="320" w:lineRule="exact"/>
              <w:jc w:val="center"/>
              <w:rPr>
                <w:szCs w:val="21"/>
              </w:rPr>
            </w:pPr>
          </w:p>
        </w:tc>
        <w:tc>
          <w:tcPr>
            <w:tcW w:w="542" w:type="pct"/>
            <w:tcBorders>
              <w:tl2br w:val="nil"/>
              <w:tr2bl w:val="nil"/>
            </w:tcBorders>
            <w:vAlign w:val="center"/>
          </w:tcPr>
          <w:p w14:paraId="554160DB">
            <w:pPr>
              <w:adjustRightInd w:val="0"/>
              <w:snapToGrid w:val="0"/>
              <w:spacing w:line="320" w:lineRule="exact"/>
              <w:jc w:val="center"/>
              <w:rPr>
                <w:szCs w:val="21"/>
              </w:rPr>
            </w:pPr>
            <w:r>
              <w:rPr>
                <w:rFonts w:hint="eastAsia"/>
                <w:szCs w:val="21"/>
              </w:rPr>
              <w:t>约24户97</w:t>
            </w:r>
            <w:r>
              <w:rPr>
                <w:szCs w:val="21"/>
              </w:rPr>
              <w:t>人</w:t>
            </w:r>
          </w:p>
        </w:tc>
        <w:tc>
          <w:tcPr>
            <w:tcW w:w="574" w:type="pct"/>
            <w:vMerge w:val="continue"/>
            <w:tcBorders>
              <w:tl2br w:val="nil"/>
              <w:tr2bl w:val="nil"/>
            </w:tcBorders>
            <w:vAlign w:val="center"/>
          </w:tcPr>
          <w:p w14:paraId="482DA34D">
            <w:pPr>
              <w:adjustRightInd w:val="0"/>
              <w:snapToGrid w:val="0"/>
              <w:spacing w:line="320" w:lineRule="exact"/>
              <w:jc w:val="center"/>
              <w:rPr>
                <w:szCs w:val="21"/>
              </w:rPr>
            </w:pPr>
          </w:p>
        </w:tc>
        <w:tc>
          <w:tcPr>
            <w:tcW w:w="470" w:type="pct"/>
            <w:tcBorders>
              <w:tl2br w:val="nil"/>
              <w:tr2bl w:val="nil"/>
            </w:tcBorders>
            <w:vAlign w:val="center"/>
          </w:tcPr>
          <w:p w14:paraId="19DE9079">
            <w:pPr>
              <w:adjustRightInd w:val="0"/>
              <w:snapToGrid w:val="0"/>
              <w:spacing w:line="320" w:lineRule="exact"/>
              <w:jc w:val="center"/>
              <w:rPr>
                <w:szCs w:val="21"/>
              </w:rPr>
            </w:pPr>
            <w:r>
              <w:rPr>
                <w:rFonts w:hint="eastAsia"/>
                <w:szCs w:val="21"/>
              </w:rPr>
              <w:t>东北侧</w:t>
            </w:r>
          </w:p>
        </w:tc>
        <w:tc>
          <w:tcPr>
            <w:tcW w:w="599" w:type="pct"/>
            <w:tcBorders>
              <w:tl2br w:val="nil"/>
              <w:tr2bl w:val="nil"/>
            </w:tcBorders>
            <w:vAlign w:val="center"/>
          </w:tcPr>
          <w:p w14:paraId="0A594116">
            <w:pPr>
              <w:adjustRightInd w:val="0"/>
              <w:snapToGrid w:val="0"/>
              <w:spacing w:line="320" w:lineRule="exact"/>
              <w:jc w:val="center"/>
              <w:rPr>
                <w:szCs w:val="21"/>
              </w:rPr>
            </w:pPr>
            <w:r>
              <w:rPr>
                <w:rFonts w:hint="eastAsia"/>
                <w:szCs w:val="21"/>
              </w:rPr>
              <w:t>2.24km</w:t>
            </w:r>
          </w:p>
        </w:tc>
      </w:tr>
      <w:tr w14:paraId="6C4B319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89" w:hRule="atLeast"/>
        </w:trPr>
        <w:tc>
          <w:tcPr>
            <w:tcW w:w="396" w:type="pct"/>
            <w:vMerge w:val="continue"/>
            <w:tcBorders>
              <w:tl2br w:val="nil"/>
              <w:tr2bl w:val="nil"/>
            </w:tcBorders>
            <w:vAlign w:val="center"/>
          </w:tcPr>
          <w:p w14:paraId="52C585AE">
            <w:pPr>
              <w:adjustRightInd w:val="0"/>
              <w:snapToGrid w:val="0"/>
              <w:spacing w:line="320" w:lineRule="exact"/>
              <w:jc w:val="center"/>
              <w:rPr>
                <w:szCs w:val="21"/>
              </w:rPr>
            </w:pPr>
          </w:p>
        </w:tc>
        <w:tc>
          <w:tcPr>
            <w:tcW w:w="723" w:type="pct"/>
            <w:tcBorders>
              <w:tl2br w:val="nil"/>
              <w:tr2bl w:val="nil"/>
            </w:tcBorders>
            <w:vAlign w:val="center"/>
          </w:tcPr>
          <w:p w14:paraId="7EA64996">
            <w:pPr>
              <w:adjustRightInd w:val="0"/>
              <w:snapToGrid w:val="0"/>
              <w:spacing w:line="320" w:lineRule="exact"/>
              <w:jc w:val="center"/>
              <w:rPr>
                <w:szCs w:val="21"/>
              </w:rPr>
            </w:pPr>
            <w:r>
              <w:rPr>
                <w:rFonts w:hint="eastAsia"/>
                <w:szCs w:val="21"/>
              </w:rPr>
              <w:t>普惠农场八队居民区</w:t>
            </w:r>
          </w:p>
        </w:tc>
        <w:tc>
          <w:tcPr>
            <w:tcW w:w="628" w:type="pct"/>
            <w:tcBorders>
              <w:tl2br w:val="nil"/>
              <w:tr2bl w:val="nil"/>
            </w:tcBorders>
            <w:vAlign w:val="center"/>
          </w:tcPr>
          <w:p w14:paraId="4C61F67A">
            <w:pPr>
              <w:adjustRightInd w:val="0"/>
              <w:snapToGrid w:val="0"/>
              <w:spacing w:line="320" w:lineRule="exact"/>
              <w:jc w:val="center"/>
              <w:rPr>
                <w:rFonts w:hint="default" w:eastAsia="宋体"/>
                <w:szCs w:val="21"/>
                <w:lang w:val="en-US" w:eastAsia="zh-CN"/>
              </w:rPr>
            </w:pPr>
            <w:r>
              <w:rPr>
                <w:rFonts w:hint="eastAsia"/>
                <w:szCs w:val="21"/>
              </w:rPr>
              <w:t>85.</w:t>
            </w:r>
            <w:r>
              <w:rPr>
                <w:rFonts w:hint="eastAsia"/>
                <w:szCs w:val="21"/>
                <w:lang w:val="en-US" w:eastAsia="zh-CN"/>
              </w:rPr>
              <w:t>831502</w:t>
            </w:r>
          </w:p>
        </w:tc>
        <w:tc>
          <w:tcPr>
            <w:tcW w:w="628" w:type="pct"/>
            <w:tcBorders>
              <w:tl2br w:val="nil"/>
              <w:tr2bl w:val="nil"/>
            </w:tcBorders>
            <w:vAlign w:val="center"/>
          </w:tcPr>
          <w:p w14:paraId="6539913E">
            <w:pPr>
              <w:adjustRightInd w:val="0"/>
              <w:snapToGrid w:val="0"/>
              <w:spacing w:line="320" w:lineRule="exact"/>
              <w:jc w:val="center"/>
              <w:rPr>
                <w:rFonts w:hint="default" w:eastAsia="宋体"/>
                <w:szCs w:val="21"/>
                <w:lang w:val="en-US" w:eastAsia="zh-CN"/>
              </w:rPr>
            </w:pPr>
            <w:r>
              <w:rPr>
                <w:rFonts w:hint="eastAsia"/>
                <w:szCs w:val="21"/>
              </w:rPr>
              <w:t>41.</w:t>
            </w:r>
            <w:r>
              <w:rPr>
                <w:rFonts w:hint="eastAsia"/>
                <w:szCs w:val="21"/>
                <w:lang w:val="en-US" w:eastAsia="zh-CN"/>
              </w:rPr>
              <w:t>423367</w:t>
            </w:r>
          </w:p>
        </w:tc>
        <w:tc>
          <w:tcPr>
            <w:tcW w:w="436" w:type="pct"/>
            <w:vMerge w:val="continue"/>
            <w:tcBorders>
              <w:tl2br w:val="nil"/>
              <w:tr2bl w:val="nil"/>
            </w:tcBorders>
            <w:vAlign w:val="center"/>
          </w:tcPr>
          <w:p w14:paraId="6C85D914">
            <w:pPr>
              <w:adjustRightInd w:val="0"/>
              <w:snapToGrid w:val="0"/>
              <w:spacing w:line="320" w:lineRule="exact"/>
              <w:jc w:val="center"/>
              <w:rPr>
                <w:szCs w:val="21"/>
              </w:rPr>
            </w:pPr>
          </w:p>
        </w:tc>
        <w:tc>
          <w:tcPr>
            <w:tcW w:w="542" w:type="pct"/>
            <w:tcBorders>
              <w:tl2br w:val="nil"/>
              <w:tr2bl w:val="nil"/>
            </w:tcBorders>
            <w:vAlign w:val="center"/>
          </w:tcPr>
          <w:p w14:paraId="65E5C122">
            <w:pPr>
              <w:adjustRightInd w:val="0"/>
              <w:snapToGrid w:val="0"/>
              <w:spacing w:line="320" w:lineRule="exact"/>
              <w:jc w:val="center"/>
              <w:rPr>
                <w:szCs w:val="21"/>
              </w:rPr>
            </w:pPr>
            <w:r>
              <w:rPr>
                <w:rFonts w:hint="eastAsia"/>
                <w:szCs w:val="21"/>
              </w:rPr>
              <w:t>约16户</w:t>
            </w:r>
          </w:p>
          <w:p w14:paraId="3A2F32B5">
            <w:pPr>
              <w:adjustRightInd w:val="0"/>
              <w:snapToGrid w:val="0"/>
              <w:spacing w:line="320" w:lineRule="exact"/>
              <w:jc w:val="center"/>
              <w:rPr>
                <w:szCs w:val="21"/>
              </w:rPr>
            </w:pPr>
            <w:r>
              <w:rPr>
                <w:rFonts w:hint="eastAsia"/>
                <w:szCs w:val="21"/>
              </w:rPr>
              <w:t>50人</w:t>
            </w:r>
          </w:p>
        </w:tc>
        <w:tc>
          <w:tcPr>
            <w:tcW w:w="574" w:type="pct"/>
            <w:vMerge w:val="continue"/>
            <w:tcBorders>
              <w:tl2br w:val="nil"/>
              <w:tr2bl w:val="nil"/>
            </w:tcBorders>
            <w:vAlign w:val="center"/>
          </w:tcPr>
          <w:p w14:paraId="3FB91F2C">
            <w:pPr>
              <w:adjustRightInd w:val="0"/>
              <w:snapToGrid w:val="0"/>
              <w:spacing w:line="320" w:lineRule="exact"/>
              <w:jc w:val="center"/>
              <w:rPr>
                <w:szCs w:val="21"/>
              </w:rPr>
            </w:pPr>
          </w:p>
        </w:tc>
        <w:tc>
          <w:tcPr>
            <w:tcW w:w="470" w:type="pct"/>
            <w:tcBorders>
              <w:tl2br w:val="nil"/>
              <w:tr2bl w:val="nil"/>
            </w:tcBorders>
            <w:vAlign w:val="center"/>
          </w:tcPr>
          <w:p w14:paraId="3BEDB785">
            <w:pPr>
              <w:adjustRightInd w:val="0"/>
              <w:snapToGrid w:val="0"/>
              <w:spacing w:line="320" w:lineRule="exact"/>
              <w:jc w:val="center"/>
              <w:rPr>
                <w:szCs w:val="21"/>
              </w:rPr>
            </w:pPr>
            <w:r>
              <w:rPr>
                <w:rFonts w:hint="eastAsia"/>
                <w:szCs w:val="21"/>
              </w:rPr>
              <w:t>西北侧</w:t>
            </w:r>
          </w:p>
        </w:tc>
        <w:tc>
          <w:tcPr>
            <w:tcW w:w="599" w:type="pct"/>
            <w:tcBorders>
              <w:tl2br w:val="nil"/>
              <w:tr2bl w:val="nil"/>
            </w:tcBorders>
            <w:vAlign w:val="center"/>
          </w:tcPr>
          <w:p w14:paraId="29A64FAC">
            <w:pPr>
              <w:adjustRightInd w:val="0"/>
              <w:snapToGrid w:val="0"/>
              <w:spacing w:line="320" w:lineRule="exact"/>
              <w:jc w:val="center"/>
              <w:rPr>
                <w:szCs w:val="21"/>
              </w:rPr>
            </w:pPr>
            <w:r>
              <w:rPr>
                <w:rFonts w:hint="eastAsia"/>
                <w:szCs w:val="21"/>
              </w:rPr>
              <w:t>0.65km</w:t>
            </w:r>
          </w:p>
        </w:tc>
      </w:tr>
      <w:tr w14:paraId="61F730B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16" w:hRule="exact"/>
        </w:trPr>
        <w:tc>
          <w:tcPr>
            <w:tcW w:w="396" w:type="pct"/>
            <w:tcBorders>
              <w:tl2br w:val="nil"/>
              <w:tr2bl w:val="nil"/>
            </w:tcBorders>
            <w:vAlign w:val="center"/>
          </w:tcPr>
          <w:p w14:paraId="1BBAE306">
            <w:pPr>
              <w:spacing w:line="320" w:lineRule="exact"/>
              <w:jc w:val="center"/>
              <w:textAlignment w:val="baseline"/>
              <w:rPr>
                <w:rFonts w:hint="eastAsia" w:ascii="宋体" w:hAnsi="宋体" w:cs="宋体"/>
                <w:kern w:val="13"/>
              </w:rPr>
            </w:pPr>
            <w:r>
              <w:rPr>
                <w:rFonts w:hint="eastAsia" w:ascii="宋体" w:hAnsi="宋体" w:cs="宋体"/>
                <w:kern w:val="13"/>
              </w:rPr>
              <w:t>地下水</w:t>
            </w:r>
          </w:p>
        </w:tc>
        <w:tc>
          <w:tcPr>
            <w:tcW w:w="2416" w:type="pct"/>
            <w:gridSpan w:val="4"/>
            <w:tcBorders>
              <w:tl2br w:val="nil"/>
              <w:tr2bl w:val="nil"/>
            </w:tcBorders>
            <w:vAlign w:val="center"/>
          </w:tcPr>
          <w:p w14:paraId="6BA41D3E">
            <w:pPr>
              <w:spacing w:line="320" w:lineRule="exact"/>
              <w:jc w:val="center"/>
              <w:textAlignment w:val="baseline"/>
              <w:rPr>
                <w:rFonts w:hint="eastAsia" w:ascii="宋体" w:hAnsi="宋体" w:cs="宋体"/>
                <w:kern w:val="13"/>
              </w:rPr>
            </w:pPr>
            <w:r>
              <w:rPr>
                <w:rFonts w:hint="eastAsia" w:ascii="宋体" w:hAnsi="宋体" w:cs="宋体"/>
                <w:kern w:val="13"/>
              </w:rPr>
              <w:t>项目区上游1km，下游2km，两侧各1km范围</w:t>
            </w:r>
          </w:p>
        </w:tc>
        <w:tc>
          <w:tcPr>
            <w:tcW w:w="542" w:type="pct"/>
            <w:tcBorders>
              <w:tl2br w:val="nil"/>
              <w:tr2bl w:val="nil"/>
            </w:tcBorders>
            <w:vAlign w:val="center"/>
          </w:tcPr>
          <w:p w14:paraId="1202B8FB">
            <w:pPr>
              <w:spacing w:line="320" w:lineRule="exact"/>
              <w:jc w:val="center"/>
              <w:textAlignment w:val="baseline"/>
              <w:rPr>
                <w:rFonts w:hint="eastAsia" w:ascii="宋体" w:hAnsi="宋体" w:cs="宋体"/>
                <w:kern w:val="13"/>
              </w:rPr>
            </w:pPr>
            <w:r>
              <w:rPr>
                <w:rFonts w:hint="eastAsia" w:ascii="宋体" w:hAnsi="宋体" w:cs="宋体"/>
                <w:kern w:val="13"/>
              </w:rPr>
              <w:t>地下水潜水含水层</w:t>
            </w:r>
          </w:p>
        </w:tc>
        <w:tc>
          <w:tcPr>
            <w:tcW w:w="1643" w:type="pct"/>
            <w:gridSpan w:val="3"/>
            <w:tcBorders>
              <w:tl2br w:val="nil"/>
              <w:tr2bl w:val="nil"/>
            </w:tcBorders>
            <w:vAlign w:val="center"/>
          </w:tcPr>
          <w:p w14:paraId="0D7F2691">
            <w:pPr>
              <w:spacing w:line="320" w:lineRule="exact"/>
              <w:jc w:val="center"/>
              <w:textAlignment w:val="baseline"/>
              <w:rPr>
                <w:rFonts w:hint="eastAsia" w:ascii="宋体" w:hAnsi="宋体" w:cs="宋体"/>
                <w:kern w:val="13"/>
              </w:rPr>
            </w:pPr>
            <w:r>
              <w:rPr>
                <w:rFonts w:hint="eastAsia" w:ascii="宋体" w:hAnsi="宋体" w:cs="宋体"/>
                <w:kern w:val="13"/>
              </w:rPr>
              <w:t>《地下水质量标准》（GB/T14848—2017）Ⅲ类标准</w:t>
            </w:r>
          </w:p>
        </w:tc>
      </w:tr>
      <w:tr w14:paraId="23CF4C6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03" w:hRule="atLeast"/>
        </w:trPr>
        <w:tc>
          <w:tcPr>
            <w:tcW w:w="396" w:type="pct"/>
            <w:tcBorders>
              <w:tl2br w:val="nil"/>
              <w:tr2bl w:val="nil"/>
            </w:tcBorders>
            <w:vAlign w:val="center"/>
          </w:tcPr>
          <w:p w14:paraId="6313A9A0">
            <w:pPr>
              <w:spacing w:line="320" w:lineRule="exact"/>
              <w:jc w:val="center"/>
              <w:textAlignment w:val="baseline"/>
              <w:rPr>
                <w:rFonts w:hint="eastAsia" w:ascii="宋体" w:hAnsi="宋体" w:cs="宋体"/>
                <w:kern w:val="13"/>
              </w:rPr>
            </w:pPr>
            <w:r>
              <w:rPr>
                <w:rFonts w:hint="eastAsia" w:ascii="宋体" w:hAnsi="宋体" w:cs="宋体"/>
                <w:kern w:val="13"/>
              </w:rPr>
              <w:t>声环境</w:t>
            </w:r>
          </w:p>
        </w:tc>
        <w:tc>
          <w:tcPr>
            <w:tcW w:w="2416" w:type="pct"/>
            <w:gridSpan w:val="4"/>
            <w:tcBorders>
              <w:tl2br w:val="nil"/>
              <w:tr2bl w:val="nil"/>
            </w:tcBorders>
            <w:vAlign w:val="center"/>
          </w:tcPr>
          <w:p w14:paraId="045F493A">
            <w:pPr>
              <w:spacing w:line="320" w:lineRule="exact"/>
              <w:jc w:val="center"/>
              <w:textAlignment w:val="baseline"/>
              <w:rPr>
                <w:rFonts w:hint="eastAsia" w:ascii="宋体" w:hAnsi="宋体" w:cs="宋体"/>
                <w:kern w:val="13"/>
              </w:rPr>
            </w:pPr>
            <w:r>
              <w:rPr>
                <w:rFonts w:hint="eastAsia" w:ascii="宋体" w:hAnsi="宋体" w:cs="宋体"/>
                <w:kern w:val="13"/>
              </w:rPr>
              <w:t>四周200m范围内</w:t>
            </w:r>
          </w:p>
        </w:tc>
        <w:tc>
          <w:tcPr>
            <w:tcW w:w="542" w:type="pct"/>
            <w:tcBorders>
              <w:tl2br w:val="nil"/>
              <w:tr2bl w:val="nil"/>
            </w:tcBorders>
            <w:vAlign w:val="center"/>
          </w:tcPr>
          <w:p w14:paraId="5688F156">
            <w:pPr>
              <w:spacing w:line="320" w:lineRule="exact"/>
              <w:jc w:val="center"/>
              <w:textAlignment w:val="baseline"/>
              <w:rPr>
                <w:rFonts w:hint="eastAsia" w:ascii="宋体" w:hAnsi="宋体" w:cs="宋体"/>
                <w:kern w:val="13"/>
              </w:rPr>
            </w:pPr>
            <w:r>
              <w:rPr>
                <w:rFonts w:hint="eastAsia" w:ascii="宋体" w:hAnsi="宋体" w:cs="宋体"/>
                <w:kern w:val="13"/>
              </w:rPr>
              <w:t>声环境</w:t>
            </w:r>
          </w:p>
        </w:tc>
        <w:tc>
          <w:tcPr>
            <w:tcW w:w="1643" w:type="pct"/>
            <w:gridSpan w:val="3"/>
            <w:tcBorders>
              <w:tl2br w:val="nil"/>
              <w:tr2bl w:val="nil"/>
            </w:tcBorders>
            <w:vAlign w:val="center"/>
          </w:tcPr>
          <w:p w14:paraId="5E9F6414">
            <w:pPr>
              <w:spacing w:line="320" w:lineRule="exact"/>
              <w:jc w:val="center"/>
              <w:textAlignment w:val="baseline"/>
              <w:rPr>
                <w:rFonts w:hint="eastAsia" w:ascii="宋体" w:hAnsi="宋体" w:cs="宋体"/>
                <w:kern w:val="13"/>
              </w:rPr>
            </w:pPr>
            <w:r>
              <w:rPr>
                <w:rFonts w:hint="eastAsia" w:ascii="宋体" w:hAnsi="宋体" w:cs="宋体"/>
                <w:kern w:val="13"/>
              </w:rPr>
              <w:t>《声环境质量标准》（GB3096—2008）2类功能区标准</w:t>
            </w:r>
          </w:p>
        </w:tc>
      </w:tr>
      <w:tr w14:paraId="431DA6F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03" w:hRule="atLeast"/>
        </w:trPr>
        <w:tc>
          <w:tcPr>
            <w:tcW w:w="396" w:type="pct"/>
            <w:tcBorders>
              <w:tl2br w:val="nil"/>
              <w:tr2bl w:val="nil"/>
            </w:tcBorders>
            <w:vAlign w:val="center"/>
          </w:tcPr>
          <w:p w14:paraId="62B3C06C">
            <w:pPr>
              <w:spacing w:line="320" w:lineRule="exact"/>
              <w:jc w:val="center"/>
              <w:textAlignment w:val="baseline"/>
              <w:rPr>
                <w:rFonts w:hint="eastAsia" w:ascii="宋体" w:hAnsi="宋体" w:cs="宋体"/>
                <w:kern w:val="13"/>
              </w:rPr>
            </w:pPr>
            <w:r>
              <w:rPr>
                <w:rFonts w:hint="eastAsia" w:ascii="宋体" w:hAnsi="宋体" w:cs="宋体"/>
                <w:kern w:val="13"/>
              </w:rPr>
              <w:t>土壤</w:t>
            </w:r>
          </w:p>
          <w:p w14:paraId="24E9CC5F">
            <w:pPr>
              <w:spacing w:line="320" w:lineRule="exact"/>
              <w:jc w:val="center"/>
              <w:textAlignment w:val="baseline"/>
              <w:rPr>
                <w:rFonts w:hint="eastAsia" w:ascii="宋体" w:hAnsi="宋体" w:cs="宋体"/>
                <w:kern w:val="13"/>
              </w:rPr>
            </w:pPr>
            <w:r>
              <w:rPr>
                <w:rFonts w:hint="eastAsia" w:ascii="宋体" w:hAnsi="宋体" w:cs="宋体"/>
                <w:kern w:val="13"/>
              </w:rPr>
              <w:t>环境</w:t>
            </w:r>
          </w:p>
        </w:tc>
        <w:tc>
          <w:tcPr>
            <w:tcW w:w="4603" w:type="pct"/>
            <w:gridSpan w:val="8"/>
            <w:tcBorders>
              <w:tl2br w:val="nil"/>
              <w:tr2bl w:val="nil"/>
            </w:tcBorders>
            <w:vAlign w:val="center"/>
          </w:tcPr>
          <w:p w14:paraId="385229E2">
            <w:pPr>
              <w:jc w:val="center"/>
              <w:rPr>
                <w:rFonts w:hint="eastAsia" w:ascii="宋体" w:hAnsi="宋体" w:cs="宋体"/>
                <w:szCs w:val="21"/>
              </w:rPr>
            </w:pPr>
            <w:r>
              <w:rPr>
                <w:rFonts w:hint="eastAsia"/>
                <w:szCs w:val="21"/>
              </w:rPr>
              <w:t>厂界外延50m范围内耕地，满足《土壤环境质量</w:t>
            </w:r>
            <w:r>
              <w:rPr>
                <w:rFonts w:hint="eastAsia"/>
                <w:szCs w:val="21"/>
                <w:lang w:val="en-US" w:eastAsia="zh-CN"/>
              </w:rPr>
              <w:t xml:space="preserve">  </w:t>
            </w:r>
            <w:r>
              <w:rPr>
                <w:rFonts w:hint="eastAsia"/>
                <w:szCs w:val="21"/>
              </w:rPr>
              <w:t>农用地土壤污染风险管控标准（试行）》（GB15618-2018）相关要求。</w:t>
            </w:r>
          </w:p>
        </w:tc>
      </w:tr>
      <w:tr w14:paraId="7C7721E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07" w:hRule="atLeast"/>
        </w:trPr>
        <w:tc>
          <w:tcPr>
            <w:tcW w:w="396" w:type="pct"/>
            <w:tcBorders>
              <w:tl2br w:val="nil"/>
              <w:tr2bl w:val="nil"/>
            </w:tcBorders>
            <w:vAlign w:val="center"/>
          </w:tcPr>
          <w:p w14:paraId="639BC9E4">
            <w:pPr>
              <w:spacing w:line="320" w:lineRule="exact"/>
              <w:jc w:val="center"/>
              <w:textAlignment w:val="baseline"/>
              <w:rPr>
                <w:rFonts w:hint="eastAsia" w:ascii="宋体" w:hAnsi="宋体" w:cs="宋体"/>
                <w:kern w:val="13"/>
              </w:rPr>
            </w:pPr>
            <w:r>
              <w:rPr>
                <w:rFonts w:hint="eastAsia" w:ascii="宋体" w:hAnsi="宋体" w:cs="宋体"/>
                <w:snapToGrid w:val="0"/>
                <w:szCs w:val="21"/>
              </w:rPr>
              <w:t>固废</w:t>
            </w:r>
          </w:p>
        </w:tc>
        <w:tc>
          <w:tcPr>
            <w:tcW w:w="2959" w:type="pct"/>
            <w:gridSpan w:val="5"/>
            <w:tcBorders>
              <w:tl2br w:val="nil"/>
              <w:tr2bl w:val="nil"/>
            </w:tcBorders>
            <w:vAlign w:val="center"/>
          </w:tcPr>
          <w:p w14:paraId="6A9D2071">
            <w:pPr>
              <w:spacing w:line="320" w:lineRule="exact"/>
              <w:jc w:val="center"/>
              <w:textAlignment w:val="baseline"/>
              <w:rPr>
                <w:rFonts w:hint="eastAsia" w:ascii="宋体" w:hAnsi="宋体" w:cs="宋体"/>
                <w:szCs w:val="21"/>
              </w:rPr>
            </w:pPr>
            <w:r>
              <w:rPr>
                <w:rFonts w:hint="eastAsia" w:ascii="宋体" w:hAnsi="宋体" w:cs="宋体"/>
                <w:szCs w:val="21"/>
              </w:rPr>
              <w:t>控制固体废物处理、处置遵守“资源化、减量化、无害化”的原则</w:t>
            </w:r>
          </w:p>
        </w:tc>
        <w:tc>
          <w:tcPr>
            <w:tcW w:w="1643" w:type="pct"/>
            <w:gridSpan w:val="3"/>
            <w:tcBorders>
              <w:tl2br w:val="nil"/>
              <w:tr2bl w:val="nil"/>
            </w:tcBorders>
            <w:vAlign w:val="center"/>
          </w:tcPr>
          <w:p w14:paraId="28F28F7B">
            <w:pPr>
              <w:spacing w:line="320" w:lineRule="exact"/>
              <w:jc w:val="center"/>
              <w:textAlignment w:val="baseline"/>
              <w:rPr>
                <w:rFonts w:hint="eastAsia" w:ascii="宋体" w:hAnsi="宋体" w:cs="宋体"/>
                <w:kern w:val="13"/>
              </w:rPr>
            </w:pPr>
            <w:r>
              <w:rPr>
                <w:rFonts w:hint="eastAsia" w:ascii="宋体" w:hAnsi="宋体" w:cs="宋体"/>
                <w:szCs w:val="21"/>
              </w:rPr>
              <w:t>不造成二次污染</w:t>
            </w:r>
          </w:p>
        </w:tc>
      </w:tr>
    </w:tbl>
    <w:p w14:paraId="015C4196">
      <w:pPr>
        <w:pStyle w:val="3"/>
        <w:keepNext w:val="0"/>
        <w:keepLines w:val="0"/>
        <w:autoSpaceDE w:val="0"/>
        <w:autoSpaceDN w:val="0"/>
        <w:spacing w:before="0" w:after="0" w:line="360" w:lineRule="auto"/>
        <w:jc w:val="left"/>
        <w:rPr>
          <w:rFonts w:ascii="Times New Roman" w:hAnsi="Times New Roman" w:eastAsia="宋体"/>
          <w:kern w:val="0"/>
          <w:sz w:val="24"/>
          <w:szCs w:val="30"/>
          <w:lang w:val="en-US" w:bidi="zh-CN"/>
        </w:rPr>
      </w:pPr>
      <w:bookmarkStart w:id="116" w:name="_Toc22885"/>
      <w:bookmarkStart w:id="117" w:name="_Toc16060"/>
      <w:r>
        <w:rPr>
          <w:rFonts w:hint="eastAsia" w:ascii="Times New Roman" w:hAnsi="Times New Roman" w:eastAsia="宋体"/>
          <w:kern w:val="0"/>
          <w:sz w:val="24"/>
          <w:szCs w:val="30"/>
          <w:lang w:val="en-US" w:bidi="zh-CN"/>
        </w:rPr>
        <w:t>2.9相关政策、规划及规范符合性分析</w:t>
      </w:r>
      <w:bookmarkEnd w:id="116"/>
    </w:p>
    <w:p w14:paraId="4B4CC07A">
      <w:pPr>
        <w:pStyle w:val="4"/>
        <w:autoSpaceDE w:val="0"/>
        <w:autoSpaceDN w:val="0"/>
        <w:spacing w:before="0" w:after="0" w:line="360" w:lineRule="auto"/>
        <w:jc w:val="left"/>
        <w:rPr>
          <w:kern w:val="0"/>
          <w:sz w:val="24"/>
          <w:lang w:val="en-US" w:bidi="zh-CN"/>
        </w:rPr>
      </w:pPr>
      <w:r>
        <w:rPr>
          <w:rFonts w:hint="eastAsia"/>
          <w:kern w:val="0"/>
          <w:sz w:val="24"/>
          <w:lang w:val="en-US" w:bidi="zh-CN"/>
        </w:rPr>
        <w:t>2.9.1产业政策符合性分析</w:t>
      </w:r>
    </w:p>
    <w:p w14:paraId="65F386DF">
      <w:pPr>
        <w:widowControl/>
        <w:autoSpaceDE w:val="0"/>
        <w:autoSpaceDN w:val="0"/>
        <w:spacing w:line="360" w:lineRule="auto"/>
        <w:ind w:firstLine="480" w:firstLineChars="200"/>
        <w:rPr>
          <w:rFonts w:hint="eastAsia"/>
          <w:kern w:val="0"/>
          <w:sz w:val="24"/>
          <w:szCs w:val="24"/>
          <w:lang w:val="zh-CN" w:bidi="zh-CN"/>
        </w:rPr>
      </w:pPr>
      <w:r>
        <w:rPr>
          <w:rFonts w:hint="eastAsia" w:ascii="宋体" w:hAnsi="宋体" w:cs="宋体"/>
          <w:sz w:val="24"/>
          <w:szCs w:val="24"/>
        </w:rPr>
        <w:t>本项目属于废旧资源回收利用及塑料制品生产项目，本项目属于《产业结构调整指导目录（2024年本）》中</w:t>
      </w:r>
      <w:r>
        <w:rPr>
          <w:rFonts w:hint="eastAsia"/>
          <w:kern w:val="0"/>
          <w:sz w:val="24"/>
          <w:szCs w:val="24"/>
          <w:lang w:val="zh-CN" w:bidi="zh-CN"/>
        </w:rPr>
        <w:t>“</w:t>
      </w:r>
      <w:r>
        <w:rPr>
          <w:kern w:val="0"/>
          <w:sz w:val="24"/>
          <w:szCs w:val="24"/>
          <w:lang w:val="zh-CN" w:bidi="zh-CN"/>
        </w:rPr>
        <w:t>第一类鼓励类；</w:t>
      </w:r>
      <w:r>
        <w:rPr>
          <w:rFonts w:hint="eastAsia" w:cs="宋体"/>
          <w:kern w:val="0"/>
          <w:sz w:val="24"/>
          <w:szCs w:val="24"/>
          <w:lang w:val="zh-CN" w:bidi="zh-CN"/>
        </w:rPr>
        <w:t>四十</w:t>
      </w:r>
      <w:r>
        <w:rPr>
          <w:rFonts w:hint="eastAsia" w:cs="宋体"/>
          <w:kern w:val="0"/>
          <w:sz w:val="24"/>
          <w:szCs w:val="24"/>
          <w:lang w:bidi="zh-CN"/>
        </w:rPr>
        <w:t>二</w:t>
      </w:r>
      <w:r>
        <w:rPr>
          <w:rFonts w:hint="eastAsia" w:cs="宋体"/>
          <w:kern w:val="0"/>
          <w:sz w:val="24"/>
          <w:szCs w:val="24"/>
          <w:lang w:val="zh-CN" w:bidi="zh-CN"/>
        </w:rPr>
        <w:t>、环境保护与资源节约综合利用</w:t>
      </w:r>
      <w:r>
        <w:rPr>
          <w:rFonts w:hint="eastAsia" w:cs="宋体"/>
          <w:kern w:val="0"/>
          <w:sz w:val="24"/>
          <w:szCs w:val="24"/>
          <w:lang w:bidi="zh-CN"/>
        </w:rPr>
        <w:t>8．废弃物循环利用：</w:t>
      </w:r>
      <w:r>
        <w:rPr>
          <w:rFonts w:cs="宋体"/>
          <w:kern w:val="0"/>
          <w:sz w:val="24"/>
          <w:szCs w:val="24"/>
          <w:lang w:bidi="zh-CN"/>
        </w:rPr>
        <w:t>第二条西部地区新增鼓励类产业中新疆维吾尔自治区（含新疆生产建设兵团）第40条农用塑料的回收再利用技术研发与应用</w:t>
      </w:r>
      <w:r>
        <w:rPr>
          <w:rFonts w:hint="eastAsia"/>
          <w:kern w:val="0"/>
          <w:sz w:val="24"/>
          <w:szCs w:val="24"/>
          <w:lang w:val="zh-CN" w:bidi="zh-CN"/>
        </w:rPr>
        <w:t>，符合国家产业政策。</w:t>
      </w:r>
    </w:p>
    <w:p w14:paraId="5A80EFDF">
      <w:pPr>
        <w:widowControl/>
        <w:autoSpaceDE w:val="0"/>
        <w:autoSpaceDN w:val="0"/>
        <w:spacing w:line="360" w:lineRule="auto"/>
        <w:ind w:firstLine="480" w:firstLineChars="200"/>
        <w:rPr>
          <w:kern w:val="0"/>
          <w:sz w:val="24"/>
          <w:szCs w:val="24"/>
          <w:lang w:val="zh-CN" w:bidi="zh-CN"/>
        </w:rPr>
      </w:pPr>
      <w:r>
        <w:rPr>
          <w:rFonts w:hint="eastAsia"/>
          <w:kern w:val="0"/>
          <w:sz w:val="24"/>
          <w:szCs w:val="24"/>
          <w:lang w:val="zh-CN" w:bidi="zh-CN"/>
        </w:rPr>
        <w:t>本项目用地不属于国土资源部国家发展和改革委员会关于发布实施《限制用地项目目录（2012年本）》和《禁止用地项目目录（2012年本）》通知中的“限制类”和“禁止类”用地范畴。项目所采用的工艺和设备均不属于《部分工业行业淘汰落后生产工艺设备和产品指导目录（2010年本）》（工产业〔2010〕122号）中限制和淘汰类之列；不属于《市场准入负面清单（2025年版）》中禁止或许可事项；项目产品不在《环境保护综合名录(2021年版)》中产品目录之内。新疆库尔勒市发展和改革委员会于2025年</w:t>
      </w:r>
      <w:r>
        <w:rPr>
          <w:rFonts w:hint="eastAsia"/>
          <w:kern w:val="0"/>
          <w:sz w:val="24"/>
          <w:szCs w:val="24"/>
          <w:lang w:bidi="zh-CN"/>
        </w:rPr>
        <w:t>1</w:t>
      </w:r>
      <w:r>
        <w:rPr>
          <w:rFonts w:hint="eastAsia"/>
          <w:kern w:val="0"/>
          <w:sz w:val="24"/>
          <w:szCs w:val="24"/>
          <w:lang w:val="zh-CN" w:bidi="zh-CN"/>
        </w:rPr>
        <w:t>月</w:t>
      </w:r>
      <w:r>
        <w:rPr>
          <w:rFonts w:hint="eastAsia"/>
          <w:kern w:val="0"/>
          <w:sz w:val="24"/>
          <w:szCs w:val="24"/>
          <w:lang w:bidi="zh-CN"/>
        </w:rPr>
        <w:t>14</w:t>
      </w:r>
      <w:r>
        <w:rPr>
          <w:rFonts w:hint="eastAsia"/>
          <w:kern w:val="0"/>
          <w:sz w:val="24"/>
          <w:szCs w:val="24"/>
          <w:lang w:val="zh-CN" w:bidi="zh-CN"/>
        </w:rPr>
        <w:t>日出具关于项目的备案证（备案证号：</w:t>
      </w:r>
      <w:r>
        <w:rPr>
          <w:rFonts w:hint="eastAsia"/>
          <w:kern w:val="0"/>
          <w:sz w:val="24"/>
          <w:szCs w:val="24"/>
          <w:lang w:bidi="zh-CN"/>
        </w:rPr>
        <w:t>2501-652801-04-05-761801</w:t>
      </w:r>
      <w:r>
        <w:rPr>
          <w:rFonts w:hint="eastAsia"/>
          <w:kern w:val="0"/>
          <w:sz w:val="24"/>
          <w:szCs w:val="24"/>
          <w:lang w:val="zh-CN" w:bidi="zh-CN"/>
        </w:rPr>
        <w:t>）。</w:t>
      </w:r>
    </w:p>
    <w:p w14:paraId="1F7F245E">
      <w:pPr>
        <w:tabs>
          <w:tab w:val="left" w:pos="438"/>
        </w:tabs>
        <w:autoSpaceDE w:val="0"/>
        <w:autoSpaceDN w:val="0"/>
        <w:spacing w:line="360" w:lineRule="auto"/>
        <w:ind w:firstLine="480" w:firstLineChars="200"/>
        <w:rPr>
          <w:kern w:val="0"/>
          <w:sz w:val="24"/>
          <w:szCs w:val="24"/>
          <w:lang w:val="zh-CN" w:bidi="zh-CN"/>
        </w:rPr>
      </w:pPr>
      <w:r>
        <w:rPr>
          <w:rFonts w:hint="eastAsia"/>
          <w:kern w:val="0"/>
          <w:sz w:val="24"/>
          <w:szCs w:val="24"/>
          <w:lang w:val="zh-CN" w:bidi="zh-CN"/>
        </w:rPr>
        <w:t>综上所述，本项目建设符合国家和地方当前产业政策要求。</w:t>
      </w:r>
    </w:p>
    <w:bookmarkEnd w:id="117"/>
    <w:p w14:paraId="6BA2E244">
      <w:pPr>
        <w:pStyle w:val="4"/>
        <w:autoSpaceDE w:val="0"/>
        <w:autoSpaceDN w:val="0"/>
        <w:spacing w:before="0" w:after="0" w:line="360" w:lineRule="auto"/>
        <w:jc w:val="left"/>
        <w:rPr>
          <w:kern w:val="0"/>
          <w:sz w:val="24"/>
          <w:lang w:val="en-US" w:bidi="zh-CN"/>
        </w:rPr>
      </w:pPr>
      <w:bookmarkStart w:id="118" w:name="_Toc27975"/>
      <w:r>
        <w:rPr>
          <w:rFonts w:hint="eastAsia"/>
          <w:kern w:val="0"/>
          <w:sz w:val="24"/>
          <w:lang w:val="en-US" w:bidi="zh-CN"/>
        </w:rPr>
        <w:t>2.9.2相应行业规范符合性分析</w:t>
      </w:r>
    </w:p>
    <w:p w14:paraId="62CF4CC7">
      <w:pPr>
        <w:pStyle w:val="5"/>
        <w:rPr>
          <w:rFonts w:ascii="Times New Roman" w:hAnsi="Times New Roman"/>
          <w:color w:val="000000"/>
          <w:lang w:val="en-US"/>
        </w:rPr>
      </w:pPr>
      <w:r>
        <w:rPr>
          <w:rFonts w:hint="eastAsia" w:ascii="Times New Roman" w:hAnsi="Times New Roman"/>
          <w:color w:val="000000"/>
          <w:lang w:val="en-US"/>
        </w:rPr>
        <w:t>2.9.2.1与《关于印发新疆维吾尔自治区“十三五”挥发性有机物污染防治方案的通知》</w:t>
      </w:r>
    </w:p>
    <w:p w14:paraId="45C154B8">
      <w:pPr>
        <w:pStyle w:val="5"/>
        <w:rPr>
          <w:rFonts w:ascii="Times New Roman" w:hAnsi="Times New Roman"/>
          <w:color w:val="000000"/>
          <w:lang w:val="en-US"/>
        </w:rPr>
      </w:pPr>
      <w:r>
        <w:rPr>
          <w:rFonts w:hint="eastAsia" w:ascii="Times New Roman" w:hAnsi="Times New Roman"/>
          <w:color w:val="000000"/>
          <w:lang w:val="en-US"/>
        </w:rPr>
        <w:t>符合性分析</w:t>
      </w:r>
    </w:p>
    <w:p w14:paraId="24DBFC4C">
      <w:pPr>
        <w:widowControl/>
        <w:autoSpaceDE w:val="0"/>
        <w:autoSpaceDN w:val="0"/>
        <w:spacing w:line="360" w:lineRule="auto"/>
        <w:ind w:firstLine="420" w:firstLineChars="200"/>
        <w:jc w:val="left"/>
        <w:rPr>
          <w:rFonts w:cs="宋体"/>
          <w:kern w:val="0"/>
          <w:sz w:val="24"/>
          <w:szCs w:val="24"/>
          <w:lang w:bidi="zh-CN"/>
        </w:rPr>
      </w:pPr>
      <w:r>
        <w:rPr>
          <w:rFonts w:hint="eastAsia"/>
        </w:rPr>
        <w:t xml:space="preserve"> </w:t>
      </w:r>
      <w:r>
        <w:rPr>
          <w:rFonts w:hint="eastAsia" w:cs="宋体"/>
          <w:kern w:val="0"/>
          <w:sz w:val="24"/>
          <w:szCs w:val="24"/>
          <w:lang w:bidi="zh-CN"/>
        </w:rPr>
        <w:t>《关于印发新疆维吾尔自治区“十三五”挥发性有机物污染防治方案的通知》（新环发〔2018〕74号）的项目符合性分析，见表2.9-1。</w:t>
      </w:r>
    </w:p>
    <w:p w14:paraId="266AC734">
      <w:pPr>
        <w:pStyle w:val="38"/>
        <w:jc w:val="center"/>
        <w:rPr>
          <w:b/>
          <w:bCs/>
          <w:sz w:val="21"/>
          <w:szCs w:val="21"/>
        </w:rPr>
      </w:pPr>
      <w:r>
        <w:rPr>
          <w:rFonts w:hint="eastAsia" w:ascii="Times New Roman" w:hAnsi="Times New Roman"/>
          <w:b/>
          <w:bCs/>
          <w:kern w:val="0"/>
          <w:sz w:val="21"/>
          <w:szCs w:val="21"/>
          <w:lang w:bidi="zh-CN"/>
        </w:rPr>
        <w:t>表2.9-1     与《关于印发新疆维吾尔自治区“十三五”挥发性有机物污染防治方案的通知》的项目符合性分析</w:t>
      </w:r>
    </w:p>
    <w:tbl>
      <w:tblPr>
        <w:tblStyle w:val="49"/>
        <w:tblW w:w="4996" w:type="pct"/>
        <w:tblInd w:w="0" w:type="dxa"/>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
      <w:tblGrid>
        <w:gridCol w:w="1204"/>
        <w:gridCol w:w="4326"/>
        <w:gridCol w:w="2991"/>
        <w:gridCol w:w="703"/>
      </w:tblGrid>
      <w:tr w14:paraId="7D5CD104">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479" w:hRule="atLeast"/>
        </w:trPr>
        <w:tc>
          <w:tcPr>
            <w:tcW w:w="653" w:type="pct"/>
            <w:vAlign w:val="center"/>
          </w:tcPr>
          <w:p w14:paraId="6968D654">
            <w:pPr>
              <w:pStyle w:val="240"/>
              <w:rPr>
                <w:rFonts w:hint="default"/>
              </w:rPr>
            </w:pPr>
            <w:r>
              <w:rPr>
                <w:rFonts w:hint="default"/>
              </w:rPr>
              <w:t>文件名称</w:t>
            </w:r>
          </w:p>
        </w:tc>
        <w:tc>
          <w:tcPr>
            <w:tcW w:w="2344" w:type="pct"/>
            <w:vAlign w:val="center"/>
          </w:tcPr>
          <w:p w14:paraId="75F33672">
            <w:pPr>
              <w:pStyle w:val="240"/>
              <w:rPr>
                <w:rFonts w:hint="default"/>
              </w:rPr>
            </w:pPr>
            <w:r>
              <w:rPr>
                <w:rFonts w:hint="default"/>
              </w:rPr>
              <w:t>文件要求</w:t>
            </w:r>
          </w:p>
        </w:tc>
        <w:tc>
          <w:tcPr>
            <w:tcW w:w="1620" w:type="pct"/>
            <w:vAlign w:val="center"/>
          </w:tcPr>
          <w:p w14:paraId="0E7C9CC4">
            <w:pPr>
              <w:pStyle w:val="240"/>
              <w:rPr>
                <w:rFonts w:hint="default"/>
              </w:rPr>
            </w:pPr>
            <w:r>
              <w:rPr>
                <w:rFonts w:hint="default"/>
              </w:rPr>
              <w:t>本项目</w:t>
            </w:r>
          </w:p>
        </w:tc>
        <w:tc>
          <w:tcPr>
            <w:tcW w:w="381" w:type="pct"/>
            <w:vAlign w:val="center"/>
          </w:tcPr>
          <w:p w14:paraId="5D96CDAA">
            <w:pPr>
              <w:pStyle w:val="240"/>
              <w:rPr>
                <w:rFonts w:hint="default"/>
              </w:rPr>
            </w:pPr>
            <w:r>
              <w:rPr>
                <w:rFonts w:hint="default"/>
              </w:rPr>
              <w:t>符合性</w:t>
            </w:r>
          </w:p>
        </w:tc>
      </w:tr>
      <w:tr w14:paraId="1CA7E03A">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c>
          <w:tcPr>
            <w:tcW w:w="653" w:type="pct"/>
            <w:vMerge w:val="restart"/>
            <w:vAlign w:val="center"/>
          </w:tcPr>
          <w:p w14:paraId="6CCB739F">
            <w:pPr>
              <w:pStyle w:val="240"/>
              <w:rPr>
                <w:rFonts w:hint="default"/>
              </w:rPr>
            </w:pPr>
            <w:r>
              <w:rPr>
                <w:rFonts w:hint="default"/>
              </w:rPr>
              <w:t>《关于印发新疆维吾尔自治区</w:t>
            </w:r>
            <w:r>
              <w:rPr>
                <w:rFonts w:ascii="宋体" w:hAnsi="宋体" w:cs="宋体"/>
              </w:rPr>
              <w:t>“十三五”</w:t>
            </w:r>
            <w:r>
              <w:rPr>
                <w:rFonts w:hint="default"/>
              </w:rPr>
              <w:t>挥发性有机物污染防治方案的通知》（新环发〔2018〕74号）</w:t>
            </w:r>
          </w:p>
        </w:tc>
        <w:tc>
          <w:tcPr>
            <w:tcW w:w="2344" w:type="pct"/>
            <w:vAlign w:val="center"/>
          </w:tcPr>
          <w:p w14:paraId="541F8DA0">
            <w:pPr>
              <w:pStyle w:val="240"/>
              <w:jc w:val="both"/>
              <w:rPr>
                <w:rFonts w:hint="default"/>
                <w:lang w:val="zh-CN"/>
              </w:rPr>
            </w:pPr>
            <w:r>
              <w:rPr>
                <w:rFonts w:hint="default"/>
                <w:lang w:val="zh-CN"/>
              </w:rPr>
              <w:t>严格建设项</w:t>
            </w:r>
            <w:r>
              <w:rPr>
                <w:rFonts w:hint="default"/>
              </w:rPr>
              <w:t>目</w:t>
            </w:r>
            <w:r>
              <w:rPr>
                <w:rFonts w:hint="eastAsia"/>
                <w:lang w:eastAsia="zh-CN"/>
              </w:rPr>
              <w:t>环境</w:t>
            </w:r>
            <w:r>
              <w:rPr>
                <w:rFonts w:hint="default"/>
                <w:lang w:val="zh-CN"/>
              </w:rPr>
              <w:t>准入。提高</w:t>
            </w:r>
            <w:r>
              <w:rPr>
                <w:rFonts w:hint="default"/>
              </w:rPr>
              <w:t>VOCs排</w:t>
            </w:r>
            <w:r>
              <w:rPr>
                <w:rFonts w:hint="default"/>
                <w:lang w:val="zh-CN"/>
              </w:rPr>
              <w:t>放重点行业环保准入门槛，严格控制新增污染物排放量；</w:t>
            </w:r>
          </w:p>
        </w:tc>
        <w:tc>
          <w:tcPr>
            <w:tcW w:w="1620" w:type="pct"/>
            <w:vAlign w:val="center"/>
          </w:tcPr>
          <w:p w14:paraId="59891E7F">
            <w:pPr>
              <w:pStyle w:val="240"/>
              <w:jc w:val="both"/>
              <w:rPr>
                <w:rFonts w:hint="default"/>
              </w:rPr>
            </w:pPr>
            <w:r>
              <w:rPr>
                <w:rFonts w:hint="default"/>
                <w:lang w:val="zh-CN"/>
              </w:rPr>
              <w:t>不属于高排放、高污染、高耗能项目，项目建设符合国家和自治区环境保护标准。</w:t>
            </w:r>
          </w:p>
        </w:tc>
        <w:tc>
          <w:tcPr>
            <w:tcW w:w="381" w:type="pct"/>
            <w:vAlign w:val="center"/>
          </w:tcPr>
          <w:p w14:paraId="7C63D323">
            <w:pPr>
              <w:pStyle w:val="240"/>
              <w:rPr>
                <w:rFonts w:hint="default"/>
              </w:rPr>
            </w:pPr>
            <w:r>
              <w:rPr>
                <w:rFonts w:hint="default"/>
              </w:rPr>
              <w:t>符合</w:t>
            </w:r>
          </w:p>
        </w:tc>
      </w:tr>
      <w:tr w14:paraId="073031D4">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c>
          <w:tcPr>
            <w:tcW w:w="653" w:type="pct"/>
            <w:vMerge w:val="continue"/>
            <w:vAlign w:val="center"/>
          </w:tcPr>
          <w:p w14:paraId="6F51C3F2">
            <w:pPr>
              <w:pStyle w:val="240"/>
              <w:rPr>
                <w:rFonts w:hint="default"/>
              </w:rPr>
            </w:pPr>
          </w:p>
        </w:tc>
        <w:tc>
          <w:tcPr>
            <w:tcW w:w="2344" w:type="pct"/>
            <w:vAlign w:val="center"/>
          </w:tcPr>
          <w:p w14:paraId="2ED70191">
            <w:pPr>
              <w:pStyle w:val="240"/>
              <w:jc w:val="both"/>
              <w:rPr>
                <w:rFonts w:hint="default"/>
                <w:lang w:val="zh-CN"/>
              </w:rPr>
            </w:pPr>
            <w:r>
              <w:rPr>
                <w:rFonts w:hint="default"/>
                <w:lang w:val="zh-CN"/>
              </w:rPr>
              <w:t>全面实施石化行业达标排放。石油炼制、石油化工、合成树脂等行业应严格按照排放标准要求</w:t>
            </w:r>
            <w:r>
              <w:rPr>
                <w:lang w:val="zh-CN"/>
              </w:rPr>
              <w:t>，</w:t>
            </w:r>
            <w:r>
              <w:rPr>
                <w:rFonts w:hint="default"/>
                <w:lang w:val="zh-CN"/>
              </w:rPr>
              <w:t>全面加强精细化管理</w:t>
            </w:r>
            <w:r>
              <w:rPr>
                <w:lang w:val="zh-CN"/>
              </w:rPr>
              <w:t>，</w:t>
            </w:r>
            <w:r>
              <w:rPr>
                <w:rFonts w:hint="default"/>
                <w:lang w:val="zh-CN"/>
              </w:rPr>
              <w:t>确保稳定达标排放。</w:t>
            </w:r>
          </w:p>
        </w:tc>
        <w:tc>
          <w:tcPr>
            <w:tcW w:w="1620" w:type="pct"/>
            <w:vAlign w:val="center"/>
          </w:tcPr>
          <w:p w14:paraId="0963EBD3">
            <w:pPr>
              <w:pStyle w:val="240"/>
              <w:jc w:val="both"/>
              <w:rPr>
                <w:rFonts w:hint="default"/>
              </w:rPr>
            </w:pPr>
            <w:r>
              <w:rPr>
                <w:rFonts w:hint="default"/>
                <w:lang w:val="zh-CN"/>
              </w:rPr>
              <w:t>生产车间为全封闭方式，</w:t>
            </w:r>
            <w:r>
              <w:t>有机废气经集气罩收集后，采用1套</w:t>
            </w:r>
            <w:r>
              <w:rPr>
                <w:rFonts w:hint="eastAsia"/>
                <w:color w:val="auto"/>
                <w:lang w:eastAsia="zh-CN"/>
              </w:rPr>
              <w:t>活性炭浓缩吸附+催化燃烧</w:t>
            </w:r>
            <w:r>
              <w:rPr>
                <w:color w:val="auto"/>
              </w:rPr>
              <w:t>系统处理后经15m高排气筒排放</w:t>
            </w:r>
            <w:r>
              <w:rPr>
                <w:lang w:val="zh-CN"/>
              </w:rPr>
              <w:t>。</w:t>
            </w:r>
          </w:p>
        </w:tc>
        <w:tc>
          <w:tcPr>
            <w:tcW w:w="381" w:type="pct"/>
            <w:vAlign w:val="center"/>
          </w:tcPr>
          <w:p w14:paraId="595AB074">
            <w:pPr>
              <w:pStyle w:val="240"/>
              <w:rPr>
                <w:rFonts w:hint="default"/>
              </w:rPr>
            </w:pPr>
            <w:r>
              <w:rPr>
                <w:rFonts w:hint="default"/>
              </w:rPr>
              <w:t>符合</w:t>
            </w:r>
          </w:p>
        </w:tc>
      </w:tr>
      <w:tr w14:paraId="14036315">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c>
          <w:tcPr>
            <w:tcW w:w="653" w:type="pct"/>
            <w:vMerge w:val="continue"/>
            <w:vAlign w:val="center"/>
          </w:tcPr>
          <w:p w14:paraId="5EF443C4">
            <w:pPr>
              <w:pStyle w:val="240"/>
              <w:rPr>
                <w:rFonts w:hint="default"/>
              </w:rPr>
            </w:pPr>
          </w:p>
        </w:tc>
        <w:tc>
          <w:tcPr>
            <w:tcW w:w="2344" w:type="pct"/>
            <w:vAlign w:val="center"/>
          </w:tcPr>
          <w:p w14:paraId="5BD8A76B">
            <w:pPr>
              <w:pStyle w:val="240"/>
              <w:jc w:val="both"/>
              <w:rPr>
                <w:rFonts w:hint="default"/>
                <w:lang w:val="zh-CN"/>
              </w:rPr>
            </w:pPr>
            <w:r>
              <w:rPr>
                <w:rFonts w:hint="default"/>
                <w:lang w:val="zh-CN"/>
              </w:rPr>
              <w:t>新</w:t>
            </w:r>
            <w:r>
              <w:rPr>
                <w:lang w:val="zh-CN"/>
              </w:rPr>
              <w:t>、</w:t>
            </w:r>
            <w:r>
              <w:rPr>
                <w:rFonts w:hint="default"/>
                <w:lang w:val="zh-CN"/>
              </w:rPr>
              <w:t>改</w:t>
            </w:r>
            <w:r>
              <w:rPr>
                <w:lang w:val="zh-CN"/>
              </w:rPr>
              <w:t>、</w:t>
            </w:r>
            <w:r>
              <w:rPr>
                <w:rFonts w:hint="default"/>
                <w:lang w:val="zh-CN"/>
              </w:rPr>
              <w:t>扩建涉V</w:t>
            </w:r>
            <w:r>
              <w:t>O</w:t>
            </w:r>
            <w:r>
              <w:rPr>
                <w:rFonts w:hint="default"/>
                <w:lang w:val="zh-CN"/>
              </w:rPr>
              <w:t>Cs排放项目，应从源头加强控制，使用低（无）VOCs含量的原辅材料，加强废气收集，安装高效治理设施。</w:t>
            </w:r>
          </w:p>
        </w:tc>
        <w:tc>
          <w:tcPr>
            <w:tcW w:w="1620" w:type="pct"/>
            <w:vAlign w:val="center"/>
          </w:tcPr>
          <w:p w14:paraId="219B9F52">
            <w:pPr>
              <w:pStyle w:val="240"/>
              <w:jc w:val="both"/>
              <w:rPr>
                <w:rFonts w:hint="default"/>
              </w:rPr>
            </w:pPr>
            <w:r>
              <w:rPr>
                <w:rFonts w:hint="default"/>
                <w:lang w:val="zh-CN"/>
              </w:rPr>
              <w:t>生产车间为全封闭方式，</w:t>
            </w:r>
            <w:r>
              <w:t>有机废气经集气罩收集后，采用1套</w:t>
            </w:r>
            <w:r>
              <w:rPr>
                <w:rFonts w:hint="eastAsia"/>
                <w:color w:val="auto"/>
                <w:lang w:eastAsia="zh-CN"/>
              </w:rPr>
              <w:t>活性炭浓缩吸附+催化燃烧</w:t>
            </w:r>
            <w:r>
              <w:rPr>
                <w:color w:val="auto"/>
              </w:rPr>
              <w:t>系统处理后经15m高排气筒排放</w:t>
            </w:r>
          </w:p>
        </w:tc>
        <w:tc>
          <w:tcPr>
            <w:tcW w:w="381" w:type="pct"/>
            <w:vAlign w:val="center"/>
          </w:tcPr>
          <w:p w14:paraId="6A3BD265">
            <w:pPr>
              <w:pStyle w:val="240"/>
              <w:rPr>
                <w:rFonts w:hint="default"/>
              </w:rPr>
            </w:pPr>
            <w:r>
              <w:rPr>
                <w:rFonts w:hint="default"/>
              </w:rPr>
              <w:t>符合</w:t>
            </w:r>
          </w:p>
        </w:tc>
      </w:tr>
    </w:tbl>
    <w:p w14:paraId="60FCCFCE">
      <w:pPr>
        <w:pStyle w:val="38"/>
      </w:pPr>
      <w:r>
        <w:rPr>
          <w:rFonts w:hint="eastAsia"/>
        </w:rPr>
        <w:t xml:space="preserve"> </w:t>
      </w:r>
    </w:p>
    <w:p w14:paraId="5DBCEDFF">
      <w:pPr>
        <w:pStyle w:val="5"/>
        <w:rPr>
          <w:rFonts w:ascii="Times New Roman" w:hAnsi="Times New Roman"/>
          <w:color w:val="000000"/>
          <w:lang w:val="en-US"/>
        </w:rPr>
      </w:pPr>
      <w:r>
        <w:rPr>
          <w:rFonts w:hint="eastAsia" w:ascii="Times New Roman" w:hAnsi="Times New Roman"/>
          <w:color w:val="000000"/>
          <w:lang w:val="en-US"/>
        </w:rPr>
        <w:t>2.9.2.2与</w:t>
      </w:r>
      <w:r>
        <w:rPr>
          <w:rFonts w:ascii="Times New Roman" w:hAnsi="Times New Roman"/>
          <w:color w:val="000000"/>
          <w:lang w:val="en-US"/>
        </w:rPr>
        <w:t>《关于加快解决当前挥发性有机物治理突出问题的通知》</w:t>
      </w:r>
      <w:r>
        <w:rPr>
          <w:rFonts w:hint="eastAsia" w:ascii="Times New Roman" w:hAnsi="Times New Roman"/>
          <w:color w:val="000000"/>
          <w:lang w:val="en-US"/>
        </w:rPr>
        <w:t>符合性分析</w:t>
      </w:r>
    </w:p>
    <w:p w14:paraId="34033983">
      <w:pPr>
        <w:widowControl/>
        <w:autoSpaceDE w:val="0"/>
        <w:autoSpaceDN w:val="0"/>
        <w:spacing w:line="360" w:lineRule="auto"/>
        <w:ind w:firstLine="480" w:firstLineChars="200"/>
        <w:jc w:val="left"/>
        <w:rPr>
          <w:rFonts w:cs="宋体"/>
          <w:kern w:val="0"/>
          <w:sz w:val="24"/>
          <w:szCs w:val="24"/>
          <w:lang w:bidi="zh-CN"/>
        </w:rPr>
      </w:pPr>
      <w:r>
        <w:rPr>
          <w:rFonts w:hint="eastAsia" w:cs="宋体"/>
          <w:kern w:val="0"/>
          <w:sz w:val="24"/>
          <w:szCs w:val="24"/>
          <w:lang w:bidi="zh-CN"/>
        </w:rPr>
        <w:t>《</w:t>
      </w:r>
      <w:r>
        <w:rPr>
          <w:rFonts w:cs="宋体"/>
          <w:kern w:val="0"/>
          <w:sz w:val="24"/>
          <w:szCs w:val="24"/>
          <w:lang w:bidi="zh-CN"/>
        </w:rPr>
        <w:t>关于加快解决当前挥发性有机物治理突出问题的通知</w:t>
      </w:r>
      <w:r>
        <w:rPr>
          <w:rFonts w:hint="eastAsia" w:cs="宋体"/>
          <w:kern w:val="0"/>
          <w:sz w:val="24"/>
          <w:szCs w:val="24"/>
          <w:lang w:bidi="zh-CN"/>
        </w:rPr>
        <w:t>》的项目符合性分析，见表2.9-2。</w:t>
      </w:r>
    </w:p>
    <w:p w14:paraId="7AC22350">
      <w:pPr>
        <w:pStyle w:val="38"/>
        <w:jc w:val="center"/>
        <w:rPr>
          <w:b/>
          <w:bCs/>
          <w:sz w:val="21"/>
          <w:szCs w:val="21"/>
        </w:rPr>
      </w:pPr>
      <w:r>
        <w:rPr>
          <w:rFonts w:hint="eastAsia" w:ascii="Times New Roman" w:hAnsi="Times New Roman"/>
          <w:b/>
          <w:bCs/>
          <w:kern w:val="0"/>
          <w:sz w:val="21"/>
          <w:szCs w:val="21"/>
          <w:lang w:bidi="zh-CN"/>
        </w:rPr>
        <w:t>表2.9-2     与《关于加快解决当前挥发性有机物治理突出问题的通知》的项目符合性分析</w:t>
      </w:r>
    </w:p>
    <w:tbl>
      <w:tblPr>
        <w:tblStyle w:val="49"/>
        <w:tblW w:w="4996" w:type="pct"/>
        <w:tblInd w:w="0" w:type="dxa"/>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
      <w:tblGrid>
        <w:gridCol w:w="1205"/>
        <w:gridCol w:w="4547"/>
        <w:gridCol w:w="2769"/>
        <w:gridCol w:w="703"/>
      </w:tblGrid>
      <w:tr w14:paraId="7CE1E627">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479" w:hRule="atLeast"/>
        </w:trPr>
        <w:tc>
          <w:tcPr>
            <w:tcW w:w="653" w:type="pct"/>
            <w:vAlign w:val="center"/>
          </w:tcPr>
          <w:p w14:paraId="04D1B445">
            <w:pPr>
              <w:pStyle w:val="240"/>
              <w:rPr>
                <w:rFonts w:hint="default"/>
              </w:rPr>
            </w:pPr>
            <w:r>
              <w:rPr>
                <w:rFonts w:hint="default"/>
              </w:rPr>
              <w:t>文件名称</w:t>
            </w:r>
          </w:p>
        </w:tc>
        <w:tc>
          <w:tcPr>
            <w:tcW w:w="2464" w:type="pct"/>
            <w:vAlign w:val="center"/>
          </w:tcPr>
          <w:p w14:paraId="7BFD6672">
            <w:pPr>
              <w:pStyle w:val="240"/>
              <w:rPr>
                <w:rFonts w:hint="default"/>
              </w:rPr>
            </w:pPr>
            <w:r>
              <w:rPr>
                <w:rFonts w:hint="default"/>
              </w:rPr>
              <w:t>文件要求</w:t>
            </w:r>
          </w:p>
        </w:tc>
        <w:tc>
          <w:tcPr>
            <w:tcW w:w="1500" w:type="pct"/>
            <w:vAlign w:val="center"/>
          </w:tcPr>
          <w:p w14:paraId="43502A23">
            <w:pPr>
              <w:pStyle w:val="240"/>
              <w:rPr>
                <w:rFonts w:hint="default"/>
              </w:rPr>
            </w:pPr>
            <w:r>
              <w:rPr>
                <w:rFonts w:hint="default"/>
              </w:rPr>
              <w:t>本项目</w:t>
            </w:r>
          </w:p>
        </w:tc>
        <w:tc>
          <w:tcPr>
            <w:tcW w:w="381" w:type="pct"/>
            <w:vAlign w:val="center"/>
          </w:tcPr>
          <w:p w14:paraId="756D4AF7">
            <w:pPr>
              <w:pStyle w:val="240"/>
              <w:rPr>
                <w:rFonts w:hint="default"/>
              </w:rPr>
            </w:pPr>
            <w:r>
              <w:rPr>
                <w:rFonts w:hint="default"/>
              </w:rPr>
              <w:t>符合性</w:t>
            </w:r>
          </w:p>
        </w:tc>
      </w:tr>
      <w:tr w14:paraId="42455B1D">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c>
          <w:tcPr>
            <w:tcW w:w="653" w:type="pct"/>
            <w:vMerge w:val="restart"/>
            <w:vAlign w:val="center"/>
          </w:tcPr>
          <w:p w14:paraId="01477343">
            <w:pPr>
              <w:pStyle w:val="240"/>
              <w:rPr>
                <w:rFonts w:hint="default"/>
              </w:rPr>
            </w:pPr>
            <w:r>
              <w:rPr>
                <w:rFonts w:hint="default"/>
              </w:rPr>
              <w:t>《关于加快解决当前挥发性有机物治理突出问题的通知》</w:t>
            </w:r>
          </w:p>
        </w:tc>
        <w:tc>
          <w:tcPr>
            <w:tcW w:w="2464" w:type="pct"/>
            <w:vAlign w:val="center"/>
          </w:tcPr>
          <w:p w14:paraId="2D1D8604">
            <w:pPr>
              <w:pStyle w:val="240"/>
              <w:jc w:val="both"/>
              <w:rPr>
                <w:rFonts w:hint="default"/>
                <w:lang w:val="zh-CN"/>
              </w:rPr>
            </w:pPr>
            <w:r>
              <w:rPr>
                <w:rFonts w:hint="default"/>
                <w:lang w:val="zh-CN"/>
              </w:rPr>
              <w:t>产生VOCs的生产环节优先采用密闭设备、在密闭空间中操作或采用全密闭集气罩收集方式，并保持负压运行</w:t>
            </w:r>
            <w:r>
              <w:rPr>
                <w:lang w:val="zh-CN"/>
              </w:rPr>
              <w:t>。</w:t>
            </w:r>
          </w:p>
        </w:tc>
        <w:tc>
          <w:tcPr>
            <w:tcW w:w="1500" w:type="pct"/>
            <w:vAlign w:val="center"/>
          </w:tcPr>
          <w:p w14:paraId="60AB1587">
            <w:pPr>
              <w:pStyle w:val="240"/>
              <w:jc w:val="both"/>
              <w:rPr>
                <w:rFonts w:hint="default"/>
              </w:rPr>
            </w:pPr>
            <w:r>
              <w:t>生产位于封闭车间内进行，生产装置上方安装集气罩，收集效率为90%。</w:t>
            </w:r>
          </w:p>
        </w:tc>
        <w:tc>
          <w:tcPr>
            <w:tcW w:w="381" w:type="pct"/>
            <w:vAlign w:val="center"/>
          </w:tcPr>
          <w:p w14:paraId="1E65CBBA">
            <w:pPr>
              <w:pStyle w:val="240"/>
              <w:rPr>
                <w:rFonts w:hint="default"/>
              </w:rPr>
            </w:pPr>
            <w:r>
              <w:t>符合</w:t>
            </w:r>
          </w:p>
        </w:tc>
      </w:tr>
      <w:tr w14:paraId="04D42D94">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c>
          <w:tcPr>
            <w:tcW w:w="653" w:type="pct"/>
            <w:vMerge w:val="continue"/>
            <w:vAlign w:val="center"/>
          </w:tcPr>
          <w:p w14:paraId="79C53861">
            <w:pPr>
              <w:pStyle w:val="240"/>
              <w:rPr>
                <w:rFonts w:hint="default"/>
              </w:rPr>
            </w:pPr>
          </w:p>
        </w:tc>
        <w:tc>
          <w:tcPr>
            <w:tcW w:w="2464" w:type="pct"/>
            <w:vAlign w:val="center"/>
          </w:tcPr>
          <w:p w14:paraId="1E10E111">
            <w:pPr>
              <w:pStyle w:val="240"/>
              <w:jc w:val="both"/>
              <w:rPr>
                <w:rFonts w:hint="default"/>
                <w:lang w:val="zh-CN"/>
              </w:rPr>
            </w:pPr>
            <w:r>
              <w:rPr>
                <w:rFonts w:hint="default"/>
                <w:lang w:val="zh-CN"/>
              </w:rPr>
              <w:t>新建治理设施或对现有治理设施实施改造，应依据排放废气特征、VOCs组分及浓度、生产工况等，合理选择治理技术；对治理难度大、单一治理工艺难以稳定达标的，宜采用多种技术的组合工艺；除恶臭异味治理外，一般不使用低温等离子、光催化、光氧化等技术</w:t>
            </w:r>
            <w:r>
              <w:rPr>
                <w:lang w:val="zh-CN"/>
              </w:rPr>
              <w:t>。</w:t>
            </w:r>
          </w:p>
        </w:tc>
        <w:tc>
          <w:tcPr>
            <w:tcW w:w="1500" w:type="pct"/>
            <w:vAlign w:val="center"/>
          </w:tcPr>
          <w:p w14:paraId="08971E86">
            <w:pPr>
              <w:pStyle w:val="240"/>
              <w:jc w:val="both"/>
              <w:rPr>
                <w:rFonts w:hint="default"/>
              </w:rPr>
            </w:pPr>
            <w:r>
              <w:t>为新建项目，有机废气经集气罩收集后，采用1套</w:t>
            </w:r>
            <w:r>
              <w:rPr>
                <w:rFonts w:hint="eastAsia"/>
                <w:color w:val="auto"/>
                <w:lang w:eastAsia="zh-CN"/>
              </w:rPr>
              <w:t>活性炭浓缩吸附+催化燃烧</w:t>
            </w:r>
            <w:r>
              <w:rPr>
                <w:color w:val="auto"/>
              </w:rPr>
              <w:t>系统处理后经15m高排气筒排放</w:t>
            </w:r>
            <w:r>
              <w:t>，项目不适用</w:t>
            </w:r>
            <w:r>
              <w:rPr>
                <w:rFonts w:hint="default"/>
                <w:lang w:val="zh-CN"/>
              </w:rPr>
              <w:t>低温等离子、光催化、光氧化等技术</w:t>
            </w:r>
            <w:r>
              <w:rPr>
                <w:lang w:val="zh-CN"/>
              </w:rPr>
              <w:t>。</w:t>
            </w:r>
          </w:p>
        </w:tc>
        <w:tc>
          <w:tcPr>
            <w:tcW w:w="381" w:type="pct"/>
            <w:vAlign w:val="center"/>
          </w:tcPr>
          <w:p w14:paraId="287AA9E3">
            <w:pPr>
              <w:pStyle w:val="240"/>
              <w:rPr>
                <w:rFonts w:hint="default"/>
              </w:rPr>
            </w:pPr>
            <w:r>
              <w:t>符合</w:t>
            </w:r>
          </w:p>
        </w:tc>
      </w:tr>
    </w:tbl>
    <w:p w14:paraId="5AE53E83"/>
    <w:p w14:paraId="279C06D3">
      <w:pPr>
        <w:pStyle w:val="5"/>
        <w:rPr>
          <w:rFonts w:ascii="Times New Roman" w:hAnsi="Times New Roman"/>
          <w:color w:val="000000"/>
          <w:lang w:val="en-US"/>
        </w:rPr>
      </w:pPr>
      <w:r>
        <w:rPr>
          <w:rFonts w:hint="eastAsia" w:ascii="Times New Roman" w:hAnsi="Times New Roman"/>
          <w:color w:val="000000"/>
          <w:lang w:val="en-US"/>
        </w:rPr>
        <w:t>2.9.2.3与《国家发展改革委生态环境部关于印发“十四五”塑料污染治理行动方案的通知》符合性分析</w:t>
      </w:r>
    </w:p>
    <w:p w14:paraId="27BEA153">
      <w:pPr>
        <w:widowControl/>
        <w:autoSpaceDE w:val="0"/>
        <w:autoSpaceDN w:val="0"/>
        <w:spacing w:line="360" w:lineRule="auto"/>
        <w:ind w:firstLine="480" w:firstLineChars="200"/>
        <w:jc w:val="left"/>
        <w:rPr>
          <w:rFonts w:cs="宋体"/>
          <w:kern w:val="0"/>
          <w:sz w:val="24"/>
          <w:szCs w:val="24"/>
          <w:lang w:bidi="zh-CN"/>
        </w:rPr>
      </w:pPr>
      <w:r>
        <w:rPr>
          <w:rFonts w:hint="eastAsia" w:cs="宋体"/>
          <w:kern w:val="0"/>
          <w:sz w:val="24"/>
          <w:szCs w:val="24"/>
          <w:lang w:bidi="zh-CN"/>
        </w:rPr>
        <w:t>根据《国家发展改革委生态环境部关于印发“十四五”塑料污染治理行动方案的通知》发改环资〔2021〕1298 号中（二）加快推进塑料废弃物规范回收利用和处置。6.加大塑料废弃物再生利用。支持塑料废弃物再生利用项目建设，发布废塑料综合利用规范企业名单，引导相关项目向资源循环利用基地、工业资源综合利用基地等园区集聚，推动塑料废弃物再生利用产业规模化、规范化、清洁化发展。</w:t>
      </w:r>
    </w:p>
    <w:p w14:paraId="573FAA5E">
      <w:pPr>
        <w:widowControl/>
        <w:autoSpaceDE w:val="0"/>
        <w:autoSpaceDN w:val="0"/>
        <w:spacing w:line="360" w:lineRule="auto"/>
        <w:ind w:firstLine="480" w:firstLineChars="200"/>
        <w:jc w:val="left"/>
        <w:rPr>
          <w:rFonts w:cs="宋体"/>
          <w:kern w:val="0"/>
          <w:sz w:val="24"/>
          <w:szCs w:val="24"/>
          <w:lang w:bidi="zh-CN"/>
        </w:rPr>
      </w:pPr>
      <w:r>
        <w:rPr>
          <w:rFonts w:hint="eastAsia" w:cs="宋体"/>
          <w:kern w:val="0"/>
          <w:sz w:val="24"/>
          <w:szCs w:val="24"/>
          <w:lang w:bidi="zh-CN"/>
        </w:rPr>
        <w:t>本项目利用废旧塑料作为原材料加工生产聚乙烯再生颗粒及滴灌带，因此项目的建设符合“十四五”塑料污染治理行动方案要求</w:t>
      </w:r>
    </w:p>
    <w:p w14:paraId="4077C159">
      <w:pPr>
        <w:pStyle w:val="5"/>
        <w:rPr>
          <w:rFonts w:ascii="Times New Roman" w:hAnsi="Times New Roman"/>
          <w:color w:val="000000"/>
          <w:lang w:val="en-US"/>
        </w:rPr>
      </w:pPr>
      <w:r>
        <w:rPr>
          <w:rFonts w:hint="eastAsia" w:ascii="Times New Roman" w:hAnsi="Times New Roman"/>
          <w:color w:val="000000"/>
          <w:lang w:val="en-US"/>
        </w:rPr>
        <w:t>2.9.2.4与《废塑料综合利用行业规范条件》的符合性分析</w:t>
      </w:r>
    </w:p>
    <w:p w14:paraId="4D414E12">
      <w:pPr>
        <w:widowControl/>
        <w:autoSpaceDE w:val="0"/>
        <w:autoSpaceDN w:val="0"/>
        <w:spacing w:line="360" w:lineRule="auto"/>
        <w:ind w:firstLine="480" w:firstLineChars="200"/>
        <w:jc w:val="left"/>
        <w:rPr>
          <w:rFonts w:cs="宋体"/>
          <w:kern w:val="0"/>
          <w:sz w:val="24"/>
          <w:szCs w:val="24"/>
          <w:lang w:bidi="zh-CN"/>
        </w:rPr>
      </w:pPr>
      <w:r>
        <w:rPr>
          <w:rFonts w:hint="eastAsia" w:cs="宋体"/>
          <w:kern w:val="0"/>
          <w:sz w:val="24"/>
          <w:szCs w:val="24"/>
          <w:lang w:bidi="zh-CN"/>
        </w:rPr>
        <w:t>《废塑料综合利用行业规范条件》（中华人民共和国工业和信息化部公告2015年第81号）的项目符合性分析，见表2.9-3。</w:t>
      </w:r>
    </w:p>
    <w:p w14:paraId="5D5CE11A">
      <w:pPr>
        <w:widowControl/>
        <w:autoSpaceDE w:val="0"/>
        <w:autoSpaceDN w:val="0"/>
        <w:jc w:val="center"/>
        <w:rPr>
          <w:rFonts w:cs="宋体"/>
          <w:b/>
          <w:bCs/>
          <w:kern w:val="0"/>
          <w:szCs w:val="21"/>
          <w:lang w:bidi="zh-CN"/>
        </w:rPr>
      </w:pPr>
      <w:r>
        <w:rPr>
          <w:rFonts w:hint="eastAsia" w:cs="宋体"/>
          <w:b/>
          <w:bCs/>
          <w:kern w:val="0"/>
          <w:szCs w:val="21"/>
          <w:lang w:bidi="zh-CN"/>
        </w:rPr>
        <w:t>表2.9-3    本项目与《废塑料综合利用行业规范条件》的符合性分析</w:t>
      </w:r>
    </w:p>
    <w:tbl>
      <w:tblPr>
        <w:tblStyle w:val="49"/>
        <w:tblW w:w="5084" w:type="pct"/>
        <w:jc w:val="center"/>
        <w:tblBorders>
          <w:top w:val="single" w:color="000000" w:sz="12" w:space="0"/>
          <w:left w:val="single" w:color="000000" w:sz="12" w:space="0"/>
          <w:bottom w:val="single" w:color="000000" w:sz="12" w:space="0"/>
          <w:right w:val="single" w:color="000000" w:sz="12" w:space="0"/>
          <w:insideH w:val="single" w:color="000000" w:sz="2" w:space="0"/>
          <w:insideV w:val="single" w:color="000000" w:sz="4" w:space="0"/>
        </w:tblBorders>
        <w:tblLayout w:type="autofit"/>
        <w:tblCellMar>
          <w:top w:w="0" w:type="dxa"/>
          <w:left w:w="0" w:type="dxa"/>
          <w:bottom w:w="0" w:type="dxa"/>
          <w:right w:w="0" w:type="dxa"/>
        </w:tblCellMar>
      </w:tblPr>
      <w:tblGrid>
        <w:gridCol w:w="901"/>
        <w:gridCol w:w="4056"/>
        <w:gridCol w:w="3244"/>
        <w:gridCol w:w="996"/>
      </w:tblGrid>
      <w:tr w14:paraId="32BC5366">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4" w:space="0"/>
          </w:tblBorders>
          <w:tblCellMar>
            <w:top w:w="0" w:type="dxa"/>
            <w:left w:w="0" w:type="dxa"/>
            <w:bottom w:w="0" w:type="dxa"/>
            <w:right w:w="0" w:type="dxa"/>
          </w:tblCellMar>
        </w:tblPrEx>
        <w:trPr>
          <w:trHeight w:val="378" w:hRule="atLeast"/>
          <w:jc w:val="center"/>
        </w:trPr>
        <w:tc>
          <w:tcPr>
            <w:tcW w:w="490" w:type="pct"/>
            <w:tcBorders>
              <w:tl2br w:val="nil"/>
              <w:tr2bl w:val="nil"/>
            </w:tcBorders>
            <w:vAlign w:val="center"/>
          </w:tcPr>
          <w:p w14:paraId="4F34971C">
            <w:pPr>
              <w:jc w:val="center"/>
              <w:rPr>
                <w:szCs w:val="21"/>
              </w:rPr>
            </w:pPr>
            <w:r>
              <w:rPr>
                <w:szCs w:val="21"/>
              </w:rPr>
              <w:t>项目</w:t>
            </w:r>
          </w:p>
        </w:tc>
        <w:tc>
          <w:tcPr>
            <w:tcW w:w="2204" w:type="pct"/>
            <w:tcBorders>
              <w:tl2br w:val="nil"/>
              <w:tr2bl w:val="nil"/>
            </w:tcBorders>
            <w:vAlign w:val="center"/>
          </w:tcPr>
          <w:p w14:paraId="2F95DFE5">
            <w:pPr>
              <w:jc w:val="center"/>
              <w:rPr>
                <w:szCs w:val="21"/>
              </w:rPr>
            </w:pPr>
            <w:r>
              <w:rPr>
                <w:szCs w:val="21"/>
              </w:rPr>
              <w:t>具体要求</w:t>
            </w:r>
          </w:p>
        </w:tc>
        <w:tc>
          <w:tcPr>
            <w:tcW w:w="1763" w:type="pct"/>
            <w:tcBorders>
              <w:tl2br w:val="nil"/>
              <w:tr2bl w:val="nil"/>
            </w:tcBorders>
            <w:vAlign w:val="center"/>
          </w:tcPr>
          <w:p w14:paraId="23BB1C0D">
            <w:pPr>
              <w:jc w:val="center"/>
              <w:rPr>
                <w:szCs w:val="21"/>
              </w:rPr>
            </w:pPr>
            <w:r>
              <w:rPr>
                <w:szCs w:val="21"/>
              </w:rPr>
              <w:t>本项目情况</w:t>
            </w:r>
          </w:p>
        </w:tc>
        <w:tc>
          <w:tcPr>
            <w:tcW w:w="541" w:type="pct"/>
            <w:tcBorders>
              <w:tl2br w:val="nil"/>
              <w:tr2bl w:val="nil"/>
            </w:tcBorders>
            <w:vAlign w:val="center"/>
          </w:tcPr>
          <w:p w14:paraId="5C2FD99D">
            <w:pPr>
              <w:jc w:val="center"/>
              <w:rPr>
                <w:szCs w:val="21"/>
              </w:rPr>
            </w:pPr>
            <w:r>
              <w:rPr>
                <w:szCs w:val="21"/>
              </w:rPr>
              <w:t>符合情况</w:t>
            </w:r>
          </w:p>
        </w:tc>
      </w:tr>
      <w:tr w14:paraId="6713B868">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4" w:space="0"/>
          </w:tblBorders>
          <w:tblCellMar>
            <w:top w:w="0" w:type="dxa"/>
            <w:left w:w="0" w:type="dxa"/>
            <w:bottom w:w="0" w:type="dxa"/>
            <w:right w:w="0" w:type="dxa"/>
          </w:tblCellMar>
        </w:tblPrEx>
        <w:trPr>
          <w:trHeight w:val="1401" w:hRule="atLeast"/>
          <w:jc w:val="center"/>
        </w:trPr>
        <w:tc>
          <w:tcPr>
            <w:tcW w:w="490" w:type="pct"/>
            <w:vMerge w:val="restart"/>
            <w:tcBorders>
              <w:tl2br w:val="nil"/>
              <w:tr2bl w:val="nil"/>
            </w:tcBorders>
            <w:vAlign w:val="center"/>
          </w:tcPr>
          <w:p w14:paraId="7DD83117">
            <w:pPr>
              <w:jc w:val="center"/>
              <w:rPr>
                <w:szCs w:val="21"/>
              </w:rPr>
            </w:pPr>
            <w:r>
              <w:rPr>
                <w:szCs w:val="21"/>
              </w:rPr>
              <w:t>企业的设立和布局</w:t>
            </w:r>
          </w:p>
        </w:tc>
        <w:tc>
          <w:tcPr>
            <w:tcW w:w="2204" w:type="pct"/>
            <w:tcBorders>
              <w:tl2br w:val="nil"/>
              <w:tr2bl w:val="nil"/>
            </w:tcBorders>
          </w:tcPr>
          <w:p w14:paraId="69E032AB">
            <w:pPr>
              <w:pStyle w:val="234"/>
              <w:autoSpaceDE w:val="0"/>
              <w:autoSpaceDN w:val="0"/>
              <w:spacing w:after="0" w:line="273" w:lineRule="exact"/>
              <w:ind w:left="42" w:leftChars="20" w:firstLine="420"/>
              <w:rPr>
                <w:rFonts w:ascii="Times New Roman" w:hAnsi="Times New Roman" w:cs="Times New Roman"/>
                <w:sz w:val="21"/>
                <w:szCs w:val="21"/>
                <w:lang w:bidi="zh-CN"/>
              </w:rPr>
            </w:pPr>
            <w:r>
              <w:rPr>
                <w:rFonts w:ascii="Times New Roman" w:hAnsi="Times New Roman" w:cs="Times New Roman"/>
                <w:sz w:val="21"/>
                <w:szCs w:val="21"/>
                <w:lang w:val="zh-CN" w:eastAsia="zh-CN" w:bidi="zh-CN"/>
              </w:rPr>
              <w:t>新建及改造、扩建废塑料加工企业应符合国家产业政策及所在地区土地利用总体规划、城乡建设规划、环境保护、污染防治规划。企业建 设应有规范化设计要求，采用节能环保技术及生产装备。</w:t>
            </w:r>
          </w:p>
        </w:tc>
        <w:tc>
          <w:tcPr>
            <w:tcW w:w="1763" w:type="pct"/>
            <w:tcBorders>
              <w:tl2br w:val="nil"/>
              <w:tr2bl w:val="nil"/>
            </w:tcBorders>
            <w:vAlign w:val="center"/>
          </w:tcPr>
          <w:p w14:paraId="5904B8F0">
            <w:pPr>
              <w:pStyle w:val="234"/>
              <w:autoSpaceDE w:val="0"/>
              <w:autoSpaceDN w:val="0"/>
              <w:spacing w:after="0" w:line="277" w:lineRule="exact"/>
              <w:ind w:firstLine="420" w:firstLineChars="200"/>
              <w:rPr>
                <w:rFonts w:ascii="Times New Roman" w:hAnsi="Times New Roman" w:cs="Times New Roman"/>
                <w:sz w:val="21"/>
                <w:szCs w:val="21"/>
                <w:lang w:bidi="zh-CN"/>
              </w:rPr>
            </w:pPr>
            <w:r>
              <w:rPr>
                <w:rFonts w:ascii="Times New Roman" w:hAnsi="Times New Roman" w:cs="Times New Roman"/>
                <w:sz w:val="21"/>
                <w:szCs w:val="21"/>
                <w:lang w:val="zh-CN" w:eastAsia="zh-CN" w:bidi="zh-CN"/>
              </w:rPr>
              <w:t>建设符合国家产业政策及所在地区相关规划要求，采用了相应的节能环保技术及生产装备。</w:t>
            </w:r>
          </w:p>
        </w:tc>
        <w:tc>
          <w:tcPr>
            <w:tcW w:w="541" w:type="pct"/>
            <w:tcBorders>
              <w:tl2br w:val="nil"/>
              <w:tr2bl w:val="nil"/>
            </w:tcBorders>
            <w:vAlign w:val="center"/>
          </w:tcPr>
          <w:p w14:paraId="2537C1D4">
            <w:pPr>
              <w:jc w:val="center"/>
              <w:rPr>
                <w:szCs w:val="21"/>
              </w:rPr>
            </w:pPr>
            <w:r>
              <w:rPr>
                <w:szCs w:val="21"/>
              </w:rPr>
              <w:t>符合</w:t>
            </w:r>
          </w:p>
        </w:tc>
      </w:tr>
      <w:tr w14:paraId="360183C5">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4" w:space="0"/>
          </w:tblBorders>
          <w:tblCellMar>
            <w:top w:w="0" w:type="dxa"/>
            <w:left w:w="0" w:type="dxa"/>
            <w:bottom w:w="0" w:type="dxa"/>
            <w:right w:w="0" w:type="dxa"/>
          </w:tblCellMar>
        </w:tblPrEx>
        <w:trPr>
          <w:trHeight w:val="1678" w:hRule="atLeast"/>
          <w:jc w:val="center"/>
        </w:trPr>
        <w:tc>
          <w:tcPr>
            <w:tcW w:w="490" w:type="pct"/>
            <w:vMerge w:val="continue"/>
            <w:tcBorders>
              <w:tl2br w:val="nil"/>
              <w:tr2bl w:val="nil"/>
            </w:tcBorders>
            <w:vAlign w:val="center"/>
          </w:tcPr>
          <w:p w14:paraId="7A96582D">
            <w:pPr>
              <w:jc w:val="center"/>
              <w:rPr>
                <w:szCs w:val="21"/>
              </w:rPr>
            </w:pPr>
          </w:p>
        </w:tc>
        <w:tc>
          <w:tcPr>
            <w:tcW w:w="2204" w:type="pct"/>
            <w:tcBorders>
              <w:tl2br w:val="nil"/>
              <w:tr2bl w:val="nil"/>
            </w:tcBorders>
          </w:tcPr>
          <w:p w14:paraId="461D95A0">
            <w:pPr>
              <w:pStyle w:val="234"/>
              <w:autoSpaceDE w:val="0"/>
              <w:autoSpaceDN w:val="0"/>
              <w:spacing w:after="0" w:line="273" w:lineRule="exact"/>
              <w:ind w:left="42" w:leftChars="20" w:firstLine="420"/>
              <w:rPr>
                <w:rFonts w:ascii="Times New Roman" w:hAnsi="Times New Roman" w:cs="Times New Roman"/>
                <w:sz w:val="21"/>
                <w:szCs w:val="21"/>
                <w:lang w:val="zh-CN" w:eastAsia="zh-CN" w:bidi="zh-CN"/>
              </w:rPr>
            </w:pPr>
            <w:r>
              <w:rPr>
                <w:rFonts w:hint="eastAsia" w:ascii="Times New Roman" w:hAnsi="Times New Roman" w:cs="Times New Roman"/>
                <w:sz w:val="21"/>
                <w:szCs w:val="21"/>
                <w:lang w:val="zh-CN" w:eastAsia="zh-CN" w:bidi="zh-CN"/>
              </w:rPr>
              <w:t>废塑料综合利用企业是指采用物理机械法对热塑性废塑料进行再生加工的企业，企业类型主要包括PET再生瓶片类企业、废塑料破碎清洗分选类企业以及塑料再生造粒类企业。</w:t>
            </w:r>
          </w:p>
        </w:tc>
        <w:tc>
          <w:tcPr>
            <w:tcW w:w="1763" w:type="pct"/>
            <w:tcBorders>
              <w:tl2br w:val="nil"/>
              <w:tr2bl w:val="nil"/>
            </w:tcBorders>
            <w:vAlign w:val="center"/>
          </w:tcPr>
          <w:p w14:paraId="7801F676">
            <w:pPr>
              <w:pStyle w:val="234"/>
              <w:autoSpaceDE w:val="0"/>
              <w:autoSpaceDN w:val="0"/>
              <w:spacing w:after="0" w:line="277" w:lineRule="exact"/>
              <w:ind w:firstLine="420" w:firstLineChars="200"/>
              <w:rPr>
                <w:rFonts w:ascii="Times New Roman" w:hAnsi="Times New Roman" w:cs="Times New Roman"/>
                <w:sz w:val="21"/>
                <w:szCs w:val="21"/>
                <w:lang w:val="zh-CN" w:eastAsia="zh-CN" w:bidi="zh-CN"/>
              </w:rPr>
            </w:pPr>
            <w:r>
              <w:rPr>
                <w:rFonts w:hint="eastAsia" w:ascii="Times New Roman" w:hAnsi="Times New Roman" w:cs="Times New Roman"/>
                <w:sz w:val="21"/>
                <w:szCs w:val="21"/>
                <w:lang w:val="zh-CN" w:eastAsia="zh-CN" w:bidi="zh-CN"/>
              </w:rPr>
              <w:t>属于废旧地膜再生造粒生产滴灌带企业。</w:t>
            </w:r>
          </w:p>
        </w:tc>
        <w:tc>
          <w:tcPr>
            <w:tcW w:w="541" w:type="pct"/>
            <w:tcBorders>
              <w:tl2br w:val="nil"/>
              <w:tr2bl w:val="nil"/>
            </w:tcBorders>
            <w:vAlign w:val="center"/>
          </w:tcPr>
          <w:p w14:paraId="7E58F6D0">
            <w:pPr>
              <w:jc w:val="center"/>
              <w:rPr>
                <w:szCs w:val="21"/>
              </w:rPr>
            </w:pPr>
            <w:r>
              <w:rPr>
                <w:szCs w:val="21"/>
              </w:rPr>
              <w:t>符合</w:t>
            </w:r>
          </w:p>
        </w:tc>
      </w:tr>
      <w:tr w14:paraId="28653218">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4" w:space="0"/>
          </w:tblBorders>
          <w:tblCellMar>
            <w:top w:w="0" w:type="dxa"/>
            <w:left w:w="0" w:type="dxa"/>
            <w:bottom w:w="0" w:type="dxa"/>
            <w:right w:w="0" w:type="dxa"/>
          </w:tblCellMar>
        </w:tblPrEx>
        <w:trPr>
          <w:trHeight w:val="1600" w:hRule="atLeast"/>
          <w:jc w:val="center"/>
        </w:trPr>
        <w:tc>
          <w:tcPr>
            <w:tcW w:w="490" w:type="pct"/>
            <w:vMerge w:val="continue"/>
            <w:tcBorders>
              <w:tl2br w:val="nil"/>
              <w:tr2bl w:val="nil"/>
            </w:tcBorders>
            <w:vAlign w:val="center"/>
          </w:tcPr>
          <w:p w14:paraId="7329004B">
            <w:pPr>
              <w:jc w:val="center"/>
              <w:rPr>
                <w:szCs w:val="21"/>
              </w:rPr>
            </w:pPr>
          </w:p>
        </w:tc>
        <w:tc>
          <w:tcPr>
            <w:tcW w:w="2204" w:type="pct"/>
            <w:tcBorders>
              <w:tl2br w:val="nil"/>
              <w:tr2bl w:val="nil"/>
            </w:tcBorders>
            <w:vAlign w:val="center"/>
          </w:tcPr>
          <w:p w14:paraId="06FD3463">
            <w:pPr>
              <w:autoSpaceDE w:val="0"/>
              <w:autoSpaceDN w:val="0"/>
              <w:ind w:left="42" w:leftChars="20" w:firstLine="420" w:firstLineChars="200"/>
              <w:rPr>
                <w:szCs w:val="21"/>
              </w:rPr>
            </w:pPr>
            <w:r>
              <w:rPr>
                <w:szCs w:val="21"/>
              </w:rPr>
              <w:t>废塑料综合利用企业所涉及的热塑性废塑料原料，不包括受到危险化学品、农药等污染的废弃塑料包装物、废弃一次性医疗用塑料制品等塑料类危险废物</w:t>
            </w:r>
            <w:r>
              <w:rPr>
                <w:rFonts w:hint="eastAsia"/>
                <w:szCs w:val="21"/>
              </w:rPr>
              <w:t>，</w:t>
            </w:r>
            <w:r>
              <w:rPr>
                <w:szCs w:val="21"/>
              </w:rPr>
              <w:t>以及氟塑料等特种工程塑料。</w:t>
            </w:r>
          </w:p>
        </w:tc>
        <w:tc>
          <w:tcPr>
            <w:tcW w:w="1763" w:type="pct"/>
            <w:tcBorders>
              <w:tl2br w:val="nil"/>
              <w:tr2bl w:val="nil"/>
            </w:tcBorders>
            <w:vAlign w:val="center"/>
          </w:tcPr>
          <w:p w14:paraId="3ACF6640">
            <w:pPr>
              <w:autoSpaceDE w:val="0"/>
              <w:autoSpaceDN w:val="0"/>
              <w:ind w:left="42" w:leftChars="20" w:firstLine="420" w:firstLineChars="200"/>
              <w:rPr>
                <w:szCs w:val="21"/>
              </w:rPr>
            </w:pPr>
            <w:r>
              <w:rPr>
                <w:rFonts w:hint="eastAsia"/>
                <w:szCs w:val="21"/>
              </w:rPr>
              <w:t>造粒的原料主要来自距离本项目东侧6.93km处的本公司2024年8月建成投入使用的废地膜回收、分拣、破碎清洗后的地膜，不使用危险化学品、农药等污染的废弃塑料包装物、废弃一次性医疗用塑料制品等塑料类危险废物，以及氟塑料等特种工程塑料等热塑性废塑料原料。</w:t>
            </w:r>
          </w:p>
        </w:tc>
        <w:tc>
          <w:tcPr>
            <w:tcW w:w="541" w:type="pct"/>
            <w:tcBorders>
              <w:tl2br w:val="nil"/>
              <w:tr2bl w:val="nil"/>
            </w:tcBorders>
            <w:vAlign w:val="center"/>
          </w:tcPr>
          <w:p w14:paraId="41926623">
            <w:pPr>
              <w:jc w:val="center"/>
              <w:rPr>
                <w:szCs w:val="21"/>
              </w:rPr>
            </w:pPr>
            <w:r>
              <w:rPr>
                <w:szCs w:val="21"/>
              </w:rPr>
              <w:t>符合</w:t>
            </w:r>
          </w:p>
        </w:tc>
      </w:tr>
      <w:tr w14:paraId="5B592E0E">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4" w:space="0"/>
          </w:tblBorders>
          <w:tblCellMar>
            <w:top w:w="0" w:type="dxa"/>
            <w:left w:w="0" w:type="dxa"/>
            <w:bottom w:w="0" w:type="dxa"/>
            <w:right w:w="0" w:type="dxa"/>
          </w:tblCellMar>
        </w:tblPrEx>
        <w:trPr>
          <w:trHeight w:val="2287" w:hRule="atLeast"/>
          <w:jc w:val="center"/>
        </w:trPr>
        <w:tc>
          <w:tcPr>
            <w:tcW w:w="490" w:type="pct"/>
            <w:vMerge w:val="continue"/>
            <w:tcBorders>
              <w:tl2br w:val="nil"/>
              <w:tr2bl w:val="nil"/>
            </w:tcBorders>
            <w:vAlign w:val="center"/>
          </w:tcPr>
          <w:p w14:paraId="4D3F9357">
            <w:pPr>
              <w:jc w:val="center"/>
              <w:rPr>
                <w:szCs w:val="21"/>
              </w:rPr>
            </w:pPr>
          </w:p>
        </w:tc>
        <w:tc>
          <w:tcPr>
            <w:tcW w:w="2204" w:type="pct"/>
            <w:tcBorders>
              <w:tl2br w:val="nil"/>
              <w:tr2bl w:val="nil"/>
            </w:tcBorders>
            <w:vAlign w:val="center"/>
          </w:tcPr>
          <w:p w14:paraId="1B045B88">
            <w:pPr>
              <w:autoSpaceDE w:val="0"/>
              <w:autoSpaceDN w:val="0"/>
              <w:ind w:left="42" w:leftChars="20"/>
              <w:rPr>
                <w:szCs w:val="21"/>
              </w:rPr>
            </w:pPr>
            <w:r>
              <w:rPr>
                <w:szCs w:val="21"/>
              </w:rPr>
              <w:t>在国家法律、法规、规章和规划确定或县级及以上人民政府规定的自然保护区、风景名胜区、饮用水源保护区、基本农田保护区和其他需要特别保护的区域内，不得新建废塑料综合利用企业；已在上述区域投产运营的废塑料综合利用企业，要根据该区域规划要求，依法通过搬迁、转产等方式逐步退出。</w:t>
            </w:r>
          </w:p>
        </w:tc>
        <w:tc>
          <w:tcPr>
            <w:tcW w:w="1763" w:type="pct"/>
            <w:tcBorders>
              <w:tl2br w:val="nil"/>
              <w:tr2bl w:val="nil"/>
            </w:tcBorders>
            <w:vAlign w:val="center"/>
          </w:tcPr>
          <w:p w14:paraId="11382B9A">
            <w:pPr>
              <w:autoSpaceDE w:val="0"/>
              <w:autoSpaceDN w:val="0"/>
              <w:ind w:left="42" w:leftChars="20"/>
              <w:rPr>
                <w:szCs w:val="21"/>
              </w:rPr>
            </w:pPr>
            <w:r>
              <w:rPr>
                <w:rFonts w:hint="eastAsia"/>
                <w:szCs w:val="21"/>
              </w:rPr>
              <w:t>为新建项目，</w:t>
            </w:r>
            <w:r>
              <w:rPr>
                <w:szCs w:val="21"/>
              </w:rPr>
              <w:t>位</w:t>
            </w:r>
            <w:r>
              <w:rPr>
                <w:rFonts w:hint="eastAsia"/>
                <w:szCs w:val="21"/>
              </w:rPr>
              <w:t>于</w:t>
            </w:r>
            <w:r>
              <w:rPr>
                <w:rFonts w:hint="eastAsia"/>
                <w:szCs w:val="21"/>
                <w:lang w:val="zh-CN"/>
              </w:rPr>
              <w:t>新疆库尔勒市普惠乡润疆社区四分场库尔勒惠泉工贸有限公司厂区内</w:t>
            </w:r>
            <w:r>
              <w:rPr>
                <w:szCs w:val="21"/>
              </w:rPr>
              <w:t>，不在国家法律、法规、规章和规划确定或县级及以上人民政府规定的自然保护区、风景名胜区、饮用水源保护区和其他需要特别保护的区域内</w:t>
            </w:r>
          </w:p>
        </w:tc>
        <w:tc>
          <w:tcPr>
            <w:tcW w:w="541" w:type="pct"/>
            <w:tcBorders>
              <w:tl2br w:val="nil"/>
              <w:tr2bl w:val="nil"/>
            </w:tcBorders>
            <w:vAlign w:val="center"/>
          </w:tcPr>
          <w:p w14:paraId="32ED7974">
            <w:pPr>
              <w:jc w:val="center"/>
              <w:rPr>
                <w:szCs w:val="21"/>
              </w:rPr>
            </w:pPr>
            <w:r>
              <w:rPr>
                <w:szCs w:val="21"/>
              </w:rPr>
              <w:t>符合</w:t>
            </w:r>
          </w:p>
        </w:tc>
      </w:tr>
      <w:tr w14:paraId="6CEC7006">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4" w:space="0"/>
          </w:tblBorders>
          <w:tblCellMar>
            <w:top w:w="0" w:type="dxa"/>
            <w:left w:w="0" w:type="dxa"/>
            <w:bottom w:w="0" w:type="dxa"/>
            <w:right w:w="0" w:type="dxa"/>
          </w:tblCellMar>
        </w:tblPrEx>
        <w:trPr>
          <w:trHeight w:val="3190" w:hRule="atLeast"/>
          <w:jc w:val="center"/>
        </w:trPr>
        <w:tc>
          <w:tcPr>
            <w:tcW w:w="490" w:type="pct"/>
            <w:tcBorders>
              <w:tl2br w:val="nil"/>
              <w:tr2bl w:val="nil"/>
            </w:tcBorders>
            <w:vAlign w:val="center"/>
          </w:tcPr>
          <w:p w14:paraId="0748C3E7">
            <w:pPr>
              <w:jc w:val="center"/>
              <w:rPr>
                <w:szCs w:val="21"/>
              </w:rPr>
            </w:pPr>
            <w:r>
              <w:rPr>
                <w:szCs w:val="21"/>
              </w:rPr>
              <w:t>生产经营规模</w:t>
            </w:r>
          </w:p>
        </w:tc>
        <w:tc>
          <w:tcPr>
            <w:tcW w:w="2204" w:type="pct"/>
            <w:tcBorders>
              <w:tl2br w:val="nil"/>
              <w:tr2bl w:val="nil"/>
            </w:tcBorders>
            <w:vAlign w:val="center"/>
          </w:tcPr>
          <w:p w14:paraId="0D902F37">
            <w:pPr>
              <w:autoSpaceDE w:val="0"/>
              <w:autoSpaceDN w:val="0"/>
              <w:ind w:left="42" w:leftChars="20"/>
              <w:rPr>
                <w:szCs w:val="21"/>
              </w:rPr>
            </w:pPr>
            <w:r>
              <w:rPr>
                <w:szCs w:val="21"/>
              </w:rPr>
              <w:t>企业应具有与生产能力相匹配的厂区作业场地面积。</w:t>
            </w:r>
            <w:r>
              <w:rPr>
                <w:rFonts w:hint="eastAsia"/>
                <w:szCs w:val="21"/>
              </w:rPr>
              <w:t>塑料再生造粒类企业废料处理能力不低于5000吨，已建企业年废塑料处理能力不低于3000吨。</w:t>
            </w:r>
          </w:p>
        </w:tc>
        <w:tc>
          <w:tcPr>
            <w:tcW w:w="1763" w:type="pct"/>
            <w:tcBorders>
              <w:tl2br w:val="nil"/>
              <w:tr2bl w:val="nil"/>
            </w:tcBorders>
            <w:vAlign w:val="center"/>
          </w:tcPr>
          <w:p w14:paraId="6F701098">
            <w:pPr>
              <w:autoSpaceDE w:val="0"/>
              <w:autoSpaceDN w:val="0"/>
              <w:ind w:left="42" w:leftChars="20"/>
              <w:rPr>
                <w:szCs w:val="21"/>
              </w:rPr>
            </w:pPr>
            <w:r>
              <w:rPr>
                <w:rFonts w:hint="eastAsia"/>
                <w:szCs w:val="21"/>
              </w:rPr>
              <w:t>租用1栋厂房以及办公室宿舍等，建筑面积928m</w:t>
            </w:r>
            <w:r>
              <w:rPr>
                <w:rFonts w:hint="eastAsia"/>
                <w:szCs w:val="21"/>
                <w:vertAlign w:val="superscript"/>
              </w:rPr>
              <w:t>2</w:t>
            </w:r>
            <w:r>
              <w:rPr>
                <w:rFonts w:hint="eastAsia"/>
                <w:szCs w:val="21"/>
              </w:rPr>
              <w:t>（本项目不在厂区内进行分拣、破碎清洗，利用处理好的废旧地膜运送至厂区直接进行造粒，不在厂区堆放废旧地膜，每天按加工量拉运废旧地膜进入厂区，当天加工的颗粒全部进入滴灌带生产线，成品滴灌带临时堆放于带顶的大棚下），可满足本项目生产规模所需场地面积，处理废旧农用地膜5500t/a</w:t>
            </w:r>
          </w:p>
        </w:tc>
        <w:tc>
          <w:tcPr>
            <w:tcW w:w="541" w:type="pct"/>
            <w:tcBorders>
              <w:tl2br w:val="nil"/>
              <w:tr2bl w:val="nil"/>
            </w:tcBorders>
            <w:vAlign w:val="center"/>
          </w:tcPr>
          <w:p w14:paraId="3939793A">
            <w:pPr>
              <w:jc w:val="center"/>
              <w:rPr>
                <w:szCs w:val="21"/>
              </w:rPr>
            </w:pPr>
            <w:r>
              <w:rPr>
                <w:szCs w:val="21"/>
              </w:rPr>
              <w:t>符合</w:t>
            </w:r>
          </w:p>
        </w:tc>
      </w:tr>
      <w:tr w14:paraId="7220E4A2">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4" w:space="0"/>
          </w:tblBorders>
          <w:tblCellMar>
            <w:top w:w="0" w:type="dxa"/>
            <w:left w:w="0" w:type="dxa"/>
            <w:bottom w:w="0" w:type="dxa"/>
            <w:right w:w="0" w:type="dxa"/>
          </w:tblCellMar>
        </w:tblPrEx>
        <w:trPr>
          <w:trHeight w:val="1779" w:hRule="atLeast"/>
          <w:jc w:val="center"/>
        </w:trPr>
        <w:tc>
          <w:tcPr>
            <w:tcW w:w="490" w:type="pct"/>
            <w:tcBorders>
              <w:tl2br w:val="nil"/>
              <w:tr2bl w:val="nil"/>
            </w:tcBorders>
            <w:vAlign w:val="center"/>
          </w:tcPr>
          <w:p w14:paraId="45927ABC">
            <w:pPr>
              <w:jc w:val="center"/>
              <w:rPr>
                <w:szCs w:val="21"/>
              </w:rPr>
            </w:pPr>
            <w:r>
              <w:rPr>
                <w:rFonts w:hint="eastAsia"/>
                <w:szCs w:val="21"/>
              </w:rPr>
              <w:t>资源综</w:t>
            </w:r>
          </w:p>
          <w:p w14:paraId="1F7B4F26">
            <w:pPr>
              <w:jc w:val="center"/>
              <w:rPr>
                <w:szCs w:val="21"/>
              </w:rPr>
            </w:pPr>
            <w:r>
              <w:rPr>
                <w:rFonts w:hint="eastAsia"/>
                <w:szCs w:val="21"/>
              </w:rPr>
              <w:t>合利用</w:t>
            </w:r>
          </w:p>
          <w:p w14:paraId="589817E8">
            <w:pPr>
              <w:jc w:val="center"/>
              <w:rPr>
                <w:szCs w:val="21"/>
              </w:rPr>
            </w:pPr>
            <w:r>
              <w:rPr>
                <w:rFonts w:hint="eastAsia"/>
                <w:szCs w:val="21"/>
              </w:rPr>
              <w:t>及能耗</w:t>
            </w:r>
          </w:p>
        </w:tc>
        <w:tc>
          <w:tcPr>
            <w:tcW w:w="2204" w:type="pct"/>
            <w:tcBorders>
              <w:tl2br w:val="nil"/>
              <w:tr2bl w:val="nil"/>
            </w:tcBorders>
            <w:vAlign w:val="center"/>
          </w:tcPr>
          <w:p w14:paraId="5DD9F479">
            <w:pPr>
              <w:autoSpaceDE w:val="0"/>
              <w:autoSpaceDN w:val="0"/>
              <w:ind w:left="42" w:leftChars="20"/>
              <w:rPr>
                <w:szCs w:val="21"/>
              </w:rPr>
            </w:pPr>
            <w:r>
              <w:rPr>
                <w:rFonts w:hint="eastAsia"/>
                <w:szCs w:val="21"/>
              </w:rPr>
              <w:t>PET 再生瓶片类企业与废塑料破碎、清洗、分选类企业的综合新水消耗低于1.5吨/吨废塑料；塑料再生造粒类企业的综合新水消耗低于0.2吨/吨废塑料；塑料再生加工相关生产环节的综合电耗低于500千瓦时/吨废塑料。</w:t>
            </w:r>
          </w:p>
        </w:tc>
        <w:tc>
          <w:tcPr>
            <w:tcW w:w="1763" w:type="pct"/>
            <w:tcBorders>
              <w:tl2br w:val="nil"/>
              <w:tr2bl w:val="nil"/>
            </w:tcBorders>
            <w:vAlign w:val="center"/>
          </w:tcPr>
          <w:p w14:paraId="0D84B3F5">
            <w:pPr>
              <w:autoSpaceDE w:val="0"/>
              <w:autoSpaceDN w:val="0"/>
              <w:ind w:left="42" w:leftChars="20"/>
              <w:rPr>
                <w:szCs w:val="21"/>
              </w:rPr>
            </w:pPr>
            <w:r>
              <w:rPr>
                <w:rFonts w:hint="eastAsia"/>
                <w:szCs w:val="21"/>
              </w:rPr>
              <w:t>项目造</w:t>
            </w:r>
            <w:r>
              <w:rPr>
                <w:rFonts w:hint="eastAsia"/>
                <w:szCs w:val="21"/>
                <w:lang w:eastAsia="zh-CN"/>
              </w:rPr>
              <w:t>粒不涉及清洗，无新水消耗</w:t>
            </w:r>
            <w:r>
              <w:rPr>
                <w:rFonts w:hint="eastAsia"/>
                <w:szCs w:val="21"/>
              </w:rPr>
              <w:t>；综合电耗180千瓦时/吨废塑料。</w:t>
            </w:r>
          </w:p>
        </w:tc>
        <w:tc>
          <w:tcPr>
            <w:tcW w:w="541" w:type="pct"/>
            <w:tcBorders>
              <w:tl2br w:val="nil"/>
              <w:tr2bl w:val="nil"/>
            </w:tcBorders>
            <w:vAlign w:val="center"/>
          </w:tcPr>
          <w:p w14:paraId="36F863FE">
            <w:pPr>
              <w:jc w:val="center"/>
              <w:rPr>
                <w:szCs w:val="21"/>
              </w:rPr>
            </w:pPr>
            <w:r>
              <w:rPr>
                <w:szCs w:val="21"/>
              </w:rPr>
              <w:t>符合</w:t>
            </w:r>
          </w:p>
        </w:tc>
      </w:tr>
      <w:tr w14:paraId="29046CCD">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4" w:space="0"/>
          </w:tblBorders>
          <w:tblCellMar>
            <w:top w:w="0" w:type="dxa"/>
            <w:left w:w="0" w:type="dxa"/>
            <w:bottom w:w="0" w:type="dxa"/>
            <w:right w:w="0" w:type="dxa"/>
          </w:tblCellMar>
        </w:tblPrEx>
        <w:trPr>
          <w:trHeight w:val="2553" w:hRule="atLeast"/>
          <w:jc w:val="center"/>
        </w:trPr>
        <w:tc>
          <w:tcPr>
            <w:tcW w:w="490" w:type="pct"/>
            <w:tcBorders>
              <w:tl2br w:val="nil"/>
              <w:tr2bl w:val="nil"/>
            </w:tcBorders>
            <w:vAlign w:val="center"/>
          </w:tcPr>
          <w:p w14:paraId="72F00120">
            <w:pPr>
              <w:jc w:val="center"/>
              <w:rPr>
                <w:szCs w:val="21"/>
              </w:rPr>
            </w:pPr>
            <w:r>
              <w:rPr>
                <w:szCs w:val="21"/>
              </w:rPr>
              <w:t>工艺与装备</w:t>
            </w:r>
          </w:p>
        </w:tc>
        <w:tc>
          <w:tcPr>
            <w:tcW w:w="2204" w:type="pct"/>
            <w:tcBorders>
              <w:tl2br w:val="nil"/>
              <w:tr2bl w:val="nil"/>
            </w:tcBorders>
            <w:vAlign w:val="center"/>
          </w:tcPr>
          <w:p w14:paraId="7C682693">
            <w:pPr>
              <w:autoSpaceDE w:val="0"/>
              <w:autoSpaceDN w:val="0"/>
              <w:ind w:left="42" w:leftChars="20" w:right="42" w:rightChars="20"/>
              <w:rPr>
                <w:szCs w:val="21"/>
              </w:rPr>
            </w:pPr>
            <w:r>
              <w:rPr>
                <w:szCs w:val="21"/>
              </w:rPr>
              <w:t>新建及改造、扩建废塑料综合利用企业应采用先进技术、工艺和装备，提高废塑料再生加工过程的自动化水平。塑料再生造粒类企业：应具有与加工利用能力相适应的预处理设备和造粒设备。其中，造粒设备应具有强制排气系统，通过集气罩实现废气的集中处理；过滤装置的废弃过滤网应按照环境保护有关规定处理，禁止露天焚烧。</w:t>
            </w:r>
          </w:p>
        </w:tc>
        <w:tc>
          <w:tcPr>
            <w:tcW w:w="1763" w:type="pct"/>
            <w:tcBorders>
              <w:tl2br w:val="nil"/>
              <w:tr2bl w:val="nil"/>
            </w:tcBorders>
            <w:vAlign w:val="center"/>
          </w:tcPr>
          <w:p w14:paraId="17AF968E">
            <w:pPr>
              <w:autoSpaceDE w:val="0"/>
              <w:autoSpaceDN w:val="0"/>
              <w:ind w:left="42" w:leftChars="20" w:right="42" w:rightChars="20"/>
              <w:rPr>
                <w:szCs w:val="21"/>
              </w:rPr>
            </w:pPr>
            <w:r>
              <w:rPr>
                <w:rFonts w:hint="eastAsia"/>
                <w:szCs w:val="21"/>
              </w:rPr>
              <w:t>采用先进技术、工艺和装备，回收料造粒再生产过程的自动化水平高；本项目具有与加工利用能力相适应的预处理设备和熔融挤出设备；熔融挤出废气每条生产线配1个集气罩，共经1套</w:t>
            </w:r>
            <w:r>
              <w:rPr>
                <w:rFonts w:hint="eastAsia"/>
                <w:lang w:eastAsia="zh-CN"/>
              </w:rPr>
              <w:t>活性炭浓缩吸附+催化燃烧</w:t>
            </w:r>
            <w:r>
              <w:rPr>
                <w:rFonts w:hint="eastAsia"/>
              </w:rPr>
              <w:t>系统处理后经15m高排气筒排放</w:t>
            </w:r>
            <w:r>
              <w:rPr>
                <w:rFonts w:hint="eastAsia"/>
                <w:szCs w:val="21"/>
              </w:rPr>
              <w:t>。</w:t>
            </w:r>
          </w:p>
        </w:tc>
        <w:tc>
          <w:tcPr>
            <w:tcW w:w="541" w:type="pct"/>
            <w:tcBorders>
              <w:tl2br w:val="nil"/>
              <w:tr2bl w:val="nil"/>
            </w:tcBorders>
            <w:vAlign w:val="center"/>
          </w:tcPr>
          <w:p w14:paraId="462F8B6B">
            <w:pPr>
              <w:jc w:val="center"/>
              <w:rPr>
                <w:szCs w:val="21"/>
              </w:rPr>
            </w:pPr>
            <w:r>
              <w:rPr>
                <w:szCs w:val="21"/>
              </w:rPr>
              <w:t>符合</w:t>
            </w:r>
          </w:p>
        </w:tc>
      </w:tr>
      <w:tr w14:paraId="08FEC0A7">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4" w:space="0"/>
          </w:tblBorders>
          <w:tblCellMar>
            <w:top w:w="0" w:type="dxa"/>
            <w:left w:w="0" w:type="dxa"/>
            <w:bottom w:w="0" w:type="dxa"/>
            <w:right w:w="0" w:type="dxa"/>
          </w:tblCellMar>
        </w:tblPrEx>
        <w:trPr>
          <w:trHeight w:val="1918" w:hRule="atLeast"/>
          <w:jc w:val="center"/>
        </w:trPr>
        <w:tc>
          <w:tcPr>
            <w:tcW w:w="490" w:type="pct"/>
            <w:vMerge w:val="restart"/>
            <w:tcBorders>
              <w:tl2br w:val="nil"/>
              <w:tr2bl w:val="nil"/>
            </w:tcBorders>
            <w:vAlign w:val="center"/>
          </w:tcPr>
          <w:p w14:paraId="29CEC1A7">
            <w:pPr>
              <w:rPr>
                <w:szCs w:val="21"/>
              </w:rPr>
            </w:pPr>
            <w:r>
              <w:rPr>
                <w:szCs w:val="21"/>
              </w:rPr>
              <w:t>环境保护</w:t>
            </w:r>
          </w:p>
        </w:tc>
        <w:tc>
          <w:tcPr>
            <w:tcW w:w="2204" w:type="pct"/>
            <w:tcBorders>
              <w:tl2br w:val="nil"/>
              <w:tr2bl w:val="nil"/>
            </w:tcBorders>
            <w:vAlign w:val="center"/>
          </w:tcPr>
          <w:p w14:paraId="7BE7DA96">
            <w:pPr>
              <w:autoSpaceDE w:val="0"/>
              <w:autoSpaceDN w:val="0"/>
              <w:ind w:left="42" w:leftChars="20" w:right="42" w:rightChars="20"/>
              <w:rPr>
                <w:szCs w:val="21"/>
              </w:rPr>
            </w:pPr>
            <w:r>
              <w:rPr>
                <w:szCs w:val="21"/>
              </w:rPr>
              <w:t>废塑料综合利用企业应严格执行《中华人民共和国环境影响评价法》，按照环境保护主管部门的相关规定报批环境影响评价文件。按照环境保护</w:t>
            </w:r>
            <w:r>
              <w:rPr>
                <w:rFonts w:hint="eastAsia"/>
                <w:szCs w:val="21"/>
              </w:rPr>
              <w:t>“</w:t>
            </w:r>
            <w:r>
              <w:rPr>
                <w:szCs w:val="21"/>
              </w:rPr>
              <w:t>三同时</w:t>
            </w:r>
            <w:r>
              <w:rPr>
                <w:rFonts w:hint="eastAsia"/>
                <w:szCs w:val="21"/>
              </w:rPr>
              <w:t>”</w:t>
            </w:r>
            <w:r>
              <w:rPr>
                <w:szCs w:val="21"/>
              </w:rPr>
              <w:t>的要求建设配套的环境保护设施，编制环境风险应急预案，并依法申请项目竣工环境保护验收。</w:t>
            </w:r>
          </w:p>
        </w:tc>
        <w:tc>
          <w:tcPr>
            <w:tcW w:w="1763" w:type="pct"/>
            <w:tcBorders>
              <w:tl2br w:val="nil"/>
              <w:tr2bl w:val="nil"/>
            </w:tcBorders>
            <w:vAlign w:val="center"/>
          </w:tcPr>
          <w:p w14:paraId="08B9B22B">
            <w:pPr>
              <w:autoSpaceDE w:val="0"/>
              <w:autoSpaceDN w:val="0"/>
              <w:ind w:left="42" w:leftChars="20" w:right="42" w:rightChars="20"/>
              <w:rPr>
                <w:szCs w:val="21"/>
              </w:rPr>
            </w:pPr>
            <w:r>
              <w:rPr>
                <w:rFonts w:hint="eastAsia"/>
                <w:szCs w:val="21"/>
              </w:rPr>
              <w:t>本次评价提出企业建成后编制环境风险应急预案并及时开展竣工验收工作。</w:t>
            </w:r>
          </w:p>
        </w:tc>
        <w:tc>
          <w:tcPr>
            <w:tcW w:w="541" w:type="pct"/>
            <w:tcBorders>
              <w:tl2br w:val="nil"/>
              <w:tr2bl w:val="nil"/>
            </w:tcBorders>
            <w:vAlign w:val="center"/>
          </w:tcPr>
          <w:p w14:paraId="56F4D0E5">
            <w:pPr>
              <w:jc w:val="center"/>
              <w:rPr>
                <w:szCs w:val="21"/>
              </w:rPr>
            </w:pPr>
            <w:r>
              <w:rPr>
                <w:szCs w:val="21"/>
              </w:rPr>
              <w:t>符合</w:t>
            </w:r>
          </w:p>
        </w:tc>
      </w:tr>
      <w:tr w14:paraId="1FF17544">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4" w:space="0"/>
          </w:tblBorders>
          <w:tblCellMar>
            <w:top w:w="0" w:type="dxa"/>
            <w:left w:w="0" w:type="dxa"/>
            <w:bottom w:w="0" w:type="dxa"/>
            <w:right w:w="0" w:type="dxa"/>
          </w:tblCellMar>
        </w:tblPrEx>
        <w:trPr>
          <w:trHeight w:val="963" w:hRule="atLeast"/>
          <w:jc w:val="center"/>
        </w:trPr>
        <w:tc>
          <w:tcPr>
            <w:tcW w:w="490" w:type="pct"/>
            <w:vMerge w:val="continue"/>
            <w:tcBorders>
              <w:tl2br w:val="nil"/>
              <w:tr2bl w:val="nil"/>
            </w:tcBorders>
            <w:vAlign w:val="center"/>
          </w:tcPr>
          <w:p w14:paraId="303189E1">
            <w:pPr>
              <w:rPr>
                <w:szCs w:val="21"/>
              </w:rPr>
            </w:pPr>
          </w:p>
        </w:tc>
        <w:tc>
          <w:tcPr>
            <w:tcW w:w="2204" w:type="pct"/>
            <w:tcBorders>
              <w:tl2br w:val="nil"/>
              <w:tr2bl w:val="nil"/>
            </w:tcBorders>
            <w:vAlign w:val="center"/>
          </w:tcPr>
          <w:p w14:paraId="778353F4">
            <w:pPr>
              <w:autoSpaceDE w:val="0"/>
              <w:autoSpaceDN w:val="0"/>
              <w:ind w:left="42" w:leftChars="20" w:right="42" w:rightChars="20"/>
              <w:rPr>
                <w:szCs w:val="21"/>
              </w:rPr>
            </w:pPr>
            <w:r>
              <w:rPr>
                <w:szCs w:val="21"/>
              </w:rPr>
              <w:t>企业加工存储场地应建有围墙，在园区内的企业可为单独厂房，地面全部硬化且无明显破损现象</w:t>
            </w:r>
            <w:r>
              <w:rPr>
                <w:rFonts w:hint="eastAsia"/>
                <w:szCs w:val="21"/>
              </w:rPr>
              <w:t>。</w:t>
            </w:r>
          </w:p>
        </w:tc>
        <w:tc>
          <w:tcPr>
            <w:tcW w:w="1763" w:type="pct"/>
            <w:tcBorders>
              <w:tl2br w:val="nil"/>
              <w:tr2bl w:val="nil"/>
            </w:tcBorders>
            <w:vAlign w:val="center"/>
          </w:tcPr>
          <w:p w14:paraId="0438A1F8">
            <w:pPr>
              <w:autoSpaceDE w:val="0"/>
              <w:autoSpaceDN w:val="0"/>
              <w:ind w:left="42" w:leftChars="20" w:right="42" w:rightChars="20"/>
              <w:rPr>
                <w:szCs w:val="21"/>
              </w:rPr>
            </w:pPr>
            <w:r>
              <w:rPr>
                <w:rFonts w:hint="eastAsia"/>
                <w:szCs w:val="21"/>
              </w:rPr>
              <w:t>租用场地</w:t>
            </w:r>
            <w:r>
              <w:rPr>
                <w:szCs w:val="21"/>
              </w:rPr>
              <w:t>厂区设置</w:t>
            </w:r>
            <w:r>
              <w:rPr>
                <w:rFonts w:hint="eastAsia"/>
                <w:szCs w:val="21"/>
              </w:rPr>
              <w:t>有</w:t>
            </w:r>
            <w:r>
              <w:rPr>
                <w:szCs w:val="21"/>
              </w:rPr>
              <w:t>围墙，</w:t>
            </w:r>
            <w:r>
              <w:rPr>
                <w:rFonts w:hint="eastAsia"/>
                <w:szCs w:val="21"/>
              </w:rPr>
              <w:t>有单独的厂房，</w:t>
            </w:r>
            <w:r>
              <w:rPr>
                <w:szCs w:val="21"/>
              </w:rPr>
              <w:t>地面进行</w:t>
            </w:r>
            <w:r>
              <w:rPr>
                <w:rFonts w:hint="eastAsia"/>
                <w:szCs w:val="21"/>
              </w:rPr>
              <w:t>了</w:t>
            </w:r>
            <w:r>
              <w:rPr>
                <w:szCs w:val="21"/>
              </w:rPr>
              <w:t>硬化</w:t>
            </w:r>
            <w:r>
              <w:rPr>
                <w:rFonts w:hint="eastAsia"/>
                <w:szCs w:val="21"/>
              </w:rPr>
              <w:t>。</w:t>
            </w:r>
          </w:p>
        </w:tc>
        <w:tc>
          <w:tcPr>
            <w:tcW w:w="541" w:type="pct"/>
            <w:tcBorders>
              <w:tl2br w:val="nil"/>
              <w:tr2bl w:val="nil"/>
            </w:tcBorders>
            <w:vAlign w:val="center"/>
          </w:tcPr>
          <w:p w14:paraId="0BAA50FB">
            <w:pPr>
              <w:jc w:val="center"/>
              <w:rPr>
                <w:szCs w:val="21"/>
              </w:rPr>
            </w:pPr>
            <w:r>
              <w:rPr>
                <w:szCs w:val="21"/>
              </w:rPr>
              <w:t>符合</w:t>
            </w:r>
          </w:p>
        </w:tc>
      </w:tr>
      <w:tr w14:paraId="14894C9B">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4" w:space="0"/>
          </w:tblBorders>
          <w:tblCellMar>
            <w:top w:w="0" w:type="dxa"/>
            <w:left w:w="0" w:type="dxa"/>
            <w:bottom w:w="0" w:type="dxa"/>
            <w:right w:w="0" w:type="dxa"/>
          </w:tblCellMar>
        </w:tblPrEx>
        <w:trPr>
          <w:trHeight w:val="963" w:hRule="atLeast"/>
          <w:jc w:val="center"/>
        </w:trPr>
        <w:tc>
          <w:tcPr>
            <w:tcW w:w="490" w:type="pct"/>
            <w:vMerge w:val="continue"/>
            <w:tcBorders>
              <w:tl2br w:val="nil"/>
              <w:tr2bl w:val="nil"/>
            </w:tcBorders>
            <w:vAlign w:val="center"/>
          </w:tcPr>
          <w:p w14:paraId="0D2C8181">
            <w:pPr>
              <w:rPr>
                <w:szCs w:val="21"/>
              </w:rPr>
            </w:pPr>
          </w:p>
        </w:tc>
        <w:tc>
          <w:tcPr>
            <w:tcW w:w="2204" w:type="pct"/>
            <w:tcBorders>
              <w:tl2br w:val="nil"/>
              <w:tr2bl w:val="nil"/>
            </w:tcBorders>
            <w:vAlign w:val="center"/>
          </w:tcPr>
          <w:p w14:paraId="7F70F67E">
            <w:pPr>
              <w:autoSpaceDE w:val="0"/>
              <w:autoSpaceDN w:val="0"/>
              <w:ind w:left="42" w:leftChars="20" w:right="42" w:rightChars="20"/>
              <w:rPr>
                <w:szCs w:val="21"/>
              </w:rPr>
            </w:pPr>
            <w:r>
              <w:rPr>
                <w:szCs w:val="21"/>
              </w:rPr>
              <w:t>再生加工过程中产生废气、粉尘的加工车间应设置废气、粉尘收集处理设施，通过净化处理，达标后排放</w:t>
            </w:r>
            <w:r>
              <w:rPr>
                <w:rFonts w:hint="eastAsia"/>
                <w:szCs w:val="21"/>
              </w:rPr>
              <w:t>。</w:t>
            </w:r>
          </w:p>
        </w:tc>
        <w:tc>
          <w:tcPr>
            <w:tcW w:w="1763" w:type="pct"/>
            <w:tcBorders>
              <w:tl2br w:val="nil"/>
              <w:tr2bl w:val="nil"/>
            </w:tcBorders>
            <w:vAlign w:val="center"/>
          </w:tcPr>
          <w:p w14:paraId="2BAD4EAA">
            <w:pPr>
              <w:autoSpaceDE w:val="0"/>
              <w:autoSpaceDN w:val="0"/>
              <w:ind w:left="42" w:leftChars="20" w:right="42" w:rightChars="20"/>
              <w:jc w:val="center"/>
              <w:rPr>
                <w:szCs w:val="21"/>
              </w:rPr>
            </w:pPr>
            <w:r>
              <w:rPr>
                <w:rFonts w:hint="eastAsia"/>
                <w:szCs w:val="21"/>
              </w:rPr>
              <w:t>造粒、滴灌带熔融挤出有机废气经每条生产线设置的集气罩收集后，经1套</w:t>
            </w:r>
            <w:r>
              <w:rPr>
                <w:rFonts w:hint="eastAsia"/>
                <w:szCs w:val="21"/>
                <w:lang w:eastAsia="zh-CN"/>
              </w:rPr>
              <w:t>活性炭浓缩吸附+催化燃烧</w:t>
            </w:r>
            <w:r>
              <w:rPr>
                <w:rFonts w:hint="eastAsia"/>
                <w:szCs w:val="21"/>
              </w:rPr>
              <w:t>系统对废气达标处理后排放。</w:t>
            </w:r>
          </w:p>
        </w:tc>
        <w:tc>
          <w:tcPr>
            <w:tcW w:w="541" w:type="pct"/>
            <w:tcBorders>
              <w:tl2br w:val="nil"/>
              <w:tr2bl w:val="nil"/>
            </w:tcBorders>
            <w:vAlign w:val="center"/>
          </w:tcPr>
          <w:p w14:paraId="32AF9238">
            <w:pPr>
              <w:jc w:val="center"/>
              <w:rPr>
                <w:szCs w:val="21"/>
              </w:rPr>
            </w:pPr>
            <w:r>
              <w:rPr>
                <w:szCs w:val="21"/>
              </w:rPr>
              <w:t>符合</w:t>
            </w:r>
          </w:p>
        </w:tc>
      </w:tr>
      <w:tr w14:paraId="5FF9C662">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4" w:space="0"/>
          </w:tblBorders>
          <w:tblCellMar>
            <w:top w:w="0" w:type="dxa"/>
            <w:left w:w="0" w:type="dxa"/>
            <w:bottom w:w="0" w:type="dxa"/>
            <w:right w:w="0" w:type="dxa"/>
          </w:tblCellMar>
        </w:tblPrEx>
        <w:trPr>
          <w:trHeight w:val="1660" w:hRule="atLeast"/>
          <w:jc w:val="center"/>
        </w:trPr>
        <w:tc>
          <w:tcPr>
            <w:tcW w:w="490" w:type="pct"/>
            <w:vMerge w:val="continue"/>
            <w:tcBorders>
              <w:tl2br w:val="nil"/>
              <w:tr2bl w:val="nil"/>
            </w:tcBorders>
            <w:vAlign w:val="center"/>
          </w:tcPr>
          <w:p w14:paraId="724C9D1D">
            <w:pPr>
              <w:rPr>
                <w:szCs w:val="21"/>
              </w:rPr>
            </w:pPr>
          </w:p>
        </w:tc>
        <w:tc>
          <w:tcPr>
            <w:tcW w:w="2204" w:type="pct"/>
            <w:tcBorders>
              <w:tl2br w:val="nil"/>
              <w:tr2bl w:val="nil"/>
            </w:tcBorders>
            <w:vAlign w:val="center"/>
          </w:tcPr>
          <w:p w14:paraId="00345454">
            <w:pPr>
              <w:autoSpaceDE w:val="0"/>
              <w:autoSpaceDN w:val="0"/>
              <w:ind w:left="42" w:leftChars="20" w:right="42" w:rightChars="20"/>
              <w:rPr>
                <w:szCs w:val="21"/>
              </w:rPr>
            </w:pPr>
            <w:r>
              <w:rPr>
                <w:szCs w:val="21"/>
              </w:rPr>
              <w:t>对于加工过程中噪音污染大的设备，必须采取降噪和隔音措施，企业噪声应达到《工业企业厂界环境噪声排放标准》</w:t>
            </w:r>
            <w:r>
              <w:rPr>
                <w:rFonts w:hint="eastAsia"/>
                <w:szCs w:val="21"/>
              </w:rPr>
              <w:t>。</w:t>
            </w:r>
          </w:p>
        </w:tc>
        <w:tc>
          <w:tcPr>
            <w:tcW w:w="1763" w:type="pct"/>
            <w:tcBorders>
              <w:tl2br w:val="nil"/>
              <w:tr2bl w:val="nil"/>
            </w:tcBorders>
            <w:vAlign w:val="center"/>
          </w:tcPr>
          <w:p w14:paraId="7293D87B">
            <w:pPr>
              <w:autoSpaceDE w:val="0"/>
              <w:autoSpaceDN w:val="0"/>
              <w:ind w:left="42" w:leftChars="20" w:right="42" w:rightChars="20"/>
              <w:rPr>
                <w:szCs w:val="21"/>
              </w:rPr>
            </w:pPr>
            <w:r>
              <w:rPr>
                <w:szCs w:val="21"/>
              </w:rPr>
              <w:t>噪声污染大的设备采取选用低噪声设备，基础减振、采取厂房隔音等措施，厂界噪声满足《工业企业厂界环境噪声排放标准》（GB12348-2008）</w:t>
            </w:r>
            <w:r>
              <w:rPr>
                <w:rFonts w:hint="eastAsia"/>
                <w:szCs w:val="21"/>
              </w:rPr>
              <w:t>2</w:t>
            </w:r>
            <w:r>
              <w:rPr>
                <w:szCs w:val="21"/>
              </w:rPr>
              <w:t>类标准要求</w:t>
            </w:r>
          </w:p>
        </w:tc>
        <w:tc>
          <w:tcPr>
            <w:tcW w:w="541" w:type="pct"/>
            <w:tcBorders>
              <w:tl2br w:val="nil"/>
              <w:tr2bl w:val="nil"/>
            </w:tcBorders>
            <w:vAlign w:val="center"/>
          </w:tcPr>
          <w:p w14:paraId="2CE4C8D8">
            <w:pPr>
              <w:jc w:val="center"/>
              <w:rPr>
                <w:szCs w:val="21"/>
              </w:rPr>
            </w:pPr>
            <w:r>
              <w:rPr>
                <w:szCs w:val="21"/>
              </w:rPr>
              <w:t>符合</w:t>
            </w:r>
          </w:p>
        </w:tc>
      </w:tr>
      <w:tr w14:paraId="62E63483">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4" w:space="0"/>
          </w:tblBorders>
          <w:tblCellMar>
            <w:top w:w="0" w:type="dxa"/>
            <w:left w:w="0" w:type="dxa"/>
            <w:bottom w:w="0" w:type="dxa"/>
            <w:right w:w="0" w:type="dxa"/>
          </w:tblCellMar>
        </w:tblPrEx>
        <w:trPr>
          <w:trHeight w:val="489" w:hRule="atLeast"/>
          <w:jc w:val="center"/>
        </w:trPr>
        <w:tc>
          <w:tcPr>
            <w:tcW w:w="490" w:type="pct"/>
            <w:vMerge w:val="restart"/>
            <w:tcBorders>
              <w:tl2br w:val="nil"/>
              <w:tr2bl w:val="nil"/>
            </w:tcBorders>
            <w:vAlign w:val="center"/>
          </w:tcPr>
          <w:p w14:paraId="0C3C751F">
            <w:pPr>
              <w:rPr>
                <w:szCs w:val="21"/>
              </w:rPr>
            </w:pPr>
            <w:r>
              <w:rPr>
                <w:rFonts w:hint="eastAsia"/>
                <w:szCs w:val="21"/>
              </w:rPr>
              <w:t>防火安全</w:t>
            </w:r>
          </w:p>
        </w:tc>
        <w:tc>
          <w:tcPr>
            <w:tcW w:w="2204" w:type="pct"/>
            <w:tcBorders>
              <w:tl2br w:val="nil"/>
              <w:tr2bl w:val="nil"/>
            </w:tcBorders>
            <w:vAlign w:val="center"/>
          </w:tcPr>
          <w:p w14:paraId="0665DFBC">
            <w:pPr>
              <w:autoSpaceDE w:val="0"/>
              <w:autoSpaceDN w:val="0"/>
              <w:ind w:left="42" w:leftChars="20" w:right="42" w:rightChars="20"/>
              <w:rPr>
                <w:szCs w:val="21"/>
              </w:rPr>
            </w:pPr>
            <w:r>
              <w:rPr>
                <w:rFonts w:hint="eastAsia"/>
                <w:szCs w:val="21"/>
              </w:rPr>
              <w:t>企业应严格执行《中华人民共和国消防法》的各项规定。</w:t>
            </w:r>
          </w:p>
        </w:tc>
        <w:tc>
          <w:tcPr>
            <w:tcW w:w="1763" w:type="pct"/>
            <w:tcBorders>
              <w:tl2br w:val="nil"/>
              <w:tr2bl w:val="nil"/>
            </w:tcBorders>
            <w:vAlign w:val="center"/>
          </w:tcPr>
          <w:p w14:paraId="0D44EEFD">
            <w:pPr>
              <w:autoSpaceDE w:val="0"/>
              <w:autoSpaceDN w:val="0"/>
              <w:ind w:left="42" w:leftChars="20" w:right="42" w:rightChars="20"/>
              <w:rPr>
                <w:szCs w:val="21"/>
              </w:rPr>
            </w:pPr>
            <w:r>
              <w:rPr>
                <w:rFonts w:hint="eastAsia"/>
                <w:szCs w:val="21"/>
              </w:rPr>
              <w:t>严格执行《中华人民共和国消防法》的各项规定。</w:t>
            </w:r>
          </w:p>
        </w:tc>
        <w:tc>
          <w:tcPr>
            <w:tcW w:w="541" w:type="pct"/>
            <w:tcBorders>
              <w:tl2br w:val="nil"/>
              <w:tr2bl w:val="nil"/>
            </w:tcBorders>
            <w:vAlign w:val="center"/>
          </w:tcPr>
          <w:p w14:paraId="28912286">
            <w:pPr>
              <w:jc w:val="center"/>
              <w:rPr>
                <w:szCs w:val="21"/>
              </w:rPr>
            </w:pPr>
            <w:r>
              <w:rPr>
                <w:szCs w:val="21"/>
              </w:rPr>
              <w:t>符合</w:t>
            </w:r>
          </w:p>
        </w:tc>
      </w:tr>
      <w:tr w14:paraId="168CFC1E">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4" w:space="0"/>
          </w:tblBorders>
          <w:tblCellMar>
            <w:top w:w="0" w:type="dxa"/>
            <w:left w:w="0" w:type="dxa"/>
            <w:bottom w:w="0" w:type="dxa"/>
            <w:right w:w="0" w:type="dxa"/>
          </w:tblCellMar>
        </w:tblPrEx>
        <w:trPr>
          <w:trHeight w:val="1025" w:hRule="atLeast"/>
          <w:jc w:val="center"/>
        </w:trPr>
        <w:tc>
          <w:tcPr>
            <w:tcW w:w="490" w:type="pct"/>
            <w:vMerge w:val="continue"/>
            <w:tcBorders>
              <w:tl2br w:val="nil"/>
              <w:tr2bl w:val="nil"/>
            </w:tcBorders>
            <w:vAlign w:val="center"/>
          </w:tcPr>
          <w:p w14:paraId="34796A85">
            <w:pPr>
              <w:rPr>
                <w:szCs w:val="21"/>
              </w:rPr>
            </w:pPr>
          </w:p>
        </w:tc>
        <w:tc>
          <w:tcPr>
            <w:tcW w:w="2204" w:type="pct"/>
            <w:tcBorders>
              <w:tl2br w:val="nil"/>
              <w:tr2bl w:val="nil"/>
            </w:tcBorders>
            <w:vAlign w:val="center"/>
          </w:tcPr>
          <w:p w14:paraId="30F83D7E">
            <w:pPr>
              <w:autoSpaceDE w:val="0"/>
              <w:autoSpaceDN w:val="0"/>
              <w:ind w:left="42" w:leftChars="20" w:right="42" w:rightChars="20"/>
              <w:rPr>
                <w:szCs w:val="21"/>
              </w:rPr>
            </w:pPr>
            <w:r>
              <w:rPr>
                <w:rFonts w:hint="eastAsia"/>
                <w:szCs w:val="21"/>
              </w:rPr>
              <w:t>生产厂房、仓库、堆场等场所内应严禁烟火，不可存放任何易燃性物质，并应设置严禁烟火标志。</w:t>
            </w:r>
          </w:p>
        </w:tc>
        <w:tc>
          <w:tcPr>
            <w:tcW w:w="1763" w:type="pct"/>
            <w:tcBorders>
              <w:tl2br w:val="nil"/>
              <w:tr2bl w:val="nil"/>
            </w:tcBorders>
            <w:vAlign w:val="center"/>
          </w:tcPr>
          <w:p w14:paraId="3E5BE80F">
            <w:pPr>
              <w:autoSpaceDE w:val="0"/>
              <w:autoSpaceDN w:val="0"/>
              <w:ind w:left="42" w:leftChars="20" w:right="42" w:rightChars="20"/>
              <w:rPr>
                <w:szCs w:val="21"/>
              </w:rPr>
            </w:pPr>
            <w:r>
              <w:rPr>
                <w:rFonts w:hint="eastAsia"/>
                <w:szCs w:val="21"/>
              </w:rPr>
              <w:t>造粒及滴灌带车间场所严禁烟火，不存放任何易燃性物质，并设置严禁烟火标志。</w:t>
            </w:r>
          </w:p>
        </w:tc>
        <w:tc>
          <w:tcPr>
            <w:tcW w:w="541" w:type="pct"/>
            <w:tcBorders>
              <w:tl2br w:val="nil"/>
              <w:tr2bl w:val="nil"/>
            </w:tcBorders>
            <w:vAlign w:val="center"/>
          </w:tcPr>
          <w:p w14:paraId="66E266C2">
            <w:pPr>
              <w:jc w:val="center"/>
              <w:rPr>
                <w:szCs w:val="21"/>
              </w:rPr>
            </w:pPr>
            <w:r>
              <w:rPr>
                <w:szCs w:val="21"/>
              </w:rPr>
              <w:t>符合</w:t>
            </w:r>
          </w:p>
        </w:tc>
      </w:tr>
    </w:tbl>
    <w:p w14:paraId="39B0C3FF">
      <w:pPr>
        <w:pStyle w:val="5"/>
        <w:rPr>
          <w:rFonts w:ascii="Times New Roman" w:hAnsi="Times New Roman"/>
          <w:color w:val="000000"/>
          <w:lang w:val="en-US"/>
        </w:rPr>
      </w:pPr>
      <w:r>
        <w:rPr>
          <w:rFonts w:hint="eastAsia" w:ascii="Times New Roman" w:hAnsi="Times New Roman"/>
          <w:color w:val="000000"/>
          <w:lang w:val="en-US"/>
        </w:rPr>
        <w:t>2.9.2.5与《废塑料污染控制技术规范》（HJ 364-2022）相符性分析</w:t>
      </w:r>
    </w:p>
    <w:p w14:paraId="4D5BD0D9">
      <w:pPr>
        <w:widowControl/>
        <w:autoSpaceDE w:val="0"/>
        <w:autoSpaceDN w:val="0"/>
        <w:spacing w:line="360" w:lineRule="auto"/>
        <w:ind w:firstLine="480" w:firstLineChars="200"/>
        <w:jc w:val="left"/>
        <w:rPr>
          <w:rFonts w:cs="宋体"/>
          <w:kern w:val="0"/>
          <w:sz w:val="24"/>
          <w:szCs w:val="24"/>
          <w:lang w:bidi="zh-CN"/>
        </w:rPr>
      </w:pPr>
      <w:r>
        <w:rPr>
          <w:rFonts w:hint="eastAsia" w:cs="宋体"/>
          <w:kern w:val="0"/>
          <w:sz w:val="24"/>
          <w:szCs w:val="24"/>
          <w:lang w:bidi="zh-CN"/>
        </w:rPr>
        <w:t>本项目的建设符合《废塑料污染控制技术规范》（HJ 364-2022），具体相符性分析详见表2.9-4。</w:t>
      </w:r>
    </w:p>
    <w:p w14:paraId="5667EC0C">
      <w:pPr>
        <w:widowControl/>
        <w:autoSpaceDE w:val="0"/>
        <w:autoSpaceDN w:val="0"/>
        <w:jc w:val="center"/>
        <w:rPr>
          <w:rFonts w:cs="宋体"/>
          <w:b/>
          <w:bCs/>
          <w:kern w:val="0"/>
          <w:szCs w:val="21"/>
          <w:lang w:bidi="zh-CN"/>
        </w:rPr>
      </w:pPr>
      <w:r>
        <w:rPr>
          <w:rFonts w:hint="eastAsia" w:cs="宋体"/>
          <w:b/>
          <w:bCs/>
          <w:kern w:val="0"/>
          <w:szCs w:val="21"/>
          <w:lang w:bidi="zh-CN"/>
        </w:rPr>
        <w:t>表2.9-4  《废塑料污染控制技术规范》（HJ 364-2022）相符性分析</w:t>
      </w:r>
    </w:p>
    <w:tbl>
      <w:tblPr>
        <w:tblStyle w:val="49"/>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714"/>
        <w:gridCol w:w="3755"/>
        <w:gridCol w:w="3606"/>
        <w:gridCol w:w="963"/>
      </w:tblGrid>
      <w:tr w14:paraId="0A53E84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62" w:hRule="atLeast"/>
          <w:jc w:val="center"/>
        </w:trPr>
        <w:tc>
          <w:tcPr>
            <w:tcW w:w="714" w:type="dxa"/>
            <w:tcBorders>
              <w:tl2br w:val="nil"/>
              <w:tr2bl w:val="nil"/>
            </w:tcBorders>
            <w:vAlign w:val="center"/>
          </w:tcPr>
          <w:p w14:paraId="6BD772AE">
            <w:pPr>
              <w:jc w:val="center"/>
              <w:rPr>
                <w:szCs w:val="21"/>
              </w:rPr>
            </w:pPr>
            <w:r>
              <w:rPr>
                <w:szCs w:val="21"/>
              </w:rPr>
              <w:t>项目</w:t>
            </w:r>
          </w:p>
        </w:tc>
        <w:tc>
          <w:tcPr>
            <w:tcW w:w="3755" w:type="dxa"/>
            <w:tcBorders>
              <w:tl2br w:val="nil"/>
              <w:tr2bl w:val="nil"/>
            </w:tcBorders>
            <w:vAlign w:val="center"/>
          </w:tcPr>
          <w:p w14:paraId="435773BF">
            <w:pPr>
              <w:jc w:val="center"/>
              <w:rPr>
                <w:szCs w:val="21"/>
              </w:rPr>
            </w:pPr>
            <w:r>
              <w:rPr>
                <w:szCs w:val="21"/>
              </w:rPr>
              <w:t>HJ364-2022具体要求</w:t>
            </w:r>
          </w:p>
        </w:tc>
        <w:tc>
          <w:tcPr>
            <w:tcW w:w="3606" w:type="dxa"/>
            <w:tcBorders>
              <w:tl2br w:val="nil"/>
              <w:tr2bl w:val="nil"/>
            </w:tcBorders>
            <w:vAlign w:val="center"/>
          </w:tcPr>
          <w:p w14:paraId="0D004E04">
            <w:pPr>
              <w:jc w:val="center"/>
              <w:rPr>
                <w:szCs w:val="21"/>
              </w:rPr>
            </w:pPr>
            <w:r>
              <w:rPr>
                <w:szCs w:val="21"/>
              </w:rPr>
              <w:t>本项目情况</w:t>
            </w:r>
          </w:p>
        </w:tc>
        <w:tc>
          <w:tcPr>
            <w:tcW w:w="963" w:type="dxa"/>
            <w:tcBorders>
              <w:tl2br w:val="nil"/>
              <w:tr2bl w:val="nil"/>
            </w:tcBorders>
            <w:vAlign w:val="center"/>
          </w:tcPr>
          <w:p w14:paraId="5FBDAAF2">
            <w:pPr>
              <w:jc w:val="center"/>
              <w:rPr>
                <w:szCs w:val="21"/>
              </w:rPr>
            </w:pPr>
            <w:r>
              <w:rPr>
                <w:szCs w:val="21"/>
              </w:rPr>
              <w:t>符合性判定</w:t>
            </w:r>
          </w:p>
        </w:tc>
      </w:tr>
      <w:tr w14:paraId="590BA20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62" w:hRule="atLeast"/>
          <w:jc w:val="center"/>
        </w:trPr>
        <w:tc>
          <w:tcPr>
            <w:tcW w:w="714" w:type="dxa"/>
            <w:vMerge w:val="restart"/>
            <w:tcBorders>
              <w:tl2br w:val="nil"/>
              <w:tr2bl w:val="nil"/>
            </w:tcBorders>
            <w:vAlign w:val="center"/>
          </w:tcPr>
          <w:p w14:paraId="5003720B">
            <w:pPr>
              <w:jc w:val="center"/>
              <w:rPr>
                <w:szCs w:val="21"/>
              </w:rPr>
            </w:pPr>
            <w:r>
              <w:rPr>
                <w:rFonts w:hint="eastAsia"/>
                <w:szCs w:val="21"/>
              </w:rPr>
              <w:t>总体要求</w:t>
            </w:r>
          </w:p>
        </w:tc>
        <w:tc>
          <w:tcPr>
            <w:tcW w:w="3755" w:type="dxa"/>
            <w:tcBorders>
              <w:tl2br w:val="nil"/>
              <w:tr2bl w:val="nil"/>
            </w:tcBorders>
            <w:vAlign w:val="center"/>
          </w:tcPr>
          <w:p w14:paraId="2F3ADFF2">
            <w:pPr>
              <w:jc w:val="center"/>
              <w:rPr>
                <w:szCs w:val="21"/>
              </w:rPr>
            </w:pPr>
            <w:r>
              <w:rPr>
                <w:rFonts w:hint="eastAsia"/>
                <w:szCs w:val="21"/>
              </w:rPr>
              <w:t>1、应加强塑料制品的绿色设计，以便于重复使用和利用处置。</w:t>
            </w:r>
          </w:p>
        </w:tc>
        <w:tc>
          <w:tcPr>
            <w:tcW w:w="3606" w:type="dxa"/>
            <w:tcBorders>
              <w:tl2br w:val="nil"/>
              <w:tr2bl w:val="nil"/>
            </w:tcBorders>
            <w:vAlign w:val="center"/>
          </w:tcPr>
          <w:p w14:paraId="00AE197D">
            <w:pPr>
              <w:jc w:val="center"/>
              <w:rPr>
                <w:szCs w:val="21"/>
              </w:rPr>
            </w:pPr>
            <w:r>
              <w:rPr>
                <w:rFonts w:hint="eastAsia"/>
                <w:szCs w:val="21"/>
              </w:rPr>
              <w:t>再生塑料颗粒生产滴灌带，可以回收再生。</w:t>
            </w:r>
          </w:p>
        </w:tc>
        <w:tc>
          <w:tcPr>
            <w:tcW w:w="963" w:type="dxa"/>
            <w:tcBorders>
              <w:tl2br w:val="nil"/>
              <w:tr2bl w:val="nil"/>
            </w:tcBorders>
            <w:vAlign w:val="center"/>
          </w:tcPr>
          <w:p w14:paraId="32148A55">
            <w:pPr>
              <w:jc w:val="center"/>
              <w:rPr>
                <w:szCs w:val="21"/>
              </w:rPr>
            </w:pPr>
            <w:r>
              <w:rPr>
                <w:rFonts w:hint="eastAsia"/>
                <w:szCs w:val="21"/>
              </w:rPr>
              <w:t>符合</w:t>
            </w:r>
          </w:p>
        </w:tc>
      </w:tr>
      <w:tr w14:paraId="3AB7AD3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62" w:hRule="atLeast"/>
          <w:jc w:val="center"/>
        </w:trPr>
        <w:tc>
          <w:tcPr>
            <w:tcW w:w="714" w:type="dxa"/>
            <w:vMerge w:val="continue"/>
            <w:tcBorders>
              <w:tl2br w:val="nil"/>
              <w:tr2bl w:val="nil"/>
            </w:tcBorders>
            <w:vAlign w:val="center"/>
          </w:tcPr>
          <w:p w14:paraId="2E534F34">
            <w:pPr>
              <w:jc w:val="center"/>
              <w:rPr>
                <w:szCs w:val="21"/>
              </w:rPr>
            </w:pPr>
          </w:p>
        </w:tc>
        <w:tc>
          <w:tcPr>
            <w:tcW w:w="3755" w:type="dxa"/>
            <w:tcBorders>
              <w:tl2br w:val="nil"/>
              <w:tr2bl w:val="nil"/>
            </w:tcBorders>
            <w:vAlign w:val="center"/>
          </w:tcPr>
          <w:p w14:paraId="4D1254A8">
            <w:pPr>
              <w:jc w:val="center"/>
              <w:rPr>
                <w:szCs w:val="21"/>
              </w:rPr>
            </w:pPr>
            <w:r>
              <w:rPr>
                <w:rFonts w:hint="eastAsia"/>
                <w:szCs w:val="21"/>
              </w:rPr>
              <w:t>2、宜以提高资源利用率和减少环境影响为原则，按照重复使用、再生利用和处置的顺序，选择合理可行的废塑料利用处置技术路线。</w:t>
            </w:r>
          </w:p>
        </w:tc>
        <w:tc>
          <w:tcPr>
            <w:tcW w:w="3606" w:type="dxa"/>
            <w:tcBorders>
              <w:tl2br w:val="nil"/>
              <w:tr2bl w:val="nil"/>
            </w:tcBorders>
            <w:vAlign w:val="center"/>
          </w:tcPr>
          <w:p w14:paraId="534697E8">
            <w:pPr>
              <w:jc w:val="center"/>
              <w:rPr>
                <w:szCs w:val="21"/>
              </w:rPr>
            </w:pPr>
            <w:r>
              <w:rPr>
                <w:rFonts w:hint="eastAsia"/>
                <w:szCs w:val="21"/>
              </w:rPr>
              <w:t>再生利用设施的规模为年产5498.075t再生塑料颗粒及9995t滴灌带，为物理再生。</w:t>
            </w:r>
          </w:p>
          <w:p w14:paraId="563E882E">
            <w:pPr>
              <w:jc w:val="center"/>
              <w:rPr>
                <w:szCs w:val="21"/>
              </w:rPr>
            </w:pPr>
          </w:p>
        </w:tc>
        <w:tc>
          <w:tcPr>
            <w:tcW w:w="963" w:type="dxa"/>
            <w:tcBorders>
              <w:tl2br w:val="nil"/>
              <w:tr2bl w:val="nil"/>
            </w:tcBorders>
            <w:vAlign w:val="center"/>
          </w:tcPr>
          <w:p w14:paraId="37FB31F1">
            <w:pPr>
              <w:jc w:val="center"/>
              <w:rPr>
                <w:szCs w:val="21"/>
              </w:rPr>
            </w:pPr>
            <w:r>
              <w:rPr>
                <w:rFonts w:hint="eastAsia"/>
                <w:szCs w:val="21"/>
              </w:rPr>
              <w:t>符合</w:t>
            </w:r>
          </w:p>
        </w:tc>
      </w:tr>
      <w:tr w14:paraId="6A951F2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62" w:hRule="atLeast"/>
          <w:jc w:val="center"/>
        </w:trPr>
        <w:tc>
          <w:tcPr>
            <w:tcW w:w="714" w:type="dxa"/>
            <w:vMerge w:val="continue"/>
            <w:tcBorders>
              <w:tl2br w:val="nil"/>
              <w:tr2bl w:val="nil"/>
            </w:tcBorders>
            <w:vAlign w:val="center"/>
          </w:tcPr>
          <w:p w14:paraId="337DC9F6">
            <w:pPr>
              <w:jc w:val="center"/>
              <w:rPr>
                <w:szCs w:val="21"/>
              </w:rPr>
            </w:pPr>
          </w:p>
        </w:tc>
        <w:tc>
          <w:tcPr>
            <w:tcW w:w="3755" w:type="dxa"/>
            <w:tcBorders>
              <w:tl2br w:val="nil"/>
              <w:tr2bl w:val="nil"/>
            </w:tcBorders>
            <w:vAlign w:val="center"/>
          </w:tcPr>
          <w:p w14:paraId="7BB9C32C">
            <w:pPr>
              <w:jc w:val="center"/>
              <w:rPr>
                <w:szCs w:val="21"/>
              </w:rPr>
            </w:pPr>
            <w:r>
              <w:rPr>
                <w:rFonts w:hint="eastAsia"/>
                <w:szCs w:val="21"/>
              </w:rPr>
              <w:t>3、涉及废塑料的产生、收集、运输、贮存、利用、处置的单位和其他生产经营者，应根据产生的污染</w:t>
            </w:r>
          </w:p>
          <w:p w14:paraId="208162E7">
            <w:pPr>
              <w:jc w:val="center"/>
              <w:rPr>
                <w:szCs w:val="21"/>
              </w:rPr>
            </w:pPr>
            <w:r>
              <w:rPr>
                <w:rFonts w:hint="eastAsia"/>
                <w:szCs w:val="21"/>
              </w:rPr>
              <w:t>物采取防扬散、防流失、防渗漏或者其他防止污染环境的措施，并执行国家和地方相关排放标准。</w:t>
            </w:r>
          </w:p>
          <w:p w14:paraId="1EBBEB65">
            <w:pPr>
              <w:jc w:val="center"/>
              <w:rPr>
                <w:szCs w:val="21"/>
              </w:rPr>
            </w:pPr>
            <w:r>
              <w:rPr>
                <w:rFonts w:hint="eastAsia"/>
                <w:szCs w:val="21"/>
              </w:rPr>
              <w:t>4、废塑料的产生、收集、贮存、预处理和再生利用企业内应单独划分贮存场地，不同种类的废塑料宜分开贮存，贮存场地应具有防雨、防扬散、防渗漏等措施，并按 GB15562.2的要求设置标识。</w:t>
            </w:r>
          </w:p>
        </w:tc>
        <w:tc>
          <w:tcPr>
            <w:tcW w:w="3606" w:type="dxa"/>
            <w:tcBorders>
              <w:tl2br w:val="nil"/>
              <w:tr2bl w:val="nil"/>
            </w:tcBorders>
            <w:vAlign w:val="center"/>
          </w:tcPr>
          <w:p w14:paraId="2A42535D">
            <w:pPr>
              <w:jc w:val="center"/>
              <w:rPr>
                <w:szCs w:val="21"/>
              </w:rPr>
            </w:pPr>
            <w:r>
              <w:rPr>
                <w:rFonts w:hint="eastAsia"/>
                <w:szCs w:val="21"/>
              </w:rPr>
              <w:t>利用距离本项目东侧6.93km处的本公司2024年8月投入使用的废旧地膜回收分拣、清选后的废旧地膜运送至本项目区进行再生造粒生产滴灌带，产生的废气经集气罩收集后，经1套</w:t>
            </w:r>
            <w:r>
              <w:rPr>
                <w:rFonts w:hint="eastAsia"/>
                <w:szCs w:val="21"/>
                <w:lang w:eastAsia="zh-CN"/>
              </w:rPr>
              <w:t>活性炭浓缩吸附+催化燃烧</w:t>
            </w:r>
            <w:r>
              <w:rPr>
                <w:rFonts w:hint="eastAsia"/>
                <w:szCs w:val="21"/>
              </w:rPr>
              <w:t>系统”处理后，经由不低于15m排气筒排放，并执行国家和地方相关排放标准。</w:t>
            </w:r>
          </w:p>
          <w:p w14:paraId="4D84F02D">
            <w:pPr>
              <w:jc w:val="center"/>
              <w:rPr>
                <w:szCs w:val="21"/>
              </w:rPr>
            </w:pPr>
            <w:r>
              <w:rPr>
                <w:rFonts w:hint="eastAsia"/>
                <w:szCs w:val="21"/>
              </w:rPr>
              <w:t>本项目废塑料不涉及收集、贮存、预处理。</w:t>
            </w:r>
          </w:p>
        </w:tc>
        <w:tc>
          <w:tcPr>
            <w:tcW w:w="963" w:type="dxa"/>
            <w:tcBorders>
              <w:tl2br w:val="nil"/>
              <w:tr2bl w:val="nil"/>
            </w:tcBorders>
            <w:vAlign w:val="center"/>
          </w:tcPr>
          <w:p w14:paraId="7FFEBC92">
            <w:pPr>
              <w:jc w:val="center"/>
              <w:rPr>
                <w:szCs w:val="21"/>
              </w:rPr>
            </w:pPr>
            <w:r>
              <w:rPr>
                <w:rFonts w:hint="eastAsia"/>
                <w:szCs w:val="21"/>
              </w:rPr>
              <w:t>符合</w:t>
            </w:r>
          </w:p>
        </w:tc>
      </w:tr>
      <w:tr w14:paraId="4CE8E82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62" w:hRule="atLeast"/>
          <w:jc w:val="center"/>
        </w:trPr>
        <w:tc>
          <w:tcPr>
            <w:tcW w:w="714" w:type="dxa"/>
            <w:vMerge w:val="continue"/>
            <w:tcBorders>
              <w:tl2br w:val="nil"/>
              <w:tr2bl w:val="nil"/>
            </w:tcBorders>
            <w:vAlign w:val="center"/>
          </w:tcPr>
          <w:p w14:paraId="75D90D95">
            <w:pPr>
              <w:jc w:val="center"/>
              <w:rPr>
                <w:szCs w:val="21"/>
              </w:rPr>
            </w:pPr>
          </w:p>
        </w:tc>
        <w:tc>
          <w:tcPr>
            <w:tcW w:w="3755" w:type="dxa"/>
            <w:tcBorders>
              <w:tl2br w:val="nil"/>
              <w:tr2bl w:val="nil"/>
            </w:tcBorders>
            <w:vAlign w:val="center"/>
          </w:tcPr>
          <w:p w14:paraId="22EAF4FB">
            <w:pPr>
              <w:jc w:val="center"/>
              <w:rPr>
                <w:szCs w:val="21"/>
              </w:rPr>
            </w:pPr>
            <w:r>
              <w:rPr>
                <w:rFonts w:hint="eastAsia"/>
                <w:szCs w:val="21"/>
              </w:rPr>
              <w:t>5、含卤素废塑料的预处理与再生利用，宜与其他废塑料分开进行。</w:t>
            </w:r>
          </w:p>
        </w:tc>
        <w:tc>
          <w:tcPr>
            <w:tcW w:w="3606" w:type="dxa"/>
            <w:tcBorders>
              <w:tl2br w:val="nil"/>
              <w:tr2bl w:val="nil"/>
            </w:tcBorders>
            <w:vAlign w:val="center"/>
          </w:tcPr>
          <w:p w14:paraId="2AC511BC">
            <w:pPr>
              <w:jc w:val="center"/>
              <w:rPr>
                <w:szCs w:val="21"/>
              </w:rPr>
            </w:pPr>
            <w:r>
              <w:rPr>
                <w:rFonts w:hint="eastAsia"/>
                <w:szCs w:val="21"/>
              </w:rPr>
              <w:t>不使用含卤素废塑料。</w:t>
            </w:r>
          </w:p>
        </w:tc>
        <w:tc>
          <w:tcPr>
            <w:tcW w:w="963" w:type="dxa"/>
            <w:tcBorders>
              <w:tl2br w:val="nil"/>
              <w:tr2bl w:val="nil"/>
            </w:tcBorders>
            <w:vAlign w:val="center"/>
          </w:tcPr>
          <w:p w14:paraId="654616E3">
            <w:pPr>
              <w:jc w:val="center"/>
              <w:rPr>
                <w:szCs w:val="21"/>
              </w:rPr>
            </w:pPr>
            <w:r>
              <w:rPr>
                <w:rFonts w:hint="eastAsia"/>
                <w:szCs w:val="21"/>
              </w:rPr>
              <w:t>符合</w:t>
            </w:r>
          </w:p>
        </w:tc>
      </w:tr>
      <w:tr w14:paraId="4CDA7C6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62" w:hRule="atLeast"/>
          <w:jc w:val="center"/>
        </w:trPr>
        <w:tc>
          <w:tcPr>
            <w:tcW w:w="714" w:type="dxa"/>
            <w:vMerge w:val="continue"/>
            <w:tcBorders>
              <w:tl2br w:val="nil"/>
              <w:tr2bl w:val="nil"/>
            </w:tcBorders>
            <w:vAlign w:val="center"/>
          </w:tcPr>
          <w:p w14:paraId="1E1E9994">
            <w:pPr>
              <w:jc w:val="center"/>
              <w:rPr>
                <w:szCs w:val="21"/>
              </w:rPr>
            </w:pPr>
          </w:p>
        </w:tc>
        <w:tc>
          <w:tcPr>
            <w:tcW w:w="3755" w:type="dxa"/>
            <w:tcBorders>
              <w:tl2br w:val="nil"/>
              <w:tr2bl w:val="nil"/>
            </w:tcBorders>
            <w:vAlign w:val="center"/>
          </w:tcPr>
          <w:p w14:paraId="16F676D8">
            <w:pPr>
              <w:jc w:val="center"/>
              <w:rPr>
                <w:szCs w:val="21"/>
              </w:rPr>
            </w:pPr>
            <w:r>
              <w:rPr>
                <w:rFonts w:hint="eastAsia"/>
                <w:szCs w:val="21"/>
              </w:rPr>
              <w:t>6、废塑料的收集、再生利用和处置企业，应建立废塑料管理台账，内容包括废塑料的来源、种类、数量、去向等，相关台账应保存至少3年。</w:t>
            </w:r>
          </w:p>
        </w:tc>
        <w:tc>
          <w:tcPr>
            <w:tcW w:w="3606" w:type="dxa"/>
            <w:tcBorders>
              <w:tl2br w:val="nil"/>
              <w:tr2bl w:val="nil"/>
            </w:tcBorders>
            <w:vAlign w:val="center"/>
          </w:tcPr>
          <w:p w14:paraId="0839F92A">
            <w:pPr>
              <w:jc w:val="center"/>
              <w:rPr>
                <w:szCs w:val="21"/>
              </w:rPr>
            </w:pPr>
            <w:r>
              <w:rPr>
                <w:rFonts w:hint="eastAsia"/>
                <w:szCs w:val="21"/>
              </w:rPr>
              <w:t>建立废塑料管理台账，内容包括废塑料的来源、种类、数量、去向等，相关台账保存至少3年。</w:t>
            </w:r>
          </w:p>
        </w:tc>
        <w:tc>
          <w:tcPr>
            <w:tcW w:w="963" w:type="dxa"/>
            <w:tcBorders>
              <w:tl2br w:val="nil"/>
              <w:tr2bl w:val="nil"/>
            </w:tcBorders>
            <w:vAlign w:val="center"/>
          </w:tcPr>
          <w:p w14:paraId="331878AE">
            <w:pPr>
              <w:jc w:val="center"/>
              <w:rPr>
                <w:szCs w:val="21"/>
              </w:rPr>
            </w:pPr>
            <w:r>
              <w:rPr>
                <w:rFonts w:hint="eastAsia"/>
                <w:szCs w:val="21"/>
              </w:rPr>
              <w:t>符合</w:t>
            </w:r>
          </w:p>
        </w:tc>
      </w:tr>
      <w:tr w14:paraId="0FD4537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62" w:hRule="atLeast"/>
          <w:jc w:val="center"/>
        </w:trPr>
        <w:tc>
          <w:tcPr>
            <w:tcW w:w="714" w:type="dxa"/>
            <w:vMerge w:val="continue"/>
            <w:tcBorders>
              <w:tl2br w:val="nil"/>
              <w:tr2bl w:val="nil"/>
            </w:tcBorders>
            <w:vAlign w:val="center"/>
          </w:tcPr>
          <w:p w14:paraId="74E48444">
            <w:pPr>
              <w:jc w:val="center"/>
              <w:rPr>
                <w:szCs w:val="21"/>
              </w:rPr>
            </w:pPr>
          </w:p>
        </w:tc>
        <w:tc>
          <w:tcPr>
            <w:tcW w:w="3755" w:type="dxa"/>
            <w:tcBorders>
              <w:tl2br w:val="nil"/>
              <w:tr2bl w:val="nil"/>
            </w:tcBorders>
            <w:vAlign w:val="center"/>
          </w:tcPr>
          <w:p w14:paraId="7DB30BA7">
            <w:pPr>
              <w:jc w:val="center"/>
              <w:rPr>
                <w:szCs w:val="21"/>
              </w:rPr>
            </w:pPr>
            <w:r>
              <w:rPr>
                <w:rFonts w:hint="eastAsia"/>
                <w:szCs w:val="21"/>
              </w:rPr>
              <w:t>7、属于危险废物的废塑料，按照危险废物进行管理和利用处置。</w:t>
            </w:r>
          </w:p>
        </w:tc>
        <w:tc>
          <w:tcPr>
            <w:tcW w:w="3606" w:type="dxa"/>
            <w:tcBorders>
              <w:tl2br w:val="nil"/>
              <w:tr2bl w:val="nil"/>
            </w:tcBorders>
            <w:vAlign w:val="center"/>
          </w:tcPr>
          <w:p w14:paraId="58D2F5AF">
            <w:pPr>
              <w:jc w:val="center"/>
              <w:rPr>
                <w:szCs w:val="21"/>
              </w:rPr>
            </w:pPr>
            <w:r>
              <w:rPr>
                <w:rFonts w:hint="eastAsia"/>
                <w:szCs w:val="21"/>
              </w:rPr>
              <w:t>不涉及属于危险废物的废塑料。</w:t>
            </w:r>
          </w:p>
        </w:tc>
        <w:tc>
          <w:tcPr>
            <w:tcW w:w="963" w:type="dxa"/>
            <w:tcBorders>
              <w:tl2br w:val="nil"/>
              <w:tr2bl w:val="nil"/>
            </w:tcBorders>
            <w:vAlign w:val="center"/>
          </w:tcPr>
          <w:p w14:paraId="302829B2">
            <w:pPr>
              <w:jc w:val="center"/>
              <w:rPr>
                <w:szCs w:val="21"/>
              </w:rPr>
            </w:pPr>
            <w:r>
              <w:rPr>
                <w:rFonts w:hint="eastAsia"/>
                <w:szCs w:val="21"/>
              </w:rPr>
              <w:t>符合</w:t>
            </w:r>
          </w:p>
        </w:tc>
      </w:tr>
      <w:tr w14:paraId="0E6A527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62" w:hRule="atLeast"/>
          <w:jc w:val="center"/>
        </w:trPr>
        <w:tc>
          <w:tcPr>
            <w:tcW w:w="714" w:type="dxa"/>
            <w:vMerge w:val="continue"/>
            <w:tcBorders>
              <w:tl2br w:val="nil"/>
              <w:tr2bl w:val="nil"/>
            </w:tcBorders>
            <w:vAlign w:val="center"/>
          </w:tcPr>
          <w:p w14:paraId="5F924F0C">
            <w:pPr>
              <w:jc w:val="center"/>
              <w:rPr>
                <w:szCs w:val="21"/>
              </w:rPr>
            </w:pPr>
          </w:p>
        </w:tc>
        <w:tc>
          <w:tcPr>
            <w:tcW w:w="3755" w:type="dxa"/>
            <w:tcBorders>
              <w:tl2br w:val="nil"/>
              <w:tr2bl w:val="nil"/>
            </w:tcBorders>
            <w:vAlign w:val="center"/>
          </w:tcPr>
          <w:p w14:paraId="0AEF6B42">
            <w:pPr>
              <w:jc w:val="center"/>
              <w:rPr>
                <w:szCs w:val="21"/>
              </w:rPr>
            </w:pPr>
            <w:r>
              <w:rPr>
                <w:rFonts w:hint="eastAsia"/>
                <w:szCs w:val="21"/>
              </w:rPr>
              <w:t>8、废塑料的产生、收集、再生利用和处置过程除应满足生态环境保护相关要求外，还应符合国家安全生产、职业健康、交通运输、消防等法规、标准的相关要求。</w:t>
            </w:r>
          </w:p>
        </w:tc>
        <w:tc>
          <w:tcPr>
            <w:tcW w:w="3606" w:type="dxa"/>
            <w:tcBorders>
              <w:tl2br w:val="nil"/>
              <w:tr2bl w:val="nil"/>
            </w:tcBorders>
            <w:vAlign w:val="center"/>
          </w:tcPr>
          <w:p w14:paraId="1DF28C09">
            <w:pPr>
              <w:jc w:val="center"/>
              <w:rPr>
                <w:szCs w:val="21"/>
              </w:rPr>
            </w:pPr>
            <w:r>
              <w:rPr>
                <w:rFonts w:hint="eastAsia"/>
                <w:szCs w:val="21"/>
              </w:rPr>
              <w:t>废地膜处置过程依据生态环境保护相关要求执行。项目执行国家安全生产、职业健康、交通运输、消防等法规、标准的相关要求。</w:t>
            </w:r>
          </w:p>
        </w:tc>
        <w:tc>
          <w:tcPr>
            <w:tcW w:w="963" w:type="dxa"/>
            <w:tcBorders>
              <w:tl2br w:val="nil"/>
              <w:tr2bl w:val="nil"/>
            </w:tcBorders>
            <w:vAlign w:val="center"/>
          </w:tcPr>
          <w:p w14:paraId="7CF2EC90">
            <w:pPr>
              <w:jc w:val="center"/>
              <w:rPr>
                <w:szCs w:val="21"/>
              </w:rPr>
            </w:pPr>
            <w:r>
              <w:rPr>
                <w:rFonts w:hint="eastAsia"/>
                <w:szCs w:val="21"/>
              </w:rPr>
              <w:t>符合</w:t>
            </w:r>
          </w:p>
        </w:tc>
      </w:tr>
      <w:tr w14:paraId="67A7F21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75" w:hRule="atLeast"/>
          <w:jc w:val="center"/>
        </w:trPr>
        <w:tc>
          <w:tcPr>
            <w:tcW w:w="714" w:type="dxa"/>
            <w:vMerge w:val="restart"/>
            <w:tcBorders>
              <w:tl2br w:val="nil"/>
              <w:tr2bl w:val="nil"/>
            </w:tcBorders>
            <w:vAlign w:val="center"/>
          </w:tcPr>
          <w:p w14:paraId="1FEA6657">
            <w:pPr>
              <w:jc w:val="center"/>
              <w:rPr>
                <w:szCs w:val="21"/>
              </w:rPr>
            </w:pPr>
            <w:r>
              <w:rPr>
                <w:szCs w:val="21"/>
              </w:rPr>
              <w:t>预处理工艺要求</w:t>
            </w:r>
          </w:p>
        </w:tc>
        <w:tc>
          <w:tcPr>
            <w:tcW w:w="3755" w:type="dxa"/>
            <w:tcBorders>
              <w:tl2br w:val="nil"/>
              <w:tr2bl w:val="nil"/>
            </w:tcBorders>
            <w:vAlign w:val="center"/>
          </w:tcPr>
          <w:p w14:paraId="7E64D98A">
            <w:pPr>
              <w:rPr>
                <w:szCs w:val="21"/>
              </w:rPr>
            </w:pPr>
            <w:r>
              <w:rPr>
                <w:rFonts w:hint="eastAsia"/>
                <w:szCs w:val="21"/>
              </w:rPr>
              <w:t>应根据废塑料的来源、特性、污染情况以及后续再生利用或处置的要求，选择合理的预处理方式。</w:t>
            </w:r>
          </w:p>
        </w:tc>
        <w:tc>
          <w:tcPr>
            <w:tcW w:w="3606" w:type="dxa"/>
            <w:tcBorders>
              <w:tl2br w:val="nil"/>
              <w:tr2bl w:val="nil"/>
            </w:tcBorders>
            <w:vAlign w:val="center"/>
          </w:tcPr>
          <w:p w14:paraId="7DFA7D56">
            <w:pPr>
              <w:jc w:val="center"/>
              <w:rPr>
                <w:szCs w:val="21"/>
              </w:rPr>
            </w:pPr>
            <w:r>
              <w:rPr>
                <w:rFonts w:hint="eastAsia"/>
                <w:szCs w:val="21"/>
              </w:rPr>
              <w:t>废地膜来源为距离东侧6.93km处的本公司2024年8月建成投入使用的废旧地膜回收分拣、破碎清选后的废旧地膜运送至本项目区进行再生造粒生产滴灌带。</w:t>
            </w:r>
          </w:p>
        </w:tc>
        <w:tc>
          <w:tcPr>
            <w:tcW w:w="963" w:type="dxa"/>
            <w:tcBorders>
              <w:tl2br w:val="nil"/>
              <w:tr2bl w:val="nil"/>
            </w:tcBorders>
            <w:vAlign w:val="center"/>
          </w:tcPr>
          <w:p w14:paraId="0DA75657">
            <w:pPr>
              <w:jc w:val="center"/>
              <w:rPr>
                <w:szCs w:val="21"/>
              </w:rPr>
            </w:pPr>
            <w:r>
              <w:rPr>
                <w:szCs w:val="21"/>
              </w:rPr>
              <w:t>符合</w:t>
            </w:r>
          </w:p>
        </w:tc>
      </w:tr>
      <w:tr w14:paraId="436D6AA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75" w:hRule="atLeast"/>
          <w:jc w:val="center"/>
        </w:trPr>
        <w:tc>
          <w:tcPr>
            <w:tcW w:w="714" w:type="dxa"/>
            <w:vMerge w:val="continue"/>
            <w:tcBorders>
              <w:tl2br w:val="nil"/>
              <w:tr2bl w:val="nil"/>
            </w:tcBorders>
            <w:vAlign w:val="center"/>
          </w:tcPr>
          <w:p w14:paraId="30FF35D2">
            <w:pPr>
              <w:jc w:val="center"/>
              <w:rPr>
                <w:szCs w:val="21"/>
              </w:rPr>
            </w:pPr>
          </w:p>
        </w:tc>
        <w:tc>
          <w:tcPr>
            <w:tcW w:w="3755" w:type="dxa"/>
            <w:tcBorders>
              <w:tl2br w:val="nil"/>
              <w:tr2bl w:val="nil"/>
            </w:tcBorders>
            <w:vAlign w:val="center"/>
          </w:tcPr>
          <w:p w14:paraId="49C08E7B">
            <w:pPr>
              <w:rPr>
                <w:szCs w:val="21"/>
              </w:rPr>
            </w:pPr>
            <w:r>
              <w:rPr>
                <w:rFonts w:hint="eastAsia"/>
                <w:szCs w:val="21"/>
              </w:rPr>
              <w:t>废塑料的预处理应控制二次污染。</w:t>
            </w:r>
          </w:p>
          <w:p w14:paraId="7B26F2AD">
            <w:pPr>
              <w:jc w:val="center"/>
              <w:rPr>
                <w:szCs w:val="21"/>
              </w:rPr>
            </w:pPr>
            <w:r>
              <w:rPr>
                <w:rFonts w:hint="eastAsia"/>
                <w:szCs w:val="21"/>
              </w:rPr>
              <w:t>大气污染物排放应符合GB31572 或GB16297、GB37822等标准</w:t>
            </w:r>
            <w:r>
              <w:rPr>
                <w:rFonts w:hint="eastAsia"/>
                <w:szCs w:val="21"/>
                <w:lang w:eastAsia="zh-CN"/>
              </w:rPr>
              <w:t>的规</w:t>
            </w:r>
            <w:r>
              <w:rPr>
                <w:rFonts w:hint="eastAsia"/>
                <w:szCs w:val="21"/>
              </w:rPr>
              <w:t>定。恶臭污染物排放应符合GB14554的规定。废水控制应根据出水受纳水体的功能要求或纳管要求，执行国家和地方相关排放标准，重点控制的污染物指标包括悬浮物、pH 值、色度、石油类和化学需氧量等。噪声排放应符合GB12348的规定。</w:t>
            </w:r>
          </w:p>
        </w:tc>
        <w:tc>
          <w:tcPr>
            <w:tcW w:w="3606" w:type="dxa"/>
            <w:tcBorders>
              <w:tl2br w:val="nil"/>
              <w:tr2bl w:val="nil"/>
            </w:tcBorders>
            <w:vAlign w:val="center"/>
          </w:tcPr>
          <w:p w14:paraId="2038C991">
            <w:pPr>
              <w:jc w:val="center"/>
              <w:rPr>
                <w:szCs w:val="21"/>
              </w:rPr>
            </w:pPr>
            <w:r>
              <w:rPr>
                <w:rFonts w:hint="eastAsia"/>
                <w:szCs w:val="21"/>
              </w:rPr>
              <w:t>大气污染物排放应符合GB31572或GB16297、GB37822 等标准的规定。项目</w:t>
            </w:r>
            <w:r>
              <w:rPr>
                <w:rFonts w:hint="eastAsia"/>
                <w:szCs w:val="21"/>
                <w:lang w:eastAsia="zh-CN"/>
              </w:rPr>
              <w:t>无生产废水</w:t>
            </w:r>
            <w:r>
              <w:rPr>
                <w:rFonts w:hint="eastAsia"/>
                <w:szCs w:val="21"/>
              </w:rPr>
              <w:t>。根据噪声预测结论，噪声排放能符合GB12348的规定。</w:t>
            </w:r>
          </w:p>
        </w:tc>
        <w:tc>
          <w:tcPr>
            <w:tcW w:w="963" w:type="dxa"/>
            <w:tcBorders>
              <w:tl2br w:val="nil"/>
              <w:tr2bl w:val="nil"/>
            </w:tcBorders>
            <w:vAlign w:val="center"/>
          </w:tcPr>
          <w:p w14:paraId="3D9976C0">
            <w:pPr>
              <w:jc w:val="center"/>
              <w:rPr>
                <w:szCs w:val="21"/>
              </w:rPr>
            </w:pPr>
            <w:r>
              <w:rPr>
                <w:szCs w:val="21"/>
              </w:rPr>
              <w:t>符合</w:t>
            </w:r>
          </w:p>
        </w:tc>
      </w:tr>
      <w:tr w14:paraId="278014E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75" w:hRule="atLeast"/>
          <w:jc w:val="center"/>
        </w:trPr>
        <w:tc>
          <w:tcPr>
            <w:tcW w:w="714" w:type="dxa"/>
            <w:vMerge w:val="continue"/>
            <w:tcBorders>
              <w:tl2br w:val="nil"/>
              <w:tr2bl w:val="nil"/>
            </w:tcBorders>
            <w:vAlign w:val="center"/>
          </w:tcPr>
          <w:p w14:paraId="57A09C3F">
            <w:pPr>
              <w:jc w:val="center"/>
              <w:rPr>
                <w:szCs w:val="21"/>
              </w:rPr>
            </w:pPr>
          </w:p>
        </w:tc>
        <w:tc>
          <w:tcPr>
            <w:tcW w:w="3755" w:type="dxa"/>
            <w:tcBorders>
              <w:tl2br w:val="nil"/>
              <w:tr2bl w:val="nil"/>
            </w:tcBorders>
            <w:vAlign w:val="center"/>
          </w:tcPr>
          <w:p w14:paraId="4796FD18">
            <w:pPr>
              <w:rPr>
                <w:szCs w:val="21"/>
              </w:rPr>
            </w:pPr>
            <w:r>
              <w:rPr>
                <w:rFonts w:hint="eastAsia"/>
                <w:szCs w:val="21"/>
              </w:rPr>
              <w:t>应采用预分选工艺，将废塑料与其</w:t>
            </w:r>
          </w:p>
          <w:p w14:paraId="06786441">
            <w:pPr>
              <w:jc w:val="center"/>
              <w:rPr>
                <w:szCs w:val="21"/>
              </w:rPr>
            </w:pPr>
            <w:r>
              <w:rPr>
                <w:rFonts w:hint="eastAsia"/>
                <w:szCs w:val="21"/>
              </w:rPr>
              <w:t>他废物分开，提高下游自动化分选的效率。</w:t>
            </w:r>
          </w:p>
        </w:tc>
        <w:tc>
          <w:tcPr>
            <w:tcW w:w="3606" w:type="dxa"/>
            <w:vMerge w:val="restart"/>
            <w:tcBorders>
              <w:tl2br w:val="nil"/>
              <w:tr2bl w:val="nil"/>
            </w:tcBorders>
            <w:vAlign w:val="center"/>
          </w:tcPr>
          <w:p w14:paraId="53AABF9E">
            <w:pPr>
              <w:jc w:val="center"/>
              <w:rPr>
                <w:szCs w:val="21"/>
              </w:rPr>
            </w:pPr>
            <w:r>
              <w:rPr>
                <w:rFonts w:hint="eastAsia" w:ascii="宋体" w:hAnsi="宋体" w:cs="宋体"/>
                <w:color w:val="000000"/>
                <w:kern w:val="0"/>
                <w:sz w:val="20"/>
                <w:lang w:bidi="ar"/>
              </w:rPr>
              <w:t>利用距离</w:t>
            </w:r>
            <w:r>
              <w:rPr>
                <w:rFonts w:hint="eastAsia"/>
                <w:szCs w:val="21"/>
              </w:rPr>
              <w:t>东侧6.93km处的本公司2024年8月建成投入使用</w:t>
            </w:r>
            <w:r>
              <w:rPr>
                <w:rFonts w:hint="eastAsia" w:ascii="宋体" w:hAnsi="宋体" w:cs="宋体"/>
                <w:color w:val="000000"/>
                <w:kern w:val="0"/>
                <w:sz w:val="20"/>
                <w:lang w:bidi="ar"/>
              </w:rPr>
              <w:t>的地膜回收分拣、破碎清洗后的废旧地膜运送至本项目区进行造粒生产滴灌带。</w:t>
            </w:r>
          </w:p>
        </w:tc>
        <w:tc>
          <w:tcPr>
            <w:tcW w:w="963" w:type="dxa"/>
            <w:tcBorders>
              <w:tl2br w:val="nil"/>
              <w:tr2bl w:val="nil"/>
            </w:tcBorders>
            <w:vAlign w:val="center"/>
          </w:tcPr>
          <w:p w14:paraId="5885FE78">
            <w:pPr>
              <w:jc w:val="center"/>
              <w:rPr>
                <w:szCs w:val="21"/>
              </w:rPr>
            </w:pPr>
            <w:r>
              <w:rPr>
                <w:szCs w:val="21"/>
              </w:rPr>
              <w:t>符合</w:t>
            </w:r>
          </w:p>
        </w:tc>
      </w:tr>
      <w:tr w14:paraId="1958F5B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75" w:hRule="atLeast"/>
          <w:jc w:val="center"/>
        </w:trPr>
        <w:tc>
          <w:tcPr>
            <w:tcW w:w="714" w:type="dxa"/>
            <w:vMerge w:val="continue"/>
            <w:tcBorders>
              <w:tl2br w:val="nil"/>
              <w:tr2bl w:val="nil"/>
            </w:tcBorders>
            <w:vAlign w:val="center"/>
          </w:tcPr>
          <w:p w14:paraId="77AF2E3F">
            <w:pPr>
              <w:jc w:val="center"/>
              <w:rPr>
                <w:szCs w:val="21"/>
              </w:rPr>
            </w:pPr>
          </w:p>
        </w:tc>
        <w:tc>
          <w:tcPr>
            <w:tcW w:w="3755" w:type="dxa"/>
            <w:tcBorders>
              <w:tl2br w:val="nil"/>
              <w:tr2bl w:val="nil"/>
            </w:tcBorders>
            <w:vAlign w:val="center"/>
          </w:tcPr>
          <w:p w14:paraId="168E0D8B">
            <w:pPr>
              <w:rPr>
                <w:szCs w:val="21"/>
              </w:rPr>
            </w:pPr>
            <w:r>
              <w:rPr>
                <w:rFonts w:hint="eastAsia"/>
                <w:szCs w:val="21"/>
              </w:rPr>
              <w:t>废塑料分选应遵循稳定、二次污染 符合可控的原则，根据废塑料特性，宜采用气流分选、静电分选、X射线荧光分选、近红外分选、熔融过滤分选、低温破碎分选及其他新型的自动化分选等单一或集成化分选技术。</w:t>
            </w:r>
          </w:p>
        </w:tc>
        <w:tc>
          <w:tcPr>
            <w:tcW w:w="3606" w:type="dxa"/>
            <w:vMerge w:val="continue"/>
            <w:tcBorders>
              <w:tl2br w:val="nil"/>
              <w:tr2bl w:val="nil"/>
            </w:tcBorders>
            <w:vAlign w:val="center"/>
          </w:tcPr>
          <w:p w14:paraId="62AA3B47">
            <w:pPr>
              <w:jc w:val="center"/>
              <w:rPr>
                <w:szCs w:val="21"/>
              </w:rPr>
            </w:pPr>
          </w:p>
        </w:tc>
        <w:tc>
          <w:tcPr>
            <w:tcW w:w="963" w:type="dxa"/>
            <w:tcBorders>
              <w:tl2br w:val="nil"/>
              <w:tr2bl w:val="nil"/>
            </w:tcBorders>
            <w:vAlign w:val="center"/>
          </w:tcPr>
          <w:p w14:paraId="37B0EBF5">
            <w:pPr>
              <w:jc w:val="center"/>
              <w:rPr>
                <w:szCs w:val="21"/>
              </w:rPr>
            </w:pPr>
            <w:r>
              <w:rPr>
                <w:szCs w:val="21"/>
              </w:rPr>
              <w:t>符合</w:t>
            </w:r>
          </w:p>
        </w:tc>
      </w:tr>
      <w:tr w14:paraId="10CD02AE">
        <w:tblPrEx>
          <w:tblCellMar>
            <w:top w:w="0" w:type="dxa"/>
            <w:left w:w="108" w:type="dxa"/>
            <w:bottom w:w="0" w:type="dxa"/>
            <w:right w:w="108" w:type="dxa"/>
          </w:tblCellMar>
        </w:tblPrEx>
        <w:trPr>
          <w:trHeight w:val="1039" w:hRule="atLeast"/>
          <w:jc w:val="center"/>
        </w:trPr>
        <w:tc>
          <w:tcPr>
            <w:tcW w:w="714" w:type="dxa"/>
            <w:vMerge w:val="continue"/>
            <w:tcBorders>
              <w:tl2br w:val="nil"/>
              <w:tr2bl w:val="nil"/>
            </w:tcBorders>
            <w:vAlign w:val="center"/>
          </w:tcPr>
          <w:p w14:paraId="04D6390F">
            <w:pPr>
              <w:jc w:val="center"/>
              <w:rPr>
                <w:szCs w:val="21"/>
              </w:rPr>
            </w:pPr>
          </w:p>
        </w:tc>
        <w:tc>
          <w:tcPr>
            <w:tcW w:w="3755" w:type="dxa"/>
            <w:tcBorders>
              <w:tl2br w:val="nil"/>
              <w:tr2bl w:val="nil"/>
            </w:tcBorders>
            <w:vAlign w:val="center"/>
          </w:tcPr>
          <w:p w14:paraId="295798F1">
            <w:pPr>
              <w:rPr>
                <w:szCs w:val="21"/>
              </w:rPr>
            </w:pPr>
            <w:r>
              <w:rPr>
                <w:szCs w:val="21"/>
              </w:rPr>
              <w:t>废塑料的分选宜采用浮选和光学分选等先进技术；人工分选应采取措施确保操作人员的健康和安全。</w:t>
            </w:r>
          </w:p>
        </w:tc>
        <w:tc>
          <w:tcPr>
            <w:tcW w:w="3606" w:type="dxa"/>
            <w:vMerge w:val="continue"/>
            <w:tcBorders>
              <w:tl2br w:val="nil"/>
              <w:tr2bl w:val="nil"/>
            </w:tcBorders>
            <w:vAlign w:val="center"/>
          </w:tcPr>
          <w:p w14:paraId="20931AA3">
            <w:pPr>
              <w:jc w:val="center"/>
              <w:rPr>
                <w:szCs w:val="21"/>
              </w:rPr>
            </w:pPr>
          </w:p>
        </w:tc>
        <w:tc>
          <w:tcPr>
            <w:tcW w:w="963" w:type="dxa"/>
            <w:tcBorders>
              <w:tl2br w:val="nil"/>
              <w:tr2bl w:val="nil"/>
            </w:tcBorders>
            <w:vAlign w:val="center"/>
          </w:tcPr>
          <w:p w14:paraId="4671A4D3">
            <w:pPr>
              <w:jc w:val="center"/>
              <w:rPr>
                <w:szCs w:val="21"/>
              </w:rPr>
            </w:pPr>
            <w:r>
              <w:rPr>
                <w:szCs w:val="21"/>
              </w:rPr>
              <w:t>符合</w:t>
            </w:r>
          </w:p>
        </w:tc>
      </w:tr>
      <w:tr w14:paraId="53D74C5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63" w:hRule="atLeast"/>
          <w:jc w:val="center"/>
        </w:trPr>
        <w:tc>
          <w:tcPr>
            <w:tcW w:w="714" w:type="dxa"/>
            <w:vMerge w:val="continue"/>
            <w:tcBorders>
              <w:tl2br w:val="nil"/>
              <w:tr2bl w:val="nil"/>
            </w:tcBorders>
            <w:vAlign w:val="center"/>
          </w:tcPr>
          <w:p w14:paraId="23EC8064">
            <w:pPr>
              <w:jc w:val="center"/>
              <w:rPr>
                <w:szCs w:val="21"/>
              </w:rPr>
            </w:pPr>
          </w:p>
        </w:tc>
        <w:tc>
          <w:tcPr>
            <w:tcW w:w="3755" w:type="dxa"/>
            <w:tcBorders>
              <w:tl2br w:val="nil"/>
              <w:tr2bl w:val="nil"/>
            </w:tcBorders>
            <w:vAlign w:val="center"/>
          </w:tcPr>
          <w:p w14:paraId="43063220">
            <w:pPr>
              <w:rPr>
                <w:szCs w:val="21"/>
              </w:rPr>
            </w:pPr>
            <w:r>
              <w:rPr>
                <w:rFonts w:hint="eastAsia"/>
                <w:szCs w:val="21"/>
              </w:rPr>
              <w:t>废塑料的破碎方法可分为干法破碎和湿法破碎。使用干法破碎时，应配备相应的防尘、防噪声设备。</w:t>
            </w:r>
          </w:p>
          <w:p w14:paraId="5FBDDF7F">
            <w:pPr>
              <w:jc w:val="center"/>
              <w:rPr>
                <w:szCs w:val="21"/>
              </w:rPr>
            </w:pPr>
            <w:r>
              <w:rPr>
                <w:rFonts w:hint="eastAsia"/>
                <w:szCs w:val="21"/>
              </w:rPr>
              <w:t>使用湿法破碎时，应有配套的污水收集和处理设施。</w:t>
            </w:r>
          </w:p>
        </w:tc>
        <w:tc>
          <w:tcPr>
            <w:tcW w:w="3606" w:type="dxa"/>
            <w:vMerge w:val="continue"/>
            <w:tcBorders>
              <w:tl2br w:val="nil"/>
              <w:tr2bl w:val="nil"/>
            </w:tcBorders>
            <w:vAlign w:val="center"/>
          </w:tcPr>
          <w:p w14:paraId="1233FE3B">
            <w:pPr>
              <w:jc w:val="center"/>
              <w:rPr>
                <w:szCs w:val="21"/>
              </w:rPr>
            </w:pPr>
          </w:p>
        </w:tc>
        <w:tc>
          <w:tcPr>
            <w:tcW w:w="963" w:type="dxa"/>
            <w:tcBorders>
              <w:tl2br w:val="nil"/>
              <w:tr2bl w:val="nil"/>
            </w:tcBorders>
            <w:vAlign w:val="center"/>
          </w:tcPr>
          <w:p w14:paraId="6FACD0E8">
            <w:pPr>
              <w:jc w:val="center"/>
              <w:rPr>
                <w:szCs w:val="21"/>
              </w:rPr>
            </w:pPr>
            <w:r>
              <w:rPr>
                <w:szCs w:val="21"/>
              </w:rPr>
              <w:t>符合</w:t>
            </w:r>
          </w:p>
        </w:tc>
      </w:tr>
      <w:tr w14:paraId="2DE1BD5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63" w:hRule="atLeast"/>
          <w:jc w:val="center"/>
        </w:trPr>
        <w:tc>
          <w:tcPr>
            <w:tcW w:w="714" w:type="dxa"/>
            <w:vMerge w:val="continue"/>
            <w:tcBorders>
              <w:tl2br w:val="nil"/>
              <w:tr2bl w:val="nil"/>
            </w:tcBorders>
            <w:vAlign w:val="center"/>
          </w:tcPr>
          <w:p w14:paraId="059798F8">
            <w:pPr>
              <w:jc w:val="center"/>
              <w:rPr>
                <w:szCs w:val="21"/>
              </w:rPr>
            </w:pPr>
          </w:p>
        </w:tc>
        <w:tc>
          <w:tcPr>
            <w:tcW w:w="3755" w:type="dxa"/>
            <w:tcBorders>
              <w:tl2br w:val="nil"/>
              <w:tr2bl w:val="nil"/>
            </w:tcBorders>
            <w:vAlign w:val="center"/>
          </w:tcPr>
          <w:p w14:paraId="23D417E5">
            <w:pPr>
              <w:jc w:val="center"/>
              <w:rPr>
                <w:szCs w:val="21"/>
              </w:rPr>
            </w:pPr>
            <w:r>
              <w:rPr>
                <w:rFonts w:hint="eastAsia"/>
                <w:szCs w:val="21"/>
              </w:rPr>
              <w:t>宜采用节水的自动化清洗技术，宜采用无磷清洗剂或其他绿色清洗剂，不得使用有毒有害的清洗剂。</w:t>
            </w:r>
          </w:p>
          <w:p w14:paraId="1AA56FB4">
            <w:pPr>
              <w:rPr>
                <w:szCs w:val="21"/>
              </w:rPr>
            </w:pPr>
            <w:r>
              <w:rPr>
                <w:rFonts w:hint="eastAsia"/>
                <w:szCs w:val="21"/>
              </w:rPr>
              <w:t>应根据清洗废水中污染物的种类和浓度，配备相应的废水收集和处理设施，清洗废水处理后宜循环使用。</w:t>
            </w:r>
          </w:p>
        </w:tc>
        <w:tc>
          <w:tcPr>
            <w:tcW w:w="3606" w:type="dxa"/>
            <w:vMerge w:val="continue"/>
            <w:tcBorders>
              <w:tl2br w:val="nil"/>
              <w:tr2bl w:val="nil"/>
            </w:tcBorders>
            <w:vAlign w:val="center"/>
          </w:tcPr>
          <w:p w14:paraId="57BB191E">
            <w:pPr>
              <w:jc w:val="center"/>
              <w:rPr>
                <w:szCs w:val="21"/>
              </w:rPr>
            </w:pPr>
          </w:p>
        </w:tc>
        <w:tc>
          <w:tcPr>
            <w:tcW w:w="963" w:type="dxa"/>
            <w:tcBorders>
              <w:tl2br w:val="nil"/>
              <w:tr2bl w:val="nil"/>
            </w:tcBorders>
            <w:vAlign w:val="center"/>
          </w:tcPr>
          <w:p w14:paraId="3FBF6DBD">
            <w:pPr>
              <w:jc w:val="center"/>
              <w:rPr>
                <w:szCs w:val="21"/>
              </w:rPr>
            </w:pPr>
            <w:r>
              <w:rPr>
                <w:szCs w:val="21"/>
              </w:rPr>
              <w:t>符合</w:t>
            </w:r>
          </w:p>
        </w:tc>
      </w:tr>
      <w:tr w14:paraId="0DE22FA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63" w:hRule="atLeast"/>
          <w:jc w:val="center"/>
        </w:trPr>
        <w:tc>
          <w:tcPr>
            <w:tcW w:w="714" w:type="dxa"/>
            <w:vMerge w:val="continue"/>
            <w:tcBorders>
              <w:tl2br w:val="nil"/>
              <w:tr2bl w:val="nil"/>
            </w:tcBorders>
            <w:vAlign w:val="center"/>
          </w:tcPr>
          <w:p w14:paraId="48293F45">
            <w:pPr>
              <w:jc w:val="center"/>
              <w:rPr>
                <w:szCs w:val="21"/>
              </w:rPr>
            </w:pPr>
          </w:p>
        </w:tc>
        <w:tc>
          <w:tcPr>
            <w:tcW w:w="3755" w:type="dxa"/>
            <w:tcBorders>
              <w:tl2br w:val="nil"/>
              <w:tr2bl w:val="nil"/>
            </w:tcBorders>
            <w:vAlign w:val="center"/>
          </w:tcPr>
          <w:p w14:paraId="716D084A">
            <w:pPr>
              <w:jc w:val="center"/>
              <w:rPr>
                <w:szCs w:val="21"/>
              </w:rPr>
            </w:pPr>
            <w:r>
              <w:rPr>
                <w:rFonts w:hint="eastAsia"/>
                <w:szCs w:val="21"/>
              </w:rPr>
              <w:t>宜选择闭路循环式干燥设备。干燥环节应配备废气收集和处理设施，防止二次污染。</w:t>
            </w:r>
          </w:p>
        </w:tc>
        <w:tc>
          <w:tcPr>
            <w:tcW w:w="3606" w:type="dxa"/>
            <w:vMerge w:val="continue"/>
            <w:tcBorders>
              <w:tl2br w:val="nil"/>
              <w:tr2bl w:val="nil"/>
            </w:tcBorders>
            <w:vAlign w:val="center"/>
          </w:tcPr>
          <w:p w14:paraId="7EE3F0FF">
            <w:pPr>
              <w:jc w:val="center"/>
              <w:rPr>
                <w:szCs w:val="21"/>
              </w:rPr>
            </w:pPr>
          </w:p>
        </w:tc>
        <w:tc>
          <w:tcPr>
            <w:tcW w:w="963" w:type="dxa"/>
            <w:tcBorders>
              <w:tl2br w:val="nil"/>
              <w:tr2bl w:val="nil"/>
            </w:tcBorders>
            <w:vAlign w:val="center"/>
          </w:tcPr>
          <w:p w14:paraId="09A1590E">
            <w:pPr>
              <w:jc w:val="center"/>
              <w:rPr>
                <w:szCs w:val="21"/>
              </w:rPr>
            </w:pPr>
            <w:r>
              <w:rPr>
                <w:szCs w:val="21"/>
              </w:rPr>
              <w:t>符合</w:t>
            </w:r>
          </w:p>
        </w:tc>
      </w:tr>
      <w:tr w14:paraId="5353E9B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93" w:hRule="atLeast"/>
          <w:jc w:val="center"/>
        </w:trPr>
        <w:tc>
          <w:tcPr>
            <w:tcW w:w="714" w:type="dxa"/>
            <w:vMerge w:val="restart"/>
            <w:tcBorders>
              <w:tl2br w:val="nil"/>
              <w:tr2bl w:val="nil"/>
            </w:tcBorders>
            <w:vAlign w:val="center"/>
          </w:tcPr>
          <w:p w14:paraId="394ACAAC">
            <w:pPr>
              <w:jc w:val="center"/>
              <w:rPr>
                <w:szCs w:val="21"/>
              </w:rPr>
            </w:pPr>
            <w:r>
              <w:rPr>
                <w:szCs w:val="21"/>
              </w:rPr>
              <w:t>再生利用技术要求</w:t>
            </w:r>
          </w:p>
        </w:tc>
        <w:tc>
          <w:tcPr>
            <w:tcW w:w="3755" w:type="dxa"/>
            <w:tcBorders>
              <w:tl2br w:val="nil"/>
              <w:tr2bl w:val="nil"/>
            </w:tcBorders>
            <w:vAlign w:val="center"/>
          </w:tcPr>
          <w:p w14:paraId="054DFA63">
            <w:pPr>
              <w:rPr>
                <w:szCs w:val="21"/>
              </w:rPr>
            </w:pPr>
            <w:r>
              <w:rPr>
                <w:rFonts w:hint="eastAsia"/>
                <w:szCs w:val="21"/>
              </w:rPr>
              <w:t>应根据废塑料材质特性、混杂程度、洁净度、当地环境和产业情况，选择适当的利用处置工艺。</w:t>
            </w:r>
          </w:p>
        </w:tc>
        <w:tc>
          <w:tcPr>
            <w:tcW w:w="3606" w:type="dxa"/>
            <w:tcBorders>
              <w:tl2br w:val="nil"/>
              <w:tr2bl w:val="nil"/>
            </w:tcBorders>
            <w:vAlign w:val="center"/>
          </w:tcPr>
          <w:p w14:paraId="1B8B4989">
            <w:pPr>
              <w:jc w:val="center"/>
              <w:rPr>
                <w:szCs w:val="21"/>
              </w:rPr>
            </w:pPr>
            <w:r>
              <w:rPr>
                <w:rFonts w:hint="eastAsia"/>
                <w:szCs w:val="21"/>
              </w:rPr>
              <w:t>废塑料再生利用方式属于直接再生，且不涉及以废塑料为原料炼油。</w:t>
            </w:r>
          </w:p>
        </w:tc>
        <w:tc>
          <w:tcPr>
            <w:tcW w:w="963" w:type="dxa"/>
            <w:tcBorders>
              <w:tl2br w:val="nil"/>
              <w:tr2bl w:val="nil"/>
            </w:tcBorders>
            <w:vAlign w:val="center"/>
          </w:tcPr>
          <w:p w14:paraId="4990CEA2">
            <w:pPr>
              <w:jc w:val="center"/>
              <w:rPr>
                <w:szCs w:val="21"/>
              </w:rPr>
            </w:pPr>
            <w:r>
              <w:rPr>
                <w:szCs w:val="21"/>
              </w:rPr>
              <w:t>符合</w:t>
            </w:r>
          </w:p>
        </w:tc>
      </w:tr>
      <w:tr w14:paraId="5B741C3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114" w:hRule="atLeast"/>
          <w:jc w:val="center"/>
        </w:trPr>
        <w:tc>
          <w:tcPr>
            <w:tcW w:w="714" w:type="dxa"/>
            <w:vMerge w:val="continue"/>
            <w:tcBorders>
              <w:tl2br w:val="nil"/>
              <w:tr2bl w:val="nil"/>
            </w:tcBorders>
            <w:vAlign w:val="center"/>
          </w:tcPr>
          <w:p w14:paraId="553A6C58">
            <w:pPr>
              <w:jc w:val="center"/>
              <w:rPr>
                <w:szCs w:val="21"/>
              </w:rPr>
            </w:pPr>
          </w:p>
        </w:tc>
        <w:tc>
          <w:tcPr>
            <w:tcW w:w="3755" w:type="dxa"/>
            <w:tcBorders>
              <w:tl2br w:val="nil"/>
              <w:tr2bl w:val="nil"/>
            </w:tcBorders>
            <w:vAlign w:val="center"/>
          </w:tcPr>
          <w:p w14:paraId="3D5B5BC3">
            <w:pPr>
              <w:jc w:val="center"/>
              <w:rPr>
                <w:szCs w:val="21"/>
              </w:rPr>
            </w:pPr>
            <w:r>
              <w:rPr>
                <w:rFonts w:hint="eastAsia"/>
                <w:szCs w:val="21"/>
              </w:rPr>
              <w:t>应在符合《产业结构调整指导目录》的前提下，综合考虑所在区域废塑料产生情况、社会经济发展水平、产业布局及规划、再生利用产品市场需求、再生利用技术污染防治水平等因素，合理确定再生利用设施的生产规模与技术路线。</w:t>
            </w:r>
          </w:p>
        </w:tc>
        <w:tc>
          <w:tcPr>
            <w:tcW w:w="3606" w:type="dxa"/>
            <w:tcBorders>
              <w:tl2br w:val="nil"/>
              <w:tr2bl w:val="nil"/>
            </w:tcBorders>
            <w:vAlign w:val="center"/>
          </w:tcPr>
          <w:p w14:paraId="74DC21FA">
            <w:pPr>
              <w:jc w:val="center"/>
              <w:rPr>
                <w:szCs w:val="21"/>
              </w:rPr>
            </w:pPr>
            <w:r>
              <w:rPr>
                <w:rFonts w:hint="eastAsia"/>
                <w:szCs w:val="21"/>
              </w:rPr>
              <w:t>生产过程中冷却采用风冷。</w:t>
            </w:r>
          </w:p>
        </w:tc>
        <w:tc>
          <w:tcPr>
            <w:tcW w:w="963" w:type="dxa"/>
            <w:tcBorders>
              <w:tl2br w:val="nil"/>
              <w:tr2bl w:val="nil"/>
            </w:tcBorders>
            <w:vAlign w:val="center"/>
          </w:tcPr>
          <w:p w14:paraId="3C10615E">
            <w:pPr>
              <w:jc w:val="center"/>
              <w:rPr>
                <w:szCs w:val="21"/>
              </w:rPr>
            </w:pPr>
            <w:r>
              <w:rPr>
                <w:szCs w:val="21"/>
              </w:rPr>
              <w:t>符合</w:t>
            </w:r>
          </w:p>
        </w:tc>
      </w:tr>
      <w:tr w14:paraId="506EDC4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714" w:type="dxa"/>
            <w:vMerge w:val="continue"/>
            <w:tcBorders>
              <w:tl2br w:val="nil"/>
              <w:tr2bl w:val="nil"/>
            </w:tcBorders>
            <w:vAlign w:val="center"/>
          </w:tcPr>
          <w:p w14:paraId="106AD48E">
            <w:pPr>
              <w:jc w:val="center"/>
              <w:rPr>
                <w:szCs w:val="21"/>
              </w:rPr>
            </w:pPr>
          </w:p>
        </w:tc>
        <w:tc>
          <w:tcPr>
            <w:tcW w:w="3755" w:type="dxa"/>
            <w:tcBorders>
              <w:tl2br w:val="nil"/>
              <w:tr2bl w:val="nil"/>
            </w:tcBorders>
            <w:vAlign w:val="center"/>
          </w:tcPr>
          <w:p w14:paraId="6D690102">
            <w:pPr>
              <w:rPr>
                <w:szCs w:val="21"/>
              </w:rPr>
            </w:pPr>
            <w:r>
              <w:rPr>
                <w:rFonts w:hint="eastAsia"/>
                <w:szCs w:val="21"/>
              </w:rPr>
              <w:t>应加强新污染物和优先控制化学品的监测评估与治理。</w:t>
            </w:r>
          </w:p>
        </w:tc>
        <w:tc>
          <w:tcPr>
            <w:tcW w:w="3606" w:type="dxa"/>
            <w:tcBorders>
              <w:tl2br w:val="nil"/>
              <w:tr2bl w:val="nil"/>
            </w:tcBorders>
            <w:vAlign w:val="center"/>
          </w:tcPr>
          <w:p w14:paraId="7058971F">
            <w:pPr>
              <w:rPr>
                <w:szCs w:val="21"/>
              </w:rPr>
            </w:pPr>
            <w:r>
              <w:rPr>
                <w:rFonts w:hint="eastAsia"/>
                <w:szCs w:val="21"/>
              </w:rPr>
              <w:t>加强了新污染物监测评估与治理。不涉及使用化学品。</w:t>
            </w:r>
          </w:p>
        </w:tc>
        <w:tc>
          <w:tcPr>
            <w:tcW w:w="963" w:type="dxa"/>
            <w:tcBorders>
              <w:tl2br w:val="nil"/>
              <w:tr2bl w:val="nil"/>
            </w:tcBorders>
            <w:vAlign w:val="center"/>
          </w:tcPr>
          <w:p w14:paraId="11AA6199">
            <w:pPr>
              <w:jc w:val="center"/>
              <w:rPr>
                <w:szCs w:val="21"/>
              </w:rPr>
            </w:pPr>
            <w:r>
              <w:rPr>
                <w:szCs w:val="21"/>
              </w:rPr>
              <w:t>符合</w:t>
            </w:r>
          </w:p>
        </w:tc>
      </w:tr>
      <w:tr w14:paraId="32AE473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114" w:hRule="atLeast"/>
          <w:jc w:val="center"/>
        </w:trPr>
        <w:tc>
          <w:tcPr>
            <w:tcW w:w="714" w:type="dxa"/>
            <w:vMerge w:val="continue"/>
            <w:tcBorders>
              <w:tl2br w:val="nil"/>
              <w:tr2bl w:val="nil"/>
            </w:tcBorders>
            <w:vAlign w:val="center"/>
          </w:tcPr>
          <w:p w14:paraId="4804BA3A">
            <w:pPr>
              <w:jc w:val="center"/>
              <w:rPr>
                <w:szCs w:val="21"/>
              </w:rPr>
            </w:pPr>
          </w:p>
        </w:tc>
        <w:tc>
          <w:tcPr>
            <w:tcW w:w="3755" w:type="dxa"/>
            <w:tcBorders>
              <w:tl2br w:val="nil"/>
              <w:tr2bl w:val="nil"/>
            </w:tcBorders>
            <w:vAlign w:val="center"/>
          </w:tcPr>
          <w:p w14:paraId="78690C46">
            <w:pPr>
              <w:rPr>
                <w:szCs w:val="21"/>
              </w:rPr>
            </w:pPr>
            <w:r>
              <w:rPr>
                <w:rFonts w:hint="eastAsia"/>
                <w:szCs w:val="21"/>
              </w:rPr>
              <w:t>应收集并处理废塑料再生利用过程中产生的废气，大气污染物排放应符合GB31572或GB16297、GB37822等标准的规定，恶臭污染物排放应符合GB14554的规定。</w:t>
            </w:r>
          </w:p>
        </w:tc>
        <w:tc>
          <w:tcPr>
            <w:tcW w:w="3606" w:type="dxa"/>
            <w:tcBorders>
              <w:tl2br w:val="nil"/>
              <w:tr2bl w:val="nil"/>
            </w:tcBorders>
            <w:vAlign w:val="center"/>
          </w:tcPr>
          <w:p w14:paraId="7108C506">
            <w:pPr>
              <w:jc w:val="center"/>
              <w:rPr>
                <w:szCs w:val="21"/>
              </w:rPr>
            </w:pPr>
            <w:r>
              <w:rPr>
                <w:rFonts w:hint="eastAsia"/>
                <w:szCs w:val="21"/>
              </w:rPr>
              <w:t>产生的废气，预测大气污染物排放符合GB31572或GB16297、GB37822等标准的规定，恶臭污染物排放符合GB14554的规定。</w:t>
            </w:r>
          </w:p>
        </w:tc>
        <w:tc>
          <w:tcPr>
            <w:tcW w:w="963" w:type="dxa"/>
            <w:tcBorders>
              <w:tl2br w:val="nil"/>
              <w:tr2bl w:val="nil"/>
            </w:tcBorders>
            <w:vAlign w:val="center"/>
          </w:tcPr>
          <w:p w14:paraId="787B7116">
            <w:pPr>
              <w:jc w:val="center"/>
              <w:rPr>
                <w:szCs w:val="21"/>
              </w:rPr>
            </w:pPr>
            <w:r>
              <w:rPr>
                <w:szCs w:val="21"/>
              </w:rPr>
              <w:t>符合</w:t>
            </w:r>
          </w:p>
        </w:tc>
      </w:tr>
      <w:tr w14:paraId="4B063DF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43" w:hRule="atLeast"/>
          <w:jc w:val="center"/>
        </w:trPr>
        <w:tc>
          <w:tcPr>
            <w:tcW w:w="714" w:type="dxa"/>
            <w:vMerge w:val="continue"/>
            <w:tcBorders>
              <w:tl2br w:val="nil"/>
              <w:tr2bl w:val="nil"/>
            </w:tcBorders>
            <w:vAlign w:val="center"/>
          </w:tcPr>
          <w:p w14:paraId="62EEC3F2">
            <w:pPr>
              <w:jc w:val="center"/>
              <w:rPr>
                <w:szCs w:val="21"/>
              </w:rPr>
            </w:pPr>
          </w:p>
        </w:tc>
        <w:tc>
          <w:tcPr>
            <w:tcW w:w="3755" w:type="dxa"/>
            <w:tcBorders>
              <w:tl2br w:val="nil"/>
              <w:tr2bl w:val="nil"/>
            </w:tcBorders>
            <w:vAlign w:val="center"/>
          </w:tcPr>
          <w:p w14:paraId="7CE0193D">
            <w:pPr>
              <w:rPr>
                <w:szCs w:val="21"/>
              </w:rPr>
            </w:pPr>
            <w:r>
              <w:rPr>
                <w:rFonts w:hint="eastAsia"/>
                <w:szCs w:val="21"/>
              </w:rPr>
              <w:t>废塑料再生利用过程中应控制噪声污染，噪声排放应符合GB12348 的规定。</w:t>
            </w:r>
          </w:p>
        </w:tc>
        <w:tc>
          <w:tcPr>
            <w:tcW w:w="3606" w:type="dxa"/>
            <w:tcBorders>
              <w:tl2br w:val="nil"/>
              <w:tr2bl w:val="nil"/>
            </w:tcBorders>
            <w:vAlign w:val="center"/>
          </w:tcPr>
          <w:p w14:paraId="3C3542CE">
            <w:pPr>
              <w:jc w:val="center"/>
              <w:rPr>
                <w:szCs w:val="21"/>
              </w:rPr>
            </w:pPr>
            <w:r>
              <w:rPr>
                <w:rFonts w:hint="eastAsia"/>
                <w:szCs w:val="21"/>
              </w:rPr>
              <w:t>噪声排放符合GB12348的规定。</w:t>
            </w:r>
          </w:p>
        </w:tc>
        <w:tc>
          <w:tcPr>
            <w:tcW w:w="963" w:type="dxa"/>
            <w:tcBorders>
              <w:tl2br w:val="nil"/>
              <w:tr2bl w:val="nil"/>
            </w:tcBorders>
            <w:vAlign w:val="center"/>
          </w:tcPr>
          <w:p w14:paraId="6250A63C">
            <w:pPr>
              <w:jc w:val="center"/>
              <w:rPr>
                <w:szCs w:val="21"/>
              </w:rPr>
            </w:pPr>
            <w:r>
              <w:rPr>
                <w:szCs w:val="21"/>
              </w:rPr>
              <w:t>符合</w:t>
            </w:r>
          </w:p>
        </w:tc>
      </w:tr>
      <w:tr w14:paraId="3108175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72" w:hRule="atLeast"/>
          <w:jc w:val="center"/>
        </w:trPr>
        <w:tc>
          <w:tcPr>
            <w:tcW w:w="714" w:type="dxa"/>
            <w:vMerge w:val="continue"/>
            <w:tcBorders>
              <w:tl2br w:val="nil"/>
              <w:tr2bl w:val="nil"/>
            </w:tcBorders>
            <w:vAlign w:val="center"/>
          </w:tcPr>
          <w:p w14:paraId="4984E5DB">
            <w:pPr>
              <w:jc w:val="center"/>
              <w:rPr>
                <w:szCs w:val="21"/>
              </w:rPr>
            </w:pPr>
          </w:p>
        </w:tc>
        <w:tc>
          <w:tcPr>
            <w:tcW w:w="3755" w:type="dxa"/>
            <w:tcBorders>
              <w:tl2br w:val="nil"/>
              <w:tr2bl w:val="nil"/>
            </w:tcBorders>
            <w:vAlign w:val="center"/>
          </w:tcPr>
          <w:p w14:paraId="0A72DF53">
            <w:pPr>
              <w:rPr>
                <w:szCs w:val="21"/>
              </w:rPr>
            </w:pPr>
            <w:r>
              <w:rPr>
                <w:rFonts w:hint="eastAsia"/>
                <w:szCs w:val="21"/>
              </w:rPr>
              <w:t>废塑料中的金属、橡胶、纤维、渣</w:t>
            </w:r>
          </w:p>
          <w:p w14:paraId="73EE21AE">
            <w:pPr>
              <w:jc w:val="center"/>
              <w:rPr>
                <w:szCs w:val="21"/>
              </w:rPr>
            </w:pPr>
            <w:r>
              <w:rPr>
                <w:rFonts w:hint="eastAsia"/>
                <w:szCs w:val="21"/>
              </w:rPr>
              <w:t>土、油脂等夹杂物，以及废塑料再生利用过程中产生的不可利用废物应建立台账，不得擅自丢弃、倾倒、焚烧与填埋，属于危险废物的应交由有相关资质单位进行利用处置。</w:t>
            </w:r>
          </w:p>
        </w:tc>
        <w:tc>
          <w:tcPr>
            <w:tcW w:w="3606" w:type="dxa"/>
            <w:tcBorders>
              <w:tl2br w:val="nil"/>
              <w:tr2bl w:val="nil"/>
            </w:tcBorders>
            <w:vAlign w:val="center"/>
          </w:tcPr>
          <w:p w14:paraId="118F08B3">
            <w:pPr>
              <w:jc w:val="center"/>
              <w:rPr>
                <w:szCs w:val="21"/>
              </w:rPr>
            </w:pPr>
            <w:r>
              <w:rPr>
                <w:rFonts w:hint="eastAsia"/>
                <w:szCs w:val="21"/>
              </w:rPr>
              <w:t>不涉及。</w:t>
            </w:r>
          </w:p>
        </w:tc>
        <w:tc>
          <w:tcPr>
            <w:tcW w:w="963" w:type="dxa"/>
            <w:tcBorders>
              <w:tl2br w:val="nil"/>
              <w:tr2bl w:val="nil"/>
            </w:tcBorders>
            <w:vAlign w:val="center"/>
          </w:tcPr>
          <w:p w14:paraId="374D7180">
            <w:pPr>
              <w:jc w:val="center"/>
              <w:rPr>
                <w:szCs w:val="21"/>
              </w:rPr>
            </w:pPr>
            <w:r>
              <w:rPr>
                <w:szCs w:val="21"/>
              </w:rPr>
              <w:t>符合</w:t>
            </w:r>
          </w:p>
        </w:tc>
      </w:tr>
      <w:tr w14:paraId="1C2CD4C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242" w:hRule="atLeast"/>
          <w:jc w:val="center"/>
        </w:trPr>
        <w:tc>
          <w:tcPr>
            <w:tcW w:w="714" w:type="dxa"/>
            <w:vMerge w:val="continue"/>
            <w:tcBorders>
              <w:tl2br w:val="nil"/>
              <w:tr2bl w:val="nil"/>
            </w:tcBorders>
            <w:vAlign w:val="center"/>
          </w:tcPr>
          <w:p w14:paraId="1E7518CA">
            <w:pPr>
              <w:jc w:val="center"/>
              <w:rPr>
                <w:szCs w:val="21"/>
              </w:rPr>
            </w:pPr>
          </w:p>
        </w:tc>
        <w:tc>
          <w:tcPr>
            <w:tcW w:w="3755" w:type="dxa"/>
            <w:tcBorders>
              <w:tl2br w:val="nil"/>
              <w:tr2bl w:val="nil"/>
            </w:tcBorders>
            <w:vAlign w:val="center"/>
          </w:tcPr>
          <w:p w14:paraId="0D44B43C">
            <w:pPr>
              <w:jc w:val="center"/>
              <w:rPr>
                <w:szCs w:val="21"/>
              </w:rPr>
            </w:pPr>
            <w:r>
              <w:rPr>
                <w:rFonts w:hint="eastAsia"/>
                <w:szCs w:val="21"/>
              </w:rPr>
              <w:t>再生塑料制品或材料在生产过程中</w:t>
            </w:r>
          </w:p>
          <w:p w14:paraId="1FC313C7">
            <w:pPr>
              <w:jc w:val="center"/>
              <w:rPr>
                <w:szCs w:val="21"/>
              </w:rPr>
            </w:pPr>
            <w:r>
              <w:rPr>
                <w:rFonts w:hint="eastAsia"/>
                <w:szCs w:val="21"/>
              </w:rPr>
              <w:t>不得使用全氯氟烃作发泡剂；制造人</w:t>
            </w:r>
          </w:p>
          <w:p w14:paraId="19DA72B1">
            <w:pPr>
              <w:jc w:val="center"/>
              <w:rPr>
                <w:szCs w:val="21"/>
              </w:rPr>
            </w:pPr>
            <w:r>
              <w:rPr>
                <w:rFonts w:hint="eastAsia"/>
                <w:szCs w:val="21"/>
              </w:rPr>
              <w:t>体接触的再生塑料制品或材料时，不</w:t>
            </w:r>
          </w:p>
          <w:p w14:paraId="6C6EA905">
            <w:pPr>
              <w:jc w:val="center"/>
              <w:rPr>
                <w:szCs w:val="21"/>
              </w:rPr>
            </w:pPr>
            <w:r>
              <w:rPr>
                <w:rFonts w:hint="eastAsia"/>
                <w:szCs w:val="21"/>
              </w:rPr>
              <w:t>得添加有毒有害的化学助剂。</w:t>
            </w:r>
          </w:p>
        </w:tc>
        <w:tc>
          <w:tcPr>
            <w:tcW w:w="3606" w:type="dxa"/>
            <w:tcBorders>
              <w:tl2br w:val="nil"/>
              <w:tr2bl w:val="nil"/>
            </w:tcBorders>
            <w:vAlign w:val="center"/>
          </w:tcPr>
          <w:p w14:paraId="6C5711E9">
            <w:pPr>
              <w:jc w:val="center"/>
              <w:rPr>
                <w:szCs w:val="21"/>
              </w:rPr>
            </w:pPr>
            <w:r>
              <w:rPr>
                <w:rFonts w:hint="eastAsia"/>
                <w:szCs w:val="21"/>
              </w:rPr>
              <w:t>不使用全氯氟烃作发泡剂，生产颗粒和滴灌带时不添加有毒有害的化学助剂。</w:t>
            </w:r>
          </w:p>
        </w:tc>
        <w:tc>
          <w:tcPr>
            <w:tcW w:w="963" w:type="dxa"/>
            <w:tcBorders>
              <w:tl2br w:val="nil"/>
              <w:tr2bl w:val="nil"/>
            </w:tcBorders>
            <w:vAlign w:val="center"/>
          </w:tcPr>
          <w:p w14:paraId="63570377">
            <w:pPr>
              <w:jc w:val="center"/>
              <w:rPr>
                <w:szCs w:val="21"/>
              </w:rPr>
            </w:pPr>
            <w:r>
              <w:rPr>
                <w:szCs w:val="21"/>
              </w:rPr>
              <w:t>符合</w:t>
            </w:r>
          </w:p>
        </w:tc>
      </w:tr>
      <w:tr w14:paraId="645D372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45" w:hRule="atLeast"/>
          <w:jc w:val="center"/>
        </w:trPr>
        <w:tc>
          <w:tcPr>
            <w:tcW w:w="714" w:type="dxa"/>
            <w:vMerge w:val="continue"/>
            <w:tcBorders>
              <w:tl2br w:val="nil"/>
              <w:tr2bl w:val="nil"/>
            </w:tcBorders>
            <w:vAlign w:val="center"/>
          </w:tcPr>
          <w:p w14:paraId="7EEAD8DC">
            <w:pPr>
              <w:jc w:val="center"/>
              <w:rPr>
                <w:szCs w:val="21"/>
              </w:rPr>
            </w:pPr>
          </w:p>
        </w:tc>
        <w:tc>
          <w:tcPr>
            <w:tcW w:w="3755" w:type="dxa"/>
            <w:tcBorders>
              <w:tl2br w:val="nil"/>
              <w:tr2bl w:val="nil"/>
            </w:tcBorders>
            <w:vAlign w:val="center"/>
          </w:tcPr>
          <w:p w14:paraId="128E6D94">
            <w:pPr>
              <w:jc w:val="center"/>
              <w:rPr>
                <w:szCs w:val="21"/>
              </w:rPr>
            </w:pPr>
            <w:r>
              <w:rPr>
                <w:rFonts w:hint="eastAsia"/>
                <w:szCs w:val="21"/>
              </w:rPr>
              <w:t>废塑料的物理再生工艺中，熔融造</w:t>
            </w:r>
          </w:p>
          <w:p w14:paraId="7D0E91C4">
            <w:pPr>
              <w:jc w:val="center"/>
              <w:rPr>
                <w:szCs w:val="21"/>
              </w:rPr>
            </w:pPr>
            <w:r>
              <w:rPr>
                <w:rFonts w:hint="eastAsia"/>
                <w:szCs w:val="21"/>
              </w:rPr>
              <w:t>粒车间应安装废气收集及处理装置，</w:t>
            </w:r>
          </w:p>
          <w:p w14:paraId="32FB0597">
            <w:pPr>
              <w:jc w:val="center"/>
              <w:rPr>
                <w:szCs w:val="21"/>
              </w:rPr>
            </w:pPr>
            <w:r>
              <w:rPr>
                <w:rFonts w:hint="eastAsia"/>
                <w:szCs w:val="21"/>
              </w:rPr>
              <w:t>挤出工艺的冷却废水宜循环使用。</w:t>
            </w:r>
          </w:p>
        </w:tc>
        <w:tc>
          <w:tcPr>
            <w:tcW w:w="3606" w:type="dxa"/>
            <w:tcBorders>
              <w:tl2br w:val="nil"/>
              <w:tr2bl w:val="nil"/>
            </w:tcBorders>
            <w:vAlign w:val="center"/>
          </w:tcPr>
          <w:p w14:paraId="63122F38">
            <w:pPr>
              <w:jc w:val="center"/>
              <w:rPr>
                <w:szCs w:val="21"/>
              </w:rPr>
            </w:pPr>
            <w:r>
              <w:rPr>
                <w:rFonts w:hint="eastAsia"/>
                <w:szCs w:val="21"/>
              </w:rPr>
              <w:t>废塑料的物理再生工艺中，生产车间安装废气收集及处理装置，挤出工艺的冷却</w:t>
            </w:r>
            <w:r>
              <w:rPr>
                <w:rFonts w:hint="eastAsia"/>
                <w:szCs w:val="21"/>
                <w:lang w:eastAsia="zh-CN"/>
              </w:rPr>
              <w:t>采用风冷</w:t>
            </w:r>
            <w:r>
              <w:rPr>
                <w:rFonts w:hint="eastAsia"/>
                <w:szCs w:val="21"/>
              </w:rPr>
              <w:t>。</w:t>
            </w:r>
          </w:p>
        </w:tc>
        <w:tc>
          <w:tcPr>
            <w:tcW w:w="963" w:type="dxa"/>
            <w:tcBorders>
              <w:tl2br w:val="nil"/>
              <w:tr2bl w:val="nil"/>
            </w:tcBorders>
            <w:vAlign w:val="center"/>
          </w:tcPr>
          <w:p w14:paraId="4BAA6E7B">
            <w:pPr>
              <w:jc w:val="center"/>
              <w:rPr>
                <w:szCs w:val="21"/>
              </w:rPr>
            </w:pPr>
            <w:r>
              <w:rPr>
                <w:szCs w:val="21"/>
              </w:rPr>
              <w:t>符合</w:t>
            </w:r>
          </w:p>
        </w:tc>
      </w:tr>
      <w:tr w14:paraId="6167743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80" w:hRule="atLeast"/>
          <w:jc w:val="center"/>
        </w:trPr>
        <w:tc>
          <w:tcPr>
            <w:tcW w:w="714" w:type="dxa"/>
            <w:vMerge w:val="continue"/>
            <w:tcBorders>
              <w:tl2br w:val="nil"/>
              <w:tr2bl w:val="nil"/>
            </w:tcBorders>
            <w:vAlign w:val="center"/>
          </w:tcPr>
          <w:p w14:paraId="671AB906">
            <w:pPr>
              <w:jc w:val="center"/>
              <w:rPr>
                <w:szCs w:val="21"/>
              </w:rPr>
            </w:pPr>
          </w:p>
        </w:tc>
        <w:tc>
          <w:tcPr>
            <w:tcW w:w="3755" w:type="dxa"/>
            <w:tcBorders>
              <w:tl2br w:val="nil"/>
              <w:tr2bl w:val="nil"/>
            </w:tcBorders>
            <w:vAlign w:val="center"/>
          </w:tcPr>
          <w:p w14:paraId="073908CE">
            <w:pPr>
              <w:jc w:val="center"/>
              <w:rPr>
                <w:szCs w:val="21"/>
              </w:rPr>
            </w:pPr>
            <w:r>
              <w:rPr>
                <w:rFonts w:hint="eastAsia"/>
                <w:szCs w:val="21"/>
              </w:rPr>
              <w:t>宜采用节能熔融造粒技术，含卤素</w:t>
            </w:r>
          </w:p>
          <w:p w14:paraId="32137059">
            <w:pPr>
              <w:jc w:val="center"/>
              <w:rPr>
                <w:szCs w:val="21"/>
              </w:rPr>
            </w:pPr>
            <w:r>
              <w:rPr>
                <w:rFonts w:hint="eastAsia"/>
                <w:szCs w:val="21"/>
              </w:rPr>
              <w:t>废塑料宜采用低温熔融造粒工艺。</w:t>
            </w:r>
          </w:p>
        </w:tc>
        <w:tc>
          <w:tcPr>
            <w:tcW w:w="3606" w:type="dxa"/>
            <w:tcBorders>
              <w:tl2br w:val="nil"/>
              <w:tr2bl w:val="nil"/>
            </w:tcBorders>
            <w:vAlign w:val="center"/>
          </w:tcPr>
          <w:p w14:paraId="2EC9D1F0">
            <w:pPr>
              <w:jc w:val="center"/>
              <w:rPr>
                <w:szCs w:val="21"/>
              </w:rPr>
            </w:pPr>
            <w:r>
              <w:rPr>
                <w:rFonts w:hint="eastAsia"/>
                <w:szCs w:val="21"/>
              </w:rPr>
              <w:t>采用节能熔融造粒再生滴灌带技术，不使用含卤素废塑料。</w:t>
            </w:r>
          </w:p>
        </w:tc>
        <w:tc>
          <w:tcPr>
            <w:tcW w:w="963" w:type="dxa"/>
            <w:tcBorders>
              <w:tl2br w:val="nil"/>
              <w:tr2bl w:val="nil"/>
            </w:tcBorders>
            <w:vAlign w:val="center"/>
          </w:tcPr>
          <w:p w14:paraId="0F87A23B">
            <w:pPr>
              <w:jc w:val="center"/>
              <w:rPr>
                <w:szCs w:val="21"/>
              </w:rPr>
            </w:pPr>
            <w:r>
              <w:rPr>
                <w:szCs w:val="21"/>
              </w:rPr>
              <w:t>符合</w:t>
            </w:r>
          </w:p>
        </w:tc>
      </w:tr>
      <w:tr w14:paraId="7FCAC57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86" w:hRule="atLeast"/>
          <w:jc w:val="center"/>
        </w:trPr>
        <w:tc>
          <w:tcPr>
            <w:tcW w:w="714" w:type="dxa"/>
            <w:vMerge w:val="continue"/>
            <w:tcBorders>
              <w:tl2br w:val="nil"/>
              <w:tr2bl w:val="nil"/>
            </w:tcBorders>
            <w:vAlign w:val="center"/>
          </w:tcPr>
          <w:p w14:paraId="58E175EF">
            <w:pPr>
              <w:jc w:val="center"/>
              <w:rPr>
                <w:szCs w:val="21"/>
              </w:rPr>
            </w:pPr>
          </w:p>
        </w:tc>
        <w:tc>
          <w:tcPr>
            <w:tcW w:w="3755" w:type="dxa"/>
            <w:tcBorders>
              <w:tl2br w:val="nil"/>
              <w:tr2bl w:val="nil"/>
            </w:tcBorders>
            <w:vAlign w:val="center"/>
          </w:tcPr>
          <w:p w14:paraId="5C762E82">
            <w:pPr>
              <w:jc w:val="center"/>
              <w:rPr>
                <w:szCs w:val="21"/>
              </w:rPr>
            </w:pPr>
            <w:r>
              <w:rPr>
                <w:rFonts w:hint="eastAsia"/>
                <w:szCs w:val="21"/>
              </w:rPr>
              <w:t>宜使用无丝网过滤器造粒机，减少</w:t>
            </w:r>
          </w:p>
          <w:p w14:paraId="3CE32584">
            <w:pPr>
              <w:jc w:val="center"/>
              <w:rPr>
                <w:szCs w:val="21"/>
              </w:rPr>
            </w:pPr>
            <w:r>
              <w:rPr>
                <w:rFonts w:hint="eastAsia"/>
                <w:szCs w:val="21"/>
              </w:rPr>
              <w:t>废滤网产生。采用焚烧方式处理塑料</w:t>
            </w:r>
          </w:p>
          <w:p w14:paraId="71230F31">
            <w:pPr>
              <w:jc w:val="center"/>
              <w:rPr>
                <w:szCs w:val="21"/>
              </w:rPr>
            </w:pPr>
            <w:r>
              <w:rPr>
                <w:rFonts w:hint="eastAsia"/>
                <w:szCs w:val="21"/>
              </w:rPr>
              <w:t>挤出机过滤网片时，应配备烟气净化</w:t>
            </w:r>
          </w:p>
          <w:p w14:paraId="690ACDA0">
            <w:pPr>
              <w:jc w:val="center"/>
              <w:rPr>
                <w:szCs w:val="21"/>
              </w:rPr>
            </w:pPr>
            <w:r>
              <w:rPr>
                <w:rFonts w:hint="eastAsia"/>
                <w:szCs w:val="21"/>
              </w:rPr>
              <w:t>装置。</w:t>
            </w:r>
          </w:p>
        </w:tc>
        <w:tc>
          <w:tcPr>
            <w:tcW w:w="3606" w:type="dxa"/>
            <w:tcBorders>
              <w:tl2br w:val="nil"/>
              <w:tr2bl w:val="nil"/>
            </w:tcBorders>
            <w:vAlign w:val="center"/>
          </w:tcPr>
          <w:p w14:paraId="5E7F52A8">
            <w:pPr>
              <w:jc w:val="center"/>
              <w:rPr>
                <w:szCs w:val="21"/>
              </w:rPr>
            </w:pPr>
            <w:r>
              <w:rPr>
                <w:rFonts w:hint="eastAsia"/>
                <w:szCs w:val="21"/>
              </w:rPr>
              <w:t>过滤网片不进行焚烧处理。</w:t>
            </w:r>
          </w:p>
        </w:tc>
        <w:tc>
          <w:tcPr>
            <w:tcW w:w="963" w:type="dxa"/>
            <w:tcBorders>
              <w:tl2br w:val="nil"/>
              <w:tr2bl w:val="nil"/>
            </w:tcBorders>
            <w:vAlign w:val="center"/>
          </w:tcPr>
          <w:p w14:paraId="5592E793">
            <w:pPr>
              <w:jc w:val="center"/>
              <w:rPr>
                <w:szCs w:val="21"/>
              </w:rPr>
            </w:pPr>
            <w:r>
              <w:rPr>
                <w:szCs w:val="21"/>
              </w:rPr>
              <w:t>符合</w:t>
            </w:r>
          </w:p>
        </w:tc>
      </w:tr>
      <w:tr w14:paraId="0BBD2D9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6" w:hRule="atLeast"/>
          <w:jc w:val="center"/>
        </w:trPr>
        <w:tc>
          <w:tcPr>
            <w:tcW w:w="714" w:type="dxa"/>
            <w:vMerge w:val="restart"/>
            <w:tcBorders>
              <w:tl2br w:val="nil"/>
              <w:tr2bl w:val="nil"/>
            </w:tcBorders>
            <w:vAlign w:val="center"/>
          </w:tcPr>
          <w:p w14:paraId="210783D6">
            <w:pPr>
              <w:jc w:val="center"/>
              <w:rPr>
                <w:szCs w:val="21"/>
              </w:rPr>
            </w:pPr>
            <w:r>
              <w:rPr>
                <w:rFonts w:hint="eastAsia"/>
                <w:szCs w:val="21"/>
              </w:rPr>
              <w:t>运行</w:t>
            </w:r>
          </w:p>
          <w:p w14:paraId="38597565">
            <w:pPr>
              <w:jc w:val="center"/>
              <w:rPr>
                <w:szCs w:val="21"/>
              </w:rPr>
            </w:pPr>
            <w:r>
              <w:rPr>
                <w:rFonts w:hint="eastAsia"/>
                <w:szCs w:val="21"/>
              </w:rPr>
              <w:t>环境</w:t>
            </w:r>
          </w:p>
          <w:p w14:paraId="5AF97690">
            <w:pPr>
              <w:jc w:val="center"/>
              <w:rPr>
                <w:szCs w:val="21"/>
              </w:rPr>
            </w:pPr>
            <w:r>
              <w:rPr>
                <w:rFonts w:hint="eastAsia"/>
                <w:szCs w:val="21"/>
              </w:rPr>
              <w:t>管理</w:t>
            </w:r>
          </w:p>
          <w:p w14:paraId="2F46481B">
            <w:pPr>
              <w:jc w:val="center"/>
              <w:rPr>
                <w:szCs w:val="21"/>
              </w:rPr>
            </w:pPr>
            <w:r>
              <w:rPr>
                <w:rFonts w:hint="eastAsia"/>
                <w:szCs w:val="21"/>
              </w:rPr>
              <w:t>要求</w:t>
            </w:r>
          </w:p>
          <w:p w14:paraId="36490CD3">
            <w:pPr>
              <w:jc w:val="center"/>
              <w:rPr>
                <w:szCs w:val="21"/>
              </w:rPr>
            </w:pPr>
            <w:r>
              <w:rPr>
                <w:rFonts w:hint="eastAsia"/>
                <w:szCs w:val="21"/>
              </w:rPr>
              <w:t>污染</w:t>
            </w:r>
          </w:p>
          <w:p w14:paraId="2B7DCC67">
            <w:pPr>
              <w:jc w:val="center"/>
              <w:rPr>
                <w:szCs w:val="21"/>
              </w:rPr>
            </w:pPr>
            <w:r>
              <w:rPr>
                <w:rFonts w:hint="eastAsia"/>
                <w:szCs w:val="21"/>
              </w:rPr>
              <w:t>控制</w:t>
            </w:r>
          </w:p>
          <w:p w14:paraId="1417456A">
            <w:pPr>
              <w:jc w:val="center"/>
              <w:rPr>
                <w:szCs w:val="21"/>
              </w:rPr>
            </w:pPr>
            <w:r>
              <w:rPr>
                <w:rFonts w:hint="eastAsia"/>
                <w:szCs w:val="21"/>
              </w:rPr>
              <w:t>要求</w:t>
            </w:r>
          </w:p>
          <w:p w14:paraId="5BCEBD9C">
            <w:pPr>
              <w:jc w:val="center"/>
              <w:rPr>
                <w:szCs w:val="21"/>
              </w:rPr>
            </w:pPr>
          </w:p>
        </w:tc>
        <w:tc>
          <w:tcPr>
            <w:tcW w:w="3755" w:type="dxa"/>
            <w:tcBorders>
              <w:tl2br w:val="nil"/>
              <w:tr2bl w:val="nil"/>
            </w:tcBorders>
            <w:vAlign w:val="center"/>
          </w:tcPr>
          <w:p w14:paraId="254CFC2A">
            <w:pPr>
              <w:jc w:val="center"/>
              <w:rPr>
                <w:szCs w:val="21"/>
              </w:rPr>
            </w:pPr>
            <w:r>
              <w:rPr>
                <w:rFonts w:hint="eastAsia"/>
                <w:szCs w:val="21"/>
              </w:rPr>
              <w:t>废塑料的产生、收集、运输、贮存</w:t>
            </w:r>
          </w:p>
          <w:p w14:paraId="15729FB7">
            <w:pPr>
              <w:jc w:val="center"/>
              <w:rPr>
                <w:szCs w:val="21"/>
              </w:rPr>
            </w:pPr>
            <w:r>
              <w:rPr>
                <w:rFonts w:hint="eastAsia"/>
                <w:szCs w:val="21"/>
              </w:rPr>
              <w:t>和再生利用企业，应按照B/T19001、</w:t>
            </w:r>
          </w:p>
          <w:p w14:paraId="6965FBC1">
            <w:pPr>
              <w:jc w:val="center"/>
              <w:rPr>
                <w:szCs w:val="21"/>
              </w:rPr>
            </w:pPr>
            <w:r>
              <w:rPr>
                <w:rFonts w:hint="eastAsia"/>
                <w:szCs w:val="21"/>
              </w:rPr>
              <w:t>GB/T24001、GB/T45001等标准建立</w:t>
            </w:r>
          </w:p>
          <w:p w14:paraId="087817DF">
            <w:pPr>
              <w:jc w:val="center"/>
              <w:rPr>
                <w:szCs w:val="21"/>
              </w:rPr>
            </w:pPr>
            <w:r>
              <w:rPr>
                <w:rFonts w:hint="eastAsia"/>
                <w:szCs w:val="21"/>
              </w:rPr>
              <w:t>管理体系，设置专门的部门或者专</w:t>
            </w:r>
          </w:p>
          <w:p w14:paraId="02388A0D">
            <w:pPr>
              <w:jc w:val="center"/>
              <w:rPr>
                <w:szCs w:val="21"/>
              </w:rPr>
            </w:pPr>
            <w:r>
              <w:rPr>
                <w:rFonts w:hint="eastAsia"/>
                <w:szCs w:val="21"/>
              </w:rPr>
              <w:t>（兼）职人员，负责废塑料收集和再</w:t>
            </w:r>
          </w:p>
          <w:p w14:paraId="4E14C580">
            <w:pPr>
              <w:jc w:val="center"/>
              <w:rPr>
                <w:szCs w:val="21"/>
              </w:rPr>
            </w:pPr>
            <w:r>
              <w:rPr>
                <w:rFonts w:hint="eastAsia"/>
                <w:szCs w:val="21"/>
                <w:lang w:eastAsia="zh-CN"/>
              </w:rPr>
              <w:t>生产</w:t>
            </w:r>
            <w:r>
              <w:rPr>
                <w:rFonts w:hint="eastAsia"/>
                <w:szCs w:val="21"/>
              </w:rPr>
              <w:t>利用过程中的相关环境管理工作。</w:t>
            </w:r>
          </w:p>
        </w:tc>
        <w:tc>
          <w:tcPr>
            <w:tcW w:w="3606" w:type="dxa"/>
            <w:tcBorders>
              <w:tl2br w:val="nil"/>
              <w:tr2bl w:val="nil"/>
            </w:tcBorders>
            <w:vAlign w:val="center"/>
          </w:tcPr>
          <w:p w14:paraId="0DE9A2DC">
            <w:pPr>
              <w:jc w:val="center"/>
              <w:rPr>
                <w:szCs w:val="21"/>
              </w:rPr>
            </w:pPr>
            <w:r>
              <w:rPr>
                <w:rFonts w:hint="eastAsia"/>
                <w:szCs w:val="21"/>
              </w:rPr>
              <w:t>按照GB/T19001 、GB/T24001、GB/T45001等标准建立管理体系，设置兼职人员负责废塑料收集和再生利用过程中的相关环境管理工作。</w:t>
            </w:r>
          </w:p>
        </w:tc>
        <w:tc>
          <w:tcPr>
            <w:tcW w:w="963" w:type="dxa"/>
            <w:tcBorders>
              <w:tl2br w:val="nil"/>
              <w:tr2bl w:val="nil"/>
            </w:tcBorders>
            <w:vAlign w:val="center"/>
          </w:tcPr>
          <w:p w14:paraId="571996DB">
            <w:pPr>
              <w:jc w:val="center"/>
              <w:rPr>
                <w:szCs w:val="21"/>
              </w:rPr>
            </w:pPr>
            <w:r>
              <w:rPr>
                <w:szCs w:val="21"/>
              </w:rPr>
              <w:t>符合</w:t>
            </w:r>
          </w:p>
        </w:tc>
      </w:tr>
      <w:tr w14:paraId="3CC34C0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8" w:hRule="atLeast"/>
          <w:jc w:val="center"/>
        </w:trPr>
        <w:tc>
          <w:tcPr>
            <w:tcW w:w="714" w:type="dxa"/>
            <w:vMerge w:val="continue"/>
            <w:tcBorders>
              <w:tl2br w:val="nil"/>
              <w:tr2bl w:val="nil"/>
            </w:tcBorders>
            <w:vAlign w:val="center"/>
          </w:tcPr>
          <w:p w14:paraId="738AF87B">
            <w:pPr>
              <w:jc w:val="center"/>
              <w:rPr>
                <w:szCs w:val="21"/>
              </w:rPr>
            </w:pPr>
          </w:p>
        </w:tc>
        <w:tc>
          <w:tcPr>
            <w:tcW w:w="3755" w:type="dxa"/>
            <w:tcBorders>
              <w:tl2br w:val="nil"/>
              <w:tr2bl w:val="nil"/>
            </w:tcBorders>
            <w:vAlign w:val="center"/>
          </w:tcPr>
          <w:p w14:paraId="356B85D6">
            <w:pPr>
              <w:jc w:val="center"/>
              <w:rPr>
                <w:szCs w:val="21"/>
              </w:rPr>
            </w:pPr>
            <w:r>
              <w:rPr>
                <w:rFonts w:hint="eastAsia"/>
                <w:szCs w:val="21"/>
              </w:rPr>
              <w:t>废塑料的产生和再生利用企业，应</w:t>
            </w:r>
          </w:p>
          <w:p w14:paraId="78FA4605">
            <w:pPr>
              <w:jc w:val="center"/>
              <w:rPr>
                <w:szCs w:val="21"/>
              </w:rPr>
            </w:pPr>
            <w:r>
              <w:rPr>
                <w:rFonts w:hint="eastAsia"/>
                <w:szCs w:val="21"/>
              </w:rPr>
              <w:t>按照排污许可证规定严格控制污染物排放。</w:t>
            </w:r>
          </w:p>
        </w:tc>
        <w:tc>
          <w:tcPr>
            <w:tcW w:w="3606" w:type="dxa"/>
            <w:tcBorders>
              <w:tl2br w:val="nil"/>
              <w:tr2bl w:val="nil"/>
            </w:tcBorders>
            <w:vAlign w:val="center"/>
          </w:tcPr>
          <w:p w14:paraId="345D2182">
            <w:pPr>
              <w:jc w:val="center"/>
              <w:rPr>
                <w:szCs w:val="21"/>
              </w:rPr>
            </w:pPr>
            <w:r>
              <w:rPr>
                <w:rFonts w:hint="eastAsia"/>
                <w:szCs w:val="21"/>
              </w:rPr>
              <w:t>申请排污许可证后，按照规定严格控制污染物排放。</w:t>
            </w:r>
          </w:p>
        </w:tc>
        <w:tc>
          <w:tcPr>
            <w:tcW w:w="963" w:type="dxa"/>
            <w:tcBorders>
              <w:tl2br w:val="nil"/>
              <w:tr2bl w:val="nil"/>
            </w:tcBorders>
            <w:vAlign w:val="center"/>
          </w:tcPr>
          <w:p w14:paraId="73DB3D15">
            <w:pPr>
              <w:jc w:val="center"/>
              <w:rPr>
                <w:szCs w:val="21"/>
              </w:rPr>
            </w:pPr>
            <w:r>
              <w:rPr>
                <w:szCs w:val="21"/>
              </w:rPr>
              <w:t>符合</w:t>
            </w:r>
          </w:p>
        </w:tc>
      </w:tr>
      <w:tr w14:paraId="3FAEE20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77" w:hRule="atLeast"/>
          <w:jc w:val="center"/>
        </w:trPr>
        <w:tc>
          <w:tcPr>
            <w:tcW w:w="714" w:type="dxa"/>
            <w:vMerge w:val="continue"/>
            <w:tcBorders>
              <w:tl2br w:val="nil"/>
              <w:tr2bl w:val="nil"/>
            </w:tcBorders>
            <w:vAlign w:val="center"/>
          </w:tcPr>
          <w:p w14:paraId="2B49B7FD">
            <w:pPr>
              <w:jc w:val="center"/>
              <w:rPr>
                <w:szCs w:val="21"/>
              </w:rPr>
            </w:pPr>
          </w:p>
        </w:tc>
        <w:tc>
          <w:tcPr>
            <w:tcW w:w="3755" w:type="dxa"/>
            <w:tcBorders>
              <w:tl2br w:val="nil"/>
              <w:tr2bl w:val="nil"/>
            </w:tcBorders>
            <w:vAlign w:val="center"/>
          </w:tcPr>
          <w:p w14:paraId="462424E6">
            <w:pPr>
              <w:jc w:val="center"/>
              <w:rPr>
                <w:szCs w:val="21"/>
              </w:rPr>
            </w:pPr>
            <w:r>
              <w:rPr>
                <w:rFonts w:hint="eastAsia"/>
                <w:szCs w:val="21"/>
              </w:rPr>
              <w:t>废塑料的产生、收集、运输、贮存</w:t>
            </w:r>
          </w:p>
          <w:p w14:paraId="73A86A09">
            <w:pPr>
              <w:jc w:val="center"/>
              <w:rPr>
                <w:szCs w:val="21"/>
              </w:rPr>
            </w:pPr>
            <w:r>
              <w:rPr>
                <w:rFonts w:hint="eastAsia"/>
                <w:szCs w:val="21"/>
              </w:rPr>
              <w:t>和再生利用企业，应对从业人员进行</w:t>
            </w:r>
          </w:p>
          <w:p w14:paraId="1EF8DD59">
            <w:pPr>
              <w:jc w:val="center"/>
              <w:rPr>
                <w:szCs w:val="21"/>
              </w:rPr>
            </w:pPr>
            <w:r>
              <w:rPr>
                <w:rFonts w:hint="eastAsia"/>
                <w:szCs w:val="21"/>
              </w:rPr>
              <w:t>环境保护培训。</w:t>
            </w:r>
          </w:p>
        </w:tc>
        <w:tc>
          <w:tcPr>
            <w:tcW w:w="3606" w:type="dxa"/>
            <w:tcBorders>
              <w:tl2br w:val="nil"/>
              <w:tr2bl w:val="nil"/>
            </w:tcBorders>
            <w:vAlign w:val="center"/>
          </w:tcPr>
          <w:p w14:paraId="4C505F65">
            <w:pPr>
              <w:jc w:val="center"/>
              <w:rPr>
                <w:szCs w:val="21"/>
              </w:rPr>
            </w:pPr>
            <w:r>
              <w:rPr>
                <w:rFonts w:hint="eastAsia"/>
                <w:szCs w:val="21"/>
              </w:rPr>
              <w:t>定期对从业人员进行环境保护培训。</w:t>
            </w:r>
          </w:p>
        </w:tc>
        <w:tc>
          <w:tcPr>
            <w:tcW w:w="963" w:type="dxa"/>
            <w:tcBorders>
              <w:tl2br w:val="nil"/>
              <w:tr2bl w:val="nil"/>
            </w:tcBorders>
            <w:vAlign w:val="center"/>
          </w:tcPr>
          <w:p w14:paraId="42688B25">
            <w:pPr>
              <w:jc w:val="center"/>
              <w:rPr>
                <w:szCs w:val="21"/>
              </w:rPr>
            </w:pPr>
            <w:r>
              <w:rPr>
                <w:szCs w:val="21"/>
              </w:rPr>
              <w:t>符合</w:t>
            </w:r>
          </w:p>
        </w:tc>
      </w:tr>
      <w:tr w14:paraId="0A5B4EA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07" w:hRule="atLeast"/>
          <w:jc w:val="center"/>
        </w:trPr>
        <w:tc>
          <w:tcPr>
            <w:tcW w:w="714" w:type="dxa"/>
            <w:vMerge w:val="continue"/>
            <w:tcBorders>
              <w:tl2br w:val="nil"/>
              <w:tr2bl w:val="nil"/>
            </w:tcBorders>
            <w:vAlign w:val="center"/>
          </w:tcPr>
          <w:p w14:paraId="332233B5">
            <w:pPr>
              <w:jc w:val="center"/>
              <w:rPr>
                <w:szCs w:val="21"/>
              </w:rPr>
            </w:pPr>
          </w:p>
        </w:tc>
        <w:tc>
          <w:tcPr>
            <w:tcW w:w="3755" w:type="dxa"/>
            <w:tcBorders>
              <w:tl2br w:val="nil"/>
              <w:tr2bl w:val="nil"/>
            </w:tcBorders>
            <w:vAlign w:val="center"/>
          </w:tcPr>
          <w:p w14:paraId="422688AF">
            <w:pPr>
              <w:jc w:val="center"/>
              <w:rPr>
                <w:szCs w:val="21"/>
              </w:rPr>
            </w:pPr>
            <w:r>
              <w:rPr>
                <w:rFonts w:hint="eastAsia"/>
                <w:szCs w:val="21"/>
              </w:rPr>
              <w:t>废塑料的再生利用项目应严格执行</w:t>
            </w:r>
          </w:p>
          <w:p w14:paraId="5B568AEC">
            <w:pPr>
              <w:jc w:val="center"/>
              <w:rPr>
                <w:szCs w:val="21"/>
              </w:rPr>
            </w:pPr>
            <w:r>
              <w:rPr>
                <w:rFonts w:hint="eastAsia"/>
                <w:szCs w:val="21"/>
              </w:rPr>
              <w:t>环境影响评价和“三同时”制度。</w:t>
            </w:r>
          </w:p>
        </w:tc>
        <w:tc>
          <w:tcPr>
            <w:tcW w:w="3606" w:type="dxa"/>
            <w:tcBorders>
              <w:tl2br w:val="nil"/>
              <w:tr2bl w:val="nil"/>
            </w:tcBorders>
            <w:vAlign w:val="center"/>
          </w:tcPr>
          <w:p w14:paraId="221C6869">
            <w:pPr>
              <w:jc w:val="center"/>
              <w:rPr>
                <w:szCs w:val="21"/>
              </w:rPr>
            </w:pPr>
            <w:r>
              <w:rPr>
                <w:rFonts w:hint="eastAsia"/>
                <w:szCs w:val="21"/>
              </w:rPr>
              <w:t>为废塑料的再生利用项目，严格执行环境影响评价和“三同时”制度。</w:t>
            </w:r>
          </w:p>
        </w:tc>
        <w:tc>
          <w:tcPr>
            <w:tcW w:w="963" w:type="dxa"/>
            <w:tcBorders>
              <w:tl2br w:val="nil"/>
              <w:tr2bl w:val="nil"/>
            </w:tcBorders>
            <w:vAlign w:val="center"/>
          </w:tcPr>
          <w:p w14:paraId="36DE5478">
            <w:pPr>
              <w:jc w:val="center"/>
              <w:rPr>
                <w:szCs w:val="21"/>
              </w:rPr>
            </w:pPr>
            <w:r>
              <w:rPr>
                <w:szCs w:val="21"/>
              </w:rPr>
              <w:t>符合</w:t>
            </w:r>
          </w:p>
        </w:tc>
      </w:tr>
      <w:tr w14:paraId="21AFAB4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279" w:hRule="atLeast"/>
          <w:jc w:val="center"/>
        </w:trPr>
        <w:tc>
          <w:tcPr>
            <w:tcW w:w="714" w:type="dxa"/>
            <w:vMerge w:val="continue"/>
            <w:tcBorders>
              <w:tl2br w:val="nil"/>
              <w:tr2bl w:val="nil"/>
            </w:tcBorders>
            <w:vAlign w:val="center"/>
          </w:tcPr>
          <w:p w14:paraId="6BE4DB9E">
            <w:pPr>
              <w:jc w:val="center"/>
              <w:rPr>
                <w:szCs w:val="21"/>
              </w:rPr>
            </w:pPr>
          </w:p>
        </w:tc>
        <w:tc>
          <w:tcPr>
            <w:tcW w:w="3755" w:type="dxa"/>
            <w:tcBorders>
              <w:tl2br w:val="nil"/>
              <w:tr2bl w:val="nil"/>
            </w:tcBorders>
            <w:vAlign w:val="center"/>
          </w:tcPr>
          <w:p w14:paraId="45CA27C5">
            <w:pPr>
              <w:jc w:val="center"/>
              <w:rPr>
                <w:szCs w:val="21"/>
              </w:rPr>
            </w:pPr>
            <w:r>
              <w:rPr>
                <w:rFonts w:hint="eastAsia"/>
                <w:szCs w:val="21"/>
              </w:rPr>
              <w:t>新建和改扩建废塑料再生利用项目</w:t>
            </w:r>
          </w:p>
          <w:p w14:paraId="776495A4">
            <w:pPr>
              <w:jc w:val="center"/>
              <w:rPr>
                <w:szCs w:val="21"/>
              </w:rPr>
            </w:pPr>
            <w:r>
              <w:rPr>
                <w:rFonts w:hint="eastAsia"/>
                <w:szCs w:val="21"/>
              </w:rPr>
              <w:t>的选址应符合当地城市总体发展规</w:t>
            </w:r>
          </w:p>
          <w:p w14:paraId="68CDB60D">
            <w:pPr>
              <w:jc w:val="center"/>
              <w:rPr>
                <w:szCs w:val="21"/>
              </w:rPr>
            </w:pPr>
            <w:r>
              <w:rPr>
                <w:rFonts w:hint="eastAsia"/>
                <w:szCs w:val="21"/>
              </w:rPr>
              <w:t>划、用地规划、生态环境分区管控方</w:t>
            </w:r>
          </w:p>
          <w:p w14:paraId="36CE0C21">
            <w:pPr>
              <w:jc w:val="center"/>
              <w:rPr>
                <w:szCs w:val="21"/>
              </w:rPr>
            </w:pPr>
            <w:r>
              <w:rPr>
                <w:rFonts w:hint="eastAsia"/>
                <w:szCs w:val="21"/>
              </w:rPr>
              <w:t>案、规划环评及其他环境保护要求。</w:t>
            </w:r>
          </w:p>
        </w:tc>
        <w:tc>
          <w:tcPr>
            <w:tcW w:w="3606" w:type="dxa"/>
            <w:tcBorders>
              <w:tl2br w:val="nil"/>
              <w:tr2bl w:val="nil"/>
            </w:tcBorders>
            <w:vAlign w:val="center"/>
          </w:tcPr>
          <w:p w14:paraId="19B42E0D">
            <w:pPr>
              <w:jc w:val="center"/>
              <w:rPr>
                <w:szCs w:val="21"/>
              </w:rPr>
            </w:pPr>
            <w:r>
              <w:rPr>
                <w:rFonts w:hint="eastAsia"/>
                <w:szCs w:val="21"/>
              </w:rPr>
              <w:t>建设选址符合当地城市总体发展规划、用地规划、生态环境分区管控方案</w:t>
            </w:r>
            <w:r>
              <w:rPr>
                <w:rFonts w:hint="eastAsia"/>
                <w:szCs w:val="21"/>
                <w:lang w:eastAsia="zh-CN"/>
              </w:rPr>
              <w:t>及</w:t>
            </w:r>
            <w:r>
              <w:rPr>
                <w:rFonts w:hint="eastAsia"/>
                <w:szCs w:val="21"/>
              </w:rPr>
              <w:t>其他环境保护要求。</w:t>
            </w:r>
          </w:p>
        </w:tc>
        <w:tc>
          <w:tcPr>
            <w:tcW w:w="963" w:type="dxa"/>
            <w:tcBorders>
              <w:tl2br w:val="nil"/>
              <w:tr2bl w:val="nil"/>
            </w:tcBorders>
            <w:vAlign w:val="center"/>
          </w:tcPr>
          <w:p w14:paraId="305756F4">
            <w:pPr>
              <w:jc w:val="center"/>
              <w:rPr>
                <w:szCs w:val="21"/>
              </w:rPr>
            </w:pPr>
            <w:r>
              <w:rPr>
                <w:szCs w:val="21"/>
              </w:rPr>
              <w:t>符合</w:t>
            </w:r>
          </w:p>
        </w:tc>
      </w:tr>
      <w:tr w14:paraId="73D199A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490" w:hRule="atLeast"/>
          <w:jc w:val="center"/>
        </w:trPr>
        <w:tc>
          <w:tcPr>
            <w:tcW w:w="714" w:type="dxa"/>
            <w:vMerge w:val="continue"/>
            <w:tcBorders>
              <w:tl2br w:val="nil"/>
              <w:tr2bl w:val="nil"/>
            </w:tcBorders>
            <w:vAlign w:val="center"/>
          </w:tcPr>
          <w:p w14:paraId="6B49A391">
            <w:pPr>
              <w:jc w:val="center"/>
              <w:rPr>
                <w:szCs w:val="21"/>
              </w:rPr>
            </w:pPr>
          </w:p>
        </w:tc>
        <w:tc>
          <w:tcPr>
            <w:tcW w:w="3755" w:type="dxa"/>
            <w:tcBorders>
              <w:tl2br w:val="nil"/>
              <w:tr2bl w:val="nil"/>
            </w:tcBorders>
            <w:vAlign w:val="center"/>
          </w:tcPr>
          <w:p w14:paraId="0314F268">
            <w:pPr>
              <w:jc w:val="center"/>
              <w:rPr>
                <w:szCs w:val="21"/>
              </w:rPr>
            </w:pPr>
            <w:r>
              <w:rPr>
                <w:rFonts w:hint="eastAsia"/>
                <w:szCs w:val="21"/>
              </w:rPr>
              <w:t>废塑料再生利用项目应按功能划分</w:t>
            </w:r>
          </w:p>
          <w:p w14:paraId="55A435A7">
            <w:pPr>
              <w:jc w:val="center"/>
              <w:rPr>
                <w:szCs w:val="21"/>
              </w:rPr>
            </w:pPr>
            <w:r>
              <w:rPr>
                <w:rFonts w:hint="eastAsia"/>
                <w:szCs w:val="21"/>
              </w:rPr>
              <w:t>厂区，包括管理区、原料贮存区、生</w:t>
            </w:r>
          </w:p>
          <w:p w14:paraId="17AB3884">
            <w:pPr>
              <w:jc w:val="center"/>
              <w:rPr>
                <w:szCs w:val="21"/>
              </w:rPr>
            </w:pPr>
            <w:r>
              <w:rPr>
                <w:rFonts w:hint="eastAsia"/>
                <w:szCs w:val="21"/>
              </w:rPr>
              <w:t>产区、产品贮存区、不可利用废物的</w:t>
            </w:r>
          </w:p>
          <w:p w14:paraId="1EA3D933">
            <w:pPr>
              <w:jc w:val="center"/>
              <w:rPr>
                <w:szCs w:val="21"/>
              </w:rPr>
            </w:pPr>
            <w:r>
              <w:rPr>
                <w:rFonts w:hint="eastAsia"/>
                <w:szCs w:val="21"/>
              </w:rPr>
              <w:t>贮存和处理区等，各功能区应有明显</w:t>
            </w:r>
          </w:p>
          <w:p w14:paraId="0ED04AAE">
            <w:pPr>
              <w:jc w:val="center"/>
              <w:rPr>
                <w:szCs w:val="21"/>
              </w:rPr>
            </w:pPr>
            <w:r>
              <w:rPr>
                <w:rFonts w:hint="eastAsia"/>
                <w:szCs w:val="21"/>
              </w:rPr>
              <w:t>的界线或标识。</w:t>
            </w:r>
          </w:p>
        </w:tc>
        <w:tc>
          <w:tcPr>
            <w:tcW w:w="3606" w:type="dxa"/>
            <w:tcBorders>
              <w:tl2br w:val="nil"/>
              <w:tr2bl w:val="nil"/>
            </w:tcBorders>
            <w:vAlign w:val="center"/>
          </w:tcPr>
          <w:p w14:paraId="67CD9DD2">
            <w:pPr>
              <w:jc w:val="center"/>
              <w:rPr>
                <w:szCs w:val="21"/>
              </w:rPr>
            </w:pPr>
            <w:r>
              <w:rPr>
                <w:rFonts w:hint="eastAsia"/>
                <w:szCs w:val="21"/>
              </w:rPr>
              <w:t>应按功能划分厂区，不同区域有明显的界线或标识。</w:t>
            </w:r>
          </w:p>
          <w:p w14:paraId="562C6C5C">
            <w:pPr>
              <w:jc w:val="center"/>
              <w:rPr>
                <w:szCs w:val="21"/>
              </w:rPr>
            </w:pPr>
          </w:p>
        </w:tc>
        <w:tc>
          <w:tcPr>
            <w:tcW w:w="963" w:type="dxa"/>
            <w:tcBorders>
              <w:tl2br w:val="nil"/>
              <w:tr2bl w:val="nil"/>
            </w:tcBorders>
            <w:vAlign w:val="center"/>
          </w:tcPr>
          <w:p w14:paraId="0145F4EB">
            <w:pPr>
              <w:jc w:val="center"/>
              <w:rPr>
                <w:szCs w:val="21"/>
              </w:rPr>
            </w:pPr>
            <w:r>
              <w:rPr>
                <w:szCs w:val="21"/>
              </w:rPr>
              <w:t>符合</w:t>
            </w:r>
          </w:p>
        </w:tc>
      </w:tr>
      <w:tr w14:paraId="6CCE0A7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3" w:hRule="atLeast"/>
          <w:jc w:val="center"/>
        </w:trPr>
        <w:tc>
          <w:tcPr>
            <w:tcW w:w="714" w:type="dxa"/>
            <w:vMerge w:val="continue"/>
            <w:tcBorders>
              <w:tl2br w:val="nil"/>
              <w:tr2bl w:val="nil"/>
            </w:tcBorders>
            <w:vAlign w:val="center"/>
          </w:tcPr>
          <w:p w14:paraId="4AFFD9E2">
            <w:pPr>
              <w:jc w:val="center"/>
              <w:rPr>
                <w:szCs w:val="21"/>
              </w:rPr>
            </w:pPr>
          </w:p>
        </w:tc>
        <w:tc>
          <w:tcPr>
            <w:tcW w:w="3755" w:type="dxa"/>
            <w:tcBorders>
              <w:tl2br w:val="nil"/>
              <w:tr2bl w:val="nil"/>
            </w:tcBorders>
            <w:vAlign w:val="center"/>
          </w:tcPr>
          <w:p w14:paraId="5456860C">
            <w:pPr>
              <w:jc w:val="center"/>
              <w:rPr>
                <w:szCs w:val="21"/>
              </w:rPr>
            </w:pPr>
            <w:r>
              <w:rPr>
                <w:rFonts w:hint="eastAsia"/>
                <w:szCs w:val="21"/>
              </w:rPr>
              <w:t>新建和改扩建的废塑料再生利用企</w:t>
            </w:r>
          </w:p>
          <w:p w14:paraId="16615720">
            <w:pPr>
              <w:jc w:val="center"/>
              <w:rPr>
                <w:szCs w:val="21"/>
              </w:rPr>
            </w:pPr>
            <w:r>
              <w:rPr>
                <w:rFonts w:hint="eastAsia"/>
                <w:szCs w:val="21"/>
              </w:rPr>
              <w:t>业，应严格按照国家清洁生产相关规</w:t>
            </w:r>
          </w:p>
          <w:p w14:paraId="2F581528">
            <w:pPr>
              <w:jc w:val="center"/>
              <w:rPr>
                <w:szCs w:val="21"/>
              </w:rPr>
            </w:pPr>
            <w:r>
              <w:rPr>
                <w:rFonts w:hint="eastAsia"/>
                <w:szCs w:val="21"/>
              </w:rPr>
              <w:t>定等确定的生产工艺及设备指标、资</w:t>
            </w:r>
          </w:p>
          <w:p w14:paraId="613071A7">
            <w:pPr>
              <w:jc w:val="center"/>
              <w:rPr>
                <w:szCs w:val="21"/>
              </w:rPr>
            </w:pPr>
            <w:r>
              <w:rPr>
                <w:rFonts w:hint="eastAsia"/>
                <w:szCs w:val="21"/>
              </w:rPr>
              <w:t>源和能源消耗指标、资源综合利用指</w:t>
            </w:r>
          </w:p>
          <w:p w14:paraId="1A84F082">
            <w:pPr>
              <w:jc w:val="center"/>
              <w:rPr>
                <w:szCs w:val="21"/>
              </w:rPr>
            </w:pPr>
            <w:r>
              <w:rPr>
                <w:rFonts w:hint="eastAsia"/>
                <w:szCs w:val="21"/>
              </w:rPr>
              <w:t>标、产品特征指标、污染物产生指标</w:t>
            </w:r>
          </w:p>
          <w:p w14:paraId="790B60B9">
            <w:pPr>
              <w:jc w:val="center"/>
              <w:rPr>
                <w:szCs w:val="21"/>
              </w:rPr>
            </w:pPr>
            <w:r>
              <w:rPr>
                <w:rFonts w:hint="eastAsia"/>
                <w:szCs w:val="21"/>
              </w:rPr>
              <w:t>（末端处理前）、清洁生产管理指标等进行建设和生产。</w:t>
            </w:r>
          </w:p>
        </w:tc>
        <w:tc>
          <w:tcPr>
            <w:tcW w:w="3606" w:type="dxa"/>
            <w:tcBorders>
              <w:tl2br w:val="nil"/>
              <w:tr2bl w:val="nil"/>
            </w:tcBorders>
            <w:vAlign w:val="center"/>
          </w:tcPr>
          <w:p w14:paraId="448A8D92">
            <w:pPr>
              <w:jc w:val="center"/>
              <w:rPr>
                <w:szCs w:val="21"/>
              </w:rPr>
            </w:pPr>
            <w:r>
              <w:rPr>
                <w:rFonts w:hint="eastAsia"/>
                <w:szCs w:val="21"/>
              </w:rPr>
              <w:t>严格按照国家清洁生产相关规定等确定的生产工艺及设备指标、资源和能源消耗指标、资源综合利用指标、产品特征指标、污染物产生指标（末端处理前）、清洁生产管理指标等进行建设和生产。</w:t>
            </w:r>
          </w:p>
        </w:tc>
        <w:tc>
          <w:tcPr>
            <w:tcW w:w="963" w:type="dxa"/>
            <w:tcBorders>
              <w:tl2br w:val="nil"/>
              <w:tr2bl w:val="nil"/>
            </w:tcBorders>
            <w:vAlign w:val="center"/>
          </w:tcPr>
          <w:p w14:paraId="1265F754">
            <w:pPr>
              <w:jc w:val="center"/>
              <w:rPr>
                <w:szCs w:val="21"/>
              </w:rPr>
            </w:pPr>
            <w:r>
              <w:rPr>
                <w:szCs w:val="21"/>
              </w:rPr>
              <w:t>符合</w:t>
            </w:r>
          </w:p>
        </w:tc>
      </w:tr>
      <w:tr w14:paraId="542788C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27" w:hRule="atLeast"/>
          <w:jc w:val="center"/>
        </w:trPr>
        <w:tc>
          <w:tcPr>
            <w:tcW w:w="714" w:type="dxa"/>
            <w:vMerge w:val="continue"/>
            <w:tcBorders>
              <w:tl2br w:val="nil"/>
              <w:tr2bl w:val="nil"/>
            </w:tcBorders>
            <w:vAlign w:val="center"/>
          </w:tcPr>
          <w:p w14:paraId="37742C81">
            <w:pPr>
              <w:jc w:val="center"/>
              <w:rPr>
                <w:szCs w:val="21"/>
              </w:rPr>
            </w:pPr>
          </w:p>
        </w:tc>
        <w:tc>
          <w:tcPr>
            <w:tcW w:w="3755" w:type="dxa"/>
            <w:tcBorders>
              <w:tl2br w:val="nil"/>
              <w:tr2bl w:val="nil"/>
            </w:tcBorders>
            <w:vAlign w:val="center"/>
          </w:tcPr>
          <w:p w14:paraId="7EDC3065">
            <w:pPr>
              <w:jc w:val="center"/>
              <w:rPr>
                <w:szCs w:val="21"/>
              </w:rPr>
            </w:pPr>
            <w:r>
              <w:rPr>
                <w:rFonts w:hint="eastAsia"/>
                <w:szCs w:val="21"/>
              </w:rPr>
              <w:t>实施强制性清洁生产审核的废塑料</w:t>
            </w:r>
          </w:p>
          <w:p w14:paraId="6039833B">
            <w:pPr>
              <w:jc w:val="center"/>
              <w:rPr>
                <w:szCs w:val="21"/>
              </w:rPr>
            </w:pPr>
            <w:r>
              <w:rPr>
                <w:rFonts w:hint="eastAsia"/>
                <w:szCs w:val="21"/>
              </w:rPr>
              <w:t>再生利用企业，应按照《清洁生产审</w:t>
            </w:r>
          </w:p>
          <w:p w14:paraId="196C680B">
            <w:pPr>
              <w:jc w:val="center"/>
              <w:rPr>
                <w:szCs w:val="21"/>
              </w:rPr>
            </w:pPr>
            <w:r>
              <w:rPr>
                <w:rFonts w:hint="eastAsia"/>
                <w:szCs w:val="21"/>
              </w:rPr>
              <w:t>核办法》的要求开展清洁生产审核，</w:t>
            </w:r>
          </w:p>
          <w:p w14:paraId="6EE04044">
            <w:pPr>
              <w:jc w:val="center"/>
              <w:rPr>
                <w:szCs w:val="21"/>
              </w:rPr>
            </w:pPr>
            <w:r>
              <w:rPr>
                <w:rFonts w:hint="eastAsia"/>
                <w:szCs w:val="21"/>
              </w:rPr>
              <w:t>逐步淘汰技术落后、能耗高、资源综</w:t>
            </w:r>
          </w:p>
          <w:p w14:paraId="2C0E5B7A">
            <w:pPr>
              <w:jc w:val="center"/>
              <w:rPr>
                <w:szCs w:val="21"/>
              </w:rPr>
            </w:pPr>
            <w:r>
              <w:rPr>
                <w:rFonts w:hint="eastAsia"/>
                <w:szCs w:val="21"/>
              </w:rPr>
              <w:t>合利用率低和环境污染严重的工艺和设备。</w:t>
            </w:r>
          </w:p>
        </w:tc>
        <w:tc>
          <w:tcPr>
            <w:tcW w:w="3606" w:type="dxa"/>
            <w:tcBorders>
              <w:tl2br w:val="nil"/>
              <w:tr2bl w:val="nil"/>
            </w:tcBorders>
            <w:vAlign w:val="center"/>
          </w:tcPr>
          <w:p w14:paraId="3DD82B04">
            <w:pPr>
              <w:jc w:val="center"/>
              <w:rPr>
                <w:szCs w:val="21"/>
              </w:rPr>
            </w:pPr>
            <w:r>
              <w:rPr>
                <w:rFonts w:hint="eastAsia"/>
                <w:szCs w:val="21"/>
              </w:rPr>
              <w:t>不属于强制性清洁生产审核的废塑料再生利用企业。</w:t>
            </w:r>
          </w:p>
          <w:p w14:paraId="28F70E2C">
            <w:pPr>
              <w:jc w:val="center"/>
              <w:rPr>
                <w:szCs w:val="21"/>
              </w:rPr>
            </w:pPr>
          </w:p>
        </w:tc>
        <w:tc>
          <w:tcPr>
            <w:tcW w:w="963" w:type="dxa"/>
            <w:tcBorders>
              <w:tl2br w:val="nil"/>
              <w:tr2bl w:val="nil"/>
            </w:tcBorders>
            <w:vAlign w:val="center"/>
          </w:tcPr>
          <w:p w14:paraId="28E78008">
            <w:pPr>
              <w:jc w:val="center"/>
              <w:rPr>
                <w:szCs w:val="21"/>
              </w:rPr>
            </w:pPr>
            <w:r>
              <w:rPr>
                <w:szCs w:val="21"/>
              </w:rPr>
              <w:t>符合</w:t>
            </w:r>
          </w:p>
        </w:tc>
      </w:tr>
      <w:tr w14:paraId="61DEDD2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011" w:hRule="atLeast"/>
          <w:jc w:val="center"/>
        </w:trPr>
        <w:tc>
          <w:tcPr>
            <w:tcW w:w="714" w:type="dxa"/>
            <w:vMerge w:val="continue"/>
            <w:tcBorders>
              <w:tl2br w:val="nil"/>
              <w:tr2bl w:val="nil"/>
            </w:tcBorders>
            <w:vAlign w:val="center"/>
          </w:tcPr>
          <w:p w14:paraId="0BB6F3EB">
            <w:pPr>
              <w:jc w:val="center"/>
              <w:rPr>
                <w:szCs w:val="21"/>
              </w:rPr>
            </w:pPr>
          </w:p>
        </w:tc>
        <w:tc>
          <w:tcPr>
            <w:tcW w:w="3755" w:type="dxa"/>
            <w:tcBorders>
              <w:tl2br w:val="nil"/>
              <w:tr2bl w:val="nil"/>
            </w:tcBorders>
            <w:vAlign w:val="center"/>
          </w:tcPr>
          <w:p w14:paraId="04B825A3">
            <w:pPr>
              <w:jc w:val="center"/>
              <w:rPr>
                <w:szCs w:val="21"/>
              </w:rPr>
            </w:pPr>
            <w:r>
              <w:rPr>
                <w:rFonts w:hint="eastAsia"/>
                <w:szCs w:val="21"/>
              </w:rPr>
              <w:t>废塑料的再生利用企业，应积极推</w:t>
            </w:r>
          </w:p>
          <w:p w14:paraId="27889896">
            <w:pPr>
              <w:jc w:val="center"/>
              <w:rPr>
                <w:szCs w:val="21"/>
              </w:rPr>
            </w:pPr>
            <w:r>
              <w:rPr>
                <w:rFonts w:hint="eastAsia"/>
                <w:szCs w:val="21"/>
              </w:rPr>
              <w:t>进工艺、技术和设备提升改造，积极</w:t>
            </w:r>
          </w:p>
          <w:p w14:paraId="3E527913">
            <w:pPr>
              <w:jc w:val="center"/>
              <w:rPr>
                <w:szCs w:val="21"/>
              </w:rPr>
            </w:pPr>
            <w:r>
              <w:rPr>
                <w:rFonts w:hint="eastAsia"/>
                <w:szCs w:val="21"/>
              </w:rPr>
              <w:t>应用先进的清洁生产技术。</w:t>
            </w:r>
          </w:p>
        </w:tc>
        <w:tc>
          <w:tcPr>
            <w:tcW w:w="3606" w:type="dxa"/>
            <w:tcBorders>
              <w:tl2br w:val="nil"/>
              <w:tr2bl w:val="nil"/>
            </w:tcBorders>
            <w:vAlign w:val="center"/>
          </w:tcPr>
          <w:p w14:paraId="7CFBABC9">
            <w:pPr>
              <w:jc w:val="center"/>
              <w:rPr>
                <w:szCs w:val="21"/>
              </w:rPr>
            </w:pPr>
            <w:r>
              <w:rPr>
                <w:rFonts w:hint="eastAsia"/>
                <w:szCs w:val="21"/>
              </w:rPr>
              <w:t>采用节能节水的工艺技术。</w:t>
            </w:r>
          </w:p>
        </w:tc>
        <w:tc>
          <w:tcPr>
            <w:tcW w:w="963" w:type="dxa"/>
            <w:tcBorders>
              <w:tl2br w:val="nil"/>
              <w:tr2bl w:val="nil"/>
            </w:tcBorders>
            <w:vAlign w:val="center"/>
          </w:tcPr>
          <w:p w14:paraId="5DFA2EB6">
            <w:pPr>
              <w:jc w:val="center"/>
              <w:rPr>
                <w:szCs w:val="21"/>
              </w:rPr>
            </w:pPr>
            <w:r>
              <w:rPr>
                <w:szCs w:val="21"/>
              </w:rPr>
              <w:t>符合</w:t>
            </w:r>
          </w:p>
        </w:tc>
      </w:tr>
      <w:tr w14:paraId="6FA9F2F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011" w:hRule="atLeast"/>
          <w:jc w:val="center"/>
        </w:trPr>
        <w:tc>
          <w:tcPr>
            <w:tcW w:w="714" w:type="dxa"/>
            <w:vMerge w:val="continue"/>
            <w:tcBorders>
              <w:tl2br w:val="nil"/>
              <w:tr2bl w:val="nil"/>
            </w:tcBorders>
            <w:vAlign w:val="center"/>
          </w:tcPr>
          <w:p w14:paraId="3DD6DD43">
            <w:pPr>
              <w:jc w:val="center"/>
              <w:rPr>
                <w:szCs w:val="21"/>
              </w:rPr>
            </w:pPr>
          </w:p>
        </w:tc>
        <w:tc>
          <w:tcPr>
            <w:tcW w:w="3755" w:type="dxa"/>
            <w:tcBorders>
              <w:tl2br w:val="nil"/>
              <w:tr2bl w:val="nil"/>
            </w:tcBorders>
            <w:vAlign w:val="center"/>
          </w:tcPr>
          <w:p w14:paraId="76F320BD">
            <w:pPr>
              <w:jc w:val="center"/>
              <w:rPr>
                <w:szCs w:val="21"/>
              </w:rPr>
            </w:pPr>
            <w:r>
              <w:rPr>
                <w:rFonts w:hint="eastAsia"/>
                <w:szCs w:val="21"/>
              </w:rPr>
              <w:t>废塑料的再生利用和处置企业，应</w:t>
            </w:r>
          </w:p>
          <w:p w14:paraId="683BE4D9">
            <w:pPr>
              <w:jc w:val="center"/>
              <w:rPr>
                <w:szCs w:val="21"/>
              </w:rPr>
            </w:pPr>
            <w:r>
              <w:rPr>
                <w:rFonts w:hint="eastAsia"/>
                <w:szCs w:val="21"/>
              </w:rPr>
              <w:t>按照排污许可证、HJ819 以及本标准</w:t>
            </w:r>
          </w:p>
          <w:p w14:paraId="5CC75224">
            <w:pPr>
              <w:jc w:val="center"/>
              <w:rPr>
                <w:szCs w:val="21"/>
              </w:rPr>
            </w:pPr>
            <w:r>
              <w:rPr>
                <w:rFonts w:hint="eastAsia"/>
                <w:szCs w:val="21"/>
              </w:rPr>
              <w:t>的要求，制定自行监测方案，对废塑</w:t>
            </w:r>
          </w:p>
          <w:p w14:paraId="65A70BD6">
            <w:pPr>
              <w:jc w:val="center"/>
              <w:rPr>
                <w:szCs w:val="21"/>
              </w:rPr>
            </w:pPr>
            <w:r>
              <w:rPr>
                <w:rFonts w:hint="eastAsia"/>
                <w:szCs w:val="21"/>
              </w:rPr>
              <w:t>料的利用处置过程污染物排放状况及周边环境质量的影响开展自行监测，保存原始监测记录，并依规进行信息公开。</w:t>
            </w:r>
          </w:p>
        </w:tc>
        <w:tc>
          <w:tcPr>
            <w:tcW w:w="3606" w:type="dxa"/>
            <w:tcBorders>
              <w:tl2br w:val="nil"/>
              <w:tr2bl w:val="nil"/>
            </w:tcBorders>
            <w:vAlign w:val="center"/>
          </w:tcPr>
          <w:p w14:paraId="029F2E20">
            <w:pPr>
              <w:jc w:val="center"/>
              <w:rPr>
                <w:szCs w:val="21"/>
              </w:rPr>
            </w:pPr>
            <w:r>
              <w:rPr>
                <w:rFonts w:hint="eastAsia"/>
                <w:szCs w:val="21"/>
              </w:rPr>
              <w:t>按照排污许可证、HJ819以及本标准的要求，制定自行监测方案，对废塑料的利用处置过程污染物排放状况及周边环境质量的影响开展自行监测，保存原始监测记录，并依规进行信息公开。</w:t>
            </w:r>
          </w:p>
        </w:tc>
        <w:tc>
          <w:tcPr>
            <w:tcW w:w="963" w:type="dxa"/>
            <w:tcBorders>
              <w:tl2br w:val="nil"/>
              <w:tr2bl w:val="nil"/>
            </w:tcBorders>
            <w:vAlign w:val="center"/>
          </w:tcPr>
          <w:p w14:paraId="2FB93819">
            <w:pPr>
              <w:jc w:val="center"/>
              <w:rPr>
                <w:szCs w:val="21"/>
              </w:rPr>
            </w:pPr>
            <w:r>
              <w:rPr>
                <w:szCs w:val="21"/>
              </w:rPr>
              <w:t>符合</w:t>
            </w:r>
          </w:p>
        </w:tc>
      </w:tr>
      <w:tr w14:paraId="44CE2DC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011" w:hRule="atLeast"/>
          <w:jc w:val="center"/>
        </w:trPr>
        <w:tc>
          <w:tcPr>
            <w:tcW w:w="714" w:type="dxa"/>
            <w:vMerge w:val="continue"/>
            <w:tcBorders>
              <w:tl2br w:val="nil"/>
              <w:tr2bl w:val="nil"/>
            </w:tcBorders>
            <w:vAlign w:val="center"/>
          </w:tcPr>
          <w:p w14:paraId="65DA12EA">
            <w:pPr>
              <w:jc w:val="center"/>
              <w:rPr>
                <w:szCs w:val="21"/>
              </w:rPr>
            </w:pPr>
          </w:p>
        </w:tc>
        <w:tc>
          <w:tcPr>
            <w:tcW w:w="3755" w:type="dxa"/>
            <w:tcBorders>
              <w:tl2br w:val="nil"/>
              <w:tr2bl w:val="nil"/>
            </w:tcBorders>
            <w:vAlign w:val="center"/>
          </w:tcPr>
          <w:p w14:paraId="7A149583">
            <w:pPr>
              <w:jc w:val="center"/>
              <w:rPr>
                <w:szCs w:val="21"/>
              </w:rPr>
            </w:pPr>
            <w:r>
              <w:rPr>
                <w:rFonts w:hint="eastAsia"/>
                <w:szCs w:val="21"/>
              </w:rPr>
              <w:t>不同污染物的采样监测方法和频次</w:t>
            </w:r>
          </w:p>
          <w:p w14:paraId="02B8C21F">
            <w:pPr>
              <w:jc w:val="center"/>
              <w:rPr>
                <w:szCs w:val="21"/>
              </w:rPr>
            </w:pPr>
            <w:r>
              <w:rPr>
                <w:rFonts w:hint="eastAsia"/>
                <w:szCs w:val="21"/>
              </w:rPr>
              <w:t>执行相关国家和行业标准，保留监测</w:t>
            </w:r>
          </w:p>
          <w:p w14:paraId="04FBD8BC">
            <w:pPr>
              <w:jc w:val="center"/>
              <w:rPr>
                <w:szCs w:val="21"/>
              </w:rPr>
            </w:pPr>
            <w:r>
              <w:rPr>
                <w:rFonts w:hint="eastAsia"/>
                <w:szCs w:val="21"/>
              </w:rPr>
              <w:t>记录以及特殊情况记录。</w:t>
            </w:r>
          </w:p>
        </w:tc>
        <w:tc>
          <w:tcPr>
            <w:tcW w:w="3606" w:type="dxa"/>
            <w:tcBorders>
              <w:tl2br w:val="nil"/>
              <w:tr2bl w:val="nil"/>
            </w:tcBorders>
            <w:vAlign w:val="center"/>
          </w:tcPr>
          <w:p w14:paraId="4CB663FD">
            <w:pPr>
              <w:jc w:val="center"/>
              <w:rPr>
                <w:szCs w:val="21"/>
              </w:rPr>
            </w:pPr>
            <w:r>
              <w:rPr>
                <w:rFonts w:hint="eastAsia"/>
                <w:szCs w:val="21"/>
              </w:rPr>
              <w:t>产生的不同污染物的采样监测方法和频次依据相关国家和行业标准，并保留监测记录以及特殊情况记录。</w:t>
            </w:r>
          </w:p>
        </w:tc>
        <w:tc>
          <w:tcPr>
            <w:tcW w:w="963" w:type="dxa"/>
            <w:tcBorders>
              <w:tl2br w:val="nil"/>
              <w:tr2bl w:val="nil"/>
            </w:tcBorders>
            <w:vAlign w:val="center"/>
          </w:tcPr>
          <w:p w14:paraId="0C26BA85">
            <w:pPr>
              <w:jc w:val="center"/>
              <w:rPr>
                <w:szCs w:val="21"/>
              </w:rPr>
            </w:pPr>
            <w:r>
              <w:rPr>
                <w:szCs w:val="21"/>
              </w:rPr>
              <w:t>符合</w:t>
            </w:r>
          </w:p>
        </w:tc>
      </w:tr>
      <w:tr w14:paraId="1D50138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03" w:hRule="atLeast"/>
          <w:jc w:val="center"/>
        </w:trPr>
        <w:tc>
          <w:tcPr>
            <w:tcW w:w="714" w:type="dxa"/>
            <w:vMerge w:val="restart"/>
            <w:tcBorders>
              <w:tl2br w:val="nil"/>
              <w:tr2bl w:val="nil"/>
            </w:tcBorders>
            <w:vAlign w:val="center"/>
          </w:tcPr>
          <w:p w14:paraId="34BFCEC4">
            <w:pPr>
              <w:jc w:val="center"/>
              <w:rPr>
                <w:szCs w:val="21"/>
              </w:rPr>
            </w:pPr>
            <w:r>
              <w:rPr>
                <w:rFonts w:hint="eastAsia"/>
                <w:szCs w:val="21"/>
              </w:rPr>
              <w:t>产生环节</w:t>
            </w:r>
            <w:r>
              <w:rPr>
                <w:szCs w:val="21"/>
              </w:rPr>
              <w:t>污染控制要求</w:t>
            </w:r>
          </w:p>
        </w:tc>
        <w:tc>
          <w:tcPr>
            <w:tcW w:w="3755" w:type="dxa"/>
            <w:tcBorders>
              <w:tl2br w:val="nil"/>
              <w:tr2bl w:val="nil"/>
            </w:tcBorders>
            <w:vAlign w:val="center"/>
          </w:tcPr>
          <w:p w14:paraId="3D6BFF02">
            <w:pPr>
              <w:jc w:val="center"/>
              <w:rPr>
                <w:szCs w:val="21"/>
              </w:rPr>
            </w:pPr>
            <w:r>
              <w:rPr>
                <w:szCs w:val="21"/>
              </w:rPr>
              <w:t>预处理、再生利用过程中产生的废气，企业应有集气装置收集，经净化处理的废气排放应按企业所在环境功能区类别，应执行GB16297和GB14554；重点控制的污染物包括颗粒物、氟化物、汞、铬、铅、苯、甲苯、酚类、苯胺类、光气、恶臭。</w:t>
            </w:r>
          </w:p>
        </w:tc>
        <w:tc>
          <w:tcPr>
            <w:tcW w:w="3606" w:type="dxa"/>
            <w:tcBorders>
              <w:tl2br w:val="nil"/>
              <w:tr2bl w:val="nil"/>
            </w:tcBorders>
            <w:vAlign w:val="center"/>
          </w:tcPr>
          <w:p w14:paraId="7322C657">
            <w:pPr>
              <w:jc w:val="center"/>
              <w:rPr>
                <w:szCs w:val="21"/>
              </w:rPr>
            </w:pPr>
            <w:r>
              <w:rPr>
                <w:szCs w:val="21"/>
              </w:rPr>
              <w:t>熔融挤出工序产生的非甲烷总烃经集气罩收集后</w:t>
            </w:r>
            <w:r>
              <w:rPr>
                <w:rFonts w:hint="eastAsia"/>
                <w:szCs w:val="21"/>
              </w:rPr>
              <w:t>，</w:t>
            </w:r>
            <w:r>
              <w:rPr>
                <w:szCs w:val="21"/>
              </w:rPr>
              <w:t>经</w:t>
            </w:r>
            <w:r>
              <w:rPr>
                <w:rFonts w:hint="eastAsia"/>
                <w:szCs w:val="21"/>
              </w:rPr>
              <w:t>1套</w:t>
            </w:r>
            <w:r>
              <w:rPr>
                <w:rFonts w:hint="eastAsia"/>
                <w:szCs w:val="21"/>
                <w:lang w:eastAsia="zh-CN"/>
              </w:rPr>
              <w:t>活性炭浓缩吸附+催化燃烧</w:t>
            </w:r>
            <w:r>
              <w:rPr>
                <w:rFonts w:hint="eastAsia"/>
                <w:szCs w:val="21"/>
              </w:rPr>
              <w:t>系统</w:t>
            </w:r>
            <w:r>
              <w:rPr>
                <w:szCs w:val="21"/>
              </w:rPr>
              <w:t>进行处理，最终通过</w:t>
            </w:r>
            <w:r>
              <w:rPr>
                <w:rFonts w:hint="eastAsia"/>
                <w:szCs w:val="21"/>
              </w:rPr>
              <w:t>15m高</w:t>
            </w:r>
            <w:r>
              <w:rPr>
                <w:szCs w:val="21"/>
              </w:rPr>
              <w:t>排气筒排放。非甲烷总烃的排放满足相关标准要求。</w:t>
            </w:r>
          </w:p>
        </w:tc>
        <w:tc>
          <w:tcPr>
            <w:tcW w:w="963" w:type="dxa"/>
            <w:tcBorders>
              <w:tl2br w:val="nil"/>
              <w:tr2bl w:val="nil"/>
            </w:tcBorders>
            <w:vAlign w:val="center"/>
          </w:tcPr>
          <w:p w14:paraId="181FF6E9">
            <w:pPr>
              <w:jc w:val="center"/>
              <w:rPr>
                <w:szCs w:val="21"/>
              </w:rPr>
            </w:pPr>
            <w:r>
              <w:rPr>
                <w:szCs w:val="21"/>
              </w:rPr>
              <w:t>符合</w:t>
            </w:r>
          </w:p>
        </w:tc>
      </w:tr>
      <w:tr w14:paraId="3642C38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310" w:hRule="atLeast"/>
          <w:jc w:val="center"/>
        </w:trPr>
        <w:tc>
          <w:tcPr>
            <w:tcW w:w="714" w:type="dxa"/>
            <w:vMerge w:val="continue"/>
            <w:tcBorders>
              <w:tl2br w:val="nil"/>
              <w:tr2bl w:val="nil"/>
            </w:tcBorders>
            <w:vAlign w:val="center"/>
          </w:tcPr>
          <w:p w14:paraId="2408DA96">
            <w:pPr>
              <w:jc w:val="center"/>
              <w:rPr>
                <w:szCs w:val="21"/>
              </w:rPr>
            </w:pPr>
          </w:p>
        </w:tc>
        <w:tc>
          <w:tcPr>
            <w:tcW w:w="3755" w:type="dxa"/>
            <w:tcBorders>
              <w:tl2br w:val="nil"/>
              <w:tr2bl w:val="nil"/>
            </w:tcBorders>
            <w:vAlign w:val="center"/>
          </w:tcPr>
          <w:p w14:paraId="02B6721B">
            <w:pPr>
              <w:jc w:val="center"/>
              <w:rPr>
                <w:szCs w:val="21"/>
              </w:rPr>
            </w:pPr>
            <w:r>
              <w:rPr>
                <w:szCs w:val="21"/>
              </w:rPr>
              <w:t>废塑料预处理、再生利用等过程中产生的废水和厂区产生的生活废水，企业应有配套的废水收集设施。废水宜在厂区内处理并循环利用。</w:t>
            </w:r>
          </w:p>
        </w:tc>
        <w:tc>
          <w:tcPr>
            <w:tcW w:w="3606" w:type="dxa"/>
            <w:tcBorders>
              <w:tl2br w:val="nil"/>
              <w:tr2bl w:val="nil"/>
            </w:tcBorders>
            <w:vAlign w:val="center"/>
          </w:tcPr>
          <w:p w14:paraId="2C441F78">
            <w:pPr>
              <w:jc w:val="center"/>
              <w:rPr>
                <w:szCs w:val="21"/>
              </w:rPr>
            </w:pPr>
            <w:r>
              <w:rPr>
                <w:rFonts w:hint="eastAsia"/>
                <w:szCs w:val="21"/>
              </w:rPr>
              <w:t>不产生清洗废水</w:t>
            </w:r>
            <w:r>
              <w:rPr>
                <w:szCs w:val="21"/>
              </w:rPr>
              <w:t>；生活污水</w:t>
            </w:r>
            <w:r>
              <w:rPr>
                <w:rFonts w:hint="eastAsia"/>
                <w:szCs w:val="21"/>
              </w:rPr>
              <w:t>依托现有防渗</w:t>
            </w:r>
            <w:r>
              <w:rPr>
                <w:rFonts w:hint="eastAsia"/>
                <w:szCs w:val="21"/>
                <w:lang w:val="en-US" w:eastAsia="zh-CN"/>
              </w:rPr>
              <w:t>化粪池</w:t>
            </w:r>
            <w:r>
              <w:rPr>
                <w:rFonts w:hint="eastAsia"/>
                <w:szCs w:val="21"/>
              </w:rPr>
              <w:t>，定期由库尔勒龙润水处理有限公司采用罐车拉运至库尔勒南市区污水处理厂</w:t>
            </w:r>
          </w:p>
        </w:tc>
        <w:tc>
          <w:tcPr>
            <w:tcW w:w="963" w:type="dxa"/>
            <w:tcBorders>
              <w:tl2br w:val="nil"/>
              <w:tr2bl w:val="nil"/>
            </w:tcBorders>
            <w:vAlign w:val="center"/>
          </w:tcPr>
          <w:p w14:paraId="4C781823">
            <w:pPr>
              <w:jc w:val="center"/>
              <w:rPr>
                <w:szCs w:val="21"/>
              </w:rPr>
            </w:pPr>
            <w:r>
              <w:rPr>
                <w:szCs w:val="21"/>
              </w:rPr>
              <w:t>符合</w:t>
            </w:r>
          </w:p>
        </w:tc>
      </w:tr>
      <w:tr w14:paraId="4361D6B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714" w:type="dxa"/>
            <w:vMerge w:val="continue"/>
            <w:tcBorders>
              <w:tl2br w:val="nil"/>
              <w:tr2bl w:val="nil"/>
            </w:tcBorders>
            <w:vAlign w:val="center"/>
          </w:tcPr>
          <w:p w14:paraId="3A537FC3">
            <w:pPr>
              <w:jc w:val="center"/>
              <w:rPr>
                <w:szCs w:val="21"/>
              </w:rPr>
            </w:pPr>
          </w:p>
        </w:tc>
        <w:tc>
          <w:tcPr>
            <w:tcW w:w="3755" w:type="dxa"/>
            <w:tcBorders>
              <w:tl2br w:val="nil"/>
              <w:tr2bl w:val="nil"/>
            </w:tcBorders>
            <w:vAlign w:val="center"/>
          </w:tcPr>
          <w:p w14:paraId="30592964">
            <w:pPr>
              <w:jc w:val="center"/>
              <w:rPr>
                <w:szCs w:val="21"/>
              </w:rPr>
            </w:pPr>
            <w:r>
              <w:rPr>
                <w:szCs w:val="21"/>
              </w:rPr>
              <w:t>预处理和再生利用过程中应控制噪声污染，排放噪声应符合GB12348的要求。</w:t>
            </w:r>
          </w:p>
        </w:tc>
        <w:tc>
          <w:tcPr>
            <w:tcW w:w="3606" w:type="dxa"/>
            <w:tcBorders>
              <w:tl2br w:val="nil"/>
              <w:tr2bl w:val="nil"/>
            </w:tcBorders>
            <w:vAlign w:val="center"/>
          </w:tcPr>
          <w:p w14:paraId="6795BB17">
            <w:pPr>
              <w:jc w:val="center"/>
              <w:rPr>
                <w:szCs w:val="21"/>
              </w:rPr>
            </w:pPr>
            <w:r>
              <w:rPr>
                <w:szCs w:val="21"/>
              </w:rPr>
              <w:t>通过选用低噪声、低振动设备，合理布局，采取减振、消声等降噪处理，厂界噪声满足标准要求。</w:t>
            </w:r>
          </w:p>
        </w:tc>
        <w:tc>
          <w:tcPr>
            <w:tcW w:w="963" w:type="dxa"/>
            <w:tcBorders>
              <w:tl2br w:val="nil"/>
              <w:tr2bl w:val="nil"/>
            </w:tcBorders>
            <w:vAlign w:val="center"/>
          </w:tcPr>
          <w:p w14:paraId="7637526B">
            <w:pPr>
              <w:jc w:val="center"/>
              <w:rPr>
                <w:szCs w:val="21"/>
              </w:rPr>
            </w:pPr>
            <w:r>
              <w:rPr>
                <w:szCs w:val="21"/>
              </w:rPr>
              <w:t>符合</w:t>
            </w:r>
          </w:p>
        </w:tc>
      </w:tr>
      <w:tr w14:paraId="3B6DFFE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626" w:hRule="atLeast"/>
          <w:jc w:val="center"/>
        </w:trPr>
        <w:tc>
          <w:tcPr>
            <w:tcW w:w="714" w:type="dxa"/>
            <w:vMerge w:val="continue"/>
            <w:tcBorders>
              <w:tl2br w:val="nil"/>
              <w:tr2bl w:val="nil"/>
            </w:tcBorders>
            <w:vAlign w:val="center"/>
          </w:tcPr>
          <w:p w14:paraId="1B782B3D">
            <w:pPr>
              <w:jc w:val="center"/>
              <w:rPr>
                <w:szCs w:val="21"/>
              </w:rPr>
            </w:pPr>
          </w:p>
        </w:tc>
        <w:tc>
          <w:tcPr>
            <w:tcW w:w="3755" w:type="dxa"/>
            <w:tcBorders>
              <w:tl2br w:val="nil"/>
              <w:tr2bl w:val="nil"/>
            </w:tcBorders>
            <w:vAlign w:val="center"/>
          </w:tcPr>
          <w:p w14:paraId="6C1F926F">
            <w:pPr>
              <w:jc w:val="center"/>
              <w:rPr>
                <w:szCs w:val="21"/>
              </w:rPr>
            </w:pPr>
            <w:r>
              <w:rPr>
                <w:szCs w:val="21"/>
              </w:rPr>
              <w:t>废塑料预处理、再生利用过程中产生的固体废物，包括分选出的不宜再生利用的废塑料，应按工业固体废物处置，并执行相关环境保护标准。</w:t>
            </w:r>
          </w:p>
        </w:tc>
        <w:tc>
          <w:tcPr>
            <w:tcW w:w="3606" w:type="dxa"/>
            <w:tcBorders>
              <w:tl2br w:val="nil"/>
              <w:tr2bl w:val="nil"/>
            </w:tcBorders>
            <w:vAlign w:val="center"/>
          </w:tcPr>
          <w:p w14:paraId="12418CE9">
            <w:pPr>
              <w:jc w:val="center"/>
              <w:rPr>
                <w:szCs w:val="21"/>
              </w:rPr>
            </w:pPr>
            <w:r>
              <w:rPr>
                <w:rFonts w:hint="eastAsia"/>
                <w:szCs w:val="21"/>
              </w:rPr>
              <w:t>产生的固体废物分类收集、处理。其中生活垃圾集中收集后交由环卫部门处置；不合格产品、残次品及边角料送至厂房重新造粒。</w:t>
            </w:r>
          </w:p>
        </w:tc>
        <w:tc>
          <w:tcPr>
            <w:tcW w:w="963" w:type="dxa"/>
            <w:tcBorders>
              <w:tl2br w:val="nil"/>
              <w:tr2bl w:val="nil"/>
            </w:tcBorders>
            <w:vAlign w:val="center"/>
          </w:tcPr>
          <w:p w14:paraId="77C77F5D">
            <w:pPr>
              <w:jc w:val="center"/>
              <w:rPr>
                <w:szCs w:val="21"/>
              </w:rPr>
            </w:pPr>
            <w:r>
              <w:rPr>
                <w:szCs w:val="21"/>
              </w:rPr>
              <w:t>符合</w:t>
            </w:r>
          </w:p>
        </w:tc>
      </w:tr>
    </w:tbl>
    <w:p w14:paraId="05FE4690">
      <w:pPr>
        <w:pStyle w:val="5"/>
        <w:rPr>
          <w:rFonts w:ascii="Times New Roman" w:hAnsi="Times New Roman"/>
          <w:color w:val="000000"/>
          <w:lang w:val="en-US"/>
        </w:rPr>
      </w:pPr>
      <w:r>
        <w:rPr>
          <w:rFonts w:hint="eastAsia" w:ascii="Times New Roman" w:hAnsi="Times New Roman"/>
          <w:color w:val="000000"/>
          <w:lang w:val="en-US"/>
        </w:rPr>
        <w:t>2.9.2.6与《废塑料加工利用污染防治管理规定》的相符性分析</w:t>
      </w:r>
    </w:p>
    <w:p w14:paraId="06E5C467">
      <w:pPr>
        <w:widowControl/>
        <w:spacing w:line="360" w:lineRule="auto"/>
        <w:ind w:firstLine="480" w:firstLineChars="200"/>
        <w:rPr>
          <w:rFonts w:hint="eastAsia" w:ascii="宋体" w:hAnsi="宋体" w:cs="宋体"/>
          <w:sz w:val="24"/>
          <w:szCs w:val="24"/>
        </w:rPr>
      </w:pPr>
      <w:r>
        <w:rPr>
          <w:rFonts w:hint="eastAsia" w:ascii="宋体" w:hAnsi="宋体" w:cs="宋体"/>
          <w:sz w:val="24"/>
          <w:szCs w:val="24"/>
          <w:lang w:bidi="ar"/>
        </w:rPr>
        <w:t>本项目与《废塑料加工利用污染防治管理规定》相符性分析详见表2.9-5。</w:t>
      </w:r>
    </w:p>
    <w:p w14:paraId="37AC5ED6">
      <w:pPr>
        <w:widowControl/>
        <w:autoSpaceDE w:val="0"/>
        <w:autoSpaceDN w:val="0"/>
        <w:jc w:val="center"/>
        <w:rPr>
          <w:rFonts w:cs="宋体"/>
          <w:b/>
          <w:bCs/>
          <w:kern w:val="0"/>
          <w:szCs w:val="21"/>
          <w:lang w:bidi="zh-CN"/>
        </w:rPr>
      </w:pPr>
      <w:r>
        <w:rPr>
          <w:rFonts w:hint="eastAsia" w:cs="宋体"/>
          <w:b/>
          <w:bCs/>
          <w:kern w:val="0"/>
          <w:szCs w:val="21"/>
          <w:lang w:bidi="zh-CN"/>
        </w:rPr>
        <w:t>表2.9-5      与《废塑料加工利用污染防治管理规定》符合性分析</w:t>
      </w:r>
    </w:p>
    <w:tbl>
      <w:tblPr>
        <w:tblStyle w:val="49"/>
        <w:tblW w:w="5021" w:type="pct"/>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0" w:type="dxa"/>
          <w:bottom w:w="0" w:type="dxa"/>
          <w:right w:w="0" w:type="dxa"/>
        </w:tblCellMar>
      </w:tblPr>
      <w:tblGrid>
        <w:gridCol w:w="597"/>
        <w:gridCol w:w="4095"/>
        <w:gridCol w:w="3142"/>
        <w:gridCol w:w="1249"/>
      </w:tblGrid>
      <w:tr w14:paraId="26B6471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74" w:hRule="atLeast"/>
        </w:trPr>
        <w:tc>
          <w:tcPr>
            <w:tcW w:w="329" w:type="pct"/>
            <w:tcBorders>
              <w:tl2br w:val="nil"/>
              <w:tr2bl w:val="nil"/>
            </w:tcBorders>
            <w:vAlign w:val="center"/>
          </w:tcPr>
          <w:p w14:paraId="6ABF1327">
            <w:pPr>
              <w:jc w:val="center"/>
              <w:rPr>
                <w:szCs w:val="21"/>
              </w:rPr>
            </w:pPr>
            <w:r>
              <w:rPr>
                <w:szCs w:val="21"/>
              </w:rPr>
              <w:t>序号</w:t>
            </w:r>
          </w:p>
        </w:tc>
        <w:tc>
          <w:tcPr>
            <w:tcW w:w="2253" w:type="pct"/>
            <w:tcBorders>
              <w:tl2br w:val="nil"/>
              <w:tr2bl w:val="nil"/>
            </w:tcBorders>
            <w:vAlign w:val="center"/>
          </w:tcPr>
          <w:p w14:paraId="3F4EB016">
            <w:pPr>
              <w:jc w:val="center"/>
              <w:rPr>
                <w:szCs w:val="21"/>
              </w:rPr>
            </w:pPr>
            <w:r>
              <w:rPr>
                <w:rFonts w:hint="eastAsia"/>
                <w:szCs w:val="21"/>
              </w:rPr>
              <w:t>《废塑料加工利用污染防治管理规定》要求</w:t>
            </w:r>
          </w:p>
        </w:tc>
        <w:tc>
          <w:tcPr>
            <w:tcW w:w="1729" w:type="pct"/>
            <w:tcBorders>
              <w:tl2br w:val="nil"/>
              <w:tr2bl w:val="nil"/>
            </w:tcBorders>
            <w:vAlign w:val="center"/>
          </w:tcPr>
          <w:p w14:paraId="48C60B91">
            <w:pPr>
              <w:jc w:val="center"/>
              <w:rPr>
                <w:szCs w:val="21"/>
              </w:rPr>
            </w:pPr>
            <w:r>
              <w:rPr>
                <w:szCs w:val="21"/>
              </w:rPr>
              <w:t>本项目</w:t>
            </w:r>
          </w:p>
        </w:tc>
        <w:tc>
          <w:tcPr>
            <w:tcW w:w="687" w:type="pct"/>
            <w:tcBorders>
              <w:tl2br w:val="nil"/>
              <w:tr2bl w:val="nil"/>
            </w:tcBorders>
            <w:vAlign w:val="center"/>
          </w:tcPr>
          <w:p w14:paraId="70B68FC4">
            <w:pPr>
              <w:jc w:val="center"/>
              <w:rPr>
                <w:szCs w:val="21"/>
              </w:rPr>
            </w:pPr>
            <w:r>
              <w:rPr>
                <w:szCs w:val="21"/>
              </w:rPr>
              <w:t>符合性分析</w:t>
            </w:r>
          </w:p>
        </w:tc>
      </w:tr>
      <w:tr w14:paraId="4F09286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74" w:hRule="atLeast"/>
        </w:trPr>
        <w:tc>
          <w:tcPr>
            <w:tcW w:w="329" w:type="pct"/>
            <w:tcBorders>
              <w:tl2br w:val="nil"/>
              <w:tr2bl w:val="nil"/>
            </w:tcBorders>
            <w:vAlign w:val="center"/>
          </w:tcPr>
          <w:p w14:paraId="39D224FB">
            <w:pPr>
              <w:jc w:val="center"/>
              <w:rPr>
                <w:szCs w:val="21"/>
              </w:rPr>
            </w:pPr>
            <w:r>
              <w:rPr>
                <w:rFonts w:hint="eastAsia"/>
                <w:szCs w:val="21"/>
              </w:rPr>
              <w:t>1</w:t>
            </w:r>
          </w:p>
        </w:tc>
        <w:tc>
          <w:tcPr>
            <w:tcW w:w="2253" w:type="pct"/>
            <w:tcBorders>
              <w:tl2br w:val="nil"/>
              <w:tr2bl w:val="nil"/>
            </w:tcBorders>
            <w:vAlign w:val="center"/>
          </w:tcPr>
          <w:p w14:paraId="4DE1930A">
            <w:pPr>
              <w:jc w:val="center"/>
              <w:rPr>
                <w:szCs w:val="21"/>
              </w:rPr>
            </w:pPr>
            <w:r>
              <w:rPr>
                <w:rFonts w:hint="eastAsia"/>
                <w:szCs w:val="21"/>
              </w:rPr>
              <w:t>本规定所谓废塑料加工利用，是指将国内回收的废塑料（包括工业边角料、废弃塑料瓶、包装物及其他塑料制品、农膜等）及经批准从国外进口的各类废塑料等进行分类、清洗、拉丝、造粒的活动；以及将废塑料加工成塑料再生制品或成品的活动。</w:t>
            </w:r>
          </w:p>
        </w:tc>
        <w:tc>
          <w:tcPr>
            <w:tcW w:w="1729" w:type="pct"/>
            <w:tcBorders>
              <w:tl2br w:val="nil"/>
              <w:tr2bl w:val="nil"/>
            </w:tcBorders>
            <w:vAlign w:val="center"/>
          </w:tcPr>
          <w:p w14:paraId="61D2C903">
            <w:pPr>
              <w:jc w:val="center"/>
              <w:rPr>
                <w:szCs w:val="21"/>
              </w:rPr>
            </w:pPr>
            <w:r>
              <w:rPr>
                <w:rFonts w:hint="eastAsia"/>
                <w:szCs w:val="21"/>
              </w:rPr>
              <w:t>利用项目东侧6.93km处的本公司2024年8月建成投入使用的废旧地膜回收分拣、破碎清选后的废旧地膜运送至本项目区进行再生造粒生产滴灌带，不涉及国外进口</w:t>
            </w:r>
          </w:p>
        </w:tc>
        <w:tc>
          <w:tcPr>
            <w:tcW w:w="687" w:type="pct"/>
            <w:tcBorders>
              <w:tl2br w:val="nil"/>
              <w:tr2bl w:val="nil"/>
            </w:tcBorders>
            <w:vAlign w:val="center"/>
          </w:tcPr>
          <w:p w14:paraId="6E7664E2">
            <w:pPr>
              <w:jc w:val="center"/>
              <w:rPr>
                <w:szCs w:val="21"/>
              </w:rPr>
            </w:pPr>
            <w:r>
              <w:rPr>
                <w:szCs w:val="21"/>
              </w:rPr>
              <w:t>符合</w:t>
            </w:r>
          </w:p>
        </w:tc>
      </w:tr>
      <w:tr w14:paraId="7ABB26E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1093" w:hRule="atLeast"/>
        </w:trPr>
        <w:tc>
          <w:tcPr>
            <w:tcW w:w="329" w:type="pct"/>
            <w:tcBorders>
              <w:tl2br w:val="nil"/>
              <w:tr2bl w:val="nil"/>
            </w:tcBorders>
            <w:vAlign w:val="center"/>
          </w:tcPr>
          <w:p w14:paraId="2D603D28">
            <w:pPr>
              <w:jc w:val="center"/>
              <w:rPr>
                <w:szCs w:val="21"/>
              </w:rPr>
            </w:pPr>
            <w:r>
              <w:rPr>
                <w:rFonts w:hint="eastAsia"/>
                <w:szCs w:val="21"/>
              </w:rPr>
              <w:t>2</w:t>
            </w:r>
          </w:p>
        </w:tc>
        <w:tc>
          <w:tcPr>
            <w:tcW w:w="2253" w:type="pct"/>
            <w:tcBorders>
              <w:tl2br w:val="nil"/>
              <w:tr2bl w:val="nil"/>
            </w:tcBorders>
            <w:vAlign w:val="center"/>
          </w:tcPr>
          <w:p w14:paraId="6016E86B">
            <w:pPr>
              <w:jc w:val="center"/>
              <w:rPr>
                <w:szCs w:val="21"/>
              </w:rPr>
            </w:pPr>
            <w:r>
              <w:rPr>
                <w:rFonts w:hint="eastAsia"/>
                <w:szCs w:val="21"/>
              </w:rPr>
              <w:t>废塑料加工利用必须符合国家相关产业政策规定及《废塑料回收与再生利用污染控制技术规范》，防止二次污染。</w:t>
            </w:r>
          </w:p>
        </w:tc>
        <w:tc>
          <w:tcPr>
            <w:tcW w:w="1729" w:type="pct"/>
            <w:tcBorders>
              <w:tl2br w:val="nil"/>
              <w:tr2bl w:val="nil"/>
            </w:tcBorders>
            <w:vAlign w:val="center"/>
          </w:tcPr>
          <w:p w14:paraId="69DF363F">
            <w:pPr>
              <w:jc w:val="center"/>
              <w:rPr>
                <w:szCs w:val="21"/>
              </w:rPr>
            </w:pPr>
            <w:r>
              <w:rPr>
                <w:rFonts w:hint="eastAsia"/>
                <w:szCs w:val="21"/>
              </w:rPr>
              <w:t>符合国家相关产业政策，符合《废塑料回收与再生利用污染控制技术规范》。</w:t>
            </w:r>
          </w:p>
        </w:tc>
        <w:tc>
          <w:tcPr>
            <w:tcW w:w="687" w:type="pct"/>
            <w:tcBorders>
              <w:tl2br w:val="nil"/>
              <w:tr2bl w:val="nil"/>
            </w:tcBorders>
            <w:vAlign w:val="center"/>
          </w:tcPr>
          <w:p w14:paraId="333105E0">
            <w:pPr>
              <w:jc w:val="center"/>
              <w:rPr>
                <w:szCs w:val="21"/>
              </w:rPr>
            </w:pPr>
            <w:r>
              <w:rPr>
                <w:szCs w:val="21"/>
              </w:rPr>
              <w:t>符合</w:t>
            </w:r>
          </w:p>
        </w:tc>
      </w:tr>
      <w:tr w14:paraId="04B9E8C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6" w:hRule="atLeast"/>
        </w:trPr>
        <w:tc>
          <w:tcPr>
            <w:tcW w:w="329" w:type="pct"/>
            <w:tcBorders>
              <w:tl2br w:val="nil"/>
              <w:tr2bl w:val="nil"/>
            </w:tcBorders>
            <w:vAlign w:val="center"/>
          </w:tcPr>
          <w:p w14:paraId="78D18061">
            <w:pPr>
              <w:jc w:val="center"/>
              <w:rPr>
                <w:szCs w:val="21"/>
              </w:rPr>
            </w:pPr>
            <w:r>
              <w:rPr>
                <w:rFonts w:hint="eastAsia"/>
                <w:szCs w:val="21"/>
              </w:rPr>
              <w:t>3</w:t>
            </w:r>
          </w:p>
        </w:tc>
        <w:tc>
          <w:tcPr>
            <w:tcW w:w="2253" w:type="pct"/>
            <w:tcBorders>
              <w:tl2br w:val="nil"/>
              <w:tr2bl w:val="nil"/>
            </w:tcBorders>
            <w:vAlign w:val="center"/>
          </w:tcPr>
          <w:p w14:paraId="1836F643">
            <w:pPr>
              <w:jc w:val="center"/>
              <w:rPr>
                <w:szCs w:val="21"/>
              </w:rPr>
            </w:pPr>
            <w:r>
              <w:rPr>
                <w:rFonts w:hint="eastAsia"/>
                <w:szCs w:val="21"/>
              </w:rPr>
              <w:t>废塑料加工利用单位应当以环境无害化方式处理废塑料加工利用过</w:t>
            </w:r>
            <w:r>
              <w:rPr>
                <w:rFonts w:hint="eastAsia"/>
                <w:szCs w:val="21"/>
                <w:lang w:eastAsia="zh-CN"/>
              </w:rPr>
              <w:t>程中</w:t>
            </w:r>
            <w:r>
              <w:rPr>
                <w:rFonts w:hint="eastAsia"/>
                <w:szCs w:val="21"/>
              </w:rPr>
              <w:t>产生的残余垃圾、滤网；禁止交不符合环保要求的单位或个人处置。禁止露天焚烧废塑料及加工利用过</w:t>
            </w:r>
            <w:r>
              <w:rPr>
                <w:rFonts w:hint="eastAsia"/>
                <w:szCs w:val="21"/>
                <w:lang w:eastAsia="zh-CN"/>
              </w:rPr>
              <w:t>程中</w:t>
            </w:r>
            <w:r>
              <w:rPr>
                <w:rFonts w:hint="eastAsia"/>
                <w:szCs w:val="21"/>
              </w:rPr>
              <w:t>产生的残余垃圾、滤网。</w:t>
            </w:r>
          </w:p>
        </w:tc>
        <w:tc>
          <w:tcPr>
            <w:tcW w:w="1729" w:type="pct"/>
            <w:tcBorders>
              <w:tl2br w:val="nil"/>
              <w:tr2bl w:val="nil"/>
            </w:tcBorders>
            <w:vAlign w:val="center"/>
          </w:tcPr>
          <w:p w14:paraId="0F9226E9">
            <w:pPr>
              <w:jc w:val="center"/>
              <w:rPr>
                <w:szCs w:val="21"/>
              </w:rPr>
            </w:pPr>
            <w:r>
              <w:rPr>
                <w:rFonts w:hint="eastAsia"/>
                <w:szCs w:val="21"/>
              </w:rPr>
              <w:t>产生的不合格产品、残次品及边角料送返回造粒工序。</w:t>
            </w:r>
          </w:p>
        </w:tc>
        <w:tc>
          <w:tcPr>
            <w:tcW w:w="687" w:type="pct"/>
            <w:tcBorders>
              <w:tl2br w:val="nil"/>
              <w:tr2bl w:val="nil"/>
            </w:tcBorders>
            <w:vAlign w:val="center"/>
          </w:tcPr>
          <w:p w14:paraId="74EB5F74">
            <w:pPr>
              <w:jc w:val="center"/>
              <w:rPr>
                <w:szCs w:val="21"/>
              </w:rPr>
            </w:pPr>
            <w:r>
              <w:rPr>
                <w:szCs w:val="21"/>
              </w:rPr>
              <w:t>符合</w:t>
            </w:r>
          </w:p>
        </w:tc>
      </w:tr>
    </w:tbl>
    <w:p w14:paraId="6B246CC4">
      <w:pPr>
        <w:pStyle w:val="5"/>
        <w:rPr>
          <w:rFonts w:ascii="Times New Roman" w:hAnsi="Times New Roman"/>
          <w:color w:val="000000"/>
          <w:lang w:val="en-US"/>
        </w:rPr>
      </w:pPr>
      <w:r>
        <w:rPr>
          <w:rFonts w:hint="eastAsia" w:ascii="Times New Roman" w:hAnsi="Times New Roman"/>
          <w:color w:val="000000"/>
          <w:lang w:val="en-US"/>
        </w:rPr>
        <w:t>2.9.2.7《废塑料再生利用技术规范》相符性分析</w:t>
      </w:r>
    </w:p>
    <w:p w14:paraId="6F6D7DCE">
      <w:pPr>
        <w:widowControl/>
        <w:spacing w:line="360" w:lineRule="auto"/>
        <w:rPr>
          <w:rFonts w:hint="eastAsia" w:ascii="宋体" w:hAnsi="宋体" w:cs="宋体"/>
          <w:sz w:val="24"/>
          <w:szCs w:val="24"/>
          <w:lang w:bidi="ar"/>
        </w:rPr>
      </w:pPr>
      <w:r>
        <w:rPr>
          <w:rFonts w:hint="eastAsia" w:ascii="宋体" w:hAnsi="宋体" w:cs="宋体"/>
          <w:b/>
          <w:bCs/>
          <w:sz w:val="24"/>
          <w:szCs w:val="24"/>
          <w:lang w:bidi="ar"/>
        </w:rPr>
        <w:t xml:space="preserve">  </w:t>
      </w:r>
      <w:r>
        <w:rPr>
          <w:rFonts w:hint="eastAsia" w:ascii="宋体" w:hAnsi="宋体" w:cs="宋体"/>
          <w:sz w:val="24"/>
          <w:szCs w:val="24"/>
          <w:lang w:bidi="ar"/>
        </w:rPr>
        <w:t xml:space="preserve">  项目与《废塑料再生利用技术规范》（GBT37821-2019）符合性分析见表2.9-6。</w:t>
      </w:r>
    </w:p>
    <w:p w14:paraId="10308A53">
      <w:pPr>
        <w:tabs>
          <w:tab w:val="left" w:pos="2272"/>
        </w:tabs>
        <w:ind w:firstLine="422"/>
        <w:jc w:val="center"/>
        <w:rPr>
          <w:rFonts w:hint="eastAsia"/>
          <w:b/>
          <w:bCs/>
          <w:szCs w:val="21"/>
        </w:rPr>
      </w:pPr>
    </w:p>
    <w:p w14:paraId="6682BDE6">
      <w:pPr>
        <w:tabs>
          <w:tab w:val="left" w:pos="2272"/>
        </w:tabs>
        <w:ind w:firstLine="422"/>
        <w:jc w:val="center"/>
        <w:rPr>
          <w:rFonts w:hint="eastAsia"/>
          <w:b/>
          <w:bCs/>
          <w:szCs w:val="21"/>
        </w:rPr>
      </w:pPr>
    </w:p>
    <w:p w14:paraId="2A9A7D89">
      <w:pPr>
        <w:tabs>
          <w:tab w:val="left" w:pos="2272"/>
        </w:tabs>
        <w:ind w:firstLine="422"/>
        <w:jc w:val="center"/>
        <w:rPr>
          <w:rFonts w:hint="eastAsia"/>
          <w:b/>
          <w:bCs/>
          <w:szCs w:val="21"/>
        </w:rPr>
      </w:pPr>
    </w:p>
    <w:p w14:paraId="12471F2A">
      <w:pPr>
        <w:tabs>
          <w:tab w:val="left" w:pos="2272"/>
        </w:tabs>
        <w:ind w:firstLine="422"/>
        <w:jc w:val="center"/>
        <w:rPr>
          <w:rFonts w:hint="eastAsia"/>
          <w:b/>
          <w:bCs/>
          <w:szCs w:val="21"/>
        </w:rPr>
      </w:pPr>
    </w:p>
    <w:p w14:paraId="56804989">
      <w:pPr>
        <w:tabs>
          <w:tab w:val="left" w:pos="2272"/>
        </w:tabs>
        <w:ind w:firstLine="422"/>
        <w:jc w:val="center"/>
        <w:rPr>
          <w:b/>
          <w:bCs/>
          <w:szCs w:val="21"/>
        </w:rPr>
      </w:pPr>
      <w:r>
        <w:rPr>
          <w:rFonts w:hint="eastAsia"/>
          <w:b/>
          <w:bCs/>
          <w:szCs w:val="21"/>
        </w:rPr>
        <w:t>表2.9-6   与《废塑料再生利用技术规范》相符性分析一览表</w:t>
      </w:r>
    </w:p>
    <w:tbl>
      <w:tblPr>
        <w:tblStyle w:val="49"/>
        <w:tblW w:w="5037" w:type="pct"/>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autofit"/>
        <w:tblCellMar>
          <w:top w:w="0" w:type="dxa"/>
          <w:left w:w="0" w:type="dxa"/>
          <w:bottom w:w="0" w:type="dxa"/>
          <w:right w:w="0" w:type="dxa"/>
        </w:tblCellMar>
      </w:tblPr>
      <w:tblGrid>
        <w:gridCol w:w="598"/>
        <w:gridCol w:w="4109"/>
        <w:gridCol w:w="3152"/>
        <w:gridCol w:w="1253"/>
      </w:tblGrid>
      <w:tr w14:paraId="56700FC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0" w:type="dxa"/>
            <w:bottom w:w="0" w:type="dxa"/>
            <w:right w:w="0" w:type="dxa"/>
          </w:tblCellMar>
        </w:tblPrEx>
        <w:trPr>
          <w:trHeight w:val="274" w:hRule="atLeast"/>
        </w:trPr>
        <w:tc>
          <w:tcPr>
            <w:tcW w:w="328" w:type="pct"/>
            <w:tcBorders>
              <w:tl2br w:val="nil"/>
              <w:tr2bl w:val="nil"/>
            </w:tcBorders>
            <w:vAlign w:val="center"/>
          </w:tcPr>
          <w:p w14:paraId="1291F6CC">
            <w:pPr>
              <w:jc w:val="center"/>
              <w:rPr>
                <w:szCs w:val="21"/>
              </w:rPr>
            </w:pPr>
            <w:r>
              <w:rPr>
                <w:szCs w:val="21"/>
              </w:rPr>
              <w:t>序号</w:t>
            </w:r>
          </w:p>
        </w:tc>
        <w:tc>
          <w:tcPr>
            <w:tcW w:w="2254" w:type="pct"/>
            <w:tcBorders>
              <w:tl2br w:val="nil"/>
              <w:tr2bl w:val="nil"/>
            </w:tcBorders>
            <w:vAlign w:val="center"/>
          </w:tcPr>
          <w:p w14:paraId="04B5A46A">
            <w:pPr>
              <w:jc w:val="center"/>
              <w:rPr>
                <w:szCs w:val="21"/>
              </w:rPr>
            </w:pPr>
            <w:r>
              <w:rPr>
                <w:rFonts w:hint="eastAsia"/>
                <w:szCs w:val="21"/>
              </w:rPr>
              <w:t>《废塑料再生利用技术规范》BT37821-2019）要求</w:t>
            </w:r>
          </w:p>
        </w:tc>
        <w:tc>
          <w:tcPr>
            <w:tcW w:w="1729" w:type="pct"/>
            <w:tcBorders>
              <w:tl2br w:val="nil"/>
              <w:tr2bl w:val="nil"/>
            </w:tcBorders>
            <w:vAlign w:val="center"/>
          </w:tcPr>
          <w:p w14:paraId="477121BE">
            <w:pPr>
              <w:jc w:val="center"/>
              <w:rPr>
                <w:szCs w:val="21"/>
              </w:rPr>
            </w:pPr>
            <w:r>
              <w:rPr>
                <w:szCs w:val="21"/>
              </w:rPr>
              <w:t>本项目</w:t>
            </w:r>
          </w:p>
        </w:tc>
        <w:tc>
          <w:tcPr>
            <w:tcW w:w="687" w:type="pct"/>
            <w:tcBorders>
              <w:tl2br w:val="nil"/>
              <w:tr2bl w:val="nil"/>
            </w:tcBorders>
            <w:vAlign w:val="center"/>
          </w:tcPr>
          <w:p w14:paraId="5A284871">
            <w:pPr>
              <w:jc w:val="center"/>
              <w:rPr>
                <w:szCs w:val="21"/>
              </w:rPr>
            </w:pPr>
            <w:r>
              <w:rPr>
                <w:szCs w:val="21"/>
              </w:rPr>
              <w:t>符合性分析</w:t>
            </w:r>
          </w:p>
        </w:tc>
      </w:tr>
      <w:tr w14:paraId="3B71158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0" w:type="dxa"/>
            <w:bottom w:w="0" w:type="dxa"/>
            <w:right w:w="0" w:type="dxa"/>
          </w:tblCellMar>
        </w:tblPrEx>
        <w:trPr>
          <w:trHeight w:val="274" w:hRule="atLeast"/>
        </w:trPr>
        <w:tc>
          <w:tcPr>
            <w:tcW w:w="328" w:type="pct"/>
            <w:tcBorders>
              <w:tl2br w:val="nil"/>
              <w:tr2bl w:val="nil"/>
            </w:tcBorders>
            <w:vAlign w:val="center"/>
          </w:tcPr>
          <w:p w14:paraId="24197738">
            <w:pPr>
              <w:jc w:val="center"/>
              <w:rPr>
                <w:szCs w:val="21"/>
              </w:rPr>
            </w:pPr>
            <w:r>
              <w:rPr>
                <w:rFonts w:hint="eastAsia"/>
                <w:szCs w:val="21"/>
              </w:rPr>
              <w:t>1</w:t>
            </w:r>
          </w:p>
        </w:tc>
        <w:tc>
          <w:tcPr>
            <w:tcW w:w="2254" w:type="pct"/>
            <w:tcBorders>
              <w:tl2br w:val="nil"/>
              <w:tr2bl w:val="nil"/>
            </w:tcBorders>
            <w:vAlign w:val="center"/>
          </w:tcPr>
          <w:p w14:paraId="7FFF6ED7">
            <w:pPr>
              <w:jc w:val="center"/>
              <w:rPr>
                <w:szCs w:val="21"/>
              </w:rPr>
            </w:pPr>
            <w:r>
              <w:rPr>
                <w:rFonts w:hint="eastAsia"/>
                <w:szCs w:val="21"/>
              </w:rPr>
              <w:t>破碎要求：破碎过程宜采用高效节能工艺技术及设备；干法破碎过程应配备粉尘收集和降噪设备；采用湿法破碎工艺应对废水进行收集、处理后循环使用；破碎机应具有安全防护措施。</w:t>
            </w:r>
          </w:p>
        </w:tc>
        <w:tc>
          <w:tcPr>
            <w:tcW w:w="1729" w:type="pct"/>
            <w:tcBorders>
              <w:tl2br w:val="nil"/>
              <w:tr2bl w:val="nil"/>
            </w:tcBorders>
            <w:vAlign w:val="center"/>
          </w:tcPr>
          <w:p w14:paraId="054C2399">
            <w:pPr>
              <w:jc w:val="center"/>
              <w:rPr>
                <w:szCs w:val="21"/>
              </w:rPr>
            </w:pPr>
            <w:r>
              <w:rPr>
                <w:rFonts w:hint="eastAsia"/>
                <w:szCs w:val="21"/>
              </w:rPr>
              <w:t>不涉及破碎工序。</w:t>
            </w:r>
          </w:p>
        </w:tc>
        <w:tc>
          <w:tcPr>
            <w:tcW w:w="687" w:type="pct"/>
            <w:tcBorders>
              <w:tl2br w:val="nil"/>
              <w:tr2bl w:val="nil"/>
            </w:tcBorders>
            <w:vAlign w:val="center"/>
          </w:tcPr>
          <w:p w14:paraId="54FE50DD">
            <w:pPr>
              <w:jc w:val="center"/>
              <w:rPr>
                <w:szCs w:val="21"/>
              </w:rPr>
            </w:pPr>
            <w:r>
              <w:rPr>
                <w:szCs w:val="21"/>
              </w:rPr>
              <w:t>符合</w:t>
            </w:r>
          </w:p>
        </w:tc>
      </w:tr>
      <w:tr w14:paraId="6B108E5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0" w:type="dxa"/>
            <w:bottom w:w="0" w:type="dxa"/>
            <w:right w:w="0" w:type="dxa"/>
          </w:tblCellMar>
        </w:tblPrEx>
        <w:trPr>
          <w:trHeight w:val="1093" w:hRule="atLeast"/>
        </w:trPr>
        <w:tc>
          <w:tcPr>
            <w:tcW w:w="328" w:type="pct"/>
            <w:tcBorders>
              <w:tl2br w:val="nil"/>
              <w:tr2bl w:val="nil"/>
            </w:tcBorders>
            <w:vAlign w:val="center"/>
          </w:tcPr>
          <w:p w14:paraId="7C540E25">
            <w:pPr>
              <w:jc w:val="center"/>
              <w:rPr>
                <w:szCs w:val="21"/>
              </w:rPr>
            </w:pPr>
            <w:r>
              <w:rPr>
                <w:rFonts w:hint="eastAsia"/>
                <w:szCs w:val="21"/>
              </w:rPr>
              <w:t>2</w:t>
            </w:r>
          </w:p>
        </w:tc>
        <w:tc>
          <w:tcPr>
            <w:tcW w:w="2254" w:type="pct"/>
            <w:tcBorders>
              <w:tl2br w:val="nil"/>
              <w:tr2bl w:val="nil"/>
            </w:tcBorders>
            <w:vAlign w:val="center"/>
          </w:tcPr>
          <w:p w14:paraId="3FAF986E">
            <w:pPr>
              <w:jc w:val="center"/>
              <w:rPr>
                <w:szCs w:val="21"/>
              </w:rPr>
            </w:pPr>
            <w:r>
              <w:rPr>
                <w:rFonts w:hint="eastAsia"/>
                <w:szCs w:val="21"/>
              </w:rPr>
              <w:t>清洗要求：宜采用节水清洗工艺，清洗废水应统一收集、分类处理或集中处理，处理后应梯级利用或循环使用。</w:t>
            </w:r>
          </w:p>
          <w:p w14:paraId="4E777885">
            <w:pPr>
              <w:jc w:val="center"/>
              <w:rPr>
                <w:szCs w:val="21"/>
              </w:rPr>
            </w:pPr>
            <w:r>
              <w:rPr>
                <w:rFonts w:hint="eastAsia"/>
                <w:szCs w:val="21"/>
              </w:rPr>
              <w:t>应使用低残留、环境友好型清洗剂，不得使用有毒有害和国家严令禁止的清洗剂。</w:t>
            </w:r>
          </w:p>
          <w:p w14:paraId="585767DF">
            <w:pPr>
              <w:jc w:val="center"/>
              <w:rPr>
                <w:szCs w:val="21"/>
              </w:rPr>
            </w:pPr>
            <w:r>
              <w:rPr>
                <w:rFonts w:hint="eastAsia"/>
                <w:szCs w:val="21"/>
              </w:rPr>
              <w:t>厂内处理后的排放废水，需进入城市污水收集管网的执行GB/T31962要求；直接排放的需满足当地环境保护管理要求。</w:t>
            </w:r>
          </w:p>
        </w:tc>
        <w:tc>
          <w:tcPr>
            <w:tcW w:w="1729" w:type="pct"/>
            <w:tcBorders>
              <w:tl2br w:val="nil"/>
              <w:tr2bl w:val="nil"/>
            </w:tcBorders>
            <w:vAlign w:val="center"/>
          </w:tcPr>
          <w:p w14:paraId="18992F05">
            <w:pPr>
              <w:widowControl/>
              <w:jc w:val="left"/>
              <w:rPr>
                <w:szCs w:val="21"/>
              </w:rPr>
            </w:pPr>
            <w:r>
              <w:rPr>
                <w:rFonts w:hint="eastAsia" w:ascii="宋体" w:hAnsi="宋体" w:cs="宋体"/>
                <w:color w:val="000000"/>
                <w:kern w:val="0"/>
                <w:sz w:val="20"/>
                <w:lang w:bidi="ar"/>
              </w:rPr>
              <w:t>利用项目</w:t>
            </w:r>
            <w:r>
              <w:rPr>
                <w:rFonts w:hint="eastAsia"/>
                <w:szCs w:val="21"/>
              </w:rPr>
              <w:t>东侧6.93km处的本公司2024年8月建成投入使用</w:t>
            </w:r>
            <w:r>
              <w:rPr>
                <w:rFonts w:hint="eastAsia" w:ascii="宋体" w:hAnsi="宋体" w:cs="宋体"/>
                <w:color w:val="000000"/>
                <w:kern w:val="0"/>
                <w:sz w:val="20"/>
                <w:lang w:bidi="ar"/>
              </w:rPr>
              <w:t>的地膜回收分拣、破碎清选后的废旧地膜运送至本项目区进行造粒生产滴灌带，无加工清洗废水产生。</w:t>
            </w:r>
          </w:p>
        </w:tc>
        <w:tc>
          <w:tcPr>
            <w:tcW w:w="687" w:type="pct"/>
            <w:tcBorders>
              <w:tl2br w:val="nil"/>
              <w:tr2bl w:val="nil"/>
            </w:tcBorders>
            <w:vAlign w:val="center"/>
          </w:tcPr>
          <w:p w14:paraId="47ADA144">
            <w:pPr>
              <w:jc w:val="center"/>
              <w:rPr>
                <w:szCs w:val="21"/>
              </w:rPr>
            </w:pPr>
            <w:r>
              <w:rPr>
                <w:szCs w:val="21"/>
              </w:rPr>
              <w:t>符合</w:t>
            </w:r>
          </w:p>
        </w:tc>
      </w:tr>
      <w:tr w14:paraId="389A074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0" w:type="dxa"/>
            <w:bottom w:w="0" w:type="dxa"/>
            <w:right w:w="0" w:type="dxa"/>
          </w:tblCellMar>
        </w:tblPrEx>
        <w:trPr>
          <w:trHeight w:val="346" w:hRule="atLeast"/>
        </w:trPr>
        <w:tc>
          <w:tcPr>
            <w:tcW w:w="328" w:type="pct"/>
            <w:tcBorders>
              <w:tl2br w:val="nil"/>
              <w:tr2bl w:val="nil"/>
            </w:tcBorders>
            <w:vAlign w:val="center"/>
          </w:tcPr>
          <w:p w14:paraId="75324565">
            <w:pPr>
              <w:jc w:val="center"/>
              <w:rPr>
                <w:szCs w:val="21"/>
              </w:rPr>
            </w:pPr>
            <w:r>
              <w:rPr>
                <w:rFonts w:hint="eastAsia"/>
                <w:szCs w:val="21"/>
              </w:rPr>
              <w:t>3</w:t>
            </w:r>
          </w:p>
        </w:tc>
        <w:tc>
          <w:tcPr>
            <w:tcW w:w="2254" w:type="pct"/>
            <w:tcBorders>
              <w:tl2br w:val="nil"/>
              <w:tr2bl w:val="nil"/>
            </w:tcBorders>
            <w:vAlign w:val="center"/>
          </w:tcPr>
          <w:p w14:paraId="249D3C23">
            <w:pPr>
              <w:jc w:val="center"/>
              <w:rPr>
                <w:szCs w:val="21"/>
              </w:rPr>
            </w:pPr>
            <w:r>
              <w:rPr>
                <w:rFonts w:hint="eastAsia"/>
                <w:szCs w:val="21"/>
              </w:rPr>
              <w:t>干燥要求：宜采用离心脱水、鼓风干燥、流化床干燥等工艺，应使用低能耗设备干燥废气集中收集，进入废气处理设施处理，不得随意排放。</w:t>
            </w:r>
          </w:p>
        </w:tc>
        <w:tc>
          <w:tcPr>
            <w:tcW w:w="1729" w:type="pct"/>
            <w:tcBorders>
              <w:tl2br w:val="nil"/>
              <w:tr2bl w:val="nil"/>
            </w:tcBorders>
            <w:vAlign w:val="center"/>
          </w:tcPr>
          <w:p w14:paraId="3F18DBB6">
            <w:pPr>
              <w:widowControl/>
              <w:jc w:val="left"/>
              <w:rPr>
                <w:szCs w:val="21"/>
              </w:rPr>
            </w:pPr>
            <w:r>
              <w:rPr>
                <w:rFonts w:hint="eastAsia" w:ascii="宋体" w:hAnsi="宋体" w:cs="宋体"/>
                <w:color w:val="000000"/>
                <w:kern w:val="0"/>
                <w:sz w:val="20"/>
                <w:lang w:bidi="ar"/>
              </w:rPr>
              <w:t>利用项目</w:t>
            </w:r>
            <w:r>
              <w:rPr>
                <w:rFonts w:hint="eastAsia"/>
                <w:szCs w:val="21"/>
              </w:rPr>
              <w:t>东侧6.93km处的本公司2024年8月建成投入使用</w:t>
            </w:r>
            <w:r>
              <w:rPr>
                <w:rFonts w:hint="eastAsia" w:ascii="宋体" w:hAnsi="宋体" w:cs="宋体"/>
                <w:color w:val="000000"/>
                <w:kern w:val="0"/>
                <w:sz w:val="20"/>
                <w:lang w:bidi="ar"/>
              </w:rPr>
              <w:t>的地膜回收分拣、破碎清选后的废旧地膜运送至本项目区进行造粒生产滴灌带，</w:t>
            </w:r>
            <w:r>
              <w:t xml:space="preserve"> </w:t>
            </w:r>
            <w:r>
              <w:rPr>
                <w:rFonts w:hint="eastAsia" w:ascii="宋体" w:hAnsi="宋体" w:cs="宋体"/>
                <w:color w:val="000000"/>
                <w:kern w:val="0"/>
                <w:sz w:val="20"/>
                <w:lang w:bidi="ar"/>
              </w:rPr>
              <w:t>不涉及干燥。</w:t>
            </w:r>
          </w:p>
        </w:tc>
        <w:tc>
          <w:tcPr>
            <w:tcW w:w="687" w:type="pct"/>
            <w:tcBorders>
              <w:tl2br w:val="nil"/>
              <w:tr2bl w:val="nil"/>
            </w:tcBorders>
            <w:vAlign w:val="center"/>
          </w:tcPr>
          <w:p w14:paraId="37B1BC85">
            <w:pPr>
              <w:jc w:val="center"/>
              <w:rPr>
                <w:szCs w:val="21"/>
              </w:rPr>
            </w:pPr>
            <w:r>
              <w:rPr>
                <w:szCs w:val="21"/>
              </w:rPr>
              <w:t>符合</w:t>
            </w:r>
          </w:p>
        </w:tc>
      </w:tr>
      <w:tr w14:paraId="1843FDE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0" w:type="dxa"/>
            <w:bottom w:w="0" w:type="dxa"/>
            <w:right w:w="0" w:type="dxa"/>
          </w:tblCellMar>
        </w:tblPrEx>
        <w:trPr>
          <w:trHeight w:val="346" w:hRule="atLeast"/>
        </w:trPr>
        <w:tc>
          <w:tcPr>
            <w:tcW w:w="328" w:type="pct"/>
            <w:tcBorders>
              <w:tl2br w:val="nil"/>
              <w:tr2bl w:val="nil"/>
            </w:tcBorders>
            <w:vAlign w:val="center"/>
          </w:tcPr>
          <w:p w14:paraId="0815AA73">
            <w:pPr>
              <w:jc w:val="center"/>
              <w:rPr>
                <w:szCs w:val="21"/>
              </w:rPr>
            </w:pPr>
            <w:r>
              <w:rPr>
                <w:rFonts w:hint="eastAsia"/>
                <w:szCs w:val="21"/>
              </w:rPr>
              <w:t>4</w:t>
            </w:r>
          </w:p>
        </w:tc>
        <w:tc>
          <w:tcPr>
            <w:tcW w:w="2254" w:type="pct"/>
            <w:tcBorders>
              <w:tl2br w:val="nil"/>
              <w:tr2bl w:val="nil"/>
            </w:tcBorders>
            <w:vAlign w:val="center"/>
          </w:tcPr>
          <w:p w14:paraId="16A0FD82">
            <w:pPr>
              <w:jc w:val="center"/>
              <w:rPr>
                <w:szCs w:val="21"/>
              </w:rPr>
            </w:pPr>
            <w:r>
              <w:rPr>
                <w:rFonts w:hint="eastAsia"/>
                <w:szCs w:val="21"/>
              </w:rPr>
              <w:t>造粒要求：应采用节能熔融造粒技术；造粒废气应集中收集处理。推荐使用真空全密闭废气收集体系收集废气。推荐使用无丝网过滤器造粒机，减少废滤网产生。废弃滤网、熔融残渣应收集处理。再生PVC塑料企业宜使用钙/锌复合稳定剂等环保型助剂，减少铅盐稳定剂使用量。应选用低毒、无害的改性剂、增塑剂、相容剂等助剂进行改性，不得使用国家禁止的改性剂。</w:t>
            </w:r>
          </w:p>
        </w:tc>
        <w:tc>
          <w:tcPr>
            <w:tcW w:w="1729" w:type="pct"/>
            <w:tcBorders>
              <w:tl2br w:val="nil"/>
              <w:tr2bl w:val="nil"/>
            </w:tcBorders>
            <w:vAlign w:val="center"/>
          </w:tcPr>
          <w:p w14:paraId="392A27E3">
            <w:pPr>
              <w:widowControl/>
              <w:jc w:val="left"/>
            </w:pPr>
            <w:r>
              <w:rPr>
                <w:rFonts w:hint="eastAsia" w:ascii="宋体" w:hAnsi="宋体" w:cs="宋体"/>
                <w:color w:val="000000"/>
                <w:kern w:val="0"/>
                <w:sz w:val="20"/>
                <w:lang w:bidi="ar"/>
              </w:rPr>
              <w:t>造粒工序采用节能熔融造粒再生滴灌带技术，造粒和滴灌带生产废气集中收集后处理，项目废滤网收集后外售。</w:t>
            </w:r>
          </w:p>
          <w:p w14:paraId="21490A21">
            <w:pPr>
              <w:jc w:val="center"/>
              <w:rPr>
                <w:rFonts w:hint="eastAsia" w:ascii="宋体" w:hAnsi="宋体" w:cs="宋体"/>
                <w:color w:val="000000"/>
                <w:kern w:val="0"/>
                <w:sz w:val="20"/>
                <w:lang w:bidi="ar"/>
              </w:rPr>
            </w:pPr>
          </w:p>
        </w:tc>
        <w:tc>
          <w:tcPr>
            <w:tcW w:w="687" w:type="pct"/>
            <w:tcBorders>
              <w:tl2br w:val="nil"/>
              <w:tr2bl w:val="nil"/>
            </w:tcBorders>
            <w:vAlign w:val="center"/>
          </w:tcPr>
          <w:p w14:paraId="0A166597">
            <w:pPr>
              <w:jc w:val="center"/>
              <w:rPr>
                <w:szCs w:val="21"/>
              </w:rPr>
            </w:pPr>
          </w:p>
        </w:tc>
      </w:tr>
      <w:tr w14:paraId="1599F92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0" w:type="dxa"/>
            <w:bottom w:w="0" w:type="dxa"/>
            <w:right w:w="0" w:type="dxa"/>
          </w:tblCellMar>
        </w:tblPrEx>
        <w:trPr>
          <w:trHeight w:val="1796" w:hRule="atLeast"/>
        </w:trPr>
        <w:tc>
          <w:tcPr>
            <w:tcW w:w="328" w:type="pct"/>
            <w:tcBorders>
              <w:tl2br w:val="nil"/>
              <w:tr2bl w:val="nil"/>
            </w:tcBorders>
            <w:vAlign w:val="center"/>
          </w:tcPr>
          <w:p w14:paraId="0370CC5C">
            <w:pPr>
              <w:jc w:val="center"/>
              <w:rPr>
                <w:szCs w:val="21"/>
              </w:rPr>
            </w:pPr>
            <w:r>
              <w:rPr>
                <w:rFonts w:hint="eastAsia"/>
                <w:szCs w:val="21"/>
              </w:rPr>
              <w:t>5</w:t>
            </w:r>
          </w:p>
        </w:tc>
        <w:tc>
          <w:tcPr>
            <w:tcW w:w="2254" w:type="pct"/>
            <w:tcBorders>
              <w:tl2br w:val="nil"/>
              <w:tr2bl w:val="nil"/>
            </w:tcBorders>
            <w:vAlign w:val="center"/>
          </w:tcPr>
          <w:p w14:paraId="195C8A70">
            <w:pPr>
              <w:widowControl/>
              <w:rPr>
                <w:szCs w:val="21"/>
              </w:rPr>
            </w:pPr>
            <w:r>
              <w:rPr>
                <w:rFonts w:hint="eastAsia" w:ascii="宋体" w:hAnsi="宋体" w:cs="宋体"/>
                <w:color w:val="000000"/>
                <w:kern w:val="0"/>
                <w:sz w:val="20"/>
                <w:lang w:bidi="ar"/>
              </w:rPr>
              <w:t>资源综合利用及能耗：塑料再生加工相关生产环节，每吨废塑料的综合电耗应低于</w:t>
            </w:r>
            <w:r>
              <w:rPr>
                <w:color w:val="000000"/>
                <w:kern w:val="0"/>
                <w:sz w:val="20"/>
                <w:lang w:bidi="ar"/>
              </w:rPr>
              <w:t>500kW</w:t>
            </w:r>
            <w:r>
              <w:rPr>
                <w:rFonts w:hint="eastAsia" w:ascii="宋体" w:hAnsi="宋体" w:cs="宋体"/>
                <w:color w:val="000000"/>
                <w:kern w:val="0"/>
                <w:sz w:val="20"/>
                <w:lang w:bidi="ar"/>
              </w:rPr>
              <w:t>·</w:t>
            </w:r>
            <w:r>
              <w:rPr>
                <w:color w:val="000000"/>
                <w:kern w:val="0"/>
                <w:sz w:val="20"/>
                <w:lang w:bidi="ar"/>
              </w:rPr>
              <w:t>h</w:t>
            </w:r>
            <w:r>
              <w:rPr>
                <w:rFonts w:hint="eastAsia" w:ascii="宋体" w:hAnsi="宋体" w:cs="宋体"/>
                <w:color w:val="000000"/>
                <w:kern w:val="0"/>
                <w:sz w:val="20"/>
                <w:lang w:bidi="ar"/>
              </w:rPr>
              <w:t>。废</w:t>
            </w:r>
            <w:r>
              <w:rPr>
                <w:color w:val="000000"/>
                <w:kern w:val="0"/>
                <w:sz w:val="20"/>
                <w:lang w:bidi="ar"/>
              </w:rPr>
              <w:t>PET</w:t>
            </w:r>
            <w:r>
              <w:rPr>
                <w:rFonts w:hint="eastAsia" w:ascii="宋体" w:hAnsi="宋体" w:cs="宋体"/>
                <w:color w:val="000000"/>
                <w:kern w:val="0"/>
                <w:sz w:val="20"/>
                <w:lang w:bidi="ar"/>
              </w:rPr>
              <w:t>再生瓶片类企业及其他废塑料破碎、清洗、分选的企业，每吨废塑料综合新鲜水消耗量低于</w:t>
            </w:r>
            <w:r>
              <w:rPr>
                <w:color w:val="000000"/>
                <w:kern w:val="0"/>
                <w:sz w:val="20"/>
                <w:lang w:bidi="ar"/>
              </w:rPr>
              <w:t>1.5t</w:t>
            </w:r>
            <w:r>
              <w:rPr>
                <w:rFonts w:hint="eastAsia" w:ascii="宋体" w:hAnsi="宋体" w:cs="宋体"/>
                <w:color w:val="000000"/>
                <w:kern w:val="0"/>
                <w:sz w:val="20"/>
                <w:lang w:bidi="ar"/>
              </w:rPr>
              <w:t>。塑料再生造粒企业，每吨废塑料综合新鲜水消耗低于</w:t>
            </w:r>
            <w:r>
              <w:rPr>
                <w:color w:val="000000"/>
                <w:kern w:val="0"/>
                <w:sz w:val="20"/>
                <w:lang w:bidi="ar"/>
              </w:rPr>
              <w:t>0.2t</w:t>
            </w:r>
            <w:r>
              <w:rPr>
                <w:rFonts w:hint="eastAsia" w:ascii="宋体" w:hAnsi="宋体" w:cs="宋体"/>
                <w:color w:val="000000"/>
                <w:kern w:val="0"/>
                <w:sz w:val="20"/>
                <w:lang w:bidi="ar"/>
              </w:rPr>
              <w:t>。</w:t>
            </w:r>
          </w:p>
        </w:tc>
        <w:tc>
          <w:tcPr>
            <w:tcW w:w="1729" w:type="pct"/>
            <w:tcBorders>
              <w:tl2br w:val="nil"/>
              <w:tr2bl w:val="nil"/>
            </w:tcBorders>
            <w:vAlign w:val="center"/>
          </w:tcPr>
          <w:p w14:paraId="7D7970F4">
            <w:pPr>
              <w:widowControl/>
              <w:jc w:val="left"/>
            </w:pPr>
            <w:r>
              <w:rPr>
                <w:rFonts w:hint="eastAsia" w:ascii="宋体" w:hAnsi="宋体" w:cs="宋体"/>
                <w:color w:val="000000"/>
                <w:kern w:val="0"/>
                <w:sz w:val="20"/>
                <w:lang w:bidi="ar"/>
              </w:rPr>
              <w:t>不涉及清洗，造粒和滴灌带生产</w:t>
            </w:r>
            <w:r>
              <w:rPr>
                <w:rFonts w:hint="eastAsia" w:ascii="宋体" w:hAnsi="宋体" w:cs="宋体"/>
                <w:color w:val="000000"/>
                <w:kern w:val="0"/>
                <w:sz w:val="20"/>
                <w:lang w:eastAsia="zh-CN" w:bidi="ar"/>
              </w:rPr>
              <w:t>不消耗新水</w:t>
            </w:r>
            <w:r>
              <w:rPr>
                <w:rFonts w:hint="eastAsia" w:ascii="宋体" w:hAnsi="宋体" w:cs="宋体"/>
                <w:color w:val="000000"/>
                <w:kern w:val="0"/>
                <w:sz w:val="20"/>
                <w:lang w:bidi="ar"/>
              </w:rPr>
              <w:t>；综合电耗180千瓦时</w:t>
            </w:r>
            <w:r>
              <w:rPr>
                <w:color w:val="000000"/>
                <w:kern w:val="0"/>
                <w:sz w:val="20"/>
                <w:lang w:bidi="ar"/>
              </w:rPr>
              <w:t>/</w:t>
            </w:r>
            <w:r>
              <w:rPr>
                <w:rFonts w:hint="eastAsia" w:ascii="宋体" w:hAnsi="宋体" w:cs="宋体"/>
                <w:color w:val="000000"/>
                <w:kern w:val="0"/>
                <w:sz w:val="20"/>
                <w:lang w:bidi="ar"/>
              </w:rPr>
              <w:t>吨废塑料。</w:t>
            </w:r>
          </w:p>
        </w:tc>
        <w:tc>
          <w:tcPr>
            <w:tcW w:w="687" w:type="pct"/>
            <w:tcBorders>
              <w:tl2br w:val="nil"/>
              <w:tr2bl w:val="nil"/>
            </w:tcBorders>
            <w:vAlign w:val="center"/>
          </w:tcPr>
          <w:p w14:paraId="36EF4E42">
            <w:pPr>
              <w:jc w:val="center"/>
              <w:rPr>
                <w:szCs w:val="21"/>
              </w:rPr>
            </w:pPr>
            <w:r>
              <w:rPr>
                <w:rFonts w:hint="eastAsia"/>
                <w:szCs w:val="21"/>
              </w:rPr>
              <w:t>符合</w:t>
            </w:r>
          </w:p>
        </w:tc>
      </w:tr>
      <w:tr w14:paraId="562F0E9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0" w:type="dxa"/>
            <w:bottom w:w="0" w:type="dxa"/>
            <w:right w:w="0" w:type="dxa"/>
          </w:tblCellMar>
        </w:tblPrEx>
        <w:trPr>
          <w:trHeight w:val="346" w:hRule="atLeast"/>
        </w:trPr>
        <w:tc>
          <w:tcPr>
            <w:tcW w:w="328" w:type="pct"/>
            <w:tcBorders>
              <w:tl2br w:val="nil"/>
              <w:tr2bl w:val="nil"/>
            </w:tcBorders>
            <w:vAlign w:val="center"/>
          </w:tcPr>
          <w:p w14:paraId="4EF7B8A3">
            <w:pPr>
              <w:jc w:val="center"/>
              <w:rPr>
                <w:szCs w:val="21"/>
              </w:rPr>
            </w:pPr>
            <w:r>
              <w:rPr>
                <w:rFonts w:hint="eastAsia"/>
                <w:szCs w:val="21"/>
              </w:rPr>
              <w:t>6</w:t>
            </w:r>
          </w:p>
        </w:tc>
        <w:tc>
          <w:tcPr>
            <w:tcW w:w="2254" w:type="pct"/>
            <w:tcBorders>
              <w:tl2br w:val="nil"/>
              <w:tr2bl w:val="nil"/>
            </w:tcBorders>
            <w:vAlign w:val="center"/>
          </w:tcPr>
          <w:p w14:paraId="107327E6">
            <w:pPr>
              <w:widowControl/>
            </w:pPr>
            <w:r>
              <w:rPr>
                <w:rFonts w:hint="eastAsia" w:ascii="宋体" w:hAnsi="宋体" w:cs="宋体"/>
                <w:color w:val="000000"/>
                <w:kern w:val="0"/>
                <w:sz w:val="20"/>
                <w:lang w:bidi="ar"/>
              </w:rPr>
              <w:t xml:space="preserve">环境保护要求：废塑料再生利用企业应执行 </w:t>
            </w:r>
          </w:p>
          <w:p w14:paraId="2CCE5E80">
            <w:pPr>
              <w:widowControl/>
              <w:jc w:val="left"/>
            </w:pPr>
            <w:r>
              <w:rPr>
                <w:color w:val="000000"/>
                <w:kern w:val="0"/>
                <w:sz w:val="20"/>
                <w:lang w:bidi="ar"/>
              </w:rPr>
              <w:t>GB31572</w:t>
            </w:r>
            <w:r>
              <w:rPr>
                <w:rFonts w:hint="eastAsia" w:ascii="宋体" w:hAnsi="宋体" w:cs="宋体"/>
                <w:color w:val="000000"/>
                <w:kern w:val="0"/>
                <w:sz w:val="20"/>
                <w:lang w:bidi="ar"/>
              </w:rPr>
              <w:t>、</w:t>
            </w:r>
            <w:r>
              <w:rPr>
                <w:color w:val="000000"/>
                <w:kern w:val="0"/>
                <w:sz w:val="20"/>
                <w:lang w:bidi="ar"/>
              </w:rPr>
              <w:t>GB8978</w:t>
            </w:r>
            <w:r>
              <w:rPr>
                <w:rFonts w:hint="eastAsia" w:ascii="宋体" w:hAnsi="宋体" w:cs="宋体"/>
                <w:color w:val="000000"/>
                <w:kern w:val="0"/>
                <w:sz w:val="20"/>
                <w:lang w:bidi="ar"/>
              </w:rPr>
              <w:t>、</w:t>
            </w:r>
            <w:r>
              <w:rPr>
                <w:color w:val="000000"/>
                <w:kern w:val="0"/>
                <w:sz w:val="20"/>
                <w:lang w:bidi="ar"/>
              </w:rPr>
              <w:t>GB/T31962</w:t>
            </w:r>
            <w:r>
              <w:rPr>
                <w:rFonts w:hint="eastAsia" w:ascii="宋体" w:hAnsi="宋体" w:cs="宋体"/>
                <w:color w:val="000000"/>
                <w:kern w:val="0"/>
                <w:sz w:val="20"/>
                <w:lang w:bidi="ar"/>
              </w:rPr>
              <w:t>、</w:t>
            </w:r>
            <w:r>
              <w:rPr>
                <w:color w:val="000000"/>
                <w:kern w:val="0"/>
                <w:sz w:val="20"/>
                <w:lang w:bidi="ar"/>
              </w:rPr>
              <w:t xml:space="preserve">GB16297 </w:t>
            </w:r>
            <w:r>
              <w:rPr>
                <w:rFonts w:hint="eastAsia" w:ascii="宋体" w:hAnsi="宋体" w:cs="宋体"/>
                <w:color w:val="000000"/>
                <w:kern w:val="0"/>
                <w:sz w:val="20"/>
                <w:lang w:bidi="ar"/>
              </w:rPr>
              <w:t xml:space="preserve">和 </w:t>
            </w:r>
          </w:p>
          <w:p w14:paraId="040C13F8">
            <w:pPr>
              <w:widowControl/>
            </w:pPr>
            <w:r>
              <w:rPr>
                <w:color w:val="000000"/>
                <w:kern w:val="0"/>
                <w:sz w:val="20"/>
                <w:lang w:bidi="ar"/>
              </w:rPr>
              <w:t>GB14554</w:t>
            </w:r>
            <w:r>
              <w:rPr>
                <w:rFonts w:hint="eastAsia" w:ascii="宋体" w:hAnsi="宋体" w:cs="宋体"/>
                <w:color w:val="000000"/>
                <w:kern w:val="0"/>
                <w:sz w:val="20"/>
                <w:lang w:bidi="ar"/>
              </w:rPr>
              <w:t xml:space="preserve">。有相关地方标准的执行地方标准。收集到的清洗废水、分选废水、冷却水等，应根据废水污染物的情况选择分别处理或集中处理。废水处理应采用物化、生化组合处理工艺、膜处理等技术，减少药剂的使用和污泥的产生。再生利用过程中收集的废气应根据废气的性质，采用催化氧化、低温等离子、喷淋等处理技术。如再生利用过程的废气中含氯化氢等酸性气体，应增加喷淋处理设施。 </w:t>
            </w:r>
          </w:p>
          <w:p w14:paraId="5E66BECC">
            <w:pPr>
              <w:widowControl/>
              <w:jc w:val="left"/>
              <w:rPr>
                <w:szCs w:val="21"/>
              </w:rPr>
            </w:pPr>
            <w:r>
              <w:rPr>
                <w:rFonts w:hint="eastAsia" w:ascii="宋体" w:hAnsi="宋体" w:cs="宋体"/>
                <w:color w:val="000000"/>
                <w:kern w:val="0"/>
                <w:sz w:val="20"/>
                <w:lang w:bidi="ar"/>
              </w:rPr>
              <w:t xml:space="preserve">再生利用过程中产生的固体废物，属于一般工业固体废物的应执行 </w:t>
            </w:r>
            <w:r>
              <w:rPr>
                <w:color w:val="000000"/>
                <w:kern w:val="0"/>
                <w:sz w:val="20"/>
                <w:lang w:bidi="ar"/>
              </w:rPr>
              <w:t>GB18599</w:t>
            </w:r>
            <w:r>
              <w:rPr>
                <w:rFonts w:hint="eastAsia" w:ascii="宋体" w:hAnsi="宋体" w:cs="宋体"/>
                <w:color w:val="000000"/>
                <w:kern w:val="0"/>
                <w:sz w:val="20"/>
                <w:lang w:bidi="ar"/>
              </w:rPr>
              <w:t xml:space="preserve">；属于危险废物的交由有相关危险废物处理资质单位处理。废水处理过程产生的污泥，企业可自行处理，或交由污泥处理企业处理，不得随意丢弃。不得在缺乏必要的环保设施条件下焚烧废弃滤网、熔融渣。再生利用过程应进行减噪处理，执行 </w:t>
            </w:r>
            <w:r>
              <w:rPr>
                <w:color w:val="000000"/>
                <w:kern w:val="0"/>
                <w:sz w:val="20"/>
                <w:lang w:bidi="ar"/>
              </w:rPr>
              <w:t>GB12348</w:t>
            </w:r>
            <w:r>
              <w:rPr>
                <w:rFonts w:hint="eastAsia" w:ascii="宋体" w:hAnsi="宋体" w:cs="宋体"/>
                <w:color w:val="000000"/>
                <w:kern w:val="0"/>
                <w:sz w:val="20"/>
                <w:lang w:bidi="ar"/>
              </w:rPr>
              <w:t>。应建立完善的污染防治制度，定期维护环境保护设施，建立完整的废水处理、废气治理、固体废物处理处置等环境保护相关记录。</w:t>
            </w:r>
          </w:p>
        </w:tc>
        <w:tc>
          <w:tcPr>
            <w:tcW w:w="1729" w:type="pct"/>
            <w:tcBorders>
              <w:tl2br w:val="nil"/>
              <w:tr2bl w:val="nil"/>
            </w:tcBorders>
            <w:vAlign w:val="center"/>
          </w:tcPr>
          <w:p w14:paraId="2B64D3ED">
            <w:pPr>
              <w:widowControl/>
              <w:jc w:val="both"/>
            </w:pPr>
            <w:r>
              <w:rPr>
                <w:rFonts w:hint="eastAsia" w:ascii="宋体" w:hAnsi="宋体" w:cs="宋体"/>
                <w:color w:val="000000"/>
                <w:kern w:val="0"/>
                <w:sz w:val="20"/>
                <w:lang w:bidi="ar"/>
              </w:rPr>
              <w:t>造粒熔融挤出有机废气中非甲烷总烃执行</w:t>
            </w:r>
            <w:r>
              <w:rPr>
                <w:color w:val="000000"/>
                <w:kern w:val="0"/>
                <w:sz w:val="20"/>
                <w:lang w:bidi="ar"/>
              </w:rPr>
              <w:t xml:space="preserve">GB31572 </w:t>
            </w:r>
            <w:r>
              <w:rPr>
                <w:rFonts w:hint="eastAsia" w:ascii="宋体" w:hAnsi="宋体" w:cs="宋体"/>
                <w:color w:val="000000"/>
                <w:kern w:val="0"/>
                <w:sz w:val="20"/>
                <w:lang w:bidi="ar"/>
              </w:rPr>
              <w:t>标准，废气经每条生产线上方的</w:t>
            </w:r>
            <w:r>
              <w:rPr>
                <w:szCs w:val="21"/>
              </w:rPr>
              <w:t>集气罩收集后</w:t>
            </w:r>
            <w:r>
              <w:rPr>
                <w:rFonts w:hint="eastAsia"/>
                <w:szCs w:val="21"/>
              </w:rPr>
              <w:t>经1套</w:t>
            </w:r>
            <w:r>
              <w:rPr>
                <w:rFonts w:hint="eastAsia"/>
                <w:szCs w:val="21"/>
                <w:lang w:eastAsia="zh-CN"/>
              </w:rPr>
              <w:t>活性炭浓缩吸附+催化燃烧</w:t>
            </w:r>
            <w:r>
              <w:rPr>
                <w:rFonts w:hint="eastAsia"/>
                <w:szCs w:val="21"/>
              </w:rPr>
              <w:t>系统</w:t>
            </w:r>
            <w:r>
              <w:rPr>
                <w:szCs w:val="21"/>
              </w:rPr>
              <w:t>进行处理，最终通过</w:t>
            </w:r>
            <w:r>
              <w:rPr>
                <w:rFonts w:hint="eastAsia"/>
                <w:szCs w:val="21"/>
              </w:rPr>
              <w:t>15m高</w:t>
            </w:r>
            <w:r>
              <w:rPr>
                <w:szCs w:val="21"/>
              </w:rPr>
              <w:t>排气筒排放</w:t>
            </w:r>
            <w:r>
              <w:rPr>
                <w:rFonts w:hint="eastAsia" w:ascii="宋体" w:hAnsi="宋体" w:cs="宋体"/>
                <w:color w:val="000000"/>
                <w:kern w:val="0"/>
                <w:sz w:val="20"/>
                <w:lang w:bidi="ar"/>
              </w:rPr>
              <w:t>；项目</w:t>
            </w:r>
            <w:r>
              <w:rPr>
                <w:rFonts w:hint="eastAsia" w:ascii="宋体" w:hAnsi="宋体" w:cs="宋体"/>
                <w:color w:val="000000"/>
                <w:kern w:val="0"/>
                <w:sz w:val="20"/>
                <w:lang w:eastAsia="zh-CN" w:bidi="ar"/>
              </w:rPr>
              <w:t>造粒</w:t>
            </w:r>
            <w:r>
              <w:rPr>
                <w:rFonts w:hint="eastAsia" w:ascii="宋体" w:hAnsi="宋体" w:cs="宋体"/>
                <w:color w:val="000000"/>
                <w:kern w:val="0"/>
                <w:sz w:val="20"/>
                <w:lang w:bidi="ar"/>
              </w:rPr>
              <w:t>和滴灌带生产冷却</w:t>
            </w:r>
            <w:r>
              <w:rPr>
                <w:rFonts w:hint="eastAsia" w:ascii="宋体" w:hAnsi="宋体" w:cs="宋体"/>
                <w:color w:val="000000"/>
                <w:kern w:val="0"/>
                <w:sz w:val="20"/>
                <w:lang w:eastAsia="zh-CN" w:bidi="ar"/>
              </w:rPr>
              <w:t>采用风冷</w:t>
            </w:r>
            <w:r>
              <w:rPr>
                <w:rFonts w:hint="eastAsia" w:ascii="宋体" w:hAnsi="宋体" w:cs="宋体"/>
                <w:color w:val="000000"/>
                <w:kern w:val="0"/>
                <w:sz w:val="20"/>
                <w:lang w:bidi="ar"/>
              </w:rPr>
              <w:t>。项目产生的一般工业固体废物执行</w:t>
            </w:r>
            <w:r>
              <w:rPr>
                <w:color w:val="000000"/>
                <w:kern w:val="0"/>
                <w:sz w:val="20"/>
                <w:lang w:bidi="ar"/>
              </w:rPr>
              <w:t>GB18599</w:t>
            </w:r>
            <w:r>
              <w:rPr>
                <w:rFonts w:hint="eastAsia" w:ascii="宋体" w:hAnsi="宋体" w:cs="宋体"/>
                <w:color w:val="000000"/>
                <w:kern w:val="0"/>
                <w:sz w:val="20"/>
                <w:lang w:bidi="ar"/>
              </w:rPr>
              <w:t>；危险废物收集至危废贮存点，交由有资质单位处理。生产过</w:t>
            </w:r>
            <w:r>
              <w:rPr>
                <w:rFonts w:hint="eastAsia" w:ascii="宋体" w:hAnsi="宋体" w:cs="宋体"/>
                <w:color w:val="000000"/>
                <w:kern w:val="0"/>
                <w:sz w:val="20"/>
                <w:lang w:eastAsia="zh-CN" w:bidi="ar"/>
              </w:rPr>
              <w:t>程中</w:t>
            </w:r>
            <w:r>
              <w:rPr>
                <w:rFonts w:hint="eastAsia" w:ascii="宋体" w:hAnsi="宋体" w:cs="宋体"/>
                <w:color w:val="000000"/>
                <w:kern w:val="0"/>
                <w:sz w:val="20"/>
                <w:lang w:bidi="ar"/>
              </w:rPr>
              <w:t>产生的噪声采用低噪声设备、采取基础减振、厂房隔声、风机消声等措施，厂界噪声执行</w:t>
            </w:r>
            <w:r>
              <w:rPr>
                <w:color w:val="000000"/>
                <w:kern w:val="0"/>
                <w:sz w:val="20"/>
                <w:lang w:bidi="ar"/>
              </w:rPr>
              <w:t>GB12348</w:t>
            </w:r>
            <w:r>
              <w:rPr>
                <w:rFonts w:hint="eastAsia" w:ascii="宋体" w:hAnsi="宋体" w:cs="宋体"/>
                <w:color w:val="000000"/>
                <w:kern w:val="0"/>
                <w:sz w:val="20"/>
                <w:lang w:bidi="ar"/>
              </w:rPr>
              <w:t>；企业建立完善的污染防治制度，定期维护环保设施，建立完整的废气治理、固体废物处理处置等环境保护相关记录。</w:t>
            </w:r>
          </w:p>
          <w:p w14:paraId="562302D6">
            <w:pPr>
              <w:widowControl/>
              <w:jc w:val="left"/>
            </w:pPr>
          </w:p>
          <w:p w14:paraId="1830C07C">
            <w:pPr>
              <w:jc w:val="center"/>
              <w:rPr>
                <w:rFonts w:hint="eastAsia" w:ascii="宋体" w:hAnsi="宋体" w:cs="宋体"/>
                <w:color w:val="000000"/>
                <w:kern w:val="0"/>
                <w:sz w:val="20"/>
                <w:lang w:bidi="ar"/>
              </w:rPr>
            </w:pPr>
          </w:p>
        </w:tc>
        <w:tc>
          <w:tcPr>
            <w:tcW w:w="687" w:type="pct"/>
            <w:tcBorders>
              <w:tl2br w:val="nil"/>
              <w:tr2bl w:val="nil"/>
            </w:tcBorders>
            <w:vAlign w:val="center"/>
          </w:tcPr>
          <w:p w14:paraId="21550860">
            <w:pPr>
              <w:jc w:val="center"/>
              <w:rPr>
                <w:szCs w:val="21"/>
              </w:rPr>
            </w:pPr>
            <w:r>
              <w:rPr>
                <w:rFonts w:hint="eastAsia"/>
                <w:szCs w:val="21"/>
              </w:rPr>
              <w:t>符合</w:t>
            </w:r>
          </w:p>
        </w:tc>
      </w:tr>
    </w:tbl>
    <w:p w14:paraId="6650584D">
      <w:pPr>
        <w:pStyle w:val="5"/>
        <w:rPr>
          <w:rFonts w:ascii="Times New Roman" w:hAnsi="Times New Roman"/>
          <w:color w:val="000000"/>
          <w:lang w:val="en-US"/>
        </w:rPr>
      </w:pPr>
      <w:r>
        <w:rPr>
          <w:rFonts w:hint="eastAsia" w:ascii="Times New Roman" w:hAnsi="Times New Roman"/>
          <w:color w:val="000000"/>
          <w:lang w:val="en-US"/>
        </w:rPr>
        <w:t>2.9.2.8与《2020年挥发性有机物治理攻坚方案》（环大气〔2020〕33号）符合性分析</w:t>
      </w:r>
    </w:p>
    <w:p w14:paraId="335875D0">
      <w:pPr>
        <w:widowControl/>
        <w:spacing w:line="360" w:lineRule="auto"/>
        <w:ind w:firstLine="480" w:firstLineChars="200"/>
        <w:rPr>
          <w:rFonts w:hint="eastAsia" w:ascii="宋体" w:hAnsi="宋体" w:cs="宋体"/>
          <w:sz w:val="24"/>
          <w:szCs w:val="24"/>
          <w:lang w:bidi="ar"/>
        </w:rPr>
      </w:pPr>
      <w:r>
        <w:rPr>
          <w:rFonts w:hint="eastAsia" w:ascii="宋体" w:hAnsi="宋体" w:cs="宋体"/>
          <w:sz w:val="24"/>
          <w:szCs w:val="24"/>
          <w:lang w:bidi="ar"/>
        </w:rPr>
        <w:t>本项目与《2020年挥发性有机物治理攻坚方案》（环大气〔2020〕33号）符合性分析见表2.9-7。</w:t>
      </w:r>
    </w:p>
    <w:p w14:paraId="63AC7F5B">
      <w:pPr>
        <w:pStyle w:val="63"/>
        <w:jc w:val="center"/>
        <w:rPr>
          <w:rFonts w:ascii="Times New Roman"/>
          <w:b/>
          <w:bCs/>
          <w:color w:val="auto"/>
          <w:sz w:val="21"/>
          <w:lang w:bidi="zh-CN"/>
        </w:rPr>
      </w:pPr>
      <w:r>
        <w:rPr>
          <w:rFonts w:hint="eastAsia" w:ascii="Times New Roman"/>
          <w:b/>
          <w:bCs/>
          <w:color w:val="auto"/>
          <w:sz w:val="21"/>
          <w:lang w:bidi="zh-CN"/>
        </w:rPr>
        <w:t>表2.9-7   《2020年挥发性有机物治理</w:t>
      </w:r>
      <w:r>
        <w:rPr>
          <w:rFonts w:ascii="Times New Roman"/>
          <w:b/>
          <w:bCs/>
          <w:color w:val="auto"/>
          <w:sz w:val="21"/>
          <w:lang w:bidi="zh-CN"/>
        </w:rPr>
        <w:t>攻坚方案》符合性分析</w:t>
      </w:r>
    </w:p>
    <w:tbl>
      <w:tblPr>
        <w:tblStyle w:val="49"/>
        <w:tblW w:w="4997" w:type="pct"/>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0" w:type="dxa"/>
          <w:bottom w:w="0" w:type="dxa"/>
          <w:right w:w="0" w:type="dxa"/>
        </w:tblCellMar>
      </w:tblPr>
      <w:tblGrid>
        <w:gridCol w:w="529"/>
        <w:gridCol w:w="953"/>
        <w:gridCol w:w="3254"/>
        <w:gridCol w:w="3070"/>
        <w:gridCol w:w="1234"/>
      </w:tblGrid>
      <w:tr w14:paraId="4E1659B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293" w:type="pct"/>
            <w:tcBorders>
              <w:tl2br w:val="nil"/>
              <w:tr2bl w:val="nil"/>
            </w:tcBorders>
            <w:vAlign w:val="center"/>
          </w:tcPr>
          <w:p w14:paraId="6B9EBB3E">
            <w:pPr>
              <w:jc w:val="center"/>
              <w:rPr>
                <w:b/>
                <w:bCs/>
                <w:szCs w:val="21"/>
              </w:rPr>
            </w:pPr>
            <w:r>
              <w:rPr>
                <w:b/>
                <w:bCs/>
                <w:szCs w:val="21"/>
              </w:rPr>
              <w:t>序号</w:t>
            </w:r>
          </w:p>
        </w:tc>
        <w:tc>
          <w:tcPr>
            <w:tcW w:w="527" w:type="pct"/>
            <w:tcBorders>
              <w:tl2br w:val="nil"/>
              <w:tr2bl w:val="nil"/>
            </w:tcBorders>
            <w:vAlign w:val="center"/>
          </w:tcPr>
          <w:p w14:paraId="43823D06">
            <w:pPr>
              <w:jc w:val="center"/>
              <w:rPr>
                <w:b/>
                <w:bCs/>
                <w:szCs w:val="21"/>
              </w:rPr>
            </w:pPr>
            <w:r>
              <w:rPr>
                <w:b/>
                <w:bCs/>
                <w:szCs w:val="21"/>
              </w:rPr>
              <w:t>要求</w:t>
            </w:r>
          </w:p>
        </w:tc>
        <w:tc>
          <w:tcPr>
            <w:tcW w:w="1799" w:type="pct"/>
            <w:tcBorders>
              <w:tl2br w:val="nil"/>
              <w:tr2bl w:val="nil"/>
            </w:tcBorders>
            <w:vAlign w:val="center"/>
          </w:tcPr>
          <w:p w14:paraId="766BE0A0">
            <w:pPr>
              <w:jc w:val="center"/>
              <w:rPr>
                <w:b/>
                <w:bCs/>
                <w:szCs w:val="21"/>
              </w:rPr>
            </w:pPr>
            <w:r>
              <w:rPr>
                <w:b/>
                <w:bCs/>
                <w:szCs w:val="21"/>
              </w:rPr>
              <w:t>内容</w:t>
            </w:r>
          </w:p>
        </w:tc>
        <w:tc>
          <w:tcPr>
            <w:tcW w:w="1697" w:type="pct"/>
            <w:tcBorders>
              <w:tl2br w:val="nil"/>
              <w:tr2bl w:val="nil"/>
            </w:tcBorders>
            <w:vAlign w:val="center"/>
          </w:tcPr>
          <w:p w14:paraId="239544FA">
            <w:pPr>
              <w:jc w:val="center"/>
              <w:rPr>
                <w:b/>
                <w:bCs/>
                <w:szCs w:val="21"/>
              </w:rPr>
            </w:pPr>
            <w:r>
              <w:rPr>
                <w:b/>
                <w:bCs/>
                <w:szCs w:val="21"/>
              </w:rPr>
              <w:t>本项目概况</w:t>
            </w:r>
          </w:p>
        </w:tc>
        <w:tc>
          <w:tcPr>
            <w:tcW w:w="682" w:type="pct"/>
            <w:tcBorders>
              <w:tl2br w:val="nil"/>
              <w:tr2bl w:val="nil"/>
            </w:tcBorders>
            <w:vAlign w:val="center"/>
          </w:tcPr>
          <w:p w14:paraId="3083DF32">
            <w:pPr>
              <w:jc w:val="center"/>
              <w:rPr>
                <w:b/>
                <w:bCs/>
                <w:szCs w:val="21"/>
              </w:rPr>
            </w:pPr>
            <w:r>
              <w:rPr>
                <w:b/>
                <w:bCs/>
                <w:szCs w:val="21"/>
              </w:rPr>
              <w:t>符合性分析</w:t>
            </w:r>
          </w:p>
        </w:tc>
      </w:tr>
      <w:tr w14:paraId="5D16F8B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1086" w:hRule="atLeast"/>
        </w:trPr>
        <w:tc>
          <w:tcPr>
            <w:tcW w:w="293" w:type="pct"/>
            <w:tcBorders>
              <w:tl2br w:val="nil"/>
              <w:tr2bl w:val="nil"/>
            </w:tcBorders>
            <w:vAlign w:val="center"/>
          </w:tcPr>
          <w:p w14:paraId="4A7D293C">
            <w:pPr>
              <w:jc w:val="center"/>
              <w:rPr>
                <w:szCs w:val="21"/>
              </w:rPr>
            </w:pPr>
            <w:r>
              <w:rPr>
                <w:szCs w:val="21"/>
              </w:rPr>
              <w:t>1</w:t>
            </w:r>
          </w:p>
        </w:tc>
        <w:tc>
          <w:tcPr>
            <w:tcW w:w="527" w:type="pct"/>
            <w:tcBorders>
              <w:tl2br w:val="nil"/>
              <w:tr2bl w:val="nil"/>
            </w:tcBorders>
            <w:vAlign w:val="center"/>
          </w:tcPr>
          <w:p w14:paraId="3EA3B585">
            <w:pPr>
              <w:jc w:val="center"/>
              <w:rPr>
                <w:szCs w:val="21"/>
              </w:rPr>
            </w:pPr>
            <w:r>
              <w:rPr>
                <w:rFonts w:hint="eastAsia"/>
                <w:szCs w:val="21"/>
              </w:rPr>
              <w:t>二、全面落实标准要求，强化无组织排放控制</w:t>
            </w:r>
          </w:p>
        </w:tc>
        <w:tc>
          <w:tcPr>
            <w:tcW w:w="1799" w:type="pct"/>
            <w:tcBorders>
              <w:tl2br w:val="nil"/>
              <w:tr2bl w:val="nil"/>
            </w:tcBorders>
            <w:vAlign w:val="center"/>
          </w:tcPr>
          <w:p w14:paraId="2977772D">
            <w:pPr>
              <w:jc w:val="center"/>
              <w:rPr>
                <w:szCs w:val="21"/>
              </w:rPr>
            </w:pPr>
            <w:r>
              <w:rPr>
                <w:rFonts w:hint="eastAsia"/>
                <w:szCs w:val="21"/>
              </w:rPr>
              <w:t>生产和使用环节应采用密闭设备，或在密闭空间中操作并有效收集废气，或进行局部气体收集</w:t>
            </w:r>
          </w:p>
        </w:tc>
        <w:tc>
          <w:tcPr>
            <w:tcW w:w="1697" w:type="pct"/>
            <w:tcBorders>
              <w:tl2br w:val="nil"/>
              <w:tr2bl w:val="nil"/>
            </w:tcBorders>
            <w:vAlign w:val="center"/>
          </w:tcPr>
          <w:p w14:paraId="6723B43D">
            <w:pPr>
              <w:jc w:val="center"/>
              <w:rPr>
                <w:szCs w:val="21"/>
              </w:rPr>
            </w:pPr>
            <w:r>
              <w:rPr>
                <w:rFonts w:hint="eastAsia"/>
                <w:szCs w:val="21"/>
              </w:rPr>
              <w:t>生产设备均位于车间内部，每条生产线熔融挤出工序上方0.5m处安装集气罩收集有机废气</w:t>
            </w:r>
          </w:p>
        </w:tc>
        <w:tc>
          <w:tcPr>
            <w:tcW w:w="682" w:type="pct"/>
            <w:tcBorders>
              <w:tl2br w:val="nil"/>
              <w:tr2bl w:val="nil"/>
            </w:tcBorders>
            <w:vAlign w:val="center"/>
          </w:tcPr>
          <w:p w14:paraId="5FC67F85">
            <w:pPr>
              <w:jc w:val="center"/>
              <w:rPr>
                <w:szCs w:val="21"/>
              </w:rPr>
            </w:pPr>
            <w:r>
              <w:rPr>
                <w:szCs w:val="21"/>
              </w:rPr>
              <w:t>符合</w:t>
            </w:r>
          </w:p>
        </w:tc>
      </w:tr>
      <w:tr w14:paraId="1D7812C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37" w:hRule="atLeast"/>
        </w:trPr>
        <w:tc>
          <w:tcPr>
            <w:tcW w:w="293" w:type="pct"/>
            <w:vMerge w:val="restart"/>
            <w:tcBorders>
              <w:tl2br w:val="nil"/>
              <w:tr2bl w:val="nil"/>
            </w:tcBorders>
            <w:vAlign w:val="center"/>
          </w:tcPr>
          <w:p w14:paraId="555077CB">
            <w:pPr>
              <w:jc w:val="center"/>
              <w:rPr>
                <w:szCs w:val="21"/>
              </w:rPr>
            </w:pPr>
            <w:r>
              <w:rPr>
                <w:szCs w:val="21"/>
              </w:rPr>
              <w:t>2</w:t>
            </w:r>
          </w:p>
        </w:tc>
        <w:tc>
          <w:tcPr>
            <w:tcW w:w="527" w:type="pct"/>
            <w:vMerge w:val="restart"/>
            <w:tcBorders>
              <w:tl2br w:val="nil"/>
              <w:tr2bl w:val="nil"/>
            </w:tcBorders>
            <w:vAlign w:val="center"/>
          </w:tcPr>
          <w:p w14:paraId="0B10957E">
            <w:pPr>
              <w:jc w:val="center"/>
              <w:rPr>
                <w:szCs w:val="21"/>
              </w:rPr>
            </w:pPr>
            <w:r>
              <w:rPr>
                <w:rFonts w:hint="eastAsia"/>
                <w:szCs w:val="21"/>
              </w:rPr>
              <w:t>三、聚焦治污设施“三率”，提升综合治理效率</w:t>
            </w:r>
          </w:p>
        </w:tc>
        <w:tc>
          <w:tcPr>
            <w:tcW w:w="1799" w:type="pct"/>
            <w:tcBorders>
              <w:tl2br w:val="nil"/>
              <w:tr2bl w:val="nil"/>
            </w:tcBorders>
            <w:vAlign w:val="center"/>
          </w:tcPr>
          <w:p w14:paraId="415FA824">
            <w:pPr>
              <w:jc w:val="center"/>
              <w:rPr>
                <w:szCs w:val="21"/>
              </w:rPr>
            </w:pPr>
            <w:r>
              <w:rPr>
                <w:rFonts w:hint="eastAsia"/>
                <w:szCs w:val="21"/>
              </w:rPr>
              <w:t>将无组织排放转变为有组织排放进行控制，优先采用密闭设备、在密闭空间中操作或采用全密闭集气罩收集方式；对于采用局部集气罩的，应根据废气排放特点合理选择收集点位，距集气罩开口面最远处的 VOCs 无组织排放位置，控制风速不低于0.3m/s</w:t>
            </w:r>
          </w:p>
        </w:tc>
        <w:tc>
          <w:tcPr>
            <w:tcW w:w="1697" w:type="pct"/>
            <w:tcBorders>
              <w:tl2br w:val="nil"/>
              <w:tr2bl w:val="nil"/>
            </w:tcBorders>
            <w:vAlign w:val="center"/>
          </w:tcPr>
          <w:p w14:paraId="0DC2571B">
            <w:pPr>
              <w:jc w:val="center"/>
              <w:rPr>
                <w:szCs w:val="21"/>
              </w:rPr>
            </w:pPr>
            <w:r>
              <w:rPr>
                <w:rFonts w:hint="eastAsia"/>
                <w:szCs w:val="21"/>
              </w:rPr>
              <w:t>车间内部每条生产线熔融挤出工序上方0.5m处安装集气罩，经1套</w:t>
            </w:r>
            <w:r>
              <w:rPr>
                <w:rFonts w:hint="eastAsia"/>
                <w:szCs w:val="21"/>
                <w:lang w:eastAsia="zh-CN"/>
              </w:rPr>
              <w:t>活性炭浓缩吸附+催化燃烧</w:t>
            </w:r>
            <w:r>
              <w:rPr>
                <w:rFonts w:hint="eastAsia"/>
                <w:szCs w:val="21"/>
              </w:rPr>
              <w:t>系统</w:t>
            </w:r>
            <w:r>
              <w:rPr>
                <w:szCs w:val="21"/>
              </w:rPr>
              <w:t>进行处理，最终通过</w:t>
            </w:r>
            <w:r>
              <w:rPr>
                <w:rFonts w:hint="eastAsia"/>
                <w:szCs w:val="21"/>
              </w:rPr>
              <w:t>15m高</w:t>
            </w:r>
            <w:r>
              <w:rPr>
                <w:szCs w:val="21"/>
              </w:rPr>
              <w:t>排气筒排放</w:t>
            </w:r>
            <w:r>
              <w:rPr>
                <w:rFonts w:hint="eastAsia"/>
                <w:szCs w:val="21"/>
              </w:rPr>
              <w:t>。</w:t>
            </w:r>
          </w:p>
        </w:tc>
        <w:tc>
          <w:tcPr>
            <w:tcW w:w="682" w:type="pct"/>
            <w:tcBorders>
              <w:tl2br w:val="nil"/>
              <w:tr2bl w:val="nil"/>
            </w:tcBorders>
            <w:vAlign w:val="center"/>
          </w:tcPr>
          <w:p w14:paraId="73945B1B">
            <w:pPr>
              <w:jc w:val="center"/>
              <w:rPr>
                <w:szCs w:val="21"/>
              </w:rPr>
            </w:pPr>
            <w:r>
              <w:rPr>
                <w:szCs w:val="21"/>
              </w:rPr>
              <w:t>符合</w:t>
            </w:r>
          </w:p>
        </w:tc>
      </w:tr>
      <w:tr w14:paraId="682F0FD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37" w:hRule="atLeast"/>
        </w:trPr>
        <w:tc>
          <w:tcPr>
            <w:tcW w:w="293" w:type="pct"/>
            <w:vMerge w:val="continue"/>
            <w:tcBorders>
              <w:tl2br w:val="nil"/>
              <w:tr2bl w:val="nil"/>
            </w:tcBorders>
            <w:vAlign w:val="center"/>
          </w:tcPr>
          <w:p w14:paraId="2274E211">
            <w:pPr>
              <w:jc w:val="center"/>
              <w:rPr>
                <w:szCs w:val="21"/>
              </w:rPr>
            </w:pPr>
          </w:p>
        </w:tc>
        <w:tc>
          <w:tcPr>
            <w:tcW w:w="527" w:type="pct"/>
            <w:vMerge w:val="continue"/>
            <w:tcBorders>
              <w:tl2br w:val="nil"/>
              <w:tr2bl w:val="nil"/>
            </w:tcBorders>
            <w:vAlign w:val="center"/>
          </w:tcPr>
          <w:p w14:paraId="79115920">
            <w:pPr>
              <w:jc w:val="center"/>
              <w:rPr>
                <w:szCs w:val="21"/>
              </w:rPr>
            </w:pPr>
          </w:p>
        </w:tc>
        <w:tc>
          <w:tcPr>
            <w:tcW w:w="1799" w:type="pct"/>
            <w:tcBorders>
              <w:tl2br w:val="nil"/>
              <w:tr2bl w:val="nil"/>
            </w:tcBorders>
            <w:vAlign w:val="center"/>
          </w:tcPr>
          <w:p w14:paraId="29950E3F">
            <w:pPr>
              <w:jc w:val="center"/>
              <w:rPr>
                <w:szCs w:val="21"/>
              </w:rPr>
            </w:pPr>
            <w:r>
              <w:rPr>
                <w:rFonts w:hint="eastAsia"/>
                <w:szCs w:val="21"/>
              </w:rPr>
              <w:t>按照与生产设备“同启同停”的原则提升治理设施运行率。根据处理工艺要求，在处理设施达到正常运行条件后方可启动生产设备，在生产设备停止、残留VOCs废气收集处理完毕后，方可停运处理设施。VOCs废气处理系统发生故障或检修时，对应生产工艺设备应停止运行，待检修完毕后同步投入使用。</w:t>
            </w:r>
          </w:p>
        </w:tc>
        <w:tc>
          <w:tcPr>
            <w:tcW w:w="1697" w:type="pct"/>
            <w:tcBorders>
              <w:tl2br w:val="nil"/>
              <w:tr2bl w:val="nil"/>
            </w:tcBorders>
            <w:vAlign w:val="center"/>
          </w:tcPr>
          <w:p w14:paraId="565056D6">
            <w:pPr>
              <w:jc w:val="center"/>
              <w:rPr>
                <w:szCs w:val="21"/>
              </w:rPr>
            </w:pPr>
            <w:r>
              <w:rPr>
                <w:rFonts w:hint="eastAsia"/>
                <w:szCs w:val="21"/>
              </w:rPr>
              <w:t>建设单位应严格按照“同启同</w:t>
            </w:r>
          </w:p>
          <w:p w14:paraId="63202250">
            <w:pPr>
              <w:jc w:val="center"/>
              <w:rPr>
                <w:szCs w:val="21"/>
              </w:rPr>
            </w:pPr>
            <w:r>
              <w:rPr>
                <w:rFonts w:hint="eastAsia"/>
                <w:szCs w:val="21"/>
              </w:rPr>
              <w:t>停”的原则进行生产。</w:t>
            </w:r>
          </w:p>
          <w:p w14:paraId="62D13758">
            <w:pPr>
              <w:jc w:val="center"/>
              <w:rPr>
                <w:szCs w:val="21"/>
              </w:rPr>
            </w:pPr>
          </w:p>
        </w:tc>
        <w:tc>
          <w:tcPr>
            <w:tcW w:w="682" w:type="pct"/>
            <w:tcBorders>
              <w:tl2br w:val="nil"/>
              <w:tr2bl w:val="nil"/>
            </w:tcBorders>
            <w:vAlign w:val="center"/>
          </w:tcPr>
          <w:p w14:paraId="0F451479">
            <w:pPr>
              <w:jc w:val="center"/>
              <w:rPr>
                <w:szCs w:val="21"/>
              </w:rPr>
            </w:pPr>
            <w:r>
              <w:rPr>
                <w:szCs w:val="21"/>
              </w:rPr>
              <w:t>符合</w:t>
            </w:r>
          </w:p>
        </w:tc>
      </w:tr>
      <w:tr w14:paraId="40ADF08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1560" w:hRule="atLeast"/>
        </w:trPr>
        <w:tc>
          <w:tcPr>
            <w:tcW w:w="293" w:type="pct"/>
            <w:vMerge w:val="continue"/>
            <w:tcBorders>
              <w:tl2br w:val="nil"/>
              <w:tr2bl w:val="nil"/>
            </w:tcBorders>
            <w:vAlign w:val="center"/>
          </w:tcPr>
          <w:p w14:paraId="707F998C">
            <w:pPr>
              <w:jc w:val="center"/>
              <w:rPr>
                <w:szCs w:val="21"/>
              </w:rPr>
            </w:pPr>
          </w:p>
        </w:tc>
        <w:tc>
          <w:tcPr>
            <w:tcW w:w="527" w:type="pct"/>
            <w:vMerge w:val="continue"/>
            <w:tcBorders>
              <w:tl2br w:val="nil"/>
              <w:tr2bl w:val="nil"/>
            </w:tcBorders>
            <w:vAlign w:val="center"/>
          </w:tcPr>
          <w:p w14:paraId="6A328605">
            <w:pPr>
              <w:jc w:val="center"/>
              <w:rPr>
                <w:szCs w:val="21"/>
              </w:rPr>
            </w:pPr>
          </w:p>
        </w:tc>
        <w:tc>
          <w:tcPr>
            <w:tcW w:w="1799" w:type="pct"/>
            <w:tcBorders>
              <w:tl2br w:val="nil"/>
              <w:tr2bl w:val="nil"/>
            </w:tcBorders>
            <w:vAlign w:val="center"/>
          </w:tcPr>
          <w:p w14:paraId="2F4C58E4">
            <w:pPr>
              <w:jc w:val="center"/>
              <w:rPr>
                <w:szCs w:val="21"/>
              </w:rPr>
            </w:pPr>
            <w:r>
              <w:rPr>
                <w:rFonts w:hint="eastAsia"/>
                <w:szCs w:val="21"/>
              </w:rPr>
              <w:t>采用活性炭吸附技术的，应选择碘值不低于800mg/g的柱状或颗粒状活性炭，并按设计要求足量添加、及时更换</w:t>
            </w:r>
          </w:p>
        </w:tc>
        <w:tc>
          <w:tcPr>
            <w:tcW w:w="1697" w:type="pct"/>
            <w:tcBorders>
              <w:tl2br w:val="nil"/>
              <w:tr2bl w:val="nil"/>
            </w:tcBorders>
            <w:vAlign w:val="center"/>
          </w:tcPr>
          <w:p w14:paraId="1EFAEBF6">
            <w:pPr>
              <w:autoSpaceDE w:val="0"/>
              <w:autoSpaceDN w:val="0"/>
              <w:ind w:left="42" w:leftChars="20" w:right="42" w:rightChars="20"/>
              <w:rPr>
                <w:szCs w:val="21"/>
              </w:rPr>
            </w:pPr>
            <w:r>
              <w:rPr>
                <w:rFonts w:hint="eastAsia"/>
                <w:szCs w:val="21"/>
              </w:rPr>
              <w:t>选用集气罩收集后，采用1套</w:t>
            </w:r>
            <w:r>
              <w:rPr>
                <w:rFonts w:hint="eastAsia"/>
                <w:szCs w:val="21"/>
                <w:lang w:eastAsia="zh-CN"/>
              </w:rPr>
              <w:t>活性炭浓缩吸附+催化燃烧</w:t>
            </w:r>
            <w:r>
              <w:rPr>
                <w:rFonts w:hint="eastAsia"/>
                <w:szCs w:val="21"/>
              </w:rPr>
              <w:t>系统”处理后，经由不低于15m排气系统处理生产过程中产生的有机废气。</w:t>
            </w:r>
          </w:p>
        </w:tc>
        <w:tc>
          <w:tcPr>
            <w:tcW w:w="682" w:type="pct"/>
            <w:tcBorders>
              <w:tl2br w:val="nil"/>
              <w:tr2bl w:val="nil"/>
            </w:tcBorders>
            <w:vAlign w:val="center"/>
          </w:tcPr>
          <w:p w14:paraId="1B3AFAA3">
            <w:pPr>
              <w:jc w:val="center"/>
              <w:rPr>
                <w:szCs w:val="21"/>
              </w:rPr>
            </w:pPr>
            <w:r>
              <w:rPr>
                <w:szCs w:val="21"/>
              </w:rPr>
              <w:t>符合</w:t>
            </w:r>
          </w:p>
        </w:tc>
      </w:tr>
    </w:tbl>
    <w:p w14:paraId="6BF0E5B9">
      <w:pPr>
        <w:pStyle w:val="5"/>
        <w:rPr>
          <w:rFonts w:ascii="Times New Roman" w:hAnsi="Times New Roman"/>
          <w:color w:val="000000"/>
          <w:lang w:val="en-US"/>
        </w:rPr>
      </w:pPr>
      <w:r>
        <w:rPr>
          <w:rFonts w:hint="eastAsia" w:ascii="Times New Roman" w:hAnsi="Times New Roman"/>
          <w:color w:val="000000"/>
          <w:lang w:val="en-US"/>
        </w:rPr>
        <w:t>2.9.2.9与《关于进一步加强塑料污染治理的意见》（发改环资〔2020〕80号）符合性分析</w:t>
      </w:r>
    </w:p>
    <w:p w14:paraId="50697E33">
      <w:pPr>
        <w:spacing w:line="360" w:lineRule="auto"/>
        <w:ind w:firstLine="480"/>
        <w:rPr>
          <w:rFonts w:hint="eastAsia" w:ascii="宋体" w:hAnsi="宋体" w:cs="宋体"/>
          <w:sz w:val="24"/>
          <w:szCs w:val="24"/>
          <w:lang w:val="en-US" w:eastAsia="zh-CN"/>
        </w:rPr>
      </w:pPr>
      <w:r>
        <w:rPr>
          <w:rFonts w:hint="eastAsia" w:ascii="宋体" w:hAnsi="宋体" w:cs="宋体"/>
          <w:sz w:val="24"/>
          <w:szCs w:val="24"/>
        </w:rPr>
        <w:t>根据《关于进一步加强塑料污染治理的意见》要求：禁止、限制部分塑料制品的生产、销售和使用</w:t>
      </w:r>
      <w:r>
        <w:rPr>
          <w:rFonts w:hint="eastAsia" w:ascii="宋体" w:hAnsi="宋体" w:cs="宋体"/>
          <w:sz w:val="24"/>
          <w:szCs w:val="24"/>
          <w:lang w:eastAsia="zh-CN"/>
        </w:rPr>
        <w:t>，</w:t>
      </w:r>
      <w:r>
        <w:rPr>
          <w:rFonts w:hint="eastAsia" w:ascii="宋体" w:hAnsi="宋体" w:cs="宋体"/>
          <w:sz w:val="24"/>
          <w:szCs w:val="24"/>
        </w:rPr>
        <w:t>禁止生产、</w:t>
      </w:r>
      <w:r>
        <w:rPr>
          <w:rFonts w:hint="eastAsia" w:ascii="宋体" w:hAnsi="宋体" w:cs="宋体"/>
          <w:sz w:val="24"/>
          <w:szCs w:val="24"/>
          <w:lang w:eastAsia="zh-CN"/>
        </w:rPr>
        <w:t>销售</w:t>
      </w:r>
      <w:r>
        <w:rPr>
          <w:rFonts w:hint="eastAsia" w:ascii="宋体" w:hAnsi="宋体" w:cs="宋体"/>
          <w:sz w:val="24"/>
          <w:szCs w:val="24"/>
        </w:rPr>
        <w:t>塑料制品。禁止生产和销售厚度小于0.025</w:t>
      </w:r>
      <w:r>
        <w:rPr>
          <w:rFonts w:hint="eastAsia" w:ascii="宋体" w:hAnsi="宋体" w:cs="宋体"/>
          <w:sz w:val="24"/>
          <w:szCs w:val="24"/>
          <w:lang w:val="en-US" w:eastAsia="zh-CN"/>
        </w:rPr>
        <w:t>mm</w:t>
      </w:r>
      <w:r>
        <w:rPr>
          <w:rFonts w:hint="eastAsia" w:ascii="宋体" w:hAnsi="宋体" w:cs="宋体"/>
          <w:sz w:val="24"/>
          <w:szCs w:val="24"/>
        </w:rPr>
        <w:t>的超薄塑料购物袋、厚度小于0.01</w:t>
      </w:r>
      <w:r>
        <w:rPr>
          <w:rFonts w:hint="eastAsia" w:ascii="宋体" w:hAnsi="宋体" w:cs="宋体"/>
          <w:sz w:val="24"/>
          <w:szCs w:val="24"/>
          <w:lang w:val="en-US" w:eastAsia="zh-CN"/>
        </w:rPr>
        <w:t>mm</w:t>
      </w:r>
      <w:r>
        <w:rPr>
          <w:rFonts w:hint="eastAsia" w:ascii="宋体" w:hAnsi="宋体" w:cs="宋体"/>
          <w:sz w:val="24"/>
          <w:szCs w:val="24"/>
        </w:rPr>
        <w:t>的聚乙烯农用地膜。禁止以医疗废物为原料制造塑料制品。全面禁止废塑料进口。</w:t>
      </w:r>
      <w:r>
        <w:rPr>
          <w:rFonts w:hint="eastAsia" w:ascii="宋体" w:hAnsi="宋体" w:cs="宋体"/>
          <w:sz w:val="24"/>
          <w:szCs w:val="24"/>
          <w:lang w:eastAsia="zh-CN"/>
        </w:rPr>
        <w:t>到</w:t>
      </w:r>
      <w:r>
        <w:rPr>
          <w:rFonts w:hint="eastAsia" w:ascii="宋体" w:hAnsi="宋体" w:cs="宋体"/>
          <w:sz w:val="24"/>
          <w:szCs w:val="24"/>
          <w:lang w:val="en-US" w:eastAsia="zh-CN"/>
        </w:rPr>
        <w:t>2020年底，禁止生产和销售一次性发泡塑料餐具、一次性塑料棉签，禁止生产含塑料微珠的日化产品；到2022年底，禁止销售含塑料微珠的日化产品。</w:t>
      </w:r>
    </w:p>
    <w:p w14:paraId="725733FD">
      <w:pPr>
        <w:spacing w:line="360" w:lineRule="auto"/>
        <w:ind w:firstLine="480"/>
        <w:rPr>
          <w:rFonts w:hint="eastAsia" w:ascii="宋体" w:hAnsi="宋体" w:cs="宋体"/>
          <w:sz w:val="24"/>
          <w:szCs w:val="24"/>
        </w:rPr>
      </w:pPr>
      <w:r>
        <w:rPr>
          <w:rFonts w:hint="eastAsia" w:ascii="宋体" w:hAnsi="宋体" w:cs="宋体"/>
          <w:sz w:val="24"/>
          <w:szCs w:val="24"/>
        </w:rPr>
        <w:t>推广应用替代产品和模式：增加绿色产品供给。塑料制品生产企业要严格执行有关法律法规，生产符合相关标准的塑料制品，不得违规添加对人体、环境的化学添加剂。推行绿色设计，提升塑料制品的安全性和回收利用性能。积极采用新型绿色环保功能材料，增加使用符合质量控制标准和用途管制要求的再生塑料，加强可循环、易回收、可降解替代材料和产品研发，降低应用成本，有效增加绿色产品供给。</w:t>
      </w:r>
    </w:p>
    <w:p w14:paraId="13A9C805">
      <w:pPr>
        <w:spacing w:line="360" w:lineRule="auto"/>
        <w:ind w:firstLine="480"/>
        <w:rPr>
          <w:rFonts w:hint="eastAsia" w:ascii="宋体" w:hAnsi="宋体" w:cs="宋体"/>
          <w:sz w:val="24"/>
          <w:szCs w:val="24"/>
        </w:rPr>
      </w:pPr>
      <w:r>
        <w:rPr>
          <w:rFonts w:hint="eastAsia" w:ascii="宋体" w:hAnsi="宋体" w:cs="宋体"/>
          <w:sz w:val="24"/>
          <w:szCs w:val="24"/>
        </w:rPr>
        <w:t>规范塑料废弃物回收利用和处置：加强塑料废弃物回收和清运。结合实施垃圾分类，加大塑料废弃物等可回收物分类收集和处理力度，禁止随意堆放、倾倒造成塑料垃圾污染。推进资源化能源化利用。推动塑料废弃物资源化利用的规范化、集中化和产业化，相关项目要向资源循环利用基地等园区集聚，提高塑料废弃物资源化利用水平。</w:t>
      </w:r>
    </w:p>
    <w:p w14:paraId="736B2B2D">
      <w:pPr>
        <w:spacing w:line="360" w:lineRule="auto"/>
        <w:ind w:firstLine="480"/>
        <w:rPr>
          <w:rFonts w:hint="eastAsia" w:ascii="宋体" w:hAnsi="宋体" w:cs="宋体"/>
          <w:sz w:val="24"/>
          <w:szCs w:val="24"/>
        </w:rPr>
      </w:pPr>
      <w:r>
        <w:rPr>
          <w:rFonts w:hint="eastAsia" w:ascii="宋体" w:hAnsi="宋体" w:cs="宋体"/>
          <w:sz w:val="24"/>
          <w:szCs w:val="24"/>
        </w:rPr>
        <w:t>本项目</w:t>
      </w:r>
      <w:r>
        <w:rPr>
          <w:rFonts w:hint="eastAsia" w:ascii="宋体" w:hAnsi="宋体" w:cs="宋体"/>
          <w:sz w:val="24"/>
          <w:szCs w:val="24"/>
          <w:lang w:eastAsia="zh-CN"/>
        </w:rPr>
        <w:t>生产和销售不包含厚度小于</w:t>
      </w:r>
      <w:r>
        <w:rPr>
          <w:rFonts w:hint="eastAsia" w:ascii="宋体" w:hAnsi="宋体" w:cs="宋体"/>
          <w:sz w:val="24"/>
          <w:szCs w:val="24"/>
          <w:lang w:val="en-US" w:eastAsia="zh-CN"/>
        </w:rPr>
        <w:t>0.025mm的超薄塑料购物袋、厚度小于0.01mm的聚乙烯农用地膜。</w:t>
      </w:r>
      <w:r>
        <w:rPr>
          <w:rFonts w:hint="eastAsia" w:ascii="宋体" w:hAnsi="宋体" w:cs="宋体"/>
          <w:sz w:val="24"/>
          <w:szCs w:val="24"/>
        </w:rPr>
        <w:t>利用废旧地膜作为原料再生产塑料颗粒加工滴灌带</w:t>
      </w:r>
      <w:r>
        <w:rPr>
          <w:rFonts w:hint="eastAsia" w:ascii="宋体" w:hAnsi="宋体" w:cs="宋体"/>
          <w:sz w:val="24"/>
          <w:szCs w:val="24"/>
          <w:lang w:eastAsia="zh-CN"/>
        </w:rPr>
        <w:t>原料中</w:t>
      </w:r>
      <w:r>
        <w:rPr>
          <w:rFonts w:hint="eastAsia" w:ascii="宋体" w:hAnsi="宋体" w:cs="宋体"/>
          <w:sz w:val="24"/>
          <w:szCs w:val="24"/>
        </w:rPr>
        <w:t>不含医疗废物及进口废塑料。本项目生产的产品均符合相关产品质量标准要求，生产过程中不添加对人体、环境有害的添加剂。</w:t>
      </w:r>
      <w:r>
        <w:rPr>
          <w:rFonts w:hint="eastAsia" w:ascii="宋体" w:hAnsi="宋体" w:cs="宋体"/>
          <w:sz w:val="24"/>
          <w:szCs w:val="24"/>
          <w:lang w:eastAsia="zh-CN"/>
        </w:rPr>
        <w:t>产品为可回收再利用原料，具有可循环、易回收、可降解替代材料，符合规范要求和应用成本较低的绿色产品。</w:t>
      </w:r>
    </w:p>
    <w:p w14:paraId="71644280">
      <w:pPr>
        <w:spacing w:line="360" w:lineRule="auto"/>
        <w:ind w:firstLine="480"/>
        <w:rPr>
          <w:rFonts w:hint="eastAsia" w:ascii="宋体" w:hAnsi="宋体" w:cs="宋体"/>
          <w:sz w:val="24"/>
          <w:szCs w:val="24"/>
        </w:rPr>
      </w:pPr>
      <w:r>
        <w:rPr>
          <w:rFonts w:hint="eastAsia" w:ascii="宋体" w:hAnsi="宋体" w:cs="宋体"/>
          <w:sz w:val="24"/>
          <w:szCs w:val="24"/>
        </w:rPr>
        <w:t>因此本项目的建设符合《关于进一步加强塑料污染治理的意见》（发改环资〔2020〕80号）相关要求。</w:t>
      </w:r>
    </w:p>
    <w:bookmarkEnd w:id="118"/>
    <w:p w14:paraId="0BBC0F0A">
      <w:pPr>
        <w:pStyle w:val="5"/>
        <w:rPr>
          <w:rFonts w:ascii="Times New Roman" w:hAnsi="Times New Roman"/>
          <w:color w:val="000000"/>
          <w:lang w:val="en-US"/>
        </w:rPr>
      </w:pPr>
      <w:r>
        <w:rPr>
          <w:rFonts w:hint="eastAsia" w:ascii="Times New Roman" w:hAnsi="Times New Roman"/>
          <w:color w:val="000000"/>
          <w:lang w:val="en-US"/>
        </w:rPr>
        <w:t>2.9.2.10与《电子废物、废轮胎、废塑料、废旧衣服、废家电拆解等再生利用行业清理整顿工作方案》符合性分析</w:t>
      </w:r>
    </w:p>
    <w:p w14:paraId="4899B9AA">
      <w:pPr>
        <w:spacing w:line="360" w:lineRule="auto"/>
        <w:ind w:firstLine="480" w:firstLineChars="200"/>
        <w:rPr>
          <w:rFonts w:hint="eastAsia" w:ascii="宋体" w:hAnsi="宋体" w:cs="宋体"/>
          <w:sz w:val="24"/>
          <w:szCs w:val="24"/>
        </w:rPr>
      </w:pPr>
      <w:r>
        <w:rPr>
          <w:rFonts w:ascii="宋体" w:hAnsi="宋体" w:cs="宋体"/>
          <w:sz w:val="24"/>
          <w:szCs w:val="24"/>
        </w:rPr>
        <w:t>根据《关于开展电子废物、废轮胎、废塑料、废旧衣服、废家电拆解等再生利用行业清理整顿工作的通知》，本项目不属于依法取缔的</w:t>
      </w:r>
      <w:r>
        <w:rPr>
          <w:rFonts w:hint="eastAsia" w:ascii="宋体" w:hAnsi="宋体" w:cs="宋体"/>
          <w:sz w:val="24"/>
          <w:szCs w:val="24"/>
        </w:rPr>
        <w:t>“</w:t>
      </w:r>
      <w:r>
        <w:rPr>
          <w:rFonts w:ascii="宋体" w:hAnsi="宋体" w:cs="宋体"/>
          <w:sz w:val="24"/>
          <w:szCs w:val="24"/>
        </w:rPr>
        <w:t>污染严重的非法再生利用企业</w:t>
      </w:r>
      <w:r>
        <w:rPr>
          <w:rFonts w:hint="eastAsia" w:ascii="宋体" w:hAnsi="宋体" w:cs="宋体"/>
          <w:sz w:val="24"/>
          <w:szCs w:val="24"/>
        </w:rPr>
        <w:t>”</w:t>
      </w:r>
      <w:r>
        <w:rPr>
          <w:rFonts w:ascii="宋体" w:hAnsi="宋体" w:cs="宋体"/>
          <w:sz w:val="24"/>
          <w:szCs w:val="24"/>
        </w:rPr>
        <w:t>，项目所在区域不是</w:t>
      </w:r>
      <w:r>
        <w:rPr>
          <w:rFonts w:hint="eastAsia" w:ascii="宋体" w:hAnsi="宋体" w:cs="宋体"/>
          <w:sz w:val="24"/>
          <w:szCs w:val="24"/>
        </w:rPr>
        <w:t>“</w:t>
      </w:r>
      <w:r>
        <w:rPr>
          <w:rFonts w:ascii="宋体" w:hAnsi="宋体" w:cs="宋体"/>
          <w:sz w:val="24"/>
          <w:szCs w:val="24"/>
        </w:rPr>
        <w:t>重点整治的加工利用集散地</w:t>
      </w:r>
      <w:r>
        <w:rPr>
          <w:rFonts w:hint="eastAsia" w:ascii="宋体" w:hAnsi="宋体" w:cs="宋体"/>
          <w:sz w:val="24"/>
          <w:szCs w:val="24"/>
        </w:rPr>
        <w:t>”</w:t>
      </w:r>
      <w:r>
        <w:rPr>
          <w:rFonts w:ascii="宋体" w:hAnsi="宋体" w:cs="宋体"/>
          <w:sz w:val="24"/>
          <w:szCs w:val="24"/>
        </w:rPr>
        <w:t>，因此，本项目不属于清理整顿的企业，符合该方案的要求。</w:t>
      </w:r>
    </w:p>
    <w:p w14:paraId="4C749017">
      <w:pPr>
        <w:pStyle w:val="5"/>
        <w:rPr>
          <w:rFonts w:ascii="Times New Roman" w:hAnsi="Times New Roman"/>
          <w:color w:val="000000"/>
          <w:lang w:val="en-US"/>
        </w:rPr>
      </w:pPr>
      <w:r>
        <w:rPr>
          <w:rFonts w:hint="eastAsia" w:ascii="Times New Roman" w:hAnsi="Times New Roman"/>
          <w:color w:val="000000"/>
          <w:lang w:val="en-US"/>
        </w:rPr>
        <w:t>2.9.2.1</w:t>
      </w:r>
      <w:r>
        <w:rPr>
          <w:rFonts w:hint="eastAsia" w:ascii="Times New Roman" w:hAnsi="Times New Roman"/>
          <w:color w:val="000000"/>
          <w:lang w:val="en-US" w:eastAsia="zh-CN"/>
        </w:rPr>
        <w:t>2</w:t>
      </w:r>
      <w:r>
        <w:rPr>
          <w:rFonts w:hint="eastAsia" w:ascii="Times New Roman" w:hAnsi="Times New Roman"/>
          <w:color w:val="000000"/>
          <w:lang w:val="en-US"/>
        </w:rPr>
        <w:t>与《关于扎实推进塑料污染治理工作的通知》（发改环资〔2020〕1146号）相符性分析</w:t>
      </w:r>
    </w:p>
    <w:p w14:paraId="2EC89A53">
      <w:pPr>
        <w:spacing w:line="360" w:lineRule="auto"/>
        <w:ind w:firstLine="480"/>
        <w:rPr>
          <w:rFonts w:hint="eastAsia" w:ascii="宋体" w:hAnsi="宋体" w:cs="宋体"/>
          <w:sz w:val="24"/>
          <w:szCs w:val="24"/>
        </w:rPr>
      </w:pPr>
      <w:r>
        <w:rPr>
          <w:rFonts w:hint="eastAsia" w:ascii="宋体" w:hAnsi="宋体" w:cs="宋体"/>
          <w:sz w:val="24"/>
          <w:szCs w:val="24"/>
        </w:rPr>
        <w:t>本项目建设与《关于扎实推进塑料污染治理工作的通知》（发改环资〔2020〕1146号）要求符合性分析详见表2.9-</w:t>
      </w:r>
      <w:r>
        <w:rPr>
          <w:rFonts w:hint="eastAsia" w:ascii="宋体" w:hAnsi="宋体" w:cs="宋体"/>
          <w:sz w:val="24"/>
          <w:szCs w:val="24"/>
          <w:lang w:val="en-US" w:eastAsia="zh-CN"/>
        </w:rPr>
        <w:t>8</w:t>
      </w:r>
      <w:r>
        <w:rPr>
          <w:rFonts w:hint="eastAsia" w:ascii="宋体" w:hAnsi="宋体" w:cs="宋体"/>
          <w:sz w:val="24"/>
          <w:szCs w:val="24"/>
        </w:rPr>
        <w:t>。</w:t>
      </w:r>
    </w:p>
    <w:p w14:paraId="238C8F29">
      <w:pPr>
        <w:ind w:firstLine="482"/>
        <w:jc w:val="center"/>
        <w:rPr>
          <w:rFonts w:hint="eastAsia" w:ascii="宋体" w:hAnsi="宋体" w:cs="宋体"/>
          <w:b/>
          <w:bCs/>
          <w:szCs w:val="21"/>
        </w:rPr>
      </w:pPr>
      <w:r>
        <w:rPr>
          <w:rFonts w:hint="eastAsia" w:ascii="宋体" w:hAnsi="宋体" w:cs="宋体"/>
          <w:b/>
          <w:bCs/>
          <w:szCs w:val="21"/>
        </w:rPr>
        <w:t>表2.9-</w:t>
      </w:r>
      <w:r>
        <w:rPr>
          <w:rFonts w:hint="eastAsia" w:ascii="宋体" w:hAnsi="宋体" w:cs="宋体"/>
          <w:b/>
          <w:bCs/>
          <w:szCs w:val="21"/>
          <w:lang w:val="en-US" w:eastAsia="zh-CN"/>
        </w:rPr>
        <w:t>8</w:t>
      </w:r>
      <w:r>
        <w:rPr>
          <w:rFonts w:hint="eastAsia" w:ascii="宋体" w:hAnsi="宋体" w:cs="宋体"/>
          <w:b/>
          <w:bCs/>
          <w:szCs w:val="21"/>
        </w:rPr>
        <w:t xml:space="preserve">      与相关规划符合性分析一览表</w:t>
      </w:r>
    </w:p>
    <w:tbl>
      <w:tblPr>
        <w:tblStyle w:val="50"/>
        <w:tblW w:w="0" w:type="auto"/>
        <w:jc w:val="center"/>
        <w:tblBorders>
          <w:top w:val="single" w:color="000000" w:sz="12" w:space="0"/>
          <w:left w:val="single" w:color="000000" w:sz="12" w:space="0"/>
          <w:bottom w:val="single" w:color="000000" w:sz="12" w:space="0"/>
          <w:right w:val="single" w:color="000000" w:sz="12" w:space="0"/>
          <w:insideH w:val="single" w:color="000000" w:sz="2" w:space="0"/>
          <w:insideV w:val="single" w:color="000000" w:sz="12" w:space="0"/>
        </w:tblBorders>
        <w:tblLayout w:type="autofit"/>
        <w:tblCellMar>
          <w:top w:w="0" w:type="dxa"/>
          <w:left w:w="108" w:type="dxa"/>
          <w:bottom w:w="0" w:type="dxa"/>
          <w:right w:w="108" w:type="dxa"/>
        </w:tblCellMar>
      </w:tblPr>
      <w:tblGrid>
        <w:gridCol w:w="5333"/>
        <w:gridCol w:w="2199"/>
        <w:gridCol w:w="1260"/>
      </w:tblGrid>
      <w:tr w14:paraId="1EEF964C">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12" w:space="0"/>
          </w:tblBorders>
          <w:tblCellMar>
            <w:top w:w="0" w:type="dxa"/>
            <w:left w:w="108" w:type="dxa"/>
            <w:bottom w:w="0" w:type="dxa"/>
            <w:right w:w="108" w:type="dxa"/>
          </w:tblCellMar>
        </w:tblPrEx>
        <w:trPr>
          <w:trHeight w:val="366" w:hRule="atLeast"/>
          <w:jc w:val="center"/>
        </w:trPr>
        <w:tc>
          <w:tcPr>
            <w:tcW w:w="8792" w:type="dxa"/>
            <w:gridSpan w:val="3"/>
            <w:vAlign w:val="center"/>
          </w:tcPr>
          <w:p w14:paraId="625CD8A1">
            <w:pPr>
              <w:autoSpaceDE w:val="0"/>
              <w:autoSpaceDN w:val="0"/>
              <w:jc w:val="center"/>
              <w:rPr>
                <w:rFonts w:hint="eastAsia" w:ascii="宋体" w:hAnsi="宋体" w:cs="宋体"/>
                <w:szCs w:val="21"/>
              </w:rPr>
            </w:pPr>
            <w:r>
              <w:rPr>
                <w:rFonts w:hint="eastAsia" w:ascii="宋体" w:hAnsi="宋体" w:cs="宋体"/>
                <w:szCs w:val="21"/>
              </w:rPr>
              <w:t>《关于扎实推进塑料污染治理工作的通知》（发改环资〔2020〕1146号）</w:t>
            </w:r>
          </w:p>
        </w:tc>
      </w:tr>
      <w:tr w14:paraId="7AE44264">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12" w:space="0"/>
          </w:tblBorders>
          <w:tblCellMar>
            <w:top w:w="0" w:type="dxa"/>
            <w:left w:w="108" w:type="dxa"/>
            <w:bottom w:w="0" w:type="dxa"/>
            <w:right w:w="108" w:type="dxa"/>
          </w:tblCellMar>
        </w:tblPrEx>
        <w:trPr>
          <w:trHeight w:val="366" w:hRule="atLeast"/>
          <w:jc w:val="center"/>
        </w:trPr>
        <w:tc>
          <w:tcPr>
            <w:tcW w:w="5333" w:type="dxa"/>
            <w:vAlign w:val="center"/>
          </w:tcPr>
          <w:p w14:paraId="6865941C">
            <w:pPr>
              <w:autoSpaceDE w:val="0"/>
              <w:autoSpaceDN w:val="0"/>
              <w:jc w:val="center"/>
              <w:rPr>
                <w:rFonts w:hint="eastAsia" w:ascii="宋体" w:hAnsi="宋体" w:cs="宋体"/>
                <w:szCs w:val="21"/>
              </w:rPr>
            </w:pPr>
            <w:r>
              <w:rPr>
                <w:rFonts w:hint="eastAsia" w:ascii="宋体" w:hAnsi="宋体" w:cs="宋体"/>
                <w:szCs w:val="21"/>
              </w:rPr>
              <w:t>文件要求</w:t>
            </w:r>
          </w:p>
        </w:tc>
        <w:tc>
          <w:tcPr>
            <w:tcW w:w="2199" w:type="dxa"/>
            <w:vAlign w:val="center"/>
          </w:tcPr>
          <w:p w14:paraId="1BEFE059">
            <w:pPr>
              <w:autoSpaceDE w:val="0"/>
              <w:autoSpaceDN w:val="0"/>
              <w:jc w:val="center"/>
              <w:rPr>
                <w:rFonts w:hint="eastAsia" w:ascii="宋体" w:hAnsi="宋体" w:cs="宋体"/>
                <w:szCs w:val="21"/>
              </w:rPr>
            </w:pPr>
            <w:r>
              <w:rPr>
                <w:rFonts w:hint="eastAsia" w:ascii="宋体" w:hAnsi="宋体" w:cs="宋体"/>
                <w:szCs w:val="21"/>
              </w:rPr>
              <w:t>本项目</w:t>
            </w:r>
          </w:p>
        </w:tc>
        <w:tc>
          <w:tcPr>
            <w:tcW w:w="1259" w:type="dxa"/>
            <w:vAlign w:val="center"/>
          </w:tcPr>
          <w:p w14:paraId="5C7E7891">
            <w:pPr>
              <w:autoSpaceDE w:val="0"/>
              <w:autoSpaceDN w:val="0"/>
              <w:jc w:val="center"/>
              <w:rPr>
                <w:rFonts w:hint="eastAsia" w:ascii="宋体" w:hAnsi="宋体" w:cs="宋体"/>
                <w:szCs w:val="21"/>
              </w:rPr>
            </w:pPr>
            <w:r>
              <w:rPr>
                <w:rFonts w:hint="eastAsia" w:ascii="宋体" w:hAnsi="宋体" w:cs="宋体"/>
                <w:szCs w:val="21"/>
              </w:rPr>
              <w:t>符合性</w:t>
            </w:r>
          </w:p>
        </w:tc>
      </w:tr>
      <w:tr w14:paraId="61083DFD">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12" w:space="0"/>
          </w:tblBorders>
          <w:tblCellMar>
            <w:top w:w="0" w:type="dxa"/>
            <w:left w:w="108" w:type="dxa"/>
            <w:bottom w:w="0" w:type="dxa"/>
            <w:right w:w="108" w:type="dxa"/>
          </w:tblCellMar>
        </w:tblPrEx>
        <w:trPr>
          <w:trHeight w:val="2376" w:hRule="atLeast"/>
          <w:jc w:val="center"/>
        </w:trPr>
        <w:tc>
          <w:tcPr>
            <w:tcW w:w="5333" w:type="dxa"/>
            <w:vAlign w:val="center"/>
          </w:tcPr>
          <w:p w14:paraId="21D3EFDD">
            <w:pPr>
              <w:autoSpaceDE w:val="0"/>
              <w:autoSpaceDN w:val="0"/>
              <w:rPr>
                <w:rFonts w:hint="eastAsia" w:ascii="宋体" w:hAnsi="宋体" w:cs="宋体"/>
                <w:szCs w:val="21"/>
              </w:rPr>
            </w:pPr>
            <w:r>
              <w:rPr>
                <w:rFonts w:hint="eastAsia" w:ascii="宋体" w:hAnsi="宋体" w:cs="宋体"/>
                <w:szCs w:val="21"/>
              </w:rPr>
              <w:t>加强对禁止生产销售塑料制品的监督检查。各地市场监管部门要开展塑料制品质量监督检查，依法查处生产、销售厚度小于0.025毫米的超薄塑料购物袋和厚度小于0.01毫米的聚乙烯农用地膜等行为；按照《意见》规定的禁限期限，对纳入淘汰类产品目录的一次性发泡塑料餐具、一次性塑料棉签、含塑料微珠日化产品等开展执法工作。各地工业和信息化部门要会同相关部门按照当地政府部署要求，组织对辖区内涉及生产淘汰类塑料制品的企业进行产能摸排，引导相关企业及时做好生产调整等工作。</w:t>
            </w:r>
          </w:p>
        </w:tc>
        <w:tc>
          <w:tcPr>
            <w:tcW w:w="2199" w:type="dxa"/>
            <w:vAlign w:val="center"/>
          </w:tcPr>
          <w:p w14:paraId="5AA5BCBD">
            <w:pPr>
              <w:autoSpaceDE w:val="0"/>
              <w:autoSpaceDN w:val="0"/>
              <w:rPr>
                <w:rFonts w:hint="eastAsia" w:ascii="宋体" w:hAnsi="宋体" w:cs="宋体"/>
                <w:szCs w:val="21"/>
              </w:rPr>
            </w:pPr>
            <w:r>
              <w:rPr>
                <w:rFonts w:hint="eastAsia" w:ascii="宋体" w:hAnsi="宋体" w:cs="宋体"/>
                <w:szCs w:val="21"/>
              </w:rPr>
              <w:t>产品为再生塑料颗粒生产滴灌带。</w:t>
            </w:r>
          </w:p>
        </w:tc>
        <w:tc>
          <w:tcPr>
            <w:tcW w:w="1259" w:type="dxa"/>
            <w:vAlign w:val="center"/>
          </w:tcPr>
          <w:p w14:paraId="23467521">
            <w:pPr>
              <w:autoSpaceDE w:val="0"/>
              <w:autoSpaceDN w:val="0"/>
              <w:jc w:val="center"/>
              <w:rPr>
                <w:rFonts w:hint="eastAsia" w:ascii="宋体" w:hAnsi="宋体" w:cs="宋体"/>
                <w:szCs w:val="21"/>
              </w:rPr>
            </w:pPr>
            <w:r>
              <w:rPr>
                <w:rFonts w:hint="eastAsia" w:ascii="宋体" w:hAnsi="宋体" w:cs="宋体"/>
                <w:szCs w:val="21"/>
              </w:rPr>
              <w:t>符合</w:t>
            </w:r>
          </w:p>
        </w:tc>
      </w:tr>
      <w:tr w14:paraId="731DC0B6">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12" w:space="0"/>
          </w:tblBorders>
          <w:tblCellMar>
            <w:top w:w="0" w:type="dxa"/>
            <w:left w:w="108" w:type="dxa"/>
            <w:bottom w:w="0" w:type="dxa"/>
            <w:right w:w="108" w:type="dxa"/>
          </w:tblCellMar>
        </w:tblPrEx>
        <w:trPr>
          <w:trHeight w:val="135" w:hRule="atLeast"/>
          <w:jc w:val="center"/>
        </w:trPr>
        <w:tc>
          <w:tcPr>
            <w:tcW w:w="5333" w:type="dxa"/>
            <w:vAlign w:val="center"/>
          </w:tcPr>
          <w:p w14:paraId="143F0C4C">
            <w:pPr>
              <w:autoSpaceDE w:val="0"/>
              <w:autoSpaceDN w:val="0"/>
              <w:rPr>
                <w:rFonts w:hint="eastAsia" w:ascii="宋体" w:hAnsi="宋体" w:cs="宋体"/>
                <w:szCs w:val="21"/>
              </w:rPr>
            </w:pPr>
            <w:r>
              <w:rPr>
                <w:rFonts w:hint="eastAsia" w:ascii="宋体" w:hAnsi="宋体" w:cs="宋体"/>
                <w:szCs w:val="21"/>
              </w:rPr>
              <w:t>推进农膜治理。各地农业农村部门要加强与供销合作社协作，组织开展以旧换新、经营主体上交、专业化组织回收等，推进农膜生产者责任延伸制度试点，推进农膜回收示范县建设，健全废旧农膜回收利用体系。各地农业农村部门要会同相关部门对市场销售的农膜加强抽检抽查，将厚度小于0.01毫米的聚乙烯农用地膜、违规用于农田覆盖的包装类塑料薄膜等纳入农资打假行动。</w:t>
            </w:r>
          </w:p>
        </w:tc>
        <w:tc>
          <w:tcPr>
            <w:tcW w:w="2199" w:type="dxa"/>
            <w:vAlign w:val="center"/>
          </w:tcPr>
          <w:p w14:paraId="51C77CFA">
            <w:pPr>
              <w:autoSpaceDE w:val="0"/>
              <w:autoSpaceDN w:val="0"/>
              <w:rPr>
                <w:rFonts w:hint="eastAsia" w:ascii="宋体" w:hAnsi="宋体" w:cs="宋体"/>
                <w:szCs w:val="21"/>
              </w:rPr>
            </w:pPr>
            <w:r>
              <w:rPr>
                <w:rFonts w:hint="eastAsia" w:ascii="宋体" w:hAnsi="宋体" w:cs="宋体"/>
                <w:szCs w:val="21"/>
              </w:rPr>
              <w:t>运营期间生产的原料来</w:t>
            </w:r>
            <w:bookmarkStart w:id="119" w:name="_Hlk209688625"/>
            <w:r>
              <w:rPr>
                <w:rFonts w:hint="eastAsia" w:ascii="宋体" w:hAnsi="宋体" w:cs="宋体"/>
                <w:szCs w:val="21"/>
              </w:rPr>
              <w:t>自距离本项目东侧6.93km处的本公司2024年8月建成投入使用的地膜回收分拣、破碎清选后的废旧地膜</w:t>
            </w:r>
            <w:bookmarkEnd w:id="119"/>
            <w:r>
              <w:rPr>
                <w:rFonts w:hint="eastAsia" w:ascii="宋体" w:hAnsi="宋体" w:cs="宋体"/>
                <w:szCs w:val="21"/>
              </w:rPr>
              <w:t>，属于农膜治理项目。</w:t>
            </w:r>
          </w:p>
        </w:tc>
        <w:tc>
          <w:tcPr>
            <w:tcW w:w="1259" w:type="dxa"/>
            <w:vAlign w:val="center"/>
          </w:tcPr>
          <w:p w14:paraId="6D125397">
            <w:pPr>
              <w:autoSpaceDE w:val="0"/>
              <w:autoSpaceDN w:val="0"/>
              <w:jc w:val="center"/>
              <w:rPr>
                <w:rFonts w:hint="eastAsia" w:ascii="宋体" w:hAnsi="宋体" w:cs="宋体"/>
                <w:szCs w:val="21"/>
              </w:rPr>
            </w:pPr>
            <w:r>
              <w:rPr>
                <w:rFonts w:hint="eastAsia" w:ascii="宋体" w:hAnsi="宋体" w:cs="宋体"/>
                <w:szCs w:val="21"/>
              </w:rPr>
              <w:t>符合</w:t>
            </w:r>
          </w:p>
        </w:tc>
      </w:tr>
      <w:tr w14:paraId="7082F3E0">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12" w:space="0"/>
          </w:tblBorders>
          <w:tblCellMar>
            <w:top w:w="0" w:type="dxa"/>
            <w:left w:w="108" w:type="dxa"/>
            <w:bottom w:w="0" w:type="dxa"/>
            <w:right w:w="108" w:type="dxa"/>
          </w:tblCellMar>
        </w:tblPrEx>
        <w:trPr>
          <w:trHeight w:val="1746" w:hRule="atLeast"/>
          <w:jc w:val="center"/>
        </w:trPr>
        <w:tc>
          <w:tcPr>
            <w:tcW w:w="5333" w:type="dxa"/>
            <w:vAlign w:val="center"/>
          </w:tcPr>
          <w:p w14:paraId="577705DE">
            <w:pPr>
              <w:autoSpaceDE w:val="0"/>
              <w:autoSpaceDN w:val="0"/>
              <w:rPr>
                <w:rFonts w:hint="eastAsia" w:ascii="宋体" w:hAnsi="宋体" w:cs="宋体"/>
                <w:szCs w:val="21"/>
              </w:rPr>
            </w:pPr>
            <w:r>
              <w:rPr>
                <w:rFonts w:hint="eastAsia" w:ascii="宋体" w:hAnsi="宋体" w:cs="宋体"/>
                <w:szCs w:val="21"/>
              </w:rPr>
              <w:t>规范塑料废弃物收集和处置。各地住房城乡建设部门要结合实施生活垃圾分类，加大塑料废弃物分类收集和处理力度，推动将分拣成本高、不宜资源化利用的低值塑料废弃物进入生活垃圾焚烧发电厂进行能源化利用，减少塑料垃圾的填埋量。</w:t>
            </w:r>
          </w:p>
        </w:tc>
        <w:tc>
          <w:tcPr>
            <w:tcW w:w="2199" w:type="dxa"/>
            <w:vAlign w:val="center"/>
          </w:tcPr>
          <w:p w14:paraId="0C290A51">
            <w:pPr>
              <w:autoSpaceDE w:val="0"/>
              <w:autoSpaceDN w:val="0"/>
              <w:rPr>
                <w:rFonts w:hint="eastAsia" w:ascii="宋体" w:hAnsi="宋体" w:cs="宋体"/>
                <w:szCs w:val="21"/>
              </w:rPr>
            </w:pPr>
            <w:r>
              <w:rPr>
                <w:rFonts w:hint="eastAsia" w:ascii="宋体" w:hAnsi="宋体" w:cs="宋体"/>
                <w:szCs w:val="21"/>
              </w:rPr>
              <w:t>属于塑料废弃物处置，减少了塑料垃圾的填埋量。</w:t>
            </w:r>
          </w:p>
        </w:tc>
        <w:tc>
          <w:tcPr>
            <w:tcW w:w="1259" w:type="dxa"/>
            <w:vAlign w:val="center"/>
          </w:tcPr>
          <w:p w14:paraId="1D7D71C9">
            <w:pPr>
              <w:autoSpaceDE w:val="0"/>
              <w:autoSpaceDN w:val="0"/>
              <w:jc w:val="center"/>
              <w:rPr>
                <w:rFonts w:hint="eastAsia" w:ascii="宋体" w:hAnsi="宋体" w:cs="宋体"/>
                <w:szCs w:val="21"/>
              </w:rPr>
            </w:pPr>
            <w:r>
              <w:rPr>
                <w:rFonts w:hint="eastAsia" w:ascii="宋体" w:hAnsi="宋体" w:cs="宋体"/>
                <w:szCs w:val="21"/>
              </w:rPr>
              <w:t>符合</w:t>
            </w:r>
          </w:p>
        </w:tc>
      </w:tr>
    </w:tbl>
    <w:p w14:paraId="6AD2B9A1">
      <w:pPr>
        <w:pStyle w:val="5"/>
        <w:rPr>
          <w:rFonts w:ascii="Times New Roman" w:hAnsi="Times New Roman"/>
          <w:color w:val="000000"/>
          <w:lang w:val="en-US"/>
        </w:rPr>
      </w:pPr>
      <w:r>
        <w:rPr>
          <w:rFonts w:hint="eastAsia" w:ascii="Times New Roman" w:hAnsi="Times New Roman"/>
          <w:color w:val="000000"/>
          <w:lang w:val="en-US"/>
        </w:rPr>
        <w:t>2.9.2.1</w:t>
      </w:r>
      <w:r>
        <w:rPr>
          <w:rFonts w:hint="eastAsia" w:ascii="Times New Roman" w:hAnsi="Times New Roman"/>
          <w:color w:val="000000"/>
          <w:lang w:val="en-US" w:eastAsia="zh-CN"/>
        </w:rPr>
        <w:t>3</w:t>
      </w:r>
      <w:r>
        <w:rPr>
          <w:rFonts w:hint="eastAsia" w:ascii="Times New Roman" w:hAnsi="Times New Roman"/>
          <w:color w:val="000000"/>
          <w:lang w:val="en-US"/>
        </w:rPr>
        <w:t>与《关于印发&lt;重点行业挥发性有机物综合治理方案&gt;的通知》相符性分析</w:t>
      </w:r>
    </w:p>
    <w:p w14:paraId="31284D00">
      <w:pPr>
        <w:spacing w:line="360" w:lineRule="auto"/>
        <w:ind w:firstLine="480"/>
        <w:rPr>
          <w:rFonts w:hint="eastAsia" w:ascii="宋体" w:hAnsi="宋体" w:cs="宋体"/>
          <w:sz w:val="24"/>
          <w:szCs w:val="24"/>
        </w:rPr>
      </w:pPr>
      <w:r>
        <w:rPr>
          <w:rFonts w:hint="eastAsia" w:ascii="宋体" w:hAnsi="宋体" w:cs="宋体"/>
          <w:sz w:val="24"/>
          <w:szCs w:val="24"/>
        </w:rPr>
        <w:t>本项目建设与《关于印发&lt;重点行业挥发性有机物综合治理方案&gt;的通知》要求符合性分析详见表2.9-</w:t>
      </w:r>
      <w:r>
        <w:rPr>
          <w:rFonts w:hint="eastAsia" w:ascii="宋体" w:hAnsi="宋体" w:cs="宋体"/>
          <w:sz w:val="24"/>
          <w:szCs w:val="24"/>
          <w:lang w:val="en-US" w:eastAsia="zh-CN"/>
        </w:rPr>
        <w:t>9</w:t>
      </w:r>
      <w:r>
        <w:rPr>
          <w:rFonts w:hint="eastAsia" w:ascii="宋体" w:hAnsi="宋体" w:cs="宋体"/>
          <w:sz w:val="24"/>
          <w:szCs w:val="24"/>
        </w:rPr>
        <w:t>。</w:t>
      </w:r>
    </w:p>
    <w:p w14:paraId="7B683546">
      <w:pPr>
        <w:pStyle w:val="48"/>
        <w:spacing w:after="0"/>
        <w:ind w:left="0" w:leftChars="0" w:firstLine="459"/>
        <w:jc w:val="center"/>
        <w:rPr>
          <w:b/>
          <w:bCs/>
          <w:spacing w:val="-6"/>
        </w:rPr>
      </w:pPr>
    </w:p>
    <w:p w14:paraId="24F302BD">
      <w:pPr>
        <w:pStyle w:val="48"/>
        <w:spacing w:after="0"/>
        <w:ind w:left="0" w:leftChars="0" w:firstLine="459"/>
        <w:jc w:val="center"/>
        <w:rPr>
          <w:b/>
          <w:bCs/>
          <w:spacing w:val="-6"/>
        </w:rPr>
      </w:pPr>
    </w:p>
    <w:p w14:paraId="0474F880">
      <w:pPr>
        <w:pStyle w:val="48"/>
        <w:spacing w:after="0"/>
        <w:ind w:left="0" w:leftChars="0" w:firstLine="459"/>
        <w:jc w:val="center"/>
        <w:rPr>
          <w:b/>
          <w:bCs/>
          <w:spacing w:val="-6"/>
        </w:rPr>
      </w:pPr>
    </w:p>
    <w:p w14:paraId="5941932F">
      <w:pPr>
        <w:pStyle w:val="48"/>
        <w:spacing w:after="0"/>
        <w:ind w:left="0" w:leftChars="0" w:firstLine="459"/>
        <w:jc w:val="center"/>
        <w:rPr>
          <w:b/>
          <w:bCs/>
          <w:spacing w:val="-6"/>
        </w:rPr>
      </w:pPr>
    </w:p>
    <w:p w14:paraId="721EC80C">
      <w:pPr>
        <w:pStyle w:val="48"/>
        <w:spacing w:after="0"/>
        <w:ind w:left="0" w:leftChars="0" w:firstLine="459"/>
        <w:jc w:val="center"/>
        <w:rPr>
          <w:b/>
          <w:bCs/>
          <w:spacing w:val="-6"/>
        </w:rPr>
      </w:pPr>
      <w:r>
        <w:rPr>
          <w:b/>
          <w:bCs/>
          <w:spacing w:val="-6"/>
        </w:rPr>
        <w:t>表</w:t>
      </w:r>
      <w:r>
        <w:rPr>
          <w:rFonts w:hint="eastAsia"/>
          <w:b/>
          <w:bCs/>
          <w:spacing w:val="-6"/>
          <w:lang w:val="en-US"/>
        </w:rPr>
        <w:t>2.9-</w:t>
      </w:r>
      <w:r>
        <w:rPr>
          <w:rFonts w:hint="eastAsia"/>
          <w:b/>
          <w:bCs/>
          <w:spacing w:val="-6"/>
          <w:lang w:val="en-US" w:eastAsia="zh-CN"/>
        </w:rPr>
        <w:t>9</w:t>
      </w:r>
      <w:r>
        <w:rPr>
          <w:rFonts w:hint="eastAsia"/>
          <w:b/>
          <w:bCs/>
          <w:spacing w:val="-6"/>
          <w:lang w:val="en-US"/>
        </w:rPr>
        <w:t xml:space="preserve"> </w:t>
      </w:r>
      <w:r>
        <w:rPr>
          <w:b/>
          <w:bCs/>
          <w:spacing w:val="-6"/>
        </w:rPr>
        <w:t xml:space="preserve">  与《重点行业挥发性有机物综合治理方案》相符性分析</w:t>
      </w:r>
    </w:p>
    <w:tbl>
      <w:tblPr>
        <w:tblStyle w:val="49"/>
        <w:tblW w:w="893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4349"/>
        <w:gridCol w:w="3898"/>
        <w:gridCol w:w="691"/>
      </w:tblGrid>
      <w:tr w14:paraId="42C69FD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5483" w:type="dxa"/>
            <w:vAlign w:val="center"/>
          </w:tcPr>
          <w:p w14:paraId="21ED6667">
            <w:pPr>
              <w:pStyle w:val="48"/>
              <w:ind w:left="0" w:leftChars="0" w:firstLine="0"/>
              <w:jc w:val="center"/>
              <w:rPr>
                <w:szCs w:val="21"/>
              </w:rPr>
            </w:pPr>
            <w:r>
              <w:rPr>
                <w:szCs w:val="21"/>
              </w:rPr>
              <w:t>文件要求</w:t>
            </w:r>
          </w:p>
        </w:tc>
        <w:tc>
          <w:tcPr>
            <w:tcW w:w="2202" w:type="dxa"/>
            <w:vAlign w:val="center"/>
          </w:tcPr>
          <w:p w14:paraId="2B7E4294">
            <w:pPr>
              <w:pStyle w:val="48"/>
              <w:ind w:left="0" w:leftChars="0" w:firstLine="0"/>
              <w:jc w:val="center"/>
              <w:rPr>
                <w:szCs w:val="21"/>
              </w:rPr>
            </w:pPr>
            <w:r>
              <w:rPr>
                <w:szCs w:val="21"/>
              </w:rPr>
              <w:t>本项目</w:t>
            </w:r>
          </w:p>
        </w:tc>
        <w:tc>
          <w:tcPr>
            <w:tcW w:w="1253" w:type="dxa"/>
            <w:vAlign w:val="center"/>
          </w:tcPr>
          <w:p w14:paraId="25CCF458">
            <w:pPr>
              <w:pStyle w:val="48"/>
              <w:ind w:left="0" w:leftChars="0" w:firstLine="0"/>
              <w:jc w:val="center"/>
              <w:rPr>
                <w:szCs w:val="21"/>
              </w:rPr>
            </w:pPr>
            <w:r>
              <w:rPr>
                <w:szCs w:val="21"/>
              </w:rPr>
              <w:t>符合性</w:t>
            </w:r>
          </w:p>
        </w:tc>
      </w:tr>
      <w:tr w14:paraId="4CFA030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483" w:type="dxa"/>
            <w:vAlign w:val="center"/>
          </w:tcPr>
          <w:p w14:paraId="58F007ED">
            <w:pPr>
              <w:pStyle w:val="48"/>
              <w:ind w:left="0" w:leftChars="0"/>
              <w:rPr>
                <w:szCs w:val="21"/>
              </w:rPr>
            </w:pPr>
            <w:r>
              <w:rPr>
                <w:szCs w:val="21"/>
              </w:rPr>
              <w:t>全面加强无组织排放控制。重点对含VOCs物料（包括含VOCs原辅材料、含VOCs产品、含VOCs废料以及有机聚合物材料等）储存、转移和输送、设备与管线组件泄漏、敞开液面逸散以及工艺过程等五类排放源实施管控，通过采取设备与场所密闭、工艺改进、废气有效收集等措施，削减VOCs无组织排放。</w:t>
            </w:r>
          </w:p>
        </w:tc>
        <w:tc>
          <w:tcPr>
            <w:tcW w:w="2202" w:type="dxa"/>
            <w:vAlign w:val="center"/>
          </w:tcPr>
          <w:p w14:paraId="0B6CE7BE">
            <w:pPr>
              <w:pStyle w:val="48"/>
              <w:ind w:left="0" w:leftChars="0"/>
              <w:jc w:val="center"/>
              <w:rPr>
                <w:szCs w:val="21"/>
              </w:rPr>
            </w:pPr>
            <w:r>
              <w:rPr>
                <w:szCs w:val="21"/>
              </w:rPr>
              <w:t>设置封闭式的生产车间，</w:t>
            </w:r>
            <w:r>
              <w:rPr>
                <w:rFonts w:hint="eastAsia"/>
                <w:color w:val="000000"/>
                <w:lang w:val="en-US"/>
              </w:rPr>
              <w:t>有机废气经集气罩收集后，采用1套</w:t>
            </w:r>
            <w:r>
              <w:rPr>
                <w:rFonts w:hint="eastAsia"/>
                <w:color w:val="000000"/>
                <w:lang w:val="en-US" w:eastAsia="zh-CN"/>
              </w:rPr>
              <w:t>活性炭浓缩吸附+催化燃烧</w:t>
            </w:r>
            <w:r>
              <w:rPr>
                <w:rFonts w:hint="eastAsia"/>
                <w:color w:val="000000"/>
                <w:lang w:val="en-US"/>
              </w:rPr>
              <w:t>系统进行处理，最终通过15m高排气筒排放。</w:t>
            </w:r>
          </w:p>
        </w:tc>
        <w:tc>
          <w:tcPr>
            <w:tcW w:w="1253" w:type="dxa"/>
            <w:vAlign w:val="center"/>
          </w:tcPr>
          <w:p w14:paraId="6C0312ED">
            <w:pPr>
              <w:pStyle w:val="48"/>
              <w:ind w:left="0" w:leftChars="0" w:firstLine="0"/>
              <w:jc w:val="center"/>
              <w:rPr>
                <w:szCs w:val="21"/>
              </w:rPr>
            </w:pPr>
            <w:r>
              <w:rPr>
                <w:szCs w:val="21"/>
              </w:rPr>
              <w:t>符合</w:t>
            </w:r>
          </w:p>
        </w:tc>
      </w:tr>
      <w:tr w14:paraId="5D69157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63" w:hRule="atLeast"/>
          <w:jc w:val="center"/>
        </w:trPr>
        <w:tc>
          <w:tcPr>
            <w:tcW w:w="5483" w:type="dxa"/>
            <w:vAlign w:val="center"/>
          </w:tcPr>
          <w:p w14:paraId="2E54451F">
            <w:pPr>
              <w:pStyle w:val="48"/>
              <w:ind w:left="0" w:leftChars="0"/>
              <w:rPr>
                <w:szCs w:val="21"/>
              </w:rPr>
            </w:pPr>
            <w:r>
              <w:rPr>
                <w:szCs w:val="21"/>
                <w:shd w:val="clear" w:color="auto" w:fill="FFFFFF"/>
              </w:rPr>
              <w:t>提高废气收集率。遵循“应收尽收、分质收集”的原则，科学设计废气收集系统，将无组织排放转变为有组织排放进行控制。采用全密闭集气罩或密闭空间的，除行业有特殊要求外，应保持微负压状态，并根据相关规范合理设置通风量。采用局部集气罩的，距集气罩开口面最远处的VOCs无组织排放位置，控制风速应不低于0.3米/秒，有行业要求的按相关规定执行。</w:t>
            </w:r>
          </w:p>
        </w:tc>
        <w:tc>
          <w:tcPr>
            <w:tcW w:w="2202" w:type="dxa"/>
            <w:vAlign w:val="center"/>
          </w:tcPr>
          <w:p w14:paraId="71EC7499">
            <w:pPr>
              <w:pStyle w:val="48"/>
              <w:ind w:left="0" w:leftChars="0"/>
              <w:jc w:val="center"/>
              <w:rPr>
                <w:szCs w:val="21"/>
              </w:rPr>
            </w:pPr>
            <w:r>
              <w:rPr>
                <w:szCs w:val="21"/>
              </w:rPr>
              <w:t>设置</w:t>
            </w:r>
            <w:r>
              <w:rPr>
                <w:rFonts w:hint="eastAsia"/>
                <w:szCs w:val="21"/>
              </w:rPr>
              <w:t>密</w:t>
            </w:r>
            <w:r>
              <w:rPr>
                <w:szCs w:val="21"/>
              </w:rPr>
              <w:t>闭式的生产车间，设置集气罩对废气进行收集，集气罩开口最远处的风速不低于0.3m/s。</w:t>
            </w:r>
          </w:p>
        </w:tc>
        <w:tc>
          <w:tcPr>
            <w:tcW w:w="1253" w:type="dxa"/>
            <w:vAlign w:val="center"/>
          </w:tcPr>
          <w:p w14:paraId="17421695">
            <w:pPr>
              <w:pStyle w:val="48"/>
              <w:ind w:left="0" w:leftChars="0" w:firstLine="0"/>
              <w:jc w:val="center"/>
              <w:rPr>
                <w:szCs w:val="21"/>
              </w:rPr>
            </w:pPr>
            <w:r>
              <w:rPr>
                <w:szCs w:val="21"/>
              </w:rPr>
              <w:t>符合</w:t>
            </w:r>
          </w:p>
        </w:tc>
      </w:tr>
      <w:tr w14:paraId="2A65997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54" w:hRule="atLeast"/>
          <w:jc w:val="center"/>
        </w:trPr>
        <w:tc>
          <w:tcPr>
            <w:tcW w:w="5483" w:type="dxa"/>
            <w:vAlign w:val="center"/>
          </w:tcPr>
          <w:p w14:paraId="236A4191">
            <w:pPr>
              <w:pStyle w:val="45"/>
              <w:autoSpaceDE w:val="0"/>
              <w:spacing w:before="0" w:beforeAutospacing="0" w:after="0" w:afterAutospacing="0"/>
              <w:ind w:firstLine="420"/>
              <w:jc w:val="both"/>
              <w:rPr>
                <w:rFonts w:ascii="Times New Roman" w:hAnsi="Times New Roman" w:cs="Times New Roman"/>
                <w:kern w:val="2"/>
                <w:sz w:val="21"/>
                <w:szCs w:val="21"/>
              </w:rPr>
            </w:pPr>
            <w:r>
              <w:rPr>
                <w:rFonts w:ascii="Times New Roman" w:hAnsi="Times New Roman" w:cs="Times New Roman"/>
                <w:sz w:val="21"/>
                <w:szCs w:val="21"/>
                <w:lang w:bidi="ar"/>
              </w:rPr>
              <w:t>推进建设适宜高效的治污设施。企业新建治污设施或对现有治污设施实施改造，应依据排放废气的浓度、组分、风量，温度、湿度、压力，以及生产工况等，合理选择治理技术。鼓励企业采用多种技术的组合工艺，提高VOCs治理效率。低浓度、大风量废气，宜采用沸石转轮吸附、活性炭吸附、减风增浓等浓缩技术，提高VOCs浓度后净化处理；高浓度废气，优先进行溶剂回收，难以回收的，宜采用高温焚烧、催化燃烧等技术。油气（溶剂）回收宜采用冷凝+吸附、吸附+吸收、膜分离+吸附等技术。低温等离子、光催化、光氧化技术主要适用于恶臭异味等治理；生物法主要适用于低浓度VOCs废气治理和恶臭异味治理。</w:t>
            </w:r>
          </w:p>
        </w:tc>
        <w:tc>
          <w:tcPr>
            <w:tcW w:w="2202" w:type="dxa"/>
            <w:vAlign w:val="center"/>
          </w:tcPr>
          <w:p w14:paraId="3E621365">
            <w:pPr>
              <w:pStyle w:val="48"/>
              <w:ind w:left="0" w:leftChars="0"/>
              <w:jc w:val="center"/>
              <w:rPr>
                <w:szCs w:val="21"/>
              </w:rPr>
            </w:pPr>
            <w:r>
              <w:rPr>
                <w:szCs w:val="21"/>
              </w:rPr>
              <w:t>有机废气</w:t>
            </w:r>
            <w:r>
              <w:rPr>
                <w:rFonts w:hint="eastAsia"/>
                <w:szCs w:val="21"/>
              </w:rPr>
              <w:t>经集气罩收集后，经1套</w:t>
            </w:r>
            <w:r>
              <w:rPr>
                <w:rFonts w:hint="eastAsia"/>
                <w:szCs w:val="21"/>
                <w:lang w:eastAsia="zh-CN"/>
              </w:rPr>
              <w:t>活性炭浓缩吸附+催化燃烧</w:t>
            </w:r>
            <w:r>
              <w:rPr>
                <w:rFonts w:hint="eastAsia"/>
                <w:szCs w:val="21"/>
              </w:rPr>
              <w:t>系统进行处理，最终通过15m高排气筒排放</w:t>
            </w:r>
            <w:r>
              <w:rPr>
                <w:szCs w:val="21"/>
              </w:rPr>
              <w:t>。</w:t>
            </w:r>
          </w:p>
        </w:tc>
        <w:tc>
          <w:tcPr>
            <w:tcW w:w="1253" w:type="dxa"/>
            <w:vAlign w:val="center"/>
          </w:tcPr>
          <w:p w14:paraId="538EDA9D">
            <w:pPr>
              <w:pStyle w:val="48"/>
              <w:ind w:left="0" w:leftChars="0" w:firstLine="0"/>
              <w:jc w:val="center"/>
              <w:rPr>
                <w:szCs w:val="21"/>
              </w:rPr>
            </w:pPr>
            <w:r>
              <w:rPr>
                <w:szCs w:val="21"/>
              </w:rPr>
              <w:t>符合</w:t>
            </w:r>
          </w:p>
        </w:tc>
      </w:tr>
      <w:tr w14:paraId="2EA3600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8" w:hRule="atLeast"/>
          <w:jc w:val="center"/>
        </w:trPr>
        <w:tc>
          <w:tcPr>
            <w:tcW w:w="5483" w:type="dxa"/>
            <w:vAlign w:val="center"/>
          </w:tcPr>
          <w:p w14:paraId="16BD61AB">
            <w:pPr>
              <w:pStyle w:val="240"/>
              <w:jc w:val="both"/>
              <w:rPr>
                <w:rFonts w:hint="default"/>
              </w:rPr>
            </w:pPr>
            <w:r>
              <w:rPr>
                <w:rFonts w:hint="default"/>
              </w:rPr>
              <w:t>推进使用先进生产工艺。通过采用全密闭、连续化、自动化等生产技术，以及高效工艺与设备等，减少工艺过程无组织排放。</w:t>
            </w:r>
          </w:p>
        </w:tc>
        <w:tc>
          <w:tcPr>
            <w:tcW w:w="2202" w:type="dxa"/>
            <w:vAlign w:val="center"/>
          </w:tcPr>
          <w:p w14:paraId="7A58A520">
            <w:pPr>
              <w:pStyle w:val="240"/>
              <w:jc w:val="both"/>
              <w:rPr>
                <w:rFonts w:hint="default"/>
              </w:rPr>
            </w:pPr>
            <w:r>
              <w:rPr>
                <w:rFonts w:hint="default"/>
              </w:rPr>
              <w:t>生产过程均为全密闭、连续化、自动化，减少工艺过程无组织排放</w:t>
            </w:r>
            <w:r>
              <w:t>。</w:t>
            </w:r>
          </w:p>
        </w:tc>
        <w:tc>
          <w:tcPr>
            <w:tcW w:w="1253" w:type="dxa"/>
            <w:vAlign w:val="center"/>
          </w:tcPr>
          <w:p w14:paraId="35C3ABD2">
            <w:pPr>
              <w:pStyle w:val="48"/>
              <w:ind w:left="0" w:leftChars="0" w:firstLine="0"/>
              <w:jc w:val="center"/>
              <w:rPr>
                <w:szCs w:val="21"/>
              </w:rPr>
            </w:pPr>
            <w:r>
              <w:rPr>
                <w:szCs w:val="21"/>
              </w:rPr>
              <w:t>符合</w:t>
            </w:r>
          </w:p>
        </w:tc>
      </w:tr>
      <w:tr w14:paraId="5BA8218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1" w:hRule="atLeast"/>
          <w:jc w:val="center"/>
        </w:trPr>
        <w:tc>
          <w:tcPr>
            <w:tcW w:w="0" w:type="auto"/>
            <w:vAlign w:val="center"/>
          </w:tcPr>
          <w:p w14:paraId="4CA86E25">
            <w:pPr>
              <w:pStyle w:val="240"/>
              <w:jc w:val="both"/>
              <w:rPr>
                <w:rFonts w:hint="default"/>
              </w:rPr>
            </w:pPr>
            <w:r>
              <w:rPr>
                <w:rFonts w:hint="default"/>
              </w:rPr>
              <w:t>提高废气收集率。遵循</w:t>
            </w:r>
            <w:r>
              <w:rPr>
                <w:rFonts w:ascii="宋体" w:hAnsi="宋体" w:cs="宋体"/>
              </w:rPr>
              <w:t>“应收尽收、分质收集”</w:t>
            </w:r>
            <w:r>
              <w:rPr>
                <w:rFonts w:hint="default"/>
              </w:rPr>
              <w:t>的原则，科学设计废气收集系统，将无组织排放转变为有组织排放进行控制。</w:t>
            </w:r>
          </w:p>
        </w:tc>
        <w:tc>
          <w:tcPr>
            <w:tcW w:w="0" w:type="auto"/>
            <w:vAlign w:val="center"/>
          </w:tcPr>
          <w:p w14:paraId="74966DB6">
            <w:pPr>
              <w:pStyle w:val="240"/>
              <w:jc w:val="both"/>
              <w:rPr>
                <w:rFonts w:hint="default"/>
              </w:rPr>
            </w:pPr>
            <w:r>
              <w:t>有机废气经集气罩收集后，经1套</w:t>
            </w:r>
            <w:r>
              <w:rPr>
                <w:rFonts w:hint="eastAsia"/>
                <w:lang w:eastAsia="zh-CN"/>
              </w:rPr>
              <w:t>活性炭浓缩吸附+催化燃烧</w:t>
            </w:r>
            <w:r>
              <w:t>系统进行处理，最终通过15m高排气筒排放。</w:t>
            </w:r>
          </w:p>
        </w:tc>
        <w:tc>
          <w:tcPr>
            <w:tcW w:w="0" w:type="auto"/>
            <w:vAlign w:val="center"/>
          </w:tcPr>
          <w:p w14:paraId="49FBCB03">
            <w:pPr>
              <w:pStyle w:val="48"/>
              <w:ind w:left="0" w:leftChars="0" w:firstLine="0"/>
              <w:jc w:val="center"/>
              <w:rPr>
                <w:szCs w:val="21"/>
              </w:rPr>
            </w:pPr>
            <w:r>
              <w:rPr>
                <w:szCs w:val="21"/>
              </w:rPr>
              <w:t>符合</w:t>
            </w:r>
          </w:p>
        </w:tc>
      </w:tr>
    </w:tbl>
    <w:p w14:paraId="13118574">
      <w:pPr>
        <w:pStyle w:val="5"/>
        <w:rPr>
          <w:rFonts w:hint="default" w:ascii="Times New Roman" w:hAnsi="Times New Roman" w:eastAsia="宋体" w:cs="Times New Roman"/>
          <w:color w:val="000000"/>
          <w:lang w:val="en-US" w:eastAsia="zh-CN"/>
        </w:rPr>
      </w:pPr>
      <w:r>
        <w:rPr>
          <w:rFonts w:hint="eastAsia" w:ascii="Times New Roman" w:hAnsi="Times New Roman" w:eastAsia="宋体" w:cs="Times New Roman"/>
          <w:color w:val="000000"/>
          <w:lang w:val="en-US"/>
        </w:rPr>
        <w:t>2.9.1.1</w:t>
      </w:r>
      <w:r>
        <w:rPr>
          <w:rFonts w:hint="eastAsia" w:ascii="Times New Roman" w:hAnsi="Times New Roman" w:eastAsia="宋体" w:cs="Times New Roman"/>
          <w:color w:val="000000"/>
          <w:lang w:val="en-US" w:eastAsia="zh-CN"/>
        </w:rPr>
        <w:t>4</w:t>
      </w:r>
      <w:r>
        <w:rPr>
          <w:rFonts w:hint="eastAsia" w:ascii="Times New Roman" w:hAnsi="Times New Roman" w:eastAsia="宋体" w:cs="Times New Roman"/>
          <w:color w:val="000000"/>
          <w:lang w:val="en-US"/>
        </w:rPr>
        <w:t>与“关于印发《自治州大气污染防治三年攻坚行动方案（2023-2025年）》的通知（巴政发〔2023〕27号）”符合性分析</w:t>
      </w:r>
    </w:p>
    <w:p w14:paraId="1C001AE1">
      <w:pPr>
        <w:bidi w:val="0"/>
        <w:adjustRightInd w:val="0"/>
        <w:snapToGrid w:val="0"/>
        <w:spacing w:line="440" w:lineRule="exact"/>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根据“行动方案”重点任务要求，应严格项目准入，严把高耗能、高排放、低水平项目准入关口，严格落实国家产业规划、产业政策、“三线一单”、规划环评，以及产能置换、煤炭消费减量替代、区域污染物消减要求，对不符合规定的项目坚决停批停建。加快重点行业落后产能退出。以钢铁、电力、水泥、煤炭、石油石化、平板玻璃、建材、有色金属等行业为重点，依据《新疆维吾尔自治区淘汰落后产能综合标准体系（2021年本）》规定，促使一批能耗、环保、安全、技术达不到标准和生产不合格产品或淘汰类产能等落后产能依法依规关停</w:t>
      </w:r>
      <w:r>
        <w:rPr>
          <w:rFonts w:hint="eastAsia" w:ascii="Times New Roman" w:hAnsi="Times New Roman" w:eastAsia="宋体" w:cs="Times New Roman"/>
          <w:color w:val="auto"/>
          <w:sz w:val="24"/>
          <w:szCs w:val="24"/>
          <w:lang w:val="en-US" w:eastAsia="zh-CN"/>
        </w:rPr>
        <w:t>退出</w:t>
      </w:r>
      <w:r>
        <w:rPr>
          <w:rFonts w:hint="default" w:ascii="Times New Roman" w:hAnsi="Times New Roman" w:eastAsia="宋体" w:cs="Times New Roman"/>
          <w:color w:val="auto"/>
          <w:sz w:val="24"/>
          <w:szCs w:val="24"/>
          <w:lang w:val="en-US" w:eastAsia="zh-CN"/>
        </w:rPr>
        <w:t>，产业结构得到持续优化升级。进一步优化能源结构、加强能耗“双控”管理。大力发展清洁能源。</w:t>
      </w:r>
    </w:p>
    <w:p w14:paraId="679FA868">
      <w:pPr>
        <w:bidi w:val="0"/>
        <w:adjustRightInd w:val="0"/>
        <w:snapToGrid w:val="0"/>
        <w:spacing w:line="440" w:lineRule="exact"/>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本项目运营期塑料熔融由电加热设备提供，冬季车间及办公区取暖均由电加热设备供给，不新增锅炉，大气污染物非甲烷总烃均有成熟</w:t>
      </w:r>
      <w:r>
        <w:rPr>
          <w:rFonts w:hint="eastAsia" w:ascii="Times New Roman" w:hAnsi="Times New Roman" w:eastAsia="宋体" w:cs="Times New Roman"/>
          <w:color w:val="auto"/>
          <w:sz w:val="24"/>
          <w:szCs w:val="24"/>
          <w:lang w:val="en-US" w:eastAsia="zh-CN"/>
        </w:rPr>
        <w:t>有效地</w:t>
      </w:r>
      <w:r>
        <w:rPr>
          <w:rFonts w:hint="default" w:ascii="Times New Roman" w:hAnsi="Times New Roman" w:eastAsia="宋体" w:cs="Times New Roman"/>
          <w:color w:val="auto"/>
          <w:sz w:val="24"/>
          <w:szCs w:val="24"/>
          <w:lang w:val="en-US" w:eastAsia="zh-CN"/>
        </w:rPr>
        <w:t>措施进行达标控制，不会对环境空气改善目标造成明显影响。通过采取一系列环保措施，工业污染源可全面达标排放。因此符合《自治州大气污染防治三年攻坚行动方案（2023-2025年）》的相关要求。</w:t>
      </w:r>
    </w:p>
    <w:p w14:paraId="5C1A55E3">
      <w:pPr>
        <w:pStyle w:val="4"/>
        <w:autoSpaceDE w:val="0"/>
        <w:autoSpaceDN w:val="0"/>
        <w:spacing w:before="0" w:after="0" w:line="360" w:lineRule="auto"/>
        <w:jc w:val="left"/>
        <w:rPr>
          <w:kern w:val="0"/>
          <w:sz w:val="24"/>
          <w:lang w:val="en-US" w:bidi="zh-CN"/>
        </w:rPr>
      </w:pPr>
      <w:r>
        <w:rPr>
          <w:rFonts w:hint="eastAsia"/>
          <w:kern w:val="0"/>
          <w:sz w:val="24"/>
          <w:lang w:val="en-US" w:bidi="zh-CN"/>
        </w:rPr>
        <w:t>2.9.3规划符合性分析</w:t>
      </w:r>
    </w:p>
    <w:p w14:paraId="795DC140">
      <w:pPr>
        <w:pStyle w:val="5"/>
        <w:rPr>
          <w:rFonts w:ascii="Times New Roman" w:hAnsi="Times New Roman"/>
          <w:color w:val="000000"/>
          <w:lang w:val="en-US"/>
        </w:rPr>
      </w:pPr>
      <w:r>
        <w:rPr>
          <w:rFonts w:hint="eastAsia" w:ascii="Times New Roman" w:hAnsi="Times New Roman"/>
          <w:color w:val="000000"/>
          <w:lang w:val="en-US"/>
        </w:rPr>
        <w:t>2.9.3.1与《巴音郭楞蒙古自治州国民经济和社会发展第十四个五年规划和二〇三五年远景目标纲要》符合性分析</w:t>
      </w:r>
    </w:p>
    <w:p w14:paraId="1CCBA1A6">
      <w:pPr>
        <w:spacing w:line="360" w:lineRule="auto"/>
        <w:ind w:firstLine="480"/>
        <w:rPr>
          <w:sz w:val="24"/>
          <w:szCs w:val="24"/>
        </w:rPr>
      </w:pPr>
      <w:r>
        <w:rPr>
          <w:sz w:val="24"/>
          <w:szCs w:val="24"/>
        </w:rPr>
        <w:t>规划指出：</w:t>
      </w:r>
      <w:r>
        <w:rPr>
          <w:rFonts w:hint="eastAsia"/>
          <w:sz w:val="24"/>
          <w:szCs w:val="24"/>
        </w:rPr>
        <w:t>按照绿色、低碳、循环发展理念，以技术创新为支撑，推进清洁生产和资源综合利用，进一步降低原材料资源消耗，提高资源利用效率和减少废弃物排放。培育环境治理和生态保护市场主体，加强节能环保技术和产品的推广“应用，积极推动节能环保技术研发和产品生产。以污水处理、中水回用、固体废弃物回收利用为重点，重点做好中水循环利用等新技术推广应用。围绕煤化工行业，做好余热余压回收利用技术开发、推广和应用。围绕水泥、钢铁等行业，推广应用废渣高效无害化处理技术和资源节约化利用技术。围绕高载能和高排放工业企业，加强高炉煤气发电、燃煤锅炉综合能效提升、绿色高效制冷、变频设备等节能绿色技术、工艺、设备的推广使用。发展新型绿色环保建筑材料，开展农业废弃物资源化利用，提高固废综合利用能力。</w:t>
      </w:r>
    </w:p>
    <w:p w14:paraId="4B051846">
      <w:pPr>
        <w:spacing w:line="360" w:lineRule="auto"/>
        <w:ind w:firstLine="480"/>
        <w:rPr>
          <w:sz w:val="24"/>
          <w:szCs w:val="24"/>
        </w:rPr>
      </w:pPr>
      <w:r>
        <w:rPr>
          <w:sz w:val="24"/>
          <w:szCs w:val="24"/>
        </w:rPr>
        <w:t>本项目</w:t>
      </w:r>
      <w:r>
        <w:rPr>
          <w:rFonts w:hint="eastAsia"/>
          <w:sz w:val="24"/>
          <w:szCs w:val="24"/>
        </w:rPr>
        <w:t>是农业废弃物资源化利用，</w:t>
      </w:r>
      <w:r>
        <w:rPr>
          <w:sz w:val="24"/>
          <w:szCs w:val="24"/>
        </w:rPr>
        <w:t>符合《</w:t>
      </w:r>
      <w:r>
        <w:rPr>
          <w:rFonts w:hint="eastAsia"/>
          <w:sz w:val="24"/>
          <w:szCs w:val="24"/>
        </w:rPr>
        <w:t>巴音郭楞蒙古自治州国民经济和社会发展第十四个五年规划和二〇三五年远景目标纲要</w:t>
      </w:r>
      <w:r>
        <w:rPr>
          <w:sz w:val="24"/>
          <w:szCs w:val="24"/>
        </w:rPr>
        <w:t>》的要求</w:t>
      </w:r>
      <w:r>
        <w:rPr>
          <w:rFonts w:hint="eastAsia"/>
          <w:sz w:val="24"/>
          <w:szCs w:val="24"/>
        </w:rPr>
        <w:t>。</w:t>
      </w:r>
    </w:p>
    <w:p w14:paraId="1D810D66">
      <w:pPr>
        <w:spacing w:line="360" w:lineRule="auto"/>
        <w:ind w:firstLine="480"/>
        <w:rPr>
          <w:sz w:val="24"/>
          <w:szCs w:val="24"/>
        </w:rPr>
      </w:pPr>
      <w:r>
        <w:rPr>
          <w:sz w:val="24"/>
          <w:szCs w:val="24"/>
        </w:rPr>
        <w:t>综合以上分析判定结果，</w:t>
      </w:r>
      <w:r>
        <w:rPr>
          <w:rFonts w:hint="eastAsia"/>
          <w:sz w:val="24"/>
          <w:szCs w:val="24"/>
        </w:rPr>
        <w:t>本项目</w:t>
      </w:r>
      <w:r>
        <w:rPr>
          <w:sz w:val="24"/>
          <w:szCs w:val="24"/>
        </w:rPr>
        <w:t>符合国家及地方的相关法律法规、规划、标准等的要求。</w:t>
      </w:r>
    </w:p>
    <w:p w14:paraId="7AEBBEF8">
      <w:pPr>
        <w:pStyle w:val="5"/>
        <w:rPr>
          <w:rFonts w:ascii="Times New Roman" w:hAnsi="Times New Roman"/>
          <w:color w:val="000000"/>
          <w:lang w:val="en-US"/>
        </w:rPr>
      </w:pPr>
      <w:r>
        <w:rPr>
          <w:rFonts w:hint="eastAsia" w:ascii="Times New Roman" w:hAnsi="Times New Roman"/>
          <w:color w:val="000000"/>
          <w:lang w:val="en-US"/>
        </w:rPr>
        <w:t>2.9.3.2与《巴音郭楞蒙古自治州生态环境“十四五”规划》符合性分析</w:t>
      </w:r>
    </w:p>
    <w:p w14:paraId="410A23C9">
      <w:pPr>
        <w:spacing w:line="360" w:lineRule="auto"/>
        <w:ind w:firstLine="480"/>
        <w:rPr>
          <w:kern w:val="0"/>
          <w:sz w:val="24"/>
          <w:szCs w:val="24"/>
          <w:lang w:bidi="ar"/>
        </w:rPr>
      </w:pPr>
      <w:r>
        <w:rPr>
          <w:kern w:val="0"/>
          <w:sz w:val="24"/>
          <w:szCs w:val="24"/>
          <w:lang w:bidi="ar"/>
        </w:rPr>
        <w:t>《</w:t>
      </w:r>
      <w:r>
        <w:rPr>
          <w:sz w:val="24"/>
          <w:szCs w:val="24"/>
        </w:rPr>
        <w:t>巴音郭楞蒙古自治州生态环境“十四五”规划》</w:t>
      </w:r>
      <w:r>
        <w:rPr>
          <w:kern w:val="0"/>
          <w:sz w:val="24"/>
          <w:szCs w:val="24"/>
          <w:lang w:bidi="ar"/>
        </w:rPr>
        <w:t>文件指出：</w:t>
      </w:r>
      <w:r>
        <w:rPr>
          <w:sz w:val="24"/>
          <w:szCs w:val="24"/>
        </w:rPr>
        <w:t>推动绿色低碳循环发展。</w:t>
      </w:r>
      <w:r>
        <w:rPr>
          <w:kern w:val="0"/>
          <w:sz w:val="24"/>
          <w:szCs w:val="24"/>
          <w:lang w:bidi="ar"/>
        </w:rPr>
        <w:t>贯彻落实绿色发展理念，推进工业清洁化、循环化改造，调整优化能源结构，促进区域节能降耗，构建绿色交通体系，打造兵地协调的绿色低碳循环发展经济体系，推动</w:t>
      </w:r>
      <w:r>
        <w:rPr>
          <w:rFonts w:hint="eastAsia"/>
          <w:kern w:val="0"/>
          <w:sz w:val="24"/>
          <w:szCs w:val="24"/>
          <w:lang w:bidi="ar"/>
        </w:rPr>
        <w:t>地方</w:t>
      </w:r>
      <w:r>
        <w:rPr>
          <w:kern w:val="0"/>
          <w:sz w:val="24"/>
          <w:szCs w:val="24"/>
          <w:lang w:bidi="ar"/>
        </w:rPr>
        <w:t>经济高质量发展。</w:t>
      </w:r>
    </w:p>
    <w:p w14:paraId="3D0B9AE1">
      <w:pPr>
        <w:spacing w:line="360" w:lineRule="auto"/>
        <w:ind w:firstLine="480"/>
        <w:rPr>
          <w:sz w:val="24"/>
          <w:szCs w:val="24"/>
        </w:rPr>
      </w:pPr>
      <w:bookmarkStart w:id="120" w:name="_Toc13379"/>
      <w:r>
        <w:rPr>
          <w:sz w:val="24"/>
          <w:szCs w:val="24"/>
        </w:rPr>
        <w:t>本项目</w:t>
      </w:r>
      <w:r>
        <w:rPr>
          <w:rFonts w:hint="eastAsia"/>
          <w:sz w:val="24"/>
          <w:szCs w:val="24"/>
        </w:rPr>
        <w:t>原材料采用距离本项目东侧6.93km处的本公司2024年8月建成投入使用的地膜回收分拣、破碎清选后的废旧地膜</w:t>
      </w:r>
      <w:r>
        <w:rPr>
          <w:rFonts w:hint="eastAsia" w:ascii="宋体" w:hAnsi="宋体" w:cs="宋体"/>
          <w:kern w:val="0"/>
          <w:sz w:val="24"/>
          <w:szCs w:val="24"/>
          <w:lang w:bidi="zh-CN"/>
        </w:rPr>
        <w:t>距离本项目东侧6.93km处本公司2024年月8建成投入使用的地膜回收分拣、破碎清选后的废旧地膜进行再生造粒生产滴灌带</w:t>
      </w:r>
      <w:r>
        <w:rPr>
          <w:rFonts w:hint="eastAsia"/>
          <w:sz w:val="24"/>
          <w:szCs w:val="24"/>
        </w:rPr>
        <w:t>，能够有效提高现有资源利用率，</w:t>
      </w:r>
      <w:r>
        <w:rPr>
          <w:sz w:val="24"/>
          <w:szCs w:val="24"/>
        </w:rPr>
        <w:t>符合文件要求。</w:t>
      </w:r>
      <w:bookmarkEnd w:id="120"/>
    </w:p>
    <w:p w14:paraId="014180CF">
      <w:pPr>
        <w:pStyle w:val="5"/>
        <w:rPr>
          <w:rFonts w:ascii="Times New Roman" w:hAnsi="Times New Roman"/>
          <w:color w:val="000000"/>
          <w:lang w:val="en-US"/>
        </w:rPr>
      </w:pPr>
      <w:r>
        <w:rPr>
          <w:rFonts w:hint="eastAsia" w:ascii="Times New Roman" w:hAnsi="Times New Roman"/>
          <w:color w:val="000000"/>
          <w:lang w:val="en-US"/>
        </w:rPr>
        <w:t>2.9.3.3与《国家发展改革委 生态环境部关于印发“十四五”塑料污染治理行动方案的通知》相符性分析</w:t>
      </w:r>
    </w:p>
    <w:p w14:paraId="48F73B39">
      <w:pPr>
        <w:pStyle w:val="235"/>
        <w:adjustRightInd/>
        <w:spacing w:line="360" w:lineRule="auto"/>
        <w:rPr>
          <w:rFonts w:ascii="Times New Roman" w:hAnsi="Times New Roman"/>
          <w:kern w:val="0"/>
          <w:sz w:val="24"/>
          <w:szCs w:val="24"/>
        </w:rPr>
      </w:pPr>
      <w:r>
        <w:rPr>
          <w:rFonts w:ascii="Times New Roman" w:hAnsi="Times New Roman"/>
          <w:kern w:val="0"/>
          <w:sz w:val="24"/>
          <w:szCs w:val="24"/>
        </w:rPr>
        <w:t>本项目与《国家发展改革委 生态环境部关于印发“十四五”塑料污染治理行动方案的通知》（发改环资</w:t>
      </w:r>
      <w:r>
        <w:rPr>
          <w:rFonts w:hint="eastAsia" w:ascii="Times New Roman" w:hAnsi="Times New Roman"/>
          <w:kern w:val="0"/>
          <w:sz w:val="24"/>
          <w:szCs w:val="24"/>
          <w:lang w:eastAsia="zh-CN"/>
        </w:rPr>
        <w:t>〔2021〕1298号</w:t>
      </w:r>
      <w:r>
        <w:rPr>
          <w:rFonts w:ascii="Times New Roman" w:hAnsi="Times New Roman"/>
          <w:kern w:val="0"/>
          <w:sz w:val="24"/>
          <w:szCs w:val="24"/>
        </w:rPr>
        <w:t>文）符合性分析见表</w:t>
      </w:r>
      <w:r>
        <w:rPr>
          <w:rFonts w:hint="eastAsia" w:ascii="Times New Roman" w:hAnsi="Times New Roman"/>
          <w:kern w:val="0"/>
          <w:sz w:val="24"/>
          <w:szCs w:val="24"/>
        </w:rPr>
        <w:t>2.9</w:t>
      </w:r>
      <w:r>
        <w:rPr>
          <w:rFonts w:ascii="Times New Roman" w:hAnsi="Times New Roman"/>
          <w:kern w:val="0"/>
          <w:sz w:val="24"/>
          <w:szCs w:val="24"/>
        </w:rPr>
        <w:t>-</w:t>
      </w:r>
      <w:r>
        <w:rPr>
          <w:rFonts w:hint="eastAsia" w:ascii="Times New Roman" w:hAnsi="Times New Roman"/>
          <w:kern w:val="0"/>
          <w:sz w:val="24"/>
          <w:szCs w:val="24"/>
        </w:rPr>
        <w:t>1</w:t>
      </w:r>
      <w:r>
        <w:rPr>
          <w:rFonts w:hint="eastAsia" w:ascii="Times New Roman" w:hAnsi="Times New Roman"/>
          <w:kern w:val="0"/>
          <w:sz w:val="24"/>
          <w:szCs w:val="24"/>
          <w:lang w:val="en-US" w:eastAsia="zh-CN"/>
        </w:rPr>
        <w:t>0</w:t>
      </w:r>
      <w:r>
        <w:rPr>
          <w:rFonts w:ascii="Times New Roman" w:hAnsi="Times New Roman"/>
          <w:kern w:val="0"/>
          <w:sz w:val="24"/>
          <w:szCs w:val="24"/>
        </w:rPr>
        <w:t>。</w:t>
      </w:r>
    </w:p>
    <w:p w14:paraId="4FA7D21F">
      <w:pPr>
        <w:pStyle w:val="48"/>
        <w:spacing w:after="0"/>
        <w:ind w:left="0" w:leftChars="0" w:firstLine="459"/>
        <w:jc w:val="center"/>
        <w:rPr>
          <w:b/>
          <w:bCs/>
          <w:spacing w:val="-6"/>
          <w:lang w:val="en-US"/>
        </w:rPr>
      </w:pPr>
      <w:r>
        <w:rPr>
          <w:b/>
          <w:bCs/>
          <w:spacing w:val="-6"/>
          <w:lang w:val="en-US"/>
        </w:rPr>
        <w:t>表</w:t>
      </w:r>
      <w:r>
        <w:rPr>
          <w:rFonts w:hint="eastAsia"/>
          <w:b/>
          <w:bCs/>
          <w:spacing w:val="-6"/>
          <w:lang w:val="en-US"/>
        </w:rPr>
        <w:t>2.9-1</w:t>
      </w:r>
      <w:r>
        <w:rPr>
          <w:rFonts w:hint="eastAsia"/>
          <w:b/>
          <w:bCs/>
          <w:spacing w:val="-6"/>
          <w:lang w:val="en-US" w:eastAsia="zh-CN"/>
        </w:rPr>
        <w:t>0</w:t>
      </w:r>
      <w:r>
        <w:rPr>
          <w:b/>
          <w:bCs/>
          <w:spacing w:val="-6"/>
          <w:lang w:val="en-US"/>
        </w:rPr>
        <w:t xml:space="preserve"> </w:t>
      </w:r>
      <w:r>
        <w:rPr>
          <w:rFonts w:hint="eastAsia"/>
          <w:b/>
          <w:bCs/>
          <w:spacing w:val="-6"/>
          <w:lang w:val="en-US"/>
        </w:rPr>
        <w:t xml:space="preserve">   </w:t>
      </w:r>
      <w:r>
        <w:rPr>
          <w:b/>
          <w:bCs/>
          <w:spacing w:val="-6"/>
          <w:lang w:val="en-US"/>
        </w:rPr>
        <w:t xml:space="preserve">  与发改环资</w:t>
      </w:r>
      <w:r>
        <w:rPr>
          <w:rFonts w:hint="eastAsia"/>
          <w:b/>
          <w:bCs/>
          <w:spacing w:val="-6"/>
          <w:lang w:val="en-US" w:eastAsia="zh-CN"/>
        </w:rPr>
        <w:t>〔2021〕1298号</w:t>
      </w:r>
      <w:r>
        <w:rPr>
          <w:b/>
          <w:bCs/>
          <w:spacing w:val="-6"/>
          <w:lang w:val="en-US"/>
        </w:rPr>
        <w:t>文符合性分析一览表</w:t>
      </w:r>
    </w:p>
    <w:tbl>
      <w:tblPr>
        <w:tblStyle w:val="49"/>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5461"/>
        <w:gridCol w:w="2679"/>
        <w:gridCol w:w="1091"/>
      </w:tblGrid>
      <w:tr w14:paraId="00A42AE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2958" w:type="pct"/>
            <w:vAlign w:val="center"/>
          </w:tcPr>
          <w:p w14:paraId="7434E173">
            <w:pPr>
              <w:snapToGrid w:val="0"/>
              <w:jc w:val="center"/>
              <w:rPr>
                <w:szCs w:val="21"/>
              </w:rPr>
            </w:pPr>
            <w:r>
              <w:rPr>
                <w:szCs w:val="21"/>
              </w:rPr>
              <w:t>发改环资</w:t>
            </w:r>
            <w:r>
              <w:rPr>
                <w:rFonts w:hint="eastAsia"/>
                <w:szCs w:val="21"/>
                <w:lang w:eastAsia="zh-CN"/>
              </w:rPr>
              <w:t>〔2021〕1298号</w:t>
            </w:r>
            <w:r>
              <w:rPr>
                <w:szCs w:val="21"/>
              </w:rPr>
              <w:t>文</w:t>
            </w:r>
          </w:p>
        </w:tc>
        <w:tc>
          <w:tcPr>
            <w:tcW w:w="1451" w:type="pct"/>
            <w:vAlign w:val="center"/>
          </w:tcPr>
          <w:p w14:paraId="2BB9F216">
            <w:pPr>
              <w:snapToGrid w:val="0"/>
              <w:jc w:val="center"/>
              <w:rPr>
                <w:szCs w:val="21"/>
              </w:rPr>
            </w:pPr>
            <w:r>
              <w:rPr>
                <w:szCs w:val="21"/>
              </w:rPr>
              <w:t>本项目</w:t>
            </w:r>
          </w:p>
        </w:tc>
        <w:tc>
          <w:tcPr>
            <w:tcW w:w="591" w:type="pct"/>
            <w:vAlign w:val="center"/>
          </w:tcPr>
          <w:p w14:paraId="178912D5">
            <w:pPr>
              <w:snapToGrid w:val="0"/>
              <w:jc w:val="center"/>
              <w:rPr>
                <w:szCs w:val="21"/>
              </w:rPr>
            </w:pPr>
            <w:r>
              <w:rPr>
                <w:szCs w:val="21"/>
              </w:rPr>
              <w:t>符合性</w:t>
            </w:r>
          </w:p>
        </w:tc>
      </w:tr>
      <w:tr w14:paraId="7859B9B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286" w:hRule="atLeast"/>
        </w:trPr>
        <w:tc>
          <w:tcPr>
            <w:tcW w:w="2958" w:type="pct"/>
            <w:vAlign w:val="center"/>
          </w:tcPr>
          <w:p w14:paraId="350DC7BD">
            <w:pPr>
              <w:snapToGrid w:val="0"/>
              <w:jc w:val="center"/>
              <w:rPr>
                <w:szCs w:val="21"/>
              </w:rPr>
            </w:pPr>
            <w:r>
              <w:rPr>
                <w:szCs w:val="21"/>
              </w:rPr>
              <w:t>建立完善农村塑料废弃物收运处置体系。完善农村生活垃圾分类收集、转运和处置体系，构建稳定运行的长效机制，加强日常监督，不断提高运行管理水平。根据当地实际，统筹县、乡镇、村三级设施建设和服务，合理选择收集、转运和处置模式。深入实施农膜回收行动，继续开展农膜回收示范县建设，推广标准应用，推动机械化捡拾、专业化回收和资源化利用。开展农药包装物回收行动。</w:t>
            </w:r>
            <w:r>
              <w:rPr>
                <w:b/>
                <w:bCs/>
                <w:szCs w:val="21"/>
              </w:rPr>
              <w:t>支</w:t>
            </w:r>
            <w:r>
              <w:rPr>
                <w:szCs w:val="21"/>
              </w:rPr>
              <w:t>持和指导种养殖大户、农业生产服务组织、再生资源回收企业等相关责任主体积极开展灌溉器具、渔网渔具、秧盘等废旧农渔物资回收利用。</w:t>
            </w:r>
          </w:p>
        </w:tc>
        <w:tc>
          <w:tcPr>
            <w:tcW w:w="1451" w:type="pct"/>
            <w:vMerge w:val="restart"/>
            <w:vAlign w:val="center"/>
          </w:tcPr>
          <w:p w14:paraId="6CB47ADF">
            <w:pPr>
              <w:snapToGrid w:val="0"/>
              <w:jc w:val="center"/>
              <w:rPr>
                <w:szCs w:val="21"/>
              </w:rPr>
            </w:pPr>
            <w:r>
              <w:rPr>
                <w:szCs w:val="21"/>
                <w:lang w:bidi="ar"/>
              </w:rPr>
              <w:t>本</w:t>
            </w:r>
            <w:r>
              <w:rPr>
                <w:rFonts w:hint="eastAsia"/>
                <w:szCs w:val="21"/>
                <w:lang w:bidi="ar"/>
              </w:rPr>
              <w:t>生产过程中采用距离本项目</w:t>
            </w:r>
            <w:r>
              <w:rPr>
                <w:rFonts w:hint="eastAsia"/>
                <w:szCs w:val="21"/>
              </w:rPr>
              <w:t>东侧6.93km处的本公司2024年8月建成投入使用</w:t>
            </w:r>
            <w:r>
              <w:rPr>
                <w:rFonts w:hint="eastAsia"/>
                <w:szCs w:val="21"/>
                <w:lang w:bidi="ar"/>
              </w:rPr>
              <w:t>的地膜回收分拣、破碎清选后的废旧地膜作为原料再生颗粒生产滴灌带，属于</w:t>
            </w:r>
            <w:r>
              <w:rPr>
                <w:szCs w:val="21"/>
                <w:lang w:bidi="ar"/>
              </w:rPr>
              <w:t>废旧塑料回收利用项目。</w:t>
            </w:r>
          </w:p>
        </w:tc>
        <w:tc>
          <w:tcPr>
            <w:tcW w:w="591" w:type="pct"/>
            <w:vAlign w:val="center"/>
          </w:tcPr>
          <w:p w14:paraId="62DAA0DA">
            <w:pPr>
              <w:snapToGrid w:val="0"/>
              <w:jc w:val="center"/>
              <w:rPr>
                <w:szCs w:val="21"/>
                <w:lang w:bidi="ar"/>
              </w:rPr>
            </w:pPr>
            <w:r>
              <w:rPr>
                <w:szCs w:val="21"/>
                <w:lang w:bidi="ar"/>
              </w:rPr>
              <w:t>符合</w:t>
            </w:r>
          </w:p>
        </w:tc>
      </w:tr>
      <w:tr w14:paraId="727FAFA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71" w:hRule="atLeast"/>
        </w:trPr>
        <w:tc>
          <w:tcPr>
            <w:tcW w:w="2958" w:type="pct"/>
            <w:vAlign w:val="center"/>
          </w:tcPr>
          <w:p w14:paraId="25367840">
            <w:pPr>
              <w:snapToGrid w:val="0"/>
              <w:jc w:val="center"/>
              <w:rPr>
                <w:szCs w:val="21"/>
              </w:rPr>
            </w:pPr>
            <w:r>
              <w:rPr>
                <w:szCs w:val="21"/>
              </w:rPr>
              <w:t>加大塑料废弃物再生利用。支持塑料废弃物再生利用项目建设，发布废塑料综合利用规范企业名单，引导相关项目向资源循环利用基地、工业资源综合利用基地等园区集聚，推动塑料废弃物再生利用产业规模化、规范化、清洁化发展。</w:t>
            </w:r>
          </w:p>
        </w:tc>
        <w:tc>
          <w:tcPr>
            <w:tcW w:w="1451" w:type="pct"/>
            <w:vMerge w:val="continue"/>
            <w:vAlign w:val="center"/>
          </w:tcPr>
          <w:p w14:paraId="35AFEFEA">
            <w:pPr>
              <w:snapToGrid w:val="0"/>
              <w:jc w:val="center"/>
              <w:rPr>
                <w:szCs w:val="21"/>
              </w:rPr>
            </w:pPr>
          </w:p>
        </w:tc>
        <w:tc>
          <w:tcPr>
            <w:tcW w:w="591" w:type="pct"/>
            <w:vAlign w:val="center"/>
          </w:tcPr>
          <w:p w14:paraId="3993B47B">
            <w:pPr>
              <w:snapToGrid w:val="0"/>
              <w:jc w:val="center"/>
              <w:rPr>
                <w:szCs w:val="21"/>
                <w:lang w:bidi="ar"/>
              </w:rPr>
            </w:pPr>
            <w:r>
              <w:rPr>
                <w:szCs w:val="21"/>
                <w:lang w:bidi="ar"/>
              </w:rPr>
              <w:t>符合</w:t>
            </w:r>
          </w:p>
        </w:tc>
      </w:tr>
    </w:tbl>
    <w:p w14:paraId="27831CEC">
      <w:pPr>
        <w:autoSpaceDE w:val="0"/>
        <w:autoSpaceDN w:val="0"/>
        <w:rPr>
          <w:b/>
          <w:kern w:val="0"/>
          <w:lang w:bidi="ar"/>
        </w:rPr>
      </w:pPr>
    </w:p>
    <w:p w14:paraId="6BF94F7E">
      <w:pPr>
        <w:pStyle w:val="5"/>
        <w:rPr>
          <w:rFonts w:ascii="Times New Roman" w:hAnsi="Times New Roman"/>
          <w:color w:val="000000"/>
          <w:lang w:val="en-US"/>
        </w:rPr>
      </w:pPr>
      <w:r>
        <w:rPr>
          <w:rFonts w:hint="eastAsia" w:ascii="Times New Roman" w:hAnsi="Times New Roman"/>
          <w:color w:val="000000"/>
          <w:lang w:val="en-US"/>
        </w:rPr>
        <w:t>2.9.3.4与《库尔勒市国土空间总体规划》（2021-2035年）符合性分析</w:t>
      </w:r>
    </w:p>
    <w:p w14:paraId="566B72BC">
      <w:pPr>
        <w:spacing w:line="360" w:lineRule="auto"/>
        <w:rPr>
          <w:rFonts w:hint="eastAsia" w:ascii="宋体" w:hAnsi="宋体" w:cs="宋体"/>
          <w:sz w:val="24"/>
          <w:szCs w:val="24"/>
        </w:rPr>
      </w:pPr>
      <w:r>
        <w:rPr>
          <w:rFonts w:hint="eastAsia"/>
        </w:rPr>
        <w:t xml:space="preserve">    </w:t>
      </w:r>
      <w:r>
        <w:rPr>
          <w:rFonts w:hint="eastAsia"/>
          <w:sz w:val="24"/>
          <w:szCs w:val="24"/>
        </w:rPr>
        <w:t xml:space="preserve"> 本项目位于</w:t>
      </w:r>
      <w:r>
        <w:rPr>
          <w:rFonts w:hint="eastAsia" w:ascii="宋体" w:hAnsi="宋体" w:cs="宋体"/>
          <w:kern w:val="0"/>
          <w:sz w:val="24"/>
          <w:szCs w:val="24"/>
          <w:lang w:val="zh-CN" w:bidi="zh-CN"/>
        </w:rPr>
        <w:t>新疆库尔勒市普惠乡润疆社区四分场库尔勒惠泉工贸有限公司厂区内</w:t>
      </w:r>
      <w:r>
        <w:rPr>
          <w:rFonts w:hint="eastAsia"/>
          <w:sz w:val="24"/>
          <w:szCs w:val="24"/>
        </w:rPr>
        <w:t>，用地性质为工业用地。根据《库尔勒市国土空间总体规划》（2021-2035年），本项目属于工业用地，符合库尔勒市国土空间总体规划要求。详见附图2.9-2项目与库尔勒市国土空间总体规划位置关系图。</w:t>
      </w:r>
    </w:p>
    <w:p w14:paraId="60561524">
      <w:pPr>
        <w:pStyle w:val="5"/>
        <w:rPr>
          <w:rFonts w:hint="eastAsia" w:ascii="Times New Roman" w:hAnsi="Times New Roman"/>
          <w:color w:val="000000"/>
          <w:lang w:val="en-US"/>
        </w:rPr>
      </w:pPr>
      <w:r>
        <w:rPr>
          <w:rFonts w:hint="eastAsia" w:ascii="Times New Roman" w:hAnsi="Times New Roman"/>
          <w:color w:val="000000"/>
          <w:lang w:val="en-US"/>
        </w:rPr>
        <w:t>2.9.3.5</w:t>
      </w:r>
      <w:r>
        <w:rPr>
          <w:rFonts w:hint="eastAsia" w:ascii="Times New Roman" w:hAnsi="Times New Roman"/>
          <w:color w:val="000000"/>
          <w:lang w:val="en-US" w:eastAsia="zh-CN"/>
        </w:rPr>
        <w:t>与</w:t>
      </w:r>
      <w:r>
        <w:rPr>
          <w:rFonts w:hint="eastAsia" w:ascii="Times New Roman" w:hAnsi="Times New Roman"/>
          <w:color w:val="000000"/>
          <w:lang w:val="en-US"/>
        </w:rPr>
        <w:t>《库尔勒市生态环境保护“十四五”规划》符合性分析</w:t>
      </w:r>
    </w:p>
    <w:p w14:paraId="1403281E">
      <w:pPr>
        <w:autoSpaceDE w:val="0"/>
        <w:autoSpaceDN w:val="0"/>
        <w:spacing w:line="360" w:lineRule="auto"/>
        <w:ind w:firstLine="480" w:firstLineChars="200"/>
        <w:rPr>
          <w:rFonts w:hint="eastAsia" w:ascii="宋体" w:hAnsi="宋体" w:eastAsia="宋体" w:cs="宋体"/>
          <w:sz w:val="24"/>
          <w:szCs w:val="24"/>
          <w:lang w:val="en-US"/>
        </w:rPr>
      </w:pPr>
      <w:r>
        <w:rPr>
          <w:rFonts w:hint="eastAsia" w:ascii="宋体" w:hAnsi="宋体" w:eastAsia="宋体" w:cs="宋体"/>
          <w:sz w:val="24"/>
          <w:szCs w:val="24"/>
          <w:lang w:val="en-US"/>
        </w:rPr>
        <w:t>《库尔勒市生态环境保护“十四五”规划》文件指出：健全国土空间开发保护制度。完善国土空间规划体系，划定并严格落实“三区三线”，明晰生态、农业、城镇三类空间及生态保护红线、永久基本农田、城镇开发边界三条控制线，持续优化城市地区、农产品产区、生态功能区布局。合理确定新增建设用地规模，严格控制建设项目土地使用标准，提高资源利用效率。强化国土空间用途管制，对国土空间分级分类实施管控，推动形成优势互补、绿色低碳、高质量发展的经济布局。严格落实国家绿色产业指导目录</w:t>
      </w:r>
      <w:r>
        <w:rPr>
          <w:rFonts w:hint="eastAsia" w:ascii="宋体" w:hAnsi="宋体" w:cs="宋体"/>
          <w:sz w:val="24"/>
          <w:szCs w:val="24"/>
          <w:lang w:val="en-US" w:eastAsia="zh-CN"/>
        </w:rPr>
        <w:t>标准</w:t>
      </w:r>
      <w:r>
        <w:rPr>
          <w:rFonts w:hint="eastAsia" w:ascii="宋体" w:hAnsi="宋体" w:eastAsia="宋体" w:cs="宋体"/>
          <w:sz w:val="24"/>
          <w:szCs w:val="24"/>
          <w:lang w:val="en-US"/>
        </w:rPr>
        <w:t>，依法依据把好土地审批供应关，加强建设用地准入监管。打造兵地协调的绿色低碳循环发展经济体系，推动地方经济高质量发展。</w:t>
      </w:r>
    </w:p>
    <w:p w14:paraId="51642628">
      <w:pPr>
        <w:autoSpaceDE w:val="0"/>
        <w:autoSpaceDN w:val="0"/>
        <w:spacing w:line="360" w:lineRule="auto"/>
        <w:ind w:firstLine="480" w:firstLineChars="200"/>
        <w:rPr>
          <w:rFonts w:hint="eastAsia" w:ascii="宋体" w:hAnsi="宋体" w:eastAsia="宋体" w:cs="宋体"/>
          <w:sz w:val="24"/>
          <w:szCs w:val="24"/>
          <w:lang w:val="en-US"/>
        </w:rPr>
      </w:pPr>
      <w:r>
        <w:rPr>
          <w:rFonts w:hint="eastAsia" w:ascii="宋体" w:hAnsi="宋体" w:eastAsia="宋体" w:cs="宋体"/>
          <w:sz w:val="24"/>
          <w:szCs w:val="24"/>
          <w:lang w:val="en-US"/>
        </w:rPr>
        <w:t>本项目</w:t>
      </w:r>
      <w:r>
        <w:rPr>
          <w:rFonts w:hint="eastAsia" w:ascii="宋体" w:hAnsi="宋体" w:eastAsia="宋体" w:cs="宋体"/>
          <w:sz w:val="24"/>
          <w:szCs w:val="24"/>
          <w:lang w:val="en-US" w:eastAsia="zh-CN"/>
        </w:rPr>
        <w:t>用地为工业用地，</w:t>
      </w:r>
      <w:r>
        <w:rPr>
          <w:rFonts w:hint="eastAsia" w:ascii="宋体" w:hAnsi="宋体" w:eastAsia="宋体" w:cs="宋体"/>
          <w:sz w:val="24"/>
          <w:szCs w:val="24"/>
          <w:lang w:val="en-US"/>
        </w:rPr>
        <w:t>原材料采用距离本项目东侧6.93km处的本公司2024年8月建成投入使用的地膜回收分拣、破碎清选后的废旧地膜距离本项目东侧6.93km处本公司2024年月8建成投入使用的地膜回收分拣、破碎清选后的废旧地膜进行再生造粒生产滴灌带，</w:t>
      </w:r>
      <w:r>
        <w:rPr>
          <w:rFonts w:hint="eastAsia" w:ascii="宋体" w:hAnsi="宋体" w:eastAsia="宋体" w:cs="宋体"/>
          <w:sz w:val="24"/>
          <w:szCs w:val="24"/>
          <w:lang w:val="en-US" w:eastAsia="zh-CN"/>
        </w:rPr>
        <w:t>项目运营后不会对区域生态环境产生重大影响，</w:t>
      </w:r>
      <w:r>
        <w:rPr>
          <w:rFonts w:hint="eastAsia" w:ascii="宋体" w:hAnsi="宋体" w:eastAsia="宋体" w:cs="宋体"/>
          <w:sz w:val="24"/>
          <w:szCs w:val="24"/>
          <w:lang w:val="en-US"/>
        </w:rPr>
        <w:t>能够有效提高现有资源利用率，符合文件要求。</w:t>
      </w:r>
    </w:p>
    <w:p w14:paraId="731D67BE">
      <w:pPr>
        <w:pStyle w:val="5"/>
        <w:rPr>
          <w:rFonts w:ascii="Times New Roman" w:hAnsi="Times New Roman"/>
          <w:color w:val="000000"/>
          <w:lang w:val="en-US"/>
        </w:rPr>
      </w:pPr>
      <w:r>
        <w:rPr>
          <w:rFonts w:hint="eastAsia" w:ascii="Times New Roman" w:hAnsi="Times New Roman"/>
          <w:color w:val="000000"/>
          <w:lang w:val="en-US" w:eastAsia="zh-CN"/>
        </w:rPr>
        <w:t>2.9.3.6</w:t>
      </w:r>
      <w:r>
        <w:rPr>
          <w:rFonts w:hint="eastAsia" w:ascii="Times New Roman" w:hAnsi="Times New Roman"/>
          <w:color w:val="000000"/>
          <w:lang w:val="en-US"/>
        </w:rPr>
        <w:t>与《库尔勒市国民经济和社会发展第十四个五年规划和二〇三五年远景目标纲要》符合性分析</w:t>
      </w:r>
    </w:p>
    <w:p w14:paraId="4A21CEDF">
      <w:pPr>
        <w:autoSpaceDE w:val="0"/>
        <w:autoSpaceDN w:val="0"/>
        <w:spacing w:line="360" w:lineRule="auto"/>
        <w:ind w:firstLine="480" w:firstLineChars="200"/>
        <w:rPr>
          <w:rFonts w:hint="eastAsia" w:ascii="宋体" w:hAnsi="宋体" w:cs="宋体"/>
          <w:sz w:val="24"/>
          <w:szCs w:val="24"/>
        </w:rPr>
      </w:pPr>
      <w:r>
        <w:rPr>
          <w:rFonts w:hint="eastAsia" w:ascii="宋体" w:hAnsi="宋体" w:cs="宋体"/>
          <w:sz w:val="24"/>
          <w:szCs w:val="24"/>
        </w:rPr>
        <w:t>统筹推进化肥农药减量增效、畜禽养殖废弃物资源化利用、果菜有机肥替代化肥、秸秆农膜综合利用等农业绿色发展行动。实施化肥和农药零增长行动。建立农业面源污染监测点，开展土壤污染防治，保</w:t>
      </w:r>
      <w:r>
        <w:rPr>
          <w:rFonts w:hint="eastAsia" w:ascii="宋体" w:hAnsi="宋体" w:cs="宋体"/>
          <w:sz w:val="24"/>
          <w:szCs w:val="24"/>
          <w:lang w:eastAsia="zh-CN"/>
        </w:rPr>
        <w:t>护和</w:t>
      </w:r>
      <w:r>
        <w:rPr>
          <w:rFonts w:hint="eastAsia" w:ascii="宋体" w:hAnsi="宋体" w:cs="宋体"/>
          <w:sz w:val="24"/>
          <w:szCs w:val="24"/>
        </w:rPr>
        <w:t>提升耕地质量。开展“白色污染”治理。</w:t>
      </w:r>
    </w:p>
    <w:p w14:paraId="0E0A1BC1">
      <w:pPr>
        <w:autoSpaceDE w:val="0"/>
        <w:autoSpaceDN w:val="0"/>
        <w:spacing w:line="360" w:lineRule="auto"/>
        <w:ind w:firstLine="480" w:firstLineChars="200"/>
        <w:rPr>
          <w:rFonts w:hint="eastAsia" w:ascii="宋体" w:hAnsi="宋体" w:cs="宋体"/>
          <w:sz w:val="24"/>
          <w:szCs w:val="24"/>
        </w:rPr>
      </w:pPr>
      <w:r>
        <w:rPr>
          <w:rFonts w:hint="eastAsia" w:ascii="宋体" w:hAnsi="宋体" w:cs="宋体"/>
          <w:sz w:val="24"/>
          <w:szCs w:val="24"/>
        </w:rPr>
        <w:t>本项目为利用</w:t>
      </w:r>
      <w:r>
        <w:rPr>
          <w:rFonts w:hint="eastAsia" w:ascii="宋体" w:hAnsi="宋体" w:cs="宋体"/>
          <w:kern w:val="0"/>
          <w:sz w:val="24"/>
          <w:szCs w:val="24"/>
          <w:lang w:bidi="zh-CN"/>
        </w:rPr>
        <w:t>距离本项目东侧6.93km处的本公司2024年8月投入使用的现有地膜回收分拣、破碎清选后的废旧地膜</w:t>
      </w:r>
      <w:r>
        <w:rPr>
          <w:rFonts w:hint="eastAsia" w:ascii="宋体" w:hAnsi="宋体" w:cs="宋体"/>
          <w:sz w:val="24"/>
          <w:szCs w:val="24"/>
        </w:rPr>
        <w:t>为原料再生塑料颗粒生产滴灌带，属于“白色污染”治理，符合《库尔勒市国民经济和社会发展第十四个五年规划和二〇三五年远景目标纲要》文件要求。</w:t>
      </w:r>
    </w:p>
    <w:p w14:paraId="34D76D51">
      <w:pPr>
        <w:pStyle w:val="4"/>
        <w:autoSpaceDE w:val="0"/>
        <w:autoSpaceDN w:val="0"/>
        <w:spacing w:before="0" w:after="0" w:line="360" w:lineRule="auto"/>
        <w:jc w:val="left"/>
        <w:rPr>
          <w:kern w:val="0"/>
          <w:sz w:val="24"/>
          <w:lang w:val="en-US" w:bidi="zh-CN"/>
        </w:rPr>
      </w:pPr>
      <w:r>
        <w:rPr>
          <w:rFonts w:hint="eastAsia"/>
          <w:kern w:val="0"/>
          <w:sz w:val="24"/>
          <w:lang w:val="en-US" w:bidi="zh-CN"/>
        </w:rPr>
        <w:t>2.9.4生态环境分区管控符合性分析</w:t>
      </w:r>
    </w:p>
    <w:p w14:paraId="47898ABA">
      <w:pPr>
        <w:tabs>
          <w:tab w:val="left" w:pos="1264"/>
        </w:tabs>
        <w:spacing w:line="360" w:lineRule="auto"/>
        <w:ind w:firstLine="482"/>
        <w:rPr>
          <w:sz w:val="24"/>
          <w:szCs w:val="24"/>
        </w:rPr>
      </w:pPr>
      <w:r>
        <w:rPr>
          <w:rFonts w:hint="eastAsia"/>
          <w:sz w:val="24"/>
          <w:szCs w:val="24"/>
        </w:rPr>
        <w:t>《新疆维吾尔自治区七大片区“三线一单”生态环境分区管控要求（天山南坡片区总体管控要求）》（2021年版）（新环环评发〔2021〕162号）、《巴音郭楞蒙古自治州“三线一单”生态环境分区管控动态更新成果（2023年）》（巴政办发〔2024〕32号，巴音郭楞蒙古自治州生态环境局），</w:t>
      </w:r>
      <w:r>
        <w:rPr>
          <w:sz w:val="24"/>
          <w:szCs w:val="24"/>
        </w:rPr>
        <w:t>符合性分析见表</w:t>
      </w:r>
      <w:r>
        <w:rPr>
          <w:rFonts w:hint="eastAsia"/>
          <w:sz w:val="24"/>
          <w:szCs w:val="24"/>
        </w:rPr>
        <w:t>2.9-1</w:t>
      </w:r>
      <w:r>
        <w:rPr>
          <w:rFonts w:hint="eastAsia"/>
          <w:sz w:val="24"/>
          <w:szCs w:val="24"/>
          <w:lang w:val="en-US" w:eastAsia="zh-CN"/>
        </w:rPr>
        <w:t>1</w:t>
      </w:r>
      <w:r>
        <w:rPr>
          <w:rFonts w:hint="eastAsia"/>
          <w:sz w:val="24"/>
          <w:szCs w:val="24"/>
        </w:rPr>
        <w:t>、表2.9-1</w:t>
      </w:r>
      <w:r>
        <w:rPr>
          <w:rFonts w:hint="eastAsia"/>
          <w:sz w:val="24"/>
          <w:szCs w:val="24"/>
          <w:lang w:val="en-US" w:eastAsia="zh-CN"/>
        </w:rPr>
        <w:t>2</w:t>
      </w:r>
      <w:r>
        <w:rPr>
          <w:rFonts w:hint="eastAsia"/>
          <w:sz w:val="24"/>
          <w:szCs w:val="24"/>
        </w:rPr>
        <w:t>。</w:t>
      </w:r>
    </w:p>
    <w:p w14:paraId="029BD44C">
      <w:pPr>
        <w:tabs>
          <w:tab w:val="left" w:pos="1264"/>
        </w:tabs>
        <w:spacing w:line="320" w:lineRule="exact"/>
        <w:jc w:val="center"/>
        <w:rPr>
          <w:b/>
          <w:bCs/>
          <w:szCs w:val="21"/>
        </w:rPr>
      </w:pPr>
      <w:r>
        <w:rPr>
          <w:rFonts w:hint="eastAsia"/>
          <w:b/>
          <w:bCs/>
          <w:szCs w:val="21"/>
        </w:rPr>
        <w:t xml:space="preserve"> 表2.9-1</w:t>
      </w:r>
      <w:r>
        <w:rPr>
          <w:rFonts w:hint="eastAsia"/>
          <w:b/>
          <w:bCs/>
          <w:szCs w:val="21"/>
          <w:lang w:val="en-US" w:eastAsia="zh-CN"/>
        </w:rPr>
        <w:t>1</w:t>
      </w:r>
      <w:r>
        <w:rPr>
          <w:rFonts w:hint="eastAsia"/>
          <w:b/>
          <w:bCs/>
          <w:szCs w:val="21"/>
        </w:rPr>
        <w:t xml:space="preserve">  《新疆维吾尔自治区七大片区“三线一单”生态环境分区管控要求》（天山南坡片区总体管控要求）</w:t>
      </w:r>
    </w:p>
    <w:tbl>
      <w:tblPr>
        <w:tblStyle w:val="50"/>
        <w:tblW w:w="0" w:type="auto"/>
        <w:tblInd w:w="0" w:type="dxa"/>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autofit"/>
        <w:tblCellMar>
          <w:top w:w="0" w:type="dxa"/>
          <w:left w:w="108" w:type="dxa"/>
          <w:bottom w:w="0" w:type="dxa"/>
          <w:right w:w="108" w:type="dxa"/>
        </w:tblCellMar>
      </w:tblPr>
      <w:tblGrid>
        <w:gridCol w:w="903"/>
        <w:gridCol w:w="5265"/>
        <w:gridCol w:w="2074"/>
        <w:gridCol w:w="987"/>
      </w:tblGrid>
      <w:tr w14:paraId="67A35988">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c>
          <w:tcPr>
            <w:tcW w:w="903" w:type="dxa"/>
            <w:tcBorders>
              <w:tl2br w:val="nil"/>
              <w:tr2bl w:val="nil"/>
            </w:tcBorders>
            <w:vAlign w:val="center"/>
          </w:tcPr>
          <w:p w14:paraId="2F2C091B">
            <w:pPr>
              <w:tabs>
                <w:tab w:val="left" w:pos="1264"/>
              </w:tabs>
              <w:spacing w:line="320" w:lineRule="exact"/>
              <w:jc w:val="center"/>
              <w:rPr>
                <w:szCs w:val="21"/>
              </w:rPr>
            </w:pPr>
            <w:r>
              <w:rPr>
                <w:rFonts w:hint="eastAsia"/>
                <w:szCs w:val="21"/>
              </w:rPr>
              <w:t>管控类别</w:t>
            </w:r>
          </w:p>
        </w:tc>
        <w:tc>
          <w:tcPr>
            <w:tcW w:w="5265" w:type="dxa"/>
            <w:tcBorders>
              <w:tl2br w:val="nil"/>
              <w:tr2bl w:val="nil"/>
            </w:tcBorders>
            <w:vAlign w:val="center"/>
          </w:tcPr>
          <w:p w14:paraId="47660BB4">
            <w:pPr>
              <w:tabs>
                <w:tab w:val="left" w:pos="1264"/>
              </w:tabs>
              <w:spacing w:line="320" w:lineRule="exact"/>
              <w:jc w:val="center"/>
              <w:rPr>
                <w:szCs w:val="21"/>
              </w:rPr>
            </w:pPr>
            <w:r>
              <w:rPr>
                <w:rFonts w:hint="eastAsia"/>
                <w:szCs w:val="21"/>
              </w:rPr>
              <w:t>管控要求</w:t>
            </w:r>
          </w:p>
        </w:tc>
        <w:tc>
          <w:tcPr>
            <w:tcW w:w="2074" w:type="dxa"/>
            <w:tcBorders>
              <w:tl2br w:val="nil"/>
              <w:tr2bl w:val="nil"/>
            </w:tcBorders>
            <w:vAlign w:val="center"/>
          </w:tcPr>
          <w:p w14:paraId="30DBE064">
            <w:pPr>
              <w:pStyle w:val="29"/>
              <w:jc w:val="center"/>
            </w:pPr>
            <w:r>
              <w:rPr>
                <w:rFonts w:hint="eastAsia"/>
              </w:rPr>
              <w:t>本项目情况</w:t>
            </w:r>
          </w:p>
        </w:tc>
        <w:tc>
          <w:tcPr>
            <w:tcW w:w="987" w:type="dxa"/>
            <w:tcBorders>
              <w:tl2br w:val="nil"/>
              <w:tr2bl w:val="nil"/>
            </w:tcBorders>
            <w:vAlign w:val="center"/>
          </w:tcPr>
          <w:p w14:paraId="7E3C3AA9">
            <w:pPr>
              <w:pStyle w:val="29"/>
              <w:jc w:val="center"/>
            </w:pPr>
            <w:r>
              <w:rPr>
                <w:rFonts w:hint="eastAsia"/>
              </w:rPr>
              <w:t>符合性</w:t>
            </w:r>
          </w:p>
        </w:tc>
      </w:tr>
      <w:tr w14:paraId="3BE4C6AA">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c>
          <w:tcPr>
            <w:tcW w:w="903" w:type="dxa"/>
            <w:tcBorders>
              <w:tl2br w:val="nil"/>
              <w:tr2bl w:val="nil"/>
            </w:tcBorders>
            <w:vAlign w:val="center"/>
          </w:tcPr>
          <w:p w14:paraId="00AEA53B">
            <w:pPr>
              <w:tabs>
                <w:tab w:val="left" w:pos="1264"/>
              </w:tabs>
              <w:spacing w:line="320" w:lineRule="exact"/>
              <w:jc w:val="center"/>
              <w:rPr>
                <w:szCs w:val="21"/>
                <w:lang w:val="zh-CN" w:bidi="zh-CN"/>
              </w:rPr>
            </w:pPr>
            <w:r>
              <w:rPr>
                <w:rFonts w:hint="eastAsia"/>
                <w:szCs w:val="21"/>
              </w:rPr>
              <w:t>天山南坡片区</w:t>
            </w:r>
          </w:p>
        </w:tc>
        <w:tc>
          <w:tcPr>
            <w:tcW w:w="5265" w:type="dxa"/>
            <w:tcBorders>
              <w:tl2br w:val="nil"/>
              <w:tr2bl w:val="nil"/>
            </w:tcBorders>
            <w:vAlign w:val="center"/>
          </w:tcPr>
          <w:p w14:paraId="47056E59">
            <w:pPr>
              <w:tabs>
                <w:tab w:val="left" w:pos="1264"/>
              </w:tabs>
              <w:spacing w:line="320" w:lineRule="exact"/>
              <w:ind w:firstLine="420" w:firstLineChars="200"/>
              <w:jc w:val="center"/>
              <w:rPr>
                <w:szCs w:val="21"/>
                <w:lang w:bidi="zh-CN"/>
              </w:rPr>
            </w:pPr>
            <w:r>
              <w:rPr>
                <w:rFonts w:hint="eastAsia" w:ascii="宋体" w:hAnsi="宋体" w:cs="宋体"/>
                <w:kern w:val="0"/>
                <w:szCs w:val="21"/>
                <w:lang w:bidi="ar"/>
              </w:rPr>
              <w:t>天山南坡片区包括巴音郭楞蒙古自治州和阿克苏地区。切实保护托木尔峰和天山南坡中段冰雪水源及生物多样性保护生态功能区内的托木尔峰自然景观、高山冰川野生动物、森林和草原，合理利用天然草地，稳步推进草原减牧，加强保护区管理，维护自然景观和生物多样性。重点做好塔里木盆地北缘荒漠化防治。加强荒漠植被及河岸荒漠林保护，规范油气勘探开发作业，建立油田和公路扰动区域工程与生物相结合的防风固沙体系，逐步形成生态屏障。推进塔里木河流域用水结构调整，维护塔里木河、博斯腾湖基本生态用水。加强塔里木河流域水环境风险管控。加大博斯腾湖污染源头达标排放治理和监督力度，实施博斯腾湖综合治理。加强油(气)资源开发区</w:t>
            </w:r>
            <w:r>
              <w:rPr>
                <w:rFonts w:hint="eastAsia" w:cs="宋体"/>
                <w:kern w:val="0"/>
                <w:szCs w:val="21"/>
                <w:lang w:bidi="ar"/>
              </w:rPr>
              <w:t>土</w:t>
            </w:r>
            <w:r>
              <w:rPr>
                <w:rFonts w:hint="eastAsia" w:ascii="宋体" w:hAnsi="宋体" w:cs="宋体"/>
                <w:kern w:val="0"/>
                <w:szCs w:val="21"/>
                <w:lang w:bidi="ar"/>
              </w:rPr>
              <w:t>壤环境污染综合整治。强化涉重金属行业污染防控与工业废物处理处置</w:t>
            </w:r>
            <w:r>
              <w:rPr>
                <w:rFonts w:hint="eastAsia" w:cs="宋体"/>
                <w:kern w:val="0"/>
                <w:szCs w:val="21"/>
                <w:lang w:bidi="ar"/>
              </w:rPr>
              <w:t>。</w:t>
            </w:r>
          </w:p>
        </w:tc>
        <w:tc>
          <w:tcPr>
            <w:tcW w:w="2074" w:type="dxa"/>
            <w:tcBorders>
              <w:tl2br w:val="nil"/>
              <w:tr2bl w:val="nil"/>
            </w:tcBorders>
            <w:vAlign w:val="center"/>
          </w:tcPr>
          <w:p w14:paraId="366722BA">
            <w:pPr>
              <w:pStyle w:val="29"/>
              <w:autoSpaceDE w:val="0"/>
              <w:autoSpaceDN w:val="0"/>
              <w:spacing w:line="360" w:lineRule="exact"/>
              <w:jc w:val="center"/>
            </w:pPr>
            <w:r>
              <w:rPr>
                <w:rFonts w:hint="eastAsia" w:hAnsi="宋体" w:cs="宋体"/>
                <w:kern w:val="0"/>
                <w:lang w:val="en-US" w:bidi="ar"/>
              </w:rPr>
              <w:t>不位于生态红线内，贯彻了清洁生产，工艺先进，采用的生产工艺和生产装置均不属于环境污染大、环境风险高的淘汰落后产能工艺和装置</w:t>
            </w:r>
            <w:r>
              <w:rPr>
                <w:rFonts w:hint="eastAsia" w:hAnsi="宋体" w:cs="宋体"/>
                <w:kern w:val="0"/>
                <w:lang w:val="en-US" w:eastAsia="zh-CN" w:bidi="ar"/>
              </w:rPr>
              <w:t>。</w:t>
            </w:r>
          </w:p>
        </w:tc>
        <w:tc>
          <w:tcPr>
            <w:tcW w:w="987" w:type="dxa"/>
            <w:tcBorders>
              <w:tl2br w:val="nil"/>
              <w:tr2bl w:val="nil"/>
            </w:tcBorders>
            <w:vAlign w:val="center"/>
          </w:tcPr>
          <w:p w14:paraId="2DAC0912">
            <w:pPr>
              <w:pStyle w:val="29"/>
              <w:autoSpaceDE w:val="0"/>
              <w:autoSpaceDN w:val="0"/>
              <w:spacing w:line="360" w:lineRule="exact"/>
              <w:jc w:val="center"/>
              <w:rPr>
                <w:rFonts w:hint="eastAsia" w:hAnsi="宋体" w:cs="宋体"/>
                <w:kern w:val="0"/>
                <w:lang w:val="en-US" w:bidi="ar"/>
              </w:rPr>
            </w:pPr>
            <w:r>
              <w:rPr>
                <w:rFonts w:hint="eastAsia" w:hAnsi="宋体" w:cs="宋体"/>
                <w:kern w:val="0"/>
                <w:lang w:val="en-US" w:bidi="ar"/>
              </w:rPr>
              <w:t>符合</w:t>
            </w:r>
          </w:p>
        </w:tc>
      </w:tr>
    </w:tbl>
    <w:p w14:paraId="52A63A67">
      <w:pPr>
        <w:tabs>
          <w:tab w:val="left" w:pos="1264"/>
        </w:tabs>
        <w:spacing w:line="360" w:lineRule="auto"/>
        <w:jc w:val="left"/>
        <w:rPr>
          <w:rFonts w:hint="eastAsia" w:ascii="宋体" w:hAnsi="宋体" w:cs="宋体"/>
          <w:b/>
          <w:bCs/>
          <w:sz w:val="24"/>
          <w:szCs w:val="24"/>
        </w:rPr>
      </w:pPr>
      <w:r>
        <w:rPr>
          <w:rFonts w:hint="eastAsia"/>
        </w:rPr>
        <w:t xml:space="preserve">    </w:t>
      </w:r>
      <w:r>
        <w:rPr>
          <w:rFonts w:hint="eastAsia" w:ascii="宋体" w:hAnsi="宋体" w:cs="宋体"/>
          <w:sz w:val="24"/>
          <w:szCs w:val="24"/>
        </w:rPr>
        <w:t>项目符合《</w:t>
      </w:r>
      <w:r>
        <w:rPr>
          <w:rFonts w:hint="eastAsia"/>
          <w:sz w:val="24"/>
          <w:szCs w:val="24"/>
        </w:rPr>
        <w:t>新疆维吾尔自治区七大片区“三线一单”生态环境分区管控要求（天山南坡片区总体管控要求）》（2021年版）（新环环评发〔2021〕162号）</w:t>
      </w:r>
      <w:r>
        <w:rPr>
          <w:rFonts w:hint="eastAsia" w:ascii="宋体" w:hAnsi="宋体" w:cs="宋体"/>
          <w:sz w:val="24"/>
          <w:szCs w:val="24"/>
        </w:rPr>
        <w:t>要求。</w:t>
      </w:r>
    </w:p>
    <w:p w14:paraId="2C10B15C">
      <w:pPr>
        <w:pStyle w:val="142"/>
        <w:widowControl/>
        <w:tabs>
          <w:tab w:val="left" w:pos="0"/>
          <w:tab w:val="left" w:pos="6840"/>
          <w:tab w:val="left" w:pos="7380"/>
          <w:tab w:val="clear" w:pos="4153"/>
          <w:tab w:val="clear" w:pos="8306"/>
        </w:tabs>
        <w:topLinePunct/>
        <w:autoSpaceDE w:val="0"/>
        <w:autoSpaceDN w:val="0"/>
        <w:adjustRightInd/>
        <w:spacing w:beforeLines="0" w:line="240" w:lineRule="auto"/>
        <w:ind w:firstLine="422"/>
        <w:jc w:val="center"/>
        <w:textAlignment w:val="auto"/>
        <w:rPr>
          <w:rFonts w:eastAsia="宋体"/>
          <w:b/>
          <w:bCs/>
          <w:kern w:val="2"/>
          <w:sz w:val="21"/>
          <w:szCs w:val="21"/>
          <w:lang w:val="en-US"/>
        </w:rPr>
      </w:pPr>
      <w:r>
        <w:rPr>
          <w:rFonts w:hint="eastAsia" w:eastAsia="宋体"/>
          <w:b/>
          <w:bCs/>
          <w:kern w:val="2"/>
          <w:sz w:val="21"/>
          <w:szCs w:val="21"/>
          <w:lang w:val="en-US"/>
        </w:rPr>
        <w:t>表2.9-1</w:t>
      </w:r>
      <w:r>
        <w:rPr>
          <w:rFonts w:hint="eastAsia" w:eastAsia="宋体"/>
          <w:b/>
          <w:bCs/>
          <w:kern w:val="2"/>
          <w:sz w:val="21"/>
          <w:szCs w:val="21"/>
          <w:lang w:val="en-US" w:eastAsia="zh-CN"/>
        </w:rPr>
        <w:t>2</w:t>
      </w:r>
      <w:r>
        <w:rPr>
          <w:rFonts w:hint="eastAsia" w:eastAsia="宋体"/>
          <w:b/>
          <w:bCs/>
          <w:kern w:val="2"/>
          <w:sz w:val="21"/>
          <w:szCs w:val="21"/>
          <w:lang w:val="en-US"/>
        </w:rPr>
        <w:t xml:space="preserve">   </w:t>
      </w:r>
      <w:r>
        <w:rPr>
          <w:rFonts w:hint="eastAsia" w:eastAsia="宋体"/>
          <w:b/>
          <w:bCs/>
          <w:kern w:val="2"/>
          <w:sz w:val="21"/>
          <w:szCs w:val="21"/>
        </w:rPr>
        <w:t>与巴州</w:t>
      </w:r>
      <w:r>
        <w:rPr>
          <w:rFonts w:hint="eastAsia" w:eastAsia="宋体"/>
          <w:b/>
          <w:bCs/>
          <w:kern w:val="2"/>
          <w:sz w:val="21"/>
          <w:szCs w:val="21"/>
          <w:lang w:val="en-US"/>
        </w:rPr>
        <w:t>生态环境分区管控要求符合</w:t>
      </w:r>
      <w:r>
        <w:rPr>
          <w:rFonts w:hint="eastAsia" w:eastAsia="宋体"/>
          <w:b/>
          <w:bCs/>
          <w:kern w:val="2"/>
          <w:sz w:val="21"/>
          <w:szCs w:val="21"/>
        </w:rPr>
        <w:t>性分析一览表</w:t>
      </w:r>
    </w:p>
    <w:tbl>
      <w:tblPr>
        <w:tblStyle w:val="50"/>
        <w:tblW w:w="5000" w:type="pct"/>
        <w:tblInd w:w="0" w:type="dxa"/>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
      <w:tblGrid>
        <w:gridCol w:w="1399"/>
        <w:gridCol w:w="850"/>
        <w:gridCol w:w="4863"/>
        <w:gridCol w:w="1287"/>
        <w:gridCol w:w="832"/>
      </w:tblGrid>
      <w:tr w14:paraId="31AF0D01">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c>
          <w:tcPr>
            <w:tcW w:w="3851" w:type="pct"/>
            <w:gridSpan w:val="3"/>
            <w:tcBorders>
              <w:tl2br w:val="nil"/>
              <w:tr2bl w:val="nil"/>
            </w:tcBorders>
            <w:vAlign w:val="center"/>
          </w:tcPr>
          <w:p w14:paraId="1770ED57">
            <w:pPr>
              <w:jc w:val="center"/>
              <w:rPr>
                <w:szCs w:val="24"/>
              </w:rPr>
            </w:pPr>
            <w:r>
              <w:rPr>
                <w:rFonts w:hint="eastAsia" w:ascii="宋体" w:hAnsi="宋体" w:cs="宋体"/>
                <w:szCs w:val="21"/>
              </w:rPr>
              <w:t>“三线一单”</w:t>
            </w:r>
            <w:r>
              <w:rPr>
                <w:szCs w:val="21"/>
              </w:rPr>
              <w:t>的具体要求</w:t>
            </w:r>
          </w:p>
        </w:tc>
        <w:tc>
          <w:tcPr>
            <w:tcW w:w="697" w:type="pct"/>
            <w:vMerge w:val="restart"/>
            <w:tcBorders>
              <w:tl2br w:val="nil"/>
              <w:tr2bl w:val="nil"/>
            </w:tcBorders>
            <w:vAlign w:val="center"/>
          </w:tcPr>
          <w:p w14:paraId="624DF10E">
            <w:pPr>
              <w:jc w:val="center"/>
              <w:rPr>
                <w:szCs w:val="24"/>
              </w:rPr>
            </w:pPr>
            <w:r>
              <w:rPr>
                <w:szCs w:val="21"/>
              </w:rPr>
              <w:t>项目对应情况分析</w:t>
            </w:r>
          </w:p>
        </w:tc>
        <w:tc>
          <w:tcPr>
            <w:tcW w:w="451" w:type="pct"/>
            <w:vMerge w:val="restart"/>
            <w:tcBorders>
              <w:tl2br w:val="nil"/>
              <w:tr2bl w:val="nil"/>
            </w:tcBorders>
            <w:vAlign w:val="center"/>
          </w:tcPr>
          <w:p w14:paraId="632586BE">
            <w:pPr>
              <w:jc w:val="center"/>
              <w:rPr>
                <w:szCs w:val="24"/>
              </w:rPr>
            </w:pPr>
            <w:r>
              <w:rPr>
                <w:szCs w:val="21"/>
              </w:rPr>
              <w:t>符合性分析</w:t>
            </w:r>
          </w:p>
        </w:tc>
      </w:tr>
      <w:tr w14:paraId="64EE6472">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c>
          <w:tcPr>
            <w:tcW w:w="1218" w:type="pct"/>
            <w:gridSpan w:val="2"/>
            <w:tcBorders>
              <w:tl2br w:val="nil"/>
              <w:tr2bl w:val="nil"/>
            </w:tcBorders>
            <w:vAlign w:val="center"/>
          </w:tcPr>
          <w:p w14:paraId="23929B02">
            <w:pPr>
              <w:jc w:val="center"/>
              <w:rPr>
                <w:szCs w:val="24"/>
              </w:rPr>
            </w:pPr>
            <w:r>
              <w:rPr>
                <w:szCs w:val="21"/>
              </w:rPr>
              <w:t>类别</w:t>
            </w:r>
          </w:p>
        </w:tc>
        <w:tc>
          <w:tcPr>
            <w:tcW w:w="2632" w:type="pct"/>
            <w:tcBorders>
              <w:tl2br w:val="nil"/>
              <w:tr2bl w:val="nil"/>
            </w:tcBorders>
            <w:vAlign w:val="center"/>
          </w:tcPr>
          <w:p w14:paraId="4A5165AE">
            <w:pPr>
              <w:jc w:val="center"/>
              <w:rPr>
                <w:szCs w:val="24"/>
              </w:rPr>
            </w:pPr>
            <w:r>
              <w:rPr>
                <w:szCs w:val="21"/>
              </w:rPr>
              <w:t>对应管控要求</w:t>
            </w:r>
          </w:p>
        </w:tc>
        <w:tc>
          <w:tcPr>
            <w:tcW w:w="697" w:type="pct"/>
            <w:vMerge w:val="continue"/>
            <w:tcBorders>
              <w:tl2br w:val="nil"/>
              <w:tr2bl w:val="nil"/>
            </w:tcBorders>
            <w:vAlign w:val="center"/>
          </w:tcPr>
          <w:p w14:paraId="2FB6A8C4">
            <w:pPr>
              <w:jc w:val="center"/>
              <w:rPr>
                <w:szCs w:val="24"/>
              </w:rPr>
            </w:pPr>
          </w:p>
        </w:tc>
        <w:tc>
          <w:tcPr>
            <w:tcW w:w="451" w:type="pct"/>
            <w:vMerge w:val="continue"/>
            <w:tcBorders>
              <w:tl2br w:val="nil"/>
              <w:tr2bl w:val="nil"/>
            </w:tcBorders>
            <w:vAlign w:val="center"/>
          </w:tcPr>
          <w:p w14:paraId="0D7537E8">
            <w:pPr>
              <w:jc w:val="center"/>
              <w:rPr>
                <w:szCs w:val="24"/>
              </w:rPr>
            </w:pPr>
          </w:p>
        </w:tc>
      </w:tr>
      <w:tr w14:paraId="774486C5">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842" w:hRule="atLeast"/>
        </w:trPr>
        <w:tc>
          <w:tcPr>
            <w:tcW w:w="758" w:type="pct"/>
            <w:tcBorders>
              <w:tl2br w:val="nil"/>
              <w:tr2bl w:val="nil"/>
            </w:tcBorders>
            <w:vAlign w:val="center"/>
          </w:tcPr>
          <w:p w14:paraId="289046DA">
            <w:pPr>
              <w:widowControl/>
              <w:jc w:val="left"/>
            </w:pPr>
            <w:r>
              <w:rPr>
                <w:szCs w:val="21"/>
              </w:rPr>
              <w:t>管控单元编码：</w:t>
            </w:r>
            <w:r>
              <w:rPr>
                <w:color w:val="000000"/>
                <w:kern w:val="0"/>
                <w:sz w:val="20"/>
                <w:lang w:bidi="ar"/>
              </w:rPr>
              <w:t xml:space="preserve">ZH6528013 </w:t>
            </w:r>
          </w:p>
          <w:p w14:paraId="41FAE014">
            <w:pPr>
              <w:widowControl/>
              <w:jc w:val="left"/>
              <w:rPr>
                <w:szCs w:val="21"/>
              </w:rPr>
            </w:pPr>
            <w:r>
              <w:rPr>
                <w:color w:val="000000"/>
                <w:kern w:val="0"/>
                <w:sz w:val="20"/>
                <w:lang w:bidi="ar"/>
              </w:rPr>
              <w:t>0001</w:t>
            </w:r>
            <w:r>
              <w:rPr>
                <w:rFonts w:hint="eastAsia"/>
                <w:color w:val="000000"/>
                <w:szCs w:val="21"/>
              </w:rPr>
              <w:t>；</w:t>
            </w:r>
            <w:r>
              <w:rPr>
                <w:szCs w:val="21"/>
              </w:rPr>
              <w:t>管控单元名称：</w:t>
            </w:r>
            <w:r>
              <w:rPr>
                <w:rFonts w:hint="eastAsia"/>
                <w:szCs w:val="21"/>
              </w:rPr>
              <w:t>库尔勒一般管控区；</w:t>
            </w:r>
          </w:p>
          <w:p w14:paraId="507332A9">
            <w:pPr>
              <w:spacing w:line="320" w:lineRule="exact"/>
              <w:rPr>
                <w:szCs w:val="21"/>
              </w:rPr>
            </w:pPr>
            <w:r>
              <w:rPr>
                <w:szCs w:val="21"/>
              </w:rPr>
              <w:t>管控单元类别：</w:t>
            </w:r>
            <w:r>
              <w:rPr>
                <w:rFonts w:hint="eastAsia"/>
                <w:color w:val="000000"/>
                <w:szCs w:val="21"/>
              </w:rPr>
              <w:t>一般管控单元</w:t>
            </w:r>
          </w:p>
        </w:tc>
        <w:tc>
          <w:tcPr>
            <w:tcW w:w="460" w:type="pct"/>
            <w:tcBorders>
              <w:tl2br w:val="nil"/>
              <w:tr2bl w:val="nil"/>
            </w:tcBorders>
            <w:vAlign w:val="center"/>
          </w:tcPr>
          <w:p w14:paraId="6E6B5D9A">
            <w:pPr>
              <w:jc w:val="center"/>
              <w:rPr>
                <w:color w:val="000000"/>
                <w:kern w:val="0"/>
                <w:szCs w:val="21"/>
                <w:lang w:bidi="ar"/>
              </w:rPr>
            </w:pPr>
            <w:r>
              <w:rPr>
                <w:szCs w:val="21"/>
              </w:rPr>
              <w:t>空间布局约束</w:t>
            </w:r>
          </w:p>
        </w:tc>
        <w:tc>
          <w:tcPr>
            <w:tcW w:w="2632" w:type="pct"/>
            <w:tcBorders>
              <w:tl2br w:val="nil"/>
              <w:tr2bl w:val="nil"/>
            </w:tcBorders>
            <w:vAlign w:val="center"/>
          </w:tcPr>
          <w:p w14:paraId="27F2BF7A">
            <w:pPr>
              <w:widowControl/>
              <w:jc w:val="left"/>
              <w:rPr>
                <w:color w:val="000000"/>
                <w:kern w:val="0"/>
                <w:sz w:val="20"/>
                <w:lang w:bidi="ar"/>
              </w:rPr>
            </w:pPr>
            <w:r>
              <w:rPr>
                <w:rFonts w:hint="eastAsia"/>
                <w:color w:val="000000"/>
                <w:kern w:val="0"/>
                <w:sz w:val="20"/>
                <w:lang w:bidi="ar"/>
              </w:rPr>
              <w:t>共有7条，与本项目有关的只有4条</w:t>
            </w:r>
          </w:p>
          <w:p w14:paraId="26A87FC4">
            <w:pPr>
              <w:widowControl/>
              <w:jc w:val="left"/>
            </w:pPr>
            <w:r>
              <w:rPr>
                <w:color w:val="000000"/>
                <w:kern w:val="0"/>
                <w:sz w:val="20"/>
                <w:lang w:bidi="ar"/>
              </w:rPr>
              <w:t>1.</w:t>
            </w:r>
            <w:r>
              <w:rPr>
                <w:rFonts w:hint="eastAsia" w:ascii="宋体" w:hAnsi="宋体" w:cs="宋体"/>
                <w:color w:val="000000"/>
                <w:kern w:val="0"/>
                <w:sz w:val="20"/>
                <w:lang w:bidi="ar"/>
              </w:rPr>
              <w:t xml:space="preserve">建设项目用地原则上不得占用基本农田，确需占用基本农田的建设项目须符合《中华人民共和国基本农田保护条例》中相关要求，占用耕地、林地或草地的建设项目须按照国家、自治区相关补偿要求进行补偿。 </w:t>
            </w:r>
          </w:p>
          <w:p w14:paraId="293A50E1">
            <w:pPr>
              <w:widowControl/>
              <w:ind w:right="-59" w:rightChars="-28"/>
              <w:jc w:val="left"/>
              <w:rPr>
                <w:rFonts w:hint="eastAsia" w:ascii="宋体" w:hAnsi="宋体" w:cs="宋体"/>
                <w:color w:val="000000"/>
                <w:kern w:val="0"/>
                <w:sz w:val="20"/>
                <w:lang w:bidi="ar"/>
              </w:rPr>
            </w:pPr>
            <w:r>
              <w:rPr>
                <w:color w:val="000000"/>
                <w:kern w:val="0"/>
                <w:sz w:val="20"/>
                <w:lang w:bidi="ar"/>
              </w:rPr>
              <w:t>2.</w:t>
            </w:r>
            <w:r>
              <w:rPr>
                <w:rFonts w:hint="eastAsia" w:ascii="宋体" w:hAnsi="宋体" w:cs="宋体"/>
                <w:color w:val="000000"/>
                <w:kern w:val="0"/>
                <w:sz w:val="20"/>
                <w:lang w:bidi="ar"/>
              </w:rPr>
              <w:t>永久基本农田集中区域禁止规划新建可能造成土壤污染的建设项目。涉及有毒有害物质可能造成土壤污染的新</w:t>
            </w:r>
            <w:r>
              <w:rPr>
                <w:color w:val="000000"/>
                <w:kern w:val="0"/>
                <w:sz w:val="20"/>
                <w:lang w:bidi="ar"/>
              </w:rPr>
              <w:t>(</w:t>
            </w:r>
            <w:r>
              <w:rPr>
                <w:rFonts w:hint="eastAsia" w:ascii="宋体" w:hAnsi="宋体" w:cs="宋体"/>
                <w:color w:val="000000"/>
                <w:kern w:val="0"/>
                <w:sz w:val="20"/>
                <w:lang w:bidi="ar"/>
              </w:rPr>
              <w:t>改、扩</w:t>
            </w:r>
            <w:r>
              <w:rPr>
                <w:color w:val="000000"/>
                <w:kern w:val="0"/>
                <w:sz w:val="20"/>
                <w:lang w:bidi="ar"/>
              </w:rPr>
              <w:t>)</w:t>
            </w:r>
            <w:r>
              <w:rPr>
                <w:rFonts w:hint="eastAsia" w:ascii="宋体" w:hAnsi="宋体" w:cs="宋体"/>
                <w:color w:val="000000"/>
                <w:kern w:val="0"/>
                <w:sz w:val="20"/>
                <w:lang w:bidi="ar"/>
              </w:rPr>
              <w:t>建项目，提出并落实土壤和地下水污染防治要求。</w:t>
            </w:r>
          </w:p>
          <w:p w14:paraId="3D3D96F0">
            <w:pPr>
              <w:widowControl/>
              <w:jc w:val="left"/>
              <w:rPr>
                <w:szCs w:val="24"/>
              </w:rPr>
            </w:pPr>
            <w:r>
              <w:rPr>
                <w:rFonts w:hint="eastAsia" w:ascii="宋体" w:hAnsi="宋体" w:cs="宋体"/>
                <w:color w:val="000000"/>
                <w:kern w:val="0"/>
                <w:sz w:val="20"/>
                <w:lang w:bidi="ar"/>
              </w:rPr>
              <w:t>3</w:t>
            </w:r>
            <w:r>
              <w:rPr>
                <w:color w:val="000000"/>
                <w:kern w:val="0"/>
                <w:sz w:val="20"/>
                <w:lang w:bidi="ar"/>
              </w:rPr>
              <w:t>.</w:t>
            </w:r>
            <w:r>
              <w:rPr>
                <w:rFonts w:hint="eastAsia" w:ascii="宋体" w:hAnsi="宋体" w:cs="宋体"/>
                <w:color w:val="000000"/>
                <w:kern w:val="0"/>
                <w:sz w:val="20"/>
                <w:lang w:bidi="ar"/>
              </w:rPr>
              <w:t>禁止利用渗坑、裂隙、溶洞或者采用稀释等方法处置危险废物。</w:t>
            </w:r>
          </w:p>
        </w:tc>
        <w:tc>
          <w:tcPr>
            <w:tcW w:w="697" w:type="pct"/>
            <w:tcBorders>
              <w:tl2br w:val="nil"/>
              <w:tr2bl w:val="nil"/>
            </w:tcBorders>
            <w:vAlign w:val="center"/>
          </w:tcPr>
          <w:p w14:paraId="7ED44ECC">
            <w:pPr>
              <w:rPr>
                <w:szCs w:val="24"/>
              </w:rPr>
            </w:pPr>
            <w:r>
              <w:rPr>
                <w:rFonts w:hint="eastAsia"/>
                <w:color w:val="000000"/>
                <w:szCs w:val="21"/>
              </w:rPr>
              <w:t>不占用基本农田，占地属于工业用地，无生产废水</w:t>
            </w:r>
            <w:r>
              <w:rPr>
                <w:rFonts w:hint="eastAsia"/>
                <w:color w:val="000000"/>
                <w:szCs w:val="21"/>
                <w:lang w:eastAsia="zh-CN"/>
              </w:rPr>
              <w:t>产生</w:t>
            </w:r>
            <w:r>
              <w:rPr>
                <w:rFonts w:hint="eastAsia"/>
                <w:color w:val="000000"/>
                <w:szCs w:val="21"/>
              </w:rPr>
              <w:t>。</w:t>
            </w:r>
          </w:p>
        </w:tc>
        <w:tc>
          <w:tcPr>
            <w:tcW w:w="451" w:type="pct"/>
            <w:tcBorders>
              <w:tl2br w:val="nil"/>
              <w:tr2bl w:val="nil"/>
            </w:tcBorders>
            <w:vAlign w:val="center"/>
          </w:tcPr>
          <w:p w14:paraId="31DFF19B">
            <w:pPr>
              <w:jc w:val="center"/>
              <w:rPr>
                <w:szCs w:val="24"/>
              </w:rPr>
            </w:pPr>
            <w:r>
              <w:rPr>
                <w:szCs w:val="21"/>
              </w:rPr>
              <w:t>符合</w:t>
            </w:r>
          </w:p>
        </w:tc>
      </w:tr>
    </w:tbl>
    <w:p w14:paraId="1AF32E00">
      <w:pPr>
        <w:spacing w:line="360" w:lineRule="auto"/>
        <w:ind w:firstLine="482"/>
        <w:rPr>
          <w:sz w:val="24"/>
          <w:szCs w:val="24"/>
        </w:rPr>
      </w:pPr>
      <w:r>
        <w:rPr>
          <w:rFonts w:hint="eastAsia"/>
          <w:sz w:val="24"/>
          <w:szCs w:val="24"/>
        </w:rPr>
        <w:t>本项目符合《关于印发巴音郭楞蒙古自治州“三线一单”生态环境分区管控动态更新成果（2023年）的通知》（巴政办发〔2024〕32号）中“三线一单”要求。本项目在巴州环境管控单元中位置示意见附图2.9-1。</w:t>
      </w:r>
    </w:p>
    <w:p w14:paraId="7E388858">
      <w:pPr>
        <w:pStyle w:val="4"/>
        <w:autoSpaceDE w:val="0"/>
        <w:autoSpaceDN w:val="0"/>
        <w:spacing w:before="0" w:after="0" w:line="360" w:lineRule="auto"/>
        <w:jc w:val="left"/>
        <w:rPr>
          <w:kern w:val="0"/>
          <w:sz w:val="24"/>
          <w:lang w:val="en-US" w:bidi="zh-CN"/>
        </w:rPr>
      </w:pPr>
      <w:r>
        <w:rPr>
          <w:rFonts w:hint="eastAsia"/>
          <w:kern w:val="0"/>
          <w:sz w:val="24"/>
          <w:lang w:val="en-US" w:bidi="zh-CN"/>
        </w:rPr>
        <w:t>2.9.5选址合理性符合性分析</w:t>
      </w:r>
    </w:p>
    <w:p w14:paraId="0A93038D">
      <w:pPr>
        <w:pStyle w:val="5"/>
        <w:rPr>
          <w:rFonts w:hint="eastAsia" w:ascii="Times New Roman" w:hAnsi="Times New Roman"/>
          <w:color w:val="000000"/>
          <w:lang w:val="en-US" w:eastAsia="zh-CN"/>
        </w:rPr>
      </w:pPr>
      <w:r>
        <w:rPr>
          <w:rFonts w:hint="eastAsia" w:ascii="Times New Roman" w:hAnsi="Times New Roman"/>
          <w:color w:val="000000"/>
          <w:lang w:val="en-US"/>
        </w:rPr>
        <w:t>2.9.5.1</w:t>
      </w:r>
      <w:r>
        <w:rPr>
          <w:rFonts w:hint="eastAsia" w:ascii="Times New Roman" w:hAnsi="Times New Roman"/>
          <w:color w:val="000000"/>
          <w:lang w:val="en-US" w:eastAsia="zh-CN"/>
        </w:rPr>
        <w:t>环境容量</w:t>
      </w:r>
    </w:p>
    <w:p w14:paraId="00D5A20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cs="宋体"/>
          <w:sz w:val="24"/>
          <w:szCs w:val="24"/>
          <w:lang w:val="en-US" w:eastAsia="zh-CN"/>
        </w:rPr>
      </w:pPr>
      <w:r>
        <w:rPr>
          <w:rFonts w:hint="eastAsia"/>
          <w:sz w:val="24"/>
          <w:szCs w:val="24"/>
          <w:lang w:val="en-US" w:eastAsia="zh-CN"/>
        </w:rPr>
        <w:t>项目评价区内现状环境空气评价因子中SO</w:t>
      </w:r>
      <w:r>
        <w:rPr>
          <w:rFonts w:hint="eastAsia"/>
          <w:sz w:val="24"/>
          <w:szCs w:val="24"/>
          <w:vertAlign w:val="subscript"/>
          <w:lang w:val="en-US" w:eastAsia="zh-CN"/>
        </w:rPr>
        <w:t>2</w:t>
      </w:r>
      <w:r>
        <w:rPr>
          <w:rFonts w:hint="eastAsia"/>
          <w:sz w:val="24"/>
          <w:szCs w:val="24"/>
          <w:lang w:val="en-US" w:eastAsia="zh-CN"/>
        </w:rPr>
        <w:t>、NO</w:t>
      </w:r>
      <w:r>
        <w:rPr>
          <w:rFonts w:hint="eastAsia"/>
          <w:sz w:val="24"/>
          <w:szCs w:val="24"/>
          <w:vertAlign w:val="subscript"/>
          <w:lang w:val="en-US" w:eastAsia="zh-CN"/>
        </w:rPr>
        <w:t>2</w:t>
      </w:r>
      <w:r>
        <w:rPr>
          <w:rFonts w:hint="eastAsia"/>
          <w:sz w:val="24"/>
          <w:szCs w:val="24"/>
          <w:lang w:val="en-US" w:eastAsia="zh-CN"/>
        </w:rPr>
        <w:t>、CO和O</w:t>
      </w:r>
      <w:r>
        <w:rPr>
          <w:rFonts w:hint="eastAsia"/>
          <w:sz w:val="24"/>
          <w:szCs w:val="24"/>
          <w:vertAlign w:val="subscript"/>
          <w:lang w:val="en-US" w:eastAsia="zh-CN"/>
        </w:rPr>
        <w:t>3</w:t>
      </w:r>
      <w:r>
        <w:rPr>
          <w:rFonts w:hint="eastAsia"/>
          <w:sz w:val="24"/>
          <w:szCs w:val="24"/>
          <w:lang w:val="en-US" w:eastAsia="zh-CN"/>
        </w:rPr>
        <w:t>的年评价指标为达标；PM</w:t>
      </w:r>
      <w:r>
        <w:rPr>
          <w:rFonts w:hint="eastAsia"/>
          <w:sz w:val="24"/>
          <w:szCs w:val="24"/>
          <w:vertAlign w:val="subscript"/>
          <w:lang w:val="en-US" w:eastAsia="zh-CN"/>
        </w:rPr>
        <w:t>2.5</w:t>
      </w:r>
      <w:r>
        <w:rPr>
          <w:rFonts w:hint="eastAsia"/>
          <w:sz w:val="24"/>
          <w:szCs w:val="24"/>
          <w:lang w:val="en-US" w:eastAsia="zh-CN"/>
        </w:rPr>
        <w:t>、PM</w:t>
      </w:r>
      <w:r>
        <w:rPr>
          <w:rFonts w:hint="eastAsia"/>
          <w:sz w:val="24"/>
          <w:szCs w:val="24"/>
          <w:vertAlign w:val="subscript"/>
          <w:lang w:val="en-US" w:eastAsia="zh-CN"/>
        </w:rPr>
        <w:t>10</w:t>
      </w:r>
      <w:r>
        <w:rPr>
          <w:rFonts w:hint="eastAsia"/>
          <w:sz w:val="24"/>
          <w:szCs w:val="24"/>
          <w:lang w:val="en-US" w:eastAsia="zh-CN"/>
        </w:rPr>
        <w:t>的年评价指标均为超标，环境空气质量现状一般。区域内地下水体均满足水环境功能区划要求，评价指标均符合《地下水质量标准》（GB/T14848-2017）中</w:t>
      </w:r>
      <w:r>
        <w:rPr>
          <w:rFonts w:hint="eastAsia" w:ascii="宋体" w:hAnsi="宋体" w:cs="宋体"/>
          <w:sz w:val="24"/>
          <w:szCs w:val="24"/>
          <w:lang w:val="en-US" w:eastAsia="zh-CN"/>
        </w:rPr>
        <w:t>Ⅲ类水质标准，尚有一定环境容量；评价区环境噪声优于《声环境质量标准》（GB3096-2008）中的2类标准；区域内土壤监测因子均符合《土壤环境质量 建设用地土壤污染风险管控标准（试行）》（GB36600-2018）表1中第二类用地的筛选值要求。</w:t>
      </w:r>
    </w:p>
    <w:p w14:paraId="7DC401B0">
      <w:pPr>
        <w:pStyle w:val="13"/>
        <w:keepNext w:val="0"/>
        <w:keepLines w:val="0"/>
        <w:pageBreakBefore w:val="0"/>
        <w:widowControl w:val="0"/>
        <w:kinsoku/>
        <w:wordWrap/>
        <w:overflowPunct/>
        <w:topLinePunct w:val="0"/>
        <w:autoSpaceDE/>
        <w:autoSpaceDN/>
        <w:bidi w:val="0"/>
        <w:adjustRightInd w:val="0"/>
        <w:snapToGrid/>
        <w:spacing w:line="360" w:lineRule="auto"/>
        <w:ind w:firstLine="420"/>
        <w:textAlignment w:val="baseline"/>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本项目投产后，区域大气、水、声、土壤环境质量现状良好，尚有较大的环境容量空间，污染物达标排放，对区域环境影响不大，区域环境仍可保持现有功能水平。</w:t>
      </w:r>
    </w:p>
    <w:p w14:paraId="09F08E81">
      <w:pPr>
        <w:pStyle w:val="13"/>
        <w:keepNext w:val="0"/>
        <w:keepLines w:val="0"/>
        <w:pageBreakBefore w:val="0"/>
        <w:widowControl w:val="0"/>
        <w:kinsoku/>
        <w:wordWrap/>
        <w:overflowPunct/>
        <w:topLinePunct w:val="0"/>
        <w:autoSpaceDE/>
        <w:autoSpaceDN/>
        <w:bidi w:val="0"/>
        <w:adjustRightInd w:val="0"/>
        <w:snapToGrid/>
        <w:spacing w:line="360" w:lineRule="auto"/>
        <w:ind w:firstLine="420"/>
        <w:textAlignment w:val="baseline"/>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因此，项目选址从环境容量角度分析是可行的。</w:t>
      </w:r>
    </w:p>
    <w:p w14:paraId="56136E43">
      <w:pPr>
        <w:pStyle w:val="5"/>
        <w:rPr>
          <w:rFonts w:ascii="Times New Roman" w:hAnsi="Times New Roman"/>
          <w:color w:val="000000"/>
          <w:lang w:val="en-US"/>
        </w:rPr>
      </w:pPr>
      <w:r>
        <w:rPr>
          <w:rFonts w:hint="eastAsia" w:ascii="Times New Roman" w:hAnsi="Times New Roman"/>
          <w:color w:val="000000"/>
          <w:lang w:val="en-US"/>
        </w:rPr>
        <w:t>2.9.5.2</w:t>
      </w:r>
      <w:r>
        <w:rPr>
          <w:rFonts w:hint="eastAsia" w:ascii="Times New Roman" w:hAnsi="Times New Roman"/>
          <w:color w:val="000000"/>
          <w:lang w:val="en-US" w:eastAsia="zh-CN"/>
        </w:rPr>
        <w:t>用地可行性</w:t>
      </w:r>
      <w:r>
        <w:rPr>
          <w:rFonts w:hint="eastAsia" w:ascii="Times New Roman" w:hAnsi="Times New Roman"/>
          <w:color w:val="000000"/>
          <w:lang w:val="en-US"/>
        </w:rPr>
        <w:t xml:space="preserve"> </w:t>
      </w:r>
    </w:p>
    <w:p w14:paraId="4279F11B">
      <w:pPr>
        <w:pStyle w:val="16"/>
        <w:spacing w:after="0" w:line="360" w:lineRule="auto"/>
        <w:ind w:firstLine="480"/>
        <w:rPr>
          <w:rFonts w:hint="eastAsia" w:ascii="宋体" w:hAnsi="宋体" w:cs="宋体"/>
          <w:sz w:val="24"/>
          <w:szCs w:val="24"/>
        </w:rPr>
      </w:pPr>
      <w:r>
        <w:rPr>
          <w:rFonts w:hint="eastAsia" w:ascii="宋体" w:hAnsi="宋体" w:cs="宋体"/>
          <w:sz w:val="24"/>
          <w:szCs w:val="24"/>
          <w:lang w:eastAsia="zh-CN"/>
        </w:rPr>
        <w:t>根据业主提供的资料，项目区位于</w:t>
      </w:r>
      <w:r>
        <w:rPr>
          <w:rFonts w:hint="eastAsia" w:ascii="宋体" w:hAnsi="宋体" w:cs="宋体"/>
          <w:kern w:val="0"/>
          <w:sz w:val="24"/>
          <w:szCs w:val="24"/>
          <w:lang w:bidi="zh-CN"/>
        </w:rPr>
        <w:t>新疆库尔勒市普惠乡润疆社区四分场库尔勒惠泉工贸有限公司厂区内，用地性质为工业用，不占用基本农田。项目选址用地是可行的。</w:t>
      </w:r>
      <w:r>
        <w:rPr>
          <w:rFonts w:ascii="宋体" w:hAnsi="宋体" w:cs="宋体"/>
          <w:sz w:val="24"/>
          <w:szCs w:val="24"/>
        </w:rPr>
        <w:t xml:space="preserve"> </w:t>
      </w:r>
    </w:p>
    <w:p w14:paraId="082E230E">
      <w:pPr>
        <w:pStyle w:val="5"/>
        <w:rPr>
          <w:rFonts w:hint="eastAsia" w:ascii="Times New Roman" w:hAnsi="Times New Roman" w:eastAsia="宋体"/>
          <w:color w:val="000000"/>
          <w:lang w:val="en-US" w:eastAsia="zh-CN"/>
        </w:rPr>
      </w:pPr>
      <w:r>
        <w:rPr>
          <w:rFonts w:hint="eastAsia" w:ascii="Times New Roman" w:hAnsi="Times New Roman"/>
          <w:color w:val="000000"/>
          <w:lang w:val="en-US"/>
        </w:rPr>
        <w:t>2.9.5.3</w:t>
      </w:r>
      <w:r>
        <w:rPr>
          <w:rFonts w:hint="eastAsia" w:ascii="Times New Roman" w:hAnsi="Times New Roman"/>
          <w:color w:val="000000"/>
          <w:lang w:val="en-US" w:eastAsia="zh-CN"/>
        </w:rPr>
        <w:t>区域主导风向</w:t>
      </w:r>
    </w:p>
    <w:p w14:paraId="2564DB7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区域年主导风向为</w:t>
      </w:r>
      <w:r>
        <w:rPr>
          <w:rFonts w:hint="default" w:ascii="宋体" w:hAnsi="宋体" w:eastAsia="宋体" w:cs="宋体"/>
          <w:kern w:val="2"/>
          <w:sz w:val="24"/>
          <w:szCs w:val="24"/>
          <w:lang w:val="en-US" w:eastAsia="zh-CN" w:bidi="ar-SA"/>
        </w:rPr>
        <w:t>常年主导风向为东北偏东和东风</w:t>
      </w:r>
      <w:r>
        <w:rPr>
          <w:rFonts w:hint="eastAsia" w:ascii="宋体" w:hAnsi="宋体" w:eastAsia="宋体" w:cs="宋体"/>
          <w:kern w:val="2"/>
          <w:sz w:val="24"/>
          <w:szCs w:val="24"/>
          <w:lang w:val="en-US" w:eastAsia="zh-CN" w:bidi="ar-SA"/>
        </w:rPr>
        <w:t>，大气污染物主要扩散至项目西南和西侧方向，对环境敏感目标影响较小。</w:t>
      </w:r>
    </w:p>
    <w:p w14:paraId="511B5DC4">
      <w:pPr>
        <w:pStyle w:val="5"/>
        <w:rPr>
          <w:rFonts w:hint="eastAsia" w:ascii="Times New Roman" w:hAnsi="Times New Roman"/>
          <w:color w:val="000000"/>
          <w:lang w:val="en-US" w:eastAsia="zh-CN"/>
        </w:rPr>
      </w:pPr>
      <w:r>
        <w:rPr>
          <w:rFonts w:hint="eastAsia" w:ascii="Times New Roman" w:hAnsi="Times New Roman"/>
          <w:color w:val="000000"/>
          <w:lang w:val="en-US" w:eastAsia="zh-CN"/>
        </w:rPr>
        <w:t>2.9.5.4大气防护距离</w:t>
      </w:r>
    </w:p>
    <w:p w14:paraId="33C57D5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kern w:val="2"/>
          <w:sz w:val="24"/>
          <w:szCs w:val="24"/>
          <w:lang w:val="en-US" w:eastAsia="zh-CN" w:bidi="ar-SA"/>
        </w:rPr>
      </w:pPr>
      <w:r>
        <w:rPr>
          <w:rFonts w:hint="default" w:ascii="宋体" w:hAnsi="宋体" w:eastAsia="宋体" w:cs="宋体"/>
          <w:kern w:val="2"/>
          <w:sz w:val="24"/>
          <w:szCs w:val="24"/>
          <w:lang w:val="en-US" w:eastAsia="zh-CN" w:bidi="ar-SA"/>
        </w:rPr>
        <w:t>根据《环境影响评价技术导则大气环境》(HJ2.2-2018)中的大气环境防护距离的要求，本项目厂界浓度满足大气污染物厂界浓度限值，因此本</w:t>
      </w:r>
      <w:r>
        <w:rPr>
          <w:rFonts w:hint="eastAsia" w:ascii="宋体" w:hAnsi="宋体" w:cs="宋体"/>
          <w:kern w:val="2"/>
          <w:sz w:val="24"/>
          <w:szCs w:val="24"/>
          <w:lang w:val="en-US" w:eastAsia="zh-CN" w:bidi="ar-SA"/>
        </w:rPr>
        <w:t>项目</w:t>
      </w:r>
      <w:r>
        <w:rPr>
          <w:rFonts w:hint="default" w:ascii="宋体" w:hAnsi="宋体" w:eastAsia="宋体" w:cs="宋体"/>
          <w:kern w:val="2"/>
          <w:sz w:val="24"/>
          <w:szCs w:val="24"/>
          <w:lang w:val="en-US" w:eastAsia="zh-CN" w:bidi="ar-SA"/>
        </w:rPr>
        <w:t>不设置大气环境防护距</w:t>
      </w:r>
      <w:r>
        <w:rPr>
          <w:rFonts w:hint="eastAsia" w:ascii="宋体" w:hAnsi="宋体" w:eastAsia="宋体" w:cs="宋体"/>
          <w:kern w:val="2"/>
          <w:sz w:val="24"/>
          <w:szCs w:val="24"/>
          <w:lang w:val="en-US" w:eastAsia="zh-CN" w:bidi="ar-SA"/>
        </w:rPr>
        <w:t>离</w:t>
      </w:r>
      <w:r>
        <w:rPr>
          <w:rFonts w:hint="default" w:ascii="宋体" w:hAnsi="宋体" w:eastAsia="宋体" w:cs="宋体"/>
          <w:kern w:val="2"/>
          <w:sz w:val="24"/>
          <w:szCs w:val="24"/>
          <w:lang w:val="en-US" w:eastAsia="zh-CN" w:bidi="ar-SA"/>
        </w:rPr>
        <w:t>。</w:t>
      </w:r>
    </w:p>
    <w:p w14:paraId="6F7A070D">
      <w:pPr>
        <w:pStyle w:val="5"/>
        <w:rPr>
          <w:rFonts w:ascii="Times New Roman" w:hAnsi="Times New Roman"/>
          <w:color w:val="000000"/>
          <w:lang w:val="en-US"/>
        </w:rPr>
      </w:pPr>
      <w:r>
        <w:rPr>
          <w:rFonts w:hint="eastAsia" w:ascii="Times New Roman" w:hAnsi="Times New Roman"/>
          <w:color w:val="000000"/>
          <w:lang w:val="en-US" w:eastAsia="zh-CN"/>
        </w:rPr>
        <w:t>2.9.5.5区域</w:t>
      </w:r>
      <w:r>
        <w:rPr>
          <w:rFonts w:hint="eastAsia" w:ascii="Times New Roman" w:hAnsi="Times New Roman"/>
          <w:color w:val="000000"/>
          <w:lang w:val="en-US"/>
        </w:rPr>
        <w:t xml:space="preserve">环境敏感性分析 </w:t>
      </w:r>
    </w:p>
    <w:p w14:paraId="20C5395C">
      <w:pPr>
        <w:pStyle w:val="16"/>
        <w:spacing w:after="0" w:line="360" w:lineRule="auto"/>
        <w:ind w:firstLine="480"/>
        <w:rPr>
          <w:rFonts w:hint="eastAsia" w:ascii="宋体" w:hAnsi="宋体" w:cs="宋体"/>
          <w:sz w:val="24"/>
          <w:szCs w:val="24"/>
        </w:rPr>
      </w:pPr>
      <w:r>
        <w:rPr>
          <w:rFonts w:ascii="宋体" w:hAnsi="宋体" w:cs="宋体"/>
          <w:sz w:val="24"/>
          <w:szCs w:val="24"/>
        </w:rPr>
        <w:t>从环境敏感性看</w:t>
      </w:r>
      <w:r>
        <w:rPr>
          <w:rFonts w:hint="eastAsia" w:ascii="宋体" w:hAnsi="宋体" w:cs="宋体"/>
          <w:sz w:val="24"/>
          <w:szCs w:val="24"/>
        </w:rPr>
        <w:t>，项目</w:t>
      </w:r>
      <w:r>
        <w:rPr>
          <w:rFonts w:ascii="宋体" w:hAnsi="宋体" w:cs="宋体"/>
          <w:sz w:val="24"/>
          <w:szCs w:val="24"/>
        </w:rPr>
        <w:t>位于</w:t>
      </w:r>
      <w:r>
        <w:rPr>
          <w:rFonts w:hint="eastAsia" w:ascii="宋体" w:hAnsi="宋体" w:cs="宋体"/>
          <w:kern w:val="0"/>
          <w:sz w:val="24"/>
          <w:szCs w:val="24"/>
          <w:lang w:bidi="zh-CN"/>
        </w:rPr>
        <w:t>新疆库尔勒市普惠乡润疆社区四分场库尔勒惠泉工贸有限公司厂区内</w:t>
      </w:r>
      <w:r>
        <w:rPr>
          <w:rFonts w:ascii="宋体" w:hAnsi="宋体" w:cs="宋体"/>
          <w:sz w:val="24"/>
          <w:szCs w:val="24"/>
        </w:rPr>
        <w:t>，周边</w:t>
      </w:r>
      <w:r>
        <w:rPr>
          <w:rFonts w:hint="eastAsia" w:ascii="宋体" w:hAnsi="宋体" w:cs="宋体"/>
          <w:sz w:val="24"/>
          <w:szCs w:val="24"/>
        </w:rPr>
        <w:t>为农田</w:t>
      </w:r>
      <w:r>
        <w:rPr>
          <w:rFonts w:ascii="宋体" w:hAnsi="宋体" w:cs="宋体"/>
          <w:sz w:val="24"/>
          <w:szCs w:val="24"/>
        </w:rPr>
        <w:t>。评价区</w:t>
      </w:r>
      <w:r>
        <w:rPr>
          <w:rFonts w:hint="eastAsia" w:ascii="宋体" w:hAnsi="宋体" w:cs="宋体"/>
          <w:sz w:val="24"/>
          <w:szCs w:val="24"/>
        </w:rPr>
        <w:t>内</w:t>
      </w:r>
      <w:r>
        <w:rPr>
          <w:rFonts w:ascii="宋体" w:hAnsi="宋体" w:cs="宋体"/>
          <w:sz w:val="24"/>
          <w:szCs w:val="24"/>
        </w:rPr>
        <w:t>无国家及省级确定的风景名胜、历史遗迹等保护区</w:t>
      </w:r>
      <w:r>
        <w:rPr>
          <w:rFonts w:hint="eastAsia" w:ascii="宋体" w:hAnsi="宋体" w:cs="宋体"/>
          <w:sz w:val="24"/>
          <w:szCs w:val="24"/>
          <w:lang w:eastAsia="zh-CN"/>
        </w:rPr>
        <w:t>，不属于敏感区</w:t>
      </w:r>
      <w:r>
        <w:rPr>
          <w:rFonts w:ascii="宋体" w:hAnsi="宋体" w:cs="宋体"/>
          <w:sz w:val="24"/>
          <w:szCs w:val="24"/>
        </w:rPr>
        <w:t>；无饮用水水源保护区；</w:t>
      </w:r>
      <w:r>
        <w:rPr>
          <w:rFonts w:hint="eastAsia" w:ascii="宋体" w:hAnsi="宋体" w:cs="宋体"/>
          <w:sz w:val="24"/>
          <w:szCs w:val="24"/>
          <w:lang w:eastAsia="zh-CN"/>
        </w:rPr>
        <w:t>厂址所占用土地为规划的工业用地。</w:t>
      </w:r>
      <w:r>
        <w:rPr>
          <w:rFonts w:ascii="宋体" w:hAnsi="宋体" w:cs="宋体"/>
          <w:sz w:val="24"/>
          <w:szCs w:val="24"/>
        </w:rPr>
        <w:t>厂区内无特殊自然观赏价值较高的景观，也不属于土地荒漠化地区</w:t>
      </w:r>
      <w:r>
        <w:rPr>
          <w:rFonts w:hint="eastAsia" w:ascii="宋体" w:hAnsi="宋体" w:cs="宋体"/>
          <w:sz w:val="24"/>
          <w:szCs w:val="24"/>
        </w:rPr>
        <w:t>，同时也不占用农田</w:t>
      </w:r>
      <w:r>
        <w:rPr>
          <w:rFonts w:ascii="宋体" w:hAnsi="宋体" w:cs="宋体"/>
          <w:sz w:val="24"/>
          <w:szCs w:val="24"/>
        </w:rPr>
        <w:t>；项目区周围无居民区，学校等敏感点。因此，环境敏感程度低。</w:t>
      </w:r>
    </w:p>
    <w:p w14:paraId="006D3A32">
      <w:pPr>
        <w:pStyle w:val="5"/>
        <w:rPr>
          <w:rFonts w:hint="eastAsia" w:ascii="Times New Roman" w:hAnsi="Times New Roman" w:eastAsia="宋体" w:cs="Times New Roman"/>
          <w:color w:val="000000"/>
          <w:lang w:val="en-US" w:eastAsia="zh-CN"/>
        </w:rPr>
      </w:pPr>
      <w:r>
        <w:rPr>
          <w:rFonts w:hint="eastAsia" w:ascii="Times New Roman" w:hAnsi="Times New Roman" w:eastAsia="宋体" w:cs="Times New Roman"/>
          <w:color w:val="000000"/>
          <w:lang w:val="en-US" w:eastAsia="zh-CN"/>
        </w:rPr>
        <w:t>2.9.5.6生态环境分区管控方案可行性</w:t>
      </w:r>
    </w:p>
    <w:p w14:paraId="20D9435C">
      <w:pPr>
        <w:pStyle w:val="13"/>
        <w:keepNext w:val="0"/>
        <w:keepLines w:val="0"/>
        <w:pageBreakBefore w:val="0"/>
        <w:widowControl w:val="0"/>
        <w:kinsoku/>
        <w:wordWrap/>
        <w:overflowPunct/>
        <w:topLinePunct w:val="0"/>
        <w:autoSpaceDE/>
        <w:autoSpaceDN/>
        <w:bidi w:val="0"/>
        <w:adjustRightInd w:val="0"/>
        <w:snapToGrid/>
        <w:spacing w:line="360" w:lineRule="auto"/>
        <w:ind w:firstLine="420"/>
        <w:textAlignment w:val="baseline"/>
        <w:rPr>
          <w:rFonts w:hint="default" w:ascii="宋体" w:hAnsi="宋体" w:eastAsia="宋体" w:cs="宋体"/>
          <w:kern w:val="2"/>
          <w:sz w:val="24"/>
          <w:szCs w:val="24"/>
          <w:lang w:val="en-US" w:eastAsia="zh-CN" w:bidi="ar-SA"/>
        </w:rPr>
      </w:pPr>
      <w:r>
        <w:rPr>
          <w:rFonts w:hint="eastAsia" w:ascii="宋体" w:hAnsi="宋体" w:eastAsia="宋体" w:cs="宋体"/>
          <w:kern w:val="2"/>
          <w:sz w:val="24"/>
          <w:szCs w:val="24"/>
          <w:lang w:val="zh-CN" w:eastAsia="zh-CN" w:bidi="ar-SA"/>
        </w:rPr>
        <w:t>根据《巴音郭楞蒙古自治州“三线一单”生态环境分区管控动态更新成果（2023年）》（巴政办发〔2024〕32号，巴音郭楞蒙古自治州生态环境局）管控单元可知，本项目位于库尔勒一般管控单元（管控单元编码：ZH65280130001），项目不占用</w:t>
      </w:r>
      <w:r>
        <w:rPr>
          <w:rFonts w:hint="eastAsia"/>
          <w:color w:val="000000"/>
          <w:szCs w:val="21"/>
        </w:rPr>
        <w:t>基本农田，占地属于工业用地，无生产废水</w:t>
      </w:r>
      <w:r>
        <w:rPr>
          <w:rFonts w:hint="eastAsia"/>
          <w:color w:val="000000"/>
          <w:szCs w:val="21"/>
          <w:lang w:eastAsia="zh-CN"/>
        </w:rPr>
        <w:t>产生，符合</w:t>
      </w:r>
      <w:r>
        <w:rPr>
          <w:rFonts w:hint="eastAsia" w:ascii="宋体" w:hAnsi="宋体" w:eastAsia="宋体" w:cs="宋体"/>
          <w:kern w:val="2"/>
          <w:sz w:val="24"/>
          <w:szCs w:val="24"/>
          <w:lang w:val="zh-CN" w:eastAsia="zh-CN" w:bidi="ar-SA"/>
        </w:rPr>
        <w:t>巴音郭楞蒙古自治州</w:t>
      </w:r>
      <w:r>
        <w:rPr>
          <w:rFonts w:hint="eastAsia" w:ascii="Times New Roman" w:hAnsi="Times New Roman" w:eastAsia="宋体" w:cs="Times New Roman"/>
          <w:color w:val="000000"/>
          <w:lang w:val="en-US" w:eastAsia="zh-CN"/>
        </w:rPr>
        <w:t>生态环境分区管控方案要求。</w:t>
      </w:r>
    </w:p>
    <w:p w14:paraId="5B2380CF">
      <w:pPr>
        <w:pStyle w:val="5"/>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 xml:space="preserve">2.9.5.7原料来源合理性分析 </w:t>
      </w:r>
    </w:p>
    <w:p w14:paraId="7C116388">
      <w:pPr>
        <w:pStyle w:val="16"/>
        <w:spacing w:after="0" w:line="360" w:lineRule="auto"/>
        <w:ind w:firstLine="480"/>
        <w:rPr>
          <w:rFonts w:hint="eastAsia" w:ascii="宋体" w:hAnsi="宋体" w:cs="宋体"/>
          <w:sz w:val="24"/>
          <w:szCs w:val="24"/>
          <w:lang w:val="en-US"/>
        </w:rPr>
      </w:pPr>
      <w:r>
        <w:rPr>
          <w:rFonts w:hint="eastAsia" w:ascii="宋体" w:hAnsi="宋体" w:cs="宋体"/>
          <w:sz w:val="24"/>
          <w:szCs w:val="24"/>
        </w:rPr>
        <w:t>项目</w:t>
      </w:r>
      <w:r>
        <w:rPr>
          <w:rFonts w:ascii="宋体" w:hAnsi="宋体" w:cs="宋体"/>
          <w:sz w:val="24"/>
          <w:szCs w:val="24"/>
        </w:rPr>
        <w:t>位于</w:t>
      </w:r>
      <w:r>
        <w:rPr>
          <w:rFonts w:hint="eastAsia" w:ascii="宋体" w:hAnsi="宋体" w:cs="宋体"/>
          <w:kern w:val="0"/>
          <w:sz w:val="24"/>
          <w:szCs w:val="24"/>
          <w:lang w:bidi="zh-CN"/>
        </w:rPr>
        <w:t>新疆库尔勒市普惠乡润疆社区四分场库尔勒惠泉工贸有限公司厂区内</w:t>
      </w:r>
      <w:r>
        <w:rPr>
          <w:rFonts w:hint="eastAsia" w:ascii="宋体" w:hAnsi="宋体" w:cs="宋体"/>
          <w:sz w:val="24"/>
          <w:szCs w:val="24"/>
          <w:lang w:val="en-US"/>
        </w:rPr>
        <w:t>项目选址综合考虑了周边农业生产范围，废旧地膜产生量情况，从</w:t>
      </w:r>
      <w:r>
        <w:rPr>
          <w:rFonts w:hint="eastAsia" w:ascii="宋体" w:hAnsi="宋体" w:cs="宋体"/>
          <w:kern w:val="0"/>
          <w:sz w:val="24"/>
          <w:szCs w:val="24"/>
          <w:lang w:val="en-US" w:bidi="zh-CN"/>
        </w:rPr>
        <w:t>距离本项目东侧6.93km处的本公司2024年8月建成投入使用的地膜回收分拣、破碎清选后的废旧地膜运送至本项目区进行再生造粒生产滴灌带，</w:t>
      </w:r>
      <w:r>
        <w:rPr>
          <w:rFonts w:hint="eastAsia" w:ascii="宋体" w:hAnsi="宋体" w:cs="宋体"/>
          <w:sz w:val="24"/>
          <w:szCs w:val="24"/>
          <w:lang w:val="en-US"/>
        </w:rPr>
        <w:t>减少原料的运输距离，且原料供应有保证。</w:t>
      </w:r>
    </w:p>
    <w:p w14:paraId="42244C8C">
      <w:pPr>
        <w:pStyle w:val="5"/>
        <w:rPr>
          <w:rFonts w:ascii="Times New Roman" w:hAnsi="Times New Roman"/>
          <w:color w:val="000000"/>
          <w:lang w:val="en-US"/>
        </w:rPr>
      </w:pPr>
      <w:r>
        <w:rPr>
          <w:rFonts w:hint="eastAsia" w:ascii="Times New Roman" w:hAnsi="Times New Roman"/>
          <w:color w:val="000000"/>
          <w:lang w:val="en-US"/>
        </w:rPr>
        <w:t>2.9.5.</w:t>
      </w:r>
      <w:r>
        <w:rPr>
          <w:rFonts w:hint="eastAsia" w:ascii="Times New Roman" w:hAnsi="Times New Roman"/>
          <w:color w:val="000000"/>
          <w:lang w:val="en-US" w:eastAsia="zh-CN"/>
        </w:rPr>
        <w:t>8</w:t>
      </w:r>
      <w:r>
        <w:rPr>
          <w:rFonts w:hint="eastAsia" w:ascii="Times New Roman" w:hAnsi="Times New Roman"/>
          <w:color w:val="000000"/>
          <w:lang w:val="en-US"/>
        </w:rPr>
        <w:t xml:space="preserve">环境风险防范和应急措施有效性分析 </w:t>
      </w:r>
    </w:p>
    <w:p w14:paraId="78C9CAF1">
      <w:pPr>
        <w:pStyle w:val="16"/>
        <w:spacing w:after="0" w:line="360" w:lineRule="auto"/>
        <w:ind w:firstLine="480"/>
        <w:rPr>
          <w:rFonts w:hint="eastAsia" w:ascii="宋体" w:hAnsi="宋体" w:cs="宋体"/>
          <w:sz w:val="24"/>
          <w:szCs w:val="24"/>
          <w:lang w:eastAsia="zh-CN"/>
        </w:rPr>
      </w:pPr>
      <w:r>
        <w:rPr>
          <w:rFonts w:hint="eastAsia" w:ascii="宋体" w:hAnsi="宋体" w:cs="宋体"/>
          <w:sz w:val="24"/>
          <w:szCs w:val="24"/>
        </w:rPr>
        <w:t>本项目可能发生的主要环境风险事故为聚乙烯燃烧环境风险事故，以及引发的次生环境风险事故。在</w:t>
      </w:r>
      <w:r>
        <w:rPr>
          <w:rFonts w:hint="eastAsia" w:ascii="宋体" w:hAnsi="宋体" w:cs="宋体"/>
          <w:sz w:val="24"/>
          <w:szCs w:val="24"/>
          <w:lang w:eastAsia="zh-CN"/>
        </w:rPr>
        <w:t>采取</w:t>
      </w:r>
      <w:r>
        <w:rPr>
          <w:rFonts w:hint="eastAsia" w:ascii="宋体" w:hAnsi="宋体" w:cs="宋体"/>
          <w:sz w:val="24"/>
          <w:szCs w:val="24"/>
        </w:rPr>
        <w:t>环评要求的防范措施和应急预案后，环境风险事故发生事故后其影响范围主要集中于厂区，环境风险在可接受范围之内</w:t>
      </w:r>
      <w:r>
        <w:rPr>
          <w:rFonts w:hint="eastAsia" w:ascii="宋体" w:hAnsi="宋体" w:cs="宋体"/>
          <w:sz w:val="24"/>
          <w:szCs w:val="24"/>
          <w:lang w:eastAsia="zh-CN"/>
        </w:rPr>
        <w:t>。</w:t>
      </w:r>
    </w:p>
    <w:p w14:paraId="05995F52">
      <w:pPr>
        <w:pStyle w:val="16"/>
        <w:spacing w:after="0" w:line="360" w:lineRule="auto"/>
        <w:ind w:firstLine="480"/>
        <w:rPr>
          <w:rFonts w:hint="eastAsia" w:ascii="宋体" w:hAnsi="宋体" w:cs="宋体"/>
          <w:sz w:val="24"/>
          <w:szCs w:val="24"/>
        </w:rPr>
      </w:pPr>
      <w:r>
        <w:rPr>
          <w:rFonts w:ascii="宋体" w:hAnsi="宋体" w:cs="宋体"/>
          <w:sz w:val="24"/>
          <w:szCs w:val="24"/>
        </w:rPr>
        <w:t>根据环境风险评价，拟建</w:t>
      </w:r>
      <w:r>
        <w:rPr>
          <w:rFonts w:hint="eastAsia" w:ascii="宋体" w:hAnsi="宋体" w:cs="宋体"/>
          <w:sz w:val="24"/>
          <w:szCs w:val="24"/>
        </w:rPr>
        <w:t>项目</w:t>
      </w:r>
      <w:r>
        <w:rPr>
          <w:rFonts w:ascii="宋体" w:hAnsi="宋体" w:cs="宋体"/>
          <w:sz w:val="24"/>
          <w:szCs w:val="24"/>
        </w:rPr>
        <w:t xml:space="preserve">环境风险值小，风险水平是可以接受的。在采取有效的环境风险防范措施后，可将影响降至最低。 </w:t>
      </w:r>
    </w:p>
    <w:p w14:paraId="67EA72B3">
      <w:pPr>
        <w:pStyle w:val="5"/>
        <w:rPr>
          <w:rFonts w:ascii="Times New Roman" w:hAnsi="Times New Roman"/>
          <w:color w:val="000000"/>
          <w:lang w:val="en-US"/>
        </w:rPr>
      </w:pPr>
      <w:r>
        <w:rPr>
          <w:rFonts w:hint="eastAsia" w:ascii="Times New Roman" w:hAnsi="Times New Roman"/>
          <w:color w:val="000000"/>
          <w:lang w:val="en-US"/>
        </w:rPr>
        <w:t>2.9.5.</w:t>
      </w:r>
      <w:r>
        <w:rPr>
          <w:rFonts w:hint="eastAsia" w:ascii="Times New Roman" w:hAnsi="Times New Roman"/>
          <w:color w:val="000000"/>
          <w:lang w:val="en-US" w:eastAsia="zh-CN"/>
        </w:rPr>
        <w:t>9</w:t>
      </w:r>
      <w:r>
        <w:rPr>
          <w:rFonts w:hint="eastAsia" w:ascii="Times New Roman" w:hAnsi="Times New Roman"/>
          <w:color w:val="000000"/>
          <w:lang w:val="en-US"/>
        </w:rPr>
        <w:t xml:space="preserve">平面布置合理性分析 </w:t>
      </w:r>
    </w:p>
    <w:p w14:paraId="283F39C9">
      <w:pPr>
        <w:pStyle w:val="16"/>
        <w:spacing w:after="0" w:line="360" w:lineRule="auto"/>
        <w:ind w:firstLine="480"/>
        <w:rPr>
          <w:rFonts w:hint="eastAsia" w:ascii="宋体" w:hAnsi="宋体" w:cs="宋体"/>
          <w:sz w:val="24"/>
          <w:szCs w:val="24"/>
        </w:rPr>
      </w:pPr>
      <w:r>
        <w:rPr>
          <w:rFonts w:ascii="宋体" w:hAnsi="宋体" w:cs="宋体"/>
          <w:sz w:val="24"/>
          <w:szCs w:val="24"/>
        </w:rPr>
        <w:t>由建设方提供的总平面布置图中，拟建项目根据工艺生产流程，结合现有运输条件及满足建筑设计防火规范的要求，本项目总平面布置充分考虑了项目所在地的环境特征，总体布置按功能区划分为生活办公区、生产区。在交通组织方面充分考虑物流运输出入的方便性，降低对项目区内</w:t>
      </w:r>
      <w:r>
        <w:rPr>
          <w:rFonts w:hint="eastAsia" w:ascii="宋体" w:hAnsi="宋体" w:cs="宋体"/>
          <w:sz w:val="24"/>
          <w:szCs w:val="24"/>
          <w:lang w:eastAsia="zh-CN"/>
        </w:rPr>
        <w:t>噪声</w:t>
      </w:r>
      <w:r>
        <w:rPr>
          <w:rFonts w:ascii="宋体" w:hAnsi="宋体" w:cs="宋体"/>
          <w:sz w:val="24"/>
          <w:szCs w:val="24"/>
        </w:rPr>
        <w:t>的干扰。项目区分区明确，格局简洁。总体来看，本项目总平面布置基本合理可行。</w:t>
      </w:r>
    </w:p>
    <w:p w14:paraId="1C98980F">
      <w:pPr>
        <w:pStyle w:val="5"/>
        <w:rPr>
          <w:rFonts w:ascii="Times New Roman" w:hAnsi="Times New Roman"/>
          <w:color w:val="000000"/>
          <w:lang w:val="en-US"/>
        </w:rPr>
      </w:pPr>
      <w:r>
        <w:rPr>
          <w:rFonts w:hint="eastAsia" w:ascii="Times New Roman" w:hAnsi="Times New Roman"/>
          <w:color w:val="000000"/>
          <w:lang w:val="en-US"/>
        </w:rPr>
        <w:t>2.9.5.6</w:t>
      </w:r>
      <w:r>
        <w:rPr>
          <w:rFonts w:hint="eastAsia" w:ascii="Times New Roman" w:hAnsi="Times New Roman"/>
          <w:color w:val="000000"/>
          <w:lang w:val="en-US" w:eastAsia="zh-CN"/>
        </w:rPr>
        <w:t>小结</w:t>
      </w:r>
      <w:r>
        <w:rPr>
          <w:rFonts w:hint="eastAsia" w:ascii="Times New Roman" w:hAnsi="Times New Roman"/>
          <w:color w:val="000000"/>
          <w:lang w:val="en-US"/>
        </w:rPr>
        <w:t xml:space="preserve"> </w:t>
      </w:r>
    </w:p>
    <w:p w14:paraId="0564BD06">
      <w:pPr>
        <w:pStyle w:val="16"/>
        <w:spacing w:after="0" w:line="360" w:lineRule="auto"/>
        <w:ind w:firstLine="480"/>
        <w:rPr>
          <w:rFonts w:hint="eastAsia" w:ascii="宋体" w:hAnsi="宋体" w:cs="宋体"/>
          <w:sz w:val="24"/>
          <w:szCs w:val="24"/>
        </w:rPr>
      </w:pPr>
      <w:r>
        <w:rPr>
          <w:rFonts w:hint="eastAsia" w:ascii="宋体" w:hAnsi="宋体" w:cs="宋体"/>
          <w:sz w:val="24"/>
          <w:szCs w:val="24"/>
        </w:rPr>
        <w:t>项目厂址用地性质为工业用地，项目厂址未选择在环境敏感区域，厂址附近无国家及省级确定的风景、历史遗迹等保护区，区域内也无特殊自然观赏价值较高的景观。</w:t>
      </w:r>
    </w:p>
    <w:p w14:paraId="1CFA72BD">
      <w:pPr>
        <w:pStyle w:val="16"/>
        <w:spacing w:after="0" w:line="360" w:lineRule="auto"/>
        <w:ind w:firstLine="480"/>
        <w:rPr>
          <w:rFonts w:hint="eastAsia" w:ascii="宋体" w:hAnsi="宋体" w:cs="宋体"/>
          <w:sz w:val="24"/>
          <w:szCs w:val="24"/>
        </w:rPr>
      </w:pPr>
      <w:r>
        <w:rPr>
          <w:rFonts w:hint="eastAsia" w:ascii="宋体" w:hAnsi="宋体" w:cs="宋体"/>
          <w:sz w:val="24"/>
          <w:szCs w:val="24"/>
        </w:rPr>
        <w:t>本项目符合国家及地方的产业政策和发展规划，建设区域环境质量现状良好，区域环境敏感程度较低，环境容量有富余，项目正常生产对环境的影响不大，环境风险水平可接受，卫生防护距离满足要求，结合环境影响预测评价结果综合分析，厂址</w:t>
      </w:r>
      <w:r>
        <w:rPr>
          <w:rFonts w:hint="eastAsia" w:ascii="宋体" w:hAnsi="宋体" w:cs="宋体"/>
          <w:sz w:val="24"/>
          <w:szCs w:val="24"/>
          <w:lang w:eastAsia="zh-CN"/>
        </w:rPr>
        <w:t>选择</w:t>
      </w:r>
      <w:r>
        <w:rPr>
          <w:rFonts w:hint="eastAsia" w:ascii="宋体" w:hAnsi="宋体" w:cs="宋体"/>
          <w:sz w:val="24"/>
          <w:szCs w:val="24"/>
        </w:rPr>
        <w:t>合理可行。</w:t>
      </w:r>
    </w:p>
    <w:p w14:paraId="2B2A1C6D">
      <w:pPr>
        <w:pStyle w:val="16"/>
        <w:spacing w:after="0" w:line="360" w:lineRule="auto"/>
        <w:ind w:firstLine="480"/>
        <w:sectPr>
          <w:pgSz w:w="11906" w:h="16838"/>
          <w:pgMar w:top="1134" w:right="1417" w:bottom="1134" w:left="1474" w:header="851" w:footer="992" w:gutter="0"/>
          <w:pgBorders>
            <w:top w:val="none" w:sz="0" w:space="0"/>
            <w:left w:val="none" w:sz="0" w:space="0"/>
            <w:bottom w:val="none" w:sz="0" w:space="0"/>
            <w:right w:val="none" w:sz="0" w:space="0"/>
          </w:pgBorders>
          <w:cols w:space="720" w:num="1"/>
          <w:docGrid w:type="lines" w:linePitch="312" w:charSpace="0"/>
        </w:sectPr>
      </w:pPr>
      <w:r>
        <w:rPr>
          <w:rFonts w:ascii="宋体" w:hAnsi="宋体" w:cs="宋体"/>
          <w:sz w:val="24"/>
          <w:szCs w:val="24"/>
        </w:rPr>
        <w:t>本项目符合国家的产业政策和发展规划，建设区域环境质量现状良好，区域环境敏感程度较低，环境容量有富余，项目正常生产对环境的影响不大，环境风险水平可接受，结合环境影响预测评价结果综合分析，厂址选择是合理可行的。</w:t>
      </w:r>
      <w:r>
        <w:rPr>
          <w:rFonts w:hint="eastAsia"/>
        </w:rPr>
        <w:t xml:space="preserve">                                                                  </w:t>
      </w:r>
    </w:p>
    <w:p w14:paraId="099155E5">
      <w:pPr>
        <w:pStyle w:val="2"/>
        <w:keepNext w:val="0"/>
        <w:keepLines w:val="0"/>
        <w:autoSpaceDE w:val="0"/>
        <w:autoSpaceDN w:val="0"/>
        <w:spacing w:before="0" w:beforeAutospacing="0" w:after="0" w:afterAutospacing="0" w:line="360" w:lineRule="auto"/>
        <w:jc w:val="left"/>
        <w:rPr>
          <w:kern w:val="0"/>
          <w:sz w:val="28"/>
          <w:szCs w:val="28"/>
          <w:lang w:bidi="zh-CN"/>
        </w:rPr>
      </w:pPr>
      <w:bookmarkStart w:id="121" w:name="_Toc31836"/>
      <w:r>
        <w:rPr>
          <w:kern w:val="0"/>
          <w:sz w:val="28"/>
          <w:szCs w:val="28"/>
          <w:lang w:bidi="zh-CN"/>
        </w:rPr>
        <w:t>3建设项目工程</w:t>
      </w:r>
      <w:bookmarkEnd w:id="2"/>
      <w:bookmarkEnd w:id="81"/>
      <w:bookmarkEnd w:id="82"/>
      <w:r>
        <w:rPr>
          <w:rFonts w:hint="eastAsia"/>
          <w:kern w:val="0"/>
          <w:sz w:val="28"/>
          <w:szCs w:val="28"/>
          <w:lang w:bidi="zh-CN"/>
        </w:rPr>
        <w:t>分析</w:t>
      </w:r>
      <w:bookmarkEnd w:id="121"/>
    </w:p>
    <w:p w14:paraId="2798F2EE">
      <w:pPr>
        <w:pStyle w:val="3"/>
        <w:keepNext w:val="0"/>
        <w:keepLines w:val="0"/>
        <w:autoSpaceDE w:val="0"/>
        <w:autoSpaceDN w:val="0"/>
        <w:spacing w:before="0" w:after="0" w:line="360" w:lineRule="auto"/>
        <w:jc w:val="left"/>
        <w:rPr>
          <w:rFonts w:ascii="Times New Roman" w:hAnsi="Times New Roman" w:eastAsia="宋体"/>
          <w:kern w:val="0"/>
          <w:sz w:val="24"/>
          <w:szCs w:val="30"/>
          <w:lang w:val="en-US" w:bidi="zh-CN"/>
        </w:rPr>
      </w:pPr>
      <w:bookmarkStart w:id="122" w:name="_Toc17834"/>
      <w:r>
        <w:rPr>
          <w:rFonts w:hint="eastAsia" w:ascii="Times New Roman" w:hAnsi="Times New Roman" w:eastAsia="宋体"/>
          <w:kern w:val="0"/>
          <w:sz w:val="24"/>
          <w:szCs w:val="30"/>
          <w:lang w:val="en-US" w:bidi="zh-CN"/>
        </w:rPr>
        <w:t>3.1建设项目基本情况</w:t>
      </w:r>
      <w:bookmarkEnd w:id="122"/>
    </w:p>
    <w:p w14:paraId="31AC6BE7">
      <w:pPr>
        <w:pStyle w:val="4"/>
        <w:autoSpaceDE w:val="0"/>
        <w:autoSpaceDN w:val="0"/>
        <w:spacing w:before="0" w:after="0" w:line="360" w:lineRule="auto"/>
        <w:jc w:val="left"/>
        <w:rPr>
          <w:kern w:val="0"/>
          <w:sz w:val="24"/>
          <w:lang w:val="en-US" w:bidi="zh-CN"/>
        </w:rPr>
      </w:pPr>
      <w:r>
        <w:rPr>
          <w:rFonts w:hint="eastAsia"/>
          <w:kern w:val="0"/>
          <w:sz w:val="24"/>
          <w:lang w:val="en-US" w:bidi="zh-CN"/>
        </w:rPr>
        <w:t>3.1.1项目概况</w:t>
      </w:r>
    </w:p>
    <w:p w14:paraId="3EB455C9">
      <w:pPr>
        <w:spacing w:line="360" w:lineRule="auto"/>
        <w:ind w:firstLine="560"/>
        <w:rPr>
          <w:rFonts w:hint="eastAsia" w:ascii="宋体" w:hAnsi="宋体"/>
          <w:sz w:val="24"/>
          <w:szCs w:val="24"/>
        </w:rPr>
      </w:pPr>
      <w:r>
        <w:rPr>
          <w:rFonts w:ascii="宋体" w:hAnsi="宋体"/>
          <w:sz w:val="24"/>
          <w:szCs w:val="24"/>
        </w:rPr>
        <w:t>项目名称：</w:t>
      </w:r>
      <w:r>
        <w:rPr>
          <w:rFonts w:hint="eastAsia" w:ascii="宋体" w:hAnsi="宋体"/>
          <w:sz w:val="24"/>
          <w:szCs w:val="24"/>
        </w:rPr>
        <w:t>库尔勒市新如兴环保科技有限公司库尔勒市废旧地膜加工建设项目</w:t>
      </w:r>
    </w:p>
    <w:p w14:paraId="274BC3D5">
      <w:pPr>
        <w:spacing w:line="360" w:lineRule="auto"/>
        <w:ind w:firstLine="560"/>
        <w:rPr>
          <w:rFonts w:hint="eastAsia" w:ascii="宋体" w:hAnsi="宋体"/>
          <w:bCs/>
          <w:sz w:val="24"/>
        </w:rPr>
      </w:pPr>
      <w:r>
        <w:rPr>
          <w:rFonts w:ascii="宋体" w:hAnsi="宋体"/>
          <w:sz w:val="24"/>
          <w:szCs w:val="24"/>
        </w:rPr>
        <w:t>建设单位：</w:t>
      </w:r>
      <w:r>
        <w:rPr>
          <w:rFonts w:hint="eastAsia" w:ascii="宋体" w:hAnsi="宋体"/>
          <w:sz w:val="24"/>
          <w:szCs w:val="24"/>
        </w:rPr>
        <w:t>库尔勒市新如兴环保科技有限公司</w:t>
      </w:r>
    </w:p>
    <w:p w14:paraId="20A4849E">
      <w:pPr>
        <w:spacing w:line="360" w:lineRule="auto"/>
        <w:ind w:firstLine="560"/>
        <w:rPr>
          <w:rFonts w:hint="eastAsia" w:ascii="宋体" w:hAnsi="宋体"/>
          <w:sz w:val="24"/>
          <w:szCs w:val="24"/>
        </w:rPr>
      </w:pPr>
      <w:r>
        <w:rPr>
          <w:rFonts w:ascii="宋体" w:hAnsi="宋体"/>
          <w:sz w:val="24"/>
          <w:szCs w:val="24"/>
        </w:rPr>
        <w:t>建设性质：新建</w:t>
      </w:r>
    </w:p>
    <w:p w14:paraId="62806AC0">
      <w:pPr>
        <w:spacing w:line="360" w:lineRule="auto"/>
        <w:ind w:firstLine="560"/>
        <w:rPr>
          <w:rFonts w:hint="eastAsia" w:ascii="宋体" w:hAnsi="宋体"/>
          <w:sz w:val="24"/>
          <w:szCs w:val="24"/>
        </w:rPr>
      </w:pPr>
      <w:r>
        <w:rPr>
          <w:rFonts w:ascii="宋体" w:hAnsi="宋体"/>
          <w:sz w:val="24"/>
          <w:szCs w:val="24"/>
        </w:rPr>
        <w:t>投资规模：本项目估算总投资为</w:t>
      </w:r>
      <w:r>
        <w:rPr>
          <w:rFonts w:hint="eastAsia" w:ascii="宋体" w:hAnsi="宋体"/>
          <w:sz w:val="24"/>
          <w:szCs w:val="24"/>
        </w:rPr>
        <w:t>500</w:t>
      </w:r>
      <w:r>
        <w:rPr>
          <w:rFonts w:ascii="宋体" w:hAnsi="宋体"/>
          <w:sz w:val="24"/>
          <w:szCs w:val="24"/>
        </w:rPr>
        <w:t>万元，</w:t>
      </w:r>
      <w:r>
        <w:rPr>
          <w:rFonts w:hint="eastAsia" w:ascii="宋体" w:hAnsi="宋体"/>
          <w:sz w:val="24"/>
          <w:szCs w:val="24"/>
        </w:rPr>
        <w:t>全部资金均由企业自筹。</w:t>
      </w:r>
      <w:r>
        <w:rPr>
          <w:rFonts w:ascii="宋体" w:hAnsi="宋体"/>
          <w:sz w:val="24"/>
          <w:szCs w:val="24"/>
        </w:rPr>
        <w:t>其中环保投资</w:t>
      </w:r>
      <w:r>
        <w:rPr>
          <w:rFonts w:hint="eastAsia" w:ascii="宋体" w:hAnsi="宋体"/>
          <w:sz w:val="24"/>
          <w:szCs w:val="24"/>
          <w:lang w:val="en-US" w:eastAsia="zh-CN"/>
        </w:rPr>
        <w:t>37.72</w:t>
      </w:r>
      <w:r>
        <w:rPr>
          <w:rFonts w:ascii="宋体" w:hAnsi="宋体"/>
          <w:sz w:val="24"/>
          <w:szCs w:val="24"/>
        </w:rPr>
        <w:t>万元</w:t>
      </w:r>
      <w:r>
        <w:rPr>
          <w:rFonts w:hint="eastAsia" w:ascii="宋体" w:hAnsi="宋体"/>
          <w:sz w:val="24"/>
          <w:szCs w:val="24"/>
        </w:rPr>
        <w:t>，占项目总投资的</w:t>
      </w:r>
      <w:r>
        <w:rPr>
          <w:rFonts w:hint="eastAsia" w:ascii="宋体" w:hAnsi="宋体"/>
          <w:sz w:val="24"/>
          <w:szCs w:val="24"/>
          <w:lang w:val="en-US" w:eastAsia="zh-CN"/>
        </w:rPr>
        <w:t>7.544</w:t>
      </w:r>
      <w:r>
        <w:rPr>
          <w:rFonts w:hint="eastAsia" w:ascii="宋体" w:hAnsi="宋体"/>
          <w:sz w:val="24"/>
          <w:szCs w:val="24"/>
        </w:rPr>
        <w:t>%</w:t>
      </w:r>
      <w:r>
        <w:rPr>
          <w:rFonts w:ascii="宋体" w:hAnsi="宋体"/>
          <w:sz w:val="24"/>
          <w:szCs w:val="24"/>
        </w:rPr>
        <w:t>。</w:t>
      </w:r>
    </w:p>
    <w:p w14:paraId="738C4148">
      <w:pPr>
        <w:spacing w:line="360" w:lineRule="auto"/>
        <w:ind w:firstLine="480" w:firstLineChars="200"/>
        <w:rPr>
          <w:rFonts w:hint="eastAsia" w:ascii="宋体" w:hAnsi="宋体"/>
          <w:sz w:val="24"/>
          <w:szCs w:val="24"/>
        </w:rPr>
      </w:pPr>
      <w:r>
        <w:rPr>
          <w:rFonts w:ascii="宋体" w:hAnsi="宋体"/>
          <w:sz w:val="24"/>
          <w:szCs w:val="24"/>
        </w:rPr>
        <w:t>建设地点：</w:t>
      </w:r>
      <w:r>
        <w:rPr>
          <w:rFonts w:ascii="宋体" w:hAnsi="宋体"/>
          <w:sz w:val="24"/>
        </w:rPr>
        <w:t>本项目区位于</w:t>
      </w:r>
      <w:r>
        <w:rPr>
          <w:rFonts w:hint="eastAsia" w:ascii="宋体" w:hAnsi="宋体" w:cs="宋体"/>
          <w:kern w:val="0"/>
          <w:sz w:val="24"/>
          <w:szCs w:val="24"/>
          <w:lang w:val="zh-CN" w:bidi="zh-CN"/>
        </w:rPr>
        <w:t>新疆库尔勒市普惠乡润疆社区四分场库尔勒惠泉工贸有限公司厂区内</w:t>
      </w:r>
      <w:r>
        <w:rPr>
          <w:rFonts w:ascii="宋体" w:hAnsi="宋体"/>
          <w:sz w:val="24"/>
        </w:rPr>
        <w:t>（</w:t>
      </w:r>
      <w:r>
        <w:rPr>
          <w:rFonts w:ascii="宋体" w:hAnsi="宋体"/>
          <w:kern w:val="0"/>
          <w:sz w:val="24"/>
        </w:rPr>
        <w:t>见附图3.1-1项目地理位置示意图），</w:t>
      </w:r>
      <w:r>
        <w:rPr>
          <w:rFonts w:ascii="宋体" w:hAnsi="宋体"/>
          <w:sz w:val="24"/>
          <w:szCs w:val="24"/>
        </w:rPr>
        <w:t>地理位置坐标为N</w:t>
      </w:r>
      <w:r>
        <w:rPr>
          <w:rFonts w:hint="eastAsia" w:ascii="宋体" w:hAnsi="宋体"/>
          <w:sz w:val="24"/>
          <w:szCs w:val="24"/>
        </w:rPr>
        <w:t>41°25′3.496″</w:t>
      </w:r>
      <w:r>
        <w:rPr>
          <w:rFonts w:ascii="宋体" w:hAnsi="宋体"/>
          <w:sz w:val="24"/>
          <w:szCs w:val="24"/>
        </w:rPr>
        <w:t>，E</w:t>
      </w:r>
      <w:r>
        <w:rPr>
          <w:rFonts w:hint="eastAsia" w:ascii="宋体" w:hAnsi="宋体"/>
          <w:sz w:val="24"/>
          <w:szCs w:val="24"/>
        </w:rPr>
        <w:t>85°50′11.947″</w:t>
      </w:r>
      <w:r>
        <w:rPr>
          <w:rFonts w:ascii="宋体" w:hAnsi="宋体"/>
          <w:sz w:val="24"/>
          <w:szCs w:val="24"/>
        </w:rPr>
        <w:t>。项目周边</w:t>
      </w:r>
      <w:r>
        <w:rPr>
          <w:rFonts w:hint="eastAsia" w:ascii="宋体" w:hAnsi="宋体"/>
          <w:sz w:val="24"/>
          <w:szCs w:val="24"/>
          <w:lang w:eastAsia="zh-CN"/>
        </w:rPr>
        <w:t>现状</w:t>
      </w:r>
      <w:r>
        <w:rPr>
          <w:rFonts w:hint="eastAsia" w:ascii="宋体" w:hAnsi="宋体"/>
          <w:sz w:val="24"/>
          <w:szCs w:val="24"/>
        </w:rPr>
        <w:t>北侧紧邻乡村道路；南侧隔防风林为农田；西北侧为空地，西南侧为农田；东侧为空地和农田</w:t>
      </w:r>
      <w:r>
        <w:rPr>
          <w:rFonts w:ascii="宋体" w:hAnsi="宋体"/>
          <w:sz w:val="24"/>
          <w:szCs w:val="24"/>
        </w:rPr>
        <w:t>。（见附图2.6-1周边关系及环境敏感目标分布图）</w:t>
      </w:r>
      <w:r>
        <w:rPr>
          <w:rFonts w:ascii="宋体" w:hAnsi="宋体"/>
          <w:sz w:val="24"/>
        </w:rPr>
        <w:t>。</w:t>
      </w:r>
    </w:p>
    <w:p w14:paraId="66B158D2">
      <w:pPr>
        <w:pStyle w:val="4"/>
        <w:autoSpaceDE w:val="0"/>
        <w:autoSpaceDN w:val="0"/>
        <w:spacing w:before="0" w:after="0" w:line="360" w:lineRule="auto"/>
        <w:jc w:val="left"/>
        <w:rPr>
          <w:kern w:val="0"/>
          <w:sz w:val="24"/>
          <w:lang w:val="en-US" w:bidi="zh-CN"/>
        </w:rPr>
      </w:pPr>
      <w:r>
        <w:rPr>
          <w:rFonts w:hint="eastAsia"/>
          <w:kern w:val="0"/>
          <w:sz w:val="24"/>
          <w:lang w:val="en-US" w:bidi="zh-CN"/>
        </w:rPr>
        <w:t>3.1.2项目建设内容及规模</w:t>
      </w:r>
    </w:p>
    <w:p w14:paraId="3CA95F42">
      <w:pPr>
        <w:spacing w:line="360" w:lineRule="auto"/>
        <w:ind w:firstLine="480" w:firstLineChars="200"/>
        <w:rPr>
          <w:rFonts w:hint="eastAsia" w:ascii="宋体" w:hAnsi="宋体" w:cs="宋体"/>
          <w:kern w:val="0"/>
          <w:sz w:val="24"/>
          <w:szCs w:val="24"/>
          <w:lang w:bidi="zh-CN"/>
        </w:rPr>
      </w:pPr>
      <w:r>
        <w:rPr>
          <w:rFonts w:ascii="宋体" w:hAnsi="宋体"/>
          <w:color w:val="000000" w:themeColor="text1"/>
          <w:sz w:val="24"/>
          <w:szCs w:val="24"/>
          <w14:textFill>
            <w14:solidFill>
              <w14:schemeClr w14:val="tx1"/>
            </w14:solidFill>
          </w14:textFill>
        </w:rPr>
        <w:t>项目</w:t>
      </w:r>
      <w:r>
        <w:rPr>
          <w:rFonts w:hint="eastAsia" w:ascii="宋体" w:hAnsi="宋体"/>
          <w:color w:val="000000" w:themeColor="text1"/>
          <w:sz w:val="24"/>
          <w:szCs w:val="24"/>
          <w14:textFill>
            <w14:solidFill>
              <w14:schemeClr w14:val="tx1"/>
            </w14:solidFill>
          </w14:textFill>
        </w:rPr>
        <w:t>租用</w:t>
      </w:r>
      <w:r>
        <w:rPr>
          <w:rFonts w:hint="eastAsia" w:ascii="宋体" w:hAnsi="宋体" w:cs="宋体"/>
          <w:kern w:val="0"/>
          <w:sz w:val="24"/>
          <w:szCs w:val="24"/>
          <w:lang w:val="zh-CN" w:bidi="zh-CN"/>
        </w:rPr>
        <w:t>库尔勒惠泉工贸有限公司</w:t>
      </w:r>
      <w:r>
        <w:rPr>
          <w:rFonts w:hint="eastAsia" w:ascii="宋体" w:hAnsi="宋体" w:cs="宋体"/>
          <w:kern w:val="0"/>
          <w:sz w:val="24"/>
          <w:szCs w:val="24"/>
          <w:lang w:bidi="zh-CN"/>
        </w:rPr>
        <w:t>现有厂区面积1000m</w:t>
      </w:r>
      <w:r>
        <w:rPr>
          <w:rFonts w:hint="eastAsia" w:ascii="宋体" w:hAnsi="宋体" w:cs="宋体"/>
          <w:kern w:val="0"/>
          <w:sz w:val="24"/>
          <w:szCs w:val="24"/>
          <w:vertAlign w:val="superscript"/>
          <w:lang w:bidi="zh-CN"/>
        </w:rPr>
        <w:t>2</w:t>
      </w:r>
      <w:r>
        <w:rPr>
          <w:rFonts w:hint="eastAsia" w:ascii="宋体" w:hAnsi="宋体" w:cs="宋体"/>
          <w:kern w:val="0"/>
          <w:sz w:val="24"/>
          <w:szCs w:val="24"/>
          <w:lang w:bidi="zh-CN"/>
        </w:rPr>
        <w:t>，总建筑面积928m</w:t>
      </w:r>
      <w:r>
        <w:rPr>
          <w:rFonts w:hint="eastAsia" w:ascii="宋体" w:hAnsi="宋体" w:cs="宋体"/>
          <w:kern w:val="0"/>
          <w:sz w:val="24"/>
          <w:szCs w:val="24"/>
          <w:vertAlign w:val="superscript"/>
          <w:lang w:bidi="zh-CN"/>
        </w:rPr>
        <w:t>2</w:t>
      </w:r>
      <w:r>
        <w:rPr>
          <w:rFonts w:hint="eastAsia" w:ascii="宋体" w:hAnsi="宋体" w:cs="宋体"/>
          <w:kern w:val="0"/>
          <w:sz w:val="24"/>
          <w:szCs w:val="24"/>
          <w:lang w:bidi="zh-CN"/>
        </w:rPr>
        <w:t>，其中1栋钢结构厂房建筑面积854m</w:t>
      </w:r>
      <w:r>
        <w:rPr>
          <w:rFonts w:hint="eastAsia" w:ascii="宋体" w:hAnsi="宋体" w:cs="宋体"/>
          <w:kern w:val="0"/>
          <w:sz w:val="24"/>
          <w:szCs w:val="24"/>
          <w:vertAlign w:val="superscript"/>
          <w:lang w:bidi="zh-CN"/>
        </w:rPr>
        <w:t>2</w:t>
      </w:r>
      <w:r>
        <w:rPr>
          <w:rFonts w:hint="eastAsia" w:ascii="宋体" w:hAnsi="宋体" w:cs="宋体"/>
          <w:kern w:val="0"/>
          <w:sz w:val="24"/>
          <w:szCs w:val="24"/>
          <w:lang w:bidi="zh-CN"/>
        </w:rPr>
        <w:t>，宿舍2间60m</w:t>
      </w:r>
      <w:r>
        <w:rPr>
          <w:rFonts w:hint="eastAsia" w:ascii="宋体" w:hAnsi="宋体" w:cs="宋体"/>
          <w:kern w:val="0"/>
          <w:sz w:val="24"/>
          <w:szCs w:val="24"/>
          <w:vertAlign w:val="superscript"/>
          <w:lang w:bidi="zh-CN"/>
        </w:rPr>
        <w:t>2</w:t>
      </w:r>
      <w:r>
        <w:rPr>
          <w:rFonts w:hint="eastAsia" w:ascii="宋体" w:hAnsi="宋体" w:cs="宋体"/>
          <w:kern w:val="0"/>
          <w:sz w:val="24"/>
          <w:szCs w:val="24"/>
          <w:lang w:bidi="zh-CN"/>
        </w:rPr>
        <w:t>，食堂14m</w:t>
      </w:r>
      <w:r>
        <w:rPr>
          <w:rFonts w:hint="eastAsia" w:ascii="宋体" w:hAnsi="宋体" w:cs="宋体"/>
          <w:kern w:val="0"/>
          <w:sz w:val="24"/>
          <w:szCs w:val="24"/>
          <w:vertAlign w:val="superscript"/>
          <w:lang w:bidi="zh-CN"/>
        </w:rPr>
        <w:t>2</w:t>
      </w:r>
      <w:r>
        <w:rPr>
          <w:rFonts w:hint="eastAsia" w:ascii="宋体" w:hAnsi="宋体" w:cs="宋体"/>
          <w:kern w:val="0"/>
          <w:sz w:val="24"/>
          <w:szCs w:val="24"/>
          <w:lang w:bidi="zh-CN"/>
        </w:rPr>
        <w:t>，新建处理能力</w:t>
      </w:r>
      <w:r>
        <w:rPr>
          <w:rFonts w:hint="eastAsia" w:ascii="宋体" w:hAnsi="宋体" w:cs="宋体"/>
          <w:kern w:val="0"/>
          <w:sz w:val="24"/>
          <w:szCs w:val="24"/>
          <w:lang w:val="en-US" w:bidi="zh-CN"/>
        </w:rPr>
        <w:t>24t/d</w:t>
      </w:r>
      <w:r>
        <w:rPr>
          <w:rFonts w:hint="eastAsia" w:ascii="宋体" w:hAnsi="宋体" w:cs="宋体"/>
          <w:kern w:val="0"/>
          <w:sz w:val="24"/>
          <w:szCs w:val="24"/>
          <w:lang w:val="zh-CN" w:bidi="zh-CN"/>
        </w:rPr>
        <w:t>废旧地膜造粒生产线一条,处理能力</w:t>
      </w:r>
      <w:r>
        <w:rPr>
          <w:rFonts w:hint="eastAsia"/>
          <w:sz w:val="24"/>
          <w:szCs w:val="24"/>
          <w:lang w:val="en-US" w:eastAsia="zh-CN"/>
        </w:rPr>
        <w:t>48t/d</w:t>
      </w:r>
      <w:r>
        <w:rPr>
          <w:rFonts w:hint="eastAsia" w:ascii="宋体" w:hAnsi="宋体" w:cs="宋体"/>
          <w:kern w:val="0"/>
          <w:sz w:val="24"/>
          <w:szCs w:val="24"/>
          <w:lang w:val="zh-CN" w:bidi="zh-CN"/>
        </w:rPr>
        <w:t>内镶式滴灌带生产线1条</w:t>
      </w:r>
      <w:r>
        <w:rPr>
          <w:rFonts w:hint="eastAsia" w:ascii="宋体" w:hAnsi="宋体" w:cs="宋体"/>
          <w:kern w:val="0"/>
          <w:sz w:val="24"/>
          <w:szCs w:val="24"/>
          <w:lang w:bidi="zh-CN"/>
        </w:rPr>
        <w:t>，建成后预计年产塑料颗粒</w:t>
      </w:r>
      <w:r>
        <w:rPr>
          <w:rFonts w:hint="eastAsia" w:ascii="宋体" w:hAnsi="宋体" w:cs="宋体"/>
          <w:kern w:val="0"/>
          <w:sz w:val="24"/>
          <w:szCs w:val="24"/>
          <w:lang w:val="en-US" w:bidi="zh-CN"/>
        </w:rPr>
        <w:t>5498.075</w:t>
      </w:r>
      <w:r>
        <w:rPr>
          <w:rFonts w:hint="eastAsia" w:ascii="宋体" w:hAnsi="宋体" w:cs="宋体"/>
          <w:kern w:val="0"/>
          <w:sz w:val="24"/>
          <w:szCs w:val="24"/>
          <w:lang w:bidi="zh-CN"/>
        </w:rPr>
        <w:t>t/a（原料利用距离本项目东侧6.93km处的本公司2024年8月投入使用的现有地膜回收分拣、破碎清选后的废旧地膜运送至本项目区进行再生造粒生产滴灌带）和内镶式滴灌带9995t/a。</w:t>
      </w:r>
    </w:p>
    <w:p w14:paraId="48B84131">
      <w:pPr>
        <w:spacing w:line="360" w:lineRule="auto"/>
        <w:ind w:firstLine="480" w:firstLineChars="200"/>
        <w:rPr>
          <w:rFonts w:hint="eastAsia" w:ascii="宋体" w:hAnsi="宋体"/>
          <w:sz w:val="24"/>
          <w:szCs w:val="24"/>
        </w:rPr>
      </w:pPr>
      <w:r>
        <w:rPr>
          <w:rFonts w:hint="eastAsia" w:ascii="宋体" w:hAnsi="宋体"/>
          <w:sz w:val="24"/>
          <w:szCs w:val="24"/>
        </w:rPr>
        <w:t>建设项目组成一览表</w:t>
      </w:r>
      <w:r>
        <w:rPr>
          <w:rFonts w:ascii="宋体" w:hAnsi="宋体"/>
          <w:sz w:val="24"/>
          <w:szCs w:val="24"/>
        </w:rPr>
        <w:t>情况见表3.1-1</w:t>
      </w:r>
      <w:r>
        <w:rPr>
          <w:rFonts w:hint="eastAsia" w:ascii="宋体" w:hAnsi="宋体"/>
          <w:sz w:val="24"/>
          <w:szCs w:val="24"/>
        </w:rPr>
        <w:t>和建设规模一览表3.1-2。</w:t>
      </w:r>
    </w:p>
    <w:p w14:paraId="5FA9C2F3">
      <w:pPr>
        <w:autoSpaceDE w:val="0"/>
        <w:autoSpaceDN w:val="0"/>
        <w:adjustRightInd w:val="0"/>
        <w:snapToGrid w:val="0"/>
        <w:jc w:val="center"/>
        <w:rPr>
          <w:rFonts w:hint="eastAsia" w:ascii="宋体" w:hAnsi="宋体"/>
          <w:b/>
          <w:kern w:val="0"/>
          <w:szCs w:val="21"/>
        </w:rPr>
      </w:pPr>
      <w:r>
        <w:rPr>
          <w:rFonts w:ascii="宋体" w:hAnsi="宋体"/>
          <w:b/>
          <w:kern w:val="0"/>
          <w:szCs w:val="21"/>
        </w:rPr>
        <w:t xml:space="preserve">表3.1-1     </w:t>
      </w:r>
      <w:r>
        <w:rPr>
          <w:rFonts w:hint="eastAsia"/>
          <w:b/>
          <w:szCs w:val="21"/>
        </w:rPr>
        <w:t>建设项目组成一览表</w:t>
      </w:r>
    </w:p>
    <w:tbl>
      <w:tblPr>
        <w:tblStyle w:val="49"/>
        <w:tblW w:w="9078"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4" w:space="0"/>
        </w:tblBorders>
        <w:tblLayout w:type="fixed"/>
        <w:tblCellMar>
          <w:top w:w="0" w:type="dxa"/>
          <w:left w:w="0" w:type="dxa"/>
          <w:bottom w:w="0" w:type="dxa"/>
          <w:right w:w="0" w:type="dxa"/>
        </w:tblCellMar>
      </w:tblPr>
      <w:tblGrid>
        <w:gridCol w:w="1091"/>
        <w:gridCol w:w="1448"/>
        <w:gridCol w:w="2486"/>
        <w:gridCol w:w="2962"/>
        <w:gridCol w:w="1091"/>
      </w:tblGrid>
      <w:tr w14:paraId="05DC5E2B">
        <w:tblPrEx>
          <w:tblBorders>
            <w:top w:val="single" w:color="auto" w:sz="12" w:space="0"/>
            <w:left w:val="single" w:color="auto" w:sz="12" w:space="0"/>
            <w:bottom w:val="single" w:color="auto" w:sz="12" w:space="0"/>
            <w:right w:val="single" w:color="auto" w:sz="12" w:space="0"/>
            <w:insideH w:val="single" w:color="auto" w:sz="6" w:space="0"/>
            <w:insideV w:val="single" w:color="auto" w:sz="4" w:space="0"/>
          </w:tblBorders>
          <w:tblCellMar>
            <w:top w:w="0" w:type="dxa"/>
            <w:left w:w="0" w:type="dxa"/>
            <w:bottom w:w="0" w:type="dxa"/>
            <w:right w:w="0" w:type="dxa"/>
          </w:tblCellMar>
        </w:tblPrEx>
        <w:trPr>
          <w:trHeight w:val="393" w:hRule="atLeast"/>
          <w:jc w:val="center"/>
        </w:trPr>
        <w:tc>
          <w:tcPr>
            <w:tcW w:w="1091" w:type="dxa"/>
            <w:tcBorders>
              <w:tl2br w:val="nil"/>
              <w:tr2bl w:val="nil"/>
            </w:tcBorders>
            <w:vAlign w:val="center"/>
          </w:tcPr>
          <w:p w14:paraId="0EA8CF6E">
            <w:pPr>
              <w:spacing w:line="260" w:lineRule="exact"/>
              <w:jc w:val="center"/>
              <w:rPr>
                <w:rFonts w:hint="eastAsia" w:ascii="宋体" w:hAnsi="宋体"/>
                <w:szCs w:val="21"/>
              </w:rPr>
            </w:pPr>
            <w:r>
              <w:rPr>
                <w:rFonts w:ascii="宋体" w:hAnsi="宋体"/>
                <w:szCs w:val="21"/>
              </w:rPr>
              <w:t>工程分类</w:t>
            </w:r>
          </w:p>
        </w:tc>
        <w:tc>
          <w:tcPr>
            <w:tcW w:w="1448" w:type="dxa"/>
            <w:tcBorders>
              <w:tl2br w:val="nil"/>
              <w:tr2bl w:val="nil"/>
            </w:tcBorders>
            <w:vAlign w:val="center"/>
          </w:tcPr>
          <w:p w14:paraId="7D2A58B1">
            <w:pPr>
              <w:spacing w:line="260" w:lineRule="exact"/>
              <w:jc w:val="center"/>
              <w:rPr>
                <w:rFonts w:hint="eastAsia" w:ascii="宋体" w:hAnsi="宋体"/>
                <w:szCs w:val="21"/>
              </w:rPr>
            </w:pPr>
            <w:r>
              <w:rPr>
                <w:rFonts w:ascii="宋体" w:hAnsi="宋体"/>
                <w:szCs w:val="21"/>
              </w:rPr>
              <w:t>工程名称</w:t>
            </w:r>
          </w:p>
        </w:tc>
        <w:tc>
          <w:tcPr>
            <w:tcW w:w="2486" w:type="dxa"/>
            <w:tcBorders>
              <w:tl2br w:val="nil"/>
              <w:tr2bl w:val="nil"/>
            </w:tcBorders>
            <w:vAlign w:val="center"/>
          </w:tcPr>
          <w:p w14:paraId="5C99852C">
            <w:pPr>
              <w:spacing w:line="260" w:lineRule="exact"/>
              <w:jc w:val="center"/>
              <w:rPr>
                <w:rFonts w:hint="eastAsia" w:ascii="宋体" w:hAnsi="宋体"/>
                <w:szCs w:val="21"/>
              </w:rPr>
            </w:pPr>
            <w:r>
              <w:rPr>
                <w:rFonts w:ascii="宋体" w:hAnsi="宋体"/>
                <w:szCs w:val="21"/>
              </w:rPr>
              <w:t>建设内容</w:t>
            </w:r>
          </w:p>
        </w:tc>
        <w:tc>
          <w:tcPr>
            <w:tcW w:w="2962" w:type="dxa"/>
            <w:tcBorders>
              <w:tl2br w:val="nil"/>
              <w:tr2bl w:val="nil"/>
            </w:tcBorders>
            <w:vAlign w:val="center"/>
          </w:tcPr>
          <w:p w14:paraId="0896C107">
            <w:pPr>
              <w:spacing w:line="260" w:lineRule="exact"/>
              <w:jc w:val="center"/>
              <w:rPr>
                <w:rFonts w:hint="eastAsia" w:ascii="宋体" w:hAnsi="宋体"/>
                <w:szCs w:val="21"/>
              </w:rPr>
            </w:pPr>
            <w:r>
              <w:rPr>
                <w:rFonts w:ascii="宋体" w:hAnsi="宋体"/>
                <w:szCs w:val="21"/>
              </w:rPr>
              <w:t>采取的措施</w:t>
            </w:r>
          </w:p>
        </w:tc>
        <w:tc>
          <w:tcPr>
            <w:tcW w:w="1091" w:type="dxa"/>
            <w:tcBorders>
              <w:tl2br w:val="nil"/>
              <w:tr2bl w:val="nil"/>
            </w:tcBorders>
            <w:vAlign w:val="center"/>
          </w:tcPr>
          <w:p w14:paraId="1A77ED6E">
            <w:pPr>
              <w:spacing w:line="260" w:lineRule="exact"/>
              <w:jc w:val="center"/>
              <w:rPr>
                <w:rFonts w:hint="eastAsia" w:ascii="宋体" w:hAnsi="宋体"/>
                <w:szCs w:val="21"/>
              </w:rPr>
            </w:pPr>
            <w:r>
              <w:rPr>
                <w:rFonts w:ascii="宋体" w:hAnsi="宋体"/>
                <w:szCs w:val="21"/>
              </w:rPr>
              <w:t>备注</w:t>
            </w:r>
          </w:p>
        </w:tc>
      </w:tr>
      <w:tr w14:paraId="0C2F182F">
        <w:tblPrEx>
          <w:tblBorders>
            <w:top w:val="single" w:color="auto" w:sz="12" w:space="0"/>
            <w:left w:val="single" w:color="auto" w:sz="12" w:space="0"/>
            <w:bottom w:val="single" w:color="auto" w:sz="12" w:space="0"/>
            <w:right w:val="single" w:color="auto" w:sz="12" w:space="0"/>
            <w:insideH w:val="single" w:color="auto" w:sz="6" w:space="0"/>
            <w:insideV w:val="single" w:color="auto" w:sz="4" w:space="0"/>
          </w:tblBorders>
          <w:tblCellMar>
            <w:top w:w="0" w:type="dxa"/>
            <w:left w:w="0" w:type="dxa"/>
            <w:bottom w:w="0" w:type="dxa"/>
            <w:right w:w="0" w:type="dxa"/>
          </w:tblCellMar>
        </w:tblPrEx>
        <w:trPr>
          <w:trHeight w:val="358" w:hRule="atLeast"/>
          <w:jc w:val="center"/>
        </w:trPr>
        <w:tc>
          <w:tcPr>
            <w:tcW w:w="1091" w:type="dxa"/>
            <w:vMerge w:val="restart"/>
            <w:tcBorders>
              <w:tl2br w:val="nil"/>
              <w:tr2bl w:val="nil"/>
            </w:tcBorders>
            <w:vAlign w:val="center"/>
          </w:tcPr>
          <w:p w14:paraId="72155CDA">
            <w:pPr>
              <w:spacing w:line="260" w:lineRule="exact"/>
              <w:jc w:val="center"/>
              <w:rPr>
                <w:rFonts w:hint="eastAsia" w:ascii="宋体" w:hAnsi="宋体"/>
                <w:szCs w:val="21"/>
              </w:rPr>
            </w:pPr>
            <w:r>
              <w:rPr>
                <w:rFonts w:ascii="宋体" w:hAnsi="宋体"/>
                <w:szCs w:val="21"/>
              </w:rPr>
              <w:t>主体工程</w:t>
            </w:r>
          </w:p>
        </w:tc>
        <w:tc>
          <w:tcPr>
            <w:tcW w:w="1448" w:type="dxa"/>
            <w:tcBorders>
              <w:tl2br w:val="nil"/>
              <w:tr2bl w:val="nil"/>
            </w:tcBorders>
            <w:vAlign w:val="center"/>
          </w:tcPr>
          <w:p w14:paraId="3898111B">
            <w:pPr>
              <w:spacing w:line="260" w:lineRule="exact"/>
              <w:jc w:val="center"/>
              <w:rPr>
                <w:rFonts w:hint="eastAsia" w:ascii="宋体" w:hAnsi="宋体"/>
                <w:szCs w:val="21"/>
              </w:rPr>
            </w:pPr>
            <w:r>
              <w:rPr>
                <w:rFonts w:ascii="宋体" w:hAnsi="宋体"/>
                <w:szCs w:val="21"/>
              </w:rPr>
              <w:t>生产车间</w:t>
            </w:r>
          </w:p>
        </w:tc>
        <w:tc>
          <w:tcPr>
            <w:tcW w:w="2486" w:type="dxa"/>
            <w:tcBorders>
              <w:tl2br w:val="nil"/>
              <w:tr2bl w:val="nil"/>
            </w:tcBorders>
            <w:vAlign w:val="center"/>
          </w:tcPr>
          <w:p w14:paraId="3CD500AA">
            <w:pPr>
              <w:spacing w:line="260" w:lineRule="exact"/>
              <w:jc w:val="center"/>
              <w:rPr>
                <w:rFonts w:hint="eastAsia" w:ascii="宋体" w:hAnsi="宋体"/>
                <w:szCs w:val="21"/>
              </w:rPr>
            </w:pPr>
            <w:r>
              <w:rPr>
                <w:rFonts w:hint="eastAsia" w:ascii="宋体" w:hAnsi="宋体"/>
                <w:szCs w:val="21"/>
              </w:rPr>
              <w:t>1</w:t>
            </w:r>
            <w:r>
              <w:rPr>
                <w:rFonts w:hint="eastAsia" w:ascii="宋体" w:hAnsi="宋体"/>
                <w:szCs w:val="21"/>
                <w:lang w:eastAsia="zh-CN"/>
              </w:rPr>
              <w:t>栋</w:t>
            </w:r>
            <w:r>
              <w:rPr>
                <w:rFonts w:hint="eastAsia" w:ascii="宋体" w:hAnsi="宋体"/>
                <w:szCs w:val="21"/>
              </w:rPr>
              <w:t>钢结构，</w:t>
            </w:r>
            <w:r>
              <w:rPr>
                <w:rFonts w:ascii="宋体" w:hAnsi="宋体"/>
                <w:szCs w:val="21"/>
              </w:rPr>
              <w:t>建筑面积</w:t>
            </w:r>
            <w:r>
              <w:rPr>
                <w:rFonts w:hint="eastAsia" w:ascii="宋体" w:hAnsi="宋体"/>
                <w:szCs w:val="21"/>
              </w:rPr>
              <w:t>854</w:t>
            </w:r>
            <w:r>
              <w:rPr>
                <w:rFonts w:ascii="宋体" w:hAnsi="宋体"/>
                <w:szCs w:val="21"/>
              </w:rPr>
              <w:t>m</w:t>
            </w:r>
            <w:r>
              <w:rPr>
                <w:rFonts w:ascii="宋体" w:hAnsi="宋体"/>
                <w:szCs w:val="21"/>
                <w:vertAlign w:val="superscript"/>
              </w:rPr>
              <w:t>2</w:t>
            </w:r>
          </w:p>
        </w:tc>
        <w:tc>
          <w:tcPr>
            <w:tcW w:w="2962" w:type="dxa"/>
            <w:tcBorders>
              <w:tl2br w:val="nil"/>
              <w:tr2bl w:val="nil"/>
            </w:tcBorders>
            <w:vAlign w:val="center"/>
          </w:tcPr>
          <w:p w14:paraId="52875B04">
            <w:pPr>
              <w:spacing w:line="260" w:lineRule="exact"/>
              <w:jc w:val="center"/>
              <w:rPr>
                <w:rFonts w:hint="eastAsia" w:ascii="宋体" w:hAnsi="宋体" w:eastAsia="宋体"/>
                <w:szCs w:val="21"/>
                <w:lang w:eastAsia="zh-CN"/>
              </w:rPr>
            </w:pPr>
            <w:r>
              <w:rPr>
                <w:rFonts w:hint="eastAsia" w:ascii="宋体" w:hAnsi="宋体"/>
                <w:szCs w:val="21"/>
                <w:lang w:eastAsia="zh-CN"/>
              </w:rPr>
              <w:t>封闭式</w:t>
            </w:r>
          </w:p>
        </w:tc>
        <w:tc>
          <w:tcPr>
            <w:tcW w:w="1091" w:type="dxa"/>
            <w:tcBorders>
              <w:tl2br w:val="nil"/>
              <w:tr2bl w:val="nil"/>
            </w:tcBorders>
            <w:vAlign w:val="center"/>
          </w:tcPr>
          <w:p w14:paraId="2DBB7974">
            <w:pPr>
              <w:widowControl/>
              <w:spacing w:line="260" w:lineRule="exact"/>
              <w:jc w:val="center"/>
              <w:rPr>
                <w:rFonts w:hint="eastAsia" w:ascii="宋体" w:hAnsi="宋体"/>
                <w:szCs w:val="21"/>
              </w:rPr>
            </w:pPr>
            <w:r>
              <w:rPr>
                <w:rFonts w:hint="eastAsia" w:ascii="宋体" w:hAnsi="宋体"/>
                <w:szCs w:val="21"/>
              </w:rPr>
              <w:t>租用现有</w:t>
            </w:r>
          </w:p>
        </w:tc>
      </w:tr>
      <w:tr w14:paraId="06CD4DA3">
        <w:tblPrEx>
          <w:tblBorders>
            <w:top w:val="single" w:color="auto" w:sz="12" w:space="0"/>
            <w:left w:val="single" w:color="auto" w:sz="12" w:space="0"/>
            <w:bottom w:val="single" w:color="auto" w:sz="12" w:space="0"/>
            <w:right w:val="single" w:color="auto" w:sz="12" w:space="0"/>
            <w:insideH w:val="single" w:color="auto" w:sz="6" w:space="0"/>
            <w:insideV w:val="single" w:color="auto" w:sz="4" w:space="0"/>
          </w:tblBorders>
          <w:tblCellMar>
            <w:top w:w="0" w:type="dxa"/>
            <w:left w:w="0" w:type="dxa"/>
            <w:bottom w:w="0" w:type="dxa"/>
            <w:right w:w="0" w:type="dxa"/>
          </w:tblCellMar>
        </w:tblPrEx>
        <w:trPr>
          <w:trHeight w:val="358" w:hRule="atLeast"/>
          <w:jc w:val="center"/>
        </w:trPr>
        <w:tc>
          <w:tcPr>
            <w:tcW w:w="1091" w:type="dxa"/>
            <w:vMerge w:val="continue"/>
            <w:tcBorders>
              <w:tl2br w:val="nil"/>
              <w:tr2bl w:val="nil"/>
            </w:tcBorders>
            <w:vAlign w:val="center"/>
          </w:tcPr>
          <w:p w14:paraId="05BF69AB">
            <w:pPr>
              <w:spacing w:line="260" w:lineRule="exact"/>
              <w:jc w:val="center"/>
              <w:rPr>
                <w:rFonts w:hint="eastAsia" w:ascii="宋体" w:hAnsi="宋体"/>
                <w:szCs w:val="21"/>
              </w:rPr>
            </w:pPr>
          </w:p>
        </w:tc>
        <w:tc>
          <w:tcPr>
            <w:tcW w:w="1448" w:type="dxa"/>
            <w:tcBorders>
              <w:tl2br w:val="nil"/>
              <w:tr2bl w:val="nil"/>
            </w:tcBorders>
            <w:vAlign w:val="center"/>
          </w:tcPr>
          <w:p w14:paraId="1B456724">
            <w:pPr>
              <w:spacing w:line="260" w:lineRule="exact"/>
              <w:jc w:val="center"/>
              <w:rPr>
                <w:rFonts w:hint="eastAsia" w:ascii="宋体" w:hAnsi="宋体"/>
                <w:szCs w:val="21"/>
              </w:rPr>
            </w:pPr>
            <w:r>
              <w:rPr>
                <w:rFonts w:ascii="宋体" w:hAnsi="宋体"/>
                <w:szCs w:val="21"/>
              </w:rPr>
              <w:t>职工</w:t>
            </w:r>
            <w:r>
              <w:rPr>
                <w:rFonts w:hint="eastAsia" w:ascii="宋体" w:hAnsi="宋体"/>
                <w:szCs w:val="21"/>
                <w:lang w:eastAsia="zh-CN"/>
              </w:rPr>
              <w:t>倒班</w:t>
            </w:r>
            <w:r>
              <w:rPr>
                <w:rFonts w:hint="eastAsia" w:ascii="宋体" w:hAnsi="宋体"/>
                <w:szCs w:val="21"/>
              </w:rPr>
              <w:t>宿舍</w:t>
            </w:r>
          </w:p>
        </w:tc>
        <w:tc>
          <w:tcPr>
            <w:tcW w:w="2486" w:type="dxa"/>
            <w:tcBorders>
              <w:tl2br w:val="nil"/>
              <w:tr2bl w:val="nil"/>
            </w:tcBorders>
            <w:vAlign w:val="center"/>
          </w:tcPr>
          <w:p w14:paraId="50929563">
            <w:pPr>
              <w:spacing w:line="260" w:lineRule="exact"/>
              <w:jc w:val="center"/>
              <w:rPr>
                <w:rFonts w:hint="eastAsia" w:ascii="宋体" w:hAnsi="宋体"/>
                <w:szCs w:val="21"/>
              </w:rPr>
            </w:pPr>
            <w:r>
              <w:rPr>
                <w:rFonts w:hint="eastAsia" w:ascii="宋体" w:hAnsi="宋体"/>
                <w:szCs w:val="21"/>
              </w:rPr>
              <w:t>2间砖混结构，建筑面积60m</w:t>
            </w:r>
            <w:r>
              <w:rPr>
                <w:rFonts w:hint="eastAsia" w:ascii="宋体" w:hAnsi="宋体"/>
                <w:szCs w:val="21"/>
                <w:vertAlign w:val="superscript"/>
              </w:rPr>
              <w:t>2</w:t>
            </w:r>
          </w:p>
        </w:tc>
        <w:tc>
          <w:tcPr>
            <w:tcW w:w="2962" w:type="dxa"/>
            <w:tcBorders>
              <w:tl2br w:val="nil"/>
              <w:tr2bl w:val="nil"/>
            </w:tcBorders>
            <w:vAlign w:val="center"/>
          </w:tcPr>
          <w:p w14:paraId="2279D17B">
            <w:pPr>
              <w:spacing w:line="260" w:lineRule="exact"/>
              <w:jc w:val="center"/>
              <w:rPr>
                <w:rFonts w:hint="eastAsia" w:ascii="宋体" w:hAnsi="宋体"/>
                <w:szCs w:val="21"/>
              </w:rPr>
            </w:pPr>
            <w:r>
              <w:rPr>
                <w:rFonts w:hint="eastAsia" w:ascii="宋体" w:hAnsi="宋体"/>
                <w:szCs w:val="21"/>
              </w:rPr>
              <w:t>/</w:t>
            </w:r>
          </w:p>
        </w:tc>
        <w:tc>
          <w:tcPr>
            <w:tcW w:w="1091" w:type="dxa"/>
            <w:tcBorders>
              <w:tl2br w:val="nil"/>
              <w:tr2bl w:val="nil"/>
            </w:tcBorders>
            <w:vAlign w:val="center"/>
          </w:tcPr>
          <w:p w14:paraId="36661F58">
            <w:pPr>
              <w:widowControl/>
              <w:spacing w:line="260" w:lineRule="exact"/>
              <w:jc w:val="center"/>
              <w:rPr>
                <w:rFonts w:hint="eastAsia" w:ascii="宋体" w:hAnsi="宋体"/>
                <w:szCs w:val="21"/>
              </w:rPr>
            </w:pPr>
            <w:r>
              <w:rPr>
                <w:rFonts w:hint="eastAsia" w:ascii="宋体" w:hAnsi="宋体"/>
                <w:szCs w:val="21"/>
              </w:rPr>
              <w:t>租用现有</w:t>
            </w:r>
          </w:p>
        </w:tc>
      </w:tr>
      <w:tr w14:paraId="74539B73">
        <w:tblPrEx>
          <w:tblBorders>
            <w:top w:val="single" w:color="auto" w:sz="12" w:space="0"/>
            <w:left w:val="single" w:color="auto" w:sz="12" w:space="0"/>
            <w:bottom w:val="single" w:color="auto" w:sz="12" w:space="0"/>
            <w:right w:val="single" w:color="auto" w:sz="12" w:space="0"/>
            <w:insideH w:val="single" w:color="auto" w:sz="6" w:space="0"/>
            <w:insideV w:val="single" w:color="auto" w:sz="4" w:space="0"/>
          </w:tblBorders>
          <w:tblCellMar>
            <w:top w:w="0" w:type="dxa"/>
            <w:left w:w="0" w:type="dxa"/>
            <w:bottom w:w="0" w:type="dxa"/>
            <w:right w:w="0" w:type="dxa"/>
          </w:tblCellMar>
        </w:tblPrEx>
        <w:trPr>
          <w:trHeight w:val="183" w:hRule="atLeast"/>
          <w:jc w:val="center"/>
        </w:trPr>
        <w:tc>
          <w:tcPr>
            <w:tcW w:w="1091" w:type="dxa"/>
            <w:vMerge w:val="restart"/>
            <w:tcBorders>
              <w:tl2br w:val="nil"/>
              <w:tr2bl w:val="nil"/>
            </w:tcBorders>
            <w:vAlign w:val="center"/>
          </w:tcPr>
          <w:p w14:paraId="0F1A41D7">
            <w:pPr>
              <w:spacing w:line="260" w:lineRule="exact"/>
              <w:jc w:val="center"/>
              <w:rPr>
                <w:rFonts w:hint="eastAsia" w:ascii="宋体" w:hAnsi="宋体"/>
                <w:szCs w:val="21"/>
              </w:rPr>
            </w:pPr>
            <w:r>
              <w:rPr>
                <w:rFonts w:ascii="宋体" w:hAnsi="宋体"/>
                <w:szCs w:val="21"/>
              </w:rPr>
              <w:t>辅助工程</w:t>
            </w:r>
          </w:p>
        </w:tc>
        <w:tc>
          <w:tcPr>
            <w:tcW w:w="1448" w:type="dxa"/>
            <w:tcBorders>
              <w:tl2br w:val="nil"/>
              <w:tr2bl w:val="nil"/>
            </w:tcBorders>
            <w:vAlign w:val="center"/>
          </w:tcPr>
          <w:p w14:paraId="7D5C96D0">
            <w:pPr>
              <w:spacing w:line="260" w:lineRule="exact"/>
              <w:jc w:val="center"/>
              <w:rPr>
                <w:rFonts w:hint="default" w:ascii="宋体" w:hAnsi="宋体" w:eastAsia="宋体"/>
                <w:color w:val="000000" w:themeColor="text1"/>
                <w:szCs w:val="21"/>
                <w:lang w:val="en-US" w:eastAsia="zh-CN"/>
                <w14:textFill>
                  <w14:solidFill>
                    <w14:schemeClr w14:val="tx1"/>
                  </w14:solidFill>
                </w14:textFill>
              </w:rPr>
            </w:pPr>
            <w:r>
              <w:rPr>
                <w:rFonts w:hint="eastAsia" w:ascii="宋体" w:hAnsi="宋体"/>
                <w:szCs w:val="21"/>
                <w:lang w:eastAsia="zh-CN"/>
              </w:rPr>
              <w:t>防渗</w:t>
            </w:r>
            <w:r>
              <w:rPr>
                <w:rFonts w:hint="eastAsia" w:ascii="宋体" w:hAnsi="宋体"/>
                <w:szCs w:val="21"/>
                <w:lang w:val="en-US" w:eastAsia="zh-CN"/>
              </w:rPr>
              <w:t>化粪池</w:t>
            </w:r>
          </w:p>
        </w:tc>
        <w:tc>
          <w:tcPr>
            <w:tcW w:w="2486" w:type="dxa"/>
            <w:tcBorders>
              <w:tl2br w:val="nil"/>
              <w:tr2bl w:val="nil"/>
            </w:tcBorders>
            <w:vAlign w:val="center"/>
          </w:tcPr>
          <w:p w14:paraId="6412B53A">
            <w:pPr>
              <w:spacing w:line="260" w:lineRule="exact"/>
              <w:jc w:val="center"/>
              <w:rPr>
                <w:rFonts w:hint="eastAsia" w:ascii="宋体" w:hAnsi="宋体"/>
                <w:color w:val="000000" w:themeColor="text1"/>
                <w:szCs w:val="21"/>
                <w14:textFill>
                  <w14:solidFill>
                    <w14:schemeClr w14:val="tx1"/>
                  </w14:solidFill>
                </w14:textFill>
              </w:rPr>
            </w:pPr>
            <w:r>
              <w:rPr>
                <w:rFonts w:hint="eastAsia" w:ascii="宋体" w:hAnsi="宋体"/>
                <w:szCs w:val="21"/>
                <w:lang w:val="en-US" w:eastAsia="zh-CN"/>
              </w:rPr>
              <w:t>10</w:t>
            </w:r>
            <w:r>
              <w:rPr>
                <w:rFonts w:ascii="宋体" w:hAnsi="宋体"/>
                <w:szCs w:val="21"/>
              </w:rPr>
              <w:t>m</w:t>
            </w:r>
            <w:r>
              <w:rPr>
                <w:rFonts w:ascii="宋体" w:hAnsi="宋体"/>
                <w:szCs w:val="21"/>
                <w:vertAlign w:val="superscript"/>
              </w:rPr>
              <w:t>3</w:t>
            </w:r>
          </w:p>
        </w:tc>
        <w:tc>
          <w:tcPr>
            <w:tcW w:w="2962" w:type="dxa"/>
            <w:tcBorders>
              <w:tl2br w:val="nil"/>
              <w:tr2bl w:val="nil"/>
            </w:tcBorders>
            <w:vAlign w:val="center"/>
          </w:tcPr>
          <w:p w14:paraId="3CBF6217">
            <w:pPr>
              <w:spacing w:line="260" w:lineRule="exact"/>
              <w:jc w:val="center"/>
              <w:rPr>
                <w:rFonts w:hint="eastAsia" w:ascii="宋体" w:hAnsi="宋体"/>
                <w:color w:val="000000" w:themeColor="text1"/>
                <w:szCs w:val="21"/>
                <w14:textFill>
                  <w14:solidFill>
                    <w14:schemeClr w14:val="tx1"/>
                  </w14:solidFill>
                </w14:textFill>
              </w:rPr>
            </w:pPr>
            <w:r>
              <w:rPr>
                <w:rFonts w:ascii="宋体" w:hAnsi="宋体"/>
                <w:szCs w:val="21"/>
              </w:rPr>
              <w:t>防渗处理</w:t>
            </w:r>
          </w:p>
        </w:tc>
        <w:tc>
          <w:tcPr>
            <w:tcW w:w="1091" w:type="dxa"/>
            <w:tcBorders>
              <w:tl2br w:val="nil"/>
              <w:tr2bl w:val="nil"/>
            </w:tcBorders>
            <w:vAlign w:val="center"/>
          </w:tcPr>
          <w:p w14:paraId="1522D50A">
            <w:pPr>
              <w:widowControl/>
              <w:spacing w:line="260" w:lineRule="exact"/>
              <w:jc w:val="center"/>
              <w:rPr>
                <w:rFonts w:hint="eastAsia" w:ascii="宋体" w:hAnsi="宋体"/>
                <w:szCs w:val="21"/>
              </w:rPr>
            </w:pPr>
            <w:r>
              <w:rPr>
                <w:rFonts w:hint="eastAsia" w:ascii="宋体" w:hAnsi="宋体"/>
                <w:szCs w:val="21"/>
                <w:lang w:eastAsia="zh-CN"/>
              </w:rPr>
              <w:t>利</w:t>
            </w:r>
            <w:r>
              <w:rPr>
                <w:rFonts w:hint="eastAsia" w:ascii="宋体" w:hAnsi="宋体"/>
                <w:szCs w:val="21"/>
              </w:rPr>
              <w:t>用现有</w:t>
            </w:r>
          </w:p>
        </w:tc>
      </w:tr>
      <w:tr w14:paraId="6A5DC2E2">
        <w:tblPrEx>
          <w:tblBorders>
            <w:top w:val="single" w:color="auto" w:sz="12" w:space="0"/>
            <w:left w:val="single" w:color="auto" w:sz="12" w:space="0"/>
            <w:bottom w:val="single" w:color="auto" w:sz="12" w:space="0"/>
            <w:right w:val="single" w:color="auto" w:sz="12" w:space="0"/>
            <w:insideH w:val="single" w:color="auto" w:sz="6" w:space="0"/>
            <w:insideV w:val="single" w:color="auto" w:sz="4" w:space="0"/>
          </w:tblBorders>
          <w:tblCellMar>
            <w:top w:w="0" w:type="dxa"/>
            <w:left w:w="0" w:type="dxa"/>
            <w:bottom w:w="0" w:type="dxa"/>
            <w:right w:w="0" w:type="dxa"/>
          </w:tblCellMar>
        </w:tblPrEx>
        <w:trPr>
          <w:trHeight w:val="183" w:hRule="atLeast"/>
          <w:jc w:val="center"/>
        </w:trPr>
        <w:tc>
          <w:tcPr>
            <w:tcW w:w="1091" w:type="dxa"/>
            <w:vMerge w:val="continue"/>
            <w:tcBorders>
              <w:tl2br w:val="nil"/>
              <w:tr2bl w:val="nil"/>
            </w:tcBorders>
            <w:vAlign w:val="center"/>
          </w:tcPr>
          <w:p w14:paraId="2F9281DD">
            <w:pPr>
              <w:spacing w:line="260" w:lineRule="exact"/>
              <w:jc w:val="center"/>
              <w:rPr>
                <w:rFonts w:ascii="宋体" w:hAnsi="宋体"/>
                <w:szCs w:val="21"/>
              </w:rPr>
            </w:pPr>
          </w:p>
        </w:tc>
        <w:tc>
          <w:tcPr>
            <w:tcW w:w="1448" w:type="dxa"/>
            <w:tcBorders>
              <w:tl2br w:val="nil"/>
              <w:tr2bl w:val="nil"/>
            </w:tcBorders>
            <w:vAlign w:val="center"/>
          </w:tcPr>
          <w:p w14:paraId="149E5197">
            <w:pPr>
              <w:spacing w:line="260" w:lineRule="exact"/>
              <w:jc w:val="center"/>
              <w:rPr>
                <w:rFonts w:hint="eastAsia" w:ascii="宋体" w:hAnsi="宋体" w:eastAsia="宋体"/>
                <w:szCs w:val="21"/>
                <w:lang w:eastAsia="zh-CN"/>
              </w:rPr>
            </w:pPr>
            <w:r>
              <w:rPr>
                <w:rFonts w:hint="eastAsia" w:ascii="宋体" w:hAnsi="宋体"/>
                <w:szCs w:val="21"/>
                <w:lang w:eastAsia="zh-CN"/>
              </w:rPr>
              <w:t>消防水池</w:t>
            </w:r>
          </w:p>
        </w:tc>
        <w:tc>
          <w:tcPr>
            <w:tcW w:w="2486" w:type="dxa"/>
            <w:tcBorders>
              <w:tl2br w:val="nil"/>
              <w:tr2bl w:val="nil"/>
            </w:tcBorders>
            <w:vAlign w:val="center"/>
          </w:tcPr>
          <w:p w14:paraId="3A40819C">
            <w:pPr>
              <w:spacing w:line="260" w:lineRule="exact"/>
              <w:jc w:val="center"/>
              <w:rPr>
                <w:rFonts w:hint="eastAsia" w:ascii="宋体" w:hAnsi="宋体"/>
                <w:szCs w:val="21"/>
              </w:rPr>
            </w:pPr>
            <w:r>
              <w:rPr>
                <w:rFonts w:hint="eastAsia" w:ascii="宋体" w:hAnsi="宋体"/>
                <w:szCs w:val="21"/>
                <w:lang w:val="en-US" w:eastAsia="zh-CN"/>
              </w:rPr>
              <w:t>80</w:t>
            </w:r>
            <w:r>
              <w:rPr>
                <w:rFonts w:ascii="宋体" w:hAnsi="宋体"/>
                <w:szCs w:val="21"/>
              </w:rPr>
              <w:t>m</w:t>
            </w:r>
            <w:r>
              <w:rPr>
                <w:rFonts w:ascii="宋体" w:hAnsi="宋体"/>
                <w:szCs w:val="21"/>
                <w:vertAlign w:val="superscript"/>
              </w:rPr>
              <w:t>3</w:t>
            </w:r>
          </w:p>
        </w:tc>
        <w:tc>
          <w:tcPr>
            <w:tcW w:w="2962" w:type="dxa"/>
            <w:tcBorders>
              <w:tl2br w:val="nil"/>
              <w:tr2bl w:val="nil"/>
            </w:tcBorders>
            <w:vAlign w:val="center"/>
          </w:tcPr>
          <w:p w14:paraId="35D9144E">
            <w:pPr>
              <w:spacing w:line="260" w:lineRule="exact"/>
              <w:jc w:val="center"/>
              <w:rPr>
                <w:rFonts w:ascii="宋体" w:hAnsi="宋体"/>
                <w:szCs w:val="21"/>
              </w:rPr>
            </w:pPr>
            <w:r>
              <w:rPr>
                <w:rFonts w:ascii="宋体" w:hAnsi="宋体"/>
                <w:szCs w:val="21"/>
              </w:rPr>
              <w:t>防渗处理</w:t>
            </w:r>
          </w:p>
        </w:tc>
        <w:tc>
          <w:tcPr>
            <w:tcW w:w="1091" w:type="dxa"/>
            <w:tcBorders>
              <w:tl2br w:val="nil"/>
              <w:tr2bl w:val="nil"/>
            </w:tcBorders>
            <w:vAlign w:val="center"/>
          </w:tcPr>
          <w:p w14:paraId="40D57823">
            <w:pPr>
              <w:widowControl/>
              <w:spacing w:line="260" w:lineRule="exact"/>
              <w:jc w:val="center"/>
              <w:rPr>
                <w:rFonts w:hint="eastAsia" w:ascii="宋体" w:hAnsi="宋体"/>
                <w:szCs w:val="21"/>
              </w:rPr>
            </w:pPr>
            <w:r>
              <w:rPr>
                <w:rFonts w:hint="eastAsia" w:ascii="宋体" w:hAnsi="宋体"/>
                <w:szCs w:val="21"/>
              </w:rPr>
              <w:t>利用现有</w:t>
            </w:r>
          </w:p>
        </w:tc>
      </w:tr>
      <w:tr w14:paraId="6040E4B7">
        <w:tblPrEx>
          <w:tblBorders>
            <w:top w:val="single" w:color="auto" w:sz="12" w:space="0"/>
            <w:left w:val="single" w:color="auto" w:sz="12" w:space="0"/>
            <w:bottom w:val="single" w:color="auto" w:sz="12" w:space="0"/>
            <w:right w:val="single" w:color="auto" w:sz="12" w:space="0"/>
            <w:insideH w:val="single" w:color="auto" w:sz="6" w:space="0"/>
            <w:insideV w:val="single" w:color="auto" w:sz="4" w:space="0"/>
          </w:tblBorders>
          <w:tblCellMar>
            <w:top w:w="0" w:type="dxa"/>
            <w:left w:w="0" w:type="dxa"/>
            <w:bottom w:w="0" w:type="dxa"/>
            <w:right w:w="0" w:type="dxa"/>
          </w:tblCellMar>
        </w:tblPrEx>
        <w:trPr>
          <w:trHeight w:val="183" w:hRule="atLeast"/>
          <w:jc w:val="center"/>
        </w:trPr>
        <w:tc>
          <w:tcPr>
            <w:tcW w:w="1091" w:type="dxa"/>
            <w:vMerge w:val="continue"/>
            <w:tcBorders>
              <w:tl2br w:val="nil"/>
              <w:tr2bl w:val="nil"/>
            </w:tcBorders>
            <w:vAlign w:val="center"/>
          </w:tcPr>
          <w:p w14:paraId="5C3CBF7F">
            <w:pPr>
              <w:spacing w:line="260" w:lineRule="exact"/>
              <w:jc w:val="center"/>
              <w:rPr>
                <w:rFonts w:ascii="宋体" w:hAnsi="宋体"/>
                <w:szCs w:val="21"/>
              </w:rPr>
            </w:pPr>
          </w:p>
        </w:tc>
        <w:tc>
          <w:tcPr>
            <w:tcW w:w="1448" w:type="dxa"/>
            <w:tcBorders>
              <w:tl2br w:val="nil"/>
              <w:tr2bl w:val="nil"/>
            </w:tcBorders>
            <w:vAlign w:val="center"/>
          </w:tcPr>
          <w:p w14:paraId="272D9A3D">
            <w:pPr>
              <w:spacing w:line="260" w:lineRule="exact"/>
              <w:jc w:val="center"/>
              <w:rPr>
                <w:rFonts w:hint="eastAsia" w:ascii="宋体" w:hAnsi="宋体"/>
                <w:szCs w:val="21"/>
                <w:lang w:eastAsia="zh-CN"/>
              </w:rPr>
            </w:pPr>
            <w:r>
              <w:rPr>
                <w:rFonts w:hint="eastAsia" w:ascii="宋体" w:hAnsi="宋体"/>
                <w:szCs w:val="21"/>
                <w:lang w:eastAsia="zh-CN"/>
              </w:rPr>
              <w:t>事故池</w:t>
            </w:r>
          </w:p>
        </w:tc>
        <w:tc>
          <w:tcPr>
            <w:tcW w:w="2486" w:type="dxa"/>
            <w:tcBorders>
              <w:tl2br w:val="nil"/>
              <w:tr2bl w:val="nil"/>
            </w:tcBorders>
            <w:vAlign w:val="center"/>
          </w:tcPr>
          <w:p w14:paraId="2810C445">
            <w:pPr>
              <w:spacing w:line="260" w:lineRule="exact"/>
              <w:jc w:val="center"/>
              <w:rPr>
                <w:rFonts w:hint="eastAsia" w:ascii="宋体" w:hAnsi="宋体"/>
                <w:szCs w:val="21"/>
                <w:lang w:val="en-US" w:eastAsia="zh-CN"/>
              </w:rPr>
            </w:pPr>
            <w:r>
              <w:rPr>
                <w:rFonts w:hint="eastAsia" w:ascii="宋体" w:hAnsi="宋体"/>
                <w:szCs w:val="21"/>
                <w:lang w:val="en-US" w:eastAsia="zh-CN"/>
              </w:rPr>
              <w:t>40</w:t>
            </w:r>
            <w:r>
              <w:rPr>
                <w:rFonts w:ascii="宋体" w:hAnsi="宋体"/>
                <w:szCs w:val="21"/>
              </w:rPr>
              <w:t>m</w:t>
            </w:r>
            <w:r>
              <w:rPr>
                <w:rFonts w:ascii="宋体" w:hAnsi="宋体"/>
                <w:szCs w:val="21"/>
                <w:vertAlign w:val="superscript"/>
              </w:rPr>
              <w:t>3</w:t>
            </w:r>
          </w:p>
        </w:tc>
        <w:tc>
          <w:tcPr>
            <w:tcW w:w="2962" w:type="dxa"/>
            <w:tcBorders>
              <w:tl2br w:val="nil"/>
              <w:tr2bl w:val="nil"/>
            </w:tcBorders>
            <w:vAlign w:val="center"/>
          </w:tcPr>
          <w:p w14:paraId="00F0887A">
            <w:pPr>
              <w:spacing w:line="260" w:lineRule="exact"/>
              <w:jc w:val="center"/>
              <w:rPr>
                <w:rFonts w:ascii="宋体" w:hAnsi="宋体"/>
                <w:szCs w:val="21"/>
              </w:rPr>
            </w:pPr>
            <w:r>
              <w:rPr>
                <w:rFonts w:ascii="宋体" w:hAnsi="宋体"/>
                <w:szCs w:val="21"/>
              </w:rPr>
              <w:t>防渗处理</w:t>
            </w:r>
          </w:p>
        </w:tc>
        <w:tc>
          <w:tcPr>
            <w:tcW w:w="1091" w:type="dxa"/>
            <w:tcBorders>
              <w:tl2br w:val="nil"/>
              <w:tr2bl w:val="nil"/>
            </w:tcBorders>
            <w:vAlign w:val="center"/>
          </w:tcPr>
          <w:p w14:paraId="5AB17E28">
            <w:pPr>
              <w:widowControl/>
              <w:spacing w:line="260" w:lineRule="exact"/>
              <w:jc w:val="center"/>
              <w:rPr>
                <w:rFonts w:hint="eastAsia" w:ascii="宋体" w:hAnsi="宋体"/>
                <w:szCs w:val="21"/>
              </w:rPr>
            </w:pPr>
            <w:r>
              <w:rPr>
                <w:rFonts w:hint="eastAsia" w:ascii="宋体" w:hAnsi="宋体"/>
                <w:szCs w:val="21"/>
              </w:rPr>
              <w:t>利用现有</w:t>
            </w:r>
          </w:p>
        </w:tc>
      </w:tr>
      <w:tr w14:paraId="2B20734C">
        <w:tblPrEx>
          <w:tblBorders>
            <w:top w:val="single" w:color="auto" w:sz="12" w:space="0"/>
            <w:left w:val="single" w:color="auto" w:sz="12" w:space="0"/>
            <w:bottom w:val="single" w:color="auto" w:sz="12" w:space="0"/>
            <w:right w:val="single" w:color="auto" w:sz="12" w:space="0"/>
            <w:insideH w:val="single" w:color="auto" w:sz="6" w:space="0"/>
            <w:insideV w:val="single" w:color="auto" w:sz="4" w:space="0"/>
          </w:tblBorders>
          <w:tblCellMar>
            <w:top w:w="0" w:type="dxa"/>
            <w:left w:w="0" w:type="dxa"/>
            <w:bottom w:w="0" w:type="dxa"/>
            <w:right w:w="0" w:type="dxa"/>
          </w:tblCellMar>
        </w:tblPrEx>
        <w:trPr>
          <w:trHeight w:val="183" w:hRule="atLeast"/>
          <w:jc w:val="center"/>
        </w:trPr>
        <w:tc>
          <w:tcPr>
            <w:tcW w:w="1091" w:type="dxa"/>
            <w:vMerge w:val="continue"/>
            <w:tcBorders>
              <w:tl2br w:val="nil"/>
              <w:tr2bl w:val="nil"/>
            </w:tcBorders>
            <w:vAlign w:val="center"/>
          </w:tcPr>
          <w:p w14:paraId="32EB1BC2">
            <w:pPr>
              <w:spacing w:line="260" w:lineRule="exact"/>
              <w:jc w:val="center"/>
              <w:rPr>
                <w:rFonts w:ascii="宋体" w:hAnsi="宋体"/>
                <w:szCs w:val="21"/>
              </w:rPr>
            </w:pPr>
          </w:p>
        </w:tc>
        <w:tc>
          <w:tcPr>
            <w:tcW w:w="1448" w:type="dxa"/>
            <w:tcBorders>
              <w:tl2br w:val="nil"/>
              <w:tr2bl w:val="nil"/>
            </w:tcBorders>
            <w:vAlign w:val="center"/>
          </w:tcPr>
          <w:p w14:paraId="01E280BA">
            <w:pPr>
              <w:spacing w:line="260" w:lineRule="exact"/>
              <w:jc w:val="center"/>
              <w:rPr>
                <w:rFonts w:hint="eastAsia" w:ascii="宋体" w:hAnsi="宋体"/>
                <w:szCs w:val="21"/>
                <w:lang w:eastAsia="zh-CN"/>
              </w:rPr>
            </w:pPr>
            <w:r>
              <w:rPr>
                <w:rFonts w:hint="eastAsia" w:ascii="宋体" w:hAnsi="宋体"/>
                <w:szCs w:val="21"/>
                <w:lang w:eastAsia="zh-CN"/>
              </w:rPr>
              <w:t>食堂</w:t>
            </w:r>
          </w:p>
        </w:tc>
        <w:tc>
          <w:tcPr>
            <w:tcW w:w="2486" w:type="dxa"/>
            <w:tcBorders>
              <w:tl2br w:val="nil"/>
              <w:tr2bl w:val="nil"/>
            </w:tcBorders>
            <w:vAlign w:val="center"/>
          </w:tcPr>
          <w:p w14:paraId="1298C119">
            <w:pPr>
              <w:spacing w:line="260" w:lineRule="exact"/>
              <w:jc w:val="center"/>
              <w:rPr>
                <w:rFonts w:hint="eastAsia" w:ascii="宋体" w:hAnsi="宋体" w:eastAsia="宋体"/>
                <w:szCs w:val="21"/>
                <w:vertAlign w:val="baseline"/>
                <w:lang w:val="en-US" w:eastAsia="zh-CN"/>
              </w:rPr>
            </w:pPr>
            <w:r>
              <w:rPr>
                <w:rFonts w:hint="eastAsia" w:ascii="宋体" w:hAnsi="宋体"/>
                <w:szCs w:val="21"/>
                <w:lang w:val="en-US" w:eastAsia="zh-CN"/>
              </w:rPr>
              <w:t>1</w:t>
            </w:r>
            <w:r>
              <w:rPr>
                <w:rFonts w:hint="eastAsia" w:ascii="宋体" w:hAnsi="宋体"/>
                <w:szCs w:val="21"/>
              </w:rPr>
              <w:t>间砖混结构，建筑面积</w:t>
            </w:r>
            <w:r>
              <w:rPr>
                <w:rFonts w:hint="eastAsia" w:ascii="宋体" w:hAnsi="宋体"/>
                <w:szCs w:val="21"/>
                <w:lang w:val="en-US" w:eastAsia="zh-CN"/>
              </w:rPr>
              <w:t>14</w:t>
            </w:r>
            <w:r>
              <w:rPr>
                <w:rFonts w:hint="eastAsia" w:ascii="宋体" w:hAnsi="宋体"/>
                <w:szCs w:val="21"/>
              </w:rPr>
              <w:t>m</w:t>
            </w:r>
            <w:r>
              <w:rPr>
                <w:rFonts w:hint="eastAsia" w:ascii="宋体" w:hAnsi="宋体"/>
                <w:szCs w:val="21"/>
                <w:vertAlign w:val="superscript"/>
              </w:rPr>
              <w:t>2</w:t>
            </w:r>
            <w:r>
              <w:rPr>
                <w:rFonts w:hint="eastAsia" w:ascii="宋体" w:hAnsi="宋体"/>
                <w:szCs w:val="21"/>
                <w:vertAlign w:val="baseline"/>
                <w:lang w:eastAsia="zh-CN"/>
              </w:rPr>
              <w:t>，主要用于倒班人员烧开水和采用微波炉热饭使用。</w:t>
            </w:r>
          </w:p>
        </w:tc>
        <w:tc>
          <w:tcPr>
            <w:tcW w:w="2962" w:type="dxa"/>
            <w:tcBorders>
              <w:tl2br w:val="nil"/>
              <w:tr2bl w:val="nil"/>
            </w:tcBorders>
            <w:vAlign w:val="center"/>
          </w:tcPr>
          <w:p w14:paraId="3D3E70BF">
            <w:pPr>
              <w:spacing w:line="260" w:lineRule="exact"/>
              <w:jc w:val="center"/>
              <w:rPr>
                <w:rFonts w:ascii="宋体" w:hAnsi="宋体"/>
                <w:szCs w:val="21"/>
              </w:rPr>
            </w:pPr>
            <w:r>
              <w:rPr>
                <w:rFonts w:hint="eastAsia" w:ascii="宋体" w:hAnsi="宋体"/>
                <w:szCs w:val="21"/>
              </w:rPr>
              <w:t>/</w:t>
            </w:r>
          </w:p>
        </w:tc>
        <w:tc>
          <w:tcPr>
            <w:tcW w:w="1091" w:type="dxa"/>
            <w:tcBorders>
              <w:tl2br w:val="nil"/>
              <w:tr2bl w:val="nil"/>
            </w:tcBorders>
            <w:vAlign w:val="center"/>
          </w:tcPr>
          <w:p w14:paraId="05A48F47">
            <w:pPr>
              <w:widowControl/>
              <w:spacing w:line="260" w:lineRule="exact"/>
              <w:jc w:val="center"/>
              <w:rPr>
                <w:rFonts w:hint="eastAsia" w:ascii="宋体" w:hAnsi="宋体"/>
                <w:szCs w:val="21"/>
              </w:rPr>
            </w:pPr>
            <w:r>
              <w:rPr>
                <w:rFonts w:hint="eastAsia" w:ascii="宋体" w:hAnsi="宋体"/>
                <w:szCs w:val="21"/>
              </w:rPr>
              <w:t>租用现有</w:t>
            </w:r>
          </w:p>
        </w:tc>
      </w:tr>
      <w:tr w14:paraId="1776B7BE">
        <w:tblPrEx>
          <w:tblBorders>
            <w:top w:val="single" w:color="auto" w:sz="12" w:space="0"/>
            <w:left w:val="single" w:color="auto" w:sz="12" w:space="0"/>
            <w:bottom w:val="single" w:color="auto" w:sz="12" w:space="0"/>
            <w:right w:val="single" w:color="auto" w:sz="12" w:space="0"/>
            <w:insideH w:val="single" w:color="auto" w:sz="6" w:space="0"/>
            <w:insideV w:val="single" w:color="auto" w:sz="4" w:space="0"/>
          </w:tblBorders>
          <w:tblCellMar>
            <w:top w:w="0" w:type="dxa"/>
            <w:left w:w="0" w:type="dxa"/>
            <w:bottom w:w="0" w:type="dxa"/>
            <w:right w:w="0" w:type="dxa"/>
          </w:tblCellMar>
        </w:tblPrEx>
        <w:trPr>
          <w:trHeight w:val="90" w:hRule="atLeast"/>
          <w:jc w:val="center"/>
        </w:trPr>
        <w:tc>
          <w:tcPr>
            <w:tcW w:w="1091" w:type="dxa"/>
            <w:vMerge w:val="restart"/>
            <w:tcBorders>
              <w:tl2br w:val="nil"/>
              <w:tr2bl w:val="nil"/>
            </w:tcBorders>
            <w:vAlign w:val="center"/>
          </w:tcPr>
          <w:p w14:paraId="75802A3D">
            <w:pPr>
              <w:spacing w:line="260" w:lineRule="exact"/>
              <w:jc w:val="center"/>
              <w:rPr>
                <w:rFonts w:hint="eastAsia" w:ascii="宋体" w:hAnsi="宋体"/>
                <w:szCs w:val="21"/>
              </w:rPr>
            </w:pPr>
            <w:r>
              <w:rPr>
                <w:rFonts w:hint="eastAsia" w:ascii="宋体" w:hAnsi="宋体"/>
                <w:szCs w:val="21"/>
              </w:rPr>
              <w:t>储运工程</w:t>
            </w:r>
          </w:p>
        </w:tc>
        <w:tc>
          <w:tcPr>
            <w:tcW w:w="1448" w:type="dxa"/>
            <w:tcBorders>
              <w:tl2br w:val="nil"/>
              <w:tr2bl w:val="nil"/>
            </w:tcBorders>
            <w:vAlign w:val="center"/>
          </w:tcPr>
          <w:p w14:paraId="50E16217">
            <w:pPr>
              <w:spacing w:line="260" w:lineRule="exact"/>
              <w:jc w:val="center"/>
              <w:rPr>
                <w:rFonts w:hint="eastAsia" w:ascii="宋体" w:hAnsi="宋体"/>
                <w:szCs w:val="21"/>
              </w:rPr>
            </w:pPr>
            <w:r>
              <w:rPr>
                <w:rFonts w:hint="eastAsia" w:ascii="宋体" w:hAnsi="宋体"/>
                <w:szCs w:val="21"/>
              </w:rPr>
              <w:t>危废贮存点</w:t>
            </w:r>
          </w:p>
        </w:tc>
        <w:tc>
          <w:tcPr>
            <w:tcW w:w="2486" w:type="dxa"/>
            <w:tcBorders>
              <w:tl2br w:val="nil"/>
              <w:tr2bl w:val="nil"/>
            </w:tcBorders>
            <w:vAlign w:val="center"/>
          </w:tcPr>
          <w:p w14:paraId="717CF6FA">
            <w:pPr>
              <w:spacing w:line="260" w:lineRule="exact"/>
              <w:jc w:val="center"/>
              <w:rPr>
                <w:rFonts w:hint="eastAsia" w:ascii="宋体" w:hAnsi="宋体"/>
                <w:szCs w:val="21"/>
              </w:rPr>
            </w:pPr>
            <w:r>
              <w:rPr>
                <w:rFonts w:hint="eastAsia" w:ascii="宋体" w:hAnsi="宋体"/>
                <w:szCs w:val="21"/>
              </w:rPr>
              <w:t>环评建议在生产车间东南角，建一座10m</w:t>
            </w:r>
            <w:r>
              <w:rPr>
                <w:rFonts w:hint="eastAsia" w:ascii="宋体" w:hAnsi="宋体"/>
                <w:szCs w:val="21"/>
                <w:vertAlign w:val="superscript"/>
              </w:rPr>
              <w:t>2</w:t>
            </w:r>
            <w:r>
              <w:rPr>
                <w:rFonts w:hint="eastAsia" w:ascii="宋体" w:hAnsi="宋体"/>
                <w:szCs w:val="21"/>
              </w:rPr>
              <w:t>危废贮存点，</w:t>
            </w:r>
            <w:r>
              <w:rPr>
                <w:rFonts w:hint="eastAsia"/>
                <w:color w:val="000000"/>
              </w:rPr>
              <w:t>贮存废润滑油、废油桶、</w:t>
            </w:r>
            <w:r>
              <w:rPr>
                <w:szCs w:val="21"/>
              </w:rPr>
              <w:t>废活性炭</w:t>
            </w:r>
            <w:r>
              <w:rPr>
                <w:rFonts w:hint="eastAsia"/>
                <w:color w:val="000000"/>
              </w:rPr>
              <w:t>。</w:t>
            </w:r>
          </w:p>
        </w:tc>
        <w:tc>
          <w:tcPr>
            <w:tcW w:w="2962" w:type="dxa"/>
            <w:tcBorders>
              <w:tl2br w:val="nil"/>
              <w:tr2bl w:val="nil"/>
            </w:tcBorders>
            <w:vAlign w:val="center"/>
          </w:tcPr>
          <w:p w14:paraId="621BC0DD">
            <w:pPr>
              <w:spacing w:line="260" w:lineRule="exact"/>
              <w:jc w:val="center"/>
              <w:rPr>
                <w:rFonts w:hint="eastAsia" w:ascii="宋体" w:hAnsi="宋体"/>
                <w:szCs w:val="21"/>
              </w:rPr>
            </w:pPr>
            <w:r>
              <w:rPr>
                <w:rFonts w:hint="eastAsia" w:ascii="宋体" w:hAnsi="宋体"/>
                <w:szCs w:val="21"/>
              </w:rPr>
              <w:t>危废贮存点</w:t>
            </w:r>
            <w:r>
              <w:rPr>
                <w:color w:val="000000"/>
              </w:rPr>
              <w:t>符合《危险废物贮存污染控制标准》（GB18597-2023）要求</w:t>
            </w:r>
            <w:r>
              <w:rPr>
                <w:rFonts w:hint="eastAsia"/>
                <w:color w:val="000000"/>
              </w:rPr>
              <w:t>。</w:t>
            </w:r>
          </w:p>
        </w:tc>
        <w:tc>
          <w:tcPr>
            <w:tcW w:w="1091" w:type="dxa"/>
            <w:tcBorders>
              <w:tl2br w:val="nil"/>
              <w:tr2bl w:val="nil"/>
            </w:tcBorders>
            <w:vAlign w:val="center"/>
          </w:tcPr>
          <w:p w14:paraId="5DC2DBCA">
            <w:pPr>
              <w:widowControl/>
              <w:spacing w:line="260" w:lineRule="exact"/>
              <w:jc w:val="center"/>
              <w:rPr>
                <w:rFonts w:hint="eastAsia" w:ascii="宋体" w:hAnsi="宋体"/>
                <w:szCs w:val="21"/>
              </w:rPr>
            </w:pPr>
            <w:r>
              <w:rPr>
                <w:rFonts w:hint="eastAsia" w:ascii="宋体" w:hAnsi="宋体"/>
                <w:szCs w:val="21"/>
              </w:rPr>
              <w:t>新建</w:t>
            </w:r>
          </w:p>
        </w:tc>
      </w:tr>
      <w:tr w14:paraId="3F786EBF">
        <w:tblPrEx>
          <w:tblBorders>
            <w:top w:val="single" w:color="auto" w:sz="12" w:space="0"/>
            <w:left w:val="single" w:color="auto" w:sz="12" w:space="0"/>
            <w:bottom w:val="single" w:color="auto" w:sz="12" w:space="0"/>
            <w:right w:val="single" w:color="auto" w:sz="12" w:space="0"/>
            <w:insideH w:val="single" w:color="auto" w:sz="6" w:space="0"/>
            <w:insideV w:val="single" w:color="auto" w:sz="4" w:space="0"/>
          </w:tblBorders>
          <w:tblCellMar>
            <w:top w:w="0" w:type="dxa"/>
            <w:left w:w="0" w:type="dxa"/>
            <w:bottom w:w="0" w:type="dxa"/>
            <w:right w:w="0" w:type="dxa"/>
          </w:tblCellMar>
        </w:tblPrEx>
        <w:trPr>
          <w:trHeight w:val="90" w:hRule="atLeast"/>
          <w:jc w:val="center"/>
        </w:trPr>
        <w:tc>
          <w:tcPr>
            <w:tcW w:w="1091" w:type="dxa"/>
            <w:vMerge w:val="continue"/>
            <w:tcBorders>
              <w:tl2br w:val="nil"/>
              <w:tr2bl w:val="nil"/>
            </w:tcBorders>
            <w:vAlign w:val="center"/>
          </w:tcPr>
          <w:p w14:paraId="0DC207EF">
            <w:pPr>
              <w:spacing w:line="260" w:lineRule="exact"/>
              <w:jc w:val="center"/>
              <w:rPr>
                <w:rFonts w:hint="eastAsia" w:ascii="宋体" w:hAnsi="宋体"/>
                <w:szCs w:val="21"/>
              </w:rPr>
            </w:pPr>
          </w:p>
        </w:tc>
        <w:tc>
          <w:tcPr>
            <w:tcW w:w="1448" w:type="dxa"/>
            <w:tcBorders>
              <w:tl2br w:val="nil"/>
              <w:tr2bl w:val="nil"/>
            </w:tcBorders>
            <w:vAlign w:val="center"/>
          </w:tcPr>
          <w:p w14:paraId="2C4F5C85">
            <w:pPr>
              <w:spacing w:line="260" w:lineRule="exact"/>
              <w:jc w:val="center"/>
              <w:rPr>
                <w:rFonts w:hint="eastAsia" w:ascii="宋体" w:hAnsi="宋体"/>
                <w:szCs w:val="21"/>
              </w:rPr>
            </w:pPr>
            <w:r>
              <w:rPr>
                <w:rFonts w:hint="eastAsia" w:ascii="Times New Roman" w:hAnsi="Times New Roman" w:eastAsia="宋体" w:cs="Times New Roman"/>
                <w:b w:val="0"/>
                <w:bCs w:val="0"/>
                <w:color w:val="auto"/>
                <w:sz w:val="21"/>
                <w:szCs w:val="21"/>
                <w:lang w:val="en-US" w:eastAsia="zh-CN"/>
              </w:rPr>
              <w:t>一般固废暂存间</w:t>
            </w:r>
          </w:p>
        </w:tc>
        <w:tc>
          <w:tcPr>
            <w:tcW w:w="2486" w:type="dxa"/>
            <w:tcBorders>
              <w:tl2br w:val="nil"/>
              <w:tr2bl w:val="nil"/>
            </w:tcBorders>
            <w:vAlign w:val="center"/>
          </w:tcPr>
          <w:p w14:paraId="1BB876A5">
            <w:pPr>
              <w:spacing w:line="260" w:lineRule="exact"/>
              <w:jc w:val="center"/>
              <w:rPr>
                <w:rFonts w:hint="eastAsia" w:ascii="宋体" w:hAnsi="宋体"/>
                <w:szCs w:val="21"/>
              </w:rPr>
            </w:pPr>
            <w:r>
              <w:rPr>
                <w:rFonts w:hint="eastAsia" w:ascii="Times New Roman" w:hAnsi="Times New Roman" w:eastAsia="宋体" w:cs="Times New Roman"/>
                <w:b w:val="0"/>
                <w:bCs w:val="0"/>
                <w:color w:val="auto"/>
                <w:sz w:val="21"/>
                <w:szCs w:val="21"/>
                <w:lang w:val="en-US" w:eastAsia="zh-CN"/>
              </w:rPr>
              <w:t>生产车间南</w:t>
            </w:r>
            <w:r>
              <w:rPr>
                <w:rFonts w:hint="eastAsia" w:ascii="宋体" w:hAnsi="宋体"/>
                <w:szCs w:val="21"/>
                <w:lang w:eastAsia="zh-CN"/>
              </w:rPr>
              <w:t>侧</w:t>
            </w:r>
            <w:r>
              <w:rPr>
                <w:rFonts w:hint="eastAsia" w:ascii="Times New Roman" w:hAnsi="Times New Roman" w:eastAsia="宋体" w:cs="Times New Roman"/>
                <w:b w:val="0"/>
                <w:bCs w:val="0"/>
                <w:color w:val="auto"/>
                <w:sz w:val="21"/>
                <w:szCs w:val="21"/>
                <w:lang w:val="en-US" w:eastAsia="zh-CN"/>
              </w:rPr>
              <w:t>，建筑面积10m</w:t>
            </w:r>
            <w:r>
              <w:rPr>
                <w:rFonts w:hint="eastAsia" w:ascii="Times New Roman" w:hAnsi="Times New Roman" w:eastAsia="宋体" w:cs="Times New Roman"/>
                <w:b w:val="0"/>
                <w:bCs w:val="0"/>
                <w:color w:val="auto"/>
                <w:sz w:val="21"/>
                <w:szCs w:val="21"/>
                <w:vertAlign w:val="superscript"/>
                <w:lang w:val="en-US" w:eastAsia="zh-CN"/>
              </w:rPr>
              <w:t>2</w:t>
            </w:r>
          </w:p>
        </w:tc>
        <w:tc>
          <w:tcPr>
            <w:tcW w:w="2962" w:type="dxa"/>
            <w:tcBorders>
              <w:tl2br w:val="nil"/>
              <w:tr2bl w:val="nil"/>
            </w:tcBorders>
            <w:vAlign w:val="center"/>
          </w:tcPr>
          <w:p w14:paraId="4F715284">
            <w:pPr>
              <w:spacing w:line="260" w:lineRule="exact"/>
              <w:jc w:val="center"/>
              <w:rPr>
                <w:rFonts w:hint="eastAsia" w:ascii="宋体" w:hAnsi="宋体"/>
                <w:szCs w:val="21"/>
              </w:rPr>
            </w:pPr>
            <w:r>
              <w:rPr>
                <w:rFonts w:hint="eastAsia" w:ascii="宋体" w:hAnsi="宋体"/>
                <w:szCs w:val="21"/>
                <w:lang w:eastAsia="zh-CN"/>
              </w:rPr>
              <w:t>封闭式</w:t>
            </w:r>
          </w:p>
        </w:tc>
        <w:tc>
          <w:tcPr>
            <w:tcW w:w="1091" w:type="dxa"/>
            <w:tcBorders>
              <w:tl2br w:val="nil"/>
              <w:tr2bl w:val="nil"/>
            </w:tcBorders>
            <w:vAlign w:val="center"/>
          </w:tcPr>
          <w:p w14:paraId="20BF3963">
            <w:pPr>
              <w:widowControl/>
              <w:spacing w:line="260" w:lineRule="exact"/>
              <w:jc w:val="center"/>
              <w:rPr>
                <w:rFonts w:hint="eastAsia" w:ascii="宋体" w:hAnsi="宋体"/>
                <w:szCs w:val="21"/>
              </w:rPr>
            </w:pPr>
            <w:r>
              <w:rPr>
                <w:rFonts w:hint="eastAsia" w:ascii="宋体" w:hAnsi="宋体"/>
                <w:szCs w:val="21"/>
              </w:rPr>
              <w:t>租用现有</w:t>
            </w:r>
          </w:p>
        </w:tc>
      </w:tr>
      <w:tr w14:paraId="538D6FC6">
        <w:tblPrEx>
          <w:tblBorders>
            <w:top w:val="single" w:color="auto" w:sz="12" w:space="0"/>
            <w:left w:val="single" w:color="auto" w:sz="12" w:space="0"/>
            <w:bottom w:val="single" w:color="auto" w:sz="12" w:space="0"/>
            <w:right w:val="single" w:color="auto" w:sz="12" w:space="0"/>
            <w:insideH w:val="single" w:color="auto" w:sz="6" w:space="0"/>
            <w:insideV w:val="single" w:color="auto" w:sz="4" w:space="0"/>
          </w:tblBorders>
          <w:tblCellMar>
            <w:top w:w="0" w:type="dxa"/>
            <w:left w:w="0" w:type="dxa"/>
            <w:bottom w:w="0" w:type="dxa"/>
            <w:right w:w="0" w:type="dxa"/>
          </w:tblCellMar>
        </w:tblPrEx>
        <w:trPr>
          <w:trHeight w:val="532" w:hRule="atLeast"/>
          <w:jc w:val="center"/>
        </w:trPr>
        <w:tc>
          <w:tcPr>
            <w:tcW w:w="1091" w:type="dxa"/>
            <w:vMerge w:val="continue"/>
            <w:tcBorders>
              <w:tl2br w:val="nil"/>
              <w:tr2bl w:val="nil"/>
            </w:tcBorders>
            <w:vAlign w:val="center"/>
          </w:tcPr>
          <w:p w14:paraId="59DE8525">
            <w:pPr>
              <w:spacing w:line="260" w:lineRule="exact"/>
              <w:jc w:val="center"/>
              <w:rPr>
                <w:rFonts w:hint="eastAsia" w:ascii="宋体" w:hAnsi="宋体"/>
                <w:szCs w:val="21"/>
              </w:rPr>
            </w:pPr>
          </w:p>
        </w:tc>
        <w:tc>
          <w:tcPr>
            <w:tcW w:w="1448" w:type="dxa"/>
            <w:tcBorders>
              <w:tl2br w:val="nil"/>
              <w:tr2bl w:val="nil"/>
            </w:tcBorders>
            <w:vAlign w:val="center"/>
          </w:tcPr>
          <w:p w14:paraId="0F63B78C">
            <w:pPr>
              <w:spacing w:line="260" w:lineRule="exact"/>
              <w:jc w:val="center"/>
              <w:rPr>
                <w:rFonts w:hint="eastAsia" w:ascii="宋体" w:hAnsi="宋体"/>
                <w:szCs w:val="21"/>
              </w:rPr>
            </w:pPr>
            <w:r>
              <w:rPr>
                <w:rFonts w:hint="eastAsia" w:ascii="宋体" w:hAnsi="宋体"/>
                <w:szCs w:val="21"/>
              </w:rPr>
              <w:t>半成品库房</w:t>
            </w:r>
          </w:p>
        </w:tc>
        <w:tc>
          <w:tcPr>
            <w:tcW w:w="2486" w:type="dxa"/>
            <w:tcBorders>
              <w:tl2br w:val="nil"/>
              <w:tr2bl w:val="nil"/>
            </w:tcBorders>
            <w:vAlign w:val="center"/>
          </w:tcPr>
          <w:p w14:paraId="7F853146">
            <w:pPr>
              <w:spacing w:line="260" w:lineRule="exact"/>
              <w:jc w:val="center"/>
              <w:rPr>
                <w:rFonts w:hint="eastAsia" w:ascii="宋体" w:hAnsi="宋体"/>
                <w:szCs w:val="21"/>
              </w:rPr>
            </w:pPr>
            <w:r>
              <w:rPr>
                <w:rFonts w:hint="eastAsia" w:ascii="宋体" w:hAnsi="宋体"/>
                <w:szCs w:val="21"/>
              </w:rPr>
              <w:t>位于车间内两端，主要放置原料颗粒。</w:t>
            </w:r>
          </w:p>
        </w:tc>
        <w:tc>
          <w:tcPr>
            <w:tcW w:w="2962" w:type="dxa"/>
            <w:tcBorders>
              <w:tl2br w:val="nil"/>
              <w:tr2bl w:val="nil"/>
            </w:tcBorders>
            <w:vAlign w:val="center"/>
          </w:tcPr>
          <w:p w14:paraId="33C04C35">
            <w:pPr>
              <w:spacing w:line="260" w:lineRule="exact"/>
              <w:jc w:val="center"/>
              <w:rPr>
                <w:rFonts w:hint="eastAsia" w:ascii="宋体" w:hAnsi="宋体"/>
                <w:szCs w:val="21"/>
              </w:rPr>
            </w:pPr>
          </w:p>
        </w:tc>
        <w:tc>
          <w:tcPr>
            <w:tcW w:w="1091" w:type="dxa"/>
            <w:tcBorders>
              <w:tl2br w:val="nil"/>
              <w:tr2bl w:val="nil"/>
            </w:tcBorders>
            <w:vAlign w:val="center"/>
          </w:tcPr>
          <w:p w14:paraId="733857CE">
            <w:pPr>
              <w:widowControl/>
              <w:spacing w:line="260" w:lineRule="exact"/>
              <w:jc w:val="center"/>
              <w:rPr>
                <w:rFonts w:hint="eastAsia" w:ascii="宋体" w:hAnsi="宋体"/>
                <w:szCs w:val="21"/>
              </w:rPr>
            </w:pPr>
            <w:r>
              <w:rPr>
                <w:rFonts w:hint="eastAsia" w:ascii="宋体" w:hAnsi="宋体"/>
                <w:szCs w:val="21"/>
              </w:rPr>
              <w:t>依托</w:t>
            </w:r>
          </w:p>
        </w:tc>
      </w:tr>
      <w:tr w14:paraId="6049084D">
        <w:tblPrEx>
          <w:tblBorders>
            <w:top w:val="single" w:color="auto" w:sz="12" w:space="0"/>
            <w:left w:val="single" w:color="auto" w:sz="12" w:space="0"/>
            <w:bottom w:val="single" w:color="auto" w:sz="12" w:space="0"/>
            <w:right w:val="single" w:color="auto" w:sz="12" w:space="0"/>
            <w:insideH w:val="single" w:color="auto" w:sz="6" w:space="0"/>
            <w:insideV w:val="single" w:color="auto" w:sz="4" w:space="0"/>
          </w:tblBorders>
          <w:tblCellMar>
            <w:top w:w="0" w:type="dxa"/>
            <w:left w:w="0" w:type="dxa"/>
            <w:bottom w:w="0" w:type="dxa"/>
            <w:right w:w="0" w:type="dxa"/>
          </w:tblCellMar>
        </w:tblPrEx>
        <w:trPr>
          <w:trHeight w:val="532" w:hRule="atLeast"/>
          <w:jc w:val="center"/>
        </w:trPr>
        <w:tc>
          <w:tcPr>
            <w:tcW w:w="1091" w:type="dxa"/>
            <w:vMerge w:val="continue"/>
            <w:tcBorders>
              <w:tl2br w:val="nil"/>
              <w:tr2bl w:val="nil"/>
            </w:tcBorders>
            <w:vAlign w:val="center"/>
          </w:tcPr>
          <w:p w14:paraId="36DBD54A">
            <w:pPr>
              <w:spacing w:line="260" w:lineRule="exact"/>
              <w:jc w:val="center"/>
              <w:rPr>
                <w:rFonts w:hint="eastAsia" w:ascii="宋体" w:hAnsi="宋体"/>
                <w:szCs w:val="21"/>
              </w:rPr>
            </w:pPr>
          </w:p>
        </w:tc>
        <w:tc>
          <w:tcPr>
            <w:tcW w:w="1448" w:type="dxa"/>
            <w:tcBorders>
              <w:tl2br w:val="nil"/>
              <w:tr2bl w:val="nil"/>
            </w:tcBorders>
            <w:shd w:val="clear" w:color="auto" w:fill="auto"/>
            <w:vAlign w:val="center"/>
          </w:tcPr>
          <w:p w14:paraId="69DF499C">
            <w:pPr>
              <w:spacing w:line="260" w:lineRule="exact"/>
              <w:jc w:val="center"/>
              <w:rPr>
                <w:rFonts w:hint="eastAsia" w:ascii="宋体" w:hAnsi="宋体" w:eastAsia="宋体" w:cs="Times New Roman"/>
                <w:kern w:val="2"/>
                <w:sz w:val="21"/>
                <w:szCs w:val="21"/>
                <w:lang w:val="en-US" w:eastAsia="zh-CN" w:bidi="ar-SA"/>
              </w:rPr>
            </w:pPr>
            <w:r>
              <w:rPr>
                <w:rFonts w:hint="eastAsia" w:ascii="宋体" w:hAnsi="宋体"/>
                <w:szCs w:val="21"/>
              </w:rPr>
              <w:t>原料及成品堆料棚</w:t>
            </w:r>
          </w:p>
        </w:tc>
        <w:tc>
          <w:tcPr>
            <w:tcW w:w="2486" w:type="dxa"/>
            <w:tcBorders>
              <w:tl2br w:val="nil"/>
              <w:tr2bl w:val="nil"/>
            </w:tcBorders>
            <w:shd w:val="clear" w:color="auto" w:fill="auto"/>
            <w:vAlign w:val="center"/>
          </w:tcPr>
          <w:p w14:paraId="21F49C86">
            <w:pPr>
              <w:spacing w:line="260" w:lineRule="exact"/>
              <w:jc w:val="center"/>
              <w:rPr>
                <w:rFonts w:hint="eastAsia" w:ascii="宋体" w:hAnsi="宋体" w:eastAsia="宋体" w:cs="Times New Roman"/>
                <w:kern w:val="2"/>
                <w:sz w:val="21"/>
                <w:szCs w:val="21"/>
                <w:lang w:val="en-US" w:eastAsia="zh-CN" w:bidi="ar-SA"/>
              </w:rPr>
            </w:pPr>
            <w:r>
              <w:rPr>
                <w:rFonts w:hint="eastAsia" w:ascii="宋体" w:hAnsi="宋体"/>
                <w:szCs w:val="21"/>
              </w:rPr>
              <w:t>本项目原料采用吨包袋拉运至厂区，每天用多少拉运多少至厂区，临时在堆料棚堆集，成品采用吨包袋包装后临时堆放在堆料棚，及时拉运出厂区出售。</w:t>
            </w:r>
          </w:p>
        </w:tc>
        <w:tc>
          <w:tcPr>
            <w:tcW w:w="2962" w:type="dxa"/>
            <w:tcBorders>
              <w:tl2br w:val="nil"/>
              <w:tr2bl w:val="nil"/>
            </w:tcBorders>
            <w:shd w:val="clear" w:color="auto" w:fill="auto"/>
            <w:vAlign w:val="center"/>
          </w:tcPr>
          <w:p w14:paraId="4E0D5297">
            <w:pPr>
              <w:spacing w:line="260" w:lineRule="exact"/>
              <w:jc w:val="center"/>
              <w:rPr>
                <w:rFonts w:hint="eastAsia" w:ascii="宋体" w:hAnsi="宋体" w:eastAsia="宋体" w:cs="Times New Roman"/>
                <w:kern w:val="2"/>
                <w:sz w:val="21"/>
                <w:szCs w:val="21"/>
                <w:lang w:val="en-US" w:eastAsia="zh-CN" w:bidi="ar-SA"/>
              </w:rPr>
            </w:pPr>
            <w:r>
              <w:rPr>
                <w:rFonts w:hint="eastAsia" w:ascii="宋体" w:hAnsi="宋体"/>
                <w:szCs w:val="21"/>
              </w:rPr>
              <w:t>为地面硬化顶部封闭结构形式</w:t>
            </w:r>
            <w:r>
              <w:rPr>
                <w:rFonts w:hint="eastAsia" w:ascii="宋体" w:hAnsi="宋体"/>
                <w:szCs w:val="21"/>
                <w:lang w:eastAsia="zh-CN"/>
              </w:rPr>
              <w:t>，具</w:t>
            </w:r>
            <w:r>
              <w:rPr>
                <w:rFonts w:hint="eastAsia" w:ascii="宋体" w:hAnsi="宋体"/>
                <w:szCs w:val="21"/>
              </w:rPr>
              <w:t>有防雨、防晒、防扬散、防渗等功能。</w:t>
            </w:r>
          </w:p>
        </w:tc>
        <w:tc>
          <w:tcPr>
            <w:tcW w:w="1091" w:type="dxa"/>
            <w:tcBorders>
              <w:tl2br w:val="nil"/>
              <w:tr2bl w:val="nil"/>
            </w:tcBorders>
            <w:shd w:val="clear" w:color="auto" w:fill="auto"/>
            <w:vAlign w:val="center"/>
          </w:tcPr>
          <w:p w14:paraId="62541BBC">
            <w:pPr>
              <w:widowControl/>
              <w:spacing w:line="260" w:lineRule="exact"/>
              <w:jc w:val="center"/>
              <w:rPr>
                <w:rFonts w:hint="eastAsia" w:ascii="宋体" w:hAnsi="宋体" w:eastAsia="宋体" w:cs="Times New Roman"/>
                <w:kern w:val="2"/>
                <w:sz w:val="21"/>
                <w:szCs w:val="21"/>
                <w:lang w:val="en-US" w:eastAsia="zh-CN" w:bidi="ar-SA"/>
              </w:rPr>
            </w:pPr>
            <w:r>
              <w:rPr>
                <w:rFonts w:hint="eastAsia" w:ascii="宋体" w:hAnsi="宋体"/>
                <w:szCs w:val="21"/>
              </w:rPr>
              <w:t>依托</w:t>
            </w:r>
          </w:p>
        </w:tc>
      </w:tr>
      <w:tr w14:paraId="62E66F2B">
        <w:tblPrEx>
          <w:tblBorders>
            <w:top w:val="single" w:color="auto" w:sz="12" w:space="0"/>
            <w:left w:val="single" w:color="auto" w:sz="12" w:space="0"/>
            <w:bottom w:val="single" w:color="auto" w:sz="12" w:space="0"/>
            <w:right w:val="single" w:color="auto" w:sz="12" w:space="0"/>
            <w:insideH w:val="single" w:color="auto" w:sz="6" w:space="0"/>
            <w:insideV w:val="single" w:color="auto" w:sz="4" w:space="0"/>
          </w:tblBorders>
          <w:tblCellMar>
            <w:top w:w="0" w:type="dxa"/>
            <w:left w:w="0" w:type="dxa"/>
            <w:bottom w:w="0" w:type="dxa"/>
            <w:right w:w="0" w:type="dxa"/>
          </w:tblCellMar>
        </w:tblPrEx>
        <w:trPr>
          <w:trHeight w:val="411" w:hRule="atLeast"/>
          <w:jc w:val="center"/>
        </w:trPr>
        <w:tc>
          <w:tcPr>
            <w:tcW w:w="1091" w:type="dxa"/>
            <w:vMerge w:val="restart"/>
            <w:tcBorders>
              <w:tl2br w:val="nil"/>
              <w:tr2bl w:val="nil"/>
            </w:tcBorders>
            <w:vAlign w:val="center"/>
          </w:tcPr>
          <w:p w14:paraId="4073A1F4">
            <w:pPr>
              <w:spacing w:line="260" w:lineRule="exact"/>
              <w:jc w:val="center"/>
              <w:rPr>
                <w:rFonts w:hint="eastAsia" w:ascii="宋体" w:hAnsi="宋体"/>
                <w:szCs w:val="21"/>
              </w:rPr>
            </w:pPr>
            <w:r>
              <w:rPr>
                <w:rFonts w:ascii="宋体" w:hAnsi="宋体"/>
                <w:szCs w:val="21"/>
              </w:rPr>
              <w:t>公用工程</w:t>
            </w:r>
          </w:p>
        </w:tc>
        <w:tc>
          <w:tcPr>
            <w:tcW w:w="1448" w:type="dxa"/>
            <w:tcBorders>
              <w:tl2br w:val="nil"/>
              <w:tr2bl w:val="nil"/>
            </w:tcBorders>
            <w:vAlign w:val="center"/>
          </w:tcPr>
          <w:p w14:paraId="2F18F4BE">
            <w:pPr>
              <w:spacing w:line="260" w:lineRule="exact"/>
              <w:jc w:val="center"/>
              <w:rPr>
                <w:rFonts w:hint="eastAsia" w:ascii="宋体" w:hAnsi="宋体"/>
                <w:szCs w:val="21"/>
              </w:rPr>
            </w:pPr>
            <w:r>
              <w:rPr>
                <w:rFonts w:ascii="宋体" w:hAnsi="宋体"/>
                <w:szCs w:val="21"/>
              </w:rPr>
              <w:t>给水</w:t>
            </w:r>
          </w:p>
        </w:tc>
        <w:tc>
          <w:tcPr>
            <w:tcW w:w="5448" w:type="dxa"/>
            <w:gridSpan w:val="2"/>
            <w:tcBorders>
              <w:tl2br w:val="nil"/>
              <w:tr2bl w:val="nil"/>
            </w:tcBorders>
            <w:vAlign w:val="center"/>
          </w:tcPr>
          <w:p w14:paraId="0DBC5219">
            <w:pPr>
              <w:spacing w:line="260" w:lineRule="exact"/>
              <w:jc w:val="center"/>
              <w:rPr>
                <w:rFonts w:hint="eastAsia" w:ascii="宋体" w:hAnsi="宋体"/>
                <w:szCs w:val="21"/>
              </w:rPr>
            </w:pPr>
            <w:r>
              <w:rPr>
                <w:rFonts w:hint="eastAsia" w:ascii="宋体" w:hAnsi="宋体"/>
                <w:szCs w:val="21"/>
              </w:rPr>
              <w:t>市政</w:t>
            </w:r>
            <w:r>
              <w:rPr>
                <w:rFonts w:ascii="宋体" w:hAnsi="宋体"/>
                <w:szCs w:val="21"/>
              </w:rPr>
              <w:t>管网给水</w:t>
            </w:r>
          </w:p>
        </w:tc>
        <w:tc>
          <w:tcPr>
            <w:tcW w:w="1091" w:type="dxa"/>
            <w:tcBorders>
              <w:tl2br w:val="nil"/>
              <w:tr2bl w:val="nil"/>
            </w:tcBorders>
            <w:vAlign w:val="center"/>
          </w:tcPr>
          <w:p w14:paraId="0CA64D0C">
            <w:pPr>
              <w:widowControl/>
              <w:spacing w:line="260" w:lineRule="exact"/>
              <w:jc w:val="center"/>
              <w:rPr>
                <w:rFonts w:hint="eastAsia" w:ascii="宋体" w:hAnsi="宋体"/>
                <w:szCs w:val="21"/>
              </w:rPr>
            </w:pPr>
            <w:r>
              <w:rPr>
                <w:rFonts w:hint="eastAsia" w:ascii="宋体" w:hAnsi="宋体"/>
                <w:szCs w:val="21"/>
              </w:rPr>
              <w:t>依托</w:t>
            </w:r>
          </w:p>
        </w:tc>
      </w:tr>
      <w:tr w14:paraId="603BE138">
        <w:tblPrEx>
          <w:tblBorders>
            <w:top w:val="single" w:color="auto" w:sz="12" w:space="0"/>
            <w:left w:val="single" w:color="auto" w:sz="12" w:space="0"/>
            <w:bottom w:val="single" w:color="auto" w:sz="12" w:space="0"/>
            <w:right w:val="single" w:color="auto" w:sz="12" w:space="0"/>
            <w:insideH w:val="single" w:color="auto" w:sz="6" w:space="0"/>
            <w:insideV w:val="single" w:color="auto" w:sz="4" w:space="0"/>
          </w:tblBorders>
          <w:tblCellMar>
            <w:top w:w="0" w:type="dxa"/>
            <w:left w:w="0" w:type="dxa"/>
            <w:bottom w:w="0" w:type="dxa"/>
            <w:right w:w="0" w:type="dxa"/>
          </w:tblCellMar>
        </w:tblPrEx>
        <w:trPr>
          <w:trHeight w:val="518" w:hRule="atLeast"/>
          <w:jc w:val="center"/>
        </w:trPr>
        <w:tc>
          <w:tcPr>
            <w:tcW w:w="1091" w:type="dxa"/>
            <w:vMerge w:val="continue"/>
            <w:tcBorders>
              <w:tl2br w:val="nil"/>
              <w:tr2bl w:val="nil"/>
            </w:tcBorders>
            <w:vAlign w:val="center"/>
          </w:tcPr>
          <w:p w14:paraId="3D43AC19">
            <w:pPr>
              <w:spacing w:line="260" w:lineRule="exact"/>
              <w:jc w:val="center"/>
              <w:rPr>
                <w:rFonts w:hint="eastAsia" w:ascii="宋体" w:hAnsi="宋体"/>
                <w:szCs w:val="21"/>
              </w:rPr>
            </w:pPr>
          </w:p>
        </w:tc>
        <w:tc>
          <w:tcPr>
            <w:tcW w:w="1448" w:type="dxa"/>
            <w:tcBorders>
              <w:tl2br w:val="nil"/>
              <w:tr2bl w:val="nil"/>
            </w:tcBorders>
            <w:vAlign w:val="center"/>
          </w:tcPr>
          <w:p w14:paraId="682E0F00">
            <w:pPr>
              <w:spacing w:line="260" w:lineRule="exact"/>
              <w:jc w:val="center"/>
              <w:rPr>
                <w:rFonts w:hint="eastAsia" w:ascii="宋体" w:hAnsi="宋体"/>
                <w:szCs w:val="21"/>
              </w:rPr>
            </w:pPr>
            <w:r>
              <w:rPr>
                <w:rFonts w:ascii="宋体" w:hAnsi="宋体"/>
                <w:szCs w:val="21"/>
              </w:rPr>
              <w:t>排水</w:t>
            </w:r>
          </w:p>
        </w:tc>
        <w:tc>
          <w:tcPr>
            <w:tcW w:w="2486" w:type="dxa"/>
            <w:tcBorders>
              <w:tl2br w:val="nil"/>
              <w:tr2bl w:val="nil"/>
            </w:tcBorders>
            <w:vAlign w:val="center"/>
          </w:tcPr>
          <w:p w14:paraId="4A025D9F">
            <w:pPr>
              <w:spacing w:line="260" w:lineRule="exact"/>
              <w:jc w:val="center"/>
              <w:rPr>
                <w:rFonts w:hint="default" w:ascii="宋体" w:hAnsi="宋体"/>
                <w:szCs w:val="21"/>
                <w:lang w:val="en-US"/>
              </w:rPr>
            </w:pPr>
            <w:bookmarkStart w:id="123" w:name="_Hlk213926260"/>
            <w:r>
              <w:rPr>
                <w:rFonts w:hint="eastAsia" w:ascii="宋体" w:hAnsi="宋体"/>
                <w:szCs w:val="21"/>
                <w:lang w:val="en-US" w:eastAsia="zh-CN"/>
              </w:rPr>
              <w:t>10</w:t>
            </w:r>
            <w:r>
              <w:rPr>
                <w:rFonts w:ascii="宋体" w:hAnsi="宋体"/>
                <w:szCs w:val="21"/>
              </w:rPr>
              <w:t>m</w:t>
            </w:r>
            <w:r>
              <w:rPr>
                <w:rFonts w:ascii="宋体" w:hAnsi="宋体"/>
                <w:szCs w:val="21"/>
                <w:vertAlign w:val="superscript"/>
              </w:rPr>
              <w:t>3</w:t>
            </w:r>
            <w:bookmarkEnd w:id="123"/>
            <w:r>
              <w:rPr>
                <w:rFonts w:hint="eastAsia" w:ascii="宋体" w:hAnsi="宋体"/>
                <w:szCs w:val="21"/>
                <w:lang w:val="en-US" w:eastAsia="zh-CN"/>
              </w:rPr>
              <w:t>防渗化粪池</w:t>
            </w:r>
          </w:p>
        </w:tc>
        <w:tc>
          <w:tcPr>
            <w:tcW w:w="2962" w:type="dxa"/>
            <w:tcBorders>
              <w:tl2br w:val="nil"/>
              <w:tr2bl w:val="nil"/>
            </w:tcBorders>
            <w:vAlign w:val="center"/>
          </w:tcPr>
          <w:p w14:paraId="57CE88CF">
            <w:pPr>
              <w:spacing w:line="260" w:lineRule="exact"/>
              <w:jc w:val="center"/>
              <w:rPr>
                <w:rFonts w:hint="eastAsia" w:ascii="宋体" w:hAnsi="宋体"/>
                <w:szCs w:val="21"/>
              </w:rPr>
            </w:pPr>
            <w:r>
              <w:rPr>
                <w:rFonts w:hint="eastAsia" w:ascii="宋体" w:hAnsi="宋体"/>
                <w:szCs w:val="21"/>
              </w:rPr>
              <w:t>本项目不涉及清洗，采用风冷</w:t>
            </w:r>
            <w:r>
              <w:rPr>
                <w:rFonts w:ascii="宋体" w:hAnsi="宋体"/>
                <w:szCs w:val="21"/>
              </w:rPr>
              <w:t>，</w:t>
            </w:r>
            <w:r>
              <w:rPr>
                <w:rFonts w:hint="eastAsia" w:ascii="宋体" w:hAnsi="宋体"/>
                <w:szCs w:val="21"/>
              </w:rPr>
              <w:t>生活污水排入</w:t>
            </w:r>
            <w:r>
              <w:rPr>
                <w:rFonts w:hint="eastAsia" w:ascii="宋体" w:hAnsi="宋体"/>
                <w:szCs w:val="21"/>
                <w:lang w:val="en-US" w:eastAsia="zh-CN"/>
              </w:rPr>
              <w:t>10</w:t>
            </w:r>
            <w:r>
              <w:rPr>
                <w:rFonts w:ascii="宋体" w:hAnsi="宋体"/>
                <w:szCs w:val="21"/>
              </w:rPr>
              <w:t>m</w:t>
            </w:r>
            <w:r>
              <w:rPr>
                <w:rFonts w:ascii="宋体" w:hAnsi="宋体"/>
                <w:szCs w:val="21"/>
                <w:vertAlign w:val="superscript"/>
              </w:rPr>
              <w:t>3</w:t>
            </w:r>
            <w:r>
              <w:rPr>
                <w:rFonts w:hint="eastAsia" w:ascii="宋体" w:hAnsi="宋体"/>
                <w:szCs w:val="21"/>
                <w:lang w:val="en-US" w:eastAsia="zh-CN"/>
              </w:rPr>
              <w:t>防渗化粪池</w:t>
            </w:r>
            <w:r>
              <w:rPr>
                <w:rFonts w:hint="eastAsia" w:ascii="宋体" w:hAnsi="宋体"/>
                <w:szCs w:val="21"/>
                <w:lang w:eastAsia="zh-CN"/>
              </w:rPr>
              <w:t>，定期由库尔勒龙润水处理有限公司采用罐车拉运至库尔勒南市区污水处理厂</w:t>
            </w:r>
          </w:p>
        </w:tc>
        <w:tc>
          <w:tcPr>
            <w:tcW w:w="1091" w:type="dxa"/>
            <w:tcBorders>
              <w:tl2br w:val="nil"/>
              <w:tr2bl w:val="nil"/>
            </w:tcBorders>
            <w:vAlign w:val="center"/>
          </w:tcPr>
          <w:p w14:paraId="29634431">
            <w:pPr>
              <w:widowControl/>
              <w:spacing w:line="260" w:lineRule="exact"/>
              <w:jc w:val="center"/>
              <w:rPr>
                <w:rFonts w:hint="eastAsia" w:ascii="宋体" w:hAnsi="宋体"/>
                <w:szCs w:val="21"/>
              </w:rPr>
            </w:pPr>
            <w:r>
              <w:rPr>
                <w:rFonts w:hint="eastAsia" w:ascii="宋体" w:hAnsi="宋体"/>
                <w:szCs w:val="21"/>
              </w:rPr>
              <w:t>利用现有</w:t>
            </w:r>
          </w:p>
        </w:tc>
      </w:tr>
      <w:tr w14:paraId="63460C8D">
        <w:tblPrEx>
          <w:tblBorders>
            <w:top w:val="single" w:color="auto" w:sz="12" w:space="0"/>
            <w:left w:val="single" w:color="auto" w:sz="12" w:space="0"/>
            <w:bottom w:val="single" w:color="auto" w:sz="12" w:space="0"/>
            <w:right w:val="single" w:color="auto" w:sz="12" w:space="0"/>
            <w:insideH w:val="single" w:color="auto" w:sz="6" w:space="0"/>
            <w:insideV w:val="single" w:color="auto" w:sz="4" w:space="0"/>
          </w:tblBorders>
          <w:tblCellMar>
            <w:top w:w="0" w:type="dxa"/>
            <w:left w:w="0" w:type="dxa"/>
            <w:bottom w:w="0" w:type="dxa"/>
            <w:right w:w="0" w:type="dxa"/>
          </w:tblCellMar>
        </w:tblPrEx>
        <w:trPr>
          <w:trHeight w:val="350" w:hRule="atLeast"/>
          <w:jc w:val="center"/>
        </w:trPr>
        <w:tc>
          <w:tcPr>
            <w:tcW w:w="1091" w:type="dxa"/>
            <w:vMerge w:val="continue"/>
            <w:tcBorders>
              <w:tl2br w:val="nil"/>
              <w:tr2bl w:val="nil"/>
            </w:tcBorders>
            <w:vAlign w:val="center"/>
          </w:tcPr>
          <w:p w14:paraId="743BFDE1">
            <w:pPr>
              <w:spacing w:line="260" w:lineRule="exact"/>
              <w:jc w:val="center"/>
              <w:rPr>
                <w:rFonts w:hint="eastAsia" w:ascii="宋体" w:hAnsi="宋体"/>
                <w:szCs w:val="21"/>
              </w:rPr>
            </w:pPr>
          </w:p>
        </w:tc>
        <w:tc>
          <w:tcPr>
            <w:tcW w:w="1448" w:type="dxa"/>
            <w:tcBorders>
              <w:tl2br w:val="nil"/>
              <w:tr2bl w:val="nil"/>
            </w:tcBorders>
            <w:vAlign w:val="center"/>
          </w:tcPr>
          <w:p w14:paraId="3C878717">
            <w:pPr>
              <w:spacing w:line="260" w:lineRule="exact"/>
              <w:jc w:val="center"/>
              <w:rPr>
                <w:rFonts w:hint="eastAsia" w:ascii="宋体" w:hAnsi="宋体"/>
                <w:szCs w:val="21"/>
              </w:rPr>
            </w:pPr>
            <w:r>
              <w:rPr>
                <w:rFonts w:ascii="宋体" w:hAnsi="宋体"/>
                <w:szCs w:val="21"/>
              </w:rPr>
              <w:t>供电</w:t>
            </w:r>
          </w:p>
        </w:tc>
        <w:tc>
          <w:tcPr>
            <w:tcW w:w="5448" w:type="dxa"/>
            <w:gridSpan w:val="2"/>
            <w:tcBorders>
              <w:tl2br w:val="nil"/>
              <w:tr2bl w:val="nil"/>
            </w:tcBorders>
            <w:vAlign w:val="center"/>
          </w:tcPr>
          <w:p w14:paraId="2A13E290">
            <w:pPr>
              <w:spacing w:line="260" w:lineRule="exact"/>
              <w:jc w:val="center"/>
              <w:rPr>
                <w:rFonts w:hint="eastAsia" w:ascii="宋体" w:hAnsi="宋体"/>
                <w:szCs w:val="21"/>
              </w:rPr>
            </w:pPr>
            <w:r>
              <w:rPr>
                <w:rFonts w:hint="eastAsia" w:ascii="宋体" w:hAnsi="宋体"/>
                <w:szCs w:val="21"/>
              </w:rPr>
              <w:t>国家电网</w:t>
            </w:r>
          </w:p>
        </w:tc>
        <w:tc>
          <w:tcPr>
            <w:tcW w:w="1091" w:type="dxa"/>
            <w:tcBorders>
              <w:tl2br w:val="nil"/>
              <w:tr2bl w:val="nil"/>
            </w:tcBorders>
            <w:vAlign w:val="center"/>
          </w:tcPr>
          <w:p w14:paraId="57E76622">
            <w:pPr>
              <w:widowControl/>
              <w:spacing w:line="260" w:lineRule="exact"/>
              <w:jc w:val="center"/>
              <w:rPr>
                <w:rFonts w:hint="eastAsia" w:ascii="宋体" w:hAnsi="宋体"/>
                <w:szCs w:val="21"/>
              </w:rPr>
            </w:pPr>
            <w:r>
              <w:rPr>
                <w:rFonts w:hint="eastAsia" w:ascii="宋体" w:hAnsi="宋体"/>
                <w:szCs w:val="21"/>
              </w:rPr>
              <w:t>依托</w:t>
            </w:r>
          </w:p>
        </w:tc>
      </w:tr>
      <w:tr w14:paraId="37A5B684">
        <w:tblPrEx>
          <w:tblBorders>
            <w:top w:val="single" w:color="auto" w:sz="12" w:space="0"/>
            <w:left w:val="single" w:color="auto" w:sz="12" w:space="0"/>
            <w:bottom w:val="single" w:color="auto" w:sz="12" w:space="0"/>
            <w:right w:val="single" w:color="auto" w:sz="12" w:space="0"/>
            <w:insideH w:val="single" w:color="auto" w:sz="6" w:space="0"/>
            <w:insideV w:val="single" w:color="auto" w:sz="4" w:space="0"/>
          </w:tblBorders>
          <w:tblCellMar>
            <w:top w:w="0" w:type="dxa"/>
            <w:left w:w="0" w:type="dxa"/>
            <w:bottom w:w="0" w:type="dxa"/>
            <w:right w:w="0" w:type="dxa"/>
          </w:tblCellMar>
        </w:tblPrEx>
        <w:trPr>
          <w:trHeight w:val="706" w:hRule="atLeast"/>
          <w:jc w:val="center"/>
        </w:trPr>
        <w:tc>
          <w:tcPr>
            <w:tcW w:w="1091" w:type="dxa"/>
            <w:vMerge w:val="continue"/>
            <w:tcBorders>
              <w:tl2br w:val="nil"/>
              <w:tr2bl w:val="nil"/>
            </w:tcBorders>
            <w:vAlign w:val="center"/>
          </w:tcPr>
          <w:p w14:paraId="115C7423">
            <w:pPr>
              <w:spacing w:line="260" w:lineRule="exact"/>
              <w:jc w:val="center"/>
              <w:rPr>
                <w:rFonts w:hint="eastAsia" w:ascii="宋体" w:hAnsi="宋体"/>
                <w:szCs w:val="21"/>
              </w:rPr>
            </w:pPr>
          </w:p>
        </w:tc>
        <w:tc>
          <w:tcPr>
            <w:tcW w:w="1448" w:type="dxa"/>
            <w:tcBorders>
              <w:tl2br w:val="nil"/>
              <w:tr2bl w:val="nil"/>
            </w:tcBorders>
            <w:vAlign w:val="center"/>
          </w:tcPr>
          <w:p w14:paraId="22E0204F">
            <w:pPr>
              <w:spacing w:line="260" w:lineRule="exact"/>
              <w:jc w:val="center"/>
              <w:rPr>
                <w:rFonts w:hint="eastAsia" w:ascii="宋体" w:hAnsi="宋体"/>
                <w:szCs w:val="21"/>
              </w:rPr>
            </w:pPr>
            <w:r>
              <w:rPr>
                <w:rFonts w:ascii="宋体" w:hAnsi="宋体"/>
                <w:szCs w:val="21"/>
              </w:rPr>
              <w:t>供热</w:t>
            </w:r>
          </w:p>
        </w:tc>
        <w:tc>
          <w:tcPr>
            <w:tcW w:w="5448" w:type="dxa"/>
            <w:gridSpan w:val="2"/>
            <w:tcBorders>
              <w:tl2br w:val="nil"/>
              <w:tr2bl w:val="nil"/>
            </w:tcBorders>
            <w:vAlign w:val="center"/>
          </w:tcPr>
          <w:p w14:paraId="52D8FD96">
            <w:pPr>
              <w:spacing w:line="260" w:lineRule="exact"/>
              <w:jc w:val="center"/>
              <w:rPr>
                <w:rFonts w:hint="eastAsia" w:ascii="宋体" w:hAnsi="宋体"/>
                <w:szCs w:val="21"/>
              </w:rPr>
            </w:pPr>
            <w:r>
              <w:rPr>
                <w:rFonts w:ascii="宋体" w:hAnsi="宋体"/>
                <w:szCs w:val="21"/>
              </w:rPr>
              <w:t>本项目生产采用电加热工艺，冬季宿舍取暖采用电热器。</w:t>
            </w:r>
          </w:p>
        </w:tc>
        <w:tc>
          <w:tcPr>
            <w:tcW w:w="1091" w:type="dxa"/>
            <w:tcBorders>
              <w:tl2br w:val="nil"/>
              <w:tr2bl w:val="nil"/>
            </w:tcBorders>
            <w:vAlign w:val="center"/>
          </w:tcPr>
          <w:p w14:paraId="69853DEE">
            <w:pPr>
              <w:widowControl/>
              <w:spacing w:line="260" w:lineRule="exact"/>
              <w:jc w:val="center"/>
              <w:rPr>
                <w:rFonts w:hint="eastAsia" w:ascii="宋体" w:hAnsi="宋体"/>
                <w:szCs w:val="21"/>
              </w:rPr>
            </w:pPr>
            <w:r>
              <w:rPr>
                <w:rFonts w:hint="eastAsia" w:ascii="宋体" w:hAnsi="宋体"/>
                <w:szCs w:val="21"/>
              </w:rPr>
              <w:t>现有</w:t>
            </w:r>
          </w:p>
        </w:tc>
      </w:tr>
      <w:tr w14:paraId="170D1D23">
        <w:tblPrEx>
          <w:tblBorders>
            <w:top w:val="single" w:color="auto" w:sz="12" w:space="0"/>
            <w:left w:val="single" w:color="auto" w:sz="12" w:space="0"/>
            <w:bottom w:val="single" w:color="auto" w:sz="12" w:space="0"/>
            <w:right w:val="single" w:color="auto" w:sz="12" w:space="0"/>
            <w:insideH w:val="single" w:color="auto" w:sz="6" w:space="0"/>
            <w:insideV w:val="single" w:color="auto" w:sz="4" w:space="0"/>
          </w:tblBorders>
          <w:tblCellMar>
            <w:top w:w="0" w:type="dxa"/>
            <w:left w:w="0" w:type="dxa"/>
            <w:bottom w:w="0" w:type="dxa"/>
            <w:right w:w="0" w:type="dxa"/>
          </w:tblCellMar>
        </w:tblPrEx>
        <w:trPr>
          <w:trHeight w:val="532" w:hRule="atLeast"/>
          <w:jc w:val="center"/>
        </w:trPr>
        <w:tc>
          <w:tcPr>
            <w:tcW w:w="1091" w:type="dxa"/>
            <w:vMerge w:val="restart"/>
            <w:tcBorders>
              <w:tl2br w:val="nil"/>
              <w:tr2bl w:val="nil"/>
            </w:tcBorders>
            <w:vAlign w:val="center"/>
          </w:tcPr>
          <w:p w14:paraId="6B57C4BC">
            <w:pPr>
              <w:spacing w:line="260" w:lineRule="exact"/>
              <w:jc w:val="center"/>
              <w:rPr>
                <w:rFonts w:hint="eastAsia"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环保工程</w:t>
            </w:r>
          </w:p>
        </w:tc>
        <w:tc>
          <w:tcPr>
            <w:tcW w:w="1448" w:type="dxa"/>
            <w:tcBorders>
              <w:tl2br w:val="nil"/>
              <w:tr2bl w:val="nil"/>
            </w:tcBorders>
            <w:vAlign w:val="center"/>
          </w:tcPr>
          <w:p w14:paraId="212357E2">
            <w:pPr>
              <w:spacing w:line="260" w:lineRule="exact"/>
              <w:jc w:val="center"/>
              <w:rPr>
                <w:rFonts w:hint="eastAsia"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 xml:space="preserve">污水处理系统 </w:t>
            </w:r>
          </w:p>
        </w:tc>
        <w:tc>
          <w:tcPr>
            <w:tcW w:w="2486" w:type="dxa"/>
            <w:tcBorders>
              <w:tl2br w:val="nil"/>
              <w:tr2bl w:val="nil"/>
            </w:tcBorders>
            <w:vAlign w:val="center"/>
          </w:tcPr>
          <w:p w14:paraId="63EF4F0B">
            <w:pPr>
              <w:spacing w:line="260" w:lineRule="exact"/>
              <w:jc w:val="center"/>
              <w:rPr>
                <w:rFonts w:hint="eastAsia" w:ascii="宋体" w:hAnsi="宋体"/>
                <w:color w:val="000000" w:themeColor="text1"/>
                <w:szCs w:val="21"/>
                <w14:textFill>
                  <w14:solidFill>
                    <w14:schemeClr w14:val="tx1"/>
                  </w14:solidFill>
                </w14:textFill>
              </w:rPr>
            </w:pPr>
            <w:r>
              <w:rPr>
                <w:rFonts w:hint="eastAsia" w:ascii="宋体" w:hAnsi="宋体"/>
                <w:szCs w:val="21"/>
                <w:lang w:val="en-US" w:eastAsia="zh-CN"/>
              </w:rPr>
              <w:t>10</w:t>
            </w:r>
            <w:r>
              <w:rPr>
                <w:rFonts w:ascii="宋体" w:hAnsi="宋体"/>
                <w:szCs w:val="21"/>
              </w:rPr>
              <w:t>m</w:t>
            </w:r>
            <w:r>
              <w:rPr>
                <w:rFonts w:ascii="宋体" w:hAnsi="宋体"/>
                <w:szCs w:val="21"/>
                <w:vertAlign w:val="superscript"/>
              </w:rPr>
              <w:t>3</w:t>
            </w:r>
            <w:r>
              <w:rPr>
                <w:rFonts w:hint="eastAsia" w:ascii="宋体" w:hAnsi="宋体"/>
                <w:szCs w:val="21"/>
                <w:lang w:val="en-US" w:eastAsia="zh-CN"/>
              </w:rPr>
              <w:t>防渗化粪池</w:t>
            </w:r>
          </w:p>
        </w:tc>
        <w:tc>
          <w:tcPr>
            <w:tcW w:w="2962" w:type="dxa"/>
            <w:tcBorders>
              <w:tl2br w:val="nil"/>
              <w:tr2bl w:val="nil"/>
            </w:tcBorders>
            <w:vAlign w:val="center"/>
          </w:tcPr>
          <w:p w14:paraId="6EB83FF2">
            <w:pPr>
              <w:spacing w:line="260" w:lineRule="exact"/>
              <w:jc w:val="center"/>
              <w:rPr>
                <w:rFonts w:hint="eastAsia" w:ascii="宋体" w:hAnsi="宋体"/>
                <w:color w:val="000000" w:themeColor="text1"/>
                <w:szCs w:val="21"/>
                <w14:textFill>
                  <w14:solidFill>
                    <w14:schemeClr w14:val="tx1"/>
                  </w14:solidFill>
                </w14:textFill>
              </w:rPr>
            </w:pPr>
            <w:r>
              <w:rPr>
                <w:rFonts w:hint="eastAsia" w:ascii="宋体" w:hAnsi="宋体"/>
                <w:szCs w:val="21"/>
              </w:rPr>
              <w:t>本项目不涉及清洗，采用风冷</w:t>
            </w:r>
            <w:r>
              <w:rPr>
                <w:rFonts w:ascii="宋体" w:hAnsi="宋体"/>
                <w:szCs w:val="21"/>
              </w:rPr>
              <w:t>，</w:t>
            </w:r>
            <w:r>
              <w:rPr>
                <w:rFonts w:hint="eastAsia" w:ascii="宋体" w:hAnsi="宋体"/>
                <w:szCs w:val="21"/>
              </w:rPr>
              <w:t>生活污水排入</w:t>
            </w:r>
            <w:r>
              <w:rPr>
                <w:rFonts w:hint="eastAsia" w:ascii="宋体" w:hAnsi="宋体"/>
                <w:szCs w:val="21"/>
                <w:lang w:val="en-US" w:eastAsia="zh-CN"/>
              </w:rPr>
              <w:t>10</w:t>
            </w:r>
            <w:r>
              <w:rPr>
                <w:rFonts w:ascii="宋体" w:hAnsi="宋体"/>
                <w:szCs w:val="21"/>
              </w:rPr>
              <w:t>m</w:t>
            </w:r>
            <w:r>
              <w:rPr>
                <w:rFonts w:ascii="宋体" w:hAnsi="宋体"/>
                <w:szCs w:val="21"/>
                <w:vertAlign w:val="superscript"/>
              </w:rPr>
              <w:t>3</w:t>
            </w:r>
            <w:r>
              <w:rPr>
                <w:rFonts w:hint="eastAsia" w:ascii="宋体" w:hAnsi="宋体"/>
                <w:szCs w:val="21"/>
                <w:lang w:val="en-US" w:eastAsia="zh-CN"/>
              </w:rPr>
              <w:t>防渗化粪池</w:t>
            </w:r>
            <w:r>
              <w:rPr>
                <w:rFonts w:hint="eastAsia" w:ascii="宋体" w:hAnsi="宋体"/>
                <w:szCs w:val="21"/>
                <w:lang w:eastAsia="zh-CN"/>
              </w:rPr>
              <w:t>，定期由库尔勒龙润水处理有限公司采用罐车拉运至库尔勒南市区污水处理厂</w:t>
            </w:r>
          </w:p>
        </w:tc>
        <w:tc>
          <w:tcPr>
            <w:tcW w:w="1091" w:type="dxa"/>
            <w:tcBorders>
              <w:tl2br w:val="nil"/>
              <w:tr2bl w:val="nil"/>
            </w:tcBorders>
            <w:vAlign w:val="center"/>
          </w:tcPr>
          <w:p w14:paraId="3FC8D7D7">
            <w:pPr>
              <w:spacing w:line="260" w:lineRule="exact"/>
              <w:jc w:val="center"/>
              <w:rPr>
                <w:rFonts w:hint="eastAsia" w:ascii="宋体" w:hAnsi="宋体"/>
                <w:color w:val="000000" w:themeColor="text1"/>
                <w:szCs w:val="21"/>
                <w14:textFill>
                  <w14:solidFill>
                    <w14:schemeClr w14:val="tx1"/>
                  </w14:solidFill>
                </w14:textFill>
              </w:rPr>
            </w:pPr>
            <w:r>
              <w:rPr>
                <w:rFonts w:hint="eastAsia"/>
              </w:rPr>
              <w:t>现有</w:t>
            </w:r>
          </w:p>
        </w:tc>
      </w:tr>
      <w:tr w14:paraId="305F2E27">
        <w:tblPrEx>
          <w:tblBorders>
            <w:top w:val="single" w:color="auto" w:sz="12" w:space="0"/>
            <w:left w:val="single" w:color="auto" w:sz="12" w:space="0"/>
            <w:bottom w:val="single" w:color="auto" w:sz="12" w:space="0"/>
            <w:right w:val="single" w:color="auto" w:sz="12" w:space="0"/>
            <w:insideH w:val="single" w:color="auto" w:sz="6" w:space="0"/>
            <w:insideV w:val="single" w:color="auto" w:sz="4" w:space="0"/>
          </w:tblBorders>
          <w:tblCellMar>
            <w:top w:w="0" w:type="dxa"/>
            <w:left w:w="0" w:type="dxa"/>
            <w:bottom w:w="0" w:type="dxa"/>
            <w:right w:w="0" w:type="dxa"/>
          </w:tblCellMar>
        </w:tblPrEx>
        <w:trPr>
          <w:trHeight w:val="879" w:hRule="atLeast"/>
          <w:jc w:val="center"/>
        </w:trPr>
        <w:tc>
          <w:tcPr>
            <w:tcW w:w="1091" w:type="dxa"/>
            <w:vMerge w:val="continue"/>
            <w:tcBorders>
              <w:tl2br w:val="nil"/>
              <w:tr2bl w:val="nil"/>
            </w:tcBorders>
            <w:vAlign w:val="center"/>
          </w:tcPr>
          <w:p w14:paraId="3939B339">
            <w:pPr>
              <w:spacing w:line="260" w:lineRule="exact"/>
              <w:jc w:val="center"/>
              <w:rPr>
                <w:rFonts w:hint="eastAsia" w:ascii="宋体" w:hAnsi="宋体"/>
                <w:szCs w:val="21"/>
              </w:rPr>
            </w:pPr>
          </w:p>
        </w:tc>
        <w:tc>
          <w:tcPr>
            <w:tcW w:w="1448" w:type="dxa"/>
            <w:vMerge w:val="restart"/>
            <w:tcBorders>
              <w:tl2br w:val="nil"/>
              <w:tr2bl w:val="nil"/>
            </w:tcBorders>
            <w:vAlign w:val="center"/>
          </w:tcPr>
          <w:p w14:paraId="759D5716">
            <w:pPr>
              <w:spacing w:line="260" w:lineRule="exact"/>
              <w:jc w:val="center"/>
              <w:rPr>
                <w:rFonts w:hint="eastAsia" w:ascii="宋体" w:hAnsi="宋体"/>
                <w:szCs w:val="21"/>
              </w:rPr>
            </w:pPr>
            <w:r>
              <w:rPr>
                <w:rFonts w:ascii="宋体" w:hAnsi="宋体"/>
                <w:szCs w:val="21"/>
              </w:rPr>
              <w:t xml:space="preserve">废气处理系统 </w:t>
            </w:r>
          </w:p>
        </w:tc>
        <w:tc>
          <w:tcPr>
            <w:tcW w:w="2486" w:type="dxa"/>
            <w:vMerge w:val="restart"/>
            <w:tcBorders>
              <w:tl2br w:val="nil"/>
              <w:tr2bl w:val="nil"/>
            </w:tcBorders>
            <w:vAlign w:val="center"/>
          </w:tcPr>
          <w:p w14:paraId="3022EED7">
            <w:pPr>
              <w:spacing w:line="260" w:lineRule="exact"/>
              <w:jc w:val="center"/>
              <w:rPr>
                <w:rFonts w:hint="eastAsia" w:ascii="宋体" w:hAnsi="宋体"/>
              </w:rPr>
            </w:pPr>
            <w:r>
              <w:rPr>
                <w:rFonts w:ascii="宋体" w:hAnsi="宋体"/>
              </w:rPr>
              <w:t>造粒</w:t>
            </w:r>
            <w:r>
              <w:rPr>
                <w:rFonts w:hint="eastAsia" w:ascii="宋体" w:hAnsi="宋体"/>
              </w:rPr>
              <w:t>、滴灌带生产线</w:t>
            </w:r>
          </w:p>
        </w:tc>
        <w:tc>
          <w:tcPr>
            <w:tcW w:w="2962" w:type="dxa"/>
            <w:tcBorders>
              <w:tl2br w:val="nil"/>
              <w:tr2bl w:val="nil"/>
            </w:tcBorders>
            <w:vAlign w:val="center"/>
          </w:tcPr>
          <w:p w14:paraId="47316DB8">
            <w:pPr>
              <w:spacing w:line="260" w:lineRule="exact"/>
              <w:jc w:val="center"/>
              <w:rPr>
                <w:rFonts w:hint="eastAsia" w:ascii="宋体" w:hAnsi="宋体"/>
              </w:rPr>
            </w:pPr>
            <w:r>
              <w:rPr>
                <w:rFonts w:hint="eastAsia" w:ascii="宋体" w:hAnsi="宋体"/>
              </w:rPr>
              <w:t>每条生产线各</w:t>
            </w:r>
            <w:r>
              <w:rPr>
                <w:rFonts w:ascii="宋体" w:hAnsi="宋体"/>
              </w:rPr>
              <w:t>安装集气装置和排风量为</w:t>
            </w:r>
            <w:r>
              <w:rPr>
                <w:rFonts w:hint="eastAsia" w:ascii="宋体" w:hAnsi="宋体"/>
                <w:lang w:val="en-US" w:eastAsia="zh-CN"/>
              </w:rPr>
              <w:t>20000</w:t>
            </w:r>
            <w:r>
              <w:rPr>
                <w:rFonts w:ascii="宋体" w:hAnsi="宋体"/>
              </w:rPr>
              <w:t>m</w:t>
            </w:r>
            <w:r>
              <w:rPr>
                <w:rFonts w:ascii="宋体" w:hAnsi="宋体"/>
                <w:vertAlign w:val="superscript"/>
              </w:rPr>
              <w:t>3</w:t>
            </w:r>
            <w:r>
              <w:rPr>
                <w:rFonts w:ascii="宋体" w:hAnsi="宋体"/>
              </w:rPr>
              <w:t>/h的引风机，每天运行</w:t>
            </w:r>
            <w:r>
              <w:rPr>
                <w:rFonts w:hint="eastAsia" w:ascii="宋体" w:hAnsi="宋体"/>
              </w:rPr>
              <w:t>24</w:t>
            </w:r>
            <w:r>
              <w:rPr>
                <w:rFonts w:ascii="宋体" w:hAnsi="宋体"/>
              </w:rPr>
              <w:t>小时，</w:t>
            </w:r>
            <w:r>
              <w:rPr>
                <w:rFonts w:hint="eastAsia" w:ascii="宋体" w:hAnsi="宋体"/>
              </w:rPr>
              <w:t>废气经</w:t>
            </w:r>
            <w:r>
              <w:rPr>
                <w:rFonts w:hint="eastAsia"/>
                <w:szCs w:val="21"/>
              </w:rPr>
              <w:t>集气罩后，经1套</w:t>
            </w:r>
            <w:r>
              <w:rPr>
                <w:rFonts w:hint="eastAsia"/>
                <w:lang w:eastAsia="zh-CN"/>
              </w:rPr>
              <w:t>活性炭浓缩吸附+催化燃烧</w:t>
            </w:r>
            <w:r>
              <w:rPr>
                <w:rFonts w:hint="eastAsia"/>
              </w:rPr>
              <w:t>系统处理后经15m高排气筒排放</w:t>
            </w:r>
            <w:r>
              <w:rPr>
                <w:rFonts w:ascii="宋体" w:hAnsi="宋体"/>
              </w:rPr>
              <w:t>。</w:t>
            </w:r>
          </w:p>
        </w:tc>
        <w:tc>
          <w:tcPr>
            <w:tcW w:w="1091" w:type="dxa"/>
            <w:tcBorders>
              <w:tl2br w:val="nil"/>
              <w:tr2bl w:val="nil"/>
            </w:tcBorders>
            <w:vAlign w:val="center"/>
          </w:tcPr>
          <w:p w14:paraId="4E4B0DD9">
            <w:pPr>
              <w:spacing w:line="260" w:lineRule="exact"/>
              <w:jc w:val="center"/>
              <w:rPr>
                <w:rFonts w:hint="eastAsia" w:ascii="宋体" w:hAnsi="宋体"/>
                <w:szCs w:val="21"/>
              </w:rPr>
            </w:pPr>
            <w:r>
              <w:rPr>
                <w:rFonts w:hint="eastAsia" w:ascii="宋体" w:hAnsi="宋体"/>
                <w:szCs w:val="21"/>
              </w:rPr>
              <w:t>新建</w:t>
            </w:r>
          </w:p>
        </w:tc>
      </w:tr>
      <w:tr w14:paraId="41055D62">
        <w:tblPrEx>
          <w:tblBorders>
            <w:top w:val="single" w:color="auto" w:sz="12" w:space="0"/>
            <w:left w:val="single" w:color="auto" w:sz="12" w:space="0"/>
            <w:bottom w:val="single" w:color="auto" w:sz="12" w:space="0"/>
            <w:right w:val="single" w:color="auto" w:sz="12" w:space="0"/>
            <w:insideH w:val="single" w:color="auto" w:sz="6" w:space="0"/>
            <w:insideV w:val="single" w:color="auto" w:sz="4" w:space="0"/>
          </w:tblBorders>
          <w:tblCellMar>
            <w:top w:w="0" w:type="dxa"/>
            <w:left w:w="0" w:type="dxa"/>
            <w:bottom w:w="0" w:type="dxa"/>
            <w:right w:w="0" w:type="dxa"/>
          </w:tblCellMar>
        </w:tblPrEx>
        <w:trPr>
          <w:trHeight w:val="358" w:hRule="atLeast"/>
          <w:jc w:val="center"/>
        </w:trPr>
        <w:tc>
          <w:tcPr>
            <w:tcW w:w="1091" w:type="dxa"/>
            <w:vMerge w:val="continue"/>
            <w:tcBorders>
              <w:tl2br w:val="nil"/>
              <w:tr2bl w:val="nil"/>
            </w:tcBorders>
            <w:vAlign w:val="center"/>
          </w:tcPr>
          <w:p w14:paraId="4E7A4C5C">
            <w:pPr>
              <w:spacing w:line="260" w:lineRule="exact"/>
              <w:jc w:val="center"/>
              <w:rPr>
                <w:rFonts w:hint="eastAsia" w:ascii="宋体" w:hAnsi="宋体"/>
                <w:szCs w:val="21"/>
              </w:rPr>
            </w:pPr>
          </w:p>
        </w:tc>
        <w:tc>
          <w:tcPr>
            <w:tcW w:w="1448" w:type="dxa"/>
            <w:vMerge w:val="continue"/>
            <w:tcBorders>
              <w:tl2br w:val="nil"/>
              <w:tr2bl w:val="nil"/>
            </w:tcBorders>
            <w:vAlign w:val="center"/>
          </w:tcPr>
          <w:p w14:paraId="44D0361F">
            <w:pPr>
              <w:spacing w:line="260" w:lineRule="exact"/>
              <w:jc w:val="center"/>
              <w:rPr>
                <w:rFonts w:hint="eastAsia" w:ascii="宋体" w:hAnsi="宋体"/>
                <w:szCs w:val="21"/>
              </w:rPr>
            </w:pPr>
          </w:p>
        </w:tc>
        <w:tc>
          <w:tcPr>
            <w:tcW w:w="2486" w:type="dxa"/>
            <w:vMerge w:val="continue"/>
            <w:tcBorders>
              <w:tl2br w:val="nil"/>
              <w:tr2bl w:val="nil"/>
            </w:tcBorders>
            <w:vAlign w:val="center"/>
          </w:tcPr>
          <w:p w14:paraId="02B90ECB">
            <w:pPr>
              <w:spacing w:line="260" w:lineRule="exact"/>
              <w:jc w:val="center"/>
              <w:rPr>
                <w:rFonts w:hint="eastAsia" w:ascii="宋体" w:hAnsi="宋体"/>
              </w:rPr>
            </w:pPr>
          </w:p>
        </w:tc>
        <w:tc>
          <w:tcPr>
            <w:tcW w:w="2962" w:type="dxa"/>
            <w:tcBorders>
              <w:tl2br w:val="nil"/>
              <w:tr2bl w:val="nil"/>
            </w:tcBorders>
            <w:vAlign w:val="center"/>
          </w:tcPr>
          <w:p w14:paraId="107938D2">
            <w:pPr>
              <w:spacing w:line="260" w:lineRule="exact"/>
              <w:jc w:val="center"/>
              <w:rPr>
                <w:rFonts w:hint="eastAsia" w:ascii="宋体" w:hAnsi="宋体"/>
              </w:rPr>
            </w:pPr>
            <w:r>
              <w:rPr>
                <w:color w:val="000000"/>
              </w:rPr>
              <w:t>生产车间无组织废气通过加强车间通风等措施控制</w:t>
            </w:r>
            <w:r>
              <w:rPr>
                <w:rFonts w:hint="eastAsia"/>
                <w:color w:val="000000"/>
              </w:rPr>
              <w:t>。</w:t>
            </w:r>
          </w:p>
        </w:tc>
        <w:tc>
          <w:tcPr>
            <w:tcW w:w="1091" w:type="dxa"/>
            <w:tcBorders>
              <w:tl2br w:val="nil"/>
              <w:tr2bl w:val="nil"/>
            </w:tcBorders>
            <w:vAlign w:val="center"/>
          </w:tcPr>
          <w:p w14:paraId="1585972D">
            <w:pPr>
              <w:spacing w:line="260" w:lineRule="exact"/>
              <w:jc w:val="center"/>
              <w:rPr>
                <w:rFonts w:hint="eastAsia" w:ascii="宋体" w:hAnsi="宋体"/>
              </w:rPr>
            </w:pPr>
            <w:r>
              <w:rPr>
                <w:rFonts w:hint="eastAsia" w:ascii="宋体" w:hAnsi="宋体"/>
              </w:rPr>
              <w:t>新建</w:t>
            </w:r>
          </w:p>
        </w:tc>
      </w:tr>
      <w:tr w14:paraId="4F10870F">
        <w:tblPrEx>
          <w:tblBorders>
            <w:top w:val="single" w:color="auto" w:sz="12" w:space="0"/>
            <w:left w:val="single" w:color="auto" w:sz="12" w:space="0"/>
            <w:bottom w:val="single" w:color="auto" w:sz="12" w:space="0"/>
            <w:right w:val="single" w:color="auto" w:sz="12" w:space="0"/>
            <w:insideH w:val="single" w:color="auto" w:sz="6" w:space="0"/>
            <w:insideV w:val="single" w:color="auto" w:sz="4" w:space="0"/>
          </w:tblBorders>
          <w:tblCellMar>
            <w:top w:w="0" w:type="dxa"/>
            <w:left w:w="0" w:type="dxa"/>
            <w:bottom w:w="0" w:type="dxa"/>
            <w:right w:w="0" w:type="dxa"/>
          </w:tblCellMar>
        </w:tblPrEx>
        <w:trPr>
          <w:trHeight w:val="635" w:hRule="atLeast"/>
          <w:jc w:val="center"/>
        </w:trPr>
        <w:tc>
          <w:tcPr>
            <w:tcW w:w="1091" w:type="dxa"/>
            <w:vMerge w:val="continue"/>
            <w:tcBorders>
              <w:tl2br w:val="nil"/>
              <w:tr2bl w:val="nil"/>
            </w:tcBorders>
            <w:vAlign w:val="center"/>
          </w:tcPr>
          <w:p w14:paraId="56692FEC">
            <w:pPr>
              <w:spacing w:line="260" w:lineRule="exact"/>
              <w:jc w:val="center"/>
              <w:rPr>
                <w:rFonts w:hint="eastAsia" w:ascii="宋体" w:hAnsi="宋体"/>
                <w:szCs w:val="21"/>
              </w:rPr>
            </w:pPr>
          </w:p>
        </w:tc>
        <w:tc>
          <w:tcPr>
            <w:tcW w:w="1448" w:type="dxa"/>
            <w:tcBorders>
              <w:tl2br w:val="nil"/>
              <w:tr2bl w:val="nil"/>
            </w:tcBorders>
            <w:vAlign w:val="center"/>
          </w:tcPr>
          <w:p w14:paraId="1C6055D1">
            <w:pPr>
              <w:spacing w:line="260" w:lineRule="exact"/>
              <w:jc w:val="center"/>
              <w:rPr>
                <w:rFonts w:hint="eastAsia" w:ascii="宋体" w:hAnsi="宋体"/>
                <w:szCs w:val="21"/>
              </w:rPr>
            </w:pPr>
            <w:r>
              <w:rPr>
                <w:rFonts w:ascii="宋体" w:hAnsi="宋体"/>
                <w:szCs w:val="21"/>
              </w:rPr>
              <w:t>噪声处理系统</w:t>
            </w:r>
          </w:p>
        </w:tc>
        <w:tc>
          <w:tcPr>
            <w:tcW w:w="2486" w:type="dxa"/>
            <w:tcBorders>
              <w:tl2br w:val="nil"/>
              <w:tr2bl w:val="nil"/>
            </w:tcBorders>
            <w:vAlign w:val="center"/>
          </w:tcPr>
          <w:p w14:paraId="36C8E7AD">
            <w:pPr>
              <w:spacing w:line="260" w:lineRule="exact"/>
              <w:jc w:val="center"/>
              <w:rPr>
                <w:rFonts w:hint="eastAsia" w:ascii="宋体" w:hAnsi="宋体"/>
              </w:rPr>
            </w:pPr>
            <w:r>
              <w:rPr>
                <w:rFonts w:ascii="宋体" w:hAnsi="宋体"/>
              </w:rPr>
              <w:t>采取消声减振处理，</w:t>
            </w:r>
            <w:r>
              <w:rPr>
                <w:rFonts w:hint="eastAsia" w:ascii="宋体" w:hAnsi="宋体"/>
              </w:rPr>
              <w:t>并</w:t>
            </w:r>
            <w:r>
              <w:rPr>
                <w:rFonts w:ascii="宋体" w:hAnsi="宋体"/>
              </w:rPr>
              <w:t>置于室内</w:t>
            </w:r>
            <w:r>
              <w:rPr>
                <w:rFonts w:hint="eastAsia" w:ascii="宋体" w:hAnsi="宋体"/>
              </w:rPr>
              <w:t>。</w:t>
            </w:r>
          </w:p>
        </w:tc>
        <w:tc>
          <w:tcPr>
            <w:tcW w:w="2962" w:type="dxa"/>
            <w:tcBorders>
              <w:tl2br w:val="nil"/>
              <w:tr2bl w:val="nil"/>
            </w:tcBorders>
            <w:vAlign w:val="center"/>
          </w:tcPr>
          <w:p w14:paraId="546CACE4">
            <w:pPr>
              <w:pStyle w:val="240"/>
              <w:jc w:val="left"/>
              <w:rPr>
                <w:rFonts w:hint="default"/>
              </w:rPr>
            </w:pPr>
            <w:r>
              <w:rPr>
                <w:rFonts w:hint="default"/>
              </w:rPr>
              <w:t>选择低噪声设备，采用减振、建筑隔声等措施进行控制</w:t>
            </w:r>
            <w:r>
              <w:t>。</w:t>
            </w:r>
            <w:r>
              <w:rPr>
                <w:rFonts w:ascii="宋体" w:hAnsi="宋体"/>
                <w:color w:val="auto"/>
              </w:rPr>
              <w:t>降噪效果约为20dB（A）左右。</w:t>
            </w:r>
          </w:p>
        </w:tc>
        <w:tc>
          <w:tcPr>
            <w:tcW w:w="1091" w:type="dxa"/>
            <w:tcBorders>
              <w:tl2br w:val="nil"/>
              <w:tr2bl w:val="nil"/>
            </w:tcBorders>
            <w:vAlign w:val="center"/>
          </w:tcPr>
          <w:p w14:paraId="683186E2">
            <w:pPr>
              <w:spacing w:line="260" w:lineRule="exact"/>
              <w:jc w:val="center"/>
              <w:rPr>
                <w:rFonts w:hint="eastAsia" w:ascii="宋体" w:hAnsi="宋体"/>
                <w:szCs w:val="21"/>
              </w:rPr>
            </w:pPr>
            <w:r>
              <w:rPr>
                <w:rFonts w:hint="eastAsia" w:ascii="宋体" w:hAnsi="宋体"/>
                <w:szCs w:val="21"/>
              </w:rPr>
              <w:t>/</w:t>
            </w:r>
          </w:p>
        </w:tc>
      </w:tr>
      <w:tr w14:paraId="3B49910D">
        <w:tblPrEx>
          <w:tblBorders>
            <w:top w:val="single" w:color="auto" w:sz="12" w:space="0"/>
            <w:left w:val="single" w:color="auto" w:sz="12" w:space="0"/>
            <w:bottom w:val="single" w:color="auto" w:sz="12" w:space="0"/>
            <w:right w:val="single" w:color="auto" w:sz="12" w:space="0"/>
            <w:insideH w:val="single" w:color="auto" w:sz="6" w:space="0"/>
            <w:insideV w:val="single" w:color="auto" w:sz="4" w:space="0"/>
          </w:tblBorders>
          <w:tblCellMar>
            <w:top w:w="0" w:type="dxa"/>
            <w:left w:w="0" w:type="dxa"/>
            <w:bottom w:w="0" w:type="dxa"/>
            <w:right w:w="0" w:type="dxa"/>
          </w:tblCellMar>
        </w:tblPrEx>
        <w:trPr>
          <w:trHeight w:val="1400" w:hRule="atLeast"/>
          <w:jc w:val="center"/>
        </w:trPr>
        <w:tc>
          <w:tcPr>
            <w:tcW w:w="1091" w:type="dxa"/>
            <w:vMerge w:val="continue"/>
            <w:tcBorders>
              <w:tl2br w:val="nil"/>
              <w:tr2bl w:val="nil"/>
            </w:tcBorders>
            <w:vAlign w:val="center"/>
          </w:tcPr>
          <w:p w14:paraId="481A270F">
            <w:pPr>
              <w:spacing w:line="260" w:lineRule="exact"/>
              <w:jc w:val="center"/>
              <w:rPr>
                <w:rFonts w:hint="eastAsia" w:ascii="宋体" w:hAnsi="宋体"/>
                <w:szCs w:val="21"/>
              </w:rPr>
            </w:pPr>
          </w:p>
        </w:tc>
        <w:tc>
          <w:tcPr>
            <w:tcW w:w="1448" w:type="dxa"/>
            <w:vMerge w:val="restart"/>
            <w:tcBorders>
              <w:tl2br w:val="nil"/>
              <w:tr2bl w:val="nil"/>
            </w:tcBorders>
            <w:vAlign w:val="center"/>
          </w:tcPr>
          <w:p w14:paraId="2E5957C5">
            <w:pPr>
              <w:spacing w:line="260" w:lineRule="exact"/>
              <w:jc w:val="center"/>
              <w:rPr>
                <w:rFonts w:hint="eastAsia" w:ascii="宋体" w:hAnsi="宋体"/>
                <w:szCs w:val="21"/>
              </w:rPr>
            </w:pPr>
            <w:r>
              <w:rPr>
                <w:rFonts w:ascii="宋体" w:hAnsi="宋体"/>
                <w:szCs w:val="21"/>
              </w:rPr>
              <w:t>固</w:t>
            </w:r>
            <w:r>
              <w:rPr>
                <w:rFonts w:hint="eastAsia" w:ascii="宋体" w:hAnsi="宋体"/>
                <w:szCs w:val="21"/>
              </w:rPr>
              <w:t>体</w:t>
            </w:r>
            <w:r>
              <w:rPr>
                <w:rFonts w:ascii="宋体" w:hAnsi="宋体"/>
                <w:szCs w:val="21"/>
              </w:rPr>
              <w:t>废</w:t>
            </w:r>
            <w:r>
              <w:rPr>
                <w:rFonts w:hint="eastAsia" w:ascii="宋体" w:hAnsi="宋体"/>
                <w:szCs w:val="21"/>
              </w:rPr>
              <w:t>物</w:t>
            </w:r>
            <w:r>
              <w:rPr>
                <w:rFonts w:ascii="宋体" w:hAnsi="宋体"/>
                <w:szCs w:val="21"/>
              </w:rPr>
              <w:t>处理系统</w:t>
            </w:r>
          </w:p>
        </w:tc>
        <w:tc>
          <w:tcPr>
            <w:tcW w:w="2486" w:type="dxa"/>
            <w:tcBorders>
              <w:tl2br w:val="nil"/>
              <w:tr2bl w:val="nil"/>
            </w:tcBorders>
            <w:vAlign w:val="center"/>
          </w:tcPr>
          <w:p w14:paraId="3488FAEE">
            <w:pPr>
              <w:spacing w:line="260" w:lineRule="exact"/>
              <w:jc w:val="center"/>
              <w:rPr>
                <w:rFonts w:hint="eastAsia" w:ascii="宋体" w:hAnsi="宋体"/>
              </w:rPr>
            </w:pPr>
            <w:r>
              <w:rPr>
                <w:rFonts w:hint="eastAsia" w:ascii="宋体" w:hAnsi="宋体"/>
              </w:rPr>
              <w:t>危废贮存点</w:t>
            </w:r>
          </w:p>
        </w:tc>
        <w:tc>
          <w:tcPr>
            <w:tcW w:w="2962" w:type="dxa"/>
            <w:tcBorders>
              <w:tl2br w:val="nil"/>
              <w:tr2bl w:val="nil"/>
            </w:tcBorders>
            <w:vAlign w:val="center"/>
          </w:tcPr>
          <w:p w14:paraId="060F588D">
            <w:pPr>
              <w:spacing w:line="260" w:lineRule="exact"/>
              <w:jc w:val="center"/>
              <w:rPr>
                <w:rFonts w:hint="eastAsia" w:ascii="宋体" w:hAnsi="宋体"/>
                <w:szCs w:val="21"/>
              </w:rPr>
            </w:pPr>
            <w:r>
              <w:rPr>
                <w:rFonts w:hint="eastAsia"/>
              </w:rPr>
              <w:t>废活性炭、</w:t>
            </w:r>
            <w:r>
              <w:rPr>
                <w:color w:val="000000"/>
              </w:rPr>
              <w:t>废润滑油</w:t>
            </w:r>
            <w:r>
              <w:rPr>
                <w:rFonts w:hint="eastAsia"/>
                <w:color w:val="000000"/>
              </w:rPr>
              <w:t>、废润滑油桶</w:t>
            </w:r>
            <w:r>
              <w:rPr>
                <w:color w:val="000000"/>
              </w:rPr>
              <w:t>暂存于</w:t>
            </w:r>
            <w:r>
              <w:rPr>
                <w:rFonts w:hint="eastAsia"/>
                <w:color w:val="000000"/>
              </w:rPr>
              <w:t>危废贮存点</w:t>
            </w:r>
            <w:r>
              <w:rPr>
                <w:color w:val="000000"/>
              </w:rPr>
              <w:t>（新建，面积</w:t>
            </w:r>
            <w:r>
              <w:rPr>
                <w:rFonts w:hint="eastAsia"/>
                <w:color w:val="000000"/>
              </w:rPr>
              <w:t>10</w:t>
            </w:r>
            <w:r>
              <w:rPr>
                <w:color w:val="000000"/>
              </w:rPr>
              <w:t>m</w:t>
            </w:r>
            <w:r>
              <w:rPr>
                <w:color w:val="000000"/>
                <w:vertAlign w:val="superscript"/>
              </w:rPr>
              <w:t>2</w:t>
            </w:r>
            <w:r>
              <w:rPr>
                <w:color w:val="000000"/>
              </w:rPr>
              <w:t>），定期交由有资质的单位处理。</w:t>
            </w:r>
          </w:p>
        </w:tc>
        <w:tc>
          <w:tcPr>
            <w:tcW w:w="1091" w:type="dxa"/>
            <w:tcBorders>
              <w:tl2br w:val="nil"/>
              <w:tr2bl w:val="nil"/>
            </w:tcBorders>
            <w:vAlign w:val="center"/>
          </w:tcPr>
          <w:p w14:paraId="15C4D5C5">
            <w:pPr>
              <w:spacing w:line="260" w:lineRule="exact"/>
              <w:jc w:val="center"/>
              <w:rPr>
                <w:rFonts w:hint="eastAsia" w:ascii="宋体" w:hAnsi="宋体"/>
                <w:szCs w:val="21"/>
              </w:rPr>
            </w:pPr>
            <w:r>
              <w:rPr>
                <w:rFonts w:hint="eastAsia" w:ascii="宋体" w:hAnsi="宋体"/>
                <w:szCs w:val="21"/>
              </w:rPr>
              <w:t>新建</w:t>
            </w:r>
          </w:p>
        </w:tc>
      </w:tr>
      <w:tr w14:paraId="37FB7702">
        <w:tblPrEx>
          <w:tblBorders>
            <w:top w:val="single" w:color="auto" w:sz="12" w:space="0"/>
            <w:left w:val="single" w:color="auto" w:sz="12" w:space="0"/>
            <w:bottom w:val="single" w:color="auto" w:sz="12" w:space="0"/>
            <w:right w:val="single" w:color="auto" w:sz="12" w:space="0"/>
            <w:insideH w:val="single" w:color="auto" w:sz="6" w:space="0"/>
            <w:insideV w:val="single" w:color="auto" w:sz="4" w:space="0"/>
          </w:tblBorders>
          <w:tblCellMar>
            <w:top w:w="0" w:type="dxa"/>
            <w:left w:w="0" w:type="dxa"/>
            <w:bottom w:w="0" w:type="dxa"/>
            <w:right w:w="0" w:type="dxa"/>
          </w:tblCellMar>
        </w:tblPrEx>
        <w:trPr>
          <w:trHeight w:val="1400" w:hRule="atLeast"/>
          <w:jc w:val="center"/>
        </w:trPr>
        <w:tc>
          <w:tcPr>
            <w:tcW w:w="1091" w:type="dxa"/>
            <w:vMerge w:val="continue"/>
            <w:tcBorders>
              <w:tl2br w:val="nil"/>
              <w:tr2bl w:val="nil"/>
            </w:tcBorders>
            <w:vAlign w:val="center"/>
          </w:tcPr>
          <w:p w14:paraId="23F84C73">
            <w:pPr>
              <w:spacing w:line="260" w:lineRule="exact"/>
              <w:jc w:val="center"/>
              <w:rPr>
                <w:rFonts w:hint="eastAsia" w:ascii="宋体" w:hAnsi="宋体"/>
                <w:szCs w:val="21"/>
              </w:rPr>
            </w:pPr>
          </w:p>
        </w:tc>
        <w:tc>
          <w:tcPr>
            <w:tcW w:w="1448" w:type="dxa"/>
            <w:vMerge w:val="continue"/>
            <w:tcBorders>
              <w:tl2br w:val="nil"/>
              <w:tr2bl w:val="nil"/>
            </w:tcBorders>
            <w:vAlign w:val="center"/>
          </w:tcPr>
          <w:p w14:paraId="1F4CDF10">
            <w:pPr>
              <w:spacing w:line="260" w:lineRule="exact"/>
              <w:jc w:val="center"/>
              <w:rPr>
                <w:rFonts w:ascii="宋体" w:hAnsi="宋体"/>
                <w:szCs w:val="21"/>
              </w:rPr>
            </w:pPr>
          </w:p>
        </w:tc>
        <w:tc>
          <w:tcPr>
            <w:tcW w:w="2486" w:type="dxa"/>
            <w:tcBorders>
              <w:tl2br w:val="nil"/>
              <w:tr2bl w:val="nil"/>
            </w:tcBorders>
            <w:vAlign w:val="center"/>
          </w:tcPr>
          <w:p w14:paraId="2096E199">
            <w:pPr>
              <w:spacing w:line="260" w:lineRule="exact"/>
              <w:jc w:val="center"/>
              <w:rPr>
                <w:rFonts w:hint="eastAsia" w:ascii="宋体" w:hAnsi="宋体"/>
              </w:rPr>
            </w:pPr>
            <w:r>
              <w:rPr>
                <w:rFonts w:hint="eastAsia" w:ascii="Times New Roman" w:hAnsi="Times New Roman" w:eastAsia="宋体" w:cs="Times New Roman"/>
                <w:b w:val="0"/>
                <w:bCs w:val="0"/>
                <w:color w:val="auto"/>
                <w:sz w:val="21"/>
                <w:szCs w:val="21"/>
                <w:lang w:val="en-US" w:eastAsia="zh-CN"/>
              </w:rPr>
              <w:t>一般固废暂存间</w:t>
            </w:r>
          </w:p>
        </w:tc>
        <w:tc>
          <w:tcPr>
            <w:tcW w:w="2962" w:type="dxa"/>
            <w:tcBorders>
              <w:tl2br w:val="nil"/>
              <w:tr2bl w:val="nil"/>
            </w:tcBorders>
            <w:vAlign w:val="center"/>
          </w:tcPr>
          <w:p w14:paraId="0C0AFEF3">
            <w:pPr>
              <w:spacing w:line="260" w:lineRule="exact"/>
              <w:jc w:val="center"/>
              <w:rPr>
                <w:color w:val="000000"/>
              </w:rPr>
            </w:pPr>
            <w:r>
              <w:rPr>
                <w:color w:val="000000"/>
              </w:rPr>
              <w:t>不合格品返回造粒工序；废过滤网</w:t>
            </w:r>
            <w:r>
              <w:rPr>
                <w:rFonts w:hint="eastAsia"/>
                <w:color w:val="000000"/>
              </w:rPr>
              <w:t>、废包装袋集中收集</w:t>
            </w:r>
            <w:r>
              <w:rPr>
                <w:color w:val="000000"/>
              </w:rPr>
              <w:t>，外售给废品回收站处理；</w:t>
            </w:r>
            <w:r>
              <w:t>废催化剂由厂家回收后统一处理后再利用</w:t>
            </w:r>
            <w:r>
              <w:rPr>
                <w:rFonts w:hint="eastAsia"/>
              </w:rPr>
              <w:t>；</w:t>
            </w:r>
          </w:p>
        </w:tc>
        <w:tc>
          <w:tcPr>
            <w:tcW w:w="1091" w:type="dxa"/>
            <w:tcBorders>
              <w:tl2br w:val="nil"/>
              <w:tr2bl w:val="nil"/>
            </w:tcBorders>
            <w:vAlign w:val="center"/>
          </w:tcPr>
          <w:p w14:paraId="41713EF9">
            <w:pPr>
              <w:spacing w:line="260" w:lineRule="exact"/>
              <w:jc w:val="center"/>
              <w:rPr>
                <w:rFonts w:hint="eastAsia" w:ascii="宋体" w:hAnsi="宋体" w:eastAsia="宋体"/>
                <w:szCs w:val="21"/>
                <w:lang w:eastAsia="zh-CN"/>
              </w:rPr>
            </w:pPr>
            <w:r>
              <w:rPr>
                <w:rFonts w:hint="eastAsia" w:ascii="宋体" w:hAnsi="宋体"/>
                <w:szCs w:val="21"/>
              </w:rPr>
              <w:t>利用</w:t>
            </w:r>
            <w:r>
              <w:rPr>
                <w:rFonts w:hint="eastAsia" w:ascii="宋体" w:hAnsi="宋体"/>
                <w:szCs w:val="21"/>
                <w:lang w:eastAsia="zh-CN"/>
              </w:rPr>
              <w:t>现有</w:t>
            </w:r>
          </w:p>
        </w:tc>
      </w:tr>
      <w:tr w14:paraId="5D2BD0A7">
        <w:tblPrEx>
          <w:tblBorders>
            <w:top w:val="single" w:color="auto" w:sz="12" w:space="0"/>
            <w:left w:val="single" w:color="auto" w:sz="12" w:space="0"/>
            <w:bottom w:val="single" w:color="auto" w:sz="12" w:space="0"/>
            <w:right w:val="single" w:color="auto" w:sz="12" w:space="0"/>
            <w:insideH w:val="single" w:color="auto" w:sz="6" w:space="0"/>
            <w:insideV w:val="single" w:color="auto" w:sz="4" w:space="0"/>
          </w:tblBorders>
          <w:tblCellMar>
            <w:top w:w="0" w:type="dxa"/>
            <w:left w:w="0" w:type="dxa"/>
            <w:bottom w:w="0" w:type="dxa"/>
            <w:right w:w="0" w:type="dxa"/>
          </w:tblCellMar>
        </w:tblPrEx>
        <w:trPr>
          <w:trHeight w:val="358" w:hRule="atLeast"/>
          <w:jc w:val="center"/>
        </w:trPr>
        <w:tc>
          <w:tcPr>
            <w:tcW w:w="1091" w:type="dxa"/>
            <w:vMerge w:val="continue"/>
            <w:tcBorders>
              <w:tl2br w:val="nil"/>
              <w:tr2bl w:val="nil"/>
            </w:tcBorders>
            <w:vAlign w:val="center"/>
          </w:tcPr>
          <w:p w14:paraId="4DD9F164">
            <w:pPr>
              <w:spacing w:line="260" w:lineRule="exact"/>
              <w:jc w:val="center"/>
              <w:rPr>
                <w:rFonts w:hint="eastAsia" w:ascii="宋体" w:hAnsi="宋体"/>
                <w:szCs w:val="21"/>
              </w:rPr>
            </w:pPr>
          </w:p>
        </w:tc>
        <w:tc>
          <w:tcPr>
            <w:tcW w:w="1448" w:type="dxa"/>
            <w:vMerge w:val="continue"/>
            <w:tcBorders>
              <w:tl2br w:val="nil"/>
              <w:tr2bl w:val="nil"/>
            </w:tcBorders>
            <w:vAlign w:val="center"/>
          </w:tcPr>
          <w:p w14:paraId="2D8BFBA2">
            <w:pPr>
              <w:spacing w:line="260" w:lineRule="exact"/>
              <w:jc w:val="center"/>
              <w:rPr>
                <w:rFonts w:hint="eastAsia" w:ascii="宋体" w:hAnsi="宋体"/>
                <w:szCs w:val="21"/>
              </w:rPr>
            </w:pPr>
          </w:p>
        </w:tc>
        <w:tc>
          <w:tcPr>
            <w:tcW w:w="2486" w:type="dxa"/>
            <w:tcBorders>
              <w:tl2br w:val="nil"/>
              <w:tr2bl w:val="nil"/>
            </w:tcBorders>
            <w:vAlign w:val="center"/>
          </w:tcPr>
          <w:p w14:paraId="6E413D7B">
            <w:pPr>
              <w:spacing w:line="260" w:lineRule="exact"/>
              <w:jc w:val="center"/>
              <w:rPr>
                <w:rFonts w:hint="eastAsia" w:ascii="宋体" w:hAnsi="宋体"/>
              </w:rPr>
            </w:pPr>
            <w:r>
              <w:rPr>
                <w:rFonts w:ascii="宋体" w:hAnsi="宋体"/>
              </w:rPr>
              <w:t>生活垃圾</w:t>
            </w:r>
            <w:r>
              <w:rPr>
                <w:rFonts w:hint="eastAsia" w:ascii="宋体" w:hAnsi="宋体"/>
              </w:rPr>
              <w:t>桶、</w:t>
            </w:r>
            <w:r>
              <w:rPr>
                <w:rFonts w:ascii="宋体" w:hAnsi="宋体"/>
              </w:rPr>
              <w:t>箱</w:t>
            </w:r>
          </w:p>
        </w:tc>
        <w:tc>
          <w:tcPr>
            <w:tcW w:w="2962" w:type="dxa"/>
            <w:tcBorders>
              <w:tl2br w:val="nil"/>
              <w:tr2bl w:val="nil"/>
            </w:tcBorders>
            <w:vAlign w:val="center"/>
          </w:tcPr>
          <w:p w14:paraId="57E08A66">
            <w:pPr>
              <w:spacing w:line="260" w:lineRule="exact"/>
              <w:jc w:val="center"/>
              <w:rPr>
                <w:color w:val="000000"/>
              </w:rPr>
            </w:pPr>
            <w:r>
              <w:rPr>
                <w:rFonts w:hint="eastAsia"/>
                <w:color w:val="000000"/>
              </w:rPr>
              <w:t>生活垃圾分类收集，统一交由环卫部门。</w:t>
            </w:r>
          </w:p>
        </w:tc>
        <w:tc>
          <w:tcPr>
            <w:tcW w:w="1091" w:type="dxa"/>
            <w:tcBorders>
              <w:tl2br w:val="nil"/>
              <w:tr2bl w:val="nil"/>
            </w:tcBorders>
            <w:vAlign w:val="center"/>
          </w:tcPr>
          <w:p w14:paraId="5C2A487D">
            <w:pPr>
              <w:spacing w:line="260" w:lineRule="exact"/>
              <w:jc w:val="center"/>
              <w:rPr>
                <w:rFonts w:hint="eastAsia" w:ascii="宋体" w:hAnsi="宋体"/>
                <w:szCs w:val="21"/>
              </w:rPr>
            </w:pPr>
            <w:r>
              <w:rPr>
                <w:rFonts w:hint="eastAsia" w:ascii="宋体" w:hAnsi="宋体"/>
                <w:szCs w:val="21"/>
              </w:rPr>
              <w:t>利用现有</w:t>
            </w:r>
          </w:p>
        </w:tc>
      </w:tr>
      <w:tr w14:paraId="271AEB80">
        <w:tblPrEx>
          <w:tblBorders>
            <w:top w:val="single" w:color="auto" w:sz="12" w:space="0"/>
            <w:left w:val="single" w:color="auto" w:sz="12" w:space="0"/>
            <w:bottom w:val="single" w:color="auto" w:sz="12" w:space="0"/>
            <w:right w:val="single" w:color="auto" w:sz="12" w:space="0"/>
            <w:insideH w:val="single" w:color="auto" w:sz="6" w:space="0"/>
            <w:insideV w:val="single" w:color="auto" w:sz="4" w:space="0"/>
          </w:tblBorders>
          <w:tblCellMar>
            <w:top w:w="0" w:type="dxa"/>
            <w:left w:w="0" w:type="dxa"/>
            <w:bottom w:w="0" w:type="dxa"/>
            <w:right w:w="0" w:type="dxa"/>
          </w:tblCellMar>
        </w:tblPrEx>
        <w:trPr>
          <w:trHeight w:val="532" w:hRule="atLeast"/>
          <w:jc w:val="center"/>
        </w:trPr>
        <w:tc>
          <w:tcPr>
            <w:tcW w:w="1091" w:type="dxa"/>
            <w:vMerge w:val="restart"/>
            <w:tcBorders>
              <w:tl2br w:val="nil"/>
              <w:tr2bl w:val="nil"/>
            </w:tcBorders>
            <w:vAlign w:val="center"/>
          </w:tcPr>
          <w:p w14:paraId="74F0906C">
            <w:pPr>
              <w:spacing w:line="260" w:lineRule="exact"/>
              <w:jc w:val="center"/>
              <w:rPr>
                <w:rFonts w:hint="eastAsia" w:ascii="宋体" w:hAnsi="宋体"/>
                <w:szCs w:val="21"/>
              </w:rPr>
            </w:pPr>
            <w:r>
              <w:rPr>
                <w:rFonts w:hint="eastAsia" w:ascii="宋体" w:hAnsi="宋体"/>
                <w:szCs w:val="21"/>
              </w:rPr>
              <w:t>环境风险设施</w:t>
            </w:r>
          </w:p>
        </w:tc>
        <w:tc>
          <w:tcPr>
            <w:tcW w:w="1448" w:type="dxa"/>
            <w:tcBorders>
              <w:tl2br w:val="nil"/>
              <w:tr2bl w:val="nil"/>
            </w:tcBorders>
            <w:vAlign w:val="center"/>
          </w:tcPr>
          <w:p w14:paraId="4BE185CE">
            <w:pPr>
              <w:spacing w:line="260" w:lineRule="exact"/>
              <w:jc w:val="center"/>
              <w:rPr>
                <w:rFonts w:hint="eastAsia" w:ascii="宋体" w:hAnsi="宋体"/>
                <w:szCs w:val="21"/>
              </w:rPr>
            </w:pPr>
            <w:r>
              <w:rPr>
                <w:rFonts w:hint="eastAsia" w:ascii="宋体" w:hAnsi="宋体"/>
                <w:szCs w:val="21"/>
              </w:rPr>
              <w:t>消防</w:t>
            </w:r>
          </w:p>
        </w:tc>
        <w:tc>
          <w:tcPr>
            <w:tcW w:w="2486" w:type="dxa"/>
            <w:tcBorders>
              <w:tl2br w:val="nil"/>
              <w:tr2bl w:val="nil"/>
            </w:tcBorders>
            <w:vAlign w:val="center"/>
          </w:tcPr>
          <w:p w14:paraId="25D7125E">
            <w:pPr>
              <w:spacing w:line="260" w:lineRule="exact"/>
              <w:jc w:val="center"/>
              <w:rPr>
                <w:rFonts w:hint="eastAsia" w:ascii="宋体" w:hAnsi="宋体"/>
              </w:rPr>
            </w:pPr>
            <w:r>
              <w:rPr>
                <w:rFonts w:hint="eastAsia" w:ascii="宋体" w:hAnsi="宋体"/>
              </w:rPr>
              <w:t>消防水池</w:t>
            </w:r>
          </w:p>
        </w:tc>
        <w:tc>
          <w:tcPr>
            <w:tcW w:w="2962" w:type="dxa"/>
            <w:tcBorders>
              <w:tl2br w:val="nil"/>
              <w:tr2bl w:val="nil"/>
            </w:tcBorders>
            <w:vAlign w:val="center"/>
          </w:tcPr>
          <w:p w14:paraId="46E87485">
            <w:pPr>
              <w:spacing w:line="260" w:lineRule="exact"/>
              <w:jc w:val="center"/>
              <w:rPr>
                <w:color w:val="000000"/>
              </w:rPr>
            </w:pPr>
            <w:r>
              <w:rPr>
                <w:color w:val="000000"/>
              </w:rPr>
              <w:t>设置1个</w:t>
            </w:r>
            <w:r>
              <w:rPr>
                <w:rFonts w:hint="eastAsia"/>
                <w:color w:val="000000"/>
              </w:rPr>
              <w:t>80</w:t>
            </w:r>
            <w:r>
              <w:rPr>
                <w:color w:val="000000"/>
              </w:rPr>
              <w:t>m</w:t>
            </w:r>
            <w:r>
              <w:rPr>
                <w:color w:val="000000"/>
                <w:vertAlign w:val="superscript"/>
              </w:rPr>
              <w:t>3</w:t>
            </w:r>
            <w:r>
              <w:rPr>
                <w:color w:val="000000"/>
              </w:rPr>
              <w:t>消防水池，并在生产区及生活区配备相应的消防器材</w:t>
            </w:r>
            <w:r>
              <w:rPr>
                <w:rFonts w:hint="eastAsia"/>
                <w:color w:val="000000"/>
              </w:rPr>
              <w:t>。</w:t>
            </w:r>
          </w:p>
        </w:tc>
        <w:tc>
          <w:tcPr>
            <w:tcW w:w="1091" w:type="dxa"/>
            <w:tcBorders>
              <w:tl2br w:val="nil"/>
              <w:tr2bl w:val="nil"/>
            </w:tcBorders>
            <w:vAlign w:val="center"/>
          </w:tcPr>
          <w:p w14:paraId="5ECADA05">
            <w:pPr>
              <w:spacing w:line="260" w:lineRule="exact"/>
              <w:jc w:val="center"/>
              <w:rPr>
                <w:rFonts w:hint="eastAsia" w:ascii="宋体" w:hAnsi="宋体"/>
                <w:szCs w:val="21"/>
              </w:rPr>
            </w:pPr>
            <w:r>
              <w:rPr>
                <w:rFonts w:hint="eastAsia" w:ascii="宋体" w:hAnsi="宋体"/>
                <w:szCs w:val="21"/>
              </w:rPr>
              <w:t>利用现有</w:t>
            </w:r>
          </w:p>
        </w:tc>
      </w:tr>
      <w:tr w14:paraId="04AEF2C7">
        <w:tblPrEx>
          <w:tblBorders>
            <w:top w:val="single" w:color="auto" w:sz="12" w:space="0"/>
            <w:left w:val="single" w:color="auto" w:sz="12" w:space="0"/>
            <w:bottom w:val="single" w:color="auto" w:sz="12" w:space="0"/>
            <w:right w:val="single" w:color="auto" w:sz="12" w:space="0"/>
            <w:insideH w:val="single" w:color="auto" w:sz="6" w:space="0"/>
            <w:insideV w:val="single" w:color="auto" w:sz="4" w:space="0"/>
          </w:tblBorders>
          <w:tblCellMar>
            <w:top w:w="0" w:type="dxa"/>
            <w:left w:w="0" w:type="dxa"/>
            <w:bottom w:w="0" w:type="dxa"/>
            <w:right w:w="0" w:type="dxa"/>
          </w:tblCellMar>
        </w:tblPrEx>
        <w:trPr>
          <w:trHeight w:val="35" w:hRule="atLeast"/>
          <w:jc w:val="center"/>
        </w:trPr>
        <w:tc>
          <w:tcPr>
            <w:tcW w:w="1091" w:type="dxa"/>
            <w:vMerge w:val="continue"/>
            <w:tcBorders>
              <w:tl2br w:val="nil"/>
              <w:tr2bl w:val="nil"/>
            </w:tcBorders>
            <w:vAlign w:val="center"/>
          </w:tcPr>
          <w:p w14:paraId="4EC966BD">
            <w:pPr>
              <w:spacing w:line="260" w:lineRule="exact"/>
              <w:jc w:val="center"/>
              <w:rPr>
                <w:rFonts w:hint="eastAsia" w:ascii="宋体" w:hAnsi="宋体"/>
                <w:szCs w:val="21"/>
              </w:rPr>
            </w:pPr>
          </w:p>
        </w:tc>
        <w:tc>
          <w:tcPr>
            <w:tcW w:w="1448" w:type="dxa"/>
            <w:vMerge w:val="restart"/>
            <w:tcBorders>
              <w:tl2br w:val="nil"/>
              <w:tr2bl w:val="nil"/>
            </w:tcBorders>
            <w:vAlign w:val="center"/>
          </w:tcPr>
          <w:p w14:paraId="1F774750">
            <w:pPr>
              <w:spacing w:line="260" w:lineRule="exact"/>
              <w:jc w:val="center"/>
              <w:rPr>
                <w:rFonts w:hint="eastAsia" w:ascii="宋体" w:hAnsi="宋体"/>
                <w:szCs w:val="21"/>
              </w:rPr>
            </w:pPr>
            <w:r>
              <w:rPr>
                <w:rFonts w:hint="eastAsia" w:ascii="宋体" w:hAnsi="宋体"/>
                <w:szCs w:val="21"/>
              </w:rPr>
              <w:t>防渗</w:t>
            </w:r>
          </w:p>
        </w:tc>
        <w:tc>
          <w:tcPr>
            <w:tcW w:w="5448" w:type="dxa"/>
            <w:gridSpan w:val="2"/>
            <w:tcBorders>
              <w:tl2br w:val="nil"/>
              <w:tr2bl w:val="nil"/>
            </w:tcBorders>
            <w:vAlign w:val="center"/>
          </w:tcPr>
          <w:p w14:paraId="3DF79C0F">
            <w:pPr>
              <w:pStyle w:val="240"/>
              <w:jc w:val="both"/>
              <w:rPr>
                <w:rFonts w:hint="default"/>
              </w:rPr>
            </w:pPr>
            <w:r>
              <w:rPr>
                <w:rFonts w:hint="default"/>
              </w:rPr>
              <w:t>重点防渗区</w:t>
            </w:r>
            <w:r>
              <w:t>，危废贮存点</w:t>
            </w:r>
            <w:r>
              <w:rPr>
                <w:rFonts w:hint="default"/>
              </w:rPr>
              <w:t>：采用防渗钢筋混凝土，</w:t>
            </w:r>
            <w:bookmarkStart w:id="124" w:name="_Hlk213944302"/>
            <w:r>
              <w:rPr>
                <w:rFonts w:hint="default"/>
              </w:rPr>
              <w:t>表面涂刷水泥基渗透结晶型防渗涂料；地面防渗混凝土强度等级不宜小于C25，抗渗混凝土的抗渗等级不宜小于P8，其厚度不宜小于150mm。确保防渗性能应与黏土防渗层Mb≥6.0m、K≤1.0×10</w:t>
            </w:r>
            <w:r>
              <w:rPr>
                <w:rFonts w:hint="default"/>
                <w:vertAlign w:val="superscript"/>
              </w:rPr>
              <w:t>-7</w:t>
            </w:r>
            <w:r>
              <w:rPr>
                <w:rFonts w:hint="default"/>
              </w:rPr>
              <w:t>cm/s等效</w:t>
            </w:r>
            <w:bookmarkEnd w:id="124"/>
            <w:r>
              <w:rPr>
                <w:rFonts w:hint="default"/>
              </w:rPr>
              <w:t>。</w:t>
            </w:r>
          </w:p>
        </w:tc>
        <w:tc>
          <w:tcPr>
            <w:tcW w:w="1091" w:type="dxa"/>
            <w:tcBorders>
              <w:tl2br w:val="nil"/>
              <w:tr2bl w:val="nil"/>
            </w:tcBorders>
            <w:vAlign w:val="center"/>
          </w:tcPr>
          <w:p w14:paraId="5F2AB6AD">
            <w:pPr>
              <w:spacing w:line="260" w:lineRule="exact"/>
              <w:jc w:val="center"/>
              <w:rPr>
                <w:rFonts w:hint="eastAsia" w:ascii="宋体" w:hAnsi="宋体"/>
                <w:szCs w:val="21"/>
              </w:rPr>
            </w:pPr>
            <w:r>
              <w:rPr>
                <w:rFonts w:hint="eastAsia" w:ascii="宋体" w:hAnsi="宋体"/>
                <w:szCs w:val="21"/>
              </w:rPr>
              <w:t>新建</w:t>
            </w:r>
          </w:p>
        </w:tc>
      </w:tr>
      <w:tr w14:paraId="6DF00E5A">
        <w:tblPrEx>
          <w:tblBorders>
            <w:top w:val="single" w:color="auto" w:sz="12" w:space="0"/>
            <w:left w:val="single" w:color="auto" w:sz="12" w:space="0"/>
            <w:bottom w:val="single" w:color="auto" w:sz="12" w:space="0"/>
            <w:right w:val="single" w:color="auto" w:sz="12" w:space="0"/>
            <w:insideH w:val="single" w:color="auto" w:sz="6" w:space="0"/>
            <w:insideV w:val="single" w:color="auto" w:sz="4" w:space="0"/>
          </w:tblBorders>
          <w:tblCellMar>
            <w:top w:w="0" w:type="dxa"/>
            <w:left w:w="0" w:type="dxa"/>
            <w:bottom w:w="0" w:type="dxa"/>
            <w:right w:w="0" w:type="dxa"/>
          </w:tblCellMar>
        </w:tblPrEx>
        <w:trPr>
          <w:trHeight w:val="252" w:hRule="atLeast"/>
          <w:jc w:val="center"/>
        </w:trPr>
        <w:tc>
          <w:tcPr>
            <w:tcW w:w="1091" w:type="dxa"/>
            <w:vMerge w:val="continue"/>
            <w:tcBorders>
              <w:tl2br w:val="nil"/>
              <w:tr2bl w:val="nil"/>
            </w:tcBorders>
            <w:vAlign w:val="center"/>
          </w:tcPr>
          <w:p w14:paraId="46A46D4C">
            <w:pPr>
              <w:spacing w:line="260" w:lineRule="exact"/>
              <w:jc w:val="center"/>
              <w:rPr>
                <w:rFonts w:hint="eastAsia" w:ascii="宋体" w:hAnsi="宋体"/>
                <w:szCs w:val="21"/>
              </w:rPr>
            </w:pPr>
          </w:p>
        </w:tc>
        <w:tc>
          <w:tcPr>
            <w:tcW w:w="1448" w:type="dxa"/>
            <w:vMerge w:val="continue"/>
            <w:tcBorders>
              <w:tl2br w:val="nil"/>
              <w:tr2bl w:val="nil"/>
            </w:tcBorders>
            <w:vAlign w:val="center"/>
          </w:tcPr>
          <w:p w14:paraId="2D01CE82">
            <w:pPr>
              <w:spacing w:line="260" w:lineRule="exact"/>
              <w:jc w:val="center"/>
              <w:rPr>
                <w:rFonts w:hint="eastAsia" w:ascii="宋体" w:hAnsi="宋体"/>
                <w:szCs w:val="21"/>
              </w:rPr>
            </w:pPr>
          </w:p>
        </w:tc>
        <w:tc>
          <w:tcPr>
            <w:tcW w:w="5448" w:type="dxa"/>
            <w:gridSpan w:val="2"/>
            <w:tcBorders>
              <w:tl2br w:val="nil"/>
              <w:tr2bl w:val="nil"/>
            </w:tcBorders>
            <w:vAlign w:val="center"/>
          </w:tcPr>
          <w:p w14:paraId="395C1929">
            <w:pPr>
              <w:pStyle w:val="240"/>
              <w:jc w:val="left"/>
              <w:rPr>
                <w:rFonts w:hint="default"/>
              </w:rPr>
            </w:pPr>
            <w:r>
              <w:rPr>
                <w:rFonts w:hint="default"/>
              </w:rPr>
              <w:t>一般防渗区</w:t>
            </w:r>
            <w:r>
              <w:t>，生产车间、</w:t>
            </w:r>
            <w:r>
              <w:rPr>
                <w:rFonts w:hint="eastAsia"/>
                <w:lang w:val="en-US" w:eastAsia="zh-CN"/>
              </w:rPr>
              <w:t>防渗化粪池</w:t>
            </w:r>
            <w:r>
              <w:t>、一般固废堆场</w:t>
            </w:r>
            <w:r>
              <w:rPr>
                <w:rFonts w:hint="default"/>
              </w:rPr>
              <w:t>：在场地内设置混凝土地面；确保防渗性能应与确保防渗性能应与黏土防渗层Mb≥1.5m 、K≤1.0×10</w:t>
            </w:r>
            <w:r>
              <w:rPr>
                <w:rFonts w:hint="default"/>
                <w:vertAlign w:val="superscript"/>
              </w:rPr>
              <w:t>-</w:t>
            </w:r>
            <w:r>
              <w:rPr>
                <w:vertAlign w:val="superscript"/>
              </w:rPr>
              <w:t>7</w:t>
            </w:r>
            <w:r>
              <w:rPr>
                <w:rFonts w:hint="default"/>
              </w:rPr>
              <w:t>cm/s等效。</w:t>
            </w:r>
          </w:p>
        </w:tc>
        <w:tc>
          <w:tcPr>
            <w:tcW w:w="1091" w:type="dxa"/>
            <w:tcBorders>
              <w:tl2br w:val="nil"/>
              <w:tr2bl w:val="nil"/>
            </w:tcBorders>
            <w:vAlign w:val="center"/>
          </w:tcPr>
          <w:p w14:paraId="1D3DFBC2">
            <w:pPr>
              <w:spacing w:line="260" w:lineRule="exact"/>
              <w:jc w:val="center"/>
              <w:rPr>
                <w:rFonts w:hint="eastAsia" w:ascii="宋体" w:hAnsi="宋体"/>
                <w:szCs w:val="21"/>
              </w:rPr>
            </w:pPr>
            <w:r>
              <w:rPr>
                <w:rFonts w:hint="eastAsia" w:ascii="宋体" w:hAnsi="宋体"/>
                <w:szCs w:val="21"/>
              </w:rPr>
              <w:t>利用现有</w:t>
            </w:r>
          </w:p>
        </w:tc>
      </w:tr>
      <w:tr w14:paraId="30F3D462">
        <w:tblPrEx>
          <w:tblBorders>
            <w:top w:val="single" w:color="auto" w:sz="12" w:space="0"/>
            <w:left w:val="single" w:color="auto" w:sz="12" w:space="0"/>
            <w:bottom w:val="single" w:color="auto" w:sz="12" w:space="0"/>
            <w:right w:val="single" w:color="auto" w:sz="12" w:space="0"/>
            <w:insideH w:val="single" w:color="auto" w:sz="6" w:space="0"/>
            <w:insideV w:val="single" w:color="auto" w:sz="4" w:space="0"/>
          </w:tblBorders>
          <w:tblCellMar>
            <w:top w:w="0" w:type="dxa"/>
            <w:left w:w="0" w:type="dxa"/>
            <w:bottom w:w="0" w:type="dxa"/>
            <w:right w:w="0" w:type="dxa"/>
          </w:tblCellMar>
        </w:tblPrEx>
        <w:trPr>
          <w:trHeight w:val="387" w:hRule="atLeast"/>
          <w:jc w:val="center"/>
        </w:trPr>
        <w:tc>
          <w:tcPr>
            <w:tcW w:w="1091" w:type="dxa"/>
            <w:vMerge w:val="continue"/>
            <w:tcBorders>
              <w:tl2br w:val="nil"/>
              <w:tr2bl w:val="nil"/>
            </w:tcBorders>
            <w:vAlign w:val="center"/>
          </w:tcPr>
          <w:p w14:paraId="2D637A79">
            <w:pPr>
              <w:spacing w:line="260" w:lineRule="exact"/>
              <w:jc w:val="center"/>
              <w:rPr>
                <w:rFonts w:hint="eastAsia" w:ascii="宋体" w:hAnsi="宋体"/>
                <w:szCs w:val="21"/>
              </w:rPr>
            </w:pPr>
          </w:p>
        </w:tc>
        <w:tc>
          <w:tcPr>
            <w:tcW w:w="1448" w:type="dxa"/>
            <w:vMerge w:val="continue"/>
            <w:tcBorders>
              <w:tl2br w:val="nil"/>
              <w:tr2bl w:val="nil"/>
            </w:tcBorders>
            <w:vAlign w:val="center"/>
          </w:tcPr>
          <w:p w14:paraId="5C5E3D76">
            <w:pPr>
              <w:spacing w:line="260" w:lineRule="exact"/>
              <w:jc w:val="center"/>
              <w:rPr>
                <w:rFonts w:hint="eastAsia" w:ascii="宋体" w:hAnsi="宋体"/>
                <w:szCs w:val="21"/>
              </w:rPr>
            </w:pPr>
          </w:p>
        </w:tc>
        <w:tc>
          <w:tcPr>
            <w:tcW w:w="5448" w:type="dxa"/>
            <w:gridSpan w:val="2"/>
            <w:tcBorders>
              <w:tl2br w:val="nil"/>
              <w:tr2bl w:val="nil"/>
            </w:tcBorders>
            <w:vAlign w:val="center"/>
          </w:tcPr>
          <w:p w14:paraId="2668B8FA">
            <w:pPr>
              <w:pStyle w:val="240"/>
              <w:jc w:val="left"/>
              <w:rPr>
                <w:rFonts w:hint="default"/>
              </w:rPr>
            </w:pPr>
            <w:r>
              <w:rPr>
                <w:rFonts w:hint="default"/>
              </w:rPr>
              <w:t>简单防渗</w:t>
            </w:r>
            <w:r>
              <w:t>，厂区其他区域</w:t>
            </w:r>
            <w:r>
              <w:rPr>
                <w:rFonts w:hint="default"/>
              </w:rPr>
              <w:t>：做硬化处理</w:t>
            </w:r>
            <w:r>
              <w:t>。</w:t>
            </w:r>
          </w:p>
        </w:tc>
        <w:tc>
          <w:tcPr>
            <w:tcW w:w="1091" w:type="dxa"/>
            <w:tcBorders>
              <w:tl2br w:val="nil"/>
              <w:tr2bl w:val="nil"/>
            </w:tcBorders>
            <w:vAlign w:val="center"/>
          </w:tcPr>
          <w:p w14:paraId="1A8D11E2">
            <w:pPr>
              <w:spacing w:line="260" w:lineRule="exact"/>
              <w:jc w:val="center"/>
              <w:rPr>
                <w:rFonts w:hint="eastAsia" w:ascii="宋体" w:hAnsi="宋体"/>
                <w:szCs w:val="21"/>
              </w:rPr>
            </w:pPr>
            <w:r>
              <w:rPr>
                <w:rFonts w:hint="eastAsia" w:ascii="宋体" w:hAnsi="宋体"/>
                <w:szCs w:val="21"/>
              </w:rPr>
              <w:t>厂区已做了硬化，现有</w:t>
            </w:r>
          </w:p>
        </w:tc>
      </w:tr>
    </w:tbl>
    <w:p w14:paraId="26D2424C">
      <w:pPr>
        <w:autoSpaceDE w:val="0"/>
        <w:autoSpaceDN w:val="0"/>
        <w:adjustRightInd w:val="0"/>
        <w:snapToGrid w:val="0"/>
        <w:jc w:val="center"/>
        <w:rPr>
          <w:rFonts w:hint="eastAsia" w:ascii="宋体" w:hAnsi="宋体"/>
          <w:b/>
          <w:kern w:val="0"/>
          <w:szCs w:val="21"/>
        </w:rPr>
      </w:pPr>
    </w:p>
    <w:p w14:paraId="0881C2C2">
      <w:pPr>
        <w:autoSpaceDE w:val="0"/>
        <w:autoSpaceDN w:val="0"/>
        <w:adjustRightInd w:val="0"/>
        <w:snapToGrid w:val="0"/>
        <w:jc w:val="center"/>
        <w:rPr>
          <w:rFonts w:hint="eastAsia" w:ascii="宋体" w:hAnsi="宋体"/>
          <w:b/>
          <w:kern w:val="0"/>
          <w:szCs w:val="21"/>
        </w:rPr>
      </w:pPr>
      <w:r>
        <w:rPr>
          <w:rFonts w:hint="eastAsia" w:ascii="宋体" w:hAnsi="宋体"/>
          <w:b/>
          <w:kern w:val="0"/>
          <w:szCs w:val="21"/>
        </w:rPr>
        <w:t xml:space="preserve">表3.1-2     建设规模一览表  </w:t>
      </w:r>
    </w:p>
    <w:tbl>
      <w:tblPr>
        <w:tblStyle w:val="49"/>
        <w:tblW w:w="490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564"/>
        <w:gridCol w:w="1253"/>
        <w:gridCol w:w="2681"/>
        <w:gridCol w:w="2620"/>
      </w:tblGrid>
      <w:tr w14:paraId="553F42F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1406" w:type="pct"/>
            <w:vAlign w:val="center"/>
          </w:tcPr>
          <w:p w14:paraId="75193BE7">
            <w:pPr>
              <w:autoSpaceDE w:val="0"/>
              <w:autoSpaceDN w:val="0"/>
              <w:ind w:left="-19" w:leftChars="-9"/>
              <w:jc w:val="center"/>
              <w:rPr>
                <w:color w:val="000000"/>
                <w:kern w:val="0"/>
                <w:lang w:val="zh-CN" w:bidi="zh-CN"/>
              </w:rPr>
            </w:pPr>
            <w:r>
              <w:rPr>
                <w:rFonts w:hint="eastAsia"/>
                <w:color w:val="000000"/>
                <w:kern w:val="0"/>
                <w:lang w:val="zh-CN" w:bidi="zh-CN"/>
              </w:rPr>
              <w:t>项目</w:t>
            </w:r>
          </w:p>
        </w:tc>
        <w:tc>
          <w:tcPr>
            <w:tcW w:w="687" w:type="pct"/>
            <w:vAlign w:val="center"/>
          </w:tcPr>
          <w:p w14:paraId="641C0C4B">
            <w:pPr>
              <w:autoSpaceDE w:val="0"/>
              <w:autoSpaceDN w:val="0"/>
              <w:ind w:left="-19" w:leftChars="-9"/>
              <w:jc w:val="center"/>
              <w:rPr>
                <w:color w:val="000000"/>
                <w:kern w:val="0"/>
                <w:lang w:val="zh-CN" w:bidi="zh-CN"/>
              </w:rPr>
            </w:pPr>
            <w:r>
              <w:rPr>
                <w:rFonts w:hint="eastAsia"/>
                <w:color w:val="000000"/>
                <w:kern w:val="0"/>
                <w:lang w:val="zh-CN" w:bidi="zh-CN"/>
              </w:rPr>
              <w:t>规模（条）</w:t>
            </w:r>
          </w:p>
        </w:tc>
        <w:tc>
          <w:tcPr>
            <w:tcW w:w="1470" w:type="pct"/>
            <w:vAlign w:val="center"/>
          </w:tcPr>
          <w:p w14:paraId="2310915C">
            <w:pPr>
              <w:autoSpaceDE w:val="0"/>
              <w:autoSpaceDN w:val="0"/>
              <w:ind w:left="-19" w:leftChars="-9"/>
              <w:jc w:val="center"/>
              <w:rPr>
                <w:color w:val="000000"/>
                <w:kern w:val="0"/>
                <w:lang w:val="zh-CN" w:bidi="zh-CN"/>
              </w:rPr>
            </w:pPr>
            <w:r>
              <w:rPr>
                <w:rFonts w:hint="eastAsia"/>
                <w:color w:val="000000"/>
                <w:kern w:val="0"/>
                <w:lang w:val="zh-CN" w:bidi="zh-CN"/>
              </w:rPr>
              <w:t>生产能力（</w:t>
            </w:r>
            <w:r>
              <w:rPr>
                <w:rFonts w:hint="eastAsia"/>
                <w:color w:val="000000"/>
                <w:kern w:val="0"/>
                <w:lang w:bidi="zh-CN"/>
              </w:rPr>
              <w:t>t/a</w:t>
            </w:r>
            <w:r>
              <w:rPr>
                <w:rFonts w:hint="eastAsia"/>
                <w:color w:val="000000"/>
                <w:kern w:val="0"/>
                <w:lang w:val="zh-CN" w:bidi="zh-CN"/>
              </w:rPr>
              <w:t>）</w:t>
            </w:r>
          </w:p>
        </w:tc>
        <w:tc>
          <w:tcPr>
            <w:tcW w:w="1436" w:type="pct"/>
            <w:vAlign w:val="center"/>
          </w:tcPr>
          <w:p w14:paraId="4DA5306A">
            <w:pPr>
              <w:autoSpaceDE w:val="0"/>
              <w:autoSpaceDN w:val="0"/>
              <w:ind w:left="-19" w:leftChars="-9"/>
              <w:jc w:val="center"/>
              <w:rPr>
                <w:color w:val="000000"/>
                <w:kern w:val="0"/>
                <w:lang w:bidi="zh-CN"/>
              </w:rPr>
            </w:pPr>
            <w:r>
              <w:rPr>
                <w:rFonts w:hint="eastAsia"/>
                <w:color w:val="000000"/>
                <w:kern w:val="0"/>
                <w:lang w:bidi="zh-CN"/>
              </w:rPr>
              <w:t>安装位置</w:t>
            </w:r>
          </w:p>
        </w:tc>
      </w:tr>
      <w:tr w14:paraId="7F106B8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1406" w:type="pct"/>
            <w:vAlign w:val="center"/>
          </w:tcPr>
          <w:p w14:paraId="76F93CF2">
            <w:pPr>
              <w:autoSpaceDE w:val="0"/>
              <w:autoSpaceDN w:val="0"/>
              <w:ind w:left="-19" w:leftChars="-9"/>
              <w:jc w:val="center"/>
              <w:rPr>
                <w:color w:val="000000"/>
                <w:kern w:val="0"/>
                <w:lang w:val="zh-CN" w:bidi="zh-CN"/>
              </w:rPr>
            </w:pPr>
            <w:r>
              <w:rPr>
                <w:rFonts w:hint="eastAsia"/>
                <w:color w:val="000000"/>
                <w:kern w:val="0"/>
                <w:lang w:bidi="zh-CN"/>
              </w:rPr>
              <w:t>废旧地膜造粒生产线</w:t>
            </w:r>
          </w:p>
        </w:tc>
        <w:tc>
          <w:tcPr>
            <w:tcW w:w="687" w:type="pct"/>
            <w:vAlign w:val="center"/>
          </w:tcPr>
          <w:p w14:paraId="52A3FEBB">
            <w:pPr>
              <w:autoSpaceDE w:val="0"/>
              <w:autoSpaceDN w:val="0"/>
              <w:ind w:left="-19" w:leftChars="-9"/>
              <w:jc w:val="center"/>
              <w:rPr>
                <w:color w:val="000000"/>
                <w:kern w:val="0"/>
                <w:lang w:bidi="zh-CN"/>
              </w:rPr>
            </w:pPr>
            <w:r>
              <w:rPr>
                <w:rFonts w:hint="eastAsia"/>
                <w:color w:val="000000"/>
                <w:kern w:val="0"/>
                <w:lang w:bidi="zh-CN"/>
              </w:rPr>
              <w:t>1</w:t>
            </w:r>
          </w:p>
        </w:tc>
        <w:tc>
          <w:tcPr>
            <w:tcW w:w="1470" w:type="pct"/>
            <w:vAlign w:val="center"/>
          </w:tcPr>
          <w:p w14:paraId="052043AB">
            <w:pPr>
              <w:autoSpaceDE w:val="0"/>
              <w:autoSpaceDN w:val="0"/>
              <w:ind w:left="-19" w:leftChars="-9"/>
              <w:jc w:val="center"/>
              <w:rPr>
                <w:color w:val="000000"/>
                <w:kern w:val="0"/>
                <w:lang w:bidi="zh-CN"/>
              </w:rPr>
            </w:pPr>
            <w:r>
              <w:rPr>
                <w:rFonts w:hint="eastAsia" w:ascii="Times New Roman" w:hAnsi="Times New Roman" w:eastAsia="宋体" w:cs="Times New Roman"/>
                <w:bCs/>
                <w:szCs w:val="21"/>
                <w:lang w:val="en-US" w:bidi="zh-CN"/>
              </w:rPr>
              <w:t>处理废旧地膜5500</w:t>
            </w:r>
            <w:r>
              <w:rPr>
                <w:rFonts w:hint="eastAsia"/>
                <w:color w:val="000000"/>
                <w:kern w:val="0"/>
                <w:lang w:bidi="zh-CN"/>
              </w:rPr>
              <w:t>t/a，生产</w:t>
            </w:r>
            <w:r>
              <w:rPr>
                <w:rFonts w:hint="eastAsia" w:ascii="Times New Roman" w:hAnsi="Times New Roman" w:eastAsia="宋体" w:cs="Times New Roman"/>
                <w:bCs/>
                <w:szCs w:val="21"/>
                <w:lang w:val="en-US" w:bidi="zh-CN"/>
              </w:rPr>
              <w:t>粒径5mm的再生塑料</w:t>
            </w:r>
            <w:r>
              <w:rPr>
                <w:rFonts w:hint="eastAsia"/>
                <w:color w:val="000000"/>
                <w:kern w:val="0"/>
                <w:lang w:val="en-US" w:bidi="zh-CN"/>
              </w:rPr>
              <w:t>颗粒</w:t>
            </w:r>
            <w:r>
              <w:rPr>
                <w:rFonts w:hint="eastAsia" w:ascii="Times New Roman" w:hAnsi="Times New Roman" w:eastAsia="宋体" w:cs="Times New Roman"/>
                <w:color w:val="000000"/>
                <w:kern w:val="0"/>
                <w:lang w:val="en-US" w:bidi="zh-CN"/>
              </w:rPr>
              <w:t>54</w:t>
            </w:r>
            <w:r>
              <w:rPr>
                <w:rFonts w:hint="eastAsia" w:ascii="Times New Roman" w:hAnsi="Times New Roman" w:eastAsia="宋体" w:cs="Times New Roman"/>
                <w:color w:val="000000"/>
                <w:kern w:val="0"/>
                <w:lang w:val="en-US" w:eastAsia="zh-CN" w:bidi="zh-CN"/>
              </w:rPr>
              <w:t>98.075</w:t>
            </w:r>
            <w:r>
              <w:rPr>
                <w:rFonts w:hint="eastAsia" w:ascii="Times New Roman" w:hAnsi="Times New Roman" w:eastAsia="宋体" w:cs="Times New Roman"/>
                <w:color w:val="000000"/>
                <w:kern w:val="0"/>
                <w:lang w:val="en-US" w:bidi="zh-CN"/>
              </w:rPr>
              <w:t>t/a</w:t>
            </w:r>
          </w:p>
        </w:tc>
        <w:tc>
          <w:tcPr>
            <w:tcW w:w="1436" w:type="pct"/>
            <w:vMerge w:val="restart"/>
            <w:vAlign w:val="center"/>
          </w:tcPr>
          <w:p w14:paraId="3D8C352B">
            <w:pPr>
              <w:autoSpaceDE w:val="0"/>
              <w:autoSpaceDN w:val="0"/>
              <w:ind w:left="-19" w:leftChars="-9"/>
              <w:jc w:val="center"/>
              <w:rPr>
                <w:color w:val="000000"/>
                <w:kern w:val="0"/>
                <w:lang w:bidi="zh-CN"/>
              </w:rPr>
            </w:pPr>
            <w:r>
              <w:rPr>
                <w:rFonts w:hint="eastAsia"/>
                <w:color w:val="000000"/>
                <w:kern w:val="0"/>
                <w:lang w:bidi="zh-CN"/>
              </w:rPr>
              <w:t>生产厂房</w:t>
            </w:r>
          </w:p>
          <w:p w14:paraId="41D0B72F">
            <w:pPr>
              <w:autoSpaceDE w:val="0"/>
              <w:autoSpaceDN w:val="0"/>
              <w:ind w:left="-19" w:leftChars="-9"/>
              <w:jc w:val="center"/>
              <w:rPr>
                <w:color w:val="000000"/>
                <w:kern w:val="0"/>
                <w:lang w:bidi="zh-CN"/>
              </w:rPr>
            </w:pPr>
            <w:r>
              <w:rPr>
                <w:rFonts w:hint="eastAsia"/>
                <w:color w:val="000000"/>
                <w:kern w:val="0"/>
                <w:lang w:bidi="zh-CN"/>
              </w:rPr>
              <w:t>（共用一个生产厂房）</w:t>
            </w:r>
          </w:p>
        </w:tc>
      </w:tr>
      <w:tr w14:paraId="63DC086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1406" w:type="pct"/>
            <w:vAlign w:val="center"/>
          </w:tcPr>
          <w:p w14:paraId="563C253C">
            <w:pPr>
              <w:autoSpaceDE w:val="0"/>
              <w:autoSpaceDN w:val="0"/>
              <w:ind w:left="-19" w:leftChars="-9"/>
              <w:jc w:val="center"/>
              <w:rPr>
                <w:color w:val="000000"/>
                <w:kern w:val="0"/>
                <w:lang w:bidi="zh-CN"/>
              </w:rPr>
            </w:pPr>
            <w:r>
              <w:rPr>
                <w:rFonts w:hint="eastAsia"/>
                <w:color w:val="000000"/>
                <w:kern w:val="0"/>
                <w:lang w:bidi="zh-CN"/>
              </w:rPr>
              <w:t>内镶式滴灌带生产线</w:t>
            </w:r>
          </w:p>
        </w:tc>
        <w:tc>
          <w:tcPr>
            <w:tcW w:w="687" w:type="pct"/>
            <w:vAlign w:val="center"/>
          </w:tcPr>
          <w:p w14:paraId="5C6D4D6E">
            <w:pPr>
              <w:autoSpaceDE w:val="0"/>
              <w:autoSpaceDN w:val="0"/>
              <w:ind w:left="-19" w:leftChars="-9"/>
              <w:jc w:val="center"/>
              <w:rPr>
                <w:color w:val="000000"/>
                <w:kern w:val="0"/>
                <w:lang w:bidi="zh-CN"/>
              </w:rPr>
            </w:pPr>
            <w:r>
              <w:rPr>
                <w:rFonts w:hint="eastAsia"/>
                <w:color w:val="000000"/>
                <w:kern w:val="0"/>
                <w:lang w:bidi="zh-CN"/>
              </w:rPr>
              <w:t>1</w:t>
            </w:r>
          </w:p>
        </w:tc>
        <w:tc>
          <w:tcPr>
            <w:tcW w:w="1470" w:type="pct"/>
            <w:vAlign w:val="center"/>
          </w:tcPr>
          <w:p w14:paraId="24EE7907">
            <w:pPr>
              <w:autoSpaceDE w:val="0"/>
              <w:autoSpaceDN w:val="0"/>
              <w:ind w:left="-19" w:leftChars="-9"/>
              <w:jc w:val="center"/>
              <w:rPr>
                <w:rFonts w:hint="eastAsia" w:ascii="宋体" w:hAnsi="宋体" w:cs="宋体"/>
                <w:color w:val="auto"/>
                <w:sz w:val="21"/>
                <w:szCs w:val="21"/>
              </w:rPr>
            </w:pPr>
            <w:r>
              <w:rPr>
                <w:rFonts w:hint="eastAsia" w:ascii="宋体" w:hAnsi="宋体" w:cs="宋体"/>
                <w:color w:val="auto"/>
                <w:sz w:val="21"/>
                <w:szCs w:val="21"/>
              </w:rPr>
              <w:t>内镶式滴灌带</w:t>
            </w:r>
          </w:p>
          <w:p w14:paraId="087A64DC">
            <w:pPr>
              <w:autoSpaceDE w:val="0"/>
              <w:autoSpaceDN w:val="0"/>
              <w:ind w:left="-19" w:leftChars="-9"/>
              <w:jc w:val="center"/>
              <w:rPr>
                <w:rFonts w:hint="default"/>
                <w:color w:val="000000"/>
                <w:kern w:val="0"/>
                <w:lang w:val="en-US" w:bidi="zh-CN"/>
              </w:rPr>
            </w:pPr>
            <w:r>
              <w:rPr>
                <w:rFonts w:hint="eastAsia"/>
                <w:color w:val="000000"/>
                <w:kern w:val="0"/>
                <w:lang w:val="en-US" w:bidi="zh-CN"/>
              </w:rPr>
              <w:t>9995</w:t>
            </w:r>
            <w:r>
              <w:rPr>
                <w:rFonts w:hint="eastAsia"/>
                <w:color w:val="000000"/>
                <w:kern w:val="0"/>
                <w:lang w:bidi="zh-CN"/>
              </w:rPr>
              <w:t>t/a</w:t>
            </w:r>
          </w:p>
        </w:tc>
        <w:tc>
          <w:tcPr>
            <w:tcW w:w="1436" w:type="pct"/>
            <w:vMerge w:val="continue"/>
            <w:vAlign w:val="center"/>
          </w:tcPr>
          <w:p w14:paraId="5A7C0BC2">
            <w:pPr>
              <w:autoSpaceDE w:val="0"/>
              <w:autoSpaceDN w:val="0"/>
              <w:ind w:left="-19" w:leftChars="-9"/>
              <w:jc w:val="center"/>
              <w:rPr>
                <w:color w:val="000000"/>
                <w:kern w:val="0"/>
                <w:lang w:bidi="zh-CN"/>
              </w:rPr>
            </w:pPr>
          </w:p>
        </w:tc>
      </w:tr>
    </w:tbl>
    <w:p w14:paraId="15277FCE">
      <w:pPr>
        <w:pStyle w:val="4"/>
        <w:autoSpaceDE w:val="0"/>
        <w:autoSpaceDN w:val="0"/>
        <w:spacing w:before="0" w:after="0" w:line="360" w:lineRule="auto"/>
        <w:jc w:val="left"/>
        <w:rPr>
          <w:kern w:val="0"/>
          <w:sz w:val="24"/>
          <w:lang w:val="en-US" w:bidi="zh-CN"/>
        </w:rPr>
      </w:pPr>
      <w:r>
        <w:rPr>
          <w:rFonts w:hint="eastAsia"/>
          <w:kern w:val="0"/>
          <w:sz w:val="24"/>
          <w:lang w:val="en-US" w:bidi="zh-CN"/>
        </w:rPr>
        <w:t>3.1.3产品方案</w:t>
      </w:r>
    </w:p>
    <w:p w14:paraId="275ED143">
      <w:pPr>
        <w:spacing w:line="360" w:lineRule="auto"/>
        <w:ind w:firstLine="480" w:firstLineChars="200"/>
        <w:rPr>
          <w:rFonts w:hint="eastAsia" w:ascii="宋体" w:hAnsi="宋体"/>
          <w:sz w:val="24"/>
          <w:szCs w:val="24"/>
        </w:rPr>
      </w:pPr>
      <w:r>
        <w:rPr>
          <w:rFonts w:ascii="宋体" w:hAnsi="宋体"/>
          <w:kern w:val="0"/>
          <w:sz w:val="24"/>
        </w:rPr>
        <w:t>新建一条造粒生产线</w:t>
      </w:r>
      <w:r>
        <w:rPr>
          <w:rFonts w:hint="eastAsia" w:ascii="宋体" w:hAnsi="宋体"/>
          <w:kern w:val="0"/>
          <w:sz w:val="24"/>
        </w:rPr>
        <w:t>和一条</w:t>
      </w:r>
      <w:r>
        <w:rPr>
          <w:rFonts w:hint="eastAsia" w:ascii="宋体" w:hAnsi="宋体"/>
          <w:color w:val="000000"/>
          <w:sz w:val="24"/>
        </w:rPr>
        <w:t>内镶式</w:t>
      </w:r>
      <w:r>
        <w:rPr>
          <w:rFonts w:hint="eastAsia" w:ascii="宋体" w:hAnsi="宋体"/>
          <w:kern w:val="0"/>
          <w:sz w:val="24"/>
        </w:rPr>
        <w:t>滴灌带生产线，</w:t>
      </w:r>
      <w:r>
        <w:rPr>
          <w:rFonts w:hint="eastAsia" w:ascii="宋体" w:hAnsi="宋体" w:cs="宋体"/>
          <w:kern w:val="0"/>
          <w:sz w:val="24"/>
          <w:szCs w:val="24"/>
          <w:lang w:bidi="zh-CN"/>
        </w:rPr>
        <w:t>利用距离本项目东侧6.93km处的本公司2024年8月建成投入使用的地膜回收分拣、破碎清选后的废旧地膜运送至本项目区进行再生造粒生产</w:t>
      </w:r>
      <w:r>
        <w:rPr>
          <w:rFonts w:hint="eastAsia" w:ascii="宋体" w:hAnsi="宋体"/>
          <w:color w:val="000000"/>
          <w:sz w:val="24"/>
        </w:rPr>
        <w:t>内镶式</w:t>
      </w:r>
      <w:r>
        <w:rPr>
          <w:rFonts w:hint="eastAsia" w:ascii="宋体" w:hAnsi="宋体" w:cs="宋体"/>
          <w:kern w:val="0"/>
          <w:sz w:val="24"/>
          <w:szCs w:val="24"/>
          <w:lang w:bidi="zh-CN"/>
        </w:rPr>
        <w:t>滴灌带</w:t>
      </w:r>
      <w:r>
        <w:rPr>
          <w:rFonts w:ascii="宋体" w:hAnsi="宋体"/>
          <w:sz w:val="24"/>
          <w:szCs w:val="24"/>
        </w:rPr>
        <w:t>。</w:t>
      </w:r>
      <w:r>
        <w:rPr>
          <w:rFonts w:hint="eastAsia" w:ascii="宋体" w:hAnsi="宋体"/>
          <w:sz w:val="24"/>
          <w:szCs w:val="24"/>
        </w:rPr>
        <w:t>详见表3.1-2。</w:t>
      </w:r>
    </w:p>
    <w:p w14:paraId="2791E761">
      <w:pPr>
        <w:autoSpaceDE w:val="0"/>
        <w:autoSpaceDN w:val="0"/>
        <w:adjustRightInd w:val="0"/>
        <w:snapToGrid w:val="0"/>
        <w:jc w:val="center"/>
        <w:rPr>
          <w:rFonts w:hint="eastAsia" w:ascii="宋体" w:hAnsi="宋体"/>
          <w:b/>
          <w:kern w:val="0"/>
          <w:szCs w:val="21"/>
        </w:rPr>
      </w:pPr>
      <w:r>
        <w:rPr>
          <w:rFonts w:ascii="宋体" w:hAnsi="宋体"/>
          <w:b/>
          <w:kern w:val="0"/>
          <w:szCs w:val="21"/>
        </w:rPr>
        <w:t>表</w:t>
      </w:r>
      <w:r>
        <w:rPr>
          <w:rFonts w:hint="eastAsia" w:ascii="宋体" w:hAnsi="宋体"/>
          <w:b/>
          <w:kern w:val="0"/>
          <w:szCs w:val="21"/>
        </w:rPr>
        <w:t xml:space="preserve">3.1-2     </w:t>
      </w:r>
      <w:r>
        <w:rPr>
          <w:rFonts w:ascii="宋体" w:hAnsi="宋体"/>
          <w:b/>
          <w:kern w:val="0"/>
          <w:szCs w:val="21"/>
        </w:rPr>
        <w:t>主要产品方案及规模</w:t>
      </w:r>
    </w:p>
    <w:tbl>
      <w:tblPr>
        <w:tblStyle w:val="49"/>
        <w:tblW w:w="4909"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81"/>
        <w:gridCol w:w="1475"/>
        <w:gridCol w:w="1096"/>
        <w:gridCol w:w="1729"/>
        <w:gridCol w:w="4138"/>
      </w:tblGrid>
      <w:tr w14:paraId="749B629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373" w:type="pct"/>
            <w:vAlign w:val="center"/>
          </w:tcPr>
          <w:p w14:paraId="2366350E">
            <w:pPr>
              <w:pStyle w:val="179"/>
              <w:spacing w:line="240" w:lineRule="auto"/>
              <w:rPr>
                <w:rFonts w:hint="eastAsia" w:ascii="宋体" w:hAnsi="宋体" w:cs="宋体"/>
                <w:color w:val="auto"/>
                <w:sz w:val="21"/>
                <w:szCs w:val="21"/>
              </w:rPr>
            </w:pPr>
            <w:r>
              <w:rPr>
                <w:rFonts w:hint="eastAsia" w:ascii="宋体" w:hAnsi="宋体" w:cs="宋体"/>
                <w:color w:val="auto"/>
                <w:sz w:val="21"/>
                <w:szCs w:val="21"/>
              </w:rPr>
              <w:t>序号</w:t>
            </w:r>
          </w:p>
        </w:tc>
        <w:tc>
          <w:tcPr>
            <w:tcW w:w="809" w:type="pct"/>
            <w:vAlign w:val="center"/>
          </w:tcPr>
          <w:p w14:paraId="230E1222">
            <w:pPr>
              <w:pStyle w:val="179"/>
              <w:spacing w:line="240" w:lineRule="auto"/>
              <w:rPr>
                <w:rFonts w:hint="eastAsia" w:ascii="宋体" w:hAnsi="宋体" w:cs="宋体"/>
                <w:color w:val="auto"/>
                <w:sz w:val="21"/>
                <w:szCs w:val="21"/>
              </w:rPr>
            </w:pPr>
            <w:r>
              <w:rPr>
                <w:rFonts w:hint="eastAsia" w:ascii="宋体" w:hAnsi="宋体" w:cs="宋体"/>
                <w:color w:val="auto"/>
                <w:sz w:val="21"/>
                <w:szCs w:val="21"/>
              </w:rPr>
              <w:t>产品名称</w:t>
            </w:r>
          </w:p>
        </w:tc>
        <w:tc>
          <w:tcPr>
            <w:tcW w:w="601" w:type="pct"/>
            <w:vAlign w:val="center"/>
          </w:tcPr>
          <w:p w14:paraId="6DDA7718">
            <w:pPr>
              <w:pStyle w:val="179"/>
              <w:spacing w:line="240" w:lineRule="auto"/>
              <w:rPr>
                <w:rFonts w:hint="eastAsia" w:ascii="宋体" w:hAnsi="宋体" w:cs="宋体"/>
                <w:color w:val="auto"/>
                <w:sz w:val="21"/>
                <w:szCs w:val="21"/>
              </w:rPr>
            </w:pPr>
            <w:r>
              <w:rPr>
                <w:rFonts w:hint="eastAsia" w:ascii="宋体" w:hAnsi="宋体" w:cs="宋体"/>
                <w:color w:val="auto"/>
                <w:sz w:val="21"/>
                <w:szCs w:val="21"/>
              </w:rPr>
              <w:t>单位</w:t>
            </w:r>
          </w:p>
        </w:tc>
        <w:tc>
          <w:tcPr>
            <w:tcW w:w="948" w:type="pct"/>
            <w:vAlign w:val="center"/>
          </w:tcPr>
          <w:p w14:paraId="7117BE44">
            <w:pPr>
              <w:pStyle w:val="179"/>
              <w:spacing w:line="240" w:lineRule="auto"/>
              <w:rPr>
                <w:rFonts w:hint="eastAsia" w:ascii="宋体" w:hAnsi="宋体" w:cs="宋体"/>
                <w:color w:val="auto"/>
                <w:sz w:val="21"/>
                <w:szCs w:val="21"/>
              </w:rPr>
            </w:pPr>
            <w:r>
              <w:rPr>
                <w:rFonts w:hint="eastAsia" w:ascii="宋体" w:hAnsi="宋体" w:cs="宋体"/>
                <w:color w:val="auto"/>
                <w:sz w:val="21"/>
                <w:szCs w:val="21"/>
              </w:rPr>
              <w:t>年产量</w:t>
            </w:r>
          </w:p>
        </w:tc>
        <w:tc>
          <w:tcPr>
            <w:tcW w:w="2269" w:type="pct"/>
            <w:vAlign w:val="center"/>
          </w:tcPr>
          <w:p w14:paraId="36EB1BEF">
            <w:pPr>
              <w:pStyle w:val="179"/>
              <w:spacing w:line="240" w:lineRule="auto"/>
              <w:rPr>
                <w:rFonts w:hint="eastAsia" w:ascii="宋体" w:hAnsi="宋体" w:cs="宋体"/>
                <w:color w:val="auto"/>
                <w:sz w:val="21"/>
                <w:szCs w:val="21"/>
              </w:rPr>
            </w:pPr>
            <w:r>
              <w:rPr>
                <w:rFonts w:hint="eastAsia" w:ascii="宋体" w:hAnsi="宋体" w:cs="宋体"/>
                <w:color w:val="auto"/>
                <w:sz w:val="21"/>
                <w:szCs w:val="21"/>
              </w:rPr>
              <w:t>产品标准</w:t>
            </w:r>
          </w:p>
        </w:tc>
      </w:tr>
      <w:tr w14:paraId="695D23B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373" w:type="pct"/>
            <w:vAlign w:val="center"/>
          </w:tcPr>
          <w:p w14:paraId="76F865C0">
            <w:pPr>
              <w:pStyle w:val="179"/>
              <w:spacing w:line="240" w:lineRule="auto"/>
              <w:rPr>
                <w:rFonts w:hint="eastAsia" w:ascii="宋体" w:hAnsi="宋体" w:cs="宋体"/>
                <w:color w:val="auto"/>
                <w:sz w:val="21"/>
                <w:szCs w:val="21"/>
              </w:rPr>
            </w:pPr>
            <w:r>
              <w:rPr>
                <w:rFonts w:hint="eastAsia" w:ascii="宋体" w:hAnsi="宋体" w:cs="宋体"/>
                <w:color w:val="auto"/>
                <w:sz w:val="21"/>
                <w:szCs w:val="21"/>
              </w:rPr>
              <w:t>1</w:t>
            </w:r>
          </w:p>
        </w:tc>
        <w:tc>
          <w:tcPr>
            <w:tcW w:w="809" w:type="pct"/>
            <w:vAlign w:val="center"/>
          </w:tcPr>
          <w:p w14:paraId="32645CE1">
            <w:pPr>
              <w:pStyle w:val="179"/>
              <w:spacing w:line="240" w:lineRule="auto"/>
              <w:rPr>
                <w:rFonts w:hint="eastAsia" w:ascii="宋体" w:hAnsi="宋体" w:cs="宋体"/>
                <w:color w:val="auto"/>
                <w:sz w:val="21"/>
                <w:szCs w:val="21"/>
              </w:rPr>
            </w:pPr>
            <w:r>
              <w:rPr>
                <w:rFonts w:hint="eastAsia" w:ascii="宋体" w:hAnsi="宋体" w:cs="宋体"/>
                <w:color w:val="auto"/>
                <w:sz w:val="21"/>
                <w:szCs w:val="21"/>
              </w:rPr>
              <w:t>再生塑料颗粒</w:t>
            </w:r>
          </w:p>
        </w:tc>
        <w:tc>
          <w:tcPr>
            <w:tcW w:w="601" w:type="pct"/>
            <w:vAlign w:val="center"/>
          </w:tcPr>
          <w:p w14:paraId="4F4BED64">
            <w:pPr>
              <w:pStyle w:val="179"/>
              <w:spacing w:line="240" w:lineRule="auto"/>
              <w:rPr>
                <w:rFonts w:hint="eastAsia" w:ascii="宋体" w:hAnsi="宋体" w:cs="宋体"/>
                <w:color w:val="auto"/>
                <w:sz w:val="21"/>
                <w:szCs w:val="21"/>
              </w:rPr>
            </w:pPr>
            <w:r>
              <w:rPr>
                <w:rFonts w:hint="eastAsia" w:ascii="宋体" w:hAnsi="宋体" w:cs="宋体"/>
                <w:color w:val="auto"/>
                <w:sz w:val="21"/>
                <w:szCs w:val="21"/>
              </w:rPr>
              <w:t>t/年</w:t>
            </w:r>
          </w:p>
        </w:tc>
        <w:tc>
          <w:tcPr>
            <w:tcW w:w="948" w:type="pct"/>
            <w:vAlign w:val="center"/>
          </w:tcPr>
          <w:p w14:paraId="2EDF0460">
            <w:pPr>
              <w:pStyle w:val="179"/>
              <w:spacing w:line="240" w:lineRule="auto"/>
              <w:rPr>
                <w:rFonts w:hint="eastAsia" w:ascii="宋体" w:hAnsi="宋体" w:cs="宋体"/>
                <w:color w:val="auto"/>
                <w:sz w:val="21"/>
                <w:szCs w:val="21"/>
              </w:rPr>
            </w:pPr>
            <w:r>
              <w:rPr>
                <w:rFonts w:hint="eastAsia" w:ascii="宋体" w:hAnsi="宋体" w:cs="宋体"/>
                <w:color w:val="auto"/>
                <w:sz w:val="21"/>
                <w:szCs w:val="21"/>
              </w:rPr>
              <w:t>5498.075</w:t>
            </w:r>
          </w:p>
        </w:tc>
        <w:tc>
          <w:tcPr>
            <w:tcW w:w="2269" w:type="pct"/>
            <w:vAlign w:val="center"/>
          </w:tcPr>
          <w:p w14:paraId="3CB791B2">
            <w:pPr>
              <w:pStyle w:val="179"/>
              <w:spacing w:line="240" w:lineRule="auto"/>
              <w:jc w:val="both"/>
              <w:rPr>
                <w:rFonts w:hint="eastAsia" w:ascii="宋体" w:hAnsi="宋体" w:cs="宋体"/>
                <w:color w:val="auto"/>
                <w:sz w:val="21"/>
                <w:szCs w:val="21"/>
              </w:rPr>
            </w:pPr>
            <w:r>
              <w:rPr>
                <w:rFonts w:hint="eastAsia" w:ascii="宋体" w:hAnsi="宋体" w:cs="宋体"/>
                <w:color w:val="auto"/>
                <w:sz w:val="21"/>
                <w:szCs w:val="21"/>
              </w:rPr>
              <w:t>密度：0.8-1.2kg/m</w:t>
            </w:r>
            <w:r>
              <w:rPr>
                <w:rFonts w:hint="eastAsia" w:ascii="宋体" w:hAnsi="宋体" w:cs="宋体"/>
                <w:color w:val="auto"/>
                <w:sz w:val="21"/>
                <w:szCs w:val="21"/>
                <w:vertAlign w:val="superscript"/>
              </w:rPr>
              <w:t>3</w:t>
            </w:r>
            <w:r>
              <w:rPr>
                <w:rFonts w:hint="eastAsia" w:ascii="宋体" w:hAnsi="宋体" w:cs="宋体"/>
                <w:color w:val="auto"/>
                <w:sz w:val="21"/>
                <w:szCs w:val="21"/>
              </w:rPr>
              <w:t>，拉伸强度≥12Mpa</w:t>
            </w:r>
          </w:p>
        </w:tc>
      </w:tr>
      <w:tr w14:paraId="33C1041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63" w:hRule="atLeast"/>
          <w:jc w:val="center"/>
        </w:trPr>
        <w:tc>
          <w:tcPr>
            <w:tcW w:w="373" w:type="pct"/>
            <w:vAlign w:val="center"/>
          </w:tcPr>
          <w:p w14:paraId="0821E844">
            <w:pPr>
              <w:pStyle w:val="179"/>
              <w:spacing w:line="240" w:lineRule="auto"/>
              <w:rPr>
                <w:rFonts w:hint="eastAsia" w:ascii="宋体" w:hAnsi="宋体" w:cs="宋体"/>
                <w:color w:val="auto"/>
                <w:sz w:val="21"/>
                <w:szCs w:val="21"/>
              </w:rPr>
            </w:pPr>
            <w:r>
              <w:rPr>
                <w:rFonts w:hint="eastAsia" w:ascii="宋体" w:hAnsi="宋体" w:cs="宋体"/>
                <w:color w:val="auto"/>
                <w:sz w:val="21"/>
                <w:szCs w:val="21"/>
              </w:rPr>
              <w:t>2</w:t>
            </w:r>
          </w:p>
        </w:tc>
        <w:tc>
          <w:tcPr>
            <w:tcW w:w="809" w:type="pct"/>
            <w:vAlign w:val="center"/>
          </w:tcPr>
          <w:p w14:paraId="17D82F2E">
            <w:pPr>
              <w:pStyle w:val="179"/>
              <w:spacing w:line="240" w:lineRule="auto"/>
              <w:ind w:left="-19" w:leftChars="-9"/>
              <w:rPr>
                <w:rFonts w:hint="eastAsia" w:ascii="宋体" w:hAnsi="宋体" w:cs="宋体"/>
                <w:color w:val="auto"/>
                <w:sz w:val="21"/>
                <w:szCs w:val="21"/>
                <w:lang w:bidi="zh-CN"/>
              </w:rPr>
            </w:pPr>
            <w:r>
              <w:rPr>
                <w:rFonts w:hint="eastAsia" w:ascii="宋体" w:hAnsi="宋体" w:cs="宋体"/>
                <w:color w:val="auto"/>
                <w:sz w:val="21"/>
                <w:szCs w:val="21"/>
              </w:rPr>
              <w:t>内镶式滴灌带</w:t>
            </w:r>
          </w:p>
        </w:tc>
        <w:tc>
          <w:tcPr>
            <w:tcW w:w="601" w:type="pct"/>
            <w:vAlign w:val="center"/>
          </w:tcPr>
          <w:p w14:paraId="5B96AD35">
            <w:pPr>
              <w:autoSpaceDE w:val="0"/>
              <w:autoSpaceDN w:val="0"/>
              <w:jc w:val="center"/>
              <w:rPr>
                <w:rFonts w:hint="eastAsia" w:ascii="宋体" w:hAnsi="宋体" w:cs="宋体"/>
                <w:szCs w:val="21"/>
              </w:rPr>
            </w:pPr>
            <w:r>
              <w:rPr>
                <w:rFonts w:hint="eastAsia" w:ascii="宋体" w:hAnsi="宋体" w:cs="宋体"/>
                <w:szCs w:val="21"/>
              </w:rPr>
              <w:t>t/年</w:t>
            </w:r>
          </w:p>
        </w:tc>
        <w:tc>
          <w:tcPr>
            <w:tcW w:w="948" w:type="pct"/>
            <w:vAlign w:val="center"/>
          </w:tcPr>
          <w:p w14:paraId="3E7FBE9E">
            <w:pPr>
              <w:pStyle w:val="179"/>
              <w:spacing w:line="240" w:lineRule="auto"/>
              <w:ind w:left="-19" w:leftChars="-9"/>
              <w:rPr>
                <w:rFonts w:hint="eastAsia" w:ascii="宋体" w:hAnsi="宋体" w:cs="宋体"/>
                <w:color w:val="auto"/>
                <w:sz w:val="21"/>
                <w:szCs w:val="21"/>
                <w:lang w:bidi="zh-CN"/>
              </w:rPr>
            </w:pPr>
            <w:r>
              <w:rPr>
                <w:rFonts w:hint="eastAsia" w:ascii="宋体" w:hAnsi="宋体" w:cs="宋体"/>
                <w:color w:val="auto"/>
                <w:sz w:val="21"/>
                <w:szCs w:val="21"/>
              </w:rPr>
              <w:t>9995</w:t>
            </w:r>
          </w:p>
        </w:tc>
        <w:tc>
          <w:tcPr>
            <w:tcW w:w="2269" w:type="pct"/>
            <w:vAlign w:val="center"/>
          </w:tcPr>
          <w:p w14:paraId="45C0909C">
            <w:pPr>
              <w:autoSpaceDE w:val="0"/>
              <w:autoSpaceDN w:val="0"/>
              <w:rPr>
                <w:rFonts w:hint="eastAsia" w:ascii="宋体" w:hAnsi="宋体" w:cs="宋体"/>
                <w:szCs w:val="21"/>
              </w:rPr>
            </w:pPr>
            <w:r>
              <w:rPr>
                <w:rFonts w:hint="eastAsia" w:ascii="宋体" w:hAnsi="宋体" w:cs="宋体"/>
                <w:szCs w:val="21"/>
                <w:lang w:val="zh-CN"/>
              </w:rPr>
              <w:t>管径</w:t>
            </w:r>
            <w:r>
              <w:rPr>
                <w:rFonts w:hint="eastAsia" w:ascii="宋体" w:hAnsi="宋体" w:cs="宋体"/>
                <w:szCs w:val="21"/>
              </w:rPr>
              <w:t>：16mm</w:t>
            </w:r>
          </w:p>
          <w:p w14:paraId="07788904">
            <w:pPr>
              <w:autoSpaceDE w:val="0"/>
              <w:autoSpaceDN w:val="0"/>
              <w:rPr>
                <w:rFonts w:hint="eastAsia" w:ascii="宋体" w:hAnsi="宋体" w:cs="宋体"/>
                <w:szCs w:val="21"/>
              </w:rPr>
            </w:pPr>
            <w:r>
              <w:rPr>
                <w:rFonts w:hint="eastAsia" w:ascii="宋体" w:hAnsi="宋体" w:cs="宋体"/>
                <w:szCs w:val="21"/>
                <w:lang w:val="zh-CN"/>
              </w:rPr>
              <w:t>壁厚</w:t>
            </w:r>
            <w:r>
              <w:rPr>
                <w:rFonts w:hint="eastAsia" w:ascii="宋体" w:hAnsi="宋体" w:cs="宋体"/>
                <w:szCs w:val="21"/>
              </w:rPr>
              <w:t>：0.18-0.2mm</w:t>
            </w:r>
          </w:p>
          <w:p w14:paraId="47BF8A89">
            <w:pPr>
              <w:pStyle w:val="38"/>
              <w:spacing w:line="240" w:lineRule="auto"/>
              <w:rPr>
                <w:rFonts w:hint="eastAsia" w:hAnsi="宋体"/>
                <w:kern w:val="2"/>
                <w:sz w:val="21"/>
                <w:szCs w:val="21"/>
                <w:lang w:val="zh-CN"/>
              </w:rPr>
            </w:pPr>
            <w:r>
              <w:rPr>
                <w:rFonts w:hint="eastAsia" w:hAnsi="宋体"/>
                <w:kern w:val="2"/>
                <w:sz w:val="21"/>
                <w:szCs w:val="21"/>
                <w:lang w:val="zh-CN"/>
              </w:rPr>
              <w:t>滴头间距：100-300</w:t>
            </w:r>
            <w:r>
              <w:rPr>
                <w:rFonts w:hint="eastAsia" w:hAnsi="宋体"/>
                <w:sz w:val="21"/>
                <w:szCs w:val="21"/>
              </w:rPr>
              <w:t>mm</w:t>
            </w:r>
          </w:p>
          <w:p w14:paraId="362D17D9">
            <w:pPr>
              <w:autoSpaceDE w:val="0"/>
              <w:autoSpaceDN w:val="0"/>
              <w:rPr>
                <w:rFonts w:hint="eastAsia" w:ascii="宋体" w:hAnsi="宋体" w:cs="宋体"/>
                <w:szCs w:val="21"/>
              </w:rPr>
            </w:pPr>
            <w:r>
              <w:rPr>
                <w:rFonts w:hint="eastAsia" w:ascii="宋体" w:hAnsi="宋体" w:cs="宋体"/>
                <w:szCs w:val="21"/>
                <w:lang w:val="zh-CN"/>
              </w:rPr>
              <w:t>工作压力</w:t>
            </w:r>
            <w:r>
              <w:rPr>
                <w:rFonts w:hint="eastAsia" w:ascii="宋体" w:hAnsi="宋体" w:cs="宋体"/>
                <w:szCs w:val="21"/>
              </w:rPr>
              <w:t>：0.02-0.25MPa</w:t>
            </w:r>
          </w:p>
          <w:p w14:paraId="7AF8BEEA">
            <w:pPr>
              <w:autoSpaceDE w:val="0"/>
              <w:autoSpaceDN w:val="0"/>
              <w:rPr>
                <w:rFonts w:hint="eastAsia" w:ascii="宋体" w:hAnsi="宋体" w:cs="宋体"/>
                <w:szCs w:val="21"/>
              </w:rPr>
            </w:pPr>
            <w:r>
              <w:rPr>
                <w:rFonts w:hint="eastAsia" w:ascii="宋体" w:hAnsi="宋体" w:cs="宋体"/>
                <w:szCs w:val="21"/>
                <w:lang w:val="zh-CN"/>
              </w:rPr>
              <w:t>流量</w:t>
            </w:r>
            <w:r>
              <w:rPr>
                <w:rFonts w:hint="eastAsia" w:ascii="宋体" w:hAnsi="宋体" w:cs="宋体"/>
                <w:szCs w:val="21"/>
              </w:rPr>
              <w:t>：2-3L/h</w:t>
            </w:r>
          </w:p>
        </w:tc>
      </w:tr>
    </w:tbl>
    <w:p w14:paraId="1D3C1AFD">
      <w:pPr>
        <w:spacing w:line="360" w:lineRule="auto"/>
        <w:ind w:firstLine="480" w:firstLineChars="200"/>
        <w:rPr>
          <w:rFonts w:hint="eastAsia" w:ascii="宋体" w:hAnsi="宋体"/>
          <w:kern w:val="0"/>
          <w:sz w:val="24"/>
        </w:rPr>
      </w:pPr>
      <w:r>
        <w:rPr>
          <w:rFonts w:hint="eastAsia" w:ascii="宋体" w:hAnsi="宋体"/>
          <w:kern w:val="0"/>
          <w:sz w:val="24"/>
        </w:rPr>
        <w:t>本项目滴灌带产品执行《塑料节水灌溉器材第3部分：内镶式滴灌管及滴灌带》(GB/T19812.3-2017)中相关标准要求，具体见表3.1-3。</w:t>
      </w:r>
    </w:p>
    <w:p w14:paraId="0CDB3305">
      <w:pPr>
        <w:ind w:firstLine="482"/>
        <w:jc w:val="center"/>
        <w:rPr>
          <w:rFonts w:hint="eastAsia"/>
          <w:b/>
          <w:bCs/>
        </w:rPr>
      </w:pPr>
      <w:bookmarkStart w:id="125" w:name="_Toc27902"/>
    </w:p>
    <w:p w14:paraId="4A79415F">
      <w:pPr>
        <w:ind w:firstLine="482"/>
        <w:jc w:val="center"/>
        <w:rPr>
          <w:rFonts w:hint="eastAsia"/>
          <w:b/>
          <w:bCs/>
        </w:rPr>
      </w:pPr>
    </w:p>
    <w:p w14:paraId="4BFA4C1A">
      <w:pPr>
        <w:ind w:firstLine="482"/>
        <w:jc w:val="center"/>
        <w:rPr>
          <w:rFonts w:hint="eastAsia"/>
          <w:b/>
          <w:bCs/>
        </w:rPr>
      </w:pPr>
    </w:p>
    <w:p w14:paraId="4D2CC2DB">
      <w:pPr>
        <w:ind w:firstLine="482"/>
        <w:jc w:val="center"/>
        <w:rPr>
          <w:rFonts w:hint="eastAsia"/>
          <w:b/>
          <w:bCs/>
        </w:rPr>
      </w:pPr>
    </w:p>
    <w:p w14:paraId="53814F90">
      <w:pPr>
        <w:ind w:firstLine="482"/>
        <w:jc w:val="center"/>
        <w:rPr>
          <w:rFonts w:hint="eastAsia"/>
          <w:b/>
          <w:bCs/>
        </w:rPr>
      </w:pPr>
    </w:p>
    <w:p w14:paraId="25E41861">
      <w:pPr>
        <w:ind w:firstLine="482"/>
        <w:jc w:val="center"/>
        <w:rPr>
          <w:b/>
          <w:bCs/>
        </w:rPr>
      </w:pPr>
      <w:r>
        <w:rPr>
          <w:rFonts w:hint="eastAsia"/>
          <w:b/>
          <w:bCs/>
        </w:rPr>
        <w:t>表3.1-3     滴灌带产品质量标准一览表</w:t>
      </w:r>
      <w:bookmarkEnd w:id="125"/>
    </w:p>
    <w:tbl>
      <w:tblPr>
        <w:tblStyle w:val="49"/>
        <w:tblW w:w="9079"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8" w:space="0"/>
        </w:tblBorders>
        <w:tblLayout w:type="fixed"/>
        <w:tblCellMar>
          <w:top w:w="15" w:type="dxa"/>
          <w:left w:w="15" w:type="dxa"/>
          <w:bottom w:w="15" w:type="dxa"/>
          <w:right w:w="15" w:type="dxa"/>
        </w:tblCellMar>
      </w:tblPr>
      <w:tblGrid>
        <w:gridCol w:w="1481"/>
        <w:gridCol w:w="1493"/>
        <w:gridCol w:w="1736"/>
        <w:gridCol w:w="1029"/>
        <w:gridCol w:w="613"/>
        <w:gridCol w:w="1816"/>
        <w:gridCol w:w="911"/>
      </w:tblGrid>
      <w:tr w14:paraId="1E0578DE">
        <w:tblPrEx>
          <w:tblBorders>
            <w:top w:val="single" w:color="auto" w:sz="12" w:space="0"/>
            <w:left w:val="single" w:color="auto" w:sz="12" w:space="0"/>
            <w:bottom w:val="single" w:color="auto" w:sz="12" w:space="0"/>
            <w:right w:val="single" w:color="auto" w:sz="12" w:space="0"/>
            <w:insideH w:val="single" w:color="auto" w:sz="6" w:space="0"/>
            <w:insideV w:val="single" w:color="auto" w:sz="8" w:space="0"/>
          </w:tblBorders>
        </w:tblPrEx>
        <w:trPr>
          <w:trHeight w:val="227" w:hRule="atLeast"/>
          <w:jc w:val="center"/>
        </w:trPr>
        <w:tc>
          <w:tcPr>
            <w:tcW w:w="1481" w:type="dxa"/>
            <w:tcMar>
              <w:top w:w="0" w:type="dxa"/>
              <w:left w:w="0" w:type="dxa"/>
              <w:bottom w:w="0" w:type="dxa"/>
              <w:right w:w="0" w:type="dxa"/>
            </w:tcMar>
            <w:vAlign w:val="center"/>
          </w:tcPr>
          <w:p w14:paraId="3A880B1E">
            <w:pPr>
              <w:jc w:val="center"/>
              <w:rPr>
                <w:lang w:val="zh-CN" w:bidi="zh-CN"/>
              </w:rPr>
            </w:pPr>
            <w:r>
              <w:rPr>
                <w:rFonts w:hint="eastAsia"/>
                <w:lang w:val="zh-CN" w:bidi="zh-CN"/>
              </w:rPr>
              <w:t>项目</w:t>
            </w:r>
          </w:p>
        </w:tc>
        <w:tc>
          <w:tcPr>
            <w:tcW w:w="7598" w:type="dxa"/>
            <w:gridSpan w:val="6"/>
            <w:tcMar>
              <w:top w:w="0" w:type="dxa"/>
              <w:left w:w="0" w:type="dxa"/>
              <w:bottom w:w="0" w:type="dxa"/>
              <w:right w:w="0" w:type="dxa"/>
            </w:tcMar>
            <w:vAlign w:val="center"/>
          </w:tcPr>
          <w:p w14:paraId="101F5B7D">
            <w:pPr>
              <w:jc w:val="center"/>
              <w:rPr>
                <w:lang w:val="zh-CN" w:bidi="zh-CN"/>
              </w:rPr>
            </w:pPr>
            <w:r>
              <w:rPr>
                <w:rFonts w:hint="eastAsia"/>
                <w:lang w:val="zh-CN" w:bidi="zh-CN"/>
              </w:rPr>
              <w:t>标准</w:t>
            </w:r>
          </w:p>
        </w:tc>
      </w:tr>
      <w:tr w14:paraId="3FC20B73">
        <w:tblPrEx>
          <w:tblBorders>
            <w:top w:val="single" w:color="auto" w:sz="12" w:space="0"/>
            <w:left w:val="single" w:color="auto" w:sz="12" w:space="0"/>
            <w:bottom w:val="single" w:color="auto" w:sz="12" w:space="0"/>
            <w:right w:val="single" w:color="auto" w:sz="12" w:space="0"/>
            <w:insideH w:val="single" w:color="auto" w:sz="6" w:space="0"/>
            <w:insideV w:val="single" w:color="auto" w:sz="8" w:space="0"/>
          </w:tblBorders>
          <w:tblCellMar>
            <w:top w:w="15" w:type="dxa"/>
            <w:left w:w="15" w:type="dxa"/>
            <w:bottom w:w="15" w:type="dxa"/>
            <w:right w:w="15" w:type="dxa"/>
          </w:tblCellMar>
        </w:tblPrEx>
        <w:trPr>
          <w:trHeight w:val="217" w:hRule="atLeast"/>
          <w:jc w:val="center"/>
        </w:trPr>
        <w:tc>
          <w:tcPr>
            <w:tcW w:w="1481" w:type="dxa"/>
            <w:tcMar>
              <w:top w:w="0" w:type="dxa"/>
              <w:left w:w="0" w:type="dxa"/>
              <w:bottom w:w="0" w:type="dxa"/>
              <w:right w:w="0" w:type="dxa"/>
            </w:tcMar>
            <w:vAlign w:val="center"/>
          </w:tcPr>
          <w:p w14:paraId="52FAA7CD">
            <w:pPr>
              <w:jc w:val="center"/>
              <w:rPr>
                <w:lang w:val="zh-CN" w:bidi="zh-CN"/>
              </w:rPr>
            </w:pPr>
            <w:r>
              <w:rPr>
                <w:rFonts w:hint="eastAsia"/>
                <w:lang w:val="zh-CN" w:bidi="zh-CN"/>
              </w:rPr>
              <w:t>外观</w:t>
            </w:r>
          </w:p>
        </w:tc>
        <w:tc>
          <w:tcPr>
            <w:tcW w:w="7598" w:type="dxa"/>
            <w:gridSpan w:val="6"/>
            <w:tcMar>
              <w:top w:w="0" w:type="dxa"/>
              <w:left w:w="0" w:type="dxa"/>
              <w:bottom w:w="0" w:type="dxa"/>
              <w:right w:w="0" w:type="dxa"/>
            </w:tcMar>
            <w:vAlign w:val="center"/>
          </w:tcPr>
          <w:p w14:paraId="7504446D">
            <w:pPr>
              <w:jc w:val="center"/>
              <w:rPr>
                <w:lang w:val="zh-CN" w:bidi="zh-CN"/>
              </w:rPr>
            </w:pPr>
            <w:r>
              <w:rPr>
                <w:rFonts w:hint="eastAsia"/>
                <w:lang w:val="zh-CN" w:bidi="zh-CN"/>
              </w:rPr>
              <w:t>色泽均匀一致，表面光滑、平整，不应有气泡、挂料线、明显的未塑化物、杂质</w:t>
            </w:r>
          </w:p>
        </w:tc>
      </w:tr>
      <w:tr w14:paraId="231B2AE4">
        <w:tblPrEx>
          <w:tblBorders>
            <w:top w:val="single" w:color="auto" w:sz="12" w:space="0"/>
            <w:left w:val="single" w:color="auto" w:sz="12" w:space="0"/>
            <w:bottom w:val="single" w:color="auto" w:sz="12" w:space="0"/>
            <w:right w:val="single" w:color="auto" w:sz="12" w:space="0"/>
            <w:insideH w:val="single" w:color="auto" w:sz="6" w:space="0"/>
            <w:insideV w:val="single" w:color="auto" w:sz="8" w:space="0"/>
          </w:tblBorders>
          <w:tblCellMar>
            <w:top w:w="15" w:type="dxa"/>
            <w:left w:w="15" w:type="dxa"/>
            <w:bottom w:w="15" w:type="dxa"/>
            <w:right w:w="15" w:type="dxa"/>
          </w:tblCellMar>
        </w:tblPrEx>
        <w:trPr>
          <w:trHeight w:val="237" w:hRule="atLeast"/>
          <w:jc w:val="center"/>
        </w:trPr>
        <w:tc>
          <w:tcPr>
            <w:tcW w:w="1481" w:type="dxa"/>
            <w:vMerge w:val="restart"/>
            <w:tcMar>
              <w:top w:w="0" w:type="dxa"/>
              <w:left w:w="0" w:type="dxa"/>
              <w:bottom w:w="0" w:type="dxa"/>
              <w:right w:w="0" w:type="dxa"/>
            </w:tcMar>
            <w:vAlign w:val="center"/>
          </w:tcPr>
          <w:p w14:paraId="123E0C61">
            <w:pPr>
              <w:jc w:val="center"/>
              <w:rPr>
                <w:lang w:val="zh-CN" w:bidi="zh-CN"/>
              </w:rPr>
            </w:pPr>
            <w:r>
              <w:rPr>
                <w:rFonts w:hint="eastAsia"/>
                <w:lang w:val="zh-CN" w:bidi="zh-CN"/>
              </w:rPr>
              <w:t>公称内径及极限偏差(mm)</w:t>
            </w:r>
          </w:p>
        </w:tc>
        <w:tc>
          <w:tcPr>
            <w:tcW w:w="1493" w:type="dxa"/>
            <w:tcMar>
              <w:top w:w="0" w:type="dxa"/>
              <w:left w:w="0" w:type="dxa"/>
              <w:bottom w:w="0" w:type="dxa"/>
              <w:right w:w="0" w:type="dxa"/>
            </w:tcMar>
            <w:vAlign w:val="center"/>
          </w:tcPr>
          <w:p w14:paraId="716D914B">
            <w:pPr>
              <w:jc w:val="center"/>
              <w:rPr>
                <w:lang w:val="zh-CN" w:bidi="zh-CN"/>
              </w:rPr>
            </w:pPr>
            <w:r>
              <w:rPr>
                <w:rFonts w:hint="eastAsia"/>
                <w:lang w:val="zh-CN" w:bidi="zh-CN"/>
              </w:rPr>
              <w:t>公称内径</w:t>
            </w:r>
          </w:p>
        </w:tc>
        <w:tc>
          <w:tcPr>
            <w:tcW w:w="6105" w:type="dxa"/>
            <w:gridSpan w:val="5"/>
            <w:tcMar>
              <w:top w:w="0" w:type="dxa"/>
              <w:left w:w="0" w:type="dxa"/>
              <w:bottom w:w="0" w:type="dxa"/>
              <w:right w:w="0" w:type="dxa"/>
            </w:tcMar>
            <w:vAlign w:val="center"/>
          </w:tcPr>
          <w:p w14:paraId="4BB2BD76">
            <w:pPr>
              <w:jc w:val="center"/>
              <w:rPr>
                <w:lang w:val="zh-CN" w:bidi="zh-CN"/>
              </w:rPr>
            </w:pPr>
            <w:r>
              <w:rPr>
                <w:rFonts w:hint="eastAsia"/>
                <w:lang w:val="zh-CN" w:bidi="zh-CN"/>
              </w:rPr>
              <w:t>16</w:t>
            </w:r>
          </w:p>
        </w:tc>
      </w:tr>
      <w:tr w14:paraId="57B61D15">
        <w:tblPrEx>
          <w:tblBorders>
            <w:top w:val="single" w:color="auto" w:sz="12" w:space="0"/>
            <w:left w:val="single" w:color="auto" w:sz="12" w:space="0"/>
            <w:bottom w:val="single" w:color="auto" w:sz="12" w:space="0"/>
            <w:right w:val="single" w:color="auto" w:sz="12" w:space="0"/>
            <w:insideH w:val="single" w:color="auto" w:sz="6" w:space="0"/>
            <w:insideV w:val="single" w:color="auto" w:sz="8" w:space="0"/>
          </w:tblBorders>
          <w:tblCellMar>
            <w:top w:w="15" w:type="dxa"/>
            <w:left w:w="15" w:type="dxa"/>
            <w:bottom w:w="15" w:type="dxa"/>
            <w:right w:w="15" w:type="dxa"/>
          </w:tblCellMar>
        </w:tblPrEx>
        <w:trPr>
          <w:trHeight w:val="218" w:hRule="atLeast"/>
          <w:jc w:val="center"/>
        </w:trPr>
        <w:tc>
          <w:tcPr>
            <w:tcW w:w="1481" w:type="dxa"/>
            <w:vMerge w:val="continue"/>
            <w:tcMar>
              <w:top w:w="0" w:type="dxa"/>
              <w:left w:w="0" w:type="dxa"/>
              <w:bottom w:w="0" w:type="dxa"/>
              <w:right w:w="0" w:type="dxa"/>
            </w:tcMar>
            <w:vAlign w:val="center"/>
          </w:tcPr>
          <w:p w14:paraId="64492A31">
            <w:pPr>
              <w:jc w:val="center"/>
              <w:rPr>
                <w:lang w:val="zh-CN" w:bidi="zh-CN"/>
              </w:rPr>
            </w:pPr>
          </w:p>
        </w:tc>
        <w:tc>
          <w:tcPr>
            <w:tcW w:w="1493" w:type="dxa"/>
            <w:tcMar>
              <w:top w:w="0" w:type="dxa"/>
              <w:left w:w="0" w:type="dxa"/>
              <w:bottom w:w="0" w:type="dxa"/>
              <w:right w:w="0" w:type="dxa"/>
            </w:tcMar>
            <w:vAlign w:val="center"/>
          </w:tcPr>
          <w:p w14:paraId="65E490EF">
            <w:pPr>
              <w:jc w:val="center"/>
              <w:rPr>
                <w:lang w:val="zh-CN" w:bidi="zh-CN"/>
              </w:rPr>
            </w:pPr>
            <w:r>
              <w:rPr>
                <w:rFonts w:hint="eastAsia"/>
                <w:lang w:val="zh-CN" w:bidi="zh-CN"/>
              </w:rPr>
              <w:t>极限偏差</w:t>
            </w:r>
          </w:p>
        </w:tc>
        <w:tc>
          <w:tcPr>
            <w:tcW w:w="6105" w:type="dxa"/>
            <w:gridSpan w:val="5"/>
            <w:tcMar>
              <w:top w:w="0" w:type="dxa"/>
              <w:left w:w="0" w:type="dxa"/>
              <w:bottom w:w="0" w:type="dxa"/>
              <w:right w:w="0" w:type="dxa"/>
            </w:tcMar>
            <w:vAlign w:val="center"/>
          </w:tcPr>
          <w:p w14:paraId="687B27E3">
            <w:pPr>
              <w:jc w:val="center"/>
              <w:rPr>
                <w:lang w:val="zh-CN" w:bidi="zh-CN"/>
              </w:rPr>
            </w:pPr>
            <w:r>
              <w:rPr>
                <w:rFonts w:hint="eastAsia"/>
                <w:lang w:val="zh-CN" w:bidi="zh-CN"/>
              </w:rPr>
              <w:t>±0.3</w:t>
            </w:r>
          </w:p>
        </w:tc>
      </w:tr>
      <w:tr w14:paraId="4AFD2DEE">
        <w:tblPrEx>
          <w:tblBorders>
            <w:top w:val="single" w:color="auto" w:sz="12" w:space="0"/>
            <w:left w:val="single" w:color="auto" w:sz="12" w:space="0"/>
            <w:bottom w:val="single" w:color="auto" w:sz="12" w:space="0"/>
            <w:right w:val="single" w:color="auto" w:sz="12" w:space="0"/>
            <w:insideH w:val="single" w:color="auto" w:sz="6" w:space="0"/>
            <w:insideV w:val="single" w:color="auto" w:sz="8" w:space="0"/>
          </w:tblBorders>
          <w:tblCellMar>
            <w:top w:w="15" w:type="dxa"/>
            <w:left w:w="15" w:type="dxa"/>
            <w:bottom w:w="15" w:type="dxa"/>
            <w:right w:w="15" w:type="dxa"/>
          </w:tblCellMar>
        </w:tblPrEx>
        <w:trPr>
          <w:trHeight w:val="254" w:hRule="atLeast"/>
          <w:jc w:val="center"/>
        </w:trPr>
        <w:tc>
          <w:tcPr>
            <w:tcW w:w="1481" w:type="dxa"/>
            <w:vMerge w:val="restart"/>
            <w:tcMar>
              <w:top w:w="0" w:type="dxa"/>
              <w:left w:w="0" w:type="dxa"/>
              <w:bottom w:w="0" w:type="dxa"/>
              <w:right w:w="0" w:type="dxa"/>
            </w:tcMar>
            <w:vAlign w:val="center"/>
          </w:tcPr>
          <w:p w14:paraId="0086A4DF">
            <w:pPr>
              <w:jc w:val="center"/>
              <w:rPr>
                <w:lang w:val="zh-CN" w:bidi="zh-CN"/>
              </w:rPr>
            </w:pPr>
            <w:r>
              <w:rPr>
                <w:rFonts w:hint="eastAsia"/>
                <w:lang w:val="zh-CN" w:bidi="zh-CN"/>
              </w:rPr>
              <w:t>公称壁厚及极限偏差(mm)</w:t>
            </w:r>
          </w:p>
        </w:tc>
        <w:tc>
          <w:tcPr>
            <w:tcW w:w="1493" w:type="dxa"/>
            <w:tcMar>
              <w:top w:w="0" w:type="dxa"/>
              <w:left w:w="0" w:type="dxa"/>
              <w:bottom w:w="0" w:type="dxa"/>
              <w:right w:w="0" w:type="dxa"/>
            </w:tcMar>
            <w:vAlign w:val="center"/>
          </w:tcPr>
          <w:p w14:paraId="486FA440">
            <w:pPr>
              <w:jc w:val="center"/>
              <w:rPr>
                <w:lang w:val="zh-CN" w:bidi="zh-CN"/>
              </w:rPr>
            </w:pPr>
            <w:r>
              <w:rPr>
                <w:rFonts w:hint="eastAsia"/>
                <w:lang w:val="zh-CN" w:bidi="zh-CN"/>
              </w:rPr>
              <w:t>公称壁厚</w:t>
            </w:r>
          </w:p>
        </w:tc>
        <w:tc>
          <w:tcPr>
            <w:tcW w:w="2765" w:type="dxa"/>
            <w:gridSpan w:val="2"/>
            <w:tcMar>
              <w:top w:w="0" w:type="dxa"/>
              <w:left w:w="0" w:type="dxa"/>
              <w:bottom w:w="0" w:type="dxa"/>
              <w:right w:w="0" w:type="dxa"/>
            </w:tcMar>
            <w:vAlign w:val="center"/>
          </w:tcPr>
          <w:p w14:paraId="48FA723B">
            <w:pPr>
              <w:jc w:val="center"/>
              <w:rPr>
                <w:lang w:val="zh-CN" w:bidi="zh-CN"/>
              </w:rPr>
            </w:pPr>
            <w:r>
              <w:rPr>
                <w:rFonts w:hint="eastAsia"/>
                <w:lang w:val="zh-CN" w:bidi="zh-CN"/>
              </w:rPr>
              <w:t>0.18</w:t>
            </w:r>
          </w:p>
        </w:tc>
        <w:tc>
          <w:tcPr>
            <w:tcW w:w="3340" w:type="dxa"/>
            <w:gridSpan w:val="3"/>
            <w:vAlign w:val="center"/>
          </w:tcPr>
          <w:p w14:paraId="43B8607F">
            <w:pPr>
              <w:jc w:val="center"/>
              <w:rPr>
                <w:lang w:val="zh-CN" w:bidi="zh-CN"/>
              </w:rPr>
            </w:pPr>
            <w:r>
              <w:rPr>
                <w:rFonts w:hint="eastAsia"/>
                <w:lang w:val="zh-CN" w:bidi="zh-CN"/>
              </w:rPr>
              <w:t>0.20</w:t>
            </w:r>
          </w:p>
        </w:tc>
      </w:tr>
      <w:tr w14:paraId="55D92FF3">
        <w:tblPrEx>
          <w:tblBorders>
            <w:top w:val="single" w:color="auto" w:sz="12" w:space="0"/>
            <w:left w:val="single" w:color="auto" w:sz="12" w:space="0"/>
            <w:bottom w:val="single" w:color="auto" w:sz="12" w:space="0"/>
            <w:right w:val="single" w:color="auto" w:sz="12" w:space="0"/>
            <w:insideH w:val="single" w:color="auto" w:sz="6" w:space="0"/>
            <w:insideV w:val="single" w:color="auto" w:sz="8" w:space="0"/>
          </w:tblBorders>
          <w:tblCellMar>
            <w:top w:w="15" w:type="dxa"/>
            <w:left w:w="15" w:type="dxa"/>
            <w:bottom w:w="15" w:type="dxa"/>
            <w:right w:w="15" w:type="dxa"/>
          </w:tblCellMar>
        </w:tblPrEx>
        <w:trPr>
          <w:trHeight w:val="319" w:hRule="atLeast"/>
          <w:jc w:val="center"/>
        </w:trPr>
        <w:tc>
          <w:tcPr>
            <w:tcW w:w="1481" w:type="dxa"/>
            <w:vMerge w:val="continue"/>
            <w:tcMar>
              <w:top w:w="0" w:type="dxa"/>
              <w:left w:w="0" w:type="dxa"/>
              <w:bottom w:w="0" w:type="dxa"/>
              <w:right w:w="0" w:type="dxa"/>
            </w:tcMar>
            <w:vAlign w:val="center"/>
          </w:tcPr>
          <w:p w14:paraId="6DD7DDE6">
            <w:pPr>
              <w:jc w:val="center"/>
              <w:rPr>
                <w:lang w:val="zh-CN" w:bidi="zh-CN"/>
              </w:rPr>
            </w:pPr>
          </w:p>
        </w:tc>
        <w:tc>
          <w:tcPr>
            <w:tcW w:w="1493" w:type="dxa"/>
            <w:tcMar>
              <w:top w:w="0" w:type="dxa"/>
              <w:left w:w="0" w:type="dxa"/>
              <w:bottom w:w="0" w:type="dxa"/>
              <w:right w:w="0" w:type="dxa"/>
            </w:tcMar>
            <w:vAlign w:val="center"/>
          </w:tcPr>
          <w:p w14:paraId="0D68A39D">
            <w:pPr>
              <w:jc w:val="center"/>
              <w:rPr>
                <w:lang w:val="zh-CN" w:bidi="zh-CN"/>
              </w:rPr>
            </w:pPr>
            <w:r>
              <w:rPr>
                <w:rFonts w:hint="eastAsia"/>
                <w:lang w:val="zh-CN" w:bidi="zh-CN"/>
              </w:rPr>
              <w:t>极限偏差</w:t>
            </w:r>
          </w:p>
        </w:tc>
        <w:tc>
          <w:tcPr>
            <w:tcW w:w="6105" w:type="dxa"/>
            <w:gridSpan w:val="5"/>
            <w:tcMar>
              <w:top w:w="0" w:type="dxa"/>
              <w:left w:w="0" w:type="dxa"/>
              <w:bottom w:w="0" w:type="dxa"/>
              <w:right w:w="0" w:type="dxa"/>
            </w:tcMar>
            <w:vAlign w:val="center"/>
          </w:tcPr>
          <w:p w14:paraId="3BE5D596">
            <w:pPr>
              <w:jc w:val="center"/>
              <w:rPr>
                <w:lang w:val="zh-CN" w:bidi="zh-CN"/>
              </w:rPr>
            </w:pPr>
            <w:r>
              <w:rPr>
                <w:rFonts w:hint="eastAsia"/>
                <w:lang w:val="zh-CN" w:bidi="zh-CN"/>
              </w:rPr>
              <w:t>+0.04</w:t>
            </w:r>
          </w:p>
          <w:p w14:paraId="414D844C">
            <w:pPr>
              <w:jc w:val="center"/>
              <w:rPr>
                <w:lang w:val="zh-CN" w:bidi="zh-CN"/>
              </w:rPr>
            </w:pPr>
            <w:r>
              <w:rPr>
                <w:rFonts w:hint="eastAsia"/>
                <w:lang w:val="zh-CN" w:bidi="zh-CN"/>
              </w:rPr>
              <w:t>-0.01</w:t>
            </w:r>
          </w:p>
        </w:tc>
      </w:tr>
      <w:tr w14:paraId="6417D1A9">
        <w:tblPrEx>
          <w:tblBorders>
            <w:top w:val="single" w:color="auto" w:sz="12" w:space="0"/>
            <w:left w:val="single" w:color="auto" w:sz="12" w:space="0"/>
            <w:bottom w:val="single" w:color="auto" w:sz="12" w:space="0"/>
            <w:right w:val="single" w:color="auto" w:sz="12" w:space="0"/>
            <w:insideH w:val="single" w:color="auto" w:sz="6" w:space="0"/>
            <w:insideV w:val="single" w:color="auto" w:sz="8" w:space="0"/>
          </w:tblBorders>
          <w:tblCellMar>
            <w:top w:w="15" w:type="dxa"/>
            <w:left w:w="15" w:type="dxa"/>
            <w:bottom w:w="15" w:type="dxa"/>
            <w:right w:w="15" w:type="dxa"/>
          </w:tblCellMar>
        </w:tblPrEx>
        <w:trPr>
          <w:trHeight w:val="260" w:hRule="atLeast"/>
          <w:jc w:val="center"/>
        </w:trPr>
        <w:tc>
          <w:tcPr>
            <w:tcW w:w="1481" w:type="dxa"/>
            <w:tcMar>
              <w:top w:w="0" w:type="dxa"/>
              <w:left w:w="0" w:type="dxa"/>
              <w:bottom w:w="0" w:type="dxa"/>
              <w:right w:w="0" w:type="dxa"/>
            </w:tcMar>
            <w:vAlign w:val="center"/>
          </w:tcPr>
          <w:p w14:paraId="08115D0A">
            <w:pPr>
              <w:jc w:val="center"/>
              <w:rPr>
                <w:lang w:val="zh-CN" w:bidi="zh-CN"/>
              </w:rPr>
            </w:pPr>
            <w:r>
              <w:rPr>
                <w:rFonts w:hint="eastAsia"/>
                <w:lang w:val="zh-CN" w:bidi="zh-CN"/>
              </w:rPr>
              <w:t>每段卷数（个）</w:t>
            </w:r>
          </w:p>
        </w:tc>
        <w:tc>
          <w:tcPr>
            <w:tcW w:w="1493" w:type="dxa"/>
            <w:tcMar>
              <w:top w:w="0" w:type="dxa"/>
              <w:left w:w="0" w:type="dxa"/>
              <w:bottom w:w="0" w:type="dxa"/>
              <w:right w:w="0" w:type="dxa"/>
            </w:tcMar>
            <w:vAlign w:val="center"/>
          </w:tcPr>
          <w:p w14:paraId="1D2B015B">
            <w:pPr>
              <w:jc w:val="center"/>
              <w:rPr>
                <w:lang w:val="zh-CN" w:bidi="zh-CN"/>
              </w:rPr>
            </w:pPr>
            <w:r>
              <w:rPr>
                <w:rFonts w:hint="eastAsia"/>
                <w:lang w:val="zh-CN" w:bidi="zh-CN"/>
              </w:rPr>
              <w:t>≤1000m</w:t>
            </w:r>
          </w:p>
        </w:tc>
        <w:tc>
          <w:tcPr>
            <w:tcW w:w="1736" w:type="dxa"/>
            <w:tcMar>
              <w:top w:w="0" w:type="dxa"/>
              <w:left w:w="0" w:type="dxa"/>
              <w:bottom w:w="0" w:type="dxa"/>
              <w:right w:w="0" w:type="dxa"/>
            </w:tcMar>
            <w:vAlign w:val="center"/>
          </w:tcPr>
          <w:p w14:paraId="15DFC6CB">
            <w:pPr>
              <w:jc w:val="center"/>
              <w:rPr>
                <w:lang w:val="zh-CN" w:bidi="zh-CN"/>
              </w:rPr>
            </w:pPr>
            <w:r>
              <w:rPr>
                <w:rFonts w:hint="eastAsia"/>
                <w:lang w:val="zh-CN" w:bidi="zh-CN"/>
              </w:rPr>
              <w:t>&gt;1000m</w:t>
            </w:r>
          </w:p>
        </w:tc>
        <w:tc>
          <w:tcPr>
            <w:tcW w:w="1642" w:type="dxa"/>
            <w:gridSpan w:val="2"/>
            <w:tcMar>
              <w:top w:w="0" w:type="dxa"/>
              <w:left w:w="0" w:type="dxa"/>
              <w:bottom w:w="0" w:type="dxa"/>
              <w:right w:w="0" w:type="dxa"/>
            </w:tcMar>
            <w:vAlign w:val="center"/>
          </w:tcPr>
          <w:p w14:paraId="7EEBF656">
            <w:pPr>
              <w:jc w:val="center"/>
              <w:rPr>
                <w:lang w:val="zh-CN" w:bidi="zh-CN"/>
              </w:rPr>
            </w:pPr>
            <w:r>
              <w:rPr>
                <w:rFonts w:hint="eastAsia"/>
                <w:lang w:val="zh-CN" w:bidi="zh-CN"/>
              </w:rPr>
              <w:t>每段长度(m)</w:t>
            </w:r>
          </w:p>
        </w:tc>
        <w:tc>
          <w:tcPr>
            <w:tcW w:w="1816" w:type="dxa"/>
            <w:vMerge w:val="restart"/>
            <w:tcMar>
              <w:top w:w="0" w:type="dxa"/>
              <w:left w:w="0" w:type="dxa"/>
              <w:bottom w:w="0" w:type="dxa"/>
              <w:right w:w="0" w:type="dxa"/>
            </w:tcMar>
            <w:vAlign w:val="center"/>
          </w:tcPr>
          <w:p w14:paraId="3D564963">
            <w:pPr>
              <w:jc w:val="center"/>
              <w:rPr>
                <w:lang w:val="zh-CN" w:bidi="zh-CN"/>
              </w:rPr>
            </w:pPr>
            <w:r>
              <w:rPr>
                <w:rFonts w:hint="eastAsia"/>
                <w:lang w:val="zh-CN" w:bidi="zh-CN"/>
              </w:rPr>
              <w:t>每卷长度偏差（%）</w:t>
            </w:r>
          </w:p>
        </w:tc>
        <w:tc>
          <w:tcPr>
            <w:tcW w:w="911" w:type="dxa"/>
            <w:vMerge w:val="restart"/>
            <w:tcMar>
              <w:top w:w="0" w:type="dxa"/>
              <w:left w:w="0" w:type="dxa"/>
              <w:bottom w:w="0" w:type="dxa"/>
              <w:right w:w="0" w:type="dxa"/>
            </w:tcMar>
            <w:vAlign w:val="center"/>
          </w:tcPr>
          <w:p w14:paraId="324A3674">
            <w:pPr>
              <w:jc w:val="center"/>
              <w:rPr>
                <w:lang w:val="zh-CN" w:bidi="zh-CN"/>
              </w:rPr>
            </w:pPr>
            <w:r>
              <w:rPr>
                <w:rFonts w:hint="eastAsia"/>
                <w:lang w:val="zh-CN" w:bidi="zh-CN"/>
              </w:rPr>
              <w:t>±1.5</w:t>
            </w:r>
          </w:p>
        </w:tc>
      </w:tr>
      <w:tr w14:paraId="09FC5817">
        <w:tblPrEx>
          <w:tblBorders>
            <w:top w:val="single" w:color="auto" w:sz="12" w:space="0"/>
            <w:left w:val="single" w:color="auto" w:sz="12" w:space="0"/>
            <w:bottom w:val="single" w:color="auto" w:sz="12" w:space="0"/>
            <w:right w:val="single" w:color="auto" w:sz="12" w:space="0"/>
            <w:insideH w:val="single" w:color="auto" w:sz="6" w:space="0"/>
            <w:insideV w:val="single" w:color="auto" w:sz="8" w:space="0"/>
          </w:tblBorders>
          <w:tblCellMar>
            <w:top w:w="15" w:type="dxa"/>
            <w:left w:w="15" w:type="dxa"/>
            <w:bottom w:w="15" w:type="dxa"/>
            <w:right w:w="15" w:type="dxa"/>
          </w:tblCellMar>
        </w:tblPrEx>
        <w:trPr>
          <w:trHeight w:val="224" w:hRule="atLeast"/>
          <w:jc w:val="center"/>
        </w:trPr>
        <w:tc>
          <w:tcPr>
            <w:tcW w:w="1481" w:type="dxa"/>
            <w:tcMar>
              <w:top w:w="0" w:type="dxa"/>
              <w:left w:w="0" w:type="dxa"/>
              <w:bottom w:w="0" w:type="dxa"/>
              <w:right w:w="0" w:type="dxa"/>
            </w:tcMar>
            <w:vAlign w:val="center"/>
          </w:tcPr>
          <w:p w14:paraId="4319F737">
            <w:pPr>
              <w:jc w:val="center"/>
              <w:rPr>
                <w:lang w:val="zh-CN" w:bidi="zh-CN"/>
              </w:rPr>
            </w:pPr>
            <w:r>
              <w:rPr>
                <w:rFonts w:hint="eastAsia"/>
                <w:lang w:val="zh-CN" w:bidi="zh-CN"/>
              </w:rPr>
              <w:t>指标</w:t>
            </w:r>
          </w:p>
        </w:tc>
        <w:tc>
          <w:tcPr>
            <w:tcW w:w="1493" w:type="dxa"/>
            <w:tcMar>
              <w:top w:w="0" w:type="dxa"/>
              <w:left w:w="0" w:type="dxa"/>
              <w:bottom w:w="0" w:type="dxa"/>
              <w:right w:w="0" w:type="dxa"/>
            </w:tcMar>
            <w:vAlign w:val="center"/>
          </w:tcPr>
          <w:p w14:paraId="562DDF1B">
            <w:pPr>
              <w:jc w:val="center"/>
              <w:rPr>
                <w:lang w:val="zh-CN" w:bidi="zh-CN"/>
              </w:rPr>
            </w:pPr>
            <w:r>
              <w:rPr>
                <w:rFonts w:hint="eastAsia"/>
                <w:lang w:val="zh-CN" w:bidi="zh-CN"/>
              </w:rPr>
              <w:t>≤2</w:t>
            </w:r>
          </w:p>
        </w:tc>
        <w:tc>
          <w:tcPr>
            <w:tcW w:w="1736" w:type="dxa"/>
            <w:tcMar>
              <w:top w:w="0" w:type="dxa"/>
              <w:left w:w="0" w:type="dxa"/>
              <w:bottom w:w="0" w:type="dxa"/>
              <w:right w:w="0" w:type="dxa"/>
            </w:tcMar>
            <w:vAlign w:val="center"/>
          </w:tcPr>
          <w:p w14:paraId="38D4FEC1">
            <w:pPr>
              <w:jc w:val="center"/>
              <w:rPr>
                <w:lang w:val="zh-CN" w:bidi="zh-CN"/>
              </w:rPr>
            </w:pPr>
            <w:r>
              <w:rPr>
                <w:rFonts w:hint="eastAsia"/>
                <w:lang w:val="zh-CN" w:bidi="zh-CN"/>
              </w:rPr>
              <w:t>≤3</w:t>
            </w:r>
          </w:p>
        </w:tc>
        <w:tc>
          <w:tcPr>
            <w:tcW w:w="1642" w:type="dxa"/>
            <w:gridSpan w:val="2"/>
            <w:tcMar>
              <w:top w:w="0" w:type="dxa"/>
              <w:left w:w="0" w:type="dxa"/>
              <w:bottom w:w="0" w:type="dxa"/>
              <w:right w:w="0" w:type="dxa"/>
            </w:tcMar>
            <w:vAlign w:val="center"/>
          </w:tcPr>
          <w:p w14:paraId="09BFCAF6">
            <w:pPr>
              <w:jc w:val="center"/>
              <w:rPr>
                <w:lang w:val="zh-CN" w:bidi="zh-CN"/>
              </w:rPr>
            </w:pPr>
            <w:r>
              <w:rPr>
                <w:rFonts w:hint="eastAsia"/>
                <w:lang w:val="zh-CN" w:bidi="zh-CN"/>
              </w:rPr>
              <w:t>≥200</w:t>
            </w:r>
          </w:p>
        </w:tc>
        <w:tc>
          <w:tcPr>
            <w:tcW w:w="1816" w:type="dxa"/>
            <w:vMerge w:val="continue"/>
            <w:tcMar>
              <w:top w:w="0" w:type="dxa"/>
              <w:left w:w="0" w:type="dxa"/>
              <w:bottom w:w="0" w:type="dxa"/>
              <w:right w:w="0" w:type="dxa"/>
            </w:tcMar>
            <w:vAlign w:val="center"/>
          </w:tcPr>
          <w:p w14:paraId="1DD9E2A9">
            <w:pPr>
              <w:jc w:val="center"/>
              <w:rPr>
                <w:lang w:val="zh-CN" w:bidi="zh-CN"/>
              </w:rPr>
            </w:pPr>
          </w:p>
        </w:tc>
        <w:tc>
          <w:tcPr>
            <w:tcW w:w="911" w:type="dxa"/>
            <w:vMerge w:val="continue"/>
            <w:tcMar>
              <w:top w:w="0" w:type="dxa"/>
              <w:left w:w="0" w:type="dxa"/>
              <w:bottom w:w="0" w:type="dxa"/>
              <w:right w:w="0" w:type="dxa"/>
            </w:tcMar>
            <w:vAlign w:val="center"/>
          </w:tcPr>
          <w:p w14:paraId="4AD93613">
            <w:pPr>
              <w:jc w:val="center"/>
              <w:rPr>
                <w:lang w:val="zh-CN" w:bidi="zh-CN"/>
              </w:rPr>
            </w:pPr>
          </w:p>
        </w:tc>
      </w:tr>
      <w:tr w14:paraId="6E5BEDE2">
        <w:tblPrEx>
          <w:tblBorders>
            <w:top w:val="single" w:color="auto" w:sz="12" w:space="0"/>
            <w:left w:val="single" w:color="auto" w:sz="12" w:space="0"/>
            <w:bottom w:val="single" w:color="auto" w:sz="12" w:space="0"/>
            <w:right w:val="single" w:color="auto" w:sz="12" w:space="0"/>
            <w:insideH w:val="single" w:color="auto" w:sz="6" w:space="0"/>
            <w:insideV w:val="single" w:color="auto" w:sz="8" w:space="0"/>
          </w:tblBorders>
          <w:tblCellMar>
            <w:top w:w="15" w:type="dxa"/>
            <w:left w:w="15" w:type="dxa"/>
            <w:bottom w:w="15" w:type="dxa"/>
            <w:right w:w="15" w:type="dxa"/>
          </w:tblCellMar>
        </w:tblPrEx>
        <w:trPr>
          <w:trHeight w:val="334" w:hRule="atLeast"/>
          <w:jc w:val="center"/>
        </w:trPr>
        <w:tc>
          <w:tcPr>
            <w:tcW w:w="1481" w:type="dxa"/>
            <w:tcMar>
              <w:top w:w="0" w:type="dxa"/>
              <w:left w:w="0" w:type="dxa"/>
              <w:bottom w:w="0" w:type="dxa"/>
              <w:right w:w="0" w:type="dxa"/>
            </w:tcMar>
            <w:vAlign w:val="center"/>
          </w:tcPr>
          <w:p w14:paraId="01537850">
            <w:pPr>
              <w:jc w:val="center"/>
              <w:rPr>
                <w:lang w:val="zh-CN" w:bidi="zh-CN"/>
              </w:rPr>
            </w:pPr>
            <w:r>
              <w:rPr>
                <w:rFonts w:hint="eastAsia"/>
                <w:lang w:val="zh-CN" w:bidi="zh-CN"/>
              </w:rPr>
              <w:t>滴水孔间距偏关率</w:t>
            </w:r>
          </w:p>
        </w:tc>
        <w:tc>
          <w:tcPr>
            <w:tcW w:w="7598" w:type="dxa"/>
            <w:gridSpan w:val="6"/>
            <w:tcMar>
              <w:top w:w="0" w:type="dxa"/>
              <w:left w:w="0" w:type="dxa"/>
              <w:bottom w:w="0" w:type="dxa"/>
              <w:right w:w="0" w:type="dxa"/>
            </w:tcMar>
            <w:vAlign w:val="center"/>
          </w:tcPr>
          <w:p w14:paraId="2D609C61">
            <w:pPr>
              <w:jc w:val="center"/>
              <w:rPr>
                <w:lang w:val="zh-CN" w:bidi="zh-CN"/>
              </w:rPr>
            </w:pPr>
            <w:r>
              <w:rPr>
                <w:rFonts w:hint="eastAsia"/>
                <w:lang w:val="zh-CN" w:bidi="zh-CN"/>
              </w:rPr>
              <w:t>±5%</w:t>
            </w:r>
          </w:p>
        </w:tc>
      </w:tr>
    </w:tbl>
    <w:p w14:paraId="7B8EBF7E">
      <w:pPr>
        <w:pStyle w:val="4"/>
        <w:autoSpaceDE w:val="0"/>
        <w:autoSpaceDN w:val="0"/>
        <w:spacing w:before="0" w:after="0" w:line="360" w:lineRule="auto"/>
        <w:jc w:val="left"/>
        <w:rPr>
          <w:kern w:val="0"/>
          <w:sz w:val="24"/>
          <w:lang w:val="en-US" w:bidi="zh-CN"/>
        </w:rPr>
      </w:pPr>
      <w:r>
        <w:rPr>
          <w:rFonts w:hint="eastAsia"/>
          <w:kern w:val="0"/>
          <w:sz w:val="24"/>
          <w:lang w:val="en-US" w:bidi="zh-CN"/>
        </w:rPr>
        <w:t>3.1.4主要生产设备</w:t>
      </w:r>
    </w:p>
    <w:p w14:paraId="2E5541E8">
      <w:pPr>
        <w:spacing w:line="360" w:lineRule="auto"/>
        <w:ind w:firstLine="435"/>
        <w:rPr>
          <w:rFonts w:hint="eastAsia" w:ascii="宋体" w:hAnsi="宋体"/>
          <w:sz w:val="24"/>
          <w:szCs w:val="24"/>
        </w:rPr>
      </w:pPr>
      <w:r>
        <w:rPr>
          <w:rFonts w:ascii="宋体" w:hAnsi="宋体"/>
          <w:sz w:val="24"/>
          <w:szCs w:val="24"/>
        </w:rPr>
        <w:t>项目生产过程中所使用到的设备清单见表3.1-</w:t>
      </w:r>
      <w:r>
        <w:rPr>
          <w:rFonts w:hint="eastAsia" w:ascii="宋体" w:hAnsi="宋体"/>
          <w:sz w:val="24"/>
          <w:szCs w:val="24"/>
        </w:rPr>
        <w:t>4</w:t>
      </w:r>
      <w:r>
        <w:rPr>
          <w:rFonts w:ascii="宋体" w:hAnsi="宋体"/>
          <w:sz w:val="24"/>
          <w:szCs w:val="24"/>
        </w:rPr>
        <w:t>。</w:t>
      </w:r>
    </w:p>
    <w:p w14:paraId="17CE21F2">
      <w:pPr>
        <w:autoSpaceDE w:val="0"/>
        <w:autoSpaceDN w:val="0"/>
        <w:adjustRightInd w:val="0"/>
        <w:snapToGrid w:val="0"/>
        <w:ind w:left="4" w:hanging="4"/>
        <w:jc w:val="center"/>
        <w:rPr>
          <w:rFonts w:hint="eastAsia" w:ascii="宋体" w:hAnsi="宋体"/>
          <w:b/>
          <w:kern w:val="0"/>
          <w:szCs w:val="21"/>
        </w:rPr>
      </w:pPr>
      <w:r>
        <w:rPr>
          <w:rFonts w:ascii="宋体" w:hAnsi="宋体"/>
          <w:b/>
          <w:kern w:val="0"/>
          <w:szCs w:val="21"/>
        </w:rPr>
        <w:t>表3.1-</w:t>
      </w:r>
      <w:r>
        <w:rPr>
          <w:rFonts w:hint="eastAsia" w:ascii="宋体" w:hAnsi="宋体"/>
          <w:b/>
          <w:kern w:val="0"/>
          <w:szCs w:val="21"/>
        </w:rPr>
        <w:t>4</w:t>
      </w:r>
      <w:r>
        <w:rPr>
          <w:rFonts w:ascii="宋体" w:hAnsi="宋体"/>
          <w:b/>
          <w:kern w:val="0"/>
          <w:szCs w:val="21"/>
        </w:rPr>
        <w:t xml:space="preserve">     设备清单一览表</w:t>
      </w:r>
    </w:p>
    <w:tbl>
      <w:tblPr>
        <w:tblStyle w:val="49"/>
        <w:tblW w:w="8999" w:type="dxa"/>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
      <w:tblGrid>
        <w:gridCol w:w="866"/>
        <w:gridCol w:w="2124"/>
        <w:gridCol w:w="1574"/>
        <w:gridCol w:w="1288"/>
        <w:gridCol w:w="3147"/>
      </w:tblGrid>
      <w:tr w14:paraId="6EDECA5F">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105" w:hRule="atLeast"/>
          <w:jc w:val="center"/>
        </w:trPr>
        <w:tc>
          <w:tcPr>
            <w:tcW w:w="866" w:type="dxa"/>
            <w:vAlign w:val="center"/>
          </w:tcPr>
          <w:p w14:paraId="59F91163">
            <w:pPr>
              <w:spacing w:line="320" w:lineRule="exact"/>
              <w:jc w:val="center"/>
              <w:rPr>
                <w:rFonts w:hint="eastAsia" w:ascii="宋体" w:hAnsi="宋体"/>
                <w:szCs w:val="21"/>
              </w:rPr>
            </w:pPr>
            <w:r>
              <w:rPr>
                <w:rFonts w:ascii="宋体" w:hAnsi="宋体"/>
                <w:szCs w:val="21"/>
              </w:rPr>
              <w:t>序号</w:t>
            </w:r>
          </w:p>
        </w:tc>
        <w:tc>
          <w:tcPr>
            <w:tcW w:w="2124" w:type="dxa"/>
            <w:vAlign w:val="center"/>
          </w:tcPr>
          <w:p w14:paraId="431CDFF3">
            <w:pPr>
              <w:spacing w:line="320" w:lineRule="exact"/>
              <w:jc w:val="center"/>
              <w:rPr>
                <w:rFonts w:hint="eastAsia" w:ascii="宋体" w:hAnsi="宋体"/>
                <w:szCs w:val="21"/>
              </w:rPr>
            </w:pPr>
            <w:r>
              <w:rPr>
                <w:rFonts w:ascii="宋体" w:hAnsi="宋体"/>
                <w:szCs w:val="21"/>
              </w:rPr>
              <w:t>设备名称</w:t>
            </w:r>
          </w:p>
        </w:tc>
        <w:tc>
          <w:tcPr>
            <w:tcW w:w="1574" w:type="dxa"/>
            <w:vAlign w:val="center"/>
          </w:tcPr>
          <w:p w14:paraId="45C85713">
            <w:pPr>
              <w:spacing w:line="320" w:lineRule="exact"/>
              <w:jc w:val="center"/>
              <w:rPr>
                <w:rFonts w:hint="eastAsia" w:ascii="宋体" w:hAnsi="宋体"/>
                <w:szCs w:val="21"/>
              </w:rPr>
            </w:pPr>
            <w:r>
              <w:rPr>
                <w:rFonts w:ascii="宋体" w:hAnsi="宋体"/>
                <w:szCs w:val="21"/>
              </w:rPr>
              <w:t>技术指标</w:t>
            </w:r>
          </w:p>
        </w:tc>
        <w:tc>
          <w:tcPr>
            <w:tcW w:w="1288" w:type="dxa"/>
            <w:vAlign w:val="center"/>
          </w:tcPr>
          <w:p w14:paraId="31C16006">
            <w:pPr>
              <w:spacing w:line="320" w:lineRule="exact"/>
              <w:jc w:val="center"/>
              <w:rPr>
                <w:rFonts w:hint="eastAsia" w:ascii="宋体" w:hAnsi="宋体"/>
                <w:szCs w:val="21"/>
              </w:rPr>
            </w:pPr>
            <w:r>
              <w:rPr>
                <w:rFonts w:ascii="宋体" w:hAnsi="宋体"/>
                <w:szCs w:val="21"/>
              </w:rPr>
              <w:t>数量</w:t>
            </w:r>
          </w:p>
        </w:tc>
        <w:tc>
          <w:tcPr>
            <w:tcW w:w="3147" w:type="dxa"/>
            <w:vAlign w:val="center"/>
          </w:tcPr>
          <w:p w14:paraId="628DA423">
            <w:pPr>
              <w:spacing w:line="320" w:lineRule="exact"/>
              <w:jc w:val="center"/>
              <w:rPr>
                <w:rFonts w:hint="eastAsia" w:ascii="宋体" w:hAnsi="宋体"/>
                <w:szCs w:val="21"/>
              </w:rPr>
            </w:pPr>
            <w:r>
              <w:rPr>
                <w:rFonts w:ascii="宋体" w:hAnsi="宋体"/>
                <w:szCs w:val="21"/>
              </w:rPr>
              <w:t>备 注</w:t>
            </w:r>
          </w:p>
        </w:tc>
      </w:tr>
      <w:tr w14:paraId="7134BE5F">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98" w:hRule="atLeast"/>
          <w:jc w:val="center"/>
        </w:trPr>
        <w:tc>
          <w:tcPr>
            <w:tcW w:w="8999" w:type="dxa"/>
            <w:gridSpan w:val="5"/>
            <w:vAlign w:val="center"/>
          </w:tcPr>
          <w:p w14:paraId="51EFA25E">
            <w:pPr>
              <w:spacing w:line="320" w:lineRule="exact"/>
              <w:jc w:val="center"/>
              <w:rPr>
                <w:rFonts w:hint="eastAsia" w:ascii="宋体" w:hAnsi="宋体"/>
                <w:szCs w:val="21"/>
              </w:rPr>
            </w:pPr>
            <w:r>
              <w:rPr>
                <w:rFonts w:hint="eastAsia" w:ascii="宋体" w:hAnsi="宋体"/>
                <w:szCs w:val="21"/>
              </w:rPr>
              <w:t>造粒生产线</w:t>
            </w:r>
          </w:p>
        </w:tc>
      </w:tr>
      <w:tr w14:paraId="17200F89">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98" w:hRule="atLeast"/>
          <w:jc w:val="center"/>
        </w:trPr>
        <w:tc>
          <w:tcPr>
            <w:tcW w:w="866" w:type="dxa"/>
            <w:vAlign w:val="center"/>
          </w:tcPr>
          <w:p w14:paraId="7406A1C9">
            <w:pPr>
              <w:spacing w:line="320" w:lineRule="exact"/>
              <w:jc w:val="center"/>
              <w:rPr>
                <w:rFonts w:hint="eastAsia" w:ascii="宋体" w:hAnsi="宋体"/>
                <w:szCs w:val="21"/>
              </w:rPr>
            </w:pPr>
            <w:r>
              <w:rPr>
                <w:rFonts w:hint="eastAsia" w:ascii="宋体" w:hAnsi="宋体"/>
                <w:szCs w:val="21"/>
              </w:rPr>
              <w:t>1</w:t>
            </w:r>
          </w:p>
        </w:tc>
        <w:tc>
          <w:tcPr>
            <w:tcW w:w="2124" w:type="dxa"/>
            <w:vAlign w:val="center"/>
          </w:tcPr>
          <w:p w14:paraId="3D797EDA">
            <w:pPr>
              <w:pStyle w:val="240"/>
              <w:rPr>
                <w:rFonts w:hint="default"/>
              </w:rPr>
            </w:pPr>
            <w:r>
              <w:t>提料机</w:t>
            </w:r>
          </w:p>
        </w:tc>
        <w:tc>
          <w:tcPr>
            <w:tcW w:w="1574" w:type="dxa"/>
            <w:vAlign w:val="center"/>
          </w:tcPr>
          <w:p w14:paraId="79043B25">
            <w:pPr>
              <w:pStyle w:val="240"/>
              <w:rPr>
                <w:rFonts w:hint="default"/>
              </w:rPr>
            </w:pPr>
            <w:r>
              <w:t>630型</w:t>
            </w:r>
          </w:p>
        </w:tc>
        <w:tc>
          <w:tcPr>
            <w:tcW w:w="1288" w:type="dxa"/>
            <w:vAlign w:val="center"/>
          </w:tcPr>
          <w:p w14:paraId="325E055C">
            <w:pPr>
              <w:spacing w:line="320" w:lineRule="exact"/>
              <w:jc w:val="center"/>
              <w:rPr>
                <w:rFonts w:hint="eastAsia" w:ascii="宋体" w:hAnsi="宋体"/>
                <w:szCs w:val="21"/>
              </w:rPr>
            </w:pPr>
            <w:r>
              <w:rPr>
                <w:rFonts w:hint="eastAsia" w:ascii="宋体" w:hAnsi="宋体"/>
                <w:szCs w:val="21"/>
              </w:rPr>
              <w:t>1台</w:t>
            </w:r>
          </w:p>
        </w:tc>
        <w:tc>
          <w:tcPr>
            <w:tcW w:w="3147" w:type="dxa"/>
            <w:vAlign w:val="center"/>
          </w:tcPr>
          <w:p w14:paraId="5C006B45">
            <w:pPr>
              <w:spacing w:line="320" w:lineRule="exact"/>
              <w:jc w:val="center"/>
              <w:rPr>
                <w:rFonts w:hint="eastAsia" w:ascii="宋体" w:hAnsi="宋体"/>
                <w:szCs w:val="21"/>
              </w:rPr>
            </w:pPr>
            <w:r>
              <w:rPr>
                <w:rFonts w:ascii="宋体" w:hAnsi="宋体"/>
                <w:szCs w:val="21"/>
              </w:rPr>
              <w:t>处理能力：</w:t>
            </w:r>
            <w:r>
              <w:rPr>
                <w:rFonts w:hint="eastAsia" w:ascii="宋体" w:hAnsi="宋体"/>
                <w:szCs w:val="21"/>
                <w:lang w:val="en-US" w:eastAsia="zh-CN"/>
              </w:rPr>
              <w:t>1.0</w:t>
            </w:r>
            <w:r>
              <w:rPr>
                <w:rFonts w:ascii="宋体" w:hAnsi="宋体"/>
                <w:szCs w:val="21"/>
              </w:rPr>
              <w:t>t/h</w:t>
            </w:r>
          </w:p>
        </w:tc>
      </w:tr>
      <w:tr w14:paraId="37015535">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182" w:hRule="atLeast"/>
          <w:jc w:val="center"/>
        </w:trPr>
        <w:tc>
          <w:tcPr>
            <w:tcW w:w="866" w:type="dxa"/>
            <w:vAlign w:val="center"/>
          </w:tcPr>
          <w:p w14:paraId="4400A99A">
            <w:pPr>
              <w:spacing w:line="320" w:lineRule="exact"/>
              <w:jc w:val="center"/>
              <w:rPr>
                <w:rFonts w:hint="eastAsia" w:ascii="宋体" w:hAnsi="宋体"/>
                <w:bCs/>
                <w:szCs w:val="21"/>
              </w:rPr>
            </w:pPr>
            <w:r>
              <w:rPr>
                <w:rFonts w:hint="eastAsia" w:ascii="宋体" w:hAnsi="宋体"/>
                <w:bCs/>
                <w:szCs w:val="21"/>
              </w:rPr>
              <w:t>2</w:t>
            </w:r>
          </w:p>
        </w:tc>
        <w:tc>
          <w:tcPr>
            <w:tcW w:w="2124" w:type="dxa"/>
            <w:vAlign w:val="center"/>
          </w:tcPr>
          <w:p w14:paraId="68774093">
            <w:pPr>
              <w:spacing w:line="320" w:lineRule="exact"/>
              <w:jc w:val="center"/>
              <w:rPr>
                <w:rFonts w:hint="eastAsia" w:ascii="宋体" w:hAnsi="宋体"/>
                <w:szCs w:val="21"/>
              </w:rPr>
            </w:pPr>
            <w:r>
              <w:rPr>
                <w:rFonts w:hint="eastAsia"/>
                <w:color w:val="000000"/>
              </w:rPr>
              <w:t>挤出机</w:t>
            </w:r>
          </w:p>
        </w:tc>
        <w:tc>
          <w:tcPr>
            <w:tcW w:w="1574" w:type="dxa"/>
            <w:vAlign w:val="center"/>
          </w:tcPr>
          <w:p w14:paraId="41F53A1E">
            <w:pPr>
              <w:spacing w:line="320" w:lineRule="exact"/>
              <w:jc w:val="center"/>
              <w:rPr>
                <w:rFonts w:hint="eastAsia" w:ascii="宋体" w:hAnsi="宋体"/>
                <w:szCs w:val="21"/>
              </w:rPr>
            </w:pPr>
            <w:r>
              <w:rPr>
                <w:rFonts w:hint="eastAsia"/>
                <w:color w:val="000000"/>
              </w:rPr>
              <w:t>210型造粒机组（90</w:t>
            </w:r>
            <w:r>
              <w:rPr>
                <w:rFonts w:hint="eastAsia"/>
                <w:color w:val="000000"/>
                <w:lang w:eastAsia="zh-CN"/>
              </w:rPr>
              <w:t>kW</w:t>
            </w:r>
            <w:r>
              <w:rPr>
                <w:rFonts w:hint="eastAsia"/>
                <w:color w:val="000000"/>
              </w:rPr>
              <w:t>电机）</w:t>
            </w:r>
          </w:p>
        </w:tc>
        <w:tc>
          <w:tcPr>
            <w:tcW w:w="1288" w:type="dxa"/>
            <w:vAlign w:val="center"/>
          </w:tcPr>
          <w:p w14:paraId="77C36E42">
            <w:pPr>
              <w:spacing w:line="320" w:lineRule="exact"/>
              <w:jc w:val="center"/>
              <w:rPr>
                <w:rFonts w:hint="eastAsia" w:ascii="宋体" w:hAnsi="宋体"/>
                <w:szCs w:val="21"/>
              </w:rPr>
            </w:pPr>
            <w:r>
              <w:rPr>
                <w:rFonts w:ascii="宋体" w:hAnsi="宋体"/>
                <w:szCs w:val="21"/>
              </w:rPr>
              <w:t>1</w:t>
            </w:r>
            <w:r>
              <w:rPr>
                <w:rFonts w:hint="eastAsia" w:ascii="宋体" w:hAnsi="宋体"/>
                <w:szCs w:val="21"/>
              </w:rPr>
              <w:t>套</w:t>
            </w:r>
          </w:p>
        </w:tc>
        <w:tc>
          <w:tcPr>
            <w:tcW w:w="3147" w:type="dxa"/>
            <w:vAlign w:val="center"/>
          </w:tcPr>
          <w:p w14:paraId="1F69C042">
            <w:pPr>
              <w:spacing w:line="320" w:lineRule="exact"/>
              <w:jc w:val="center"/>
              <w:rPr>
                <w:rFonts w:hint="eastAsia" w:ascii="宋体" w:hAnsi="宋体"/>
                <w:szCs w:val="21"/>
              </w:rPr>
            </w:pPr>
            <w:r>
              <w:rPr>
                <w:rFonts w:ascii="宋体" w:hAnsi="宋体" w:eastAsia="宋体" w:cs="宋体"/>
                <w:sz w:val="24"/>
                <w:szCs w:val="24"/>
              </w:rPr>
              <w:t>BY，</w:t>
            </w:r>
            <w:r>
              <w:rPr>
                <w:rFonts w:ascii="宋体" w:hAnsi="宋体"/>
                <w:szCs w:val="21"/>
              </w:rPr>
              <w:t>挤出能力：</w:t>
            </w:r>
            <w:r>
              <w:rPr>
                <w:rFonts w:hint="eastAsia" w:ascii="宋体" w:hAnsi="宋体"/>
                <w:szCs w:val="21"/>
                <w:lang w:val="en-US" w:eastAsia="zh-CN"/>
              </w:rPr>
              <w:t>1000</w:t>
            </w:r>
            <w:r>
              <w:rPr>
                <w:rFonts w:ascii="宋体" w:hAnsi="宋体"/>
                <w:szCs w:val="21"/>
              </w:rPr>
              <w:t>kg/h</w:t>
            </w:r>
          </w:p>
        </w:tc>
      </w:tr>
      <w:tr w14:paraId="14D84DF1">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182" w:hRule="atLeast"/>
          <w:jc w:val="center"/>
        </w:trPr>
        <w:tc>
          <w:tcPr>
            <w:tcW w:w="866" w:type="dxa"/>
            <w:vAlign w:val="center"/>
          </w:tcPr>
          <w:p w14:paraId="492E92B1">
            <w:pPr>
              <w:spacing w:line="320" w:lineRule="exact"/>
              <w:jc w:val="center"/>
              <w:rPr>
                <w:rFonts w:hint="eastAsia" w:ascii="宋体" w:hAnsi="宋体"/>
                <w:bCs/>
                <w:szCs w:val="21"/>
              </w:rPr>
            </w:pPr>
            <w:r>
              <w:rPr>
                <w:rFonts w:hint="eastAsia" w:ascii="宋体" w:hAnsi="宋体"/>
                <w:bCs/>
                <w:szCs w:val="21"/>
              </w:rPr>
              <w:t>3</w:t>
            </w:r>
          </w:p>
        </w:tc>
        <w:tc>
          <w:tcPr>
            <w:tcW w:w="2124" w:type="dxa"/>
            <w:vAlign w:val="center"/>
          </w:tcPr>
          <w:p w14:paraId="1ABE723C">
            <w:pPr>
              <w:pStyle w:val="240"/>
              <w:rPr>
                <w:rFonts w:hint="default"/>
              </w:rPr>
            </w:pPr>
            <w:r>
              <w:t>自动喂料机</w:t>
            </w:r>
          </w:p>
        </w:tc>
        <w:tc>
          <w:tcPr>
            <w:tcW w:w="1574" w:type="dxa"/>
            <w:vAlign w:val="center"/>
          </w:tcPr>
          <w:p w14:paraId="17312AC9">
            <w:pPr>
              <w:spacing w:line="320" w:lineRule="exact"/>
              <w:jc w:val="center"/>
              <w:rPr>
                <w:rFonts w:hint="eastAsia" w:ascii="宋体" w:hAnsi="宋体"/>
                <w:szCs w:val="21"/>
              </w:rPr>
            </w:pPr>
            <w:r>
              <w:rPr>
                <w:rFonts w:hint="eastAsia"/>
                <w:color w:val="000000"/>
              </w:rPr>
              <w:t>800</w:t>
            </w:r>
            <w:r>
              <w:rPr>
                <w:bCs/>
                <w:color w:val="000000"/>
                <w:szCs w:val="21"/>
              </w:rPr>
              <w:t>×</w:t>
            </w:r>
            <w:r>
              <w:rPr>
                <w:rFonts w:hint="eastAsia"/>
                <w:bCs/>
                <w:color w:val="000000"/>
                <w:szCs w:val="21"/>
              </w:rPr>
              <w:t>800，上料机5m</w:t>
            </w:r>
          </w:p>
        </w:tc>
        <w:tc>
          <w:tcPr>
            <w:tcW w:w="1288" w:type="dxa"/>
            <w:vAlign w:val="center"/>
          </w:tcPr>
          <w:p w14:paraId="54432355">
            <w:pPr>
              <w:spacing w:line="320" w:lineRule="exact"/>
              <w:jc w:val="center"/>
              <w:rPr>
                <w:rFonts w:hint="eastAsia" w:ascii="宋体" w:hAnsi="宋体"/>
                <w:szCs w:val="21"/>
              </w:rPr>
            </w:pPr>
            <w:r>
              <w:rPr>
                <w:rFonts w:hint="eastAsia" w:ascii="宋体" w:hAnsi="宋体"/>
                <w:szCs w:val="21"/>
              </w:rPr>
              <w:t>1台</w:t>
            </w:r>
          </w:p>
        </w:tc>
        <w:tc>
          <w:tcPr>
            <w:tcW w:w="3147" w:type="dxa"/>
            <w:vAlign w:val="center"/>
          </w:tcPr>
          <w:p w14:paraId="2EAF4434">
            <w:pPr>
              <w:spacing w:line="320" w:lineRule="exact"/>
              <w:jc w:val="center"/>
              <w:rPr>
                <w:rFonts w:hint="default" w:ascii="宋体" w:hAnsi="宋体" w:eastAsia="宋体"/>
                <w:szCs w:val="21"/>
                <w:lang w:val="en-US" w:eastAsia="zh-CN"/>
              </w:rPr>
            </w:pPr>
            <w:r>
              <w:rPr>
                <w:rFonts w:hint="eastAsia" w:ascii="宋体" w:hAnsi="宋体"/>
                <w:szCs w:val="21"/>
                <w:lang w:val="en-US" w:eastAsia="zh-CN"/>
              </w:rPr>
              <w:t>上料能力：1000</w:t>
            </w:r>
            <w:r>
              <w:rPr>
                <w:rFonts w:ascii="宋体" w:hAnsi="宋体"/>
                <w:szCs w:val="21"/>
              </w:rPr>
              <w:t>kg/h</w:t>
            </w:r>
          </w:p>
        </w:tc>
      </w:tr>
      <w:tr w14:paraId="5E868C6A">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98" w:hRule="atLeast"/>
          <w:jc w:val="center"/>
        </w:trPr>
        <w:tc>
          <w:tcPr>
            <w:tcW w:w="866" w:type="dxa"/>
            <w:vAlign w:val="center"/>
          </w:tcPr>
          <w:p w14:paraId="4932E23A">
            <w:pPr>
              <w:spacing w:line="320" w:lineRule="exact"/>
              <w:jc w:val="center"/>
              <w:rPr>
                <w:rFonts w:hint="eastAsia" w:ascii="宋体" w:hAnsi="宋体"/>
                <w:bCs/>
                <w:szCs w:val="21"/>
              </w:rPr>
            </w:pPr>
            <w:r>
              <w:rPr>
                <w:rFonts w:hint="eastAsia" w:ascii="宋体" w:hAnsi="宋体"/>
                <w:bCs/>
                <w:szCs w:val="21"/>
              </w:rPr>
              <w:t>4</w:t>
            </w:r>
          </w:p>
        </w:tc>
        <w:tc>
          <w:tcPr>
            <w:tcW w:w="2124" w:type="dxa"/>
            <w:vAlign w:val="center"/>
          </w:tcPr>
          <w:p w14:paraId="401DB671">
            <w:pPr>
              <w:pStyle w:val="240"/>
              <w:rPr>
                <w:rFonts w:hint="default"/>
              </w:rPr>
            </w:pPr>
            <w:r>
              <w:t>电磁加热器</w:t>
            </w:r>
          </w:p>
        </w:tc>
        <w:tc>
          <w:tcPr>
            <w:tcW w:w="1574" w:type="dxa"/>
            <w:vAlign w:val="center"/>
          </w:tcPr>
          <w:p w14:paraId="4EECF20E">
            <w:pPr>
              <w:pStyle w:val="240"/>
              <w:rPr>
                <w:rFonts w:hint="default"/>
              </w:rPr>
            </w:pPr>
            <w:r>
              <w:t>80</w:t>
            </w:r>
            <w:r>
              <w:rPr>
                <w:rFonts w:hint="eastAsia"/>
                <w:lang w:eastAsia="zh-CN"/>
              </w:rPr>
              <w:t>kW</w:t>
            </w:r>
          </w:p>
        </w:tc>
        <w:tc>
          <w:tcPr>
            <w:tcW w:w="1288" w:type="dxa"/>
            <w:vAlign w:val="center"/>
          </w:tcPr>
          <w:p w14:paraId="730ED73A">
            <w:pPr>
              <w:spacing w:line="320" w:lineRule="exact"/>
              <w:jc w:val="center"/>
              <w:rPr>
                <w:rFonts w:hint="eastAsia" w:ascii="宋体" w:hAnsi="宋体"/>
                <w:szCs w:val="21"/>
              </w:rPr>
            </w:pPr>
            <w:r>
              <w:rPr>
                <w:rFonts w:hint="eastAsia" w:ascii="宋体" w:hAnsi="宋体"/>
                <w:szCs w:val="21"/>
              </w:rPr>
              <w:t>2套</w:t>
            </w:r>
          </w:p>
        </w:tc>
        <w:tc>
          <w:tcPr>
            <w:tcW w:w="3147" w:type="dxa"/>
            <w:vAlign w:val="center"/>
          </w:tcPr>
          <w:p w14:paraId="1B63CB9A">
            <w:pPr>
              <w:spacing w:line="320" w:lineRule="exact"/>
              <w:jc w:val="center"/>
              <w:rPr>
                <w:rFonts w:hint="eastAsia" w:ascii="宋体" w:hAnsi="宋体" w:eastAsia="宋体"/>
                <w:szCs w:val="21"/>
                <w:lang w:val="en-US" w:eastAsia="zh-CN"/>
              </w:rPr>
            </w:pPr>
            <w:r>
              <w:rPr>
                <w:rFonts w:hint="eastAsia" w:ascii="宋体" w:hAnsi="宋体"/>
                <w:szCs w:val="21"/>
                <w:lang w:val="en-US" w:eastAsia="zh-CN"/>
              </w:rPr>
              <w:t>-</w:t>
            </w:r>
          </w:p>
        </w:tc>
      </w:tr>
      <w:tr w14:paraId="1412455B">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98" w:hRule="atLeast"/>
          <w:jc w:val="center"/>
        </w:trPr>
        <w:tc>
          <w:tcPr>
            <w:tcW w:w="866" w:type="dxa"/>
            <w:vAlign w:val="center"/>
          </w:tcPr>
          <w:p w14:paraId="6AC5A48F">
            <w:pPr>
              <w:spacing w:line="320" w:lineRule="exact"/>
              <w:jc w:val="center"/>
              <w:rPr>
                <w:rFonts w:hint="eastAsia" w:ascii="宋体" w:hAnsi="宋体"/>
                <w:bCs/>
                <w:szCs w:val="21"/>
              </w:rPr>
            </w:pPr>
            <w:r>
              <w:rPr>
                <w:rFonts w:hint="eastAsia" w:ascii="宋体" w:hAnsi="宋体"/>
                <w:bCs/>
                <w:szCs w:val="21"/>
              </w:rPr>
              <w:t>5</w:t>
            </w:r>
          </w:p>
        </w:tc>
        <w:tc>
          <w:tcPr>
            <w:tcW w:w="2124" w:type="dxa"/>
            <w:vAlign w:val="center"/>
          </w:tcPr>
          <w:p w14:paraId="3B46EAED">
            <w:pPr>
              <w:pStyle w:val="240"/>
              <w:rPr>
                <w:rFonts w:hint="default"/>
              </w:rPr>
            </w:pPr>
            <w:r>
              <w:t>风冷机</w:t>
            </w:r>
          </w:p>
        </w:tc>
        <w:tc>
          <w:tcPr>
            <w:tcW w:w="1574" w:type="dxa"/>
            <w:vAlign w:val="center"/>
          </w:tcPr>
          <w:p w14:paraId="2AAF4C02">
            <w:pPr>
              <w:pStyle w:val="240"/>
              <w:rPr>
                <w:rFonts w:hint="default"/>
              </w:rPr>
            </w:pPr>
            <w:r>
              <w:t>/</w:t>
            </w:r>
          </w:p>
        </w:tc>
        <w:tc>
          <w:tcPr>
            <w:tcW w:w="1288" w:type="dxa"/>
            <w:vAlign w:val="center"/>
          </w:tcPr>
          <w:p w14:paraId="2203AE43">
            <w:pPr>
              <w:spacing w:line="320" w:lineRule="exact"/>
              <w:jc w:val="center"/>
              <w:rPr>
                <w:rFonts w:hint="eastAsia" w:ascii="宋体" w:hAnsi="宋体"/>
                <w:szCs w:val="21"/>
              </w:rPr>
            </w:pPr>
            <w:r>
              <w:rPr>
                <w:rFonts w:hint="eastAsia" w:ascii="宋体" w:hAnsi="宋体"/>
                <w:szCs w:val="21"/>
              </w:rPr>
              <w:t>1台</w:t>
            </w:r>
          </w:p>
        </w:tc>
        <w:tc>
          <w:tcPr>
            <w:tcW w:w="3147" w:type="dxa"/>
            <w:vAlign w:val="center"/>
          </w:tcPr>
          <w:p w14:paraId="02410966">
            <w:pPr>
              <w:spacing w:line="320" w:lineRule="exact"/>
              <w:jc w:val="center"/>
              <w:rPr>
                <w:rFonts w:hint="eastAsia" w:ascii="宋体" w:hAnsi="宋体" w:eastAsia="宋体"/>
                <w:szCs w:val="21"/>
                <w:lang w:val="en-US" w:eastAsia="zh-CN"/>
              </w:rPr>
            </w:pPr>
            <w:r>
              <w:rPr>
                <w:rFonts w:hint="eastAsia" w:ascii="宋体" w:hAnsi="宋体"/>
                <w:szCs w:val="21"/>
                <w:lang w:val="en-US" w:eastAsia="zh-CN"/>
              </w:rPr>
              <w:t>-</w:t>
            </w:r>
          </w:p>
        </w:tc>
      </w:tr>
      <w:tr w14:paraId="5A867CAF">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98" w:hRule="atLeast"/>
          <w:jc w:val="center"/>
        </w:trPr>
        <w:tc>
          <w:tcPr>
            <w:tcW w:w="866" w:type="dxa"/>
            <w:vAlign w:val="center"/>
          </w:tcPr>
          <w:p w14:paraId="1BFB697D">
            <w:pPr>
              <w:spacing w:line="320" w:lineRule="exact"/>
              <w:jc w:val="center"/>
              <w:rPr>
                <w:rFonts w:hint="eastAsia" w:ascii="宋体" w:hAnsi="宋体"/>
                <w:bCs/>
                <w:szCs w:val="21"/>
              </w:rPr>
            </w:pPr>
            <w:r>
              <w:rPr>
                <w:rFonts w:hint="eastAsia" w:ascii="宋体" w:hAnsi="宋体"/>
                <w:bCs/>
                <w:szCs w:val="21"/>
              </w:rPr>
              <w:t>6</w:t>
            </w:r>
          </w:p>
        </w:tc>
        <w:tc>
          <w:tcPr>
            <w:tcW w:w="2124" w:type="dxa"/>
            <w:vAlign w:val="center"/>
          </w:tcPr>
          <w:p w14:paraId="170A9816">
            <w:pPr>
              <w:pStyle w:val="240"/>
              <w:rPr>
                <w:rFonts w:hint="default"/>
              </w:rPr>
            </w:pPr>
            <w:r>
              <w:t>风干吹条机</w:t>
            </w:r>
          </w:p>
        </w:tc>
        <w:tc>
          <w:tcPr>
            <w:tcW w:w="1574" w:type="dxa"/>
            <w:vAlign w:val="center"/>
          </w:tcPr>
          <w:p w14:paraId="0C7935E6">
            <w:pPr>
              <w:pStyle w:val="240"/>
              <w:rPr>
                <w:rFonts w:hint="default"/>
              </w:rPr>
            </w:pPr>
            <w:r>
              <w:t>2.5m长</w:t>
            </w:r>
          </w:p>
        </w:tc>
        <w:tc>
          <w:tcPr>
            <w:tcW w:w="1288" w:type="dxa"/>
            <w:vAlign w:val="center"/>
          </w:tcPr>
          <w:p w14:paraId="21156AFC">
            <w:pPr>
              <w:spacing w:line="320" w:lineRule="exact"/>
              <w:jc w:val="center"/>
              <w:rPr>
                <w:rFonts w:hint="eastAsia" w:ascii="宋体" w:hAnsi="宋体"/>
                <w:szCs w:val="21"/>
              </w:rPr>
            </w:pPr>
            <w:r>
              <w:rPr>
                <w:rFonts w:hint="eastAsia" w:ascii="宋体" w:hAnsi="宋体"/>
                <w:szCs w:val="21"/>
              </w:rPr>
              <w:t>1台</w:t>
            </w:r>
          </w:p>
        </w:tc>
        <w:tc>
          <w:tcPr>
            <w:tcW w:w="3147" w:type="dxa"/>
            <w:vAlign w:val="center"/>
          </w:tcPr>
          <w:p w14:paraId="4DB60263">
            <w:pPr>
              <w:spacing w:line="320" w:lineRule="exact"/>
              <w:jc w:val="center"/>
              <w:rPr>
                <w:rFonts w:hint="eastAsia" w:ascii="宋体" w:hAnsi="宋体" w:eastAsia="宋体"/>
                <w:szCs w:val="21"/>
                <w:lang w:val="en-US" w:eastAsia="zh-CN"/>
              </w:rPr>
            </w:pPr>
            <w:r>
              <w:rPr>
                <w:rFonts w:hint="eastAsia" w:ascii="宋体" w:hAnsi="宋体"/>
                <w:szCs w:val="21"/>
                <w:lang w:val="en-US" w:eastAsia="zh-CN"/>
              </w:rPr>
              <w:t>-</w:t>
            </w:r>
          </w:p>
        </w:tc>
      </w:tr>
      <w:tr w14:paraId="04AA347E">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98" w:hRule="atLeast"/>
          <w:jc w:val="center"/>
        </w:trPr>
        <w:tc>
          <w:tcPr>
            <w:tcW w:w="866" w:type="dxa"/>
            <w:vAlign w:val="center"/>
          </w:tcPr>
          <w:p w14:paraId="746A34EA">
            <w:pPr>
              <w:spacing w:line="320" w:lineRule="exact"/>
              <w:jc w:val="center"/>
              <w:rPr>
                <w:rFonts w:hint="eastAsia" w:ascii="宋体" w:hAnsi="宋体"/>
                <w:bCs/>
                <w:szCs w:val="21"/>
              </w:rPr>
            </w:pPr>
            <w:r>
              <w:rPr>
                <w:rFonts w:hint="eastAsia" w:ascii="宋体" w:hAnsi="宋体"/>
                <w:bCs/>
                <w:szCs w:val="21"/>
              </w:rPr>
              <w:t>7</w:t>
            </w:r>
          </w:p>
        </w:tc>
        <w:tc>
          <w:tcPr>
            <w:tcW w:w="2124" w:type="dxa"/>
            <w:vAlign w:val="center"/>
          </w:tcPr>
          <w:p w14:paraId="297CF211">
            <w:pPr>
              <w:pStyle w:val="240"/>
              <w:rPr>
                <w:rFonts w:hint="default"/>
              </w:rPr>
            </w:pPr>
            <w:r>
              <w:t>滚刀切粒机</w:t>
            </w:r>
          </w:p>
        </w:tc>
        <w:tc>
          <w:tcPr>
            <w:tcW w:w="1574" w:type="dxa"/>
            <w:vAlign w:val="center"/>
          </w:tcPr>
          <w:p w14:paraId="395F2FCC">
            <w:pPr>
              <w:pStyle w:val="240"/>
              <w:rPr>
                <w:rFonts w:hint="default"/>
              </w:rPr>
            </w:pPr>
            <w:r>
              <w:t>240型</w:t>
            </w:r>
          </w:p>
        </w:tc>
        <w:tc>
          <w:tcPr>
            <w:tcW w:w="1288" w:type="dxa"/>
            <w:vAlign w:val="center"/>
          </w:tcPr>
          <w:p w14:paraId="13B972BD">
            <w:pPr>
              <w:spacing w:line="320" w:lineRule="exact"/>
              <w:jc w:val="center"/>
              <w:rPr>
                <w:rFonts w:hint="eastAsia" w:ascii="宋体" w:hAnsi="宋体"/>
                <w:szCs w:val="21"/>
              </w:rPr>
            </w:pPr>
            <w:r>
              <w:rPr>
                <w:rFonts w:hint="eastAsia" w:ascii="宋体" w:hAnsi="宋体"/>
                <w:szCs w:val="21"/>
              </w:rPr>
              <w:t>1台</w:t>
            </w:r>
          </w:p>
        </w:tc>
        <w:tc>
          <w:tcPr>
            <w:tcW w:w="3147" w:type="dxa"/>
            <w:vAlign w:val="center"/>
          </w:tcPr>
          <w:p w14:paraId="4C737707">
            <w:pPr>
              <w:spacing w:line="320" w:lineRule="exact"/>
              <w:jc w:val="center"/>
              <w:rPr>
                <w:rFonts w:hint="default" w:ascii="宋体" w:hAnsi="宋体" w:eastAsia="宋体"/>
                <w:szCs w:val="21"/>
                <w:lang w:val="en-US" w:eastAsia="zh-CN"/>
              </w:rPr>
            </w:pPr>
            <w:r>
              <w:rPr>
                <w:rFonts w:hint="eastAsia" w:ascii="宋体" w:hAnsi="宋体"/>
                <w:szCs w:val="21"/>
                <w:lang w:val="en-US" w:eastAsia="zh-CN"/>
              </w:rPr>
              <w:t>-</w:t>
            </w:r>
          </w:p>
        </w:tc>
      </w:tr>
      <w:tr w14:paraId="65255233">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98" w:hRule="atLeast"/>
          <w:jc w:val="center"/>
        </w:trPr>
        <w:tc>
          <w:tcPr>
            <w:tcW w:w="866" w:type="dxa"/>
            <w:vAlign w:val="center"/>
          </w:tcPr>
          <w:p w14:paraId="10AC7D4C">
            <w:pPr>
              <w:spacing w:line="320" w:lineRule="exact"/>
              <w:jc w:val="center"/>
              <w:rPr>
                <w:rFonts w:hint="eastAsia" w:ascii="宋体" w:hAnsi="宋体"/>
                <w:bCs/>
                <w:szCs w:val="21"/>
              </w:rPr>
            </w:pPr>
            <w:r>
              <w:rPr>
                <w:rFonts w:hint="eastAsia" w:ascii="宋体" w:hAnsi="宋体"/>
                <w:bCs/>
                <w:szCs w:val="21"/>
              </w:rPr>
              <w:t>8</w:t>
            </w:r>
          </w:p>
        </w:tc>
        <w:tc>
          <w:tcPr>
            <w:tcW w:w="2124" w:type="dxa"/>
            <w:vAlign w:val="center"/>
          </w:tcPr>
          <w:p w14:paraId="444F96F0">
            <w:pPr>
              <w:pStyle w:val="240"/>
              <w:rPr>
                <w:rFonts w:hint="default"/>
              </w:rPr>
            </w:pPr>
            <w:r>
              <w:t>振动筛</w:t>
            </w:r>
          </w:p>
        </w:tc>
        <w:tc>
          <w:tcPr>
            <w:tcW w:w="1574" w:type="dxa"/>
            <w:vAlign w:val="center"/>
          </w:tcPr>
          <w:p w14:paraId="3C5E5638">
            <w:pPr>
              <w:pStyle w:val="240"/>
              <w:rPr>
                <w:rFonts w:hint="default"/>
              </w:rPr>
            </w:pPr>
            <w:r>
              <w:t>1000型</w:t>
            </w:r>
          </w:p>
        </w:tc>
        <w:tc>
          <w:tcPr>
            <w:tcW w:w="1288" w:type="dxa"/>
            <w:vAlign w:val="center"/>
          </w:tcPr>
          <w:p w14:paraId="0A1E84CE">
            <w:pPr>
              <w:spacing w:line="320" w:lineRule="exact"/>
              <w:jc w:val="center"/>
              <w:rPr>
                <w:rFonts w:hint="eastAsia" w:ascii="宋体" w:hAnsi="宋体"/>
                <w:szCs w:val="21"/>
              </w:rPr>
            </w:pPr>
            <w:r>
              <w:rPr>
                <w:rFonts w:hint="eastAsia" w:ascii="宋体" w:hAnsi="宋体"/>
                <w:szCs w:val="21"/>
              </w:rPr>
              <w:t>1台</w:t>
            </w:r>
          </w:p>
        </w:tc>
        <w:tc>
          <w:tcPr>
            <w:tcW w:w="3147" w:type="dxa"/>
            <w:vAlign w:val="center"/>
          </w:tcPr>
          <w:p w14:paraId="4FD979DF">
            <w:pPr>
              <w:spacing w:line="320" w:lineRule="exact"/>
              <w:jc w:val="center"/>
              <w:rPr>
                <w:rFonts w:hint="eastAsia" w:ascii="宋体" w:hAnsi="宋体" w:eastAsia="宋体"/>
                <w:szCs w:val="21"/>
                <w:lang w:val="en-US" w:eastAsia="zh-CN"/>
              </w:rPr>
            </w:pPr>
            <w:r>
              <w:rPr>
                <w:rFonts w:hint="eastAsia" w:ascii="宋体" w:hAnsi="宋体"/>
                <w:szCs w:val="21"/>
                <w:lang w:val="en-US" w:eastAsia="zh-CN"/>
              </w:rPr>
              <w:t>-</w:t>
            </w:r>
          </w:p>
        </w:tc>
      </w:tr>
      <w:tr w14:paraId="5310C0BB">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102" w:hRule="atLeast"/>
          <w:jc w:val="center"/>
        </w:trPr>
        <w:tc>
          <w:tcPr>
            <w:tcW w:w="866" w:type="dxa"/>
            <w:vAlign w:val="center"/>
          </w:tcPr>
          <w:p w14:paraId="63CF67D6">
            <w:pPr>
              <w:spacing w:line="320" w:lineRule="exact"/>
              <w:jc w:val="center"/>
              <w:rPr>
                <w:rFonts w:hint="eastAsia" w:ascii="宋体" w:hAnsi="宋体"/>
                <w:bCs/>
                <w:szCs w:val="21"/>
              </w:rPr>
            </w:pPr>
            <w:r>
              <w:rPr>
                <w:rFonts w:hint="eastAsia" w:ascii="宋体" w:hAnsi="宋体"/>
                <w:bCs/>
                <w:szCs w:val="21"/>
              </w:rPr>
              <w:t>9</w:t>
            </w:r>
          </w:p>
        </w:tc>
        <w:tc>
          <w:tcPr>
            <w:tcW w:w="2124" w:type="dxa"/>
            <w:vAlign w:val="center"/>
          </w:tcPr>
          <w:p w14:paraId="26CF5981">
            <w:pPr>
              <w:pStyle w:val="240"/>
              <w:rPr>
                <w:rFonts w:hint="default"/>
              </w:rPr>
            </w:pPr>
            <w:r>
              <w:t>配电柜</w:t>
            </w:r>
          </w:p>
        </w:tc>
        <w:tc>
          <w:tcPr>
            <w:tcW w:w="1574" w:type="dxa"/>
            <w:vAlign w:val="center"/>
          </w:tcPr>
          <w:p w14:paraId="7BA97EC1">
            <w:pPr>
              <w:pStyle w:val="240"/>
              <w:rPr>
                <w:rFonts w:hint="default"/>
              </w:rPr>
            </w:pPr>
            <w:r>
              <w:t>/</w:t>
            </w:r>
          </w:p>
        </w:tc>
        <w:tc>
          <w:tcPr>
            <w:tcW w:w="1288" w:type="dxa"/>
            <w:vAlign w:val="center"/>
          </w:tcPr>
          <w:p w14:paraId="3070AA99">
            <w:pPr>
              <w:spacing w:line="320" w:lineRule="exact"/>
              <w:jc w:val="center"/>
              <w:rPr>
                <w:rFonts w:hint="eastAsia" w:ascii="宋体" w:hAnsi="宋体"/>
                <w:szCs w:val="21"/>
              </w:rPr>
            </w:pPr>
            <w:r>
              <w:rPr>
                <w:rFonts w:hint="eastAsia" w:ascii="宋体" w:hAnsi="宋体"/>
                <w:szCs w:val="21"/>
              </w:rPr>
              <w:t>1套</w:t>
            </w:r>
          </w:p>
        </w:tc>
        <w:tc>
          <w:tcPr>
            <w:tcW w:w="3147" w:type="dxa"/>
            <w:vAlign w:val="center"/>
          </w:tcPr>
          <w:p w14:paraId="6D4D8C6A">
            <w:pPr>
              <w:spacing w:line="320" w:lineRule="exact"/>
              <w:jc w:val="center"/>
              <w:rPr>
                <w:rFonts w:hint="eastAsia" w:ascii="宋体" w:hAnsi="宋体" w:eastAsia="宋体"/>
                <w:szCs w:val="21"/>
                <w:lang w:val="en-US" w:eastAsia="zh-CN"/>
              </w:rPr>
            </w:pPr>
            <w:r>
              <w:rPr>
                <w:rFonts w:hint="eastAsia" w:ascii="宋体" w:hAnsi="宋体"/>
                <w:szCs w:val="21"/>
                <w:lang w:val="en-US" w:eastAsia="zh-CN"/>
              </w:rPr>
              <w:t>-</w:t>
            </w:r>
          </w:p>
        </w:tc>
      </w:tr>
      <w:tr w14:paraId="0BF45201">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110" w:hRule="atLeast"/>
          <w:jc w:val="center"/>
        </w:trPr>
        <w:tc>
          <w:tcPr>
            <w:tcW w:w="866" w:type="dxa"/>
            <w:vAlign w:val="center"/>
          </w:tcPr>
          <w:p w14:paraId="44BEBA72">
            <w:pPr>
              <w:spacing w:line="320" w:lineRule="exact"/>
              <w:jc w:val="center"/>
              <w:rPr>
                <w:rFonts w:hint="eastAsia" w:ascii="宋体" w:hAnsi="宋体"/>
                <w:bCs/>
                <w:szCs w:val="21"/>
              </w:rPr>
            </w:pPr>
            <w:r>
              <w:rPr>
                <w:rFonts w:hint="eastAsia" w:ascii="宋体" w:hAnsi="宋体"/>
                <w:bCs/>
                <w:szCs w:val="21"/>
              </w:rPr>
              <w:t>10</w:t>
            </w:r>
          </w:p>
        </w:tc>
        <w:tc>
          <w:tcPr>
            <w:tcW w:w="2124" w:type="dxa"/>
            <w:vAlign w:val="center"/>
          </w:tcPr>
          <w:p w14:paraId="6403928F">
            <w:pPr>
              <w:pStyle w:val="240"/>
              <w:rPr>
                <w:rFonts w:hint="default"/>
              </w:rPr>
            </w:pPr>
            <w:r>
              <w:t>自卸汽车</w:t>
            </w:r>
          </w:p>
        </w:tc>
        <w:tc>
          <w:tcPr>
            <w:tcW w:w="1574" w:type="dxa"/>
            <w:vAlign w:val="center"/>
          </w:tcPr>
          <w:p w14:paraId="781A6E68">
            <w:pPr>
              <w:pStyle w:val="240"/>
              <w:rPr>
                <w:rFonts w:hint="default"/>
              </w:rPr>
            </w:pPr>
            <w:r>
              <w:t>/</w:t>
            </w:r>
          </w:p>
        </w:tc>
        <w:tc>
          <w:tcPr>
            <w:tcW w:w="1288" w:type="dxa"/>
            <w:vAlign w:val="center"/>
          </w:tcPr>
          <w:p w14:paraId="290A92A7">
            <w:pPr>
              <w:spacing w:line="320" w:lineRule="exact"/>
              <w:jc w:val="center"/>
              <w:rPr>
                <w:rFonts w:hint="eastAsia" w:ascii="宋体" w:hAnsi="宋体"/>
                <w:szCs w:val="21"/>
              </w:rPr>
            </w:pPr>
            <w:r>
              <w:rPr>
                <w:rFonts w:hint="eastAsia" w:ascii="宋体" w:hAnsi="宋体"/>
                <w:szCs w:val="21"/>
              </w:rPr>
              <w:t>2辆</w:t>
            </w:r>
          </w:p>
        </w:tc>
        <w:tc>
          <w:tcPr>
            <w:tcW w:w="3147" w:type="dxa"/>
            <w:vAlign w:val="center"/>
          </w:tcPr>
          <w:p w14:paraId="15A8E8B6">
            <w:pPr>
              <w:spacing w:line="320" w:lineRule="exact"/>
              <w:jc w:val="center"/>
              <w:rPr>
                <w:rFonts w:hint="default" w:ascii="宋体" w:hAnsi="宋体" w:eastAsia="宋体"/>
                <w:szCs w:val="21"/>
                <w:lang w:val="en-US" w:eastAsia="zh-CN"/>
              </w:rPr>
            </w:pPr>
            <w:r>
              <w:rPr>
                <w:rFonts w:hint="eastAsia" w:ascii="宋体" w:hAnsi="宋体"/>
                <w:szCs w:val="21"/>
                <w:lang w:val="en-US" w:eastAsia="zh-CN"/>
              </w:rPr>
              <w:t>15t/辆</w:t>
            </w:r>
          </w:p>
        </w:tc>
      </w:tr>
      <w:tr w14:paraId="3F5AFCF8">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110" w:hRule="atLeast"/>
          <w:jc w:val="center"/>
        </w:trPr>
        <w:tc>
          <w:tcPr>
            <w:tcW w:w="866" w:type="dxa"/>
            <w:vAlign w:val="center"/>
          </w:tcPr>
          <w:p w14:paraId="4FBF4670">
            <w:pPr>
              <w:spacing w:line="320" w:lineRule="exact"/>
              <w:jc w:val="center"/>
              <w:rPr>
                <w:rFonts w:hint="eastAsia" w:ascii="宋体" w:hAnsi="宋体"/>
                <w:bCs/>
                <w:szCs w:val="21"/>
              </w:rPr>
            </w:pPr>
            <w:r>
              <w:rPr>
                <w:rFonts w:hint="eastAsia" w:ascii="宋体" w:hAnsi="宋体"/>
                <w:bCs/>
                <w:szCs w:val="21"/>
              </w:rPr>
              <w:t>11</w:t>
            </w:r>
          </w:p>
        </w:tc>
        <w:tc>
          <w:tcPr>
            <w:tcW w:w="2124" w:type="dxa"/>
            <w:vAlign w:val="center"/>
          </w:tcPr>
          <w:p w14:paraId="77FE0390">
            <w:pPr>
              <w:pStyle w:val="240"/>
              <w:rPr>
                <w:rFonts w:hint="default"/>
              </w:rPr>
            </w:pPr>
            <w:r>
              <w:rPr>
                <w:color w:val="auto"/>
              </w:rPr>
              <w:t>负压集气罩</w:t>
            </w:r>
          </w:p>
        </w:tc>
        <w:tc>
          <w:tcPr>
            <w:tcW w:w="1574" w:type="dxa"/>
            <w:vAlign w:val="center"/>
          </w:tcPr>
          <w:p w14:paraId="66DB9316">
            <w:pPr>
              <w:pStyle w:val="240"/>
              <w:rPr>
                <w:rFonts w:hint="default"/>
              </w:rPr>
            </w:pPr>
            <w:r>
              <w:t>/</w:t>
            </w:r>
          </w:p>
        </w:tc>
        <w:tc>
          <w:tcPr>
            <w:tcW w:w="1288" w:type="dxa"/>
            <w:vAlign w:val="center"/>
          </w:tcPr>
          <w:p w14:paraId="10A6A2DD">
            <w:pPr>
              <w:spacing w:line="320" w:lineRule="exact"/>
              <w:jc w:val="center"/>
              <w:rPr>
                <w:rFonts w:hint="eastAsia" w:ascii="宋体" w:hAnsi="宋体"/>
                <w:szCs w:val="21"/>
              </w:rPr>
            </w:pPr>
            <w:r>
              <w:rPr>
                <w:rFonts w:hint="eastAsia" w:ascii="宋体" w:hAnsi="宋体"/>
                <w:szCs w:val="21"/>
              </w:rPr>
              <w:t>1个</w:t>
            </w:r>
          </w:p>
        </w:tc>
        <w:tc>
          <w:tcPr>
            <w:tcW w:w="3147" w:type="dxa"/>
            <w:vAlign w:val="center"/>
          </w:tcPr>
          <w:p w14:paraId="63C2B307">
            <w:pPr>
              <w:spacing w:line="320" w:lineRule="exact"/>
              <w:jc w:val="center"/>
              <w:rPr>
                <w:rFonts w:hint="eastAsia" w:ascii="宋体" w:hAnsi="宋体"/>
                <w:szCs w:val="21"/>
              </w:rPr>
            </w:pPr>
            <w:r>
              <w:rPr>
                <w:rFonts w:hint="eastAsia" w:ascii="宋体" w:hAnsi="宋体"/>
                <w:szCs w:val="21"/>
                <w:lang w:val="en-US" w:eastAsia="zh-CN"/>
              </w:rPr>
              <w:t>1</w:t>
            </w:r>
            <w:r>
              <w:rPr>
                <w:rFonts w:hint="eastAsia" w:ascii="宋体" w:hAnsi="宋体"/>
                <w:szCs w:val="21"/>
              </w:rPr>
              <w:t>0000m</w:t>
            </w:r>
            <w:r>
              <w:rPr>
                <w:rFonts w:hint="eastAsia" w:ascii="宋体" w:hAnsi="宋体"/>
                <w:szCs w:val="21"/>
                <w:vertAlign w:val="superscript"/>
              </w:rPr>
              <w:t>3</w:t>
            </w:r>
            <w:r>
              <w:rPr>
                <w:rFonts w:hint="eastAsia" w:ascii="宋体" w:hAnsi="宋体"/>
                <w:szCs w:val="21"/>
              </w:rPr>
              <w:t>/h</w:t>
            </w:r>
          </w:p>
        </w:tc>
      </w:tr>
      <w:tr w14:paraId="2933377B">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110" w:hRule="atLeast"/>
          <w:jc w:val="center"/>
        </w:trPr>
        <w:tc>
          <w:tcPr>
            <w:tcW w:w="8999" w:type="dxa"/>
            <w:gridSpan w:val="5"/>
            <w:vAlign w:val="center"/>
          </w:tcPr>
          <w:p w14:paraId="1A32C819">
            <w:pPr>
              <w:spacing w:line="320" w:lineRule="exact"/>
              <w:jc w:val="center"/>
              <w:rPr>
                <w:rFonts w:hint="eastAsia" w:ascii="宋体" w:hAnsi="宋体"/>
                <w:szCs w:val="21"/>
              </w:rPr>
            </w:pPr>
            <w:r>
              <w:rPr>
                <w:rFonts w:hint="eastAsia" w:ascii="宋体" w:hAnsi="宋体"/>
                <w:szCs w:val="21"/>
              </w:rPr>
              <w:t>内镶式滴灌带生产线</w:t>
            </w:r>
          </w:p>
        </w:tc>
      </w:tr>
      <w:tr w14:paraId="08911D94">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110" w:hRule="atLeast"/>
          <w:jc w:val="center"/>
        </w:trPr>
        <w:tc>
          <w:tcPr>
            <w:tcW w:w="866" w:type="dxa"/>
            <w:vAlign w:val="center"/>
          </w:tcPr>
          <w:p w14:paraId="3F366F37">
            <w:pPr>
              <w:spacing w:line="320" w:lineRule="exact"/>
              <w:jc w:val="center"/>
              <w:rPr>
                <w:rFonts w:hint="eastAsia" w:ascii="宋体" w:hAnsi="宋体"/>
                <w:bCs/>
                <w:szCs w:val="21"/>
              </w:rPr>
            </w:pPr>
            <w:r>
              <w:rPr>
                <w:rFonts w:hint="eastAsia" w:ascii="宋体" w:hAnsi="宋体"/>
                <w:bCs/>
                <w:szCs w:val="21"/>
              </w:rPr>
              <w:t>1</w:t>
            </w:r>
          </w:p>
        </w:tc>
        <w:tc>
          <w:tcPr>
            <w:tcW w:w="2124" w:type="dxa"/>
            <w:vAlign w:val="center"/>
          </w:tcPr>
          <w:p w14:paraId="2655576A">
            <w:pPr>
              <w:pStyle w:val="240"/>
              <w:rPr>
                <w:rFonts w:hint="default"/>
              </w:rPr>
            </w:pPr>
            <w:r>
              <w:t>自动上料装置</w:t>
            </w:r>
          </w:p>
        </w:tc>
        <w:tc>
          <w:tcPr>
            <w:tcW w:w="1574" w:type="dxa"/>
            <w:vAlign w:val="center"/>
          </w:tcPr>
          <w:p w14:paraId="33074D75">
            <w:pPr>
              <w:pStyle w:val="240"/>
              <w:rPr>
                <w:rFonts w:hint="default"/>
              </w:rPr>
            </w:pPr>
            <w:r>
              <w:t>/</w:t>
            </w:r>
          </w:p>
        </w:tc>
        <w:tc>
          <w:tcPr>
            <w:tcW w:w="1288" w:type="dxa"/>
            <w:vAlign w:val="center"/>
          </w:tcPr>
          <w:p w14:paraId="3A335413">
            <w:pPr>
              <w:spacing w:line="320" w:lineRule="exact"/>
              <w:jc w:val="center"/>
              <w:rPr>
                <w:rFonts w:hint="eastAsia" w:ascii="宋体" w:hAnsi="宋体"/>
                <w:szCs w:val="21"/>
              </w:rPr>
            </w:pPr>
            <w:r>
              <w:rPr>
                <w:rFonts w:hint="eastAsia" w:ascii="宋体" w:hAnsi="宋体"/>
                <w:szCs w:val="21"/>
              </w:rPr>
              <w:t>1台</w:t>
            </w:r>
          </w:p>
        </w:tc>
        <w:tc>
          <w:tcPr>
            <w:tcW w:w="3147" w:type="dxa"/>
            <w:vAlign w:val="center"/>
          </w:tcPr>
          <w:p w14:paraId="5E2D3D2F">
            <w:pPr>
              <w:spacing w:line="320" w:lineRule="exact"/>
              <w:jc w:val="center"/>
              <w:rPr>
                <w:rFonts w:hint="default" w:ascii="宋体" w:hAnsi="宋体" w:eastAsia="宋体"/>
                <w:szCs w:val="21"/>
                <w:lang w:val="en-US" w:eastAsia="zh-CN"/>
              </w:rPr>
            </w:pPr>
            <w:r>
              <w:rPr>
                <w:rFonts w:hint="eastAsia" w:ascii="宋体" w:hAnsi="宋体"/>
                <w:szCs w:val="21"/>
                <w:lang w:val="en-US" w:eastAsia="zh-CN"/>
              </w:rPr>
              <w:t>上料能力：2</w:t>
            </w:r>
            <w:r>
              <w:rPr>
                <w:rFonts w:ascii="宋体" w:hAnsi="宋体"/>
                <w:szCs w:val="21"/>
              </w:rPr>
              <w:t>t/h</w:t>
            </w:r>
          </w:p>
        </w:tc>
      </w:tr>
      <w:tr w14:paraId="2B79369C">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110" w:hRule="atLeast"/>
          <w:jc w:val="center"/>
        </w:trPr>
        <w:tc>
          <w:tcPr>
            <w:tcW w:w="866" w:type="dxa"/>
            <w:vAlign w:val="center"/>
          </w:tcPr>
          <w:p w14:paraId="4AF9930D">
            <w:pPr>
              <w:spacing w:line="320" w:lineRule="exact"/>
              <w:jc w:val="center"/>
              <w:rPr>
                <w:rFonts w:hint="eastAsia" w:ascii="宋体" w:hAnsi="宋体"/>
                <w:bCs/>
                <w:szCs w:val="21"/>
              </w:rPr>
            </w:pPr>
            <w:r>
              <w:rPr>
                <w:rFonts w:hint="eastAsia" w:ascii="宋体" w:hAnsi="宋体"/>
                <w:bCs/>
                <w:szCs w:val="21"/>
              </w:rPr>
              <w:t>2</w:t>
            </w:r>
          </w:p>
        </w:tc>
        <w:tc>
          <w:tcPr>
            <w:tcW w:w="2124" w:type="dxa"/>
            <w:vAlign w:val="center"/>
          </w:tcPr>
          <w:p w14:paraId="638B30CA">
            <w:pPr>
              <w:pStyle w:val="240"/>
              <w:rPr>
                <w:rFonts w:hint="default"/>
              </w:rPr>
            </w:pPr>
            <w:r>
              <w:rPr>
                <w:color w:val="auto"/>
              </w:rPr>
              <w:t>立式混料烘干装置</w:t>
            </w:r>
          </w:p>
        </w:tc>
        <w:tc>
          <w:tcPr>
            <w:tcW w:w="1574" w:type="dxa"/>
            <w:vAlign w:val="center"/>
          </w:tcPr>
          <w:p w14:paraId="6DDB91C4">
            <w:pPr>
              <w:pStyle w:val="240"/>
              <w:rPr>
                <w:rFonts w:hint="default"/>
              </w:rPr>
            </w:pPr>
            <w:r>
              <w:t>SD2T</w:t>
            </w:r>
          </w:p>
        </w:tc>
        <w:tc>
          <w:tcPr>
            <w:tcW w:w="1288" w:type="dxa"/>
            <w:vAlign w:val="center"/>
          </w:tcPr>
          <w:p w14:paraId="1B740AFC">
            <w:pPr>
              <w:spacing w:line="320" w:lineRule="exact"/>
              <w:jc w:val="center"/>
              <w:rPr>
                <w:rFonts w:hint="eastAsia" w:ascii="宋体" w:hAnsi="宋体"/>
                <w:szCs w:val="21"/>
              </w:rPr>
            </w:pPr>
            <w:r>
              <w:rPr>
                <w:rFonts w:hint="eastAsia" w:ascii="宋体" w:hAnsi="宋体"/>
                <w:szCs w:val="21"/>
              </w:rPr>
              <w:t>1台</w:t>
            </w:r>
          </w:p>
        </w:tc>
        <w:tc>
          <w:tcPr>
            <w:tcW w:w="3147" w:type="dxa"/>
            <w:vAlign w:val="center"/>
          </w:tcPr>
          <w:p w14:paraId="4DD625E9">
            <w:pPr>
              <w:spacing w:line="320" w:lineRule="exact"/>
              <w:jc w:val="center"/>
              <w:rPr>
                <w:rFonts w:hint="eastAsia" w:ascii="宋体" w:hAnsi="宋体"/>
                <w:szCs w:val="21"/>
              </w:rPr>
            </w:pPr>
            <w:r>
              <w:rPr>
                <w:rFonts w:hint="eastAsia" w:ascii="宋体" w:hAnsi="宋体"/>
                <w:szCs w:val="21"/>
                <w:lang w:val="en-US" w:eastAsia="zh-CN"/>
              </w:rPr>
              <w:t>混料能力：2</w:t>
            </w:r>
            <w:r>
              <w:rPr>
                <w:rFonts w:ascii="宋体" w:hAnsi="宋体"/>
                <w:szCs w:val="21"/>
              </w:rPr>
              <w:t>t/h</w:t>
            </w:r>
          </w:p>
        </w:tc>
      </w:tr>
      <w:tr w14:paraId="5C212FCA">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110" w:hRule="atLeast"/>
          <w:jc w:val="center"/>
        </w:trPr>
        <w:tc>
          <w:tcPr>
            <w:tcW w:w="866" w:type="dxa"/>
            <w:vAlign w:val="center"/>
          </w:tcPr>
          <w:p w14:paraId="71D2D80D">
            <w:pPr>
              <w:spacing w:line="320" w:lineRule="exact"/>
              <w:jc w:val="center"/>
              <w:rPr>
                <w:rFonts w:hint="eastAsia" w:ascii="宋体" w:hAnsi="宋体"/>
                <w:bCs/>
                <w:szCs w:val="21"/>
              </w:rPr>
            </w:pPr>
            <w:r>
              <w:rPr>
                <w:rFonts w:hint="eastAsia" w:ascii="宋体" w:hAnsi="宋体"/>
                <w:bCs/>
                <w:szCs w:val="21"/>
              </w:rPr>
              <w:t>3</w:t>
            </w:r>
          </w:p>
        </w:tc>
        <w:tc>
          <w:tcPr>
            <w:tcW w:w="2124" w:type="dxa"/>
            <w:vAlign w:val="center"/>
          </w:tcPr>
          <w:p w14:paraId="40B75100">
            <w:pPr>
              <w:pStyle w:val="240"/>
              <w:rPr>
                <w:rFonts w:hint="default"/>
                <w:color w:val="auto"/>
              </w:rPr>
            </w:pPr>
            <w:r>
              <w:rPr>
                <w:color w:val="auto"/>
              </w:rPr>
              <w:t>吸料机</w:t>
            </w:r>
          </w:p>
        </w:tc>
        <w:tc>
          <w:tcPr>
            <w:tcW w:w="1574" w:type="dxa"/>
            <w:vAlign w:val="center"/>
          </w:tcPr>
          <w:p w14:paraId="53AB4497">
            <w:pPr>
              <w:pStyle w:val="240"/>
              <w:rPr>
                <w:rFonts w:hint="default"/>
              </w:rPr>
            </w:pPr>
            <w:r>
              <w:t>/</w:t>
            </w:r>
          </w:p>
        </w:tc>
        <w:tc>
          <w:tcPr>
            <w:tcW w:w="1288" w:type="dxa"/>
            <w:vAlign w:val="center"/>
          </w:tcPr>
          <w:p w14:paraId="6C733BA8">
            <w:pPr>
              <w:spacing w:line="320" w:lineRule="exact"/>
              <w:jc w:val="center"/>
              <w:rPr>
                <w:rFonts w:hint="eastAsia" w:ascii="宋体" w:hAnsi="宋体"/>
                <w:szCs w:val="21"/>
              </w:rPr>
            </w:pPr>
            <w:r>
              <w:rPr>
                <w:rFonts w:hint="eastAsia" w:ascii="宋体" w:hAnsi="宋体"/>
                <w:szCs w:val="21"/>
              </w:rPr>
              <w:t>1台</w:t>
            </w:r>
          </w:p>
        </w:tc>
        <w:tc>
          <w:tcPr>
            <w:tcW w:w="3147" w:type="dxa"/>
            <w:vAlign w:val="center"/>
          </w:tcPr>
          <w:p w14:paraId="1BC47DF7">
            <w:pPr>
              <w:spacing w:line="320" w:lineRule="exact"/>
              <w:jc w:val="center"/>
              <w:rPr>
                <w:rFonts w:hint="default" w:ascii="宋体" w:hAnsi="宋体" w:eastAsia="宋体"/>
                <w:szCs w:val="21"/>
                <w:lang w:val="en-US" w:eastAsia="zh-CN"/>
              </w:rPr>
            </w:pPr>
            <w:r>
              <w:rPr>
                <w:rFonts w:hint="eastAsia" w:ascii="宋体" w:hAnsi="宋体"/>
                <w:szCs w:val="21"/>
                <w:lang w:val="en-US" w:eastAsia="zh-CN"/>
              </w:rPr>
              <w:t>吸料能力：2</w:t>
            </w:r>
            <w:r>
              <w:rPr>
                <w:rFonts w:ascii="宋体" w:hAnsi="宋体"/>
                <w:szCs w:val="21"/>
              </w:rPr>
              <w:t>t/h</w:t>
            </w:r>
          </w:p>
        </w:tc>
      </w:tr>
      <w:tr w14:paraId="30A064E5">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110" w:hRule="atLeast"/>
          <w:jc w:val="center"/>
        </w:trPr>
        <w:tc>
          <w:tcPr>
            <w:tcW w:w="866" w:type="dxa"/>
            <w:vAlign w:val="center"/>
          </w:tcPr>
          <w:p w14:paraId="5450D4C0">
            <w:pPr>
              <w:spacing w:line="320" w:lineRule="exact"/>
              <w:jc w:val="center"/>
              <w:rPr>
                <w:rFonts w:hint="eastAsia" w:ascii="宋体" w:hAnsi="宋体"/>
                <w:bCs/>
                <w:szCs w:val="21"/>
              </w:rPr>
            </w:pPr>
            <w:r>
              <w:rPr>
                <w:rFonts w:hint="eastAsia" w:ascii="宋体" w:hAnsi="宋体"/>
                <w:bCs/>
                <w:szCs w:val="21"/>
              </w:rPr>
              <w:t>4</w:t>
            </w:r>
          </w:p>
        </w:tc>
        <w:tc>
          <w:tcPr>
            <w:tcW w:w="2124" w:type="dxa"/>
            <w:vAlign w:val="center"/>
          </w:tcPr>
          <w:p w14:paraId="3BFE9FEB">
            <w:pPr>
              <w:pStyle w:val="240"/>
              <w:rPr>
                <w:rFonts w:hint="default"/>
              </w:rPr>
            </w:pPr>
            <w:r>
              <w:rPr>
                <w:color w:val="auto"/>
              </w:rPr>
              <w:t>滴灌带挤出机</w:t>
            </w:r>
          </w:p>
        </w:tc>
        <w:tc>
          <w:tcPr>
            <w:tcW w:w="1574" w:type="dxa"/>
            <w:vAlign w:val="center"/>
          </w:tcPr>
          <w:p w14:paraId="3249CFDE">
            <w:pPr>
              <w:pStyle w:val="240"/>
              <w:rPr>
                <w:rFonts w:hint="default"/>
              </w:rPr>
            </w:pPr>
            <w:r>
              <w:t>200型换网器</w:t>
            </w:r>
          </w:p>
        </w:tc>
        <w:tc>
          <w:tcPr>
            <w:tcW w:w="1288" w:type="dxa"/>
            <w:vAlign w:val="center"/>
          </w:tcPr>
          <w:p w14:paraId="54B834CA">
            <w:pPr>
              <w:spacing w:line="320" w:lineRule="exact"/>
              <w:jc w:val="center"/>
              <w:rPr>
                <w:rFonts w:hint="eastAsia" w:ascii="宋体" w:hAnsi="宋体"/>
                <w:szCs w:val="21"/>
              </w:rPr>
            </w:pPr>
            <w:r>
              <w:rPr>
                <w:rFonts w:hint="eastAsia" w:ascii="宋体" w:hAnsi="宋体"/>
                <w:szCs w:val="21"/>
              </w:rPr>
              <w:t>1台</w:t>
            </w:r>
          </w:p>
        </w:tc>
        <w:tc>
          <w:tcPr>
            <w:tcW w:w="3147" w:type="dxa"/>
            <w:vAlign w:val="center"/>
          </w:tcPr>
          <w:p w14:paraId="39CE0B9D">
            <w:pPr>
              <w:spacing w:line="320" w:lineRule="exact"/>
              <w:jc w:val="center"/>
              <w:rPr>
                <w:rFonts w:hint="eastAsia" w:ascii="宋体" w:hAnsi="宋体"/>
                <w:szCs w:val="21"/>
              </w:rPr>
            </w:pPr>
            <w:r>
              <w:rPr>
                <w:rFonts w:ascii="宋体" w:hAnsi="宋体"/>
                <w:szCs w:val="21"/>
              </w:rPr>
              <w:t>PB，挤出能力：</w:t>
            </w:r>
            <w:r>
              <w:rPr>
                <w:rFonts w:hint="eastAsia" w:ascii="宋体" w:hAnsi="宋体"/>
                <w:szCs w:val="21"/>
                <w:lang w:val="en-US" w:eastAsia="zh-CN"/>
              </w:rPr>
              <w:t>2</w:t>
            </w:r>
            <w:r>
              <w:rPr>
                <w:rFonts w:ascii="宋体" w:hAnsi="宋体"/>
                <w:szCs w:val="21"/>
              </w:rPr>
              <w:t>/h</w:t>
            </w:r>
          </w:p>
        </w:tc>
      </w:tr>
      <w:tr w14:paraId="70CFADBF">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178" w:hRule="atLeast"/>
          <w:jc w:val="center"/>
        </w:trPr>
        <w:tc>
          <w:tcPr>
            <w:tcW w:w="866" w:type="dxa"/>
            <w:vAlign w:val="center"/>
          </w:tcPr>
          <w:p w14:paraId="6D4D305F">
            <w:pPr>
              <w:spacing w:line="320" w:lineRule="exact"/>
              <w:jc w:val="center"/>
              <w:rPr>
                <w:rFonts w:hint="eastAsia" w:ascii="宋体" w:hAnsi="宋体"/>
                <w:bCs/>
                <w:szCs w:val="21"/>
              </w:rPr>
            </w:pPr>
            <w:r>
              <w:rPr>
                <w:rFonts w:hint="eastAsia" w:ascii="宋体" w:hAnsi="宋体"/>
                <w:bCs/>
                <w:szCs w:val="21"/>
              </w:rPr>
              <w:t>5</w:t>
            </w:r>
          </w:p>
        </w:tc>
        <w:tc>
          <w:tcPr>
            <w:tcW w:w="2124" w:type="dxa"/>
            <w:vAlign w:val="center"/>
          </w:tcPr>
          <w:p w14:paraId="45459470">
            <w:pPr>
              <w:pStyle w:val="240"/>
              <w:rPr>
                <w:rFonts w:hint="default"/>
              </w:rPr>
            </w:pPr>
            <w:r>
              <w:rPr>
                <w:color w:val="auto"/>
              </w:rPr>
              <w:t>履带牵引装置及控制系统</w:t>
            </w:r>
          </w:p>
        </w:tc>
        <w:tc>
          <w:tcPr>
            <w:tcW w:w="1574" w:type="dxa"/>
            <w:vAlign w:val="center"/>
          </w:tcPr>
          <w:p w14:paraId="195C6422">
            <w:pPr>
              <w:pStyle w:val="240"/>
              <w:rPr>
                <w:rFonts w:hint="default"/>
              </w:rPr>
            </w:pPr>
            <w:r>
              <w:t>/</w:t>
            </w:r>
          </w:p>
        </w:tc>
        <w:tc>
          <w:tcPr>
            <w:tcW w:w="1288" w:type="dxa"/>
            <w:vAlign w:val="center"/>
          </w:tcPr>
          <w:p w14:paraId="087A1EDB">
            <w:pPr>
              <w:spacing w:line="320" w:lineRule="exact"/>
              <w:jc w:val="center"/>
              <w:rPr>
                <w:rFonts w:hint="eastAsia" w:ascii="宋体" w:hAnsi="宋体"/>
                <w:szCs w:val="21"/>
              </w:rPr>
            </w:pPr>
            <w:r>
              <w:rPr>
                <w:rFonts w:hint="eastAsia" w:ascii="宋体" w:hAnsi="宋体"/>
                <w:szCs w:val="21"/>
              </w:rPr>
              <w:t>1台</w:t>
            </w:r>
          </w:p>
        </w:tc>
        <w:tc>
          <w:tcPr>
            <w:tcW w:w="3147" w:type="dxa"/>
            <w:vAlign w:val="center"/>
          </w:tcPr>
          <w:p w14:paraId="4FFE7B5E">
            <w:pPr>
              <w:spacing w:line="320" w:lineRule="exact"/>
              <w:jc w:val="center"/>
              <w:rPr>
                <w:rFonts w:hint="eastAsia" w:ascii="宋体" w:hAnsi="宋体" w:eastAsia="宋体"/>
                <w:szCs w:val="21"/>
                <w:lang w:val="en-US" w:eastAsia="zh-CN"/>
              </w:rPr>
            </w:pPr>
            <w:r>
              <w:rPr>
                <w:rFonts w:hint="eastAsia" w:ascii="宋体" w:hAnsi="宋体"/>
                <w:szCs w:val="21"/>
                <w:lang w:val="en-US" w:eastAsia="zh-CN"/>
              </w:rPr>
              <w:t>-</w:t>
            </w:r>
          </w:p>
        </w:tc>
      </w:tr>
      <w:tr w14:paraId="58A3E57A">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110" w:hRule="atLeast"/>
          <w:jc w:val="center"/>
        </w:trPr>
        <w:tc>
          <w:tcPr>
            <w:tcW w:w="866" w:type="dxa"/>
            <w:vAlign w:val="center"/>
          </w:tcPr>
          <w:p w14:paraId="652E6265">
            <w:pPr>
              <w:spacing w:line="320" w:lineRule="exact"/>
              <w:jc w:val="center"/>
              <w:rPr>
                <w:rFonts w:hint="eastAsia" w:ascii="宋体" w:hAnsi="宋体"/>
                <w:bCs/>
                <w:szCs w:val="21"/>
              </w:rPr>
            </w:pPr>
            <w:r>
              <w:rPr>
                <w:rFonts w:hint="eastAsia" w:ascii="宋体" w:hAnsi="宋体"/>
                <w:bCs/>
                <w:szCs w:val="21"/>
              </w:rPr>
              <w:t>6</w:t>
            </w:r>
          </w:p>
        </w:tc>
        <w:tc>
          <w:tcPr>
            <w:tcW w:w="2124" w:type="dxa"/>
            <w:vAlign w:val="center"/>
          </w:tcPr>
          <w:p w14:paraId="3F81BA6C">
            <w:pPr>
              <w:pStyle w:val="240"/>
              <w:rPr>
                <w:rFonts w:hint="default"/>
              </w:rPr>
            </w:pPr>
            <w:r>
              <w:rPr>
                <w:color w:val="auto"/>
              </w:rPr>
              <w:t>滴灌带合</w:t>
            </w:r>
            <w:r>
              <w:rPr>
                <w:rFonts w:hint="eastAsia"/>
                <w:color w:val="auto"/>
                <w:lang w:eastAsia="zh-CN"/>
              </w:rPr>
              <w:t>卷</w:t>
            </w:r>
            <w:r>
              <w:rPr>
                <w:color w:val="auto"/>
              </w:rPr>
              <w:t>装置</w:t>
            </w:r>
          </w:p>
        </w:tc>
        <w:tc>
          <w:tcPr>
            <w:tcW w:w="1574" w:type="dxa"/>
            <w:vAlign w:val="center"/>
          </w:tcPr>
          <w:p w14:paraId="6ED99321">
            <w:pPr>
              <w:pStyle w:val="240"/>
              <w:rPr>
                <w:rFonts w:hint="default"/>
              </w:rPr>
            </w:pPr>
            <w:r>
              <w:t>配封口机</w:t>
            </w:r>
          </w:p>
        </w:tc>
        <w:tc>
          <w:tcPr>
            <w:tcW w:w="1288" w:type="dxa"/>
            <w:vAlign w:val="center"/>
          </w:tcPr>
          <w:p w14:paraId="2BEE4749">
            <w:pPr>
              <w:spacing w:line="320" w:lineRule="exact"/>
              <w:jc w:val="center"/>
              <w:rPr>
                <w:rFonts w:hint="eastAsia" w:ascii="宋体" w:hAnsi="宋体"/>
                <w:szCs w:val="21"/>
              </w:rPr>
            </w:pPr>
            <w:r>
              <w:rPr>
                <w:rFonts w:hint="eastAsia" w:ascii="宋体" w:hAnsi="宋体"/>
                <w:szCs w:val="21"/>
              </w:rPr>
              <w:t>1台</w:t>
            </w:r>
          </w:p>
        </w:tc>
        <w:tc>
          <w:tcPr>
            <w:tcW w:w="3147" w:type="dxa"/>
            <w:vAlign w:val="center"/>
          </w:tcPr>
          <w:p w14:paraId="6F317D61">
            <w:pPr>
              <w:spacing w:line="320" w:lineRule="exact"/>
              <w:jc w:val="center"/>
              <w:rPr>
                <w:rFonts w:hint="eastAsia" w:ascii="宋体" w:hAnsi="宋体" w:eastAsia="宋体"/>
                <w:szCs w:val="21"/>
                <w:lang w:val="en-US" w:eastAsia="zh-CN"/>
              </w:rPr>
            </w:pPr>
            <w:r>
              <w:rPr>
                <w:rFonts w:hint="eastAsia" w:ascii="宋体" w:hAnsi="宋体"/>
                <w:szCs w:val="21"/>
                <w:lang w:val="en-US" w:eastAsia="zh-CN"/>
              </w:rPr>
              <w:t>处理能力：2</w:t>
            </w:r>
            <w:r>
              <w:rPr>
                <w:rFonts w:ascii="宋体" w:hAnsi="宋体"/>
                <w:szCs w:val="21"/>
              </w:rPr>
              <w:t>/h</w:t>
            </w:r>
          </w:p>
        </w:tc>
      </w:tr>
      <w:tr w14:paraId="7EBF3AA5">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110" w:hRule="atLeast"/>
          <w:jc w:val="center"/>
        </w:trPr>
        <w:tc>
          <w:tcPr>
            <w:tcW w:w="866" w:type="dxa"/>
            <w:vAlign w:val="center"/>
          </w:tcPr>
          <w:p w14:paraId="07E63FC9">
            <w:pPr>
              <w:spacing w:line="320" w:lineRule="exact"/>
              <w:jc w:val="center"/>
              <w:rPr>
                <w:rFonts w:hint="eastAsia" w:ascii="宋体" w:hAnsi="宋体"/>
                <w:bCs/>
                <w:szCs w:val="21"/>
              </w:rPr>
            </w:pPr>
            <w:r>
              <w:rPr>
                <w:rFonts w:hint="eastAsia" w:ascii="宋体" w:hAnsi="宋体"/>
                <w:bCs/>
                <w:szCs w:val="21"/>
              </w:rPr>
              <w:t>7</w:t>
            </w:r>
          </w:p>
        </w:tc>
        <w:tc>
          <w:tcPr>
            <w:tcW w:w="2124" w:type="dxa"/>
            <w:vAlign w:val="center"/>
          </w:tcPr>
          <w:p w14:paraId="2729AF0E">
            <w:pPr>
              <w:pStyle w:val="240"/>
              <w:rPr>
                <w:rFonts w:hint="default"/>
              </w:rPr>
            </w:pPr>
            <w:r>
              <w:rPr>
                <w:color w:val="auto"/>
              </w:rPr>
              <w:t>缠绕打包机</w:t>
            </w:r>
          </w:p>
        </w:tc>
        <w:tc>
          <w:tcPr>
            <w:tcW w:w="1574" w:type="dxa"/>
            <w:vAlign w:val="center"/>
          </w:tcPr>
          <w:p w14:paraId="052D65EF">
            <w:pPr>
              <w:pStyle w:val="240"/>
              <w:rPr>
                <w:rFonts w:hint="default"/>
              </w:rPr>
            </w:pPr>
            <w:r>
              <w:t>/</w:t>
            </w:r>
          </w:p>
        </w:tc>
        <w:tc>
          <w:tcPr>
            <w:tcW w:w="1288" w:type="dxa"/>
            <w:vAlign w:val="center"/>
          </w:tcPr>
          <w:p w14:paraId="39AC3DFE">
            <w:pPr>
              <w:spacing w:line="320" w:lineRule="exact"/>
              <w:jc w:val="center"/>
              <w:rPr>
                <w:rFonts w:hint="eastAsia" w:ascii="宋体" w:hAnsi="宋体"/>
                <w:szCs w:val="21"/>
              </w:rPr>
            </w:pPr>
            <w:r>
              <w:rPr>
                <w:rFonts w:hint="eastAsia" w:ascii="宋体" w:hAnsi="宋体"/>
                <w:szCs w:val="21"/>
              </w:rPr>
              <w:t>1台</w:t>
            </w:r>
          </w:p>
        </w:tc>
        <w:tc>
          <w:tcPr>
            <w:tcW w:w="3147" w:type="dxa"/>
            <w:vAlign w:val="center"/>
          </w:tcPr>
          <w:p w14:paraId="1FD30DA5">
            <w:pPr>
              <w:spacing w:line="320" w:lineRule="exact"/>
              <w:jc w:val="center"/>
              <w:rPr>
                <w:rFonts w:hint="eastAsia" w:ascii="宋体" w:hAnsi="宋体" w:eastAsia="宋体"/>
                <w:szCs w:val="21"/>
                <w:lang w:val="en-US" w:eastAsia="zh-CN"/>
              </w:rPr>
            </w:pPr>
            <w:r>
              <w:rPr>
                <w:rFonts w:hint="eastAsia" w:ascii="宋体" w:hAnsi="宋体"/>
                <w:szCs w:val="21"/>
                <w:lang w:val="en-US" w:eastAsia="zh-CN"/>
              </w:rPr>
              <w:t>处理能力：2</w:t>
            </w:r>
            <w:r>
              <w:rPr>
                <w:rFonts w:ascii="宋体" w:hAnsi="宋体"/>
                <w:szCs w:val="21"/>
              </w:rPr>
              <w:t>/h</w:t>
            </w:r>
          </w:p>
        </w:tc>
      </w:tr>
      <w:tr w14:paraId="3CEB5ED6">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110" w:hRule="atLeast"/>
          <w:jc w:val="center"/>
        </w:trPr>
        <w:tc>
          <w:tcPr>
            <w:tcW w:w="866" w:type="dxa"/>
            <w:vAlign w:val="center"/>
          </w:tcPr>
          <w:p w14:paraId="6DDBDDFF">
            <w:pPr>
              <w:spacing w:line="320" w:lineRule="exact"/>
              <w:jc w:val="center"/>
              <w:rPr>
                <w:rFonts w:hint="eastAsia" w:ascii="宋体" w:hAnsi="宋体"/>
                <w:bCs/>
                <w:szCs w:val="21"/>
              </w:rPr>
            </w:pPr>
            <w:r>
              <w:rPr>
                <w:rFonts w:hint="eastAsia" w:ascii="宋体" w:hAnsi="宋体"/>
                <w:bCs/>
                <w:szCs w:val="21"/>
              </w:rPr>
              <w:t>8</w:t>
            </w:r>
          </w:p>
        </w:tc>
        <w:tc>
          <w:tcPr>
            <w:tcW w:w="2124" w:type="dxa"/>
            <w:vAlign w:val="center"/>
          </w:tcPr>
          <w:p w14:paraId="26E07CEB">
            <w:pPr>
              <w:pStyle w:val="240"/>
              <w:rPr>
                <w:rFonts w:hint="default"/>
              </w:rPr>
            </w:pPr>
            <w:r>
              <w:rPr>
                <w:color w:val="auto"/>
              </w:rPr>
              <w:t>负压集气罩</w:t>
            </w:r>
          </w:p>
        </w:tc>
        <w:tc>
          <w:tcPr>
            <w:tcW w:w="1574" w:type="dxa"/>
            <w:vAlign w:val="center"/>
          </w:tcPr>
          <w:p w14:paraId="0D2511D3">
            <w:pPr>
              <w:pStyle w:val="240"/>
              <w:rPr>
                <w:rFonts w:hint="default"/>
              </w:rPr>
            </w:pPr>
            <w:r>
              <w:t>/</w:t>
            </w:r>
          </w:p>
        </w:tc>
        <w:tc>
          <w:tcPr>
            <w:tcW w:w="1288" w:type="dxa"/>
            <w:vAlign w:val="center"/>
          </w:tcPr>
          <w:p w14:paraId="622985F2">
            <w:pPr>
              <w:spacing w:line="320" w:lineRule="exact"/>
              <w:jc w:val="center"/>
              <w:rPr>
                <w:rFonts w:hint="eastAsia" w:ascii="宋体" w:hAnsi="宋体"/>
                <w:szCs w:val="21"/>
              </w:rPr>
            </w:pPr>
            <w:r>
              <w:rPr>
                <w:rFonts w:hint="eastAsia" w:ascii="宋体" w:hAnsi="宋体"/>
                <w:szCs w:val="21"/>
              </w:rPr>
              <w:t>1个</w:t>
            </w:r>
          </w:p>
        </w:tc>
        <w:tc>
          <w:tcPr>
            <w:tcW w:w="3147" w:type="dxa"/>
            <w:vAlign w:val="center"/>
          </w:tcPr>
          <w:p w14:paraId="6E047AE4">
            <w:pPr>
              <w:spacing w:line="320" w:lineRule="exact"/>
              <w:jc w:val="center"/>
              <w:rPr>
                <w:rFonts w:hint="eastAsia" w:ascii="宋体" w:hAnsi="宋体"/>
                <w:szCs w:val="21"/>
              </w:rPr>
            </w:pPr>
            <w:r>
              <w:rPr>
                <w:rFonts w:hint="eastAsia" w:ascii="宋体" w:hAnsi="宋体"/>
                <w:szCs w:val="21"/>
                <w:lang w:val="en-US" w:eastAsia="zh-CN"/>
              </w:rPr>
              <w:t>1</w:t>
            </w:r>
            <w:r>
              <w:rPr>
                <w:rFonts w:hint="eastAsia" w:ascii="宋体" w:hAnsi="宋体"/>
                <w:szCs w:val="21"/>
              </w:rPr>
              <w:t>0000m</w:t>
            </w:r>
            <w:r>
              <w:rPr>
                <w:rFonts w:hint="eastAsia" w:ascii="宋体" w:hAnsi="宋体"/>
                <w:szCs w:val="21"/>
                <w:vertAlign w:val="superscript"/>
              </w:rPr>
              <w:t>3</w:t>
            </w:r>
            <w:r>
              <w:rPr>
                <w:rFonts w:hint="eastAsia" w:ascii="宋体" w:hAnsi="宋体"/>
                <w:szCs w:val="21"/>
              </w:rPr>
              <w:t>/h</w:t>
            </w:r>
          </w:p>
        </w:tc>
      </w:tr>
      <w:tr w14:paraId="48DA4239">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110" w:hRule="atLeast"/>
          <w:jc w:val="center"/>
        </w:trPr>
        <w:tc>
          <w:tcPr>
            <w:tcW w:w="866" w:type="dxa"/>
            <w:vAlign w:val="center"/>
          </w:tcPr>
          <w:p w14:paraId="7CC80C10">
            <w:pPr>
              <w:spacing w:line="320" w:lineRule="exact"/>
              <w:jc w:val="center"/>
              <w:rPr>
                <w:rFonts w:hint="eastAsia" w:ascii="宋体" w:hAnsi="宋体"/>
                <w:bCs/>
                <w:szCs w:val="21"/>
              </w:rPr>
            </w:pPr>
            <w:r>
              <w:rPr>
                <w:rFonts w:hint="eastAsia" w:ascii="宋体" w:hAnsi="宋体"/>
                <w:bCs/>
                <w:szCs w:val="21"/>
              </w:rPr>
              <w:t>9</w:t>
            </w:r>
          </w:p>
        </w:tc>
        <w:tc>
          <w:tcPr>
            <w:tcW w:w="2124" w:type="dxa"/>
            <w:vAlign w:val="center"/>
          </w:tcPr>
          <w:p w14:paraId="04694B21">
            <w:pPr>
              <w:pStyle w:val="240"/>
              <w:rPr>
                <w:rFonts w:hint="eastAsia" w:eastAsia="宋体"/>
                <w:color w:val="auto"/>
                <w:lang w:eastAsia="zh-CN"/>
              </w:rPr>
            </w:pPr>
            <w:r>
              <w:rPr>
                <w:rFonts w:hint="eastAsia"/>
                <w:color w:val="auto"/>
                <w:lang w:eastAsia="zh-CN"/>
              </w:rPr>
              <w:t>引风机</w:t>
            </w:r>
          </w:p>
        </w:tc>
        <w:tc>
          <w:tcPr>
            <w:tcW w:w="1574" w:type="dxa"/>
            <w:vAlign w:val="center"/>
          </w:tcPr>
          <w:p w14:paraId="201DB2AB">
            <w:pPr>
              <w:pStyle w:val="240"/>
            </w:pPr>
            <w:r>
              <w:t>/</w:t>
            </w:r>
          </w:p>
        </w:tc>
        <w:tc>
          <w:tcPr>
            <w:tcW w:w="1288" w:type="dxa"/>
            <w:vAlign w:val="center"/>
          </w:tcPr>
          <w:p w14:paraId="336B942F">
            <w:pPr>
              <w:spacing w:line="320" w:lineRule="exact"/>
              <w:jc w:val="center"/>
              <w:rPr>
                <w:rFonts w:hint="eastAsia" w:ascii="宋体" w:hAnsi="宋体"/>
                <w:szCs w:val="21"/>
              </w:rPr>
            </w:pPr>
            <w:r>
              <w:rPr>
                <w:rFonts w:hint="eastAsia" w:ascii="宋体" w:hAnsi="宋体"/>
                <w:szCs w:val="21"/>
              </w:rPr>
              <w:t>1台</w:t>
            </w:r>
          </w:p>
        </w:tc>
        <w:tc>
          <w:tcPr>
            <w:tcW w:w="3147" w:type="dxa"/>
            <w:vAlign w:val="center"/>
          </w:tcPr>
          <w:p w14:paraId="60321F52">
            <w:pPr>
              <w:spacing w:line="320" w:lineRule="exact"/>
              <w:jc w:val="center"/>
              <w:rPr>
                <w:rFonts w:hint="eastAsia" w:ascii="宋体" w:hAnsi="宋体"/>
                <w:szCs w:val="21"/>
                <w:lang w:val="en-US" w:eastAsia="zh-CN"/>
              </w:rPr>
            </w:pPr>
            <w:r>
              <w:rPr>
                <w:rFonts w:hint="eastAsia" w:ascii="宋体" w:hAnsi="宋体"/>
                <w:szCs w:val="21"/>
                <w:lang w:val="en-US" w:eastAsia="zh-CN"/>
              </w:rPr>
              <w:t>2</w:t>
            </w:r>
            <w:r>
              <w:rPr>
                <w:rFonts w:hint="eastAsia" w:ascii="宋体" w:hAnsi="宋体"/>
                <w:szCs w:val="21"/>
              </w:rPr>
              <w:t>0000m</w:t>
            </w:r>
            <w:r>
              <w:rPr>
                <w:rFonts w:hint="eastAsia" w:ascii="宋体" w:hAnsi="宋体"/>
                <w:szCs w:val="21"/>
                <w:vertAlign w:val="superscript"/>
              </w:rPr>
              <w:t>3</w:t>
            </w:r>
            <w:r>
              <w:rPr>
                <w:rFonts w:hint="eastAsia" w:ascii="宋体" w:hAnsi="宋体"/>
                <w:szCs w:val="21"/>
              </w:rPr>
              <w:t>/h</w:t>
            </w:r>
          </w:p>
        </w:tc>
      </w:tr>
      <w:tr w14:paraId="68A3A932">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110" w:hRule="atLeast"/>
          <w:jc w:val="center"/>
        </w:trPr>
        <w:tc>
          <w:tcPr>
            <w:tcW w:w="866" w:type="dxa"/>
            <w:vAlign w:val="center"/>
          </w:tcPr>
          <w:p w14:paraId="637BA85C">
            <w:pPr>
              <w:spacing w:line="320" w:lineRule="exact"/>
              <w:jc w:val="center"/>
              <w:rPr>
                <w:rFonts w:hint="default" w:ascii="宋体" w:hAnsi="宋体" w:eastAsia="宋体"/>
                <w:bCs/>
                <w:szCs w:val="21"/>
                <w:lang w:val="en-US" w:eastAsia="zh-CN"/>
              </w:rPr>
            </w:pPr>
            <w:r>
              <w:rPr>
                <w:rFonts w:hint="eastAsia" w:ascii="宋体" w:hAnsi="宋体"/>
                <w:bCs/>
                <w:szCs w:val="21"/>
                <w:lang w:val="en-US" w:eastAsia="zh-CN"/>
              </w:rPr>
              <w:t>12</w:t>
            </w:r>
          </w:p>
        </w:tc>
        <w:tc>
          <w:tcPr>
            <w:tcW w:w="2124" w:type="dxa"/>
            <w:vAlign w:val="center"/>
          </w:tcPr>
          <w:p w14:paraId="19F6C843">
            <w:pPr>
              <w:pStyle w:val="240"/>
              <w:rPr>
                <w:rFonts w:hint="default"/>
                <w:color w:val="auto"/>
              </w:rPr>
            </w:pPr>
            <w:r>
              <w:t>风冷机</w:t>
            </w:r>
          </w:p>
        </w:tc>
        <w:tc>
          <w:tcPr>
            <w:tcW w:w="1574" w:type="dxa"/>
            <w:vAlign w:val="center"/>
          </w:tcPr>
          <w:p w14:paraId="2B6D68F7">
            <w:pPr>
              <w:pStyle w:val="240"/>
              <w:rPr>
                <w:rFonts w:hint="default"/>
              </w:rPr>
            </w:pPr>
            <w:r>
              <w:t>/</w:t>
            </w:r>
          </w:p>
        </w:tc>
        <w:tc>
          <w:tcPr>
            <w:tcW w:w="1288" w:type="dxa"/>
            <w:vAlign w:val="center"/>
          </w:tcPr>
          <w:p w14:paraId="1F608F2B">
            <w:pPr>
              <w:spacing w:line="320" w:lineRule="exact"/>
              <w:jc w:val="center"/>
              <w:rPr>
                <w:rFonts w:hint="eastAsia" w:ascii="宋体" w:hAnsi="宋体"/>
                <w:szCs w:val="21"/>
              </w:rPr>
            </w:pPr>
            <w:r>
              <w:rPr>
                <w:rFonts w:hint="eastAsia" w:ascii="宋体" w:hAnsi="宋体"/>
                <w:szCs w:val="21"/>
              </w:rPr>
              <w:t>1台</w:t>
            </w:r>
          </w:p>
        </w:tc>
        <w:tc>
          <w:tcPr>
            <w:tcW w:w="3147" w:type="dxa"/>
            <w:vAlign w:val="center"/>
          </w:tcPr>
          <w:p w14:paraId="56612A61">
            <w:pPr>
              <w:spacing w:line="320" w:lineRule="exact"/>
              <w:jc w:val="center"/>
              <w:rPr>
                <w:rFonts w:hint="eastAsia" w:ascii="宋体" w:hAnsi="宋体" w:eastAsia="宋体"/>
                <w:szCs w:val="21"/>
                <w:lang w:val="en-US" w:eastAsia="zh-CN"/>
              </w:rPr>
            </w:pPr>
            <w:r>
              <w:rPr>
                <w:rFonts w:hint="eastAsia" w:ascii="宋体" w:hAnsi="宋体"/>
                <w:szCs w:val="21"/>
                <w:lang w:val="en-US" w:eastAsia="zh-CN"/>
              </w:rPr>
              <w:t>-</w:t>
            </w:r>
          </w:p>
        </w:tc>
      </w:tr>
      <w:tr w14:paraId="082200ED">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71" w:hRule="atLeast"/>
          <w:jc w:val="center"/>
        </w:trPr>
        <w:tc>
          <w:tcPr>
            <w:tcW w:w="4564" w:type="dxa"/>
            <w:gridSpan w:val="3"/>
            <w:vAlign w:val="center"/>
          </w:tcPr>
          <w:p w14:paraId="5729E19F">
            <w:pPr>
              <w:pStyle w:val="240"/>
              <w:rPr>
                <w:rFonts w:hint="default"/>
              </w:rPr>
            </w:pPr>
            <w:r>
              <w:rPr>
                <w:rFonts w:hint="eastAsia"/>
                <w:lang w:eastAsia="zh-CN"/>
              </w:rPr>
              <w:t>活性炭浓缩吸附+催化燃烧</w:t>
            </w:r>
            <w:r>
              <w:t>系统+15m排气筒</w:t>
            </w:r>
          </w:p>
        </w:tc>
        <w:tc>
          <w:tcPr>
            <w:tcW w:w="1288" w:type="dxa"/>
            <w:vAlign w:val="center"/>
          </w:tcPr>
          <w:p w14:paraId="7CC17FCD">
            <w:pPr>
              <w:spacing w:line="320" w:lineRule="exact"/>
              <w:jc w:val="center"/>
              <w:rPr>
                <w:rFonts w:hint="eastAsia" w:ascii="宋体" w:hAnsi="宋体"/>
                <w:szCs w:val="21"/>
              </w:rPr>
            </w:pPr>
            <w:r>
              <w:rPr>
                <w:rFonts w:hint="eastAsia" w:ascii="宋体" w:hAnsi="宋体"/>
                <w:szCs w:val="21"/>
              </w:rPr>
              <w:t>1套</w:t>
            </w:r>
          </w:p>
        </w:tc>
        <w:tc>
          <w:tcPr>
            <w:tcW w:w="3147" w:type="dxa"/>
            <w:vAlign w:val="center"/>
          </w:tcPr>
          <w:p w14:paraId="2650E305">
            <w:pPr>
              <w:spacing w:line="320" w:lineRule="exact"/>
              <w:jc w:val="center"/>
              <w:rPr>
                <w:rFonts w:hint="eastAsia" w:ascii="宋体" w:hAnsi="宋体"/>
                <w:szCs w:val="21"/>
              </w:rPr>
            </w:pPr>
            <w:r>
              <w:rPr>
                <w:rFonts w:hint="eastAsia" w:ascii="宋体" w:hAnsi="宋体"/>
                <w:szCs w:val="21"/>
              </w:rPr>
              <w:t>上述各生产线废气由负压集气罩统一收集后，废气以轴流风机引风，经车间安装的</w:t>
            </w:r>
            <w:r>
              <w:rPr>
                <w:rFonts w:hint="eastAsia" w:ascii="宋体" w:hAnsi="宋体"/>
                <w:szCs w:val="21"/>
                <w:lang w:eastAsia="zh-CN"/>
              </w:rPr>
              <w:t>活性炭浓缩吸附+催化燃烧</w:t>
            </w:r>
            <w:r>
              <w:rPr>
                <w:rFonts w:hint="eastAsia" w:ascii="宋体" w:hAnsi="宋体"/>
                <w:szCs w:val="21"/>
              </w:rPr>
              <w:t>系统处理后通过15m高排气筒外排（DA001）</w:t>
            </w:r>
          </w:p>
        </w:tc>
      </w:tr>
    </w:tbl>
    <w:p w14:paraId="685978B7">
      <w:pPr>
        <w:pStyle w:val="4"/>
        <w:autoSpaceDE w:val="0"/>
        <w:autoSpaceDN w:val="0"/>
        <w:spacing w:before="0" w:after="0" w:line="360" w:lineRule="auto"/>
        <w:jc w:val="left"/>
        <w:rPr>
          <w:kern w:val="0"/>
          <w:sz w:val="24"/>
          <w:lang w:val="en-US" w:bidi="zh-CN"/>
        </w:rPr>
      </w:pPr>
      <w:r>
        <w:rPr>
          <w:rFonts w:hint="eastAsia"/>
          <w:kern w:val="0"/>
          <w:sz w:val="24"/>
          <w:lang w:val="en-US" w:bidi="zh-CN"/>
        </w:rPr>
        <w:t>3.1.5生产线和生产规模的匹配性</w:t>
      </w:r>
    </w:p>
    <w:p w14:paraId="4B78E85C">
      <w:pPr>
        <w:adjustRightInd w:val="0"/>
        <w:snapToGrid w:val="0"/>
        <w:spacing w:before="156" w:beforeLines="50" w:line="360" w:lineRule="auto"/>
        <w:ind w:firstLine="480" w:firstLineChars="200"/>
        <w:rPr>
          <w:rFonts w:hint="eastAsia" w:ascii="宋体" w:hAnsi="宋体"/>
          <w:color w:val="EE0000"/>
          <w:sz w:val="24"/>
        </w:rPr>
      </w:pPr>
      <w:r>
        <w:rPr>
          <w:rFonts w:hint="eastAsia" w:ascii="宋体" w:hAnsi="宋体"/>
          <w:color w:val="000000"/>
          <w:sz w:val="24"/>
        </w:rPr>
        <w:t>本项目设置废旧地膜造粒生产线1条，</w:t>
      </w:r>
      <w:r>
        <w:rPr>
          <w:rFonts w:hint="eastAsia" w:ascii="宋体" w:hAnsi="宋体"/>
          <w:color w:val="000000"/>
          <w:sz w:val="24"/>
          <w:lang w:eastAsia="zh-CN"/>
        </w:rPr>
        <w:t>废地膜处理</w:t>
      </w:r>
      <w:r>
        <w:rPr>
          <w:rFonts w:hint="eastAsia" w:ascii="宋体" w:hAnsi="宋体"/>
          <w:color w:val="000000"/>
          <w:sz w:val="24"/>
        </w:rPr>
        <w:t>能力为5500t/a</w:t>
      </w:r>
      <w:r>
        <w:rPr>
          <w:rFonts w:hint="eastAsia" w:ascii="宋体" w:hAnsi="宋体"/>
          <w:color w:val="000000"/>
          <w:sz w:val="24"/>
          <w:lang w:eastAsia="zh-CN"/>
        </w:rPr>
        <w:t>，生产5498.075t/a再生颗粒</w:t>
      </w:r>
      <w:r>
        <w:rPr>
          <w:rFonts w:hint="eastAsia" w:ascii="宋体" w:hAnsi="宋体"/>
          <w:color w:val="000000"/>
          <w:sz w:val="24"/>
        </w:rPr>
        <w:t>；内镶式滴灌带生产线1条</w:t>
      </w:r>
      <w:r>
        <w:rPr>
          <w:rFonts w:hint="eastAsia" w:ascii="宋体" w:hAnsi="宋体"/>
          <w:color w:val="000000"/>
          <w:sz w:val="24"/>
          <w:lang w:eastAsia="zh-CN"/>
        </w:rPr>
        <w:t>，生产</w:t>
      </w:r>
      <w:r>
        <w:rPr>
          <w:rFonts w:hint="eastAsia" w:ascii="宋体" w:hAnsi="宋体"/>
          <w:color w:val="000000"/>
          <w:sz w:val="24"/>
        </w:rPr>
        <w:t>规模为</w:t>
      </w:r>
      <w:r>
        <w:rPr>
          <w:rFonts w:hint="eastAsia" w:ascii="宋体" w:hAnsi="宋体"/>
          <w:color w:val="000000"/>
          <w:sz w:val="24"/>
          <w:lang w:val="en-US" w:eastAsia="zh-CN"/>
        </w:rPr>
        <w:t>9995</w:t>
      </w:r>
      <w:r>
        <w:rPr>
          <w:rFonts w:hint="eastAsia" w:ascii="宋体" w:hAnsi="宋体"/>
          <w:color w:val="000000"/>
          <w:sz w:val="24"/>
        </w:rPr>
        <w:t>t/a，项目原料主要来自本项目东侧6.93km处的本公司2024年8月建成投入使用的地膜回收分拣、破碎清选后的废旧地膜运送至本项目区（规模为每年可预处理2万t废旧地膜）进行再生造粒</w:t>
      </w:r>
      <w:r>
        <w:rPr>
          <w:rFonts w:hint="eastAsia" w:ascii="宋体" w:hAnsi="宋体"/>
          <w:sz w:val="24"/>
        </w:rPr>
        <w:t>生产滴灌带，生产线24h不间断生产,</w:t>
      </w:r>
      <w:r>
        <w:rPr>
          <w:rFonts w:hint="eastAsia" w:ascii="宋体" w:hAnsi="宋体"/>
          <w:sz w:val="24"/>
          <w:lang w:eastAsia="zh-CN"/>
        </w:rPr>
        <w:t>满负荷运行</w:t>
      </w:r>
      <w:r>
        <w:rPr>
          <w:rFonts w:hint="eastAsia" w:ascii="宋体" w:hAnsi="宋体"/>
          <w:sz w:val="24"/>
        </w:rPr>
        <w:t>每日可生产颗粒</w:t>
      </w:r>
      <w:r>
        <w:rPr>
          <w:rFonts w:hint="eastAsia" w:ascii="宋体" w:hAnsi="宋体" w:cs="宋体"/>
          <w:kern w:val="0"/>
          <w:sz w:val="24"/>
          <w:szCs w:val="24"/>
          <w:lang w:val="en-US" w:bidi="zh-CN"/>
        </w:rPr>
        <w:t>24t/d、</w:t>
      </w:r>
      <w:r>
        <w:rPr>
          <w:rFonts w:hint="eastAsia" w:ascii="宋体" w:hAnsi="宋体"/>
          <w:sz w:val="24"/>
        </w:rPr>
        <w:t>内镶式滴灌带</w:t>
      </w:r>
      <w:r>
        <w:rPr>
          <w:rFonts w:hint="eastAsia" w:ascii="宋体" w:hAnsi="宋体"/>
          <w:sz w:val="24"/>
          <w:lang w:val="en-US" w:eastAsia="zh-CN"/>
        </w:rPr>
        <w:t>48</w:t>
      </w:r>
      <w:r>
        <w:rPr>
          <w:rFonts w:hint="eastAsia" w:ascii="宋体" w:hAnsi="宋体"/>
          <w:sz w:val="24"/>
        </w:rPr>
        <w:t>t/d</w:t>
      </w:r>
      <w:r>
        <w:rPr>
          <w:rFonts w:hint="eastAsia" w:ascii="宋体" w:hAnsi="宋体"/>
          <w:sz w:val="24"/>
          <w:lang w:eastAsia="zh-CN"/>
        </w:rPr>
        <w:t>，</w:t>
      </w:r>
      <w:r>
        <w:rPr>
          <w:rFonts w:hint="eastAsia" w:ascii="宋体" w:hAnsi="宋体" w:cs="宋体"/>
          <w:kern w:val="0"/>
          <w:sz w:val="24"/>
          <w:szCs w:val="24"/>
          <w:lang w:val="en-US" w:bidi="zh-CN"/>
        </w:rPr>
        <w:t>根据业主提供的资料（造粒生产线按95%的运行效率，滴灌带按87%的运行效率）可知，项目年产颗粒5498.075</w:t>
      </w:r>
      <w:r>
        <w:rPr>
          <w:rFonts w:hint="eastAsia" w:ascii="宋体" w:hAnsi="宋体" w:cs="宋体"/>
          <w:kern w:val="0"/>
          <w:sz w:val="24"/>
          <w:szCs w:val="24"/>
          <w:lang w:bidi="zh-CN"/>
        </w:rPr>
        <w:t>t/a，</w:t>
      </w:r>
      <w:r>
        <w:rPr>
          <w:rFonts w:hint="eastAsia" w:ascii="宋体" w:hAnsi="宋体"/>
          <w:sz w:val="24"/>
          <w:lang w:eastAsia="zh-CN"/>
        </w:rPr>
        <w:t>约</w:t>
      </w:r>
      <w:r>
        <w:rPr>
          <w:rFonts w:hint="eastAsia" w:ascii="宋体" w:hAnsi="宋体"/>
          <w:sz w:val="24"/>
          <w:lang w:val="en-US" w:eastAsia="zh-CN"/>
        </w:rPr>
        <w:t>22.91</w:t>
      </w:r>
      <w:r>
        <w:rPr>
          <w:rFonts w:hint="eastAsia" w:ascii="宋体" w:hAnsi="宋体"/>
          <w:sz w:val="24"/>
        </w:rPr>
        <w:t>t/d</w:t>
      </w:r>
      <w:r>
        <w:rPr>
          <w:rFonts w:hint="eastAsia" w:ascii="宋体" w:hAnsi="宋体"/>
          <w:sz w:val="24"/>
          <w:lang w:eastAsia="zh-CN"/>
        </w:rPr>
        <w:t>，年产滴灌带</w:t>
      </w:r>
      <w:r>
        <w:rPr>
          <w:rFonts w:hint="eastAsia" w:ascii="宋体" w:hAnsi="宋体"/>
          <w:sz w:val="24"/>
          <w:lang w:val="en-US" w:eastAsia="zh-CN"/>
        </w:rPr>
        <w:t>9995</w:t>
      </w:r>
      <w:r>
        <w:rPr>
          <w:rFonts w:hint="eastAsia" w:ascii="宋体" w:hAnsi="宋体" w:cs="宋体"/>
          <w:kern w:val="0"/>
          <w:sz w:val="24"/>
          <w:szCs w:val="24"/>
          <w:lang w:bidi="zh-CN"/>
        </w:rPr>
        <w:t>t/a，</w:t>
      </w:r>
      <w:r>
        <w:rPr>
          <w:rFonts w:hint="eastAsia" w:ascii="宋体" w:hAnsi="宋体"/>
          <w:sz w:val="24"/>
          <w:lang w:eastAsia="zh-CN"/>
        </w:rPr>
        <w:t>约</w:t>
      </w:r>
      <w:r>
        <w:rPr>
          <w:rFonts w:hint="eastAsia" w:ascii="宋体" w:hAnsi="宋体"/>
          <w:sz w:val="24"/>
          <w:lang w:val="en-US" w:eastAsia="zh-CN"/>
        </w:rPr>
        <w:t>41.65</w:t>
      </w:r>
      <w:r>
        <w:rPr>
          <w:rFonts w:hint="eastAsia" w:ascii="宋体" w:hAnsi="宋体"/>
          <w:sz w:val="24"/>
        </w:rPr>
        <w:t>t/d</w:t>
      </w:r>
      <w:r>
        <w:rPr>
          <w:rFonts w:hint="eastAsia" w:ascii="宋体" w:hAnsi="宋体"/>
          <w:sz w:val="24"/>
          <w:lang w:eastAsia="zh-CN"/>
        </w:rPr>
        <w:t>；</w:t>
      </w:r>
      <w:r>
        <w:rPr>
          <w:rFonts w:hint="eastAsia" w:ascii="宋体" w:hAnsi="宋体"/>
          <w:sz w:val="24"/>
        </w:rPr>
        <w:t>年购买新料</w:t>
      </w:r>
      <w:r>
        <w:rPr>
          <w:rFonts w:ascii="宋体" w:hAnsi="宋体"/>
          <w:sz w:val="24"/>
        </w:rPr>
        <w:t>3519</w:t>
      </w:r>
      <w:r>
        <w:rPr>
          <w:rFonts w:hint="eastAsia" w:ascii="宋体" w:hAnsi="宋体"/>
          <w:sz w:val="24"/>
        </w:rPr>
        <w:t>t、色母料500s</w:t>
      </w:r>
      <w:r>
        <w:rPr>
          <w:rFonts w:hint="eastAsia" w:ascii="宋体" w:hAnsi="宋体"/>
          <w:sz w:val="24"/>
          <w:lang w:val="en-US" w:eastAsia="zh-CN"/>
        </w:rPr>
        <w:t>511.4513</w:t>
      </w:r>
      <w:r>
        <w:rPr>
          <w:rFonts w:hint="eastAsia" w:ascii="宋体" w:hAnsi="宋体"/>
          <w:sz w:val="24"/>
        </w:rPr>
        <w:t>t/a，抗老化剂</w:t>
      </w:r>
      <w:r>
        <w:rPr>
          <w:rFonts w:hint="eastAsia" w:ascii="宋体" w:hAnsi="宋体"/>
          <w:sz w:val="24"/>
          <w:lang w:val="en-US" w:eastAsia="zh-CN"/>
        </w:rPr>
        <w:t>511.4512</w:t>
      </w:r>
      <w:r>
        <w:rPr>
          <w:rFonts w:hint="eastAsia" w:ascii="宋体" w:hAnsi="宋体"/>
          <w:sz w:val="24"/>
        </w:rPr>
        <w:t>t/a，通过上述生产线的生产能力分析，可以满足本项目的生产规模要求，生产线和生产规模是相匹配的。</w:t>
      </w:r>
    </w:p>
    <w:p w14:paraId="7D53A21B">
      <w:pPr>
        <w:pStyle w:val="4"/>
        <w:autoSpaceDE w:val="0"/>
        <w:autoSpaceDN w:val="0"/>
        <w:spacing w:before="0" w:after="0" w:line="360" w:lineRule="auto"/>
        <w:jc w:val="left"/>
        <w:rPr>
          <w:kern w:val="0"/>
          <w:sz w:val="24"/>
          <w:lang w:val="en-US" w:bidi="zh-CN"/>
        </w:rPr>
      </w:pPr>
      <w:r>
        <w:rPr>
          <w:rFonts w:hint="eastAsia"/>
          <w:kern w:val="0"/>
          <w:sz w:val="24"/>
          <w:lang w:val="en-US" w:bidi="zh-CN"/>
        </w:rPr>
        <w:t>3.1.6主要</w:t>
      </w:r>
      <w:r>
        <w:rPr>
          <w:kern w:val="0"/>
          <w:sz w:val="24"/>
          <w:lang w:val="en-US" w:bidi="zh-CN"/>
        </w:rPr>
        <w:t>原辅材料</w:t>
      </w:r>
      <w:r>
        <w:rPr>
          <w:rFonts w:hint="eastAsia"/>
          <w:kern w:val="0"/>
          <w:sz w:val="24"/>
          <w:lang w:val="en-US" w:bidi="zh-CN"/>
        </w:rPr>
        <w:t>及理化性质</w:t>
      </w:r>
    </w:p>
    <w:p w14:paraId="6F548D8E">
      <w:pPr>
        <w:pStyle w:val="5"/>
        <w:rPr>
          <w:rFonts w:ascii="Times New Roman" w:hAnsi="Times New Roman"/>
          <w:color w:val="000000"/>
          <w:lang w:val="en-US"/>
        </w:rPr>
      </w:pPr>
      <w:r>
        <w:rPr>
          <w:rFonts w:hint="eastAsia" w:ascii="Times New Roman" w:hAnsi="Times New Roman"/>
          <w:color w:val="000000"/>
          <w:lang w:val="en-US"/>
        </w:rPr>
        <w:t>3.1.6.1主要原辅材料</w:t>
      </w:r>
    </w:p>
    <w:p w14:paraId="57AE2E98">
      <w:pPr>
        <w:adjustRightInd w:val="0"/>
        <w:snapToGrid w:val="0"/>
        <w:spacing w:before="156" w:beforeLines="50" w:line="360" w:lineRule="auto"/>
        <w:ind w:firstLine="480" w:firstLineChars="200"/>
        <w:rPr>
          <w:rFonts w:hint="eastAsia" w:ascii="宋体" w:hAnsi="宋体"/>
          <w:color w:val="000000"/>
          <w:sz w:val="24"/>
        </w:rPr>
      </w:pPr>
      <w:r>
        <w:rPr>
          <w:rFonts w:hint="eastAsia" w:ascii="宋体" w:hAnsi="宋体"/>
          <w:color w:val="000000"/>
          <w:sz w:val="24"/>
        </w:rPr>
        <w:t>本项目严格控制原料进厂把关程序，严禁有毒有害塑料包装进厂。主要原辅材料品种、年需要量见表3.1-5。</w:t>
      </w:r>
    </w:p>
    <w:p w14:paraId="773EFAB3">
      <w:pPr>
        <w:autoSpaceDE w:val="0"/>
        <w:autoSpaceDN w:val="0"/>
        <w:adjustRightInd w:val="0"/>
        <w:snapToGrid w:val="0"/>
        <w:ind w:left="522"/>
        <w:jc w:val="center"/>
        <w:rPr>
          <w:rFonts w:hint="eastAsia" w:ascii="宋体" w:hAnsi="宋体"/>
          <w:b/>
          <w:kern w:val="0"/>
          <w:szCs w:val="21"/>
        </w:rPr>
      </w:pPr>
      <w:r>
        <w:rPr>
          <w:rFonts w:ascii="宋体" w:hAnsi="宋体"/>
          <w:b/>
          <w:kern w:val="0"/>
          <w:szCs w:val="21"/>
        </w:rPr>
        <w:t>表3.1-</w:t>
      </w:r>
      <w:r>
        <w:rPr>
          <w:rFonts w:hint="eastAsia" w:ascii="宋体" w:hAnsi="宋体"/>
          <w:b/>
          <w:kern w:val="0"/>
          <w:szCs w:val="21"/>
        </w:rPr>
        <w:t>5</w:t>
      </w:r>
      <w:r>
        <w:rPr>
          <w:rFonts w:ascii="宋体" w:hAnsi="宋体"/>
          <w:b/>
          <w:kern w:val="0"/>
          <w:szCs w:val="21"/>
        </w:rPr>
        <w:t xml:space="preserve">    主要原辅材料</w:t>
      </w:r>
      <w:r>
        <w:rPr>
          <w:rFonts w:hint="eastAsia" w:ascii="宋体" w:hAnsi="宋体"/>
          <w:b/>
          <w:kern w:val="0"/>
          <w:szCs w:val="21"/>
        </w:rPr>
        <w:t>及能源消耗量</w:t>
      </w:r>
      <w:r>
        <w:rPr>
          <w:rFonts w:ascii="宋体" w:hAnsi="宋体"/>
          <w:b/>
          <w:kern w:val="0"/>
          <w:szCs w:val="21"/>
        </w:rPr>
        <w:t>表</w:t>
      </w:r>
    </w:p>
    <w:tbl>
      <w:tblPr>
        <w:tblStyle w:val="49"/>
        <w:tblW w:w="5095"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724"/>
        <w:gridCol w:w="1174"/>
        <w:gridCol w:w="904"/>
        <w:gridCol w:w="1764"/>
        <w:gridCol w:w="2239"/>
        <w:gridCol w:w="2470"/>
      </w:tblGrid>
      <w:tr w14:paraId="10C8B94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77" w:hRule="atLeast"/>
          <w:jc w:val="center"/>
        </w:trPr>
        <w:tc>
          <w:tcPr>
            <w:tcW w:w="390" w:type="pct"/>
            <w:vAlign w:val="center"/>
          </w:tcPr>
          <w:p w14:paraId="4624A6BA">
            <w:pPr>
              <w:pStyle w:val="179"/>
              <w:autoSpaceDE w:val="0"/>
              <w:autoSpaceDN w:val="0"/>
              <w:adjustRightInd/>
              <w:snapToGrid/>
              <w:ind w:left="-19" w:leftChars="-9" w:firstLine="31"/>
              <w:textAlignment w:val="auto"/>
              <w:rPr>
                <w:sz w:val="21"/>
                <w:szCs w:val="21"/>
              </w:rPr>
            </w:pPr>
            <w:r>
              <w:rPr>
                <w:rFonts w:hint="eastAsia"/>
                <w:sz w:val="21"/>
                <w:szCs w:val="21"/>
              </w:rPr>
              <w:t>项目</w:t>
            </w:r>
          </w:p>
        </w:tc>
        <w:tc>
          <w:tcPr>
            <w:tcW w:w="632" w:type="pct"/>
            <w:vAlign w:val="center"/>
          </w:tcPr>
          <w:p w14:paraId="071D1799">
            <w:pPr>
              <w:pStyle w:val="179"/>
              <w:autoSpaceDE w:val="0"/>
              <w:autoSpaceDN w:val="0"/>
              <w:adjustRightInd/>
              <w:snapToGrid/>
              <w:ind w:left="-19" w:leftChars="-9" w:firstLine="31"/>
              <w:textAlignment w:val="auto"/>
              <w:rPr>
                <w:sz w:val="21"/>
                <w:szCs w:val="21"/>
              </w:rPr>
            </w:pPr>
            <w:r>
              <w:rPr>
                <w:rFonts w:hint="eastAsia"/>
                <w:sz w:val="21"/>
                <w:szCs w:val="21"/>
              </w:rPr>
              <w:t>名称</w:t>
            </w:r>
          </w:p>
        </w:tc>
        <w:tc>
          <w:tcPr>
            <w:tcW w:w="487" w:type="pct"/>
            <w:vAlign w:val="center"/>
          </w:tcPr>
          <w:p w14:paraId="021EFCE3">
            <w:pPr>
              <w:pStyle w:val="179"/>
              <w:autoSpaceDE w:val="0"/>
              <w:autoSpaceDN w:val="0"/>
              <w:adjustRightInd/>
              <w:snapToGrid/>
              <w:ind w:left="-19" w:leftChars="-9" w:firstLine="31"/>
              <w:textAlignment w:val="auto"/>
              <w:rPr>
                <w:sz w:val="21"/>
                <w:szCs w:val="21"/>
              </w:rPr>
            </w:pPr>
            <w:r>
              <w:rPr>
                <w:rFonts w:hint="eastAsia"/>
                <w:sz w:val="21"/>
                <w:szCs w:val="21"/>
              </w:rPr>
              <w:t>单位</w:t>
            </w:r>
          </w:p>
        </w:tc>
        <w:tc>
          <w:tcPr>
            <w:tcW w:w="950" w:type="pct"/>
          </w:tcPr>
          <w:p w14:paraId="79D83BB2">
            <w:pPr>
              <w:pStyle w:val="179"/>
              <w:autoSpaceDE w:val="0"/>
              <w:autoSpaceDN w:val="0"/>
              <w:adjustRightInd/>
              <w:snapToGrid/>
              <w:ind w:left="-19" w:leftChars="-9" w:firstLine="31"/>
              <w:textAlignment w:val="auto"/>
              <w:rPr>
                <w:sz w:val="21"/>
                <w:szCs w:val="21"/>
              </w:rPr>
            </w:pPr>
            <w:r>
              <w:rPr>
                <w:rFonts w:hint="eastAsia"/>
                <w:sz w:val="21"/>
                <w:szCs w:val="21"/>
              </w:rPr>
              <w:t>数量</w:t>
            </w:r>
          </w:p>
        </w:tc>
        <w:tc>
          <w:tcPr>
            <w:tcW w:w="1207" w:type="pct"/>
            <w:vAlign w:val="center"/>
          </w:tcPr>
          <w:p w14:paraId="77771473">
            <w:pPr>
              <w:pStyle w:val="260"/>
              <w:spacing w:line="280" w:lineRule="exact"/>
              <w:ind w:left="-19" w:leftChars="-9" w:firstLine="19" w:firstLineChars="0"/>
              <w:rPr>
                <w:color w:val="000000"/>
                <w:kern w:val="2"/>
                <w:szCs w:val="21"/>
                <w:lang w:val="en-US" w:bidi="ar-SA"/>
              </w:rPr>
            </w:pPr>
            <w:r>
              <w:rPr>
                <w:rFonts w:hint="eastAsia"/>
                <w:color w:val="000000"/>
                <w:kern w:val="2"/>
                <w:szCs w:val="21"/>
                <w:lang w:val="en-US" w:bidi="ar-SA"/>
              </w:rPr>
              <w:t>来源</w:t>
            </w:r>
          </w:p>
        </w:tc>
        <w:tc>
          <w:tcPr>
            <w:tcW w:w="1331" w:type="pct"/>
            <w:vAlign w:val="center"/>
          </w:tcPr>
          <w:p w14:paraId="2E586934">
            <w:pPr>
              <w:pStyle w:val="260"/>
              <w:spacing w:line="280" w:lineRule="exact"/>
              <w:ind w:left="-19" w:leftChars="-9" w:firstLine="480"/>
              <w:jc w:val="both"/>
              <w:rPr>
                <w:color w:val="000000"/>
                <w:kern w:val="2"/>
                <w:szCs w:val="21"/>
                <w:lang w:val="en-US" w:bidi="ar-SA"/>
              </w:rPr>
            </w:pPr>
            <w:r>
              <w:rPr>
                <w:rFonts w:hint="eastAsia"/>
                <w:color w:val="000000"/>
                <w:kern w:val="2"/>
                <w:szCs w:val="21"/>
                <w:lang w:val="en-US" w:bidi="ar-SA"/>
              </w:rPr>
              <w:t>储存方式及储存量</w:t>
            </w:r>
          </w:p>
        </w:tc>
      </w:tr>
      <w:tr w14:paraId="2E0EE02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77" w:hRule="atLeast"/>
          <w:jc w:val="center"/>
        </w:trPr>
        <w:tc>
          <w:tcPr>
            <w:tcW w:w="390" w:type="pct"/>
            <w:vAlign w:val="center"/>
          </w:tcPr>
          <w:p w14:paraId="10F0FD77">
            <w:pPr>
              <w:pStyle w:val="179"/>
              <w:autoSpaceDE w:val="0"/>
              <w:autoSpaceDN w:val="0"/>
              <w:adjustRightInd/>
              <w:snapToGrid/>
              <w:ind w:left="-19" w:leftChars="-9" w:firstLine="31"/>
              <w:textAlignment w:val="auto"/>
              <w:rPr>
                <w:sz w:val="21"/>
                <w:szCs w:val="21"/>
              </w:rPr>
            </w:pPr>
            <w:r>
              <w:rPr>
                <w:rFonts w:hint="eastAsia"/>
                <w:sz w:val="21"/>
                <w:szCs w:val="21"/>
              </w:rPr>
              <w:t>造粒生产线</w:t>
            </w:r>
          </w:p>
        </w:tc>
        <w:tc>
          <w:tcPr>
            <w:tcW w:w="632" w:type="pct"/>
            <w:vAlign w:val="center"/>
          </w:tcPr>
          <w:p w14:paraId="08388797">
            <w:pPr>
              <w:pStyle w:val="179"/>
              <w:autoSpaceDE w:val="0"/>
              <w:autoSpaceDN w:val="0"/>
              <w:adjustRightInd/>
              <w:snapToGrid/>
              <w:ind w:left="-19" w:leftChars="-9" w:firstLine="31"/>
              <w:textAlignment w:val="auto"/>
              <w:rPr>
                <w:sz w:val="21"/>
                <w:szCs w:val="21"/>
              </w:rPr>
            </w:pPr>
            <w:r>
              <w:rPr>
                <w:rFonts w:hint="eastAsia"/>
                <w:sz w:val="21"/>
                <w:szCs w:val="21"/>
              </w:rPr>
              <w:t>废旧地膜</w:t>
            </w:r>
          </w:p>
        </w:tc>
        <w:tc>
          <w:tcPr>
            <w:tcW w:w="487" w:type="pct"/>
            <w:vAlign w:val="center"/>
          </w:tcPr>
          <w:p w14:paraId="7BB658A9">
            <w:pPr>
              <w:pStyle w:val="179"/>
              <w:autoSpaceDE w:val="0"/>
              <w:autoSpaceDN w:val="0"/>
              <w:adjustRightInd/>
              <w:snapToGrid/>
              <w:ind w:left="-19" w:leftChars="-9" w:firstLine="31"/>
              <w:textAlignment w:val="auto"/>
              <w:rPr>
                <w:sz w:val="21"/>
                <w:szCs w:val="21"/>
              </w:rPr>
            </w:pPr>
            <w:r>
              <w:rPr>
                <w:rFonts w:hint="eastAsia"/>
                <w:sz w:val="21"/>
                <w:szCs w:val="21"/>
              </w:rPr>
              <w:t>t/a</w:t>
            </w:r>
          </w:p>
        </w:tc>
        <w:tc>
          <w:tcPr>
            <w:tcW w:w="950" w:type="pct"/>
            <w:vAlign w:val="center"/>
          </w:tcPr>
          <w:p w14:paraId="1D743D10">
            <w:pPr>
              <w:pStyle w:val="179"/>
              <w:autoSpaceDE w:val="0"/>
              <w:autoSpaceDN w:val="0"/>
              <w:adjustRightInd/>
              <w:snapToGrid/>
              <w:ind w:left="-19" w:leftChars="-9" w:firstLine="31"/>
              <w:textAlignment w:val="auto"/>
              <w:rPr>
                <w:color w:val="EE0000"/>
                <w:sz w:val="21"/>
                <w:szCs w:val="21"/>
              </w:rPr>
            </w:pPr>
            <w:r>
              <w:rPr>
                <w:rFonts w:hint="eastAsia"/>
                <w:color w:val="auto"/>
                <w:sz w:val="21"/>
                <w:szCs w:val="21"/>
              </w:rPr>
              <w:t>5500</w:t>
            </w:r>
          </w:p>
        </w:tc>
        <w:tc>
          <w:tcPr>
            <w:tcW w:w="1207" w:type="pct"/>
            <w:vAlign w:val="center"/>
          </w:tcPr>
          <w:p w14:paraId="0F57576C">
            <w:pPr>
              <w:pStyle w:val="260"/>
              <w:spacing w:line="280" w:lineRule="exact"/>
              <w:ind w:left="218" w:leftChars="104" w:firstLine="0" w:firstLineChars="0"/>
              <w:jc w:val="both"/>
              <w:rPr>
                <w:color w:val="000000"/>
                <w:kern w:val="2"/>
                <w:szCs w:val="21"/>
                <w:lang w:val="en-US" w:bidi="ar-SA"/>
              </w:rPr>
            </w:pPr>
            <w:r>
              <w:rPr>
                <w:rFonts w:hint="eastAsia"/>
                <w:color w:val="000000"/>
                <w:szCs w:val="21"/>
                <w:lang w:val="en-US"/>
              </w:rPr>
              <w:t>本厂利用</w:t>
            </w:r>
            <w:r>
              <w:rPr>
                <w:rFonts w:hint="eastAsia"/>
                <w:color w:val="000000"/>
                <w:szCs w:val="21"/>
              </w:rPr>
              <w:t>项目东侧6.93km处的本公司2024年8月建成投入使用的地膜回收分拣、破碎清选后的废旧地膜</w:t>
            </w:r>
          </w:p>
        </w:tc>
        <w:tc>
          <w:tcPr>
            <w:tcW w:w="1331" w:type="pct"/>
            <w:vAlign w:val="center"/>
          </w:tcPr>
          <w:p w14:paraId="24C17E16">
            <w:pPr>
              <w:pStyle w:val="260"/>
              <w:spacing w:line="280" w:lineRule="exact"/>
              <w:ind w:left="219" w:leftChars="98" w:hanging="13" w:firstLineChars="0"/>
              <w:rPr>
                <w:color w:val="000000"/>
                <w:kern w:val="2"/>
                <w:szCs w:val="21"/>
                <w:lang w:val="en-US" w:bidi="ar-SA"/>
              </w:rPr>
            </w:pPr>
            <w:r>
              <w:rPr>
                <w:color w:val="000000"/>
                <w:szCs w:val="21"/>
              </w:rPr>
              <w:t>吨包，</w:t>
            </w:r>
            <w:r>
              <w:rPr>
                <w:rFonts w:hint="eastAsia"/>
                <w:color w:val="000000"/>
                <w:szCs w:val="21"/>
                <w:lang w:eastAsia="zh-CN"/>
              </w:rPr>
              <w:t>用多少拉运多少进入厂内，临时堆放区成品堆料棚内</w:t>
            </w:r>
          </w:p>
        </w:tc>
      </w:tr>
      <w:tr w14:paraId="0651AB0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77" w:hRule="atLeast"/>
          <w:jc w:val="center"/>
        </w:trPr>
        <w:tc>
          <w:tcPr>
            <w:tcW w:w="390" w:type="pct"/>
            <w:vMerge w:val="restart"/>
            <w:vAlign w:val="center"/>
          </w:tcPr>
          <w:p w14:paraId="7F77790E">
            <w:pPr>
              <w:pStyle w:val="179"/>
              <w:autoSpaceDE w:val="0"/>
              <w:autoSpaceDN w:val="0"/>
              <w:adjustRightInd/>
              <w:snapToGrid/>
              <w:ind w:left="-19" w:leftChars="-9" w:firstLine="31"/>
              <w:textAlignment w:val="auto"/>
              <w:rPr>
                <w:sz w:val="21"/>
                <w:szCs w:val="21"/>
              </w:rPr>
            </w:pPr>
            <w:r>
              <w:rPr>
                <w:rFonts w:hint="eastAsia"/>
                <w:sz w:val="21"/>
                <w:szCs w:val="21"/>
              </w:rPr>
              <w:t>滴灌带生产工序</w:t>
            </w:r>
          </w:p>
        </w:tc>
        <w:tc>
          <w:tcPr>
            <w:tcW w:w="632" w:type="pct"/>
            <w:vAlign w:val="center"/>
          </w:tcPr>
          <w:p w14:paraId="256BFFC1">
            <w:pPr>
              <w:pStyle w:val="179"/>
              <w:autoSpaceDE w:val="0"/>
              <w:autoSpaceDN w:val="0"/>
              <w:adjustRightInd/>
              <w:snapToGrid/>
              <w:ind w:left="-19" w:leftChars="-9" w:firstLine="31"/>
              <w:textAlignment w:val="auto"/>
              <w:rPr>
                <w:sz w:val="21"/>
                <w:szCs w:val="21"/>
              </w:rPr>
            </w:pPr>
            <w:r>
              <w:rPr>
                <w:rFonts w:hint="eastAsia"/>
                <w:sz w:val="21"/>
                <w:szCs w:val="21"/>
              </w:rPr>
              <w:t>再生聚乙烯颗粒</w:t>
            </w:r>
          </w:p>
        </w:tc>
        <w:tc>
          <w:tcPr>
            <w:tcW w:w="487" w:type="pct"/>
            <w:vAlign w:val="center"/>
          </w:tcPr>
          <w:p w14:paraId="3B3F57B8">
            <w:pPr>
              <w:pStyle w:val="179"/>
              <w:autoSpaceDE w:val="0"/>
              <w:autoSpaceDN w:val="0"/>
              <w:adjustRightInd/>
              <w:snapToGrid/>
              <w:ind w:left="-19" w:leftChars="-9" w:firstLine="31"/>
              <w:textAlignment w:val="auto"/>
              <w:rPr>
                <w:sz w:val="21"/>
                <w:szCs w:val="21"/>
              </w:rPr>
            </w:pPr>
            <w:r>
              <w:rPr>
                <w:rFonts w:hint="eastAsia"/>
                <w:sz w:val="21"/>
                <w:szCs w:val="21"/>
              </w:rPr>
              <w:t>t/a</w:t>
            </w:r>
          </w:p>
        </w:tc>
        <w:tc>
          <w:tcPr>
            <w:tcW w:w="950" w:type="pct"/>
            <w:vAlign w:val="center"/>
          </w:tcPr>
          <w:p w14:paraId="5284B609">
            <w:pPr>
              <w:autoSpaceDE w:val="0"/>
              <w:autoSpaceDN w:val="0"/>
              <w:spacing w:line="280" w:lineRule="exact"/>
              <w:ind w:left="-19" w:leftChars="-9" w:firstLine="31"/>
              <w:jc w:val="center"/>
              <w:rPr>
                <w:rFonts w:hint="default"/>
                <w:bCs/>
                <w:szCs w:val="21"/>
                <w:lang w:val="en-US" w:bidi="zh-CN"/>
              </w:rPr>
            </w:pPr>
            <w:r>
              <w:rPr>
                <w:rFonts w:hint="eastAsia"/>
                <w:bCs/>
                <w:szCs w:val="21"/>
                <w:lang w:bidi="zh-CN"/>
              </w:rPr>
              <w:t>54</w:t>
            </w:r>
            <w:r>
              <w:rPr>
                <w:rFonts w:hint="eastAsia"/>
                <w:bCs/>
                <w:szCs w:val="21"/>
                <w:lang w:val="en-US" w:bidi="zh-CN"/>
              </w:rPr>
              <w:t>98.075</w:t>
            </w:r>
          </w:p>
          <w:p w14:paraId="08150810">
            <w:pPr>
              <w:autoSpaceDE w:val="0"/>
              <w:autoSpaceDN w:val="0"/>
              <w:spacing w:line="280" w:lineRule="exact"/>
              <w:ind w:left="-19" w:leftChars="-9" w:firstLine="31"/>
              <w:jc w:val="left"/>
              <w:rPr>
                <w:rFonts w:hint="default"/>
                <w:bCs/>
                <w:szCs w:val="21"/>
                <w:lang w:val="en-US" w:bidi="zh-CN"/>
              </w:rPr>
            </w:pPr>
            <w:r>
              <w:rPr>
                <w:rFonts w:hint="eastAsia" w:ascii="Times New Roman" w:hAnsi="Times New Roman" w:eastAsia="宋体" w:cs="Times New Roman"/>
                <w:bCs/>
                <w:szCs w:val="21"/>
                <w:lang w:val="en-US" w:bidi="zh-CN"/>
              </w:rPr>
              <w:t>（粒径</w:t>
            </w:r>
            <w:r>
              <w:rPr>
                <w:rFonts w:hint="eastAsia" w:cs="Times New Roman"/>
                <w:bCs/>
                <w:szCs w:val="21"/>
                <w:lang w:val="en-US" w:bidi="zh-CN"/>
              </w:rPr>
              <w:t>5</w:t>
            </w:r>
            <w:r>
              <w:rPr>
                <w:rFonts w:hint="eastAsia" w:ascii="Times New Roman" w:hAnsi="Times New Roman" w:eastAsia="宋体" w:cs="Times New Roman"/>
                <w:bCs/>
                <w:szCs w:val="21"/>
                <w:lang w:val="en-US" w:bidi="zh-CN"/>
              </w:rPr>
              <w:t>mm）</w:t>
            </w:r>
          </w:p>
        </w:tc>
        <w:tc>
          <w:tcPr>
            <w:tcW w:w="1207" w:type="pct"/>
            <w:vAlign w:val="center"/>
          </w:tcPr>
          <w:p w14:paraId="29E2F59A">
            <w:pPr>
              <w:pStyle w:val="260"/>
              <w:spacing w:line="280" w:lineRule="exact"/>
              <w:ind w:left="-19" w:leftChars="-9"/>
              <w:rPr>
                <w:rFonts w:hint="eastAsia" w:eastAsia="宋体"/>
                <w:color w:val="000000"/>
                <w:kern w:val="2"/>
                <w:szCs w:val="21"/>
                <w:lang w:val="en-US" w:eastAsia="zh-CN" w:bidi="ar-SA"/>
              </w:rPr>
            </w:pPr>
            <w:r>
              <w:rPr>
                <w:rFonts w:hint="eastAsia"/>
                <w:color w:val="000000"/>
                <w:kern w:val="2"/>
                <w:szCs w:val="21"/>
                <w:lang w:val="en-US" w:bidi="ar-SA"/>
              </w:rPr>
              <w:t>本厂</w:t>
            </w:r>
            <w:r>
              <w:rPr>
                <w:rFonts w:hint="eastAsia"/>
                <w:color w:val="000000"/>
                <w:kern w:val="2"/>
                <w:szCs w:val="21"/>
                <w:lang w:val="en-US" w:eastAsia="zh-CN" w:bidi="ar-SA"/>
              </w:rPr>
              <w:t>造粒生产线加工的</w:t>
            </w:r>
            <w:r>
              <w:rPr>
                <w:rFonts w:hint="eastAsia"/>
                <w:sz w:val="21"/>
                <w:szCs w:val="21"/>
              </w:rPr>
              <w:t>再生聚乙烯颗粒</w:t>
            </w:r>
          </w:p>
        </w:tc>
        <w:tc>
          <w:tcPr>
            <w:tcW w:w="1331" w:type="pct"/>
            <w:vAlign w:val="center"/>
          </w:tcPr>
          <w:p w14:paraId="02F4D9BC">
            <w:pPr>
              <w:pStyle w:val="260"/>
              <w:spacing w:line="280" w:lineRule="exact"/>
              <w:ind w:left="-19" w:leftChars="-9"/>
              <w:rPr>
                <w:color w:val="000000"/>
                <w:kern w:val="2"/>
                <w:szCs w:val="21"/>
                <w:lang w:val="en-US" w:bidi="ar-SA"/>
              </w:rPr>
            </w:pPr>
            <w:r>
              <w:rPr>
                <w:rFonts w:hint="eastAsia"/>
                <w:color w:val="000000"/>
                <w:kern w:val="2"/>
                <w:szCs w:val="21"/>
                <w:lang w:val="en-US" w:bidi="ar-SA"/>
              </w:rPr>
              <w:t>进入滴灌带生产线</w:t>
            </w:r>
          </w:p>
        </w:tc>
      </w:tr>
      <w:tr w14:paraId="0A76499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77" w:hRule="atLeast"/>
          <w:jc w:val="center"/>
        </w:trPr>
        <w:tc>
          <w:tcPr>
            <w:tcW w:w="390" w:type="pct"/>
            <w:vMerge w:val="continue"/>
            <w:vAlign w:val="center"/>
          </w:tcPr>
          <w:p w14:paraId="061B326C">
            <w:pPr>
              <w:pStyle w:val="179"/>
              <w:autoSpaceDE w:val="0"/>
              <w:autoSpaceDN w:val="0"/>
              <w:adjustRightInd/>
              <w:snapToGrid/>
              <w:ind w:left="-19" w:leftChars="-9" w:firstLine="31"/>
              <w:textAlignment w:val="auto"/>
              <w:rPr>
                <w:sz w:val="21"/>
                <w:szCs w:val="21"/>
              </w:rPr>
            </w:pPr>
          </w:p>
        </w:tc>
        <w:tc>
          <w:tcPr>
            <w:tcW w:w="632" w:type="pct"/>
            <w:vAlign w:val="center"/>
          </w:tcPr>
          <w:p w14:paraId="5C69FB8A">
            <w:pPr>
              <w:pStyle w:val="179"/>
              <w:autoSpaceDE w:val="0"/>
              <w:autoSpaceDN w:val="0"/>
              <w:adjustRightInd/>
              <w:snapToGrid/>
              <w:ind w:left="-19" w:leftChars="-9" w:firstLine="31"/>
              <w:textAlignment w:val="auto"/>
              <w:rPr>
                <w:sz w:val="21"/>
                <w:szCs w:val="21"/>
              </w:rPr>
            </w:pPr>
            <w:r>
              <w:rPr>
                <w:rFonts w:hint="eastAsia"/>
                <w:sz w:val="21"/>
                <w:szCs w:val="21"/>
              </w:rPr>
              <w:t>聚乙烯颗粒新料</w:t>
            </w:r>
          </w:p>
        </w:tc>
        <w:tc>
          <w:tcPr>
            <w:tcW w:w="487" w:type="pct"/>
            <w:vAlign w:val="center"/>
          </w:tcPr>
          <w:p w14:paraId="68E3D56B">
            <w:pPr>
              <w:pStyle w:val="179"/>
              <w:autoSpaceDE w:val="0"/>
              <w:autoSpaceDN w:val="0"/>
              <w:adjustRightInd/>
              <w:snapToGrid/>
              <w:ind w:left="-19" w:leftChars="-9" w:firstLine="31"/>
              <w:textAlignment w:val="auto"/>
              <w:rPr>
                <w:sz w:val="21"/>
                <w:szCs w:val="21"/>
              </w:rPr>
            </w:pPr>
            <w:r>
              <w:rPr>
                <w:rFonts w:hint="eastAsia"/>
                <w:sz w:val="21"/>
                <w:szCs w:val="21"/>
              </w:rPr>
              <w:t>t/a</w:t>
            </w:r>
          </w:p>
        </w:tc>
        <w:tc>
          <w:tcPr>
            <w:tcW w:w="950" w:type="pct"/>
            <w:vAlign w:val="center"/>
          </w:tcPr>
          <w:p w14:paraId="3E5BE9E5">
            <w:pPr>
              <w:autoSpaceDE w:val="0"/>
              <w:autoSpaceDN w:val="0"/>
              <w:spacing w:line="280" w:lineRule="exact"/>
              <w:ind w:left="-19" w:leftChars="-9" w:firstLine="31"/>
              <w:jc w:val="center"/>
              <w:rPr>
                <w:rFonts w:hint="eastAsia"/>
                <w:bCs/>
                <w:szCs w:val="21"/>
                <w:lang w:bidi="zh-CN"/>
              </w:rPr>
            </w:pPr>
            <w:r>
              <w:rPr>
                <w:rFonts w:hint="eastAsia"/>
                <w:bCs/>
                <w:szCs w:val="21"/>
                <w:lang w:bidi="zh-CN"/>
              </w:rPr>
              <w:t>3519</w:t>
            </w:r>
          </w:p>
          <w:p w14:paraId="077F5F96">
            <w:pPr>
              <w:autoSpaceDE w:val="0"/>
              <w:autoSpaceDN w:val="0"/>
              <w:spacing w:line="280" w:lineRule="exact"/>
              <w:ind w:left="-19" w:leftChars="-9" w:firstLine="31"/>
              <w:jc w:val="center"/>
              <w:rPr>
                <w:bCs/>
                <w:szCs w:val="21"/>
                <w:lang w:bidi="zh-CN"/>
              </w:rPr>
            </w:pPr>
            <w:r>
              <w:rPr>
                <w:rFonts w:hint="eastAsia" w:ascii="Times New Roman" w:hAnsi="Times New Roman" w:eastAsia="宋体" w:cs="Times New Roman"/>
                <w:bCs/>
                <w:szCs w:val="21"/>
                <w:lang w:val="en-US" w:bidi="zh-CN"/>
              </w:rPr>
              <w:t>（粒径</w:t>
            </w:r>
            <w:r>
              <w:rPr>
                <w:rFonts w:hint="eastAsia" w:cs="Times New Roman"/>
                <w:bCs/>
                <w:szCs w:val="21"/>
                <w:lang w:val="en-US" w:bidi="zh-CN"/>
              </w:rPr>
              <w:t>5</w:t>
            </w:r>
            <w:r>
              <w:rPr>
                <w:rFonts w:hint="eastAsia" w:ascii="Times New Roman" w:hAnsi="Times New Roman" w:eastAsia="宋体" w:cs="Times New Roman"/>
                <w:bCs/>
                <w:szCs w:val="21"/>
                <w:lang w:val="en-US" w:bidi="zh-CN"/>
              </w:rPr>
              <w:t>mm）</w:t>
            </w:r>
          </w:p>
        </w:tc>
        <w:tc>
          <w:tcPr>
            <w:tcW w:w="1207" w:type="pct"/>
            <w:vAlign w:val="center"/>
          </w:tcPr>
          <w:p w14:paraId="3C82BEAE">
            <w:pPr>
              <w:pStyle w:val="260"/>
              <w:spacing w:line="280" w:lineRule="exact"/>
              <w:ind w:left="-19" w:leftChars="-9"/>
              <w:rPr>
                <w:color w:val="000000"/>
                <w:kern w:val="2"/>
                <w:szCs w:val="21"/>
                <w:lang w:val="en-US" w:bidi="ar-SA"/>
              </w:rPr>
            </w:pPr>
            <w:r>
              <w:rPr>
                <w:rFonts w:hint="eastAsia"/>
                <w:color w:val="000000"/>
                <w:kern w:val="2"/>
                <w:szCs w:val="21"/>
                <w:lang w:val="en-US" w:bidi="ar-SA"/>
              </w:rPr>
              <w:t>市场采购</w:t>
            </w:r>
          </w:p>
        </w:tc>
        <w:tc>
          <w:tcPr>
            <w:tcW w:w="1331" w:type="pct"/>
            <w:vAlign w:val="center"/>
          </w:tcPr>
          <w:p w14:paraId="7ED9F418">
            <w:pPr>
              <w:pStyle w:val="260"/>
              <w:spacing w:line="280" w:lineRule="exact"/>
              <w:ind w:left="-19" w:leftChars="-9"/>
              <w:rPr>
                <w:color w:val="000000"/>
                <w:kern w:val="2"/>
                <w:szCs w:val="21"/>
                <w:lang w:val="en-US" w:bidi="ar-SA"/>
              </w:rPr>
            </w:pPr>
            <w:r>
              <w:rPr>
                <w:rFonts w:hint="eastAsia"/>
                <w:color w:val="000000"/>
                <w:kern w:val="2"/>
                <w:szCs w:val="21"/>
                <w:lang w:val="en-US" w:bidi="ar-SA"/>
              </w:rPr>
              <w:t>袋装储存，25kg/袋，最大储存量120t，储存于原料库</w:t>
            </w:r>
            <w:r>
              <w:rPr>
                <w:color w:val="000000"/>
                <w:kern w:val="2"/>
                <w:szCs w:val="21"/>
                <w:lang w:val="en-US" w:bidi="ar-SA"/>
              </w:rPr>
              <w:t>房内</w:t>
            </w:r>
          </w:p>
        </w:tc>
      </w:tr>
      <w:tr w14:paraId="0F0AD78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77" w:hRule="atLeast"/>
          <w:jc w:val="center"/>
        </w:trPr>
        <w:tc>
          <w:tcPr>
            <w:tcW w:w="390" w:type="pct"/>
            <w:vMerge w:val="continue"/>
            <w:vAlign w:val="center"/>
          </w:tcPr>
          <w:p w14:paraId="76F1C58C">
            <w:pPr>
              <w:pStyle w:val="179"/>
              <w:autoSpaceDE w:val="0"/>
              <w:autoSpaceDN w:val="0"/>
              <w:adjustRightInd/>
              <w:snapToGrid/>
              <w:ind w:left="-19" w:leftChars="-9" w:firstLine="31"/>
              <w:textAlignment w:val="auto"/>
              <w:rPr>
                <w:sz w:val="21"/>
                <w:szCs w:val="21"/>
              </w:rPr>
            </w:pPr>
          </w:p>
        </w:tc>
        <w:tc>
          <w:tcPr>
            <w:tcW w:w="632" w:type="pct"/>
            <w:vAlign w:val="center"/>
          </w:tcPr>
          <w:p w14:paraId="343485B2">
            <w:pPr>
              <w:pStyle w:val="179"/>
              <w:autoSpaceDE w:val="0"/>
              <w:autoSpaceDN w:val="0"/>
              <w:adjustRightInd/>
              <w:snapToGrid/>
              <w:ind w:left="-19" w:leftChars="-9" w:firstLine="31"/>
              <w:textAlignment w:val="auto"/>
              <w:rPr>
                <w:sz w:val="21"/>
                <w:szCs w:val="21"/>
              </w:rPr>
            </w:pPr>
            <w:r>
              <w:rPr>
                <w:rFonts w:hint="eastAsia"/>
                <w:sz w:val="21"/>
                <w:szCs w:val="21"/>
              </w:rPr>
              <w:t>抗老化剂</w:t>
            </w:r>
          </w:p>
        </w:tc>
        <w:tc>
          <w:tcPr>
            <w:tcW w:w="487" w:type="pct"/>
            <w:vAlign w:val="center"/>
          </w:tcPr>
          <w:p w14:paraId="5DF9BEA0">
            <w:pPr>
              <w:pStyle w:val="179"/>
              <w:autoSpaceDE w:val="0"/>
              <w:autoSpaceDN w:val="0"/>
              <w:adjustRightInd/>
              <w:snapToGrid/>
              <w:ind w:left="-19" w:leftChars="-9" w:firstLine="31"/>
              <w:textAlignment w:val="auto"/>
              <w:rPr>
                <w:sz w:val="21"/>
                <w:szCs w:val="21"/>
              </w:rPr>
            </w:pPr>
            <w:r>
              <w:rPr>
                <w:rFonts w:hint="eastAsia"/>
                <w:sz w:val="21"/>
                <w:szCs w:val="21"/>
              </w:rPr>
              <w:t>t/a</w:t>
            </w:r>
          </w:p>
        </w:tc>
        <w:tc>
          <w:tcPr>
            <w:tcW w:w="950" w:type="pct"/>
            <w:vAlign w:val="center"/>
          </w:tcPr>
          <w:p w14:paraId="3D823A8F">
            <w:pPr>
              <w:autoSpaceDE w:val="0"/>
              <w:autoSpaceDN w:val="0"/>
              <w:spacing w:line="280" w:lineRule="exact"/>
              <w:ind w:left="-19" w:leftChars="-9" w:firstLine="31"/>
              <w:jc w:val="center"/>
              <w:rPr>
                <w:rFonts w:hint="eastAsia"/>
                <w:bCs/>
                <w:szCs w:val="21"/>
                <w:lang w:val="en-US" w:bidi="zh-CN"/>
              </w:rPr>
            </w:pPr>
            <w:r>
              <w:rPr>
                <w:rFonts w:hint="eastAsia"/>
                <w:bCs/>
                <w:szCs w:val="21"/>
                <w:lang w:val="en-US" w:bidi="zh-CN"/>
              </w:rPr>
              <w:t>511.4512</w:t>
            </w:r>
          </w:p>
          <w:p w14:paraId="5112EC78">
            <w:pPr>
              <w:autoSpaceDE w:val="0"/>
              <w:autoSpaceDN w:val="0"/>
              <w:spacing w:line="280" w:lineRule="exact"/>
              <w:ind w:left="-19" w:leftChars="-9" w:firstLine="31"/>
              <w:jc w:val="center"/>
              <w:rPr>
                <w:bCs/>
                <w:szCs w:val="21"/>
                <w:lang w:bidi="zh-CN"/>
              </w:rPr>
            </w:pPr>
            <w:r>
              <w:rPr>
                <w:rFonts w:hint="eastAsia" w:ascii="Times New Roman" w:hAnsi="Times New Roman" w:eastAsia="宋体" w:cs="Times New Roman"/>
                <w:bCs/>
                <w:szCs w:val="21"/>
                <w:lang w:val="en-US" w:bidi="zh-CN"/>
              </w:rPr>
              <w:t>（粒径</w:t>
            </w:r>
            <w:r>
              <w:rPr>
                <w:rFonts w:hint="eastAsia" w:cs="Times New Roman"/>
                <w:bCs/>
                <w:szCs w:val="21"/>
                <w:lang w:val="en-US" w:bidi="zh-CN"/>
              </w:rPr>
              <w:t>2</w:t>
            </w:r>
            <w:r>
              <w:rPr>
                <w:rFonts w:hint="eastAsia" w:ascii="Times New Roman" w:hAnsi="Times New Roman" w:eastAsia="宋体" w:cs="Times New Roman"/>
                <w:bCs/>
                <w:szCs w:val="21"/>
                <w:lang w:val="en-US" w:bidi="zh-CN"/>
              </w:rPr>
              <w:t>mm）</w:t>
            </w:r>
          </w:p>
        </w:tc>
        <w:tc>
          <w:tcPr>
            <w:tcW w:w="1207" w:type="pct"/>
            <w:vAlign w:val="center"/>
          </w:tcPr>
          <w:p w14:paraId="5E06AA75">
            <w:pPr>
              <w:pStyle w:val="260"/>
              <w:spacing w:line="280" w:lineRule="exact"/>
              <w:ind w:left="-19" w:leftChars="-9"/>
              <w:rPr>
                <w:color w:val="000000"/>
                <w:kern w:val="2"/>
                <w:szCs w:val="21"/>
                <w:lang w:val="en-US" w:bidi="ar-SA"/>
              </w:rPr>
            </w:pPr>
            <w:r>
              <w:rPr>
                <w:rFonts w:hint="eastAsia"/>
                <w:color w:val="000000"/>
                <w:kern w:val="2"/>
                <w:szCs w:val="21"/>
                <w:lang w:val="en-US" w:bidi="ar-SA"/>
              </w:rPr>
              <w:t>市场采购</w:t>
            </w:r>
          </w:p>
        </w:tc>
        <w:tc>
          <w:tcPr>
            <w:tcW w:w="1331" w:type="pct"/>
            <w:vAlign w:val="center"/>
          </w:tcPr>
          <w:p w14:paraId="40C635CD">
            <w:pPr>
              <w:pStyle w:val="260"/>
              <w:spacing w:line="280" w:lineRule="exact"/>
              <w:ind w:left="-19" w:leftChars="-9"/>
              <w:rPr>
                <w:color w:val="000000"/>
                <w:kern w:val="2"/>
                <w:szCs w:val="21"/>
                <w:lang w:val="en-US" w:bidi="ar-SA"/>
              </w:rPr>
            </w:pPr>
            <w:r>
              <w:rPr>
                <w:rFonts w:hint="eastAsia"/>
                <w:color w:val="000000"/>
                <w:kern w:val="2"/>
                <w:szCs w:val="21"/>
                <w:lang w:val="en-US" w:bidi="ar-SA"/>
              </w:rPr>
              <w:t>袋装储存，25kg/袋，最大储存量4t，储存于</w:t>
            </w:r>
            <w:r>
              <w:rPr>
                <w:rFonts w:hint="eastAsia"/>
                <w:color w:val="000000"/>
                <w:szCs w:val="21"/>
              </w:rPr>
              <w:t>堆料棚内</w:t>
            </w:r>
          </w:p>
        </w:tc>
      </w:tr>
      <w:tr w14:paraId="507706A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77" w:hRule="atLeast"/>
          <w:jc w:val="center"/>
        </w:trPr>
        <w:tc>
          <w:tcPr>
            <w:tcW w:w="390" w:type="pct"/>
            <w:vMerge w:val="continue"/>
            <w:vAlign w:val="center"/>
          </w:tcPr>
          <w:p w14:paraId="2DFA6E7E">
            <w:pPr>
              <w:pStyle w:val="179"/>
              <w:autoSpaceDE w:val="0"/>
              <w:autoSpaceDN w:val="0"/>
              <w:adjustRightInd/>
              <w:snapToGrid/>
              <w:ind w:left="-19" w:leftChars="-9" w:firstLine="31"/>
              <w:textAlignment w:val="auto"/>
              <w:rPr>
                <w:sz w:val="21"/>
                <w:szCs w:val="21"/>
              </w:rPr>
            </w:pPr>
          </w:p>
        </w:tc>
        <w:tc>
          <w:tcPr>
            <w:tcW w:w="632" w:type="pct"/>
            <w:vAlign w:val="center"/>
          </w:tcPr>
          <w:p w14:paraId="7B6DB08F">
            <w:pPr>
              <w:pStyle w:val="179"/>
              <w:autoSpaceDE w:val="0"/>
              <w:autoSpaceDN w:val="0"/>
              <w:adjustRightInd/>
              <w:snapToGrid/>
              <w:ind w:left="-19" w:leftChars="-9" w:firstLine="31"/>
              <w:textAlignment w:val="auto"/>
              <w:rPr>
                <w:sz w:val="21"/>
                <w:szCs w:val="21"/>
              </w:rPr>
            </w:pPr>
            <w:r>
              <w:rPr>
                <w:rFonts w:hint="eastAsia"/>
                <w:sz w:val="21"/>
                <w:szCs w:val="21"/>
              </w:rPr>
              <w:t>色母料500s</w:t>
            </w:r>
          </w:p>
        </w:tc>
        <w:tc>
          <w:tcPr>
            <w:tcW w:w="487" w:type="pct"/>
            <w:vAlign w:val="center"/>
          </w:tcPr>
          <w:p w14:paraId="3A1B6785">
            <w:pPr>
              <w:pStyle w:val="179"/>
              <w:autoSpaceDE w:val="0"/>
              <w:autoSpaceDN w:val="0"/>
              <w:adjustRightInd/>
              <w:snapToGrid/>
              <w:ind w:left="-19" w:leftChars="-9" w:firstLine="31"/>
              <w:textAlignment w:val="auto"/>
              <w:rPr>
                <w:sz w:val="21"/>
                <w:szCs w:val="21"/>
              </w:rPr>
            </w:pPr>
            <w:r>
              <w:rPr>
                <w:rFonts w:hint="eastAsia"/>
                <w:sz w:val="21"/>
                <w:szCs w:val="21"/>
              </w:rPr>
              <w:t>t/a</w:t>
            </w:r>
          </w:p>
        </w:tc>
        <w:tc>
          <w:tcPr>
            <w:tcW w:w="950" w:type="pct"/>
            <w:vAlign w:val="center"/>
          </w:tcPr>
          <w:p w14:paraId="6FFFF571">
            <w:pPr>
              <w:autoSpaceDE w:val="0"/>
              <w:autoSpaceDN w:val="0"/>
              <w:spacing w:line="280" w:lineRule="exact"/>
              <w:ind w:left="-19" w:leftChars="-9" w:firstLine="31"/>
              <w:jc w:val="center"/>
              <w:rPr>
                <w:rFonts w:hint="eastAsia"/>
                <w:bCs/>
                <w:szCs w:val="21"/>
                <w:lang w:val="en-US" w:bidi="zh-CN"/>
              </w:rPr>
            </w:pPr>
            <w:r>
              <w:rPr>
                <w:rFonts w:hint="eastAsia"/>
                <w:bCs/>
                <w:szCs w:val="21"/>
                <w:lang w:val="en-US" w:bidi="zh-CN"/>
              </w:rPr>
              <w:t>511.4513</w:t>
            </w:r>
          </w:p>
          <w:p w14:paraId="485F1FAD">
            <w:pPr>
              <w:autoSpaceDE w:val="0"/>
              <w:autoSpaceDN w:val="0"/>
              <w:spacing w:line="280" w:lineRule="exact"/>
              <w:ind w:left="-19" w:leftChars="-9" w:firstLine="31"/>
              <w:jc w:val="center"/>
              <w:rPr>
                <w:color w:val="EE0000"/>
                <w:szCs w:val="21"/>
              </w:rPr>
            </w:pPr>
            <w:r>
              <w:rPr>
                <w:rFonts w:hint="eastAsia" w:ascii="Times New Roman" w:hAnsi="Times New Roman" w:eastAsia="宋体" w:cs="Times New Roman"/>
                <w:bCs/>
                <w:szCs w:val="21"/>
                <w:lang w:val="en-US" w:bidi="zh-CN"/>
              </w:rPr>
              <w:t>（粒径</w:t>
            </w:r>
            <w:r>
              <w:rPr>
                <w:rFonts w:hint="eastAsia" w:cs="Times New Roman"/>
                <w:bCs/>
                <w:szCs w:val="21"/>
                <w:lang w:val="en-US" w:bidi="zh-CN"/>
              </w:rPr>
              <w:t>2</w:t>
            </w:r>
            <w:r>
              <w:rPr>
                <w:rFonts w:hint="eastAsia" w:ascii="Times New Roman" w:hAnsi="Times New Roman" w:eastAsia="宋体" w:cs="Times New Roman"/>
                <w:bCs/>
                <w:szCs w:val="21"/>
                <w:lang w:val="en-US" w:bidi="zh-CN"/>
              </w:rPr>
              <w:t>mm）</w:t>
            </w:r>
          </w:p>
        </w:tc>
        <w:tc>
          <w:tcPr>
            <w:tcW w:w="1207" w:type="pct"/>
            <w:vAlign w:val="center"/>
          </w:tcPr>
          <w:p w14:paraId="044EF8D5">
            <w:pPr>
              <w:pStyle w:val="260"/>
              <w:spacing w:line="280" w:lineRule="exact"/>
              <w:ind w:left="-19" w:leftChars="-9"/>
              <w:rPr>
                <w:color w:val="000000"/>
                <w:kern w:val="2"/>
                <w:szCs w:val="21"/>
                <w:lang w:val="en-US" w:bidi="ar-SA"/>
              </w:rPr>
            </w:pPr>
            <w:r>
              <w:rPr>
                <w:rFonts w:hint="eastAsia"/>
                <w:color w:val="000000"/>
                <w:kern w:val="2"/>
                <w:szCs w:val="21"/>
                <w:lang w:val="en-US" w:bidi="ar-SA"/>
              </w:rPr>
              <w:t>市场采购</w:t>
            </w:r>
          </w:p>
        </w:tc>
        <w:tc>
          <w:tcPr>
            <w:tcW w:w="1331" w:type="pct"/>
            <w:vAlign w:val="center"/>
          </w:tcPr>
          <w:p w14:paraId="64ACB3B5">
            <w:pPr>
              <w:pStyle w:val="260"/>
              <w:spacing w:line="280" w:lineRule="exact"/>
              <w:ind w:left="-19" w:leftChars="-9"/>
              <w:rPr>
                <w:color w:val="000000"/>
                <w:kern w:val="2"/>
                <w:szCs w:val="21"/>
                <w:lang w:val="en-US" w:bidi="ar-SA"/>
              </w:rPr>
            </w:pPr>
            <w:r>
              <w:rPr>
                <w:rFonts w:hint="eastAsia"/>
                <w:color w:val="000000"/>
                <w:kern w:val="2"/>
                <w:szCs w:val="21"/>
                <w:lang w:val="en-US" w:bidi="ar-SA"/>
              </w:rPr>
              <w:t>袋装储存，25kg/袋，最大储存量4t，储存于</w:t>
            </w:r>
            <w:r>
              <w:rPr>
                <w:rFonts w:hint="eastAsia"/>
                <w:color w:val="000000"/>
                <w:szCs w:val="21"/>
              </w:rPr>
              <w:t>堆料棚内</w:t>
            </w:r>
          </w:p>
        </w:tc>
      </w:tr>
      <w:tr w14:paraId="49344BA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83" w:hRule="atLeast"/>
          <w:jc w:val="center"/>
        </w:trPr>
        <w:tc>
          <w:tcPr>
            <w:tcW w:w="1023" w:type="pct"/>
            <w:gridSpan w:val="2"/>
            <w:vAlign w:val="center"/>
          </w:tcPr>
          <w:p w14:paraId="32B0659B">
            <w:pPr>
              <w:pStyle w:val="179"/>
              <w:autoSpaceDE w:val="0"/>
              <w:autoSpaceDN w:val="0"/>
              <w:adjustRightInd/>
              <w:snapToGrid/>
              <w:ind w:left="-19" w:leftChars="-9" w:firstLine="31"/>
              <w:textAlignment w:val="auto"/>
              <w:rPr>
                <w:sz w:val="21"/>
                <w:szCs w:val="21"/>
              </w:rPr>
            </w:pPr>
            <w:r>
              <w:rPr>
                <w:rFonts w:hint="eastAsia"/>
                <w:sz w:val="21"/>
                <w:szCs w:val="21"/>
              </w:rPr>
              <w:t>活性炭</w:t>
            </w:r>
          </w:p>
        </w:tc>
        <w:tc>
          <w:tcPr>
            <w:tcW w:w="487" w:type="pct"/>
            <w:vAlign w:val="center"/>
          </w:tcPr>
          <w:p w14:paraId="3436C453">
            <w:pPr>
              <w:pStyle w:val="179"/>
              <w:autoSpaceDE w:val="0"/>
              <w:autoSpaceDN w:val="0"/>
              <w:adjustRightInd/>
              <w:snapToGrid/>
              <w:ind w:left="-19" w:leftChars="-9" w:firstLine="31"/>
              <w:textAlignment w:val="auto"/>
              <w:rPr>
                <w:sz w:val="21"/>
                <w:szCs w:val="21"/>
              </w:rPr>
            </w:pPr>
            <w:r>
              <w:rPr>
                <w:rFonts w:hint="eastAsia"/>
                <w:sz w:val="21"/>
                <w:szCs w:val="21"/>
              </w:rPr>
              <w:t>t/a</w:t>
            </w:r>
          </w:p>
        </w:tc>
        <w:tc>
          <w:tcPr>
            <w:tcW w:w="950" w:type="pct"/>
            <w:vAlign w:val="center"/>
          </w:tcPr>
          <w:p w14:paraId="341675E6">
            <w:pPr>
              <w:pStyle w:val="179"/>
              <w:autoSpaceDE w:val="0"/>
              <w:autoSpaceDN w:val="0"/>
              <w:adjustRightInd/>
              <w:snapToGrid/>
              <w:ind w:left="-19" w:leftChars="-9" w:firstLine="31"/>
              <w:textAlignment w:val="auto"/>
              <w:rPr>
                <w:rFonts w:hint="default" w:eastAsia="宋体"/>
                <w:color w:val="EE0000"/>
                <w:sz w:val="21"/>
                <w:szCs w:val="21"/>
                <w:lang w:val="en-US" w:eastAsia="zh-CN"/>
              </w:rPr>
            </w:pPr>
            <w:r>
              <w:rPr>
                <w:rFonts w:hint="eastAsia"/>
                <w:color w:val="auto"/>
                <w:sz w:val="21"/>
                <w:szCs w:val="21"/>
                <w:lang w:val="en-US" w:eastAsia="zh-CN"/>
              </w:rPr>
              <w:t>1.5</w:t>
            </w:r>
          </w:p>
        </w:tc>
        <w:tc>
          <w:tcPr>
            <w:tcW w:w="1207" w:type="pct"/>
            <w:vAlign w:val="center"/>
          </w:tcPr>
          <w:p w14:paraId="5CB5D8E9">
            <w:pPr>
              <w:pStyle w:val="260"/>
              <w:spacing w:line="280" w:lineRule="exact"/>
              <w:ind w:firstLine="31"/>
              <w:rPr>
                <w:color w:val="000000"/>
                <w:kern w:val="2"/>
                <w:szCs w:val="21"/>
                <w:lang w:val="en-US" w:bidi="ar-SA"/>
              </w:rPr>
            </w:pPr>
            <w:r>
              <w:rPr>
                <w:rFonts w:hint="eastAsia"/>
                <w:color w:val="000000"/>
                <w:kern w:val="2"/>
                <w:szCs w:val="21"/>
                <w:lang w:val="en-US" w:bidi="ar-SA"/>
              </w:rPr>
              <w:t>外购</w:t>
            </w:r>
          </w:p>
        </w:tc>
        <w:tc>
          <w:tcPr>
            <w:tcW w:w="1331" w:type="pct"/>
            <w:vAlign w:val="center"/>
          </w:tcPr>
          <w:p w14:paraId="7CAF16AB">
            <w:pPr>
              <w:pStyle w:val="260"/>
              <w:spacing w:line="280" w:lineRule="exact"/>
              <w:ind w:firstLine="31"/>
              <w:rPr>
                <w:rFonts w:hint="default" w:eastAsia="宋体"/>
                <w:lang w:val="en-US" w:eastAsia="zh-CN"/>
              </w:rPr>
            </w:pPr>
            <w:r>
              <w:rPr>
                <w:rFonts w:hint="eastAsia"/>
                <w:color w:val="000000"/>
                <w:kern w:val="2"/>
                <w:szCs w:val="21"/>
                <w:lang w:val="en-US" w:bidi="ar-SA"/>
              </w:rPr>
              <w:t>原料</w:t>
            </w:r>
            <w:r>
              <w:rPr>
                <w:rFonts w:hint="eastAsia"/>
                <w:color w:val="000000"/>
                <w:szCs w:val="21"/>
              </w:rPr>
              <w:t>堆料棚内</w:t>
            </w:r>
          </w:p>
        </w:tc>
      </w:tr>
      <w:tr w14:paraId="546A07D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83" w:hRule="atLeast"/>
          <w:jc w:val="center"/>
        </w:trPr>
        <w:tc>
          <w:tcPr>
            <w:tcW w:w="390" w:type="pct"/>
            <w:vMerge w:val="restart"/>
            <w:vAlign w:val="center"/>
          </w:tcPr>
          <w:p w14:paraId="76478136">
            <w:pPr>
              <w:pStyle w:val="179"/>
              <w:autoSpaceDE w:val="0"/>
              <w:autoSpaceDN w:val="0"/>
              <w:adjustRightInd/>
              <w:snapToGrid/>
              <w:ind w:left="-19" w:leftChars="-9" w:firstLine="31"/>
              <w:textAlignment w:val="auto"/>
              <w:rPr>
                <w:sz w:val="21"/>
                <w:szCs w:val="21"/>
              </w:rPr>
            </w:pPr>
            <w:r>
              <w:rPr>
                <w:rFonts w:hint="eastAsia"/>
                <w:sz w:val="21"/>
                <w:szCs w:val="21"/>
              </w:rPr>
              <w:t>能源消耗</w:t>
            </w:r>
          </w:p>
        </w:tc>
        <w:tc>
          <w:tcPr>
            <w:tcW w:w="632" w:type="pct"/>
            <w:vAlign w:val="center"/>
          </w:tcPr>
          <w:p w14:paraId="3034E742">
            <w:pPr>
              <w:pStyle w:val="179"/>
              <w:autoSpaceDE w:val="0"/>
              <w:autoSpaceDN w:val="0"/>
              <w:adjustRightInd/>
              <w:snapToGrid/>
              <w:ind w:left="-19" w:leftChars="-9" w:firstLine="31"/>
              <w:textAlignment w:val="auto"/>
              <w:rPr>
                <w:sz w:val="21"/>
                <w:szCs w:val="21"/>
              </w:rPr>
            </w:pPr>
            <w:r>
              <w:rPr>
                <w:rFonts w:hint="eastAsia"/>
                <w:sz w:val="21"/>
                <w:szCs w:val="21"/>
              </w:rPr>
              <w:t>水</w:t>
            </w:r>
          </w:p>
        </w:tc>
        <w:tc>
          <w:tcPr>
            <w:tcW w:w="487" w:type="pct"/>
            <w:vAlign w:val="center"/>
          </w:tcPr>
          <w:p w14:paraId="7898A584">
            <w:pPr>
              <w:pStyle w:val="179"/>
              <w:autoSpaceDE w:val="0"/>
              <w:autoSpaceDN w:val="0"/>
              <w:adjustRightInd/>
              <w:snapToGrid/>
              <w:ind w:left="0" w:leftChars="-1" w:hanging="2" w:hangingChars="1"/>
              <w:textAlignment w:val="auto"/>
              <w:rPr>
                <w:sz w:val="21"/>
                <w:szCs w:val="21"/>
              </w:rPr>
            </w:pPr>
            <w:r>
              <w:rPr>
                <w:rFonts w:hint="eastAsia"/>
                <w:sz w:val="21"/>
                <w:szCs w:val="21"/>
              </w:rPr>
              <w:t>t/a</w:t>
            </w:r>
          </w:p>
        </w:tc>
        <w:tc>
          <w:tcPr>
            <w:tcW w:w="950" w:type="pct"/>
            <w:vAlign w:val="center"/>
          </w:tcPr>
          <w:p w14:paraId="1312B14B">
            <w:pPr>
              <w:pStyle w:val="179"/>
              <w:autoSpaceDE w:val="0"/>
              <w:autoSpaceDN w:val="0"/>
              <w:adjustRightInd/>
              <w:snapToGrid/>
              <w:ind w:left="-19" w:leftChars="-9" w:firstLine="31"/>
              <w:textAlignment w:val="auto"/>
              <w:rPr>
                <w:rFonts w:hint="default" w:eastAsia="宋体"/>
                <w:color w:val="EE0000"/>
                <w:sz w:val="21"/>
                <w:szCs w:val="21"/>
                <w:lang w:val="en-US" w:eastAsia="zh-CN"/>
              </w:rPr>
            </w:pPr>
            <w:r>
              <w:rPr>
                <w:rFonts w:hint="eastAsia"/>
                <w:sz w:val="21"/>
                <w:szCs w:val="21"/>
                <w:lang w:val="en-US" w:eastAsia="zh-CN"/>
              </w:rPr>
              <w:t>115.2</w:t>
            </w:r>
          </w:p>
        </w:tc>
        <w:tc>
          <w:tcPr>
            <w:tcW w:w="1207" w:type="pct"/>
            <w:vAlign w:val="center"/>
          </w:tcPr>
          <w:p w14:paraId="4F2832EE">
            <w:pPr>
              <w:pStyle w:val="260"/>
              <w:spacing w:line="280" w:lineRule="exact"/>
              <w:ind w:left="-19" w:leftChars="-9" w:firstLine="31"/>
              <w:rPr>
                <w:color w:val="000000"/>
                <w:kern w:val="2"/>
                <w:szCs w:val="21"/>
                <w:lang w:val="en-US" w:bidi="ar-SA"/>
              </w:rPr>
            </w:pPr>
            <w:r>
              <w:rPr>
                <w:rFonts w:hint="eastAsia"/>
                <w:color w:val="000000"/>
                <w:kern w:val="2"/>
                <w:szCs w:val="21"/>
                <w:lang w:val="en-US" w:bidi="ar-SA"/>
              </w:rPr>
              <w:t>市政管网供给</w:t>
            </w:r>
          </w:p>
        </w:tc>
        <w:tc>
          <w:tcPr>
            <w:tcW w:w="1331" w:type="pct"/>
            <w:vAlign w:val="center"/>
          </w:tcPr>
          <w:p w14:paraId="5436C680">
            <w:pPr>
              <w:pStyle w:val="260"/>
              <w:spacing w:line="280" w:lineRule="exact"/>
              <w:ind w:left="-19" w:leftChars="-9" w:firstLine="31"/>
              <w:rPr>
                <w:color w:val="000000"/>
                <w:kern w:val="2"/>
                <w:szCs w:val="21"/>
                <w:lang w:val="en-US" w:bidi="ar-SA"/>
              </w:rPr>
            </w:pPr>
            <w:r>
              <w:rPr>
                <w:rFonts w:hint="eastAsia"/>
                <w:lang w:val="en-US"/>
              </w:rPr>
              <w:t>业主方提供的资料</w:t>
            </w:r>
          </w:p>
        </w:tc>
      </w:tr>
      <w:tr w14:paraId="24FE79C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83" w:hRule="atLeast"/>
          <w:jc w:val="center"/>
        </w:trPr>
        <w:tc>
          <w:tcPr>
            <w:tcW w:w="390" w:type="pct"/>
            <w:vMerge w:val="continue"/>
            <w:vAlign w:val="center"/>
          </w:tcPr>
          <w:p w14:paraId="02BCDB05">
            <w:pPr>
              <w:pStyle w:val="179"/>
              <w:autoSpaceDE w:val="0"/>
              <w:autoSpaceDN w:val="0"/>
              <w:adjustRightInd/>
              <w:snapToGrid/>
              <w:ind w:firstLine="480"/>
              <w:textAlignment w:val="auto"/>
              <w:rPr>
                <w:color w:val="auto"/>
                <w:sz w:val="21"/>
                <w:szCs w:val="21"/>
              </w:rPr>
            </w:pPr>
          </w:p>
        </w:tc>
        <w:tc>
          <w:tcPr>
            <w:tcW w:w="632" w:type="pct"/>
            <w:vAlign w:val="center"/>
          </w:tcPr>
          <w:p w14:paraId="222AFC9A">
            <w:pPr>
              <w:pStyle w:val="179"/>
              <w:autoSpaceDE w:val="0"/>
              <w:autoSpaceDN w:val="0"/>
              <w:adjustRightInd/>
              <w:snapToGrid/>
              <w:ind w:left="0" w:leftChars="0" w:firstLine="0" w:firstLineChars="0"/>
              <w:jc w:val="center"/>
              <w:textAlignment w:val="auto"/>
              <w:rPr>
                <w:color w:val="auto"/>
                <w:sz w:val="21"/>
                <w:szCs w:val="21"/>
                <w:highlight w:val="yellow"/>
              </w:rPr>
            </w:pPr>
            <w:r>
              <w:rPr>
                <w:rFonts w:hint="eastAsia"/>
                <w:color w:val="auto"/>
                <w:sz w:val="21"/>
                <w:szCs w:val="21"/>
              </w:rPr>
              <w:t>电</w:t>
            </w:r>
          </w:p>
        </w:tc>
        <w:tc>
          <w:tcPr>
            <w:tcW w:w="487" w:type="pct"/>
            <w:vAlign w:val="center"/>
          </w:tcPr>
          <w:p w14:paraId="662952BF">
            <w:pPr>
              <w:pStyle w:val="179"/>
              <w:autoSpaceDE w:val="0"/>
              <w:autoSpaceDN w:val="0"/>
              <w:adjustRightInd/>
              <w:snapToGrid/>
              <w:ind w:left="-2" w:leftChars="-1" w:firstLine="35" w:firstLineChars="17"/>
              <w:jc w:val="both"/>
              <w:textAlignment w:val="auto"/>
              <w:rPr>
                <w:color w:val="auto"/>
                <w:sz w:val="21"/>
                <w:szCs w:val="21"/>
              </w:rPr>
            </w:pPr>
            <w:r>
              <w:rPr>
                <w:rFonts w:hint="eastAsia"/>
                <w:color w:val="auto"/>
                <w:sz w:val="21"/>
                <w:szCs w:val="21"/>
              </w:rPr>
              <w:t>kW·h/a</w:t>
            </w:r>
          </w:p>
        </w:tc>
        <w:tc>
          <w:tcPr>
            <w:tcW w:w="950" w:type="pct"/>
            <w:vAlign w:val="center"/>
          </w:tcPr>
          <w:p w14:paraId="5A586012">
            <w:pPr>
              <w:pStyle w:val="179"/>
              <w:autoSpaceDE w:val="0"/>
              <w:autoSpaceDN w:val="0"/>
              <w:adjustRightInd/>
              <w:snapToGrid/>
              <w:ind w:firstLine="30"/>
              <w:textAlignment w:val="auto"/>
              <w:rPr>
                <w:color w:val="auto"/>
                <w:sz w:val="21"/>
                <w:szCs w:val="21"/>
                <w:highlight w:val="yellow"/>
              </w:rPr>
            </w:pPr>
            <w:r>
              <w:rPr>
                <w:rFonts w:hint="eastAsia"/>
                <w:sz w:val="21"/>
                <w:szCs w:val="21"/>
                <w:lang w:val="en-US" w:eastAsia="zh-CN"/>
              </w:rPr>
              <w:t>168.54</w:t>
            </w:r>
            <w:r>
              <w:rPr>
                <w:rFonts w:hint="eastAsia"/>
                <w:sz w:val="21"/>
                <w:szCs w:val="21"/>
              </w:rPr>
              <w:t>万</w:t>
            </w:r>
          </w:p>
        </w:tc>
        <w:tc>
          <w:tcPr>
            <w:tcW w:w="1207" w:type="pct"/>
            <w:vAlign w:val="center"/>
          </w:tcPr>
          <w:p w14:paraId="0B6A87F5">
            <w:pPr>
              <w:pStyle w:val="260"/>
              <w:spacing w:line="280" w:lineRule="exact"/>
              <w:ind w:firstLine="480"/>
              <w:jc w:val="both"/>
            </w:pPr>
            <w:r>
              <w:rPr>
                <w:rFonts w:hint="eastAsia"/>
              </w:rPr>
              <w:t>市政电网接入</w:t>
            </w:r>
          </w:p>
        </w:tc>
        <w:tc>
          <w:tcPr>
            <w:tcW w:w="1331" w:type="pct"/>
            <w:vAlign w:val="center"/>
          </w:tcPr>
          <w:p w14:paraId="10EE6752">
            <w:pPr>
              <w:pStyle w:val="260"/>
              <w:spacing w:line="280" w:lineRule="exact"/>
              <w:rPr>
                <w:lang w:val="en-US"/>
              </w:rPr>
            </w:pPr>
            <w:r>
              <w:rPr>
                <w:rFonts w:hint="eastAsia"/>
                <w:lang w:val="en-US"/>
              </w:rPr>
              <w:t>业主方提供的资料</w:t>
            </w:r>
          </w:p>
        </w:tc>
      </w:tr>
    </w:tbl>
    <w:p w14:paraId="4130D368">
      <w:pPr>
        <w:pStyle w:val="5"/>
        <w:rPr>
          <w:rFonts w:ascii="Times New Roman" w:hAnsi="Times New Roman"/>
          <w:color w:val="000000"/>
          <w:lang w:val="en-US"/>
        </w:rPr>
      </w:pPr>
      <w:r>
        <w:rPr>
          <w:rFonts w:hint="eastAsia" w:ascii="Times New Roman" w:hAnsi="Times New Roman"/>
          <w:color w:val="000000"/>
          <w:lang w:val="en-US"/>
        </w:rPr>
        <w:t>3.1.6.2原辅材料理化性质</w:t>
      </w:r>
    </w:p>
    <w:p w14:paraId="33EF7EEC">
      <w:pPr>
        <w:widowControl/>
        <w:spacing w:before="156" w:beforeLines="50" w:line="360" w:lineRule="auto"/>
        <w:ind w:firstLine="480" w:firstLineChars="200"/>
        <w:jc w:val="left"/>
        <w:rPr>
          <w:rFonts w:hint="eastAsia" w:ascii="宋体" w:hAnsi="宋体"/>
          <w:kern w:val="0"/>
          <w:sz w:val="24"/>
          <w:szCs w:val="24"/>
        </w:rPr>
      </w:pPr>
      <w:r>
        <w:rPr>
          <w:rFonts w:ascii="宋体" w:hAnsi="宋体"/>
          <w:kern w:val="0"/>
          <w:sz w:val="24"/>
          <w:szCs w:val="24"/>
        </w:rPr>
        <w:t>项目主要原辅材料的成分及理化性质见表3.1-</w:t>
      </w:r>
      <w:r>
        <w:rPr>
          <w:rFonts w:hint="eastAsia" w:ascii="宋体" w:hAnsi="宋体"/>
          <w:kern w:val="0"/>
          <w:sz w:val="24"/>
          <w:szCs w:val="24"/>
        </w:rPr>
        <w:t>6</w:t>
      </w:r>
      <w:r>
        <w:rPr>
          <w:rFonts w:ascii="宋体" w:hAnsi="宋体"/>
          <w:kern w:val="0"/>
          <w:sz w:val="24"/>
          <w:szCs w:val="24"/>
        </w:rPr>
        <w:t>。</w:t>
      </w:r>
    </w:p>
    <w:p w14:paraId="7B684274">
      <w:pPr>
        <w:autoSpaceDE w:val="0"/>
        <w:autoSpaceDN w:val="0"/>
        <w:adjustRightInd w:val="0"/>
        <w:snapToGrid w:val="0"/>
        <w:jc w:val="center"/>
        <w:rPr>
          <w:rFonts w:hint="eastAsia" w:ascii="宋体" w:hAnsi="宋体"/>
          <w:b/>
          <w:kern w:val="0"/>
          <w:szCs w:val="21"/>
        </w:rPr>
      </w:pPr>
      <w:r>
        <w:rPr>
          <w:rFonts w:ascii="宋体" w:hAnsi="宋体"/>
          <w:b/>
          <w:kern w:val="0"/>
          <w:szCs w:val="21"/>
        </w:rPr>
        <w:t>表3.1-</w:t>
      </w:r>
      <w:r>
        <w:rPr>
          <w:rFonts w:hint="eastAsia" w:ascii="宋体" w:hAnsi="宋体"/>
          <w:b/>
          <w:kern w:val="0"/>
          <w:szCs w:val="21"/>
        </w:rPr>
        <w:t>6</w:t>
      </w:r>
      <w:r>
        <w:rPr>
          <w:rFonts w:ascii="宋体" w:hAnsi="宋体"/>
          <w:b/>
          <w:kern w:val="0"/>
          <w:szCs w:val="21"/>
        </w:rPr>
        <w:t xml:space="preserve">    原辅材料</w:t>
      </w:r>
      <w:r>
        <w:rPr>
          <w:rFonts w:hint="eastAsia" w:ascii="宋体" w:hAnsi="宋体"/>
          <w:b/>
          <w:kern w:val="0"/>
          <w:szCs w:val="21"/>
        </w:rPr>
        <w:t>理化性质</w:t>
      </w:r>
      <w:r>
        <w:rPr>
          <w:rFonts w:ascii="宋体" w:hAnsi="宋体"/>
          <w:b/>
          <w:kern w:val="0"/>
          <w:szCs w:val="21"/>
        </w:rPr>
        <w:t>一览表</w:t>
      </w:r>
    </w:p>
    <w:tbl>
      <w:tblPr>
        <w:tblStyle w:val="49"/>
        <w:tblW w:w="9119" w:type="dxa"/>
        <w:tblInd w:w="-15"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244"/>
        <w:gridCol w:w="7875"/>
      </w:tblGrid>
      <w:tr w14:paraId="5A35C85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18" w:hRule="atLeast"/>
        </w:trPr>
        <w:tc>
          <w:tcPr>
            <w:tcW w:w="1244" w:type="dxa"/>
            <w:vAlign w:val="center"/>
          </w:tcPr>
          <w:p w14:paraId="69CA4BA2">
            <w:pPr>
              <w:widowControl/>
              <w:spacing w:line="320" w:lineRule="exact"/>
              <w:jc w:val="center"/>
              <w:rPr>
                <w:rFonts w:hint="eastAsia" w:ascii="宋体" w:hAnsi="宋体"/>
                <w:kern w:val="0"/>
                <w:szCs w:val="21"/>
              </w:rPr>
            </w:pPr>
            <w:r>
              <w:rPr>
                <w:rFonts w:ascii="宋体" w:hAnsi="宋体"/>
                <w:kern w:val="0"/>
                <w:szCs w:val="21"/>
              </w:rPr>
              <w:t>名称</w:t>
            </w:r>
          </w:p>
        </w:tc>
        <w:tc>
          <w:tcPr>
            <w:tcW w:w="7875" w:type="dxa"/>
            <w:vAlign w:val="center"/>
          </w:tcPr>
          <w:p w14:paraId="10C46A7C">
            <w:pPr>
              <w:widowControl/>
              <w:spacing w:line="320" w:lineRule="exact"/>
              <w:jc w:val="center"/>
              <w:rPr>
                <w:rFonts w:hint="eastAsia" w:ascii="宋体" w:hAnsi="宋体"/>
                <w:szCs w:val="21"/>
              </w:rPr>
            </w:pPr>
            <w:r>
              <w:rPr>
                <w:rFonts w:ascii="宋体" w:hAnsi="宋体"/>
                <w:szCs w:val="21"/>
              </w:rPr>
              <w:t>理化性质</w:t>
            </w:r>
          </w:p>
        </w:tc>
      </w:tr>
      <w:tr w14:paraId="3DEAAA9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024" w:hRule="atLeast"/>
        </w:trPr>
        <w:tc>
          <w:tcPr>
            <w:tcW w:w="1244" w:type="dxa"/>
            <w:vAlign w:val="center"/>
          </w:tcPr>
          <w:p w14:paraId="5C53EC1A">
            <w:pPr>
              <w:widowControl/>
              <w:spacing w:line="320" w:lineRule="exact"/>
              <w:jc w:val="center"/>
              <w:rPr>
                <w:rFonts w:hint="eastAsia" w:ascii="宋体" w:hAnsi="宋体"/>
                <w:kern w:val="0"/>
                <w:szCs w:val="21"/>
              </w:rPr>
            </w:pPr>
            <w:r>
              <w:rPr>
                <w:rFonts w:ascii="宋体" w:hAnsi="宋体"/>
                <w:kern w:val="0"/>
                <w:szCs w:val="21"/>
              </w:rPr>
              <w:t>聚乙烯颗粒</w:t>
            </w:r>
          </w:p>
        </w:tc>
        <w:tc>
          <w:tcPr>
            <w:tcW w:w="7875" w:type="dxa"/>
            <w:vAlign w:val="center"/>
          </w:tcPr>
          <w:p w14:paraId="1A957F42">
            <w:pPr>
              <w:widowControl/>
              <w:spacing w:line="320" w:lineRule="exact"/>
              <w:ind w:firstLine="420" w:firstLineChars="200"/>
              <w:jc w:val="left"/>
              <w:rPr>
                <w:rFonts w:hint="eastAsia" w:ascii="宋体" w:hAnsi="宋体"/>
                <w:szCs w:val="21"/>
              </w:rPr>
            </w:pPr>
            <w:r>
              <w:rPr>
                <w:rFonts w:ascii="宋体" w:hAnsi="宋体"/>
                <w:szCs w:val="21"/>
              </w:rPr>
              <w:t>塑料主要成分为聚乙烯（Polyethylene），分子式为</w:t>
            </w:r>
            <w:r>
              <w:rPr>
                <w:rFonts w:hint="eastAsia" w:ascii="宋体" w:hAnsi="宋体"/>
                <w:szCs w:val="21"/>
              </w:rPr>
              <w:t>〔</w:t>
            </w:r>
            <w:r>
              <w:rPr>
                <w:rFonts w:ascii="宋体" w:hAnsi="宋体"/>
                <w:szCs w:val="21"/>
              </w:rPr>
              <w:t>CH</w:t>
            </w:r>
            <w:r>
              <w:rPr>
                <w:rFonts w:ascii="宋体" w:hAnsi="宋体"/>
                <w:szCs w:val="21"/>
                <w:vertAlign w:val="subscript"/>
              </w:rPr>
              <w:t>2</w:t>
            </w:r>
            <w:r>
              <w:rPr>
                <w:rFonts w:ascii="宋体" w:hAnsi="宋体"/>
                <w:szCs w:val="21"/>
              </w:rPr>
              <w:t>-CH</w:t>
            </w:r>
            <w:r>
              <w:rPr>
                <w:rFonts w:ascii="宋体" w:hAnsi="宋体"/>
                <w:szCs w:val="21"/>
                <w:vertAlign w:val="subscript"/>
              </w:rPr>
              <w:t>2</w:t>
            </w:r>
            <w:r>
              <w:rPr>
                <w:rFonts w:hint="eastAsia" w:ascii="宋体" w:hAnsi="宋体"/>
                <w:szCs w:val="21"/>
              </w:rPr>
              <w:t>〕</w:t>
            </w:r>
            <w:r>
              <w:rPr>
                <w:rFonts w:ascii="宋体" w:hAnsi="宋体"/>
                <w:szCs w:val="21"/>
              </w:rPr>
              <w:t>，简称PE，是由乙烯聚合而成的高分子化合物，有低分子量和高分子量两种，无色、无臭、无味、无毒，密度约为0.92。</w:t>
            </w:r>
          </w:p>
          <w:p w14:paraId="743FCA56">
            <w:pPr>
              <w:spacing w:line="320" w:lineRule="exact"/>
              <w:ind w:firstLine="420" w:firstLineChars="200"/>
              <w:jc w:val="left"/>
              <w:rPr>
                <w:rFonts w:hint="eastAsia" w:ascii="宋体" w:hAnsi="宋体"/>
                <w:szCs w:val="21"/>
              </w:rPr>
            </w:pPr>
            <w:r>
              <w:rPr>
                <w:rFonts w:ascii="宋体" w:hAnsi="宋体"/>
                <w:szCs w:val="21"/>
              </w:rPr>
              <w:t>聚乙烯为典型的</w:t>
            </w:r>
            <w:r>
              <w:fldChar w:fldCharType="begin"/>
            </w:r>
            <w:r>
              <w:instrText xml:space="preserve"> HYPERLINK "https://baike.so.com/doc/5850494-6063332.html" \t "https://baike.so.com/doc/_blank" </w:instrText>
            </w:r>
            <w:r>
              <w:fldChar w:fldCharType="separate"/>
            </w:r>
            <w:r>
              <w:rPr>
                <w:rStyle w:val="55"/>
                <w:rFonts w:ascii="宋体" w:hAnsi="宋体"/>
                <w:color w:val="auto"/>
                <w:szCs w:val="21"/>
              </w:rPr>
              <w:t>热塑性塑料</w:t>
            </w:r>
            <w:r>
              <w:rPr>
                <w:rStyle w:val="55"/>
                <w:rFonts w:ascii="宋体" w:hAnsi="宋体"/>
                <w:color w:val="auto"/>
                <w:szCs w:val="21"/>
              </w:rPr>
              <w:fldChar w:fldCharType="end"/>
            </w:r>
            <w:r>
              <w:rPr>
                <w:rFonts w:ascii="宋体" w:hAnsi="宋体"/>
                <w:szCs w:val="21"/>
              </w:rPr>
              <w:t>，是无臭、无味、无毒的可燃性白色粉末。成型加工的PE树脂均是经挤出造粒的蜡状颗粒料，外观呈乳白色。其分子量在</w:t>
            </w:r>
            <w:r>
              <w:rPr>
                <w:rFonts w:hint="eastAsia" w:ascii="宋体" w:hAnsi="宋体"/>
                <w:szCs w:val="21"/>
                <w:lang w:eastAsia="zh-CN"/>
              </w:rPr>
              <w:t>1万～100万</w:t>
            </w:r>
            <w:r>
              <w:rPr>
                <w:rFonts w:ascii="宋体" w:hAnsi="宋体"/>
                <w:szCs w:val="21"/>
              </w:rPr>
              <w:t>范围内。分子量超过10万的则为超高分子量聚乙烯。分子量越高，其物理力学性能越好，越接近工程材料的要求水平。但分子量越高，其加工的难度也随之增大。聚乙烯熔点为100-130℃其耐低温性能优良。在-60℃下仍可保持良好的力学性能，但使用温度在80</w:t>
            </w:r>
            <w:r>
              <w:rPr>
                <w:szCs w:val="21"/>
                <w:shd w:val="clear" w:color="auto" w:fill="FFFFFF"/>
              </w:rPr>
              <w:t>~</w:t>
            </w:r>
            <w:r>
              <w:rPr>
                <w:rFonts w:ascii="宋体" w:hAnsi="宋体"/>
                <w:szCs w:val="21"/>
              </w:rPr>
              <w:t>110℃。</w:t>
            </w:r>
          </w:p>
          <w:p w14:paraId="4E422A65">
            <w:pPr>
              <w:spacing w:line="320" w:lineRule="exact"/>
              <w:ind w:firstLine="420" w:firstLineChars="200"/>
              <w:jc w:val="left"/>
              <w:rPr>
                <w:rFonts w:hint="eastAsia" w:ascii="宋体" w:hAnsi="宋体"/>
                <w:szCs w:val="21"/>
              </w:rPr>
            </w:pPr>
            <w:r>
              <w:rPr>
                <w:rFonts w:ascii="宋体" w:hAnsi="宋体"/>
                <w:szCs w:val="21"/>
              </w:rPr>
              <w:t>聚乙烯化学稳定性较好，室温下可耐</w:t>
            </w:r>
            <w:r>
              <w:fldChar w:fldCharType="begin"/>
            </w:r>
            <w:r>
              <w:instrText xml:space="preserve"> HYPERLINK "https://baike.so.com/doc/1201536-1270931.html" \t "https://baike.so.com/doc/_blank" </w:instrText>
            </w:r>
            <w:r>
              <w:fldChar w:fldCharType="separate"/>
            </w:r>
            <w:r>
              <w:rPr>
                <w:rStyle w:val="55"/>
                <w:rFonts w:ascii="宋体" w:hAnsi="宋体"/>
                <w:color w:val="auto"/>
                <w:szCs w:val="21"/>
              </w:rPr>
              <w:t>稀硝酸</w:t>
            </w:r>
            <w:r>
              <w:rPr>
                <w:rStyle w:val="55"/>
                <w:rFonts w:ascii="宋体" w:hAnsi="宋体"/>
                <w:color w:val="auto"/>
                <w:szCs w:val="21"/>
              </w:rPr>
              <w:fldChar w:fldCharType="end"/>
            </w:r>
            <w:r>
              <w:rPr>
                <w:rFonts w:ascii="宋体" w:hAnsi="宋体"/>
                <w:szCs w:val="21"/>
              </w:rPr>
              <w:t>、</w:t>
            </w:r>
            <w:r>
              <w:fldChar w:fldCharType="begin"/>
            </w:r>
            <w:r>
              <w:instrText xml:space="preserve"> HYPERLINK "https://baike.so.com/doc/566009-599173.html" \t "https://baike.so.com/doc/_blank" </w:instrText>
            </w:r>
            <w:r>
              <w:fldChar w:fldCharType="separate"/>
            </w:r>
            <w:r>
              <w:rPr>
                <w:rStyle w:val="55"/>
                <w:rFonts w:ascii="宋体" w:hAnsi="宋体"/>
                <w:color w:val="auto"/>
                <w:szCs w:val="21"/>
              </w:rPr>
              <w:t>稀硫酸</w:t>
            </w:r>
            <w:r>
              <w:rPr>
                <w:rStyle w:val="55"/>
                <w:rFonts w:ascii="宋体" w:hAnsi="宋体"/>
                <w:color w:val="auto"/>
                <w:szCs w:val="21"/>
              </w:rPr>
              <w:fldChar w:fldCharType="end"/>
            </w:r>
            <w:r>
              <w:rPr>
                <w:rFonts w:ascii="宋体" w:hAnsi="宋体"/>
                <w:szCs w:val="21"/>
              </w:rPr>
              <w:t>和任何浓度的盐酸、</w:t>
            </w:r>
            <w:r>
              <w:fldChar w:fldCharType="begin"/>
            </w:r>
            <w:r>
              <w:instrText xml:space="preserve"> HYPERLINK "https://baike.so.com/doc/1362662-1440500.html" \t "https://baike.so.com/doc/_blank" </w:instrText>
            </w:r>
            <w:r>
              <w:fldChar w:fldCharType="separate"/>
            </w:r>
            <w:r>
              <w:rPr>
                <w:rStyle w:val="55"/>
                <w:rFonts w:ascii="宋体" w:hAnsi="宋体"/>
                <w:color w:val="auto"/>
                <w:szCs w:val="21"/>
              </w:rPr>
              <w:t>氢氟酸</w:t>
            </w:r>
            <w:r>
              <w:rPr>
                <w:rStyle w:val="55"/>
                <w:rFonts w:ascii="宋体" w:hAnsi="宋体"/>
                <w:color w:val="auto"/>
                <w:szCs w:val="21"/>
              </w:rPr>
              <w:fldChar w:fldCharType="end"/>
            </w:r>
            <w:r>
              <w:rPr>
                <w:rFonts w:ascii="宋体" w:hAnsi="宋体"/>
                <w:szCs w:val="21"/>
              </w:rPr>
              <w:t>、磷酸、</w:t>
            </w:r>
            <w:r>
              <w:fldChar w:fldCharType="begin"/>
            </w:r>
            <w:r>
              <w:instrText xml:space="preserve"> HYPERLINK "https://baike.so.com/doc/2968846-3131833.html" \t "https://baike.so.com/doc/_blank" </w:instrText>
            </w:r>
            <w:r>
              <w:fldChar w:fldCharType="separate"/>
            </w:r>
            <w:r>
              <w:rPr>
                <w:rStyle w:val="55"/>
                <w:rFonts w:ascii="宋体" w:hAnsi="宋体"/>
                <w:color w:val="auto"/>
                <w:szCs w:val="21"/>
              </w:rPr>
              <w:t>甲酸</w:t>
            </w:r>
            <w:r>
              <w:rPr>
                <w:rStyle w:val="55"/>
                <w:rFonts w:ascii="宋体" w:hAnsi="宋体"/>
                <w:color w:val="auto"/>
                <w:szCs w:val="21"/>
              </w:rPr>
              <w:fldChar w:fldCharType="end"/>
            </w:r>
            <w:r>
              <w:rPr>
                <w:rFonts w:ascii="宋体" w:hAnsi="宋体"/>
                <w:szCs w:val="21"/>
              </w:rPr>
              <w:t>、醋酸、氨水、胺类、过氧化氢、</w:t>
            </w:r>
            <w:r>
              <w:fldChar w:fldCharType="begin"/>
            </w:r>
            <w:r>
              <w:instrText xml:space="preserve"> HYPERLINK "https://baike.so.com/doc/1247383-1319241.html" \t "https://baike.so.com/doc/_blank" </w:instrText>
            </w:r>
            <w:r>
              <w:fldChar w:fldCharType="separate"/>
            </w:r>
            <w:r>
              <w:rPr>
                <w:rStyle w:val="55"/>
                <w:rFonts w:ascii="宋体" w:hAnsi="宋体"/>
                <w:color w:val="auto"/>
                <w:szCs w:val="21"/>
              </w:rPr>
              <w:t>氢氧化钠</w:t>
            </w:r>
            <w:r>
              <w:rPr>
                <w:rStyle w:val="55"/>
                <w:rFonts w:ascii="宋体" w:hAnsi="宋体"/>
                <w:color w:val="auto"/>
                <w:szCs w:val="21"/>
              </w:rPr>
              <w:fldChar w:fldCharType="end"/>
            </w:r>
            <w:r>
              <w:rPr>
                <w:rFonts w:ascii="宋体" w:hAnsi="宋体"/>
                <w:szCs w:val="21"/>
              </w:rPr>
              <w:t>、氢氧化钾等溶液。但不耐强氧化的腐蚀，如发烟硫酸·浓硝酸、</w:t>
            </w:r>
            <w:r>
              <w:fldChar w:fldCharType="begin"/>
            </w:r>
            <w:r>
              <w:instrText xml:space="preserve">HYPERLINK "https://baike.so.com/doc/5710042-7117149.html" \t "https://baike.so.com/doc/_blank"</w:instrText>
            </w:r>
            <w:r>
              <w:fldChar w:fldCharType="separate"/>
            </w:r>
            <w:r>
              <w:rPr>
                <w:rStyle w:val="55"/>
                <w:rFonts w:ascii="宋体" w:hAnsi="宋体"/>
                <w:color w:val="auto"/>
                <w:szCs w:val="21"/>
              </w:rPr>
              <w:t>铬酸</w:t>
            </w:r>
            <w:r>
              <w:fldChar w:fldCharType="end"/>
            </w:r>
            <w:r>
              <w:rPr>
                <w:rFonts w:ascii="宋体" w:hAnsi="宋体"/>
                <w:szCs w:val="21"/>
              </w:rPr>
              <w:t>与硫酸的混合液。在室温下上述溶剂会对聚乙烯产生缓慢的侵蚀作用，而在90-100℃下，浓硫酸和浓硝酸会快速地侵蚀聚乙烯，使其破坏或分解。</w:t>
            </w:r>
          </w:p>
          <w:p w14:paraId="5B6146EC">
            <w:pPr>
              <w:spacing w:line="320" w:lineRule="exact"/>
              <w:ind w:firstLine="420" w:firstLineChars="200"/>
              <w:jc w:val="left"/>
              <w:rPr>
                <w:rFonts w:hint="eastAsia" w:ascii="宋体" w:hAnsi="宋体"/>
                <w:szCs w:val="21"/>
              </w:rPr>
            </w:pPr>
            <w:r>
              <w:rPr>
                <w:rFonts w:ascii="宋体" w:hAnsi="宋体"/>
                <w:szCs w:val="21"/>
              </w:rPr>
              <w:t>聚乙烯在大气、阳光和氧的作用下，会发生老化，变色、龟裂、变脆或粉化，丧失其力学性能。在成型加工温度下，也会因氧化作用，使其熔体</w:t>
            </w:r>
            <w:r>
              <w:rPr>
                <w:rFonts w:hint="eastAsia" w:ascii="宋体" w:hAnsi="宋体"/>
                <w:szCs w:val="21"/>
              </w:rPr>
              <w:t>厚度</w:t>
            </w:r>
            <w:r>
              <w:rPr>
                <w:rFonts w:ascii="宋体" w:hAnsi="宋体"/>
                <w:szCs w:val="21"/>
              </w:rPr>
              <w:t>下降，发生变色、出现条纹，故而在成型加工和使用过程或选材时应予以注意。</w:t>
            </w:r>
          </w:p>
        </w:tc>
      </w:tr>
      <w:tr w14:paraId="163F4D0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076" w:hRule="atLeast"/>
        </w:trPr>
        <w:tc>
          <w:tcPr>
            <w:tcW w:w="1244" w:type="dxa"/>
            <w:vAlign w:val="center"/>
          </w:tcPr>
          <w:p w14:paraId="6E9F6168">
            <w:pPr>
              <w:widowControl/>
              <w:spacing w:line="320" w:lineRule="exact"/>
              <w:jc w:val="center"/>
              <w:rPr>
                <w:rFonts w:hint="eastAsia" w:ascii="宋体" w:hAnsi="宋体"/>
                <w:kern w:val="0"/>
                <w:szCs w:val="21"/>
              </w:rPr>
            </w:pPr>
            <w:r>
              <w:rPr>
                <w:rFonts w:ascii="宋体" w:hAnsi="宋体"/>
                <w:kern w:val="0"/>
                <w:szCs w:val="21"/>
              </w:rPr>
              <w:t>色母</w:t>
            </w:r>
          </w:p>
        </w:tc>
        <w:tc>
          <w:tcPr>
            <w:tcW w:w="7875" w:type="dxa"/>
            <w:vAlign w:val="center"/>
          </w:tcPr>
          <w:p w14:paraId="7368CAF7">
            <w:pPr>
              <w:widowControl/>
              <w:spacing w:line="320" w:lineRule="exact"/>
              <w:ind w:firstLine="420" w:firstLineChars="200"/>
              <w:rPr>
                <w:rFonts w:hint="eastAsia" w:ascii="宋体" w:hAnsi="宋体"/>
                <w:szCs w:val="21"/>
              </w:rPr>
            </w:pPr>
            <w:r>
              <w:rPr>
                <w:rFonts w:ascii="宋体" w:hAnsi="宋体"/>
                <w:szCs w:val="21"/>
              </w:rPr>
              <w:t>由颜料、载体和添加剂组成，主要用于塑料加工，色母粒在塑料加工过程中，具有浓度高、分散性好、清洁等显著的优点。加热熔融后颜料颗粒能很好地分散于制品塑料中。由于树脂载体将颜料和空气、水分隔离，可以使颜料的品质长期不变。</w:t>
            </w:r>
          </w:p>
        </w:tc>
      </w:tr>
      <w:tr w14:paraId="2C5857D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230" w:hRule="atLeast"/>
        </w:trPr>
        <w:tc>
          <w:tcPr>
            <w:tcW w:w="1244" w:type="dxa"/>
            <w:vAlign w:val="center"/>
          </w:tcPr>
          <w:p w14:paraId="157BFE83">
            <w:pPr>
              <w:widowControl/>
              <w:spacing w:line="320" w:lineRule="exact"/>
              <w:jc w:val="center"/>
              <w:rPr>
                <w:rFonts w:hint="eastAsia" w:ascii="宋体" w:hAnsi="宋体"/>
                <w:kern w:val="0"/>
                <w:szCs w:val="21"/>
              </w:rPr>
            </w:pPr>
            <w:r>
              <w:rPr>
                <w:rFonts w:ascii="宋体" w:hAnsi="宋体"/>
                <w:kern w:val="0"/>
                <w:szCs w:val="21"/>
              </w:rPr>
              <w:t>抗老化剂</w:t>
            </w:r>
          </w:p>
        </w:tc>
        <w:tc>
          <w:tcPr>
            <w:tcW w:w="7875" w:type="dxa"/>
            <w:vAlign w:val="center"/>
          </w:tcPr>
          <w:p w14:paraId="50DF94B2">
            <w:pPr>
              <w:widowControl/>
              <w:spacing w:line="320" w:lineRule="exact"/>
              <w:ind w:firstLine="420" w:firstLineChars="200"/>
              <w:rPr>
                <w:rFonts w:hint="eastAsia" w:ascii="宋体" w:hAnsi="宋体"/>
                <w:szCs w:val="21"/>
              </w:rPr>
            </w:pPr>
            <w:r>
              <w:rPr>
                <w:rFonts w:ascii="宋体" w:hAnsi="宋体"/>
                <w:szCs w:val="21"/>
              </w:rPr>
              <w:t>抗老化剂一般为淡黄色粉末，受阻酚类、仲芳胺等氢给予体、叔胺类电子给予体、醌类等</w:t>
            </w:r>
            <w:r>
              <w:fldChar w:fldCharType="begin"/>
            </w:r>
            <w:r>
              <w:instrText xml:space="preserve">HYPERLINK "https://www.baidu.com/s?wd=%E8%87%AA%E7%94%B1%E5%9F%BA%E6%8D%95%E8%8E%B7%E5%89%82&amp;tn=44039180_cpr&amp;fenlei=mv6quAkxTZn0IZRqIHckPjm4nH00T1YLnW9WmhDdPjTzuHfYnWmz0ZwV5Hcvrjm3rH6sPfKWUMw85HfYnjn4nH6sgvPsT6K1TL0qnfK1TL0z5HD0IgF_5y9YIZ0lQzqlpA-bmyt8mh7GuZR8mvqVQL7dugPYpyq8Q1RkrjT1n10sn1mkPHT4nj6sPf" \t "http://zhidao.baidu.com/_blank"</w:instrText>
            </w:r>
            <w:r>
              <w:fldChar w:fldCharType="separate"/>
            </w:r>
            <w:r>
              <w:rPr>
                <w:rStyle w:val="55"/>
                <w:rFonts w:ascii="宋体" w:hAnsi="宋体"/>
                <w:color w:val="auto"/>
                <w:szCs w:val="21"/>
              </w:rPr>
              <w:t>自由基捕获剂</w:t>
            </w:r>
            <w:r>
              <w:fldChar w:fldCharType="end"/>
            </w:r>
            <w:r>
              <w:rPr>
                <w:rFonts w:ascii="宋体" w:hAnsi="宋体"/>
                <w:szCs w:val="21"/>
              </w:rPr>
              <w:t>等均可作为塑料抗老剂在生产中使用，熔点为</w:t>
            </w:r>
            <w:r>
              <w:rPr>
                <w:rFonts w:hint="eastAsia" w:ascii="宋体" w:hAnsi="宋体"/>
                <w:szCs w:val="21"/>
              </w:rPr>
              <w:t xml:space="preserve"> </w:t>
            </w:r>
            <w:r>
              <w:rPr>
                <w:rFonts w:ascii="宋体" w:hAnsi="宋体"/>
                <w:szCs w:val="21"/>
              </w:rPr>
              <w:t>138℃</w:t>
            </w:r>
            <w:r>
              <w:rPr>
                <w:szCs w:val="21"/>
                <w:shd w:val="clear" w:color="auto" w:fill="FFFFFF"/>
              </w:rPr>
              <w:t>~</w:t>
            </w:r>
            <w:r>
              <w:rPr>
                <w:rFonts w:ascii="宋体" w:hAnsi="宋体"/>
                <w:szCs w:val="21"/>
              </w:rPr>
              <w:t>141℃，透光率为460nm≥95%，溶于苯、甲苯、</w:t>
            </w:r>
            <w:r>
              <w:fldChar w:fldCharType="begin"/>
            </w:r>
            <w:r>
              <w:instrText xml:space="preserve">HYPERLINK "http://www.baike.com/sowiki/%E7%AC%A8%E4%B9%99%E7%83%AF?prd=content_doc_search" \o "笨乙烯"</w:instrText>
            </w:r>
            <w:r>
              <w:fldChar w:fldCharType="separate"/>
            </w:r>
            <w:r>
              <w:rPr>
                <w:rStyle w:val="55"/>
                <w:rFonts w:ascii="宋体" w:hAnsi="宋体"/>
                <w:color w:val="auto"/>
                <w:szCs w:val="21"/>
              </w:rPr>
              <w:t>苯乙烯</w:t>
            </w:r>
            <w:r>
              <w:fldChar w:fldCharType="end"/>
            </w:r>
            <w:r>
              <w:rPr>
                <w:rFonts w:ascii="宋体" w:hAnsi="宋体"/>
                <w:szCs w:val="21"/>
              </w:rPr>
              <w:t>等多种溶剂中微溶于醋酸乙酯、石油醚，可有效地吸收波长为270</w:t>
            </w:r>
            <w:r>
              <w:rPr>
                <w:szCs w:val="21"/>
                <w:shd w:val="clear" w:color="auto" w:fill="FFFFFF"/>
              </w:rPr>
              <w:t>~</w:t>
            </w:r>
            <w:r>
              <w:rPr>
                <w:rFonts w:ascii="宋体" w:hAnsi="宋体"/>
                <w:szCs w:val="21"/>
              </w:rPr>
              <w:t>380nm的紫外</w:t>
            </w:r>
            <w:r>
              <w:rPr>
                <w:rFonts w:hint="eastAsia" w:ascii="宋体" w:hAnsi="宋体"/>
                <w:szCs w:val="21"/>
              </w:rPr>
              <w:t>线</w:t>
            </w:r>
            <w:r>
              <w:rPr>
                <w:rFonts w:ascii="宋体" w:hAnsi="宋体"/>
                <w:szCs w:val="21"/>
              </w:rPr>
              <w:t>，主要用于不饱和树脂及含不饱和树脂的制品中，特别适用于无色透明和浅色制品中，为强吸收力，高性能紫外线吸收剂。超强的紫外线吸收能力，有效防止紫外线对皮肤的伤害及致癌性，大幅度提高产品的抗老化性能。几乎不吸收可见光，是无色透明和成色制品的首选紫外线吸收剂；不易燃、不腐蚀、贮存稳定性好；与不饱和树脂的相容性良好，兼具长效抗氧、抗黄变作用性能，可与一般抗氧化剂并用；安全性极高。</w:t>
            </w:r>
          </w:p>
        </w:tc>
      </w:tr>
    </w:tbl>
    <w:p w14:paraId="08A50FB8">
      <w:pPr>
        <w:pStyle w:val="4"/>
        <w:autoSpaceDE w:val="0"/>
        <w:autoSpaceDN w:val="0"/>
        <w:spacing w:before="0" w:after="0" w:line="360" w:lineRule="auto"/>
        <w:jc w:val="left"/>
        <w:rPr>
          <w:rFonts w:hint="eastAsia" w:ascii="宋体" w:hAnsi="宋体" w:cs="宋体"/>
          <w:sz w:val="24"/>
          <w:szCs w:val="24"/>
        </w:rPr>
      </w:pPr>
      <w:r>
        <w:rPr>
          <w:rFonts w:hint="eastAsia"/>
          <w:kern w:val="0"/>
          <w:sz w:val="24"/>
          <w:lang w:val="en-US" w:bidi="zh-CN"/>
        </w:rPr>
        <w:t>3.1.7</w:t>
      </w:r>
      <w:r>
        <w:rPr>
          <w:rFonts w:ascii="宋体" w:hAnsi="宋体" w:cs="宋体"/>
          <w:sz w:val="24"/>
          <w:szCs w:val="24"/>
        </w:rPr>
        <w:t>原料质量管理控制要求</w:t>
      </w:r>
    </w:p>
    <w:p w14:paraId="02A74FD5">
      <w:pPr>
        <w:pStyle w:val="252"/>
        <w:spacing w:line="360" w:lineRule="auto"/>
        <w:ind w:firstLine="480"/>
        <w:rPr>
          <w:rFonts w:hint="eastAsia" w:ascii="宋体" w:hAnsi="宋体"/>
          <w:sz w:val="24"/>
          <w:szCs w:val="21"/>
        </w:rPr>
      </w:pPr>
      <w:r>
        <w:rPr>
          <w:rFonts w:ascii="宋体" w:hAnsi="宋体"/>
          <w:sz w:val="24"/>
          <w:szCs w:val="21"/>
        </w:rPr>
        <w:t>根据建设单位提供的资料，本项目</w:t>
      </w:r>
      <w:r>
        <w:rPr>
          <w:rFonts w:hint="eastAsia" w:ascii="宋体" w:hAnsi="宋体"/>
          <w:sz w:val="24"/>
          <w:szCs w:val="21"/>
          <w:lang w:eastAsia="zh-CN"/>
        </w:rPr>
        <w:t>原料</w:t>
      </w:r>
      <w:r>
        <w:rPr>
          <w:rFonts w:ascii="宋体" w:hAnsi="宋体"/>
          <w:sz w:val="24"/>
          <w:szCs w:val="21"/>
        </w:rPr>
        <w:t>主要成分为聚乙烯，不包括含有卤素、苯的废塑料。根据《废塑料污染控制技术规范》（HJ364-</w:t>
      </w:r>
      <w:r>
        <w:rPr>
          <w:rFonts w:hint="eastAsia" w:ascii="宋体" w:hAnsi="宋体"/>
          <w:sz w:val="24"/>
          <w:szCs w:val="21"/>
        </w:rPr>
        <w:t>2022）</w:t>
      </w:r>
      <w:r>
        <w:rPr>
          <w:rFonts w:ascii="宋体" w:hAnsi="宋体"/>
          <w:sz w:val="24"/>
          <w:szCs w:val="21"/>
        </w:rPr>
        <w:t xml:space="preserve">，主要提出以下管理控制细则： </w:t>
      </w:r>
    </w:p>
    <w:p w14:paraId="67AE5A8B">
      <w:pPr>
        <w:pStyle w:val="252"/>
        <w:spacing w:line="360" w:lineRule="auto"/>
        <w:ind w:firstLine="480"/>
        <w:rPr>
          <w:rFonts w:hint="eastAsia" w:ascii="宋体" w:hAnsi="宋体"/>
          <w:sz w:val="24"/>
          <w:szCs w:val="21"/>
        </w:rPr>
      </w:pPr>
      <w:r>
        <w:rPr>
          <w:rFonts w:ascii="宋体" w:hAnsi="宋体"/>
          <w:sz w:val="24"/>
          <w:szCs w:val="21"/>
        </w:rPr>
        <w:t>（1）首先企业按照《废塑料污染控制技术规范》（HJ364-</w:t>
      </w:r>
      <w:r>
        <w:rPr>
          <w:rFonts w:hint="eastAsia" w:ascii="宋体" w:hAnsi="宋体"/>
          <w:sz w:val="24"/>
          <w:szCs w:val="21"/>
        </w:rPr>
        <w:t>2022）</w:t>
      </w:r>
      <w:r>
        <w:rPr>
          <w:rFonts w:ascii="宋体" w:hAnsi="宋体"/>
          <w:sz w:val="24"/>
          <w:szCs w:val="21"/>
        </w:rPr>
        <w:t>提出的回收要求、包装和运输要求、贮存要求进行严格控制，在执行过程中如达不到要求，</w:t>
      </w:r>
      <w:r>
        <w:rPr>
          <w:rFonts w:hint="eastAsia" w:ascii="宋体" w:hAnsi="宋体"/>
          <w:sz w:val="24"/>
          <w:szCs w:val="21"/>
        </w:rPr>
        <w:t>则</w:t>
      </w:r>
      <w:r>
        <w:rPr>
          <w:rFonts w:ascii="宋体" w:hAnsi="宋体"/>
          <w:sz w:val="24"/>
          <w:szCs w:val="21"/>
        </w:rPr>
        <w:t xml:space="preserve">整改或停止生产。 </w:t>
      </w:r>
    </w:p>
    <w:p w14:paraId="26D4813C">
      <w:pPr>
        <w:pStyle w:val="252"/>
        <w:spacing w:line="360" w:lineRule="auto"/>
        <w:ind w:firstLine="480"/>
        <w:rPr>
          <w:rFonts w:hint="eastAsia" w:ascii="宋体" w:hAnsi="宋体"/>
          <w:sz w:val="24"/>
          <w:szCs w:val="21"/>
        </w:rPr>
      </w:pPr>
      <w:r>
        <w:rPr>
          <w:rFonts w:ascii="宋体" w:hAnsi="宋体"/>
          <w:sz w:val="24"/>
          <w:szCs w:val="21"/>
        </w:rPr>
        <w:t>（2）其次由地方生态环境主管部门采取定期和不定期的抽检方式进行检查，核实项目原料的种类和品种，对于回收其他塑料废料在不采取相应的环保措施条件下进行加工生产的可以警告并</w:t>
      </w:r>
      <w:r>
        <w:rPr>
          <w:rFonts w:hint="eastAsia" w:ascii="宋体" w:hAnsi="宋体"/>
          <w:sz w:val="24"/>
          <w:szCs w:val="21"/>
        </w:rPr>
        <w:t>予以</w:t>
      </w:r>
      <w:r>
        <w:rPr>
          <w:rFonts w:ascii="宋体" w:hAnsi="宋体"/>
          <w:sz w:val="24"/>
          <w:szCs w:val="21"/>
        </w:rPr>
        <w:t xml:space="preserve">整改。 </w:t>
      </w:r>
    </w:p>
    <w:p w14:paraId="416E9325">
      <w:pPr>
        <w:pStyle w:val="252"/>
        <w:spacing w:line="360" w:lineRule="auto"/>
        <w:ind w:firstLine="480"/>
        <w:rPr>
          <w:rFonts w:hint="eastAsia" w:ascii="宋体" w:hAnsi="宋体"/>
          <w:sz w:val="24"/>
          <w:szCs w:val="21"/>
        </w:rPr>
      </w:pPr>
      <w:r>
        <w:rPr>
          <w:rFonts w:ascii="宋体" w:hAnsi="宋体"/>
          <w:sz w:val="24"/>
          <w:szCs w:val="21"/>
        </w:rPr>
        <w:t>（3）最后本着保护环境、废旧物品资源化利用的原则，企业制定严格的管理制度，进行自查，以确保原料来源的适合性和合理性，禁止回收不符合本项目处理的任何废旧塑料。</w:t>
      </w:r>
    </w:p>
    <w:p w14:paraId="47EFEEEB">
      <w:pPr>
        <w:pStyle w:val="4"/>
        <w:autoSpaceDE w:val="0"/>
        <w:autoSpaceDN w:val="0"/>
        <w:spacing w:before="0" w:after="0" w:line="360" w:lineRule="auto"/>
        <w:jc w:val="left"/>
        <w:rPr>
          <w:kern w:val="0"/>
          <w:sz w:val="24"/>
          <w:lang w:val="en-US" w:bidi="zh-CN"/>
        </w:rPr>
      </w:pPr>
      <w:r>
        <w:rPr>
          <w:rFonts w:hint="eastAsia"/>
          <w:kern w:val="0"/>
          <w:sz w:val="24"/>
          <w:lang w:val="en-US" w:bidi="zh-CN"/>
        </w:rPr>
        <w:t>3.1.8</w:t>
      </w:r>
      <w:r>
        <w:rPr>
          <w:kern w:val="0"/>
          <w:sz w:val="24"/>
          <w:lang w:val="en-US" w:bidi="zh-CN"/>
        </w:rPr>
        <w:t>废旧</w:t>
      </w:r>
      <w:r>
        <w:rPr>
          <w:rFonts w:hint="eastAsia"/>
          <w:kern w:val="0"/>
          <w:sz w:val="24"/>
          <w:lang w:val="en-US" w:bidi="zh-CN"/>
        </w:rPr>
        <w:t>原料</w:t>
      </w:r>
      <w:r>
        <w:rPr>
          <w:kern w:val="0"/>
          <w:sz w:val="24"/>
          <w:lang w:val="en-US" w:bidi="zh-CN"/>
        </w:rPr>
        <w:t>来源、种类控制和贮存要求</w:t>
      </w:r>
    </w:p>
    <w:p w14:paraId="75991237">
      <w:pPr>
        <w:pStyle w:val="5"/>
        <w:rPr>
          <w:rFonts w:ascii="Times New Roman" w:hAnsi="Times New Roman"/>
          <w:color w:val="000000"/>
          <w:lang w:val="en-US"/>
        </w:rPr>
      </w:pPr>
      <w:r>
        <w:rPr>
          <w:rFonts w:hint="eastAsia" w:ascii="Times New Roman" w:hAnsi="Times New Roman"/>
          <w:color w:val="000000"/>
          <w:lang w:val="en-US"/>
        </w:rPr>
        <w:t>3.1.8.1</w:t>
      </w:r>
      <w:r>
        <w:rPr>
          <w:rFonts w:ascii="Times New Roman" w:hAnsi="Times New Roman"/>
          <w:color w:val="000000"/>
          <w:lang w:val="en-US"/>
        </w:rPr>
        <w:t xml:space="preserve">废塑料的来源、种类控制 </w:t>
      </w:r>
    </w:p>
    <w:p w14:paraId="6273A4C1">
      <w:pPr>
        <w:pStyle w:val="252"/>
        <w:spacing w:line="360" w:lineRule="auto"/>
        <w:ind w:firstLine="480"/>
        <w:rPr>
          <w:rFonts w:hint="eastAsia" w:ascii="宋体" w:hAnsi="宋体"/>
          <w:sz w:val="24"/>
          <w:szCs w:val="21"/>
        </w:rPr>
      </w:pPr>
      <w:r>
        <w:rPr>
          <w:rFonts w:hint="eastAsia" w:ascii="宋体" w:hAnsi="宋体" w:cs="宋体"/>
          <w:kern w:val="0"/>
          <w:sz w:val="24"/>
          <w:szCs w:val="24"/>
          <w:lang w:val="zh-CN" w:bidi="zh-CN"/>
        </w:rPr>
        <w:t>普惠乡</w:t>
      </w:r>
      <w:r>
        <w:rPr>
          <w:rFonts w:ascii="宋体" w:hAnsi="宋体"/>
          <w:sz w:val="24"/>
          <w:szCs w:val="21"/>
        </w:rPr>
        <w:t>周边农田，大部分采用</w:t>
      </w:r>
      <w:r>
        <w:rPr>
          <w:rFonts w:hint="eastAsia" w:ascii="宋体" w:hAnsi="宋体"/>
          <w:sz w:val="24"/>
          <w:szCs w:val="21"/>
        </w:rPr>
        <w:t>地膜敷设保温保湿</w:t>
      </w:r>
      <w:r>
        <w:rPr>
          <w:rFonts w:ascii="宋体" w:hAnsi="宋体"/>
          <w:sz w:val="24"/>
          <w:szCs w:val="21"/>
        </w:rPr>
        <w:t>技术，废旧</w:t>
      </w:r>
      <w:r>
        <w:rPr>
          <w:rFonts w:hint="eastAsia" w:ascii="宋体" w:hAnsi="宋体"/>
          <w:sz w:val="24"/>
          <w:szCs w:val="21"/>
        </w:rPr>
        <w:t>地膜</w:t>
      </w:r>
      <w:r>
        <w:rPr>
          <w:rFonts w:ascii="宋体" w:hAnsi="宋体"/>
          <w:sz w:val="24"/>
          <w:szCs w:val="21"/>
        </w:rPr>
        <w:t>产生量约为</w:t>
      </w:r>
      <w:r>
        <w:rPr>
          <w:rFonts w:hint="eastAsia" w:ascii="宋体" w:hAnsi="宋体"/>
          <w:sz w:val="24"/>
          <w:szCs w:val="21"/>
        </w:rPr>
        <w:t>3万</w:t>
      </w:r>
      <w:r>
        <w:rPr>
          <w:rFonts w:ascii="宋体" w:hAnsi="宋体"/>
          <w:sz w:val="24"/>
          <w:szCs w:val="21"/>
        </w:rPr>
        <w:t>t/a，</w:t>
      </w:r>
      <w:r>
        <w:rPr>
          <w:rFonts w:hint="eastAsia" w:ascii="宋体" w:hAnsi="宋体"/>
          <w:sz w:val="24"/>
          <w:szCs w:val="21"/>
        </w:rPr>
        <w:t>2024年8月本公司建成并投入使用废旧地膜回收预处理厂，年回收预处理2万t/a废地膜（分拣、破碎、清洗、烘干）</w:t>
      </w:r>
      <w:r>
        <w:rPr>
          <w:rFonts w:ascii="宋体" w:hAnsi="宋体"/>
          <w:sz w:val="24"/>
          <w:szCs w:val="21"/>
        </w:rPr>
        <w:t>，</w:t>
      </w:r>
      <w:r>
        <w:rPr>
          <w:rFonts w:hint="eastAsia" w:ascii="宋体" w:hAnsi="宋体"/>
          <w:sz w:val="24"/>
          <w:szCs w:val="21"/>
        </w:rPr>
        <w:t>本项目</w:t>
      </w:r>
      <w:r>
        <w:rPr>
          <w:rFonts w:ascii="宋体" w:hAnsi="宋体"/>
          <w:sz w:val="24"/>
          <w:szCs w:val="21"/>
        </w:rPr>
        <w:t>原料来源有保证。</w:t>
      </w:r>
      <w:r>
        <w:rPr>
          <w:rFonts w:hint="eastAsia" w:ascii="宋体" w:hAnsi="宋体"/>
          <w:sz w:val="24"/>
          <w:szCs w:val="21"/>
        </w:rPr>
        <w:t>根据此厂业主方提供资料可知，</w:t>
      </w:r>
      <w:r>
        <w:rPr>
          <w:rFonts w:ascii="宋体" w:hAnsi="宋体"/>
          <w:sz w:val="24"/>
          <w:szCs w:val="21"/>
        </w:rPr>
        <w:t>回收的废塑料仅为聚乙烯类废塑料，主要来自各农户自行回收的自家农田内产生的废</w:t>
      </w:r>
      <w:r>
        <w:rPr>
          <w:rFonts w:hint="eastAsia" w:ascii="宋体" w:hAnsi="宋体"/>
          <w:sz w:val="24"/>
          <w:szCs w:val="21"/>
        </w:rPr>
        <w:t>地膜</w:t>
      </w:r>
      <w:r>
        <w:rPr>
          <w:rFonts w:ascii="宋体" w:hAnsi="宋体"/>
          <w:sz w:val="24"/>
          <w:szCs w:val="21"/>
        </w:rPr>
        <w:t>，由</w:t>
      </w:r>
      <w:r>
        <w:rPr>
          <w:rFonts w:hint="eastAsia" w:ascii="宋体" w:hAnsi="宋体"/>
          <w:sz w:val="24"/>
          <w:szCs w:val="21"/>
        </w:rPr>
        <w:t>回收</w:t>
      </w:r>
      <w:r>
        <w:rPr>
          <w:rFonts w:ascii="宋体" w:hAnsi="宋体"/>
          <w:sz w:val="24"/>
          <w:szCs w:val="21"/>
        </w:rPr>
        <w:t>方进行回收并运输。</w:t>
      </w:r>
      <w:r>
        <w:rPr>
          <w:rFonts w:hint="eastAsia" w:ascii="宋体" w:hAnsi="宋体"/>
          <w:sz w:val="24"/>
          <w:szCs w:val="21"/>
        </w:rPr>
        <w:t>此厂</w:t>
      </w:r>
      <w:r>
        <w:rPr>
          <w:rFonts w:ascii="宋体" w:hAnsi="宋体"/>
          <w:sz w:val="24"/>
          <w:szCs w:val="21"/>
        </w:rPr>
        <w:t>收购的废旧塑料不包括危险废物和医疗废物的废塑料，不包括被危险化学品、农药等污染的废弃塑料包装物，废弃的一次性医疗用塑料制品（如输液器、血袋）等；不包括含卤素废塑料等特种工程塑料以及进口废塑料；不包括水泥袋、化工袋等相对不清洁的包装袋。</w:t>
      </w:r>
      <w:r>
        <w:rPr>
          <w:rFonts w:hint="eastAsia" w:ascii="宋体" w:hAnsi="宋体"/>
          <w:sz w:val="24"/>
          <w:szCs w:val="21"/>
        </w:rPr>
        <w:t>此厂收集的废塑料</w:t>
      </w:r>
      <w:r>
        <w:rPr>
          <w:rFonts w:ascii="宋体" w:hAnsi="宋体"/>
          <w:sz w:val="24"/>
          <w:szCs w:val="21"/>
        </w:rPr>
        <w:t>不涉及进口废塑料再生利用。</w:t>
      </w:r>
    </w:p>
    <w:p w14:paraId="1C61A723">
      <w:pPr>
        <w:pStyle w:val="252"/>
        <w:spacing w:line="360" w:lineRule="auto"/>
        <w:ind w:firstLine="480"/>
        <w:rPr>
          <w:rFonts w:hint="eastAsia" w:ascii="宋体" w:hAnsi="宋体"/>
          <w:sz w:val="24"/>
          <w:szCs w:val="21"/>
        </w:rPr>
      </w:pPr>
      <w:r>
        <w:rPr>
          <w:rFonts w:hint="eastAsia" w:ascii="宋体" w:hAnsi="宋体"/>
          <w:sz w:val="24"/>
          <w:szCs w:val="21"/>
        </w:rPr>
        <w:t>本项目利用此厂预处理后的废地膜进行再生塑料颗粒生产滴灌带</w:t>
      </w:r>
      <w:r>
        <w:rPr>
          <w:rFonts w:hint="eastAsia" w:ascii="宋体" w:hAnsi="宋体"/>
          <w:sz w:val="24"/>
          <w:szCs w:val="21"/>
          <w:lang w:eastAsia="zh-CN"/>
        </w:rPr>
        <w:t>（</w:t>
      </w:r>
      <w:r>
        <w:rPr>
          <w:rFonts w:hint="eastAsia" w:ascii="宋体" w:hAnsi="宋体" w:cs="宋体"/>
          <w:kern w:val="0"/>
          <w:sz w:val="24"/>
          <w:szCs w:val="24"/>
          <w:lang w:bidi="zh-CN"/>
        </w:rPr>
        <w:t>根据</w:t>
      </w:r>
      <w:r>
        <w:rPr>
          <w:rFonts w:ascii="宋体" w:hAnsi="宋体"/>
          <w:sz w:val="24"/>
        </w:rPr>
        <w:t>《建设项目环境影响评价分类管理名录》（2021年</w:t>
      </w:r>
      <w:r>
        <w:rPr>
          <w:rFonts w:hint="eastAsia" w:ascii="宋体" w:hAnsi="宋体"/>
          <w:sz w:val="24"/>
        </w:rPr>
        <w:t>版</w:t>
      </w:r>
      <w:r>
        <w:rPr>
          <w:rFonts w:ascii="宋体" w:hAnsi="宋体"/>
          <w:sz w:val="24"/>
        </w:rPr>
        <w:t>）</w:t>
      </w:r>
      <w:r>
        <w:rPr>
          <w:rFonts w:hint="eastAsia" w:ascii="宋体" w:hAnsi="宋体" w:cs="宋体"/>
          <w:kern w:val="0"/>
          <w:sz w:val="24"/>
          <w:szCs w:val="24"/>
          <w:lang w:bidi="zh-CN"/>
        </w:rPr>
        <w:t>此厂属于三十九、废弃资源综合利用业</w:t>
      </w:r>
      <w:r>
        <w:rPr>
          <w:rFonts w:hint="eastAsia" w:ascii="宋体" w:hAnsi="宋体" w:cs="宋体"/>
          <w:kern w:val="0"/>
          <w:sz w:val="24"/>
          <w:szCs w:val="24"/>
          <w:lang w:val="en-US" w:bidi="zh-CN"/>
        </w:rPr>
        <w:t>42中非金属废料和碎屑加工处理422，碎屑加工处理不含农业生产产生的废旧</w:t>
      </w:r>
      <w:r>
        <w:rPr>
          <w:rFonts w:hint="eastAsia" w:ascii="宋体" w:hAnsi="宋体" w:cs="宋体"/>
          <w:kern w:val="0"/>
          <w:sz w:val="24"/>
          <w:szCs w:val="24"/>
          <w:lang w:val="en-US" w:eastAsia="zh-CN" w:bidi="zh-CN"/>
        </w:rPr>
        <w:t>秧盘、薄膜破碎和清选工艺的除外，无需进行环境影响评价，同时本项目仅利用此厂预处理后的废旧地膜，此厂不属于本项目的建设内容。</w:t>
      </w:r>
      <w:r>
        <w:rPr>
          <w:rFonts w:hint="eastAsia" w:ascii="宋体" w:hAnsi="宋体"/>
          <w:sz w:val="24"/>
          <w:szCs w:val="21"/>
          <w:lang w:eastAsia="zh-CN"/>
        </w:rPr>
        <w:t>）</w:t>
      </w:r>
      <w:r>
        <w:rPr>
          <w:rFonts w:hint="eastAsia" w:ascii="宋体" w:hAnsi="宋体"/>
          <w:sz w:val="24"/>
          <w:szCs w:val="21"/>
        </w:rPr>
        <w:t>，此厂距离本项目东侧6.93km，年工作日为</w:t>
      </w:r>
      <w:r>
        <w:rPr>
          <w:rFonts w:hint="eastAsia" w:ascii="宋体" w:hAnsi="宋体"/>
          <w:sz w:val="24"/>
          <w:szCs w:val="21"/>
          <w:lang w:val="en-US" w:eastAsia="zh-CN"/>
        </w:rPr>
        <w:t>240</w:t>
      </w:r>
      <w:r>
        <w:rPr>
          <w:rFonts w:hint="eastAsia" w:ascii="宋体" w:hAnsi="宋体"/>
          <w:sz w:val="24"/>
          <w:szCs w:val="21"/>
        </w:rPr>
        <w:t>d，每天8h，每天预处理量为66.67t/d废地膜（分拣、破碎、清洗、烘干），本项目需废地膜（分拣、破碎、清洗、烘干</w:t>
      </w:r>
      <w:r>
        <w:rPr>
          <w:rFonts w:hint="eastAsia" w:ascii="宋体" w:hAnsi="宋体"/>
          <w:sz w:val="24"/>
          <w:szCs w:val="21"/>
          <w:lang w:eastAsia="zh-CN"/>
        </w:rPr>
        <w:t>后的</w:t>
      </w:r>
      <w:r>
        <w:rPr>
          <w:rFonts w:hint="eastAsia" w:ascii="宋体" w:hAnsi="宋体"/>
          <w:sz w:val="24"/>
          <w:szCs w:val="21"/>
        </w:rPr>
        <w:t>废地膜）</w:t>
      </w:r>
      <w:r>
        <w:rPr>
          <w:rFonts w:hint="eastAsia" w:ascii="宋体" w:hAnsi="宋体"/>
          <w:sz w:val="24"/>
          <w:szCs w:val="21"/>
          <w:lang w:val="en-US" w:eastAsia="zh-CN"/>
        </w:rPr>
        <w:t>22.917</w:t>
      </w:r>
      <w:r>
        <w:rPr>
          <w:rFonts w:hint="eastAsia" w:ascii="宋体" w:hAnsi="宋体"/>
          <w:sz w:val="24"/>
          <w:szCs w:val="21"/>
        </w:rPr>
        <w:t>t/d，只占此厂每天预处理量的</w:t>
      </w:r>
      <w:r>
        <w:rPr>
          <w:rFonts w:hint="eastAsia" w:ascii="宋体" w:hAnsi="宋体"/>
          <w:sz w:val="24"/>
          <w:szCs w:val="21"/>
          <w:lang w:val="en-US" w:eastAsia="zh-CN"/>
        </w:rPr>
        <w:t>34.37</w:t>
      </w:r>
      <w:r>
        <w:rPr>
          <w:rFonts w:hint="eastAsia" w:ascii="宋体" w:hAnsi="宋体"/>
          <w:sz w:val="24"/>
          <w:szCs w:val="21"/>
        </w:rPr>
        <w:t>%，此厂原料来源、种类控制有保障，能为本项目提供充足的废地膜原料，作为项目废地膜原料来源的依托具有可行性。</w:t>
      </w:r>
    </w:p>
    <w:p w14:paraId="3BFB589F">
      <w:pPr>
        <w:pStyle w:val="5"/>
        <w:rPr>
          <w:rFonts w:ascii="Times New Roman" w:hAnsi="Times New Roman"/>
          <w:color w:val="000000"/>
          <w:lang w:val="en-US"/>
        </w:rPr>
      </w:pPr>
      <w:r>
        <w:rPr>
          <w:rFonts w:hint="eastAsia" w:ascii="Times New Roman" w:hAnsi="Times New Roman"/>
          <w:color w:val="000000"/>
          <w:lang w:val="en-US"/>
        </w:rPr>
        <w:t>3.1.8.2</w:t>
      </w:r>
      <w:r>
        <w:rPr>
          <w:rFonts w:ascii="Times New Roman" w:hAnsi="Times New Roman"/>
          <w:color w:val="000000"/>
          <w:lang w:val="en-US"/>
        </w:rPr>
        <w:t>贮存要求</w:t>
      </w:r>
    </w:p>
    <w:p w14:paraId="6E95E001">
      <w:pPr>
        <w:pStyle w:val="252"/>
        <w:spacing w:line="360" w:lineRule="auto"/>
        <w:ind w:firstLine="480"/>
        <w:rPr>
          <w:rFonts w:hint="eastAsia" w:ascii="宋体" w:hAnsi="宋体"/>
          <w:sz w:val="24"/>
          <w:szCs w:val="21"/>
        </w:rPr>
      </w:pPr>
      <w:r>
        <w:rPr>
          <w:rFonts w:hint="eastAsia"/>
          <w:kern w:val="0"/>
          <w:sz w:val="24"/>
          <w:lang w:bidi="zh-CN"/>
        </w:rPr>
        <w:t>本项目原料来源主要由</w:t>
      </w:r>
      <w:r>
        <w:rPr>
          <w:rFonts w:hint="eastAsia" w:ascii="宋体" w:hAnsi="宋体"/>
          <w:sz w:val="24"/>
          <w:szCs w:val="21"/>
        </w:rPr>
        <w:t>距离本项目东侧6.93km处的废旧地膜回收预处理厂提供，由预处理厂拉运至本厂再生造粒生产滴灌带，再生颗粒直接进入滴灌带生产线，不在厂区内堆存，原料和成品临时堆放在原料堆棚内。</w:t>
      </w:r>
    </w:p>
    <w:p w14:paraId="181F20AF">
      <w:pPr>
        <w:pStyle w:val="4"/>
        <w:autoSpaceDE w:val="0"/>
        <w:autoSpaceDN w:val="0"/>
        <w:spacing w:before="0" w:after="0" w:line="360" w:lineRule="auto"/>
        <w:jc w:val="left"/>
        <w:rPr>
          <w:kern w:val="0"/>
          <w:sz w:val="24"/>
          <w:lang w:val="en-US" w:bidi="zh-CN"/>
        </w:rPr>
      </w:pPr>
      <w:r>
        <w:rPr>
          <w:rFonts w:hint="eastAsia"/>
          <w:kern w:val="0"/>
          <w:sz w:val="24"/>
          <w:lang w:val="en-US" w:bidi="zh-CN"/>
        </w:rPr>
        <w:t>3.1.9项目平面布置</w:t>
      </w:r>
    </w:p>
    <w:p w14:paraId="35771E08">
      <w:pPr>
        <w:spacing w:line="360" w:lineRule="auto"/>
        <w:ind w:firstLine="360" w:firstLineChars="150"/>
        <w:rPr>
          <w:rFonts w:hint="eastAsia" w:ascii="宋体" w:hAnsi="宋体"/>
          <w:sz w:val="24"/>
          <w:szCs w:val="21"/>
        </w:rPr>
      </w:pPr>
      <w:r>
        <w:rPr>
          <w:rFonts w:hint="eastAsia" w:ascii="宋体" w:hAnsi="宋体"/>
          <w:sz w:val="24"/>
          <w:szCs w:val="21"/>
        </w:rPr>
        <w:t>（1）项目用地现状</w:t>
      </w:r>
    </w:p>
    <w:p w14:paraId="35C7E21D">
      <w:pPr>
        <w:spacing w:line="360" w:lineRule="auto"/>
        <w:ind w:firstLine="360" w:firstLineChars="150"/>
        <w:rPr>
          <w:rFonts w:hint="eastAsia" w:ascii="宋体" w:hAnsi="宋体"/>
          <w:sz w:val="24"/>
          <w:szCs w:val="21"/>
        </w:rPr>
      </w:pPr>
      <w:r>
        <w:rPr>
          <w:rFonts w:hint="eastAsia" w:ascii="宋体" w:hAnsi="宋体"/>
          <w:sz w:val="24"/>
          <w:szCs w:val="21"/>
        </w:rPr>
        <w:t>本项目用地性质为工业用地，且项目用地周边不存在居民区、自然保护区等环境敏感目标。</w:t>
      </w:r>
    </w:p>
    <w:p w14:paraId="503A37C5">
      <w:pPr>
        <w:spacing w:line="360" w:lineRule="auto"/>
        <w:ind w:firstLine="360" w:firstLineChars="150"/>
        <w:rPr>
          <w:rFonts w:hint="eastAsia" w:ascii="宋体" w:hAnsi="宋体"/>
          <w:sz w:val="24"/>
          <w:szCs w:val="21"/>
        </w:rPr>
      </w:pPr>
      <w:r>
        <w:rPr>
          <w:rFonts w:hint="eastAsia" w:ascii="宋体" w:hAnsi="宋体"/>
          <w:sz w:val="24"/>
          <w:szCs w:val="21"/>
        </w:rPr>
        <w:t>（2）项目区平面布置</w:t>
      </w:r>
    </w:p>
    <w:p w14:paraId="647A541C">
      <w:pPr>
        <w:spacing w:line="360" w:lineRule="auto"/>
        <w:ind w:firstLine="480" w:firstLineChars="200"/>
        <w:rPr>
          <w:rFonts w:hint="eastAsia" w:ascii="宋体" w:hAnsi="宋体"/>
          <w:sz w:val="24"/>
          <w:szCs w:val="21"/>
        </w:rPr>
      </w:pPr>
      <w:r>
        <w:rPr>
          <w:rFonts w:hint="eastAsia" w:ascii="宋体" w:hAnsi="宋体"/>
          <w:sz w:val="24"/>
          <w:szCs w:val="21"/>
        </w:rPr>
        <w:t>本项目租用现有厂房，按照项目生产工艺要求进行明确功能分区分为办公生活区、生产加工区及存储区，方便联系又有隔离的原则，项目整体呈矩形布置，厂房布置造粒生产线、滴灌带生产线，位于厂区西南侧，堆场位于厂区东南角，办公生活区位于东北侧。危废贮存点位于厂房的东南角。停车场位于厂区西北侧，内部路面均为混凝土路面。项目区常年主导风向为东北风，生活区位于厂房东北侧，减少了生产区废气对生活办公区影响。</w:t>
      </w:r>
    </w:p>
    <w:p w14:paraId="31DFEE9A">
      <w:pPr>
        <w:spacing w:line="520" w:lineRule="exact"/>
        <w:ind w:firstLine="480" w:firstLineChars="200"/>
        <w:rPr>
          <w:rFonts w:hint="eastAsia" w:ascii="宋体" w:hAnsi="宋体"/>
          <w:sz w:val="24"/>
          <w:szCs w:val="21"/>
        </w:rPr>
      </w:pPr>
      <w:r>
        <w:rPr>
          <w:rFonts w:hint="eastAsia" w:ascii="宋体" w:hAnsi="宋体"/>
          <w:sz w:val="24"/>
          <w:szCs w:val="21"/>
        </w:rPr>
        <w:t>综上所述，厂区总平面布置符合国家的有关规定及要求，结合场地自然条件及现状，满足生产运输、安全卫生、环境保护等方面的需要；同时考虑企业在生产、交通运输、动力设施、设备维修等方面的协作关系，遵循节约用地的原则，做到生产工艺流程顺畅，通道宽度适中，总图布置合理紧凑，协调统一，平面布置总体合理。</w:t>
      </w:r>
    </w:p>
    <w:p w14:paraId="7D35A7F2">
      <w:pPr>
        <w:spacing w:line="520" w:lineRule="exact"/>
        <w:ind w:firstLine="480" w:firstLineChars="200"/>
        <w:rPr>
          <w:rFonts w:hint="eastAsia" w:ascii="宋体" w:hAnsi="宋体"/>
          <w:sz w:val="24"/>
          <w:szCs w:val="21"/>
        </w:rPr>
      </w:pPr>
      <w:r>
        <w:rPr>
          <w:rFonts w:ascii="宋体" w:hAnsi="宋体"/>
          <w:sz w:val="24"/>
          <w:szCs w:val="21"/>
        </w:rPr>
        <w:t>厂区平面布置示意图3.1-2所示。</w:t>
      </w:r>
    </w:p>
    <w:p w14:paraId="0E78EEF8">
      <w:pPr>
        <w:pStyle w:val="4"/>
        <w:autoSpaceDE w:val="0"/>
        <w:autoSpaceDN w:val="0"/>
        <w:spacing w:before="0" w:after="0" w:line="520" w:lineRule="exact"/>
        <w:jc w:val="left"/>
        <w:rPr>
          <w:kern w:val="0"/>
          <w:sz w:val="24"/>
          <w:lang w:val="en-US" w:bidi="zh-CN"/>
        </w:rPr>
      </w:pPr>
      <w:bookmarkStart w:id="126" w:name="_Toc363049959"/>
      <w:bookmarkStart w:id="127" w:name="_Toc332727826"/>
      <w:bookmarkStart w:id="128" w:name="_Toc164427365"/>
      <w:bookmarkStart w:id="129" w:name="_Toc363049957"/>
      <w:r>
        <w:rPr>
          <w:rFonts w:hint="eastAsia"/>
          <w:kern w:val="0"/>
          <w:sz w:val="24"/>
          <w:lang w:val="en-US" w:bidi="zh-CN"/>
        </w:rPr>
        <w:t>3..1.10组织定员</w:t>
      </w:r>
      <w:bookmarkEnd w:id="126"/>
      <w:bookmarkEnd w:id="127"/>
      <w:bookmarkEnd w:id="128"/>
      <w:r>
        <w:rPr>
          <w:rFonts w:hint="eastAsia"/>
          <w:kern w:val="0"/>
          <w:sz w:val="24"/>
          <w:lang w:val="en-US" w:bidi="zh-CN"/>
        </w:rPr>
        <w:t>和工作制度</w:t>
      </w:r>
    </w:p>
    <w:p w14:paraId="507463E7">
      <w:pPr>
        <w:snapToGrid w:val="0"/>
        <w:spacing w:line="520" w:lineRule="exact"/>
        <w:ind w:firstLine="480" w:firstLineChars="200"/>
        <w:rPr>
          <w:rFonts w:hint="eastAsia" w:ascii="宋体" w:hAnsi="宋体"/>
          <w:sz w:val="24"/>
          <w:szCs w:val="24"/>
        </w:rPr>
      </w:pPr>
      <w:r>
        <w:rPr>
          <w:rFonts w:ascii="宋体" w:hAnsi="宋体"/>
          <w:sz w:val="24"/>
          <w:szCs w:val="24"/>
        </w:rPr>
        <w:t>全厂劳动定员</w:t>
      </w:r>
      <w:r>
        <w:rPr>
          <w:rFonts w:hint="eastAsia" w:ascii="宋体" w:hAnsi="宋体"/>
          <w:sz w:val="24"/>
          <w:szCs w:val="24"/>
        </w:rPr>
        <w:t>6</w:t>
      </w:r>
      <w:r>
        <w:rPr>
          <w:rFonts w:ascii="宋体" w:hAnsi="宋体"/>
          <w:sz w:val="24"/>
          <w:szCs w:val="24"/>
        </w:rPr>
        <w:t>人，职工均</w:t>
      </w:r>
      <w:r>
        <w:rPr>
          <w:rFonts w:hint="eastAsia" w:ascii="宋体" w:hAnsi="宋体"/>
          <w:sz w:val="24"/>
          <w:szCs w:val="24"/>
          <w:lang w:eastAsia="zh-CN"/>
        </w:rPr>
        <w:t>不</w:t>
      </w:r>
      <w:r>
        <w:rPr>
          <w:rFonts w:ascii="宋体" w:hAnsi="宋体"/>
          <w:sz w:val="24"/>
          <w:szCs w:val="24"/>
        </w:rPr>
        <w:t>在厂区内食宿。</w:t>
      </w:r>
      <w:r>
        <w:rPr>
          <w:rFonts w:hint="eastAsia" w:ascii="宋体" w:hAnsi="宋体"/>
          <w:sz w:val="24"/>
          <w:szCs w:val="24"/>
        </w:rPr>
        <w:t>每天3班，每班工作8小时，</w:t>
      </w:r>
      <w:r>
        <w:rPr>
          <w:rFonts w:hint="default" w:ascii="Times New Roman" w:hAnsi="Times New Roman" w:eastAsia="宋体" w:cs="Times New Roman"/>
          <w:color w:val="auto"/>
          <w:kern w:val="0"/>
          <w:sz w:val="24"/>
          <w:szCs w:val="24"/>
          <w:lang w:val="en-US" w:eastAsia="zh-CN" w:bidi="ar"/>
        </w:rPr>
        <w:t>生产周期为1</w:t>
      </w:r>
      <w:r>
        <w:rPr>
          <w:rFonts w:hint="eastAsia" w:ascii="Times New Roman" w:hAnsi="Times New Roman" w:eastAsia="宋体" w:cs="Times New Roman"/>
          <w:color w:val="auto"/>
          <w:kern w:val="0"/>
          <w:sz w:val="24"/>
          <w:szCs w:val="24"/>
          <w:lang w:val="en-US" w:eastAsia="zh-CN" w:bidi="ar"/>
        </w:rPr>
        <w:t>0</w:t>
      </w:r>
      <w:r>
        <w:rPr>
          <w:rFonts w:hint="default" w:ascii="Times New Roman" w:hAnsi="Times New Roman" w:eastAsia="宋体" w:cs="Times New Roman"/>
          <w:color w:val="auto"/>
          <w:kern w:val="0"/>
          <w:sz w:val="24"/>
          <w:szCs w:val="24"/>
          <w:lang w:val="en-US" w:eastAsia="zh-CN" w:bidi="ar"/>
        </w:rPr>
        <w:t>月至</w:t>
      </w:r>
      <w:r>
        <w:rPr>
          <w:rFonts w:hint="eastAsia" w:ascii="Times New Roman" w:hAnsi="Times New Roman" w:eastAsia="宋体" w:cs="Times New Roman"/>
          <w:color w:val="auto"/>
          <w:kern w:val="0"/>
          <w:sz w:val="24"/>
          <w:szCs w:val="24"/>
          <w:lang w:val="en-US" w:eastAsia="zh-CN" w:bidi="ar"/>
        </w:rPr>
        <w:t>5</w:t>
      </w:r>
      <w:r>
        <w:rPr>
          <w:rFonts w:hint="default" w:ascii="Times New Roman" w:hAnsi="Times New Roman" w:eastAsia="宋体" w:cs="Times New Roman"/>
          <w:color w:val="auto"/>
          <w:kern w:val="0"/>
          <w:sz w:val="24"/>
          <w:szCs w:val="24"/>
          <w:lang w:val="en-US" w:eastAsia="zh-CN" w:bidi="ar"/>
        </w:rPr>
        <w:t>月底</w:t>
      </w:r>
      <w:r>
        <w:rPr>
          <w:rFonts w:hint="eastAsia" w:ascii="Times New Roman" w:hAnsi="Times New Roman" w:eastAsia="宋体" w:cs="Times New Roman"/>
          <w:color w:val="auto"/>
          <w:kern w:val="0"/>
          <w:sz w:val="24"/>
          <w:szCs w:val="24"/>
          <w:lang w:val="en-US" w:eastAsia="zh-CN" w:bidi="ar"/>
        </w:rPr>
        <w:t>（240天，5760h）</w:t>
      </w:r>
      <w:r>
        <w:rPr>
          <w:rFonts w:ascii="宋体" w:hAnsi="宋体"/>
          <w:sz w:val="24"/>
          <w:szCs w:val="24"/>
        </w:rPr>
        <w:t>。</w:t>
      </w:r>
    </w:p>
    <w:p w14:paraId="1C297D85">
      <w:pPr>
        <w:pStyle w:val="4"/>
        <w:autoSpaceDE w:val="0"/>
        <w:autoSpaceDN w:val="0"/>
        <w:spacing w:before="0" w:after="0" w:line="360" w:lineRule="auto"/>
        <w:jc w:val="left"/>
        <w:rPr>
          <w:kern w:val="0"/>
          <w:sz w:val="24"/>
          <w:lang w:val="en-US" w:bidi="zh-CN"/>
        </w:rPr>
      </w:pPr>
      <w:r>
        <w:rPr>
          <w:rFonts w:hint="eastAsia"/>
          <w:kern w:val="0"/>
          <w:sz w:val="24"/>
          <w:lang w:val="en-US" w:bidi="zh-CN"/>
        </w:rPr>
        <w:t>3.1.11公用工程</w:t>
      </w:r>
      <w:bookmarkEnd w:id="129"/>
    </w:p>
    <w:p w14:paraId="7EC120AB">
      <w:pPr>
        <w:pStyle w:val="5"/>
        <w:rPr>
          <w:rFonts w:ascii="Times New Roman" w:hAnsi="Times New Roman"/>
          <w:color w:val="000000"/>
          <w:lang w:val="en-US"/>
        </w:rPr>
      </w:pPr>
      <w:r>
        <w:rPr>
          <w:rFonts w:hint="eastAsia" w:ascii="Times New Roman" w:hAnsi="Times New Roman"/>
          <w:color w:val="000000"/>
          <w:lang w:val="en-US"/>
        </w:rPr>
        <w:t>3.1.11.1给水</w:t>
      </w:r>
    </w:p>
    <w:p w14:paraId="520F39A7">
      <w:pPr>
        <w:widowControl/>
        <w:autoSpaceDE w:val="0"/>
        <w:autoSpaceDN w:val="0"/>
        <w:adjustRightInd w:val="0"/>
        <w:spacing w:line="360" w:lineRule="auto"/>
        <w:ind w:firstLine="480" w:firstLineChars="200"/>
        <w:jc w:val="left"/>
        <w:rPr>
          <w:color w:val="000000"/>
          <w:kern w:val="0"/>
          <w:sz w:val="24"/>
          <w:szCs w:val="24"/>
        </w:rPr>
      </w:pPr>
      <w:r>
        <w:rPr>
          <w:rFonts w:hint="eastAsia"/>
          <w:color w:val="000000"/>
          <w:kern w:val="0"/>
          <w:sz w:val="24"/>
          <w:szCs w:val="24"/>
        </w:rPr>
        <w:t>①生活用水</w:t>
      </w:r>
    </w:p>
    <w:p w14:paraId="2D23AD7C">
      <w:pPr>
        <w:widowControl/>
        <w:overflowPunct w:val="0"/>
        <w:topLinePunct/>
        <w:autoSpaceDN w:val="0"/>
        <w:adjustRightInd w:val="0"/>
        <w:spacing w:line="360" w:lineRule="auto"/>
        <w:ind w:firstLine="480" w:firstLineChars="200"/>
        <w:rPr>
          <w:color w:val="000000"/>
          <w:kern w:val="0"/>
          <w:sz w:val="24"/>
          <w:szCs w:val="24"/>
        </w:rPr>
      </w:pPr>
      <w:r>
        <w:rPr>
          <w:color w:val="000000"/>
          <w:kern w:val="0"/>
          <w:sz w:val="24"/>
          <w:szCs w:val="24"/>
        </w:rPr>
        <w:t>项目劳动定员</w:t>
      </w:r>
      <w:r>
        <w:rPr>
          <w:rFonts w:hint="eastAsia"/>
          <w:color w:val="000000"/>
          <w:kern w:val="0"/>
          <w:sz w:val="24"/>
          <w:szCs w:val="24"/>
        </w:rPr>
        <w:t>6</w:t>
      </w:r>
      <w:r>
        <w:rPr>
          <w:color w:val="000000"/>
          <w:kern w:val="0"/>
          <w:sz w:val="24"/>
          <w:szCs w:val="24"/>
        </w:rPr>
        <w:t>人，年生产</w:t>
      </w:r>
      <w:r>
        <w:rPr>
          <w:rFonts w:hint="eastAsia"/>
          <w:color w:val="000000"/>
          <w:kern w:val="0"/>
          <w:sz w:val="24"/>
          <w:szCs w:val="24"/>
          <w:lang w:val="en-US" w:eastAsia="zh-CN"/>
        </w:rPr>
        <w:t>240</w:t>
      </w:r>
      <w:r>
        <w:rPr>
          <w:color w:val="000000"/>
          <w:kern w:val="0"/>
          <w:sz w:val="24"/>
          <w:szCs w:val="24"/>
        </w:rPr>
        <w:t>d，</w:t>
      </w:r>
      <w:r>
        <w:rPr>
          <w:rFonts w:hint="eastAsia"/>
          <w:color w:val="000000"/>
          <w:kern w:val="0"/>
          <w:sz w:val="24"/>
          <w:szCs w:val="24"/>
        </w:rPr>
        <w:t>均</w:t>
      </w:r>
      <w:r>
        <w:rPr>
          <w:rFonts w:hint="eastAsia"/>
          <w:color w:val="000000"/>
          <w:kern w:val="0"/>
          <w:sz w:val="24"/>
          <w:szCs w:val="24"/>
          <w:lang w:eastAsia="zh-CN"/>
        </w:rPr>
        <w:t>不</w:t>
      </w:r>
      <w:r>
        <w:rPr>
          <w:rFonts w:hint="eastAsia"/>
          <w:color w:val="000000"/>
          <w:kern w:val="0"/>
          <w:sz w:val="24"/>
          <w:szCs w:val="24"/>
        </w:rPr>
        <w:t>在厂区食宿，</w:t>
      </w:r>
      <w:r>
        <w:rPr>
          <w:color w:val="000000"/>
          <w:kern w:val="0"/>
          <w:sz w:val="24"/>
          <w:szCs w:val="24"/>
        </w:rPr>
        <w:t>根据《新疆维吾尔自治区生活用水定额》，项目生活用水量按</w:t>
      </w:r>
      <w:r>
        <w:rPr>
          <w:rFonts w:hint="eastAsia"/>
          <w:color w:val="000000"/>
          <w:kern w:val="0"/>
          <w:sz w:val="24"/>
          <w:szCs w:val="24"/>
          <w:lang w:val="en-US" w:eastAsia="zh-CN"/>
        </w:rPr>
        <w:t>80</w:t>
      </w:r>
      <w:r>
        <w:rPr>
          <w:color w:val="000000"/>
          <w:kern w:val="0"/>
          <w:sz w:val="24"/>
          <w:szCs w:val="24"/>
        </w:rPr>
        <w:t>L/</w:t>
      </w:r>
      <w:r>
        <w:rPr>
          <w:rFonts w:hint="eastAsia"/>
          <w:color w:val="000000"/>
          <w:kern w:val="0"/>
          <w:sz w:val="24"/>
          <w:szCs w:val="24"/>
        </w:rPr>
        <w:t>（</w:t>
      </w:r>
      <w:r>
        <w:rPr>
          <w:color w:val="000000"/>
          <w:kern w:val="0"/>
          <w:sz w:val="24"/>
          <w:szCs w:val="24"/>
        </w:rPr>
        <w:t>d·人</w:t>
      </w:r>
      <w:r>
        <w:rPr>
          <w:rFonts w:hint="eastAsia"/>
          <w:color w:val="000000"/>
          <w:kern w:val="0"/>
          <w:sz w:val="24"/>
          <w:szCs w:val="24"/>
        </w:rPr>
        <w:t>）</w:t>
      </w:r>
      <w:r>
        <w:rPr>
          <w:color w:val="000000"/>
          <w:kern w:val="0"/>
          <w:sz w:val="24"/>
          <w:szCs w:val="24"/>
        </w:rPr>
        <w:t>计算，则生活用水量为</w:t>
      </w:r>
      <w:r>
        <w:rPr>
          <w:rFonts w:hint="eastAsia"/>
          <w:color w:val="000000"/>
          <w:kern w:val="0"/>
          <w:sz w:val="24"/>
          <w:szCs w:val="24"/>
        </w:rPr>
        <w:t>0.</w:t>
      </w:r>
      <w:r>
        <w:rPr>
          <w:rFonts w:hint="eastAsia"/>
          <w:color w:val="000000"/>
          <w:kern w:val="0"/>
          <w:sz w:val="24"/>
          <w:szCs w:val="24"/>
          <w:lang w:val="en-US" w:eastAsia="zh-CN"/>
        </w:rPr>
        <w:t>48</w:t>
      </w:r>
      <w:r>
        <w:rPr>
          <w:color w:val="000000"/>
          <w:kern w:val="0"/>
          <w:sz w:val="24"/>
          <w:szCs w:val="24"/>
        </w:rPr>
        <w:t>m</w:t>
      </w:r>
      <w:r>
        <w:rPr>
          <w:color w:val="000000"/>
          <w:kern w:val="0"/>
          <w:sz w:val="24"/>
          <w:szCs w:val="24"/>
          <w:vertAlign w:val="superscript"/>
        </w:rPr>
        <w:t>3</w:t>
      </w:r>
      <w:r>
        <w:rPr>
          <w:color w:val="000000"/>
          <w:kern w:val="0"/>
          <w:sz w:val="24"/>
          <w:szCs w:val="24"/>
        </w:rPr>
        <w:t>/d</w:t>
      </w:r>
      <w:r>
        <w:rPr>
          <w:rFonts w:hint="eastAsia"/>
          <w:color w:val="000000"/>
          <w:kern w:val="0"/>
          <w:sz w:val="24"/>
          <w:szCs w:val="24"/>
        </w:rPr>
        <w:t>（</w:t>
      </w:r>
      <w:r>
        <w:rPr>
          <w:rFonts w:hint="eastAsia"/>
          <w:color w:val="000000"/>
          <w:kern w:val="0"/>
          <w:sz w:val="24"/>
          <w:szCs w:val="24"/>
          <w:lang w:val="en-US" w:eastAsia="zh-CN"/>
        </w:rPr>
        <w:t>115.2</w:t>
      </w:r>
      <w:r>
        <w:rPr>
          <w:color w:val="000000"/>
          <w:kern w:val="0"/>
          <w:sz w:val="24"/>
          <w:szCs w:val="24"/>
        </w:rPr>
        <w:t>m</w:t>
      </w:r>
      <w:r>
        <w:rPr>
          <w:color w:val="000000"/>
          <w:kern w:val="0"/>
          <w:sz w:val="24"/>
          <w:szCs w:val="24"/>
          <w:vertAlign w:val="superscript"/>
        </w:rPr>
        <w:t>3</w:t>
      </w:r>
      <w:r>
        <w:rPr>
          <w:color w:val="000000"/>
          <w:kern w:val="0"/>
          <w:sz w:val="24"/>
          <w:szCs w:val="24"/>
        </w:rPr>
        <w:t>/a</w:t>
      </w:r>
      <w:r>
        <w:rPr>
          <w:rFonts w:hint="eastAsia"/>
          <w:color w:val="000000"/>
          <w:kern w:val="0"/>
          <w:sz w:val="24"/>
          <w:szCs w:val="24"/>
        </w:rPr>
        <w:t>）</w:t>
      </w:r>
      <w:r>
        <w:rPr>
          <w:color w:val="000000"/>
          <w:kern w:val="0"/>
          <w:sz w:val="24"/>
          <w:szCs w:val="24"/>
        </w:rPr>
        <w:t>。生活用水全部为新鲜水。</w:t>
      </w:r>
    </w:p>
    <w:p w14:paraId="4CC34483">
      <w:pPr>
        <w:widowControl/>
        <w:spacing w:line="360" w:lineRule="auto"/>
        <w:ind w:firstLine="480" w:firstLineChars="200"/>
        <w:jc w:val="left"/>
        <w:rPr>
          <w:color w:val="000000"/>
          <w:kern w:val="0"/>
          <w:sz w:val="24"/>
          <w:szCs w:val="24"/>
        </w:rPr>
      </w:pPr>
      <w:r>
        <w:rPr>
          <w:rFonts w:hint="eastAsia"/>
          <w:color w:val="000000"/>
          <w:kern w:val="0"/>
          <w:sz w:val="24"/>
          <w:szCs w:val="24"/>
        </w:rPr>
        <w:t>②生产用水</w:t>
      </w:r>
    </w:p>
    <w:p w14:paraId="7A2846F4">
      <w:pPr>
        <w:widowControl/>
        <w:spacing w:line="360" w:lineRule="auto"/>
        <w:ind w:firstLine="480" w:firstLineChars="200"/>
        <w:rPr>
          <w:color w:val="000000"/>
          <w:kern w:val="0"/>
          <w:sz w:val="24"/>
          <w:szCs w:val="24"/>
        </w:rPr>
      </w:pPr>
      <w:r>
        <w:rPr>
          <w:rFonts w:hint="eastAsia"/>
          <w:color w:val="000000"/>
          <w:kern w:val="0"/>
          <w:sz w:val="24"/>
          <w:szCs w:val="24"/>
        </w:rPr>
        <w:t>本项目造粒、滴灌带挤出冷却定型生产工序采用直接风冷的方式进行冷却，项目造粒、滴灌带生产设施单独配套有冷风机，无</w:t>
      </w:r>
      <w:r>
        <w:rPr>
          <w:rFonts w:hint="eastAsia"/>
          <w:color w:val="000000"/>
          <w:kern w:val="0"/>
          <w:sz w:val="24"/>
          <w:szCs w:val="24"/>
          <w:lang w:eastAsia="zh-CN"/>
        </w:rPr>
        <w:t>生产废水</w:t>
      </w:r>
      <w:r>
        <w:rPr>
          <w:rFonts w:hint="eastAsia"/>
          <w:color w:val="000000"/>
          <w:kern w:val="0"/>
          <w:sz w:val="24"/>
          <w:szCs w:val="24"/>
        </w:rPr>
        <w:t>。</w:t>
      </w:r>
      <w:r>
        <w:rPr>
          <w:color w:val="000000"/>
          <w:kern w:val="0"/>
          <w:sz w:val="24"/>
          <w:szCs w:val="24"/>
        </w:rPr>
        <w:t xml:space="preserve"> </w:t>
      </w:r>
    </w:p>
    <w:p w14:paraId="7636F805">
      <w:pPr>
        <w:spacing w:line="360" w:lineRule="auto"/>
        <w:ind w:firstLine="480" w:firstLineChars="200"/>
        <w:rPr>
          <w:rFonts w:hint="eastAsia" w:ascii="宋体" w:hAnsi="宋体"/>
          <w:sz w:val="24"/>
        </w:rPr>
      </w:pPr>
      <w:r>
        <w:rPr>
          <w:rFonts w:ascii="宋体" w:hAnsi="宋体"/>
          <w:sz w:val="24"/>
        </w:rPr>
        <w:t>项目区供水由市政自来水管网供给，供水能力能够满足项目用水需要。</w:t>
      </w:r>
    </w:p>
    <w:p w14:paraId="35D5E1E9">
      <w:pPr>
        <w:pStyle w:val="5"/>
        <w:rPr>
          <w:rFonts w:ascii="Times New Roman" w:hAnsi="Times New Roman"/>
          <w:color w:val="000000"/>
          <w:lang w:val="en-US"/>
        </w:rPr>
      </w:pPr>
      <w:r>
        <w:rPr>
          <w:rFonts w:hint="eastAsia" w:ascii="Times New Roman" w:hAnsi="Times New Roman"/>
          <w:color w:val="000000"/>
          <w:lang w:val="en-US"/>
        </w:rPr>
        <w:t>3.1.11.2排水工程</w:t>
      </w:r>
    </w:p>
    <w:p w14:paraId="1C43533E">
      <w:pPr>
        <w:adjustRightInd w:val="0"/>
        <w:spacing w:line="360" w:lineRule="auto"/>
        <w:ind w:firstLine="480" w:firstLineChars="200"/>
        <w:textAlignment w:val="baseline"/>
        <w:rPr>
          <w:color w:val="000000"/>
          <w:kern w:val="0"/>
          <w:sz w:val="24"/>
          <w:szCs w:val="24"/>
        </w:rPr>
      </w:pPr>
      <w:r>
        <w:rPr>
          <w:rFonts w:hint="eastAsia"/>
          <w:color w:val="000000"/>
          <w:kern w:val="0"/>
          <w:sz w:val="24"/>
          <w:szCs w:val="24"/>
        </w:rPr>
        <w:t>生活污水产生量按生活用水量的80%计算，项目生活用水量为0.</w:t>
      </w:r>
      <w:r>
        <w:rPr>
          <w:rFonts w:hint="eastAsia"/>
          <w:color w:val="000000"/>
          <w:kern w:val="0"/>
          <w:sz w:val="24"/>
          <w:szCs w:val="24"/>
          <w:lang w:val="en-US" w:eastAsia="zh-CN"/>
        </w:rPr>
        <w:t>48</w:t>
      </w:r>
      <w:r>
        <w:rPr>
          <w:color w:val="000000"/>
          <w:kern w:val="0"/>
          <w:sz w:val="24"/>
          <w:szCs w:val="24"/>
        </w:rPr>
        <w:t>m</w:t>
      </w:r>
      <w:r>
        <w:rPr>
          <w:color w:val="000000"/>
          <w:kern w:val="0"/>
          <w:sz w:val="24"/>
          <w:szCs w:val="24"/>
          <w:vertAlign w:val="superscript"/>
        </w:rPr>
        <w:t>3</w:t>
      </w:r>
      <w:r>
        <w:rPr>
          <w:color w:val="000000"/>
          <w:kern w:val="0"/>
          <w:sz w:val="24"/>
          <w:szCs w:val="24"/>
        </w:rPr>
        <w:t>/d</w:t>
      </w:r>
      <w:r>
        <w:rPr>
          <w:rFonts w:hint="eastAsia"/>
          <w:color w:val="000000"/>
          <w:kern w:val="0"/>
          <w:sz w:val="24"/>
          <w:szCs w:val="24"/>
        </w:rPr>
        <w:t>（</w:t>
      </w:r>
      <w:r>
        <w:rPr>
          <w:rFonts w:hint="eastAsia"/>
          <w:color w:val="000000"/>
          <w:kern w:val="0"/>
          <w:sz w:val="24"/>
          <w:szCs w:val="24"/>
          <w:lang w:val="en-US" w:eastAsia="zh-CN"/>
        </w:rPr>
        <w:t>115.2</w:t>
      </w:r>
      <w:r>
        <w:rPr>
          <w:color w:val="000000"/>
          <w:kern w:val="0"/>
          <w:sz w:val="24"/>
          <w:szCs w:val="24"/>
        </w:rPr>
        <w:t>m</w:t>
      </w:r>
      <w:r>
        <w:rPr>
          <w:color w:val="000000"/>
          <w:kern w:val="0"/>
          <w:sz w:val="24"/>
          <w:szCs w:val="24"/>
          <w:vertAlign w:val="superscript"/>
        </w:rPr>
        <w:t>3</w:t>
      </w:r>
      <w:r>
        <w:rPr>
          <w:color w:val="000000"/>
          <w:kern w:val="0"/>
          <w:sz w:val="24"/>
          <w:szCs w:val="24"/>
        </w:rPr>
        <w:t>/a</w:t>
      </w:r>
      <w:r>
        <w:rPr>
          <w:rFonts w:hint="eastAsia"/>
          <w:color w:val="000000"/>
          <w:kern w:val="0"/>
          <w:sz w:val="24"/>
          <w:szCs w:val="24"/>
        </w:rPr>
        <w:t>），则生活污水产生量为</w:t>
      </w:r>
      <w:r>
        <w:rPr>
          <w:rFonts w:hint="eastAsia"/>
          <w:color w:val="000000"/>
          <w:kern w:val="0"/>
          <w:sz w:val="24"/>
          <w:szCs w:val="24"/>
          <w:lang w:val="en-US" w:eastAsia="zh-CN"/>
        </w:rPr>
        <w:t>0.384</w:t>
      </w:r>
      <w:r>
        <w:rPr>
          <w:color w:val="000000"/>
          <w:kern w:val="0"/>
          <w:sz w:val="24"/>
          <w:szCs w:val="24"/>
        </w:rPr>
        <w:t>m</w:t>
      </w:r>
      <w:r>
        <w:rPr>
          <w:color w:val="000000"/>
          <w:kern w:val="0"/>
          <w:sz w:val="24"/>
          <w:szCs w:val="24"/>
          <w:vertAlign w:val="superscript"/>
        </w:rPr>
        <w:t>3</w:t>
      </w:r>
      <w:r>
        <w:rPr>
          <w:color w:val="000000"/>
          <w:kern w:val="0"/>
          <w:sz w:val="24"/>
          <w:szCs w:val="24"/>
        </w:rPr>
        <w:t>/d</w:t>
      </w:r>
      <w:r>
        <w:rPr>
          <w:rFonts w:hint="eastAsia"/>
          <w:color w:val="000000"/>
          <w:kern w:val="0"/>
          <w:sz w:val="24"/>
          <w:szCs w:val="24"/>
        </w:rPr>
        <w:t>（</w:t>
      </w:r>
      <w:r>
        <w:rPr>
          <w:rFonts w:hint="eastAsia"/>
          <w:color w:val="000000"/>
          <w:kern w:val="0"/>
          <w:sz w:val="24"/>
          <w:szCs w:val="24"/>
          <w:lang w:val="en-US" w:eastAsia="zh-CN"/>
        </w:rPr>
        <w:t>92.16</w:t>
      </w:r>
      <w:r>
        <w:rPr>
          <w:color w:val="000000"/>
          <w:kern w:val="0"/>
          <w:sz w:val="24"/>
          <w:szCs w:val="24"/>
        </w:rPr>
        <w:t>m</w:t>
      </w:r>
      <w:r>
        <w:rPr>
          <w:color w:val="000000"/>
          <w:kern w:val="0"/>
          <w:sz w:val="24"/>
          <w:szCs w:val="24"/>
          <w:vertAlign w:val="superscript"/>
        </w:rPr>
        <w:t>3</w:t>
      </w:r>
      <w:r>
        <w:rPr>
          <w:color w:val="000000"/>
          <w:kern w:val="0"/>
          <w:sz w:val="24"/>
          <w:szCs w:val="24"/>
        </w:rPr>
        <w:t>/a</w:t>
      </w:r>
      <w:r>
        <w:rPr>
          <w:rFonts w:hint="eastAsia"/>
          <w:color w:val="000000"/>
          <w:kern w:val="0"/>
          <w:sz w:val="24"/>
          <w:szCs w:val="24"/>
        </w:rPr>
        <w:t>）。生活污水</w:t>
      </w:r>
      <w:r>
        <w:rPr>
          <w:rFonts w:hint="eastAsia"/>
          <w:color w:val="000000"/>
          <w:kern w:val="0"/>
          <w:sz w:val="24"/>
          <w:szCs w:val="24"/>
          <w:lang w:eastAsia="zh-CN"/>
        </w:rPr>
        <w:t>排入</w:t>
      </w:r>
      <w:r>
        <w:rPr>
          <w:rFonts w:hint="eastAsia"/>
          <w:color w:val="000000"/>
          <w:kern w:val="0"/>
          <w:sz w:val="24"/>
          <w:szCs w:val="24"/>
          <w:lang w:val="en-US" w:eastAsia="zh-CN"/>
        </w:rPr>
        <w:t>1</w:t>
      </w:r>
      <w:r>
        <w:rPr>
          <w:rFonts w:hint="eastAsia"/>
          <w:color w:val="000000"/>
          <w:kern w:val="0"/>
          <w:sz w:val="24"/>
          <w:szCs w:val="24"/>
          <w:lang w:eastAsia="zh-CN"/>
        </w:rPr>
        <w:t>0m</w:t>
      </w:r>
      <w:r>
        <w:rPr>
          <w:rFonts w:hint="eastAsia"/>
          <w:color w:val="000000"/>
          <w:kern w:val="0"/>
          <w:sz w:val="24"/>
          <w:szCs w:val="24"/>
          <w:vertAlign w:val="superscript"/>
          <w:lang w:eastAsia="zh-CN"/>
        </w:rPr>
        <w:t>3</w:t>
      </w:r>
      <w:r>
        <w:rPr>
          <w:rFonts w:hint="eastAsia"/>
          <w:color w:val="000000"/>
          <w:kern w:val="0"/>
          <w:sz w:val="24"/>
          <w:szCs w:val="24"/>
          <w:lang w:val="en-US" w:eastAsia="zh-CN"/>
        </w:rPr>
        <w:t>防渗化粪池</w:t>
      </w:r>
      <w:r>
        <w:rPr>
          <w:rFonts w:hint="eastAsia"/>
          <w:color w:val="000000"/>
          <w:kern w:val="0"/>
          <w:sz w:val="24"/>
          <w:szCs w:val="24"/>
          <w:lang w:eastAsia="zh-CN"/>
        </w:rPr>
        <w:t>，定期由库尔勒龙润水处理有限公司采用罐车拉运至库尔勒南市区污水处理厂</w:t>
      </w:r>
      <w:r>
        <w:rPr>
          <w:rFonts w:hint="eastAsia"/>
          <w:color w:val="000000"/>
          <w:kern w:val="0"/>
          <w:sz w:val="24"/>
          <w:szCs w:val="24"/>
        </w:rPr>
        <w:t>。</w:t>
      </w:r>
    </w:p>
    <w:p w14:paraId="419CCCC0">
      <w:pPr>
        <w:pStyle w:val="5"/>
        <w:rPr>
          <w:rFonts w:ascii="Times New Roman" w:hAnsi="Times New Roman"/>
          <w:color w:val="000000"/>
          <w:lang w:val="en-US"/>
        </w:rPr>
      </w:pPr>
      <w:r>
        <w:rPr>
          <w:rFonts w:hint="eastAsia" w:ascii="Times New Roman" w:hAnsi="Times New Roman"/>
          <w:color w:val="000000"/>
          <w:lang w:val="en-US"/>
        </w:rPr>
        <w:t>3.1.11.3供电</w:t>
      </w:r>
    </w:p>
    <w:p w14:paraId="3767B5D2">
      <w:pPr>
        <w:spacing w:line="360" w:lineRule="auto"/>
        <w:ind w:firstLine="480" w:firstLineChars="200"/>
        <w:rPr>
          <w:rFonts w:hint="eastAsia" w:ascii="宋体" w:hAnsi="宋体"/>
          <w:sz w:val="24"/>
        </w:rPr>
      </w:pPr>
      <w:r>
        <w:rPr>
          <w:rFonts w:ascii="宋体" w:hAnsi="宋体"/>
          <w:sz w:val="24"/>
          <w:szCs w:val="24"/>
        </w:rPr>
        <w:t>本项目</w:t>
      </w:r>
      <w:r>
        <w:rPr>
          <w:rFonts w:hint="eastAsia" w:ascii="宋体" w:hAnsi="宋体"/>
          <w:sz w:val="24"/>
          <w:szCs w:val="24"/>
        </w:rPr>
        <w:t>租用现有厂房，依托现有用电设施</w:t>
      </w:r>
      <w:r>
        <w:rPr>
          <w:rFonts w:ascii="宋体" w:hAnsi="宋体"/>
          <w:sz w:val="24"/>
        </w:rPr>
        <w:t>。</w:t>
      </w:r>
    </w:p>
    <w:p w14:paraId="20B70B7D">
      <w:pPr>
        <w:pStyle w:val="5"/>
        <w:rPr>
          <w:rFonts w:ascii="Times New Roman" w:hAnsi="Times New Roman"/>
          <w:color w:val="000000"/>
          <w:lang w:val="en-US"/>
        </w:rPr>
      </w:pPr>
      <w:r>
        <w:rPr>
          <w:rFonts w:hint="eastAsia" w:ascii="Times New Roman" w:hAnsi="Times New Roman"/>
          <w:color w:val="000000"/>
          <w:lang w:val="en-US"/>
        </w:rPr>
        <w:t>3.1.11.4供热</w:t>
      </w:r>
    </w:p>
    <w:p w14:paraId="294077DA">
      <w:pPr>
        <w:spacing w:line="360" w:lineRule="auto"/>
        <w:ind w:firstLine="480" w:firstLineChars="200"/>
        <w:rPr>
          <w:rFonts w:hint="eastAsia" w:ascii="宋体" w:hAnsi="宋体"/>
          <w:sz w:val="24"/>
          <w:szCs w:val="24"/>
        </w:rPr>
      </w:pPr>
      <w:r>
        <w:rPr>
          <w:rFonts w:ascii="宋体" w:hAnsi="宋体"/>
          <w:sz w:val="24"/>
          <w:szCs w:val="24"/>
        </w:rPr>
        <w:t>本项目生产采用电加热工艺，冬季宿舍取暖采用电热器。</w:t>
      </w:r>
    </w:p>
    <w:p w14:paraId="2942BDF0">
      <w:pPr>
        <w:pStyle w:val="5"/>
        <w:rPr>
          <w:rFonts w:ascii="Times New Roman" w:hAnsi="Times New Roman"/>
          <w:color w:val="000000"/>
          <w:lang w:val="en-US"/>
        </w:rPr>
      </w:pPr>
      <w:r>
        <w:rPr>
          <w:rFonts w:hint="eastAsia" w:ascii="Times New Roman" w:hAnsi="Times New Roman"/>
          <w:color w:val="000000"/>
          <w:lang w:val="en-US"/>
        </w:rPr>
        <w:t>3.1.11.5通风、辅助工程</w:t>
      </w:r>
    </w:p>
    <w:p w14:paraId="007D6E91">
      <w:pPr>
        <w:spacing w:line="360" w:lineRule="auto"/>
        <w:ind w:firstLine="480" w:firstLineChars="200"/>
        <w:rPr>
          <w:rFonts w:hint="eastAsia" w:ascii="宋体" w:hAnsi="宋体"/>
          <w:sz w:val="24"/>
        </w:rPr>
      </w:pPr>
      <w:r>
        <w:rPr>
          <w:rFonts w:hint="eastAsia" w:ascii="宋体" w:hAnsi="宋体"/>
          <w:sz w:val="24"/>
        </w:rPr>
        <w:t>①</w:t>
      </w:r>
      <w:r>
        <w:rPr>
          <w:rFonts w:ascii="宋体" w:hAnsi="宋体"/>
          <w:sz w:val="24"/>
        </w:rPr>
        <w:t>通风</w:t>
      </w:r>
    </w:p>
    <w:p w14:paraId="67076400">
      <w:pPr>
        <w:spacing w:line="360" w:lineRule="auto"/>
        <w:ind w:firstLine="480" w:firstLineChars="200"/>
        <w:rPr>
          <w:rFonts w:hint="eastAsia" w:ascii="宋体" w:hAnsi="宋体"/>
          <w:sz w:val="24"/>
        </w:rPr>
      </w:pPr>
      <w:r>
        <w:rPr>
          <w:rFonts w:ascii="宋体" w:hAnsi="宋体"/>
          <w:sz w:val="24"/>
        </w:rPr>
        <w:t>一般生产车间室内温、湿度没有特殊要求。生产车间设机械通风，换气次数12次/小时，平时及其它区域为6次/小时。</w:t>
      </w:r>
    </w:p>
    <w:p w14:paraId="21943E1A">
      <w:pPr>
        <w:spacing w:line="360" w:lineRule="auto"/>
        <w:ind w:firstLine="480" w:firstLineChars="200"/>
        <w:rPr>
          <w:rFonts w:hint="eastAsia" w:ascii="宋体" w:hAnsi="宋体"/>
          <w:sz w:val="24"/>
        </w:rPr>
      </w:pPr>
      <w:r>
        <w:rPr>
          <w:rFonts w:hint="eastAsia" w:ascii="宋体" w:hAnsi="宋体"/>
          <w:sz w:val="24"/>
        </w:rPr>
        <w:t>②</w:t>
      </w:r>
      <w:r>
        <w:rPr>
          <w:rFonts w:ascii="宋体" w:hAnsi="宋体"/>
          <w:sz w:val="24"/>
        </w:rPr>
        <w:t>辅助生产设施</w:t>
      </w:r>
    </w:p>
    <w:p w14:paraId="4F1F322D">
      <w:pPr>
        <w:spacing w:line="360" w:lineRule="auto"/>
        <w:ind w:firstLine="480" w:firstLineChars="200"/>
        <w:rPr>
          <w:rFonts w:hint="eastAsia" w:ascii="宋体" w:hAnsi="宋体"/>
          <w:sz w:val="24"/>
        </w:rPr>
      </w:pPr>
      <w:r>
        <w:rPr>
          <w:rFonts w:ascii="宋体" w:hAnsi="宋体"/>
          <w:sz w:val="24"/>
        </w:rPr>
        <w:t>a、维修间：本项目在生产车间内设一小维修间，用于日常配件更换、应急修理任务，中、大修由外协解决。</w:t>
      </w:r>
    </w:p>
    <w:p w14:paraId="7AD4D42B">
      <w:pPr>
        <w:spacing w:line="360" w:lineRule="auto"/>
        <w:ind w:firstLine="480" w:firstLineChars="200"/>
        <w:rPr>
          <w:rFonts w:hint="eastAsia" w:ascii="宋体" w:hAnsi="宋体"/>
          <w:sz w:val="24"/>
        </w:rPr>
      </w:pPr>
      <w:r>
        <w:rPr>
          <w:rFonts w:ascii="宋体" w:hAnsi="宋体"/>
          <w:sz w:val="24"/>
        </w:rPr>
        <w:t>b、仓储：主要</w:t>
      </w:r>
      <w:r>
        <w:rPr>
          <w:rFonts w:hint="eastAsia" w:ascii="宋体" w:hAnsi="宋体"/>
          <w:sz w:val="24"/>
        </w:rPr>
        <w:t>为</w:t>
      </w:r>
      <w:r>
        <w:rPr>
          <w:rFonts w:ascii="宋体" w:hAnsi="宋体"/>
          <w:sz w:val="24"/>
        </w:rPr>
        <w:t>包装材料仓储，本项目在生产车间内设置仓储库房。</w:t>
      </w:r>
    </w:p>
    <w:p w14:paraId="51DC5E12">
      <w:pPr>
        <w:pStyle w:val="5"/>
        <w:rPr>
          <w:rFonts w:ascii="Times New Roman" w:hAnsi="Times New Roman"/>
          <w:color w:val="000000"/>
          <w:lang w:val="en-US"/>
        </w:rPr>
      </w:pPr>
      <w:r>
        <w:rPr>
          <w:rFonts w:hint="eastAsia" w:ascii="Times New Roman" w:hAnsi="Times New Roman"/>
          <w:color w:val="000000"/>
          <w:lang w:val="en-US"/>
        </w:rPr>
        <w:t>3.1.11.6消防</w:t>
      </w:r>
    </w:p>
    <w:p w14:paraId="0E11BA79">
      <w:pPr>
        <w:pStyle w:val="38"/>
        <w:ind w:left="426" w:leftChars="203" w:firstLine="0"/>
        <w:rPr>
          <w:rFonts w:hint="eastAsia" w:hAnsi="宋体"/>
        </w:rPr>
      </w:pPr>
      <w:r>
        <w:rPr>
          <w:rFonts w:hint="eastAsia" w:hAnsi="宋体"/>
        </w:rPr>
        <w:t>项目生产中使用的原料属于可燃物质，与之有关的生产车间按相应规范要求进行设</w:t>
      </w:r>
    </w:p>
    <w:p w14:paraId="592B76F1">
      <w:pPr>
        <w:pStyle w:val="38"/>
        <w:jc w:val="distribute"/>
        <w:rPr>
          <w:rFonts w:hint="eastAsia" w:hAnsi="宋体"/>
        </w:rPr>
      </w:pPr>
      <w:r>
        <w:rPr>
          <w:rFonts w:hint="eastAsia" w:hAnsi="宋体"/>
        </w:rPr>
        <w:t>置。项目依托现有的1个</w:t>
      </w:r>
      <w:r>
        <w:rPr>
          <w:rFonts w:hint="eastAsia" w:hAnsi="宋体"/>
          <w:lang w:val="en-US" w:eastAsia="zh-CN"/>
        </w:rPr>
        <w:t>8</w:t>
      </w:r>
      <w:r>
        <w:rPr>
          <w:rFonts w:hint="eastAsia" w:hAnsi="宋体"/>
        </w:rPr>
        <w:t>0m</w:t>
      </w:r>
      <w:r>
        <w:rPr>
          <w:rFonts w:hint="eastAsia" w:hAnsi="宋体"/>
          <w:vertAlign w:val="superscript"/>
        </w:rPr>
        <w:t>3</w:t>
      </w:r>
      <w:r>
        <w:rPr>
          <w:rFonts w:hint="eastAsia" w:hAnsi="宋体"/>
        </w:rPr>
        <w:t>消防水池，消防设施严格按照《建筑设计防火规范》</w:t>
      </w:r>
    </w:p>
    <w:p w14:paraId="737EE439">
      <w:pPr>
        <w:pStyle w:val="38"/>
        <w:ind w:left="0" w:firstLine="0"/>
      </w:pPr>
      <w:r>
        <w:rPr>
          <w:rFonts w:hint="eastAsia" w:hAnsi="宋体"/>
        </w:rPr>
        <w:t>（GB50016-2014）设置配备，并按照《建筑灭火器配置设计规范》（GB50140-2010）要求配备消防器材。</w:t>
      </w:r>
    </w:p>
    <w:p w14:paraId="66065564">
      <w:pPr>
        <w:pStyle w:val="3"/>
        <w:keepNext w:val="0"/>
        <w:keepLines w:val="0"/>
        <w:autoSpaceDE w:val="0"/>
        <w:autoSpaceDN w:val="0"/>
        <w:spacing w:before="0" w:after="0" w:line="360" w:lineRule="auto"/>
        <w:jc w:val="left"/>
        <w:rPr>
          <w:rFonts w:ascii="Times New Roman" w:hAnsi="Times New Roman" w:eastAsia="宋体"/>
          <w:kern w:val="0"/>
          <w:sz w:val="24"/>
          <w:szCs w:val="30"/>
          <w:lang w:val="en-US" w:bidi="zh-CN"/>
        </w:rPr>
      </w:pPr>
      <w:bookmarkStart w:id="130" w:name="_Toc16863"/>
      <w:bookmarkStart w:id="131" w:name="_Toc23084"/>
      <w:r>
        <w:rPr>
          <w:rFonts w:hint="eastAsia" w:ascii="Times New Roman" w:hAnsi="Times New Roman" w:eastAsia="宋体"/>
          <w:kern w:val="0"/>
          <w:sz w:val="24"/>
          <w:szCs w:val="30"/>
          <w:lang w:val="en-US" w:bidi="zh-CN"/>
        </w:rPr>
        <w:t>3.2工艺流程及产污环节分析</w:t>
      </w:r>
      <w:bookmarkEnd w:id="130"/>
    </w:p>
    <w:p w14:paraId="1C06D2BE">
      <w:pPr>
        <w:pStyle w:val="4"/>
        <w:autoSpaceDE w:val="0"/>
        <w:autoSpaceDN w:val="0"/>
        <w:spacing w:before="0" w:after="0" w:line="360" w:lineRule="auto"/>
        <w:jc w:val="left"/>
        <w:rPr>
          <w:kern w:val="0"/>
          <w:sz w:val="24"/>
          <w:lang w:val="en-US" w:bidi="zh-CN"/>
        </w:rPr>
      </w:pPr>
      <w:r>
        <w:rPr>
          <w:rFonts w:hint="eastAsia"/>
          <w:kern w:val="0"/>
          <w:sz w:val="24"/>
          <w:lang w:val="en-US" w:bidi="zh-CN"/>
        </w:rPr>
        <w:t>3.2.1施工期工艺流程及产污环节</w:t>
      </w:r>
    </w:p>
    <w:p w14:paraId="456DFEF2">
      <w:pPr>
        <w:ind w:firstLine="480" w:firstLineChars="200"/>
        <w:rPr>
          <w:rFonts w:hint="eastAsia" w:ascii="宋体" w:hAnsi="宋体"/>
        </w:rPr>
      </w:pPr>
      <w:r>
        <w:rPr>
          <w:rFonts w:hint="eastAsia"/>
          <w:kern w:val="0"/>
          <w:sz w:val="24"/>
          <w:szCs w:val="30"/>
          <w:lang w:bidi="zh-CN"/>
        </w:rPr>
        <w:t>项目租用现有厂房进行生产，施工期主要为设备安装。</w:t>
      </w:r>
      <w:r>
        <w:rPr>
          <w:rFonts w:hint="eastAsia" w:ascii="宋体" w:hAnsi="宋体"/>
        </w:rPr>
        <w:t xml:space="preserve"> </w:t>
      </w:r>
    </w:p>
    <w:p w14:paraId="5B8CB20F">
      <w:pPr>
        <w:spacing w:line="520" w:lineRule="exact"/>
        <w:ind w:firstLine="1247" w:firstLineChars="594"/>
        <w:rPr>
          <w:rFonts w:hint="eastAsia" w:ascii="宋体" w:hAnsi="宋体"/>
          <w:i/>
          <w:sz w:val="24"/>
          <w:bdr w:val="single" w:color="auto" w:sz="4" w:space="0"/>
          <w:shd w:val="pct10" w:color="000000" w:fill="FFFFFF"/>
        </w:rPr>
      </w:pPr>
      <w:r>
        <w:rPr>
          <w:rFonts w:hint="eastAsia" w:ascii="宋体" w:hAnsi="宋体"/>
        </w:rPr>
        <mc:AlternateContent>
          <mc:Choice Requires="wps">
            <w:drawing>
              <wp:anchor distT="0" distB="0" distL="114300" distR="114300" simplePos="0" relativeHeight="251675648" behindDoc="0" locked="0" layoutInCell="1" allowOverlap="1">
                <wp:simplePos x="0" y="0"/>
                <wp:positionH relativeFrom="column">
                  <wp:posOffset>2112645</wp:posOffset>
                </wp:positionH>
                <wp:positionV relativeFrom="paragraph">
                  <wp:posOffset>309245</wp:posOffset>
                </wp:positionV>
                <wp:extent cx="10160" cy="429895"/>
                <wp:effectExtent l="40640" t="15875" r="34925" b="11430"/>
                <wp:wrapNone/>
                <wp:docPr id="1761585175" name="Line 6"/>
                <wp:cNvGraphicFramePr/>
                <a:graphic xmlns:a="http://schemas.openxmlformats.org/drawingml/2006/main">
                  <a:graphicData uri="http://schemas.microsoft.com/office/word/2010/wordprocessingShape">
                    <wps:wsp>
                      <wps:cNvCnPr>
                        <a:cxnSpLocks noChangeShapeType="1"/>
                      </wps:cNvCnPr>
                      <wps:spPr bwMode="auto">
                        <a:xfrm flipH="1" flipV="1">
                          <a:off x="0" y="0"/>
                          <a:ext cx="10160" cy="429895"/>
                        </a:xfrm>
                        <a:prstGeom prst="line">
                          <a:avLst/>
                        </a:prstGeom>
                        <a:noFill/>
                        <a:ln w="9525">
                          <a:solidFill>
                            <a:srgbClr val="000000"/>
                          </a:solidFill>
                          <a:prstDash val="sysDot"/>
                          <a:round/>
                          <a:tailEnd type="stealth" w="sm" len="lg"/>
                        </a:ln>
                      </wps:spPr>
                      <wps:bodyPr/>
                    </wps:wsp>
                  </a:graphicData>
                </a:graphic>
              </wp:anchor>
            </w:drawing>
          </mc:Choice>
          <mc:Fallback>
            <w:pict>
              <v:line id="Line 6" o:spid="_x0000_s1026" o:spt="20" style="position:absolute;left:0pt;flip:x y;margin-left:166.35pt;margin-top:24.35pt;height:33.85pt;width:0.8pt;z-index:251675648;mso-width-relative:page;mso-height-relative:page;" filled="f" stroked="t" coordsize="21600,21600" o:gfxdata="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8AgztoAAAAKAQAADwAAAAAAAAABACAAAAAiAAAA&#10;ZHJzL2Rvd25yZXYueG1sUEsBAhQAFAAAAAgAh07iQH7ccucFAgAABAQAAA4AAAAAAAAAAQAgAAAA&#10;KQEAAGRycy9lMm9Eb2MueG1sUEsFBgAAAAAGAAYAWQEAAKAFAAAAAA==&#10;">
                <v:fill on="f" focussize="0,0"/>
                <v:stroke color="#000000" joinstyle="round" dashstyle="1 1" endarrow="classic" endarrowwidth="narrow" endarrowlength="long"/>
                <v:imagedata o:title=""/>
                <o:lock v:ext="edit" aspectratio="f"/>
              </v:line>
            </w:pict>
          </mc:Fallback>
        </mc:AlternateContent>
      </w:r>
      <w:r>
        <w:rPr>
          <w:rFonts w:hint="eastAsia" w:ascii="宋体" w:hAnsi="宋体"/>
        </w:rPr>
        <w:t xml:space="preserve">     </w:t>
      </w:r>
      <w:r>
        <w:rPr>
          <w:rFonts w:hint="eastAsia" w:ascii="宋体" w:hAnsi="宋体"/>
          <w:lang w:val="en-US" w:eastAsia="zh-CN"/>
        </w:rPr>
        <w:t xml:space="preserve">   </w:t>
      </w:r>
      <w:r>
        <w:rPr>
          <w:rFonts w:ascii="宋体" w:hAnsi="宋体"/>
          <w:iCs/>
          <w:sz w:val="24"/>
        </w:rPr>
        <w:t xml:space="preserve"> 噪声、固体废弃物</w:t>
      </w:r>
    </w:p>
    <w:p w14:paraId="3F97BD98">
      <w:pPr>
        <w:spacing w:line="520" w:lineRule="exact"/>
        <w:jc w:val="center"/>
        <w:rPr>
          <w:rFonts w:hint="eastAsia" w:ascii="宋体" w:hAnsi="宋体"/>
          <w:sz w:val="24"/>
          <w:bdr w:val="single" w:color="auto" w:sz="4" w:space="0"/>
          <w:shd w:val="pct10" w:color="000000" w:fill="FFFFFF"/>
        </w:rPr>
      </w:pPr>
    </w:p>
    <w:p w14:paraId="3B514962">
      <w:pPr>
        <w:spacing w:line="520" w:lineRule="exact"/>
        <w:jc w:val="center"/>
        <w:rPr>
          <w:rFonts w:hint="eastAsia" w:ascii="宋体" w:hAnsi="宋体"/>
          <w:sz w:val="24"/>
          <w:bdr w:val="single" w:color="auto" w:sz="4" w:space="0"/>
          <w:shd w:val="pct10" w:color="000000" w:fill="FFFFFF"/>
        </w:rPr>
      </w:pPr>
      <w:r>
        <w:rPr>
          <w:rFonts w:hint="eastAsia" w:ascii="宋体" w:hAnsi="宋体"/>
        </w:rPr>
        <mc:AlternateContent>
          <mc:Choice Requires="wps">
            <w:drawing>
              <wp:anchor distT="0" distB="0" distL="114300" distR="114300" simplePos="0" relativeHeight="251670528" behindDoc="0" locked="0" layoutInCell="1" allowOverlap="1">
                <wp:simplePos x="0" y="0"/>
                <wp:positionH relativeFrom="column">
                  <wp:posOffset>1795145</wp:posOffset>
                </wp:positionH>
                <wp:positionV relativeFrom="paragraph">
                  <wp:posOffset>290195</wp:posOffset>
                </wp:positionV>
                <wp:extent cx="635" cy="238125"/>
                <wp:effectExtent l="46990" t="5715" r="47625" b="22860"/>
                <wp:wrapNone/>
                <wp:docPr id="221842166" name="Line 217"/>
                <wp:cNvGraphicFramePr/>
                <a:graphic xmlns:a="http://schemas.openxmlformats.org/drawingml/2006/main">
                  <a:graphicData uri="http://schemas.microsoft.com/office/word/2010/wordprocessingShape">
                    <wps:wsp>
                      <wps:cNvCnPr>
                        <a:cxnSpLocks noChangeShapeType="1"/>
                      </wps:cNvCnPr>
                      <wps:spPr bwMode="auto">
                        <a:xfrm flipV="1">
                          <a:off x="0" y="0"/>
                          <a:ext cx="635" cy="238125"/>
                        </a:xfrm>
                        <a:prstGeom prst="line">
                          <a:avLst/>
                        </a:prstGeom>
                        <a:noFill/>
                        <a:ln w="9525">
                          <a:solidFill>
                            <a:srgbClr val="000000"/>
                          </a:solidFill>
                          <a:prstDash val="sysDot"/>
                          <a:round/>
                          <a:headEnd type="stealth" w="sm" len="lg"/>
                        </a:ln>
                      </wps:spPr>
                      <wps:bodyPr/>
                    </wps:wsp>
                  </a:graphicData>
                </a:graphic>
              </wp:anchor>
            </w:drawing>
          </mc:Choice>
          <mc:Fallback>
            <w:pict>
              <v:line id="Line 217" o:spid="_x0000_s1026" o:spt="20" style="position:absolute;left:0pt;flip:y;margin-left:141.35pt;margin-top:22.85pt;height:18.75pt;width:0.05pt;z-index:251670528;mso-width-relative:page;mso-height-relative:page;" filled="f" stroked="t" coordsize="21600,21600" o:gfxdata="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uoeNCtcAAAAJAQAADwAAAAAAAAABACAAAAAiAAAAZHJzL2Rvd25y&#10;ZXYueG1sUEsBAhQAFAAAAAgAh07iQJ40E33/AQAA+QMAAA4AAAAAAAAAAQAgAAAAJgEAAGRycy9l&#10;Mm9Eb2MueG1sUEsFBgAAAAAGAAYAWQEAAJcFAAAAAA==&#10;">
                <v:fill on="f" focussize="0,0"/>
                <v:stroke color="#000000" joinstyle="round" dashstyle="1 1" startarrow="classic" startarrowwidth="narrow" startarrowlength="long"/>
                <v:imagedata o:title=""/>
                <o:lock v:ext="edit" aspectratio="f"/>
              </v:line>
            </w:pict>
          </mc:Fallback>
        </mc:AlternateContent>
      </w:r>
      <w:r>
        <w:rPr>
          <w:rFonts w:hint="eastAsia" w:ascii="宋体" w:hAnsi="宋体"/>
        </w:rPr>
        <mc:AlternateContent>
          <mc:Choice Requires="wps">
            <w:drawing>
              <wp:anchor distT="0" distB="0" distL="114300" distR="114300" simplePos="0" relativeHeight="251673600" behindDoc="0" locked="0" layoutInCell="1" allowOverlap="1">
                <wp:simplePos x="0" y="0"/>
                <wp:positionH relativeFrom="column">
                  <wp:posOffset>2738120</wp:posOffset>
                </wp:positionH>
                <wp:positionV relativeFrom="paragraph">
                  <wp:posOffset>320675</wp:posOffset>
                </wp:positionV>
                <wp:extent cx="635" cy="277495"/>
                <wp:effectExtent l="46990" t="7620" r="47625" b="19685"/>
                <wp:wrapNone/>
                <wp:docPr id="427892254" name="Line 220"/>
                <wp:cNvGraphicFramePr/>
                <a:graphic xmlns:a="http://schemas.openxmlformats.org/drawingml/2006/main">
                  <a:graphicData uri="http://schemas.microsoft.com/office/word/2010/wordprocessingShape">
                    <wps:wsp>
                      <wps:cNvCnPr>
                        <a:cxnSpLocks noChangeShapeType="1"/>
                      </wps:cNvCnPr>
                      <wps:spPr bwMode="auto">
                        <a:xfrm>
                          <a:off x="0" y="0"/>
                          <a:ext cx="635" cy="277495"/>
                        </a:xfrm>
                        <a:prstGeom prst="line">
                          <a:avLst/>
                        </a:prstGeom>
                        <a:noFill/>
                        <a:ln w="9525">
                          <a:solidFill>
                            <a:srgbClr val="000000"/>
                          </a:solidFill>
                          <a:prstDash val="sysDot"/>
                          <a:round/>
                          <a:tailEnd type="stealth" w="sm" len="lg"/>
                        </a:ln>
                      </wps:spPr>
                      <wps:bodyPr/>
                    </wps:wsp>
                  </a:graphicData>
                </a:graphic>
              </wp:anchor>
            </w:drawing>
          </mc:Choice>
          <mc:Fallback>
            <w:pict>
              <v:line id="Line 220" o:spid="_x0000_s1026" o:spt="20" style="position:absolute;left:0pt;margin-left:215.6pt;margin-top:25.25pt;height:21.85pt;width:0.05pt;z-index:251673600;mso-width-relative:page;mso-height-relative:page;" filled="f" stroked="t" coordsize="21600,21600" o:gfxdata="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EQK+ANoAAAAJAQAADwAAAAAAAAABACAAAAAiAAAAZHJzL2Rvd25yZXYu&#10;eG1sUEsBAhQAFAAAAAgAh07iQAdCCFv5AQAA7wMAAA4AAAAAAAAAAQAgAAAAKQEAAGRycy9lMm9E&#10;b2MueG1sUEsFBgAAAAAGAAYAWQEAAJQFAAAAAA==&#10;">
                <v:fill on="f" focussize="0,0"/>
                <v:stroke color="#000000" joinstyle="round" dashstyle="1 1" endarrow="classic" endarrowwidth="narrow" endarrowlength="long"/>
                <v:imagedata o:title=""/>
                <o:lock v:ext="edit" aspectratio="f"/>
              </v:line>
            </w:pict>
          </mc:Fallback>
        </mc:AlternateContent>
      </w:r>
      <w:r>
        <w:rPr>
          <w:rFonts w:hint="eastAsia" w:ascii="宋体" w:hAnsi="宋体"/>
        </w:rPr>
        <mc:AlternateContent>
          <mc:Choice Requires="wps">
            <w:drawing>
              <wp:anchor distT="0" distB="0" distL="114300" distR="114300" simplePos="0" relativeHeight="251671552" behindDoc="0" locked="0" layoutInCell="1" allowOverlap="1">
                <wp:simplePos x="0" y="0"/>
                <wp:positionH relativeFrom="column">
                  <wp:posOffset>3333750</wp:posOffset>
                </wp:positionH>
                <wp:positionV relativeFrom="paragraph">
                  <wp:posOffset>315595</wp:posOffset>
                </wp:positionV>
                <wp:extent cx="635" cy="238125"/>
                <wp:effectExtent l="42545" t="12065" r="42545" b="16510"/>
                <wp:wrapNone/>
                <wp:docPr id="1882893147" name="Line 218"/>
                <wp:cNvGraphicFramePr/>
                <a:graphic xmlns:a="http://schemas.openxmlformats.org/drawingml/2006/main">
                  <a:graphicData uri="http://schemas.microsoft.com/office/word/2010/wordprocessingShape">
                    <wps:wsp>
                      <wps:cNvCnPr>
                        <a:cxnSpLocks noChangeShapeType="1"/>
                      </wps:cNvCnPr>
                      <wps:spPr bwMode="auto">
                        <a:xfrm flipV="1">
                          <a:off x="0" y="0"/>
                          <a:ext cx="635" cy="238125"/>
                        </a:xfrm>
                        <a:prstGeom prst="line">
                          <a:avLst/>
                        </a:prstGeom>
                        <a:noFill/>
                        <a:ln w="9525">
                          <a:solidFill>
                            <a:srgbClr val="000000"/>
                          </a:solidFill>
                          <a:prstDash val="sysDot"/>
                          <a:round/>
                          <a:headEnd type="stealth" w="sm" len="lg"/>
                        </a:ln>
                      </wps:spPr>
                      <wps:bodyPr/>
                    </wps:wsp>
                  </a:graphicData>
                </a:graphic>
              </wp:anchor>
            </w:drawing>
          </mc:Choice>
          <mc:Fallback>
            <w:pict>
              <v:line id="Line 218" o:spid="_x0000_s1026" o:spt="20" style="position:absolute;left:0pt;flip:y;margin-left:262.5pt;margin-top:24.85pt;height:18.75pt;width:0.05pt;z-index:251671552;mso-width-relative:page;mso-height-relative:page;" filled="f" stroked="t" coordsize="21600,21600" o:gfxdata="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GbamPvXAAAACQEAAA8AAAAAAAAAAQAgAAAAIgAAAGRycy9kb3du&#10;cmV2LnhtbFBLAQIUABQAAAAIAIdO4kDrL+9RAAIAAPoDAAAOAAAAAAAAAAEAIAAAACYBAABkcnMv&#10;ZTJvRG9jLnhtbFBLBQYAAAAABgAGAFkBAACYBQAAAAA=&#10;">
                <v:fill on="f" focussize="0,0"/>
                <v:stroke color="#000000" joinstyle="round" dashstyle="1 1" startarrow="classic" startarrowwidth="narrow" startarrowlength="long"/>
                <v:imagedata o:title=""/>
                <o:lock v:ext="edit" aspectratio="f"/>
              </v:line>
            </w:pict>
          </mc:Fallback>
        </mc:AlternateContent>
      </w:r>
      <w:r>
        <w:rPr>
          <w:rFonts w:ascii="宋体" w:hAnsi="宋体"/>
          <w:sz w:val="24"/>
          <w:bdr w:val="single" w:color="auto" w:sz="4" w:space="0"/>
        </w:rPr>
        <w:t>设备安装</w:t>
      </w:r>
      <w:r>
        <w:rPr>
          <w:rFonts w:ascii="宋体" w:hAnsi="宋体"/>
          <w:sz w:val="24"/>
        </w:rPr>
        <w:t>→</w:t>
      </w:r>
      <w:r>
        <w:rPr>
          <w:rFonts w:ascii="宋体" w:hAnsi="宋体"/>
          <w:sz w:val="24"/>
          <w:bdr w:val="single" w:color="auto" w:sz="4" w:space="0"/>
        </w:rPr>
        <w:t>工程验收</w:t>
      </w:r>
      <w:r>
        <w:rPr>
          <w:rFonts w:ascii="宋体" w:hAnsi="宋体"/>
          <w:sz w:val="24"/>
        </w:rPr>
        <w:t>→</w:t>
      </w:r>
      <w:r>
        <w:rPr>
          <w:rFonts w:ascii="宋体" w:hAnsi="宋体"/>
          <w:sz w:val="24"/>
          <w:bdr w:val="single" w:color="auto" w:sz="4" w:space="0"/>
        </w:rPr>
        <w:t>运行使用</w:t>
      </w:r>
    </w:p>
    <w:p w14:paraId="38791449">
      <w:pPr>
        <w:spacing w:line="520" w:lineRule="exact"/>
        <w:jc w:val="center"/>
        <w:rPr>
          <w:rFonts w:hint="eastAsia" w:ascii="宋体" w:hAnsi="宋体"/>
          <w:b/>
          <w:sz w:val="24"/>
        </w:rPr>
      </w:pPr>
      <w:r>
        <w:rPr>
          <w:rFonts w:hint="eastAsia" w:ascii="宋体" w:hAnsi="宋体"/>
        </w:rPr>
        <mc:AlternateContent>
          <mc:Choice Requires="wps">
            <w:drawing>
              <wp:anchor distT="0" distB="0" distL="114300" distR="114300" simplePos="0" relativeHeight="251672576" behindDoc="0" locked="0" layoutInCell="1" allowOverlap="1">
                <wp:simplePos x="0" y="0"/>
                <wp:positionH relativeFrom="column">
                  <wp:posOffset>1766570</wp:posOffset>
                </wp:positionH>
                <wp:positionV relativeFrom="paragraph">
                  <wp:posOffset>226695</wp:posOffset>
                </wp:positionV>
                <wp:extent cx="1574165" cy="635"/>
                <wp:effectExtent l="8890" t="5715" r="7620" b="12700"/>
                <wp:wrapNone/>
                <wp:docPr id="1146368835" name="Line 219"/>
                <wp:cNvGraphicFramePr/>
                <a:graphic xmlns:a="http://schemas.openxmlformats.org/drawingml/2006/main">
                  <a:graphicData uri="http://schemas.microsoft.com/office/word/2010/wordprocessingShape">
                    <wps:wsp>
                      <wps:cNvCnPr>
                        <a:cxnSpLocks noChangeShapeType="1"/>
                      </wps:cNvCnPr>
                      <wps:spPr bwMode="auto">
                        <a:xfrm>
                          <a:off x="0" y="0"/>
                          <a:ext cx="1574165" cy="635"/>
                        </a:xfrm>
                        <a:prstGeom prst="line">
                          <a:avLst/>
                        </a:prstGeom>
                        <a:noFill/>
                        <a:ln w="9525">
                          <a:solidFill>
                            <a:srgbClr val="000000"/>
                          </a:solidFill>
                          <a:prstDash val="sysDot"/>
                          <a:round/>
                        </a:ln>
                      </wps:spPr>
                      <wps:bodyPr/>
                    </wps:wsp>
                  </a:graphicData>
                </a:graphic>
              </wp:anchor>
            </w:drawing>
          </mc:Choice>
          <mc:Fallback>
            <w:pict>
              <v:line id="Line 219" o:spid="_x0000_s1026" o:spt="20" style="position:absolute;left:0pt;margin-left:139.1pt;margin-top:17.85pt;height:0.05pt;width:123.95pt;z-index:251672576;mso-width-relative:page;mso-height-relative:page;" filled="f" stroked="t" coordsize="21600,21600" o:gfxdata="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V4RLXdgAAAAJ&#10;AQAADwAAAAAAAAABACAAAAAiAAAAZHJzL2Rvd25yZXYueG1sUEsBAhQAFAAAAAgAh07iQNyh4zfj&#10;AQAAxgMAAA4AAAAAAAAAAQAgAAAAJwEAAGRycy9lMm9Eb2MueG1sUEsFBgAAAAAGAAYAWQEAAHwF&#10;AAAAAA==&#10;">
                <v:fill on="f" focussize="0,0"/>
                <v:stroke color="#000000" joinstyle="round" dashstyle="1 1"/>
                <v:imagedata o:title=""/>
                <o:lock v:ext="edit" aspectratio="f"/>
              </v:line>
            </w:pict>
          </mc:Fallback>
        </mc:AlternateContent>
      </w:r>
      <w:r>
        <w:rPr>
          <w:rFonts w:hint="eastAsia" w:ascii="宋体" w:hAnsi="宋体"/>
        </w:rPr>
        <mc:AlternateContent>
          <mc:Choice Requires="wps">
            <w:drawing>
              <wp:anchor distT="0" distB="0" distL="114300" distR="114300" simplePos="0" relativeHeight="251674624" behindDoc="0" locked="0" layoutInCell="1" allowOverlap="1">
                <wp:simplePos x="0" y="0"/>
                <wp:positionH relativeFrom="column">
                  <wp:posOffset>2520315</wp:posOffset>
                </wp:positionH>
                <wp:positionV relativeFrom="paragraph">
                  <wp:posOffset>229870</wp:posOffset>
                </wp:positionV>
                <wp:extent cx="635" cy="277495"/>
                <wp:effectExtent l="48260" t="8890" r="46355" b="18415"/>
                <wp:wrapNone/>
                <wp:docPr id="1790122855" name="Line 11"/>
                <wp:cNvGraphicFramePr/>
                <a:graphic xmlns:a="http://schemas.openxmlformats.org/drawingml/2006/main">
                  <a:graphicData uri="http://schemas.microsoft.com/office/word/2010/wordprocessingShape">
                    <wps:wsp>
                      <wps:cNvCnPr>
                        <a:cxnSpLocks noChangeShapeType="1"/>
                      </wps:cNvCnPr>
                      <wps:spPr bwMode="auto">
                        <a:xfrm>
                          <a:off x="0" y="0"/>
                          <a:ext cx="635" cy="277495"/>
                        </a:xfrm>
                        <a:prstGeom prst="line">
                          <a:avLst/>
                        </a:prstGeom>
                        <a:noFill/>
                        <a:ln w="9525">
                          <a:solidFill>
                            <a:srgbClr val="000000"/>
                          </a:solidFill>
                          <a:prstDash val="sysDot"/>
                          <a:round/>
                          <a:tailEnd type="stealth" w="sm" len="lg"/>
                        </a:ln>
                      </wps:spPr>
                      <wps:bodyPr/>
                    </wps:wsp>
                  </a:graphicData>
                </a:graphic>
              </wp:anchor>
            </w:drawing>
          </mc:Choice>
          <mc:Fallback>
            <w:pict>
              <v:line id="Line 11" o:spid="_x0000_s1026" o:spt="20" style="position:absolute;left:0pt;margin-left:198.45pt;margin-top:18.1pt;height:21.85pt;width:0.05pt;z-index:251674624;mso-width-relative:page;mso-height-relative:page;" filled="f" stroked="t" coordsize="21600,21600" o:gfxdata="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DPuseN2gAAAAkBAAAPAAAAAAAAAAEAIAAAACIAAABkcnMvZG93bnJldi54&#10;bWxQSwECFAAUAAAACACHTuJAO/3J7/gBAADvAwAADgAAAAAAAAABACAAAAApAQAAZHJzL2Uyb0Rv&#10;Yy54bWxQSwUGAAAAAAYABgBZAQAAkwUAAAAA&#10;">
                <v:fill on="f" focussize="0,0"/>
                <v:stroke color="#000000" joinstyle="round" dashstyle="1 1" endarrow="classic" endarrowwidth="narrow" endarrowlength="long"/>
                <v:imagedata o:title=""/>
                <o:lock v:ext="edit" aspectratio="f"/>
              </v:line>
            </w:pict>
          </mc:Fallback>
        </mc:AlternateContent>
      </w:r>
    </w:p>
    <w:p w14:paraId="180C0CA3">
      <w:pPr>
        <w:spacing w:line="520" w:lineRule="exact"/>
        <w:ind w:firstLine="2880" w:firstLineChars="1200"/>
        <w:rPr>
          <w:rFonts w:hint="eastAsia" w:ascii="宋体" w:hAnsi="宋体"/>
          <w:iCs/>
          <w:sz w:val="24"/>
        </w:rPr>
      </w:pPr>
      <w:r>
        <w:rPr>
          <w:rFonts w:ascii="宋体" w:hAnsi="宋体"/>
          <w:iCs/>
          <w:sz w:val="24"/>
        </w:rPr>
        <w:t>施工废水、建筑垃圾</w:t>
      </w:r>
    </w:p>
    <w:p w14:paraId="214D9412">
      <w:pPr>
        <w:spacing w:line="600" w:lineRule="exact"/>
        <w:ind w:firstLine="118" w:firstLineChars="49"/>
        <w:jc w:val="center"/>
        <w:rPr>
          <w:rFonts w:hint="eastAsia" w:ascii="宋体" w:hAnsi="宋体"/>
          <w:b/>
          <w:bCs/>
          <w:sz w:val="24"/>
        </w:rPr>
      </w:pPr>
      <w:r>
        <w:rPr>
          <w:rFonts w:ascii="宋体" w:hAnsi="宋体"/>
          <w:b/>
          <w:bCs/>
          <w:sz w:val="24"/>
        </w:rPr>
        <w:t>图</w:t>
      </w:r>
      <w:r>
        <w:rPr>
          <w:rFonts w:hint="eastAsia" w:ascii="宋体" w:hAnsi="宋体"/>
          <w:b/>
          <w:bCs/>
          <w:sz w:val="24"/>
        </w:rPr>
        <w:t>3.2</w:t>
      </w:r>
      <w:r>
        <w:rPr>
          <w:rFonts w:ascii="宋体" w:hAnsi="宋体"/>
          <w:b/>
          <w:bCs/>
          <w:sz w:val="24"/>
        </w:rPr>
        <w:t>-1   施工期工序及产污环节流程图</w:t>
      </w:r>
    </w:p>
    <w:p w14:paraId="38363BA0">
      <w:pPr>
        <w:widowControl/>
        <w:snapToGrid w:val="0"/>
        <w:spacing w:line="360" w:lineRule="auto"/>
        <w:ind w:firstLine="480" w:firstLineChars="200"/>
        <w:jc w:val="left"/>
        <w:rPr>
          <w:rFonts w:hint="eastAsia" w:ascii="宋体" w:hAnsi="宋体" w:cs="宋体"/>
          <w:sz w:val="24"/>
          <w:szCs w:val="24"/>
        </w:rPr>
      </w:pPr>
      <w:r>
        <w:rPr>
          <w:rFonts w:hint="eastAsia" w:ascii="宋体" w:hAnsi="宋体" w:cs="宋体"/>
          <w:sz w:val="24"/>
          <w:szCs w:val="24"/>
        </w:rPr>
        <w:t>施工期主要污染：</w:t>
      </w:r>
    </w:p>
    <w:p w14:paraId="139A2EBD">
      <w:pPr>
        <w:snapToGrid w:val="0"/>
        <w:spacing w:line="360" w:lineRule="auto"/>
        <w:ind w:left="420"/>
        <w:rPr>
          <w:rFonts w:hint="eastAsia" w:ascii="宋体" w:hAnsi="宋体" w:cs="宋体"/>
          <w:sz w:val="24"/>
          <w:szCs w:val="24"/>
        </w:rPr>
      </w:pPr>
      <w:r>
        <w:rPr>
          <w:rFonts w:hint="eastAsia" w:ascii="宋体" w:hAnsi="宋体" w:cs="宋体"/>
          <w:sz w:val="24"/>
          <w:szCs w:val="24"/>
        </w:rPr>
        <w:t>（1）废气</w:t>
      </w:r>
    </w:p>
    <w:p w14:paraId="1CFFB253">
      <w:pPr>
        <w:widowControl/>
        <w:snapToGrid w:val="0"/>
        <w:spacing w:line="360" w:lineRule="auto"/>
        <w:ind w:firstLine="480" w:firstLineChars="200"/>
        <w:jc w:val="left"/>
        <w:rPr>
          <w:rFonts w:hint="eastAsia" w:ascii="宋体" w:hAnsi="宋体" w:cs="宋体"/>
          <w:sz w:val="24"/>
          <w:szCs w:val="24"/>
        </w:rPr>
      </w:pPr>
      <w:r>
        <w:rPr>
          <w:rFonts w:hint="eastAsia" w:ascii="宋体" w:hAnsi="宋体" w:cs="宋体"/>
          <w:sz w:val="24"/>
          <w:szCs w:val="24"/>
        </w:rPr>
        <w:t>项目租用现有厂房、宿舍，施工期主要为机械设备的安装，施工废气主要来自运输车辆产生的尾气。车辆尾气排放的主要污染物为NO</w:t>
      </w:r>
      <w:r>
        <w:rPr>
          <w:rFonts w:hint="eastAsia" w:ascii="宋体" w:hAnsi="宋体" w:cs="宋体"/>
          <w:sz w:val="24"/>
          <w:szCs w:val="24"/>
          <w:vertAlign w:val="subscript"/>
        </w:rPr>
        <w:t>2</w:t>
      </w:r>
      <w:r>
        <w:rPr>
          <w:rFonts w:hint="eastAsia" w:ascii="宋体" w:hAnsi="宋体" w:cs="宋体"/>
          <w:sz w:val="24"/>
          <w:szCs w:val="24"/>
        </w:rPr>
        <w:t>、CO、THC等。</w:t>
      </w:r>
    </w:p>
    <w:p w14:paraId="1868CD55">
      <w:pPr>
        <w:snapToGrid w:val="0"/>
        <w:spacing w:line="360" w:lineRule="auto"/>
        <w:ind w:firstLine="480" w:firstLineChars="200"/>
        <w:rPr>
          <w:rFonts w:hint="eastAsia" w:ascii="宋体" w:hAnsi="宋体" w:cs="宋体"/>
          <w:sz w:val="24"/>
          <w:szCs w:val="24"/>
        </w:rPr>
      </w:pPr>
      <w:r>
        <w:rPr>
          <w:rFonts w:hint="eastAsia" w:ascii="宋体" w:hAnsi="宋体" w:cs="宋体"/>
          <w:sz w:val="24"/>
          <w:szCs w:val="24"/>
        </w:rPr>
        <w:t>（2）废水</w:t>
      </w:r>
    </w:p>
    <w:p w14:paraId="0799EBAE">
      <w:pPr>
        <w:widowControl/>
        <w:snapToGrid w:val="0"/>
        <w:spacing w:line="360" w:lineRule="auto"/>
        <w:ind w:firstLine="480" w:firstLineChars="200"/>
        <w:jc w:val="left"/>
        <w:rPr>
          <w:rFonts w:hint="eastAsia" w:ascii="宋体" w:hAnsi="宋体" w:cs="宋体"/>
          <w:sz w:val="24"/>
          <w:szCs w:val="24"/>
        </w:rPr>
      </w:pPr>
      <w:r>
        <w:rPr>
          <w:rFonts w:hint="eastAsia" w:ascii="宋体" w:hAnsi="宋体" w:cs="宋体"/>
          <w:sz w:val="24"/>
          <w:szCs w:val="24"/>
        </w:rPr>
        <w:t>施工废水主要来自施工人员少量生活污水，排放的污染物主要为COD和SS等。</w:t>
      </w:r>
    </w:p>
    <w:p w14:paraId="36F335B9">
      <w:pPr>
        <w:snapToGrid w:val="0"/>
        <w:spacing w:line="360" w:lineRule="auto"/>
        <w:ind w:left="420"/>
        <w:rPr>
          <w:rFonts w:hint="eastAsia" w:ascii="宋体" w:hAnsi="宋体" w:cs="宋体"/>
          <w:sz w:val="24"/>
          <w:szCs w:val="24"/>
        </w:rPr>
      </w:pPr>
      <w:r>
        <w:rPr>
          <w:rFonts w:hint="eastAsia" w:ascii="宋体" w:hAnsi="宋体" w:cs="宋体"/>
          <w:sz w:val="24"/>
          <w:szCs w:val="24"/>
        </w:rPr>
        <w:t>（3）施工噪声</w:t>
      </w:r>
    </w:p>
    <w:p w14:paraId="2B60C6EF">
      <w:pPr>
        <w:widowControl/>
        <w:snapToGrid w:val="0"/>
        <w:spacing w:line="360" w:lineRule="auto"/>
        <w:ind w:firstLine="480" w:firstLineChars="200"/>
        <w:jc w:val="left"/>
        <w:rPr>
          <w:rFonts w:hint="eastAsia" w:ascii="宋体" w:hAnsi="宋体" w:cs="宋体"/>
          <w:sz w:val="24"/>
          <w:szCs w:val="24"/>
        </w:rPr>
      </w:pPr>
      <w:r>
        <w:rPr>
          <w:rFonts w:hint="eastAsia" w:ascii="宋体" w:hAnsi="宋体" w:cs="宋体"/>
          <w:sz w:val="24"/>
          <w:szCs w:val="24"/>
        </w:rPr>
        <w:t>施工噪声主要来自车辆行驶噪声。</w:t>
      </w:r>
    </w:p>
    <w:p w14:paraId="3ABC98AA">
      <w:pPr>
        <w:snapToGrid w:val="0"/>
        <w:spacing w:line="360" w:lineRule="auto"/>
        <w:ind w:firstLine="360" w:firstLineChars="150"/>
        <w:rPr>
          <w:rFonts w:hint="eastAsia" w:ascii="宋体" w:hAnsi="宋体" w:cs="宋体"/>
          <w:sz w:val="24"/>
          <w:szCs w:val="24"/>
        </w:rPr>
      </w:pPr>
      <w:r>
        <w:rPr>
          <w:rFonts w:hint="eastAsia" w:ascii="宋体" w:hAnsi="宋体" w:cs="宋体"/>
          <w:sz w:val="24"/>
          <w:szCs w:val="24"/>
        </w:rPr>
        <w:t>（4）施工固体废物</w:t>
      </w:r>
    </w:p>
    <w:p w14:paraId="7039836D">
      <w:pPr>
        <w:widowControl/>
        <w:snapToGrid w:val="0"/>
        <w:spacing w:line="360" w:lineRule="auto"/>
        <w:ind w:firstLine="480" w:firstLineChars="200"/>
        <w:jc w:val="left"/>
        <w:rPr>
          <w:rFonts w:hint="eastAsia" w:ascii="宋体" w:hAnsi="宋体" w:cs="宋体"/>
          <w:sz w:val="24"/>
          <w:szCs w:val="24"/>
        </w:rPr>
      </w:pPr>
      <w:r>
        <w:rPr>
          <w:rFonts w:hint="eastAsia" w:ascii="宋体" w:hAnsi="宋体" w:cs="宋体"/>
          <w:sz w:val="24"/>
          <w:szCs w:val="24"/>
        </w:rPr>
        <w:t>固体废物产生来源主要是机械设</w:t>
      </w:r>
      <w:r>
        <w:rPr>
          <w:rFonts w:hint="eastAsia" w:ascii="宋体" w:hAnsi="宋体" w:cs="宋体"/>
          <w:sz w:val="24"/>
          <w:szCs w:val="24"/>
          <w:lang w:eastAsia="zh-CN"/>
        </w:rPr>
        <w:t>备和</w:t>
      </w:r>
      <w:r>
        <w:rPr>
          <w:rFonts w:hint="eastAsia" w:ascii="宋体" w:hAnsi="宋体" w:cs="宋体"/>
          <w:sz w:val="24"/>
          <w:szCs w:val="24"/>
        </w:rPr>
        <w:t>包装材料。</w:t>
      </w:r>
    </w:p>
    <w:p w14:paraId="37C5A379">
      <w:pPr>
        <w:pStyle w:val="38"/>
      </w:pPr>
      <w:r>
        <w:rPr>
          <w:rFonts w:hint="eastAsia"/>
        </w:rPr>
        <w:t xml:space="preserve">   （5）生态影响</w:t>
      </w:r>
    </w:p>
    <w:p w14:paraId="73799E28">
      <w:pPr>
        <w:pStyle w:val="38"/>
        <w:ind w:left="105" w:leftChars="50" w:firstLine="360" w:firstLineChars="150"/>
      </w:pPr>
      <w:r>
        <w:t>本项目</w:t>
      </w:r>
      <w:r>
        <w:rPr>
          <w:rFonts w:hint="eastAsia"/>
        </w:rPr>
        <w:t>租用现有</w:t>
      </w:r>
      <w:r>
        <w:t>厂房，其初级生产力水平已不存在。所以，项目施工对区域生态影响较小。</w:t>
      </w:r>
    </w:p>
    <w:p w14:paraId="6973EC59">
      <w:pPr>
        <w:pStyle w:val="4"/>
        <w:autoSpaceDE w:val="0"/>
        <w:autoSpaceDN w:val="0"/>
        <w:spacing w:before="0" w:after="0" w:line="360" w:lineRule="auto"/>
        <w:jc w:val="left"/>
        <w:rPr>
          <w:kern w:val="0"/>
          <w:sz w:val="24"/>
          <w:lang w:val="en-US" w:bidi="zh-CN"/>
        </w:rPr>
      </w:pPr>
      <w:r>
        <w:rPr>
          <w:rFonts w:hint="eastAsia"/>
          <w:kern w:val="0"/>
          <w:sz w:val="24"/>
          <w:lang w:val="en-US" w:bidi="zh-CN"/>
        </w:rPr>
        <w:t>3.2.2运营期工艺流程及产污环节</w:t>
      </w:r>
    </w:p>
    <w:bookmarkEnd w:id="131"/>
    <w:p w14:paraId="2C3D9EEF">
      <w:pPr>
        <w:widowControl/>
        <w:spacing w:line="360" w:lineRule="auto"/>
        <w:ind w:firstLine="480" w:firstLineChars="200"/>
        <w:jc w:val="left"/>
        <w:rPr>
          <w:rFonts w:hint="eastAsia" w:ascii="宋体" w:hAnsi="宋体"/>
          <w:color w:val="000000"/>
          <w:kern w:val="0"/>
          <w:sz w:val="24"/>
          <w:szCs w:val="24"/>
        </w:rPr>
      </w:pPr>
      <w:r>
        <w:rPr>
          <w:rFonts w:hint="eastAsia" w:ascii="宋体" w:hAnsi="宋体"/>
          <w:color w:val="000000"/>
          <w:kern w:val="0"/>
          <w:sz w:val="24"/>
          <w:szCs w:val="24"/>
        </w:rPr>
        <w:t>根据《排污许可证申请与核发技术规范 废弃资源加工工业》（HJ1034-2019）、《排污许可证申请与核发技术规范 橡胶和塑料制品工业》（HJ1122-2020），生产工艺流程及产排污环节分析如下：</w:t>
      </w:r>
    </w:p>
    <w:p w14:paraId="2F746018">
      <w:pPr>
        <w:widowControl/>
        <w:spacing w:line="360" w:lineRule="auto"/>
        <w:ind w:firstLine="480" w:firstLineChars="200"/>
        <w:jc w:val="left"/>
        <w:rPr>
          <w:color w:val="000000"/>
          <w:kern w:val="0"/>
          <w:sz w:val="24"/>
          <w:szCs w:val="24"/>
        </w:rPr>
      </w:pPr>
      <w:r>
        <w:rPr>
          <w:rFonts w:hint="eastAsia" w:ascii="宋体" w:hAnsi="宋体"/>
          <w:color w:val="000000"/>
          <w:kern w:val="0"/>
          <w:sz w:val="24"/>
          <w:szCs w:val="24"/>
        </w:rPr>
        <w:t>项目再生塑料颗粒</w:t>
      </w:r>
      <w:r>
        <w:rPr>
          <w:rFonts w:hint="eastAsia" w:ascii="宋体" w:hAnsi="宋体" w:cs="宋体"/>
          <w:kern w:val="0"/>
          <w:sz w:val="24"/>
          <w:szCs w:val="24"/>
          <w:lang w:bidi="zh-CN"/>
        </w:rPr>
        <w:t>原料利用距离本项目东侧6.93km处的本公司2024年8月建成投入使用的地膜回收分拣、破碎清选后的废旧地膜运送至本项目区</w:t>
      </w:r>
      <w:r>
        <w:rPr>
          <w:color w:val="000000"/>
          <w:kern w:val="0"/>
          <w:sz w:val="24"/>
          <w:szCs w:val="24"/>
        </w:rPr>
        <w:t>后通过熔融挤出、</w:t>
      </w:r>
      <w:r>
        <w:rPr>
          <w:rFonts w:hint="eastAsia"/>
          <w:color w:val="000000"/>
          <w:kern w:val="0"/>
          <w:sz w:val="24"/>
          <w:szCs w:val="24"/>
        </w:rPr>
        <w:t>切粒等工序再生塑料颗粒用于滴灌带生产线。</w:t>
      </w:r>
    </w:p>
    <w:p w14:paraId="4CA2CCE4">
      <w:pPr>
        <w:widowControl/>
        <w:spacing w:line="360" w:lineRule="auto"/>
        <w:ind w:firstLine="480" w:firstLineChars="200"/>
        <w:jc w:val="left"/>
        <w:rPr>
          <w:color w:val="000000"/>
          <w:kern w:val="0"/>
          <w:sz w:val="24"/>
          <w:szCs w:val="24"/>
        </w:rPr>
      </w:pPr>
      <w:r>
        <w:rPr>
          <w:rFonts w:hint="eastAsia"/>
          <w:color w:val="000000"/>
          <w:kern w:val="0"/>
          <w:sz w:val="24"/>
          <w:szCs w:val="24"/>
        </w:rPr>
        <w:t>造粒生产线是将废旧地膜熔融挤出、冷却（风冷）、切粒，直接进入滴灌带生产线。</w:t>
      </w:r>
    </w:p>
    <w:p w14:paraId="58354C3A">
      <w:pPr>
        <w:widowControl/>
        <w:spacing w:line="360" w:lineRule="auto"/>
        <w:ind w:firstLine="480" w:firstLineChars="200"/>
        <w:jc w:val="left"/>
        <w:rPr>
          <w:color w:val="000000"/>
          <w:kern w:val="0"/>
          <w:sz w:val="24"/>
          <w:szCs w:val="24"/>
        </w:rPr>
      </w:pPr>
      <w:r>
        <w:rPr>
          <w:rFonts w:hint="eastAsia"/>
          <w:color w:val="000000"/>
          <w:kern w:val="0"/>
          <w:sz w:val="24"/>
          <w:szCs w:val="24"/>
        </w:rPr>
        <w:t>滴灌带生产线是将再生塑料颗粒与配料等配比</w:t>
      </w:r>
      <w:r>
        <w:rPr>
          <w:rFonts w:hint="eastAsia"/>
          <w:color w:val="000000"/>
          <w:kern w:val="0"/>
          <w:sz w:val="24"/>
          <w:szCs w:val="24"/>
          <w:lang w:eastAsia="zh-CN"/>
        </w:rPr>
        <w:t>（聚乙烯再生颗粒55%：聚乙烯（新料）35%：色母5%：抗老化剂5%）</w:t>
      </w:r>
      <w:r>
        <w:rPr>
          <w:rFonts w:hint="eastAsia"/>
          <w:color w:val="000000"/>
          <w:kern w:val="0"/>
          <w:sz w:val="24"/>
          <w:szCs w:val="24"/>
        </w:rPr>
        <w:t>、混合、热熔挤出、风环冷却、打卷、产品自检、包装入库。</w:t>
      </w:r>
    </w:p>
    <w:p w14:paraId="1F3F06FF">
      <w:pPr>
        <w:widowControl/>
        <w:spacing w:line="360" w:lineRule="auto"/>
        <w:ind w:firstLine="480" w:firstLineChars="200"/>
        <w:jc w:val="left"/>
        <w:rPr>
          <w:color w:val="000000"/>
          <w:kern w:val="0"/>
          <w:sz w:val="24"/>
          <w:szCs w:val="24"/>
        </w:rPr>
      </w:pPr>
      <w:r>
        <w:rPr>
          <w:color w:val="000000"/>
          <w:kern w:val="0"/>
          <w:sz w:val="24"/>
          <w:szCs w:val="24"/>
        </w:rPr>
        <w:t>生产工艺流程及产污节点见图</w:t>
      </w:r>
      <w:r>
        <w:rPr>
          <w:rFonts w:hint="eastAsia"/>
          <w:color w:val="000000"/>
          <w:kern w:val="0"/>
          <w:sz w:val="24"/>
          <w:szCs w:val="24"/>
        </w:rPr>
        <w:t>3.2-2和图3.2-3</w:t>
      </w:r>
      <w:r>
        <w:rPr>
          <w:color w:val="000000"/>
          <w:kern w:val="0"/>
          <w:sz w:val="24"/>
          <w:szCs w:val="24"/>
        </w:rPr>
        <w:t>。</w:t>
      </w:r>
    </w:p>
    <w:p w14:paraId="4E99EC14">
      <w:pPr>
        <w:ind w:firstLine="480"/>
      </w:pPr>
      <w:r>
        <mc:AlternateContent>
          <mc:Choice Requires="wps">
            <w:drawing>
              <wp:anchor distT="0" distB="0" distL="114300" distR="114300" simplePos="0" relativeHeight="251708416" behindDoc="0" locked="0" layoutInCell="1" allowOverlap="1">
                <wp:simplePos x="0" y="0"/>
                <wp:positionH relativeFrom="margin">
                  <wp:align>center</wp:align>
                </wp:positionH>
                <wp:positionV relativeFrom="paragraph">
                  <wp:posOffset>16510</wp:posOffset>
                </wp:positionV>
                <wp:extent cx="2514600" cy="400050"/>
                <wp:effectExtent l="10795" t="10795" r="17780" b="17780"/>
                <wp:wrapNone/>
                <wp:docPr id="346346741" name="文本框 78"/>
                <wp:cNvGraphicFramePr/>
                <a:graphic xmlns:a="http://schemas.openxmlformats.org/drawingml/2006/main">
                  <a:graphicData uri="http://schemas.microsoft.com/office/word/2010/wordprocessingShape">
                    <wps:wsp>
                      <wps:cNvSpPr txBox="1">
                        <a:spLocks noChangeArrowheads="1"/>
                      </wps:cNvSpPr>
                      <wps:spPr bwMode="auto">
                        <a:xfrm>
                          <a:off x="0" y="0"/>
                          <a:ext cx="2514600" cy="400050"/>
                        </a:xfrm>
                        <a:prstGeom prst="rect">
                          <a:avLst/>
                        </a:prstGeom>
                        <a:solidFill>
                          <a:srgbClr val="FFFFFF"/>
                        </a:solidFill>
                        <a:ln w="22225" cmpd="sng">
                          <a:solidFill>
                            <a:srgbClr val="000000"/>
                          </a:solidFill>
                          <a:miter lim="800000"/>
                          <a:tailEnd type="triangle" w="med" len="med"/>
                        </a:ln>
                        <a:effectLst/>
                      </wps:spPr>
                      <wps:txbx>
                        <w:txbxContent>
                          <w:p w14:paraId="7E1DA627">
                            <w:pPr>
                              <w:spacing w:line="320" w:lineRule="exact"/>
                              <w:jc w:val="center"/>
                            </w:pPr>
                            <w:r>
                              <w:rPr>
                                <w:rFonts w:hint="eastAsia"/>
                              </w:rPr>
                              <w:t>利用分拣、破碎清选后的废旧地膜</w:t>
                            </w:r>
                          </w:p>
                        </w:txbxContent>
                      </wps:txbx>
                      <wps:bodyPr rot="0" vert="horz" wrap="square" lIns="91440" tIns="45720" rIns="91440" bIns="45720" anchor="t" anchorCtr="0" upright="1">
                        <a:noAutofit/>
                      </wps:bodyPr>
                    </wps:wsp>
                  </a:graphicData>
                </a:graphic>
              </wp:anchor>
            </w:drawing>
          </mc:Choice>
          <mc:Fallback>
            <w:pict>
              <v:shape id="文本框 78" o:spid="_x0000_s1026" o:spt="202" type="#_x0000_t202" style="position:absolute;left:0pt;margin-top:1.3pt;height:31.5pt;width:198pt;mso-position-horizontal:center;mso-position-horizontal-relative:margin;z-index:251708416;mso-width-relative:page;mso-height-relative:page;" fillcolor="#FFFFFF" filled="t" stroked="t" coordsize="21600,21600" o:gfxdata="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X8pC9UAAAAFAQAADwAAAAAAAAABACAAAAAiAAAAZHJzL2Rvd25yZXYu&#10;eG1sUEsBAhQAFAAAAAgAh07iQErHh0JwAgAA2AQAAA4AAAAAAAAAAQAgAAAAJAEAAGRycy9lMm9E&#10;b2MueG1sUEsFBgAAAAAGAAYAWQEAAAYGAAAAAA==&#10;">
                <v:fill on="t" focussize="0,0"/>
                <v:stroke weight="1.75pt" color="#000000" miterlimit="8" joinstyle="miter" endarrow="block"/>
                <v:imagedata o:title=""/>
                <o:lock v:ext="edit" aspectratio="f"/>
                <v:textbox>
                  <w:txbxContent>
                    <w:p w14:paraId="7E1DA627">
                      <w:pPr>
                        <w:spacing w:line="320" w:lineRule="exact"/>
                        <w:jc w:val="center"/>
                      </w:pPr>
                      <w:r>
                        <w:rPr>
                          <w:rFonts w:hint="eastAsia"/>
                        </w:rPr>
                        <w:t>利用分拣、破碎清选后的废旧地膜</w:t>
                      </w:r>
                    </w:p>
                  </w:txbxContent>
                </v:textbox>
              </v:shape>
            </w:pict>
          </mc:Fallback>
        </mc:AlternateContent>
      </w:r>
    </w:p>
    <w:p w14:paraId="02028779">
      <w:pPr>
        <w:ind w:firstLine="480"/>
      </w:pPr>
    </w:p>
    <w:p w14:paraId="3613D605">
      <w:pPr>
        <w:ind w:firstLine="480"/>
      </w:pPr>
      <w:r>
        <mc:AlternateContent>
          <mc:Choice Requires="wps">
            <w:drawing>
              <wp:anchor distT="0" distB="0" distL="114300" distR="114300" simplePos="0" relativeHeight="251712512" behindDoc="0" locked="0" layoutInCell="1" allowOverlap="1">
                <wp:simplePos x="0" y="0"/>
                <wp:positionH relativeFrom="margin">
                  <wp:posOffset>2889885</wp:posOffset>
                </wp:positionH>
                <wp:positionV relativeFrom="paragraph">
                  <wp:posOffset>26670</wp:posOffset>
                </wp:positionV>
                <wp:extent cx="635" cy="409575"/>
                <wp:effectExtent l="38100" t="0" r="37465" b="0"/>
                <wp:wrapNone/>
                <wp:docPr id="1828374114" name="直接连接符 73"/>
                <wp:cNvGraphicFramePr/>
                <a:graphic xmlns:a="http://schemas.openxmlformats.org/drawingml/2006/main">
                  <a:graphicData uri="http://schemas.microsoft.com/office/word/2010/wordprocessingShape">
                    <wps:wsp>
                      <wps:cNvCnPr>
                        <a:cxnSpLocks noChangeShapeType="1"/>
                      </wps:cNvCnPr>
                      <wps:spPr bwMode="auto">
                        <a:xfrm flipH="1">
                          <a:off x="0" y="0"/>
                          <a:ext cx="952" cy="409575"/>
                        </a:xfrm>
                        <a:prstGeom prst="line">
                          <a:avLst/>
                        </a:prstGeom>
                        <a:noFill/>
                        <a:ln w="22225" cmpd="sng">
                          <a:solidFill>
                            <a:srgbClr val="000000"/>
                          </a:solidFill>
                          <a:round/>
                          <a:tailEnd type="triangle" w="med" len="med"/>
                        </a:ln>
                        <a:effectLst/>
                      </wps:spPr>
                      <wps:bodyPr/>
                    </wps:wsp>
                  </a:graphicData>
                </a:graphic>
              </wp:anchor>
            </w:drawing>
          </mc:Choice>
          <mc:Fallback>
            <w:pict>
              <v:line id="直接连接符 73" o:spid="_x0000_s1026" o:spt="20" style="position:absolute;left:0pt;flip:x;margin-left:227.55pt;margin-top:2.1pt;height:32.25pt;width:0.05pt;mso-position-horizontal-relative:margin;z-index:251712512;mso-width-relative:page;mso-height-relative:page;" filled="f" stroked="t" coordsize="21600,21600" o:gfxdata="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HqNXivUAAAACAEAAA8A&#10;AAAAAAAAAQAgAAAAIgAAAGRycy9kb3ducmV2LnhtbFBLAQIUABQAAAAIAIdO4kBD0BOdGwIAAAcE&#10;AAAOAAAAAAAAAAEAIAAAACMBAABkcnMvZTJvRG9jLnhtbFBLBQYAAAAABgAGAFkBAACwBQAAAAA=&#10;">
                <v:fill on="f" focussize="0,0"/>
                <v:stroke weight="1.75pt" color="#000000" joinstyle="round" endarrow="block"/>
                <v:imagedata o:title=""/>
                <o:lock v:ext="edit" aspectratio="f"/>
              </v:line>
            </w:pict>
          </mc:Fallback>
        </mc:AlternateContent>
      </w:r>
    </w:p>
    <w:p w14:paraId="320645FA">
      <w:pPr>
        <w:ind w:firstLine="480"/>
      </w:pPr>
      <w:r>
        <w:rPr>
          <w:sz w:val="24"/>
        </w:rPr>
        <mc:AlternateContent>
          <mc:Choice Requires="wps">
            <w:drawing>
              <wp:anchor distT="0" distB="0" distL="114300" distR="114300" simplePos="0" relativeHeight="251707392" behindDoc="1" locked="0" layoutInCell="1" allowOverlap="1">
                <wp:simplePos x="0" y="0"/>
                <wp:positionH relativeFrom="column">
                  <wp:posOffset>822960</wp:posOffset>
                </wp:positionH>
                <wp:positionV relativeFrom="paragraph">
                  <wp:posOffset>65405</wp:posOffset>
                </wp:positionV>
                <wp:extent cx="1024255" cy="543560"/>
                <wp:effectExtent l="11430" t="10795" r="12065" b="17145"/>
                <wp:wrapNone/>
                <wp:docPr id="432851357" name="文本框 72"/>
                <wp:cNvGraphicFramePr/>
                <a:graphic xmlns:a="http://schemas.openxmlformats.org/drawingml/2006/main">
                  <a:graphicData uri="http://schemas.microsoft.com/office/word/2010/wordprocessingShape">
                    <wps:wsp>
                      <wps:cNvSpPr txBox="1">
                        <a:spLocks noChangeArrowheads="1"/>
                      </wps:cNvSpPr>
                      <wps:spPr bwMode="auto">
                        <a:xfrm>
                          <a:off x="0" y="0"/>
                          <a:ext cx="1024255" cy="543560"/>
                        </a:xfrm>
                        <a:prstGeom prst="rect">
                          <a:avLst/>
                        </a:prstGeom>
                        <a:solidFill>
                          <a:srgbClr val="FFFFFF"/>
                        </a:solidFill>
                        <a:ln w="22225" cmpd="sng">
                          <a:solidFill>
                            <a:srgbClr val="000000"/>
                          </a:solidFill>
                          <a:prstDash val="dash"/>
                          <a:miter lim="800000"/>
                          <a:tailEnd type="triangle" w="med" len="med"/>
                        </a:ln>
                        <a:effectLst/>
                      </wps:spPr>
                      <wps:txbx>
                        <w:txbxContent>
                          <w:p w14:paraId="5AE82A93">
                            <w:pPr>
                              <w:spacing w:line="320" w:lineRule="exact"/>
                              <w:jc w:val="center"/>
                            </w:pPr>
                            <w:r>
                              <w:rPr>
                                <w:rFonts w:hint="eastAsia"/>
                              </w:rPr>
                              <w:t>非甲烷总烃、</w:t>
                            </w:r>
                          </w:p>
                          <w:p w14:paraId="08039CD7">
                            <w:pPr>
                              <w:spacing w:line="320" w:lineRule="exact"/>
                              <w:jc w:val="center"/>
                            </w:pPr>
                            <w:r>
                              <w:rPr>
                                <w:rFonts w:hint="eastAsia"/>
                              </w:rPr>
                              <w:t>噪声</w:t>
                            </w:r>
                          </w:p>
                        </w:txbxContent>
                      </wps:txbx>
                      <wps:bodyPr rot="0" vert="horz" wrap="square" lIns="91440" tIns="45720" rIns="91440" bIns="45720" anchor="t" anchorCtr="0" upright="1">
                        <a:noAutofit/>
                      </wps:bodyPr>
                    </wps:wsp>
                  </a:graphicData>
                </a:graphic>
              </wp:anchor>
            </w:drawing>
          </mc:Choice>
          <mc:Fallback>
            <w:pict>
              <v:shape id="文本框 72" o:spid="_x0000_s1026" o:spt="202" type="#_x0000_t202" style="position:absolute;left:0pt;margin-left:64.8pt;margin-top:5.15pt;height:42.8pt;width:80.65pt;z-index:-251609088;mso-width-relative:page;mso-height-relative:page;" fillcolor="#FFFFFF" filled="t" stroked="t" coordsize="21600,21600" o:gfxdata="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">
                <v:fill on="t" focussize="0,0"/>
                <v:stroke weight="1.75pt" color="#000000" miterlimit="8" joinstyle="miter" dashstyle="dash" endarrow="block"/>
                <v:imagedata o:title=""/>
                <o:lock v:ext="edit" aspectratio="f"/>
                <v:textbox>
                  <w:txbxContent>
                    <w:p w14:paraId="5AE82A93">
                      <w:pPr>
                        <w:spacing w:line="320" w:lineRule="exact"/>
                        <w:jc w:val="center"/>
                      </w:pPr>
                      <w:r>
                        <w:rPr>
                          <w:rFonts w:hint="eastAsia"/>
                        </w:rPr>
                        <w:t>非甲烷总烃、</w:t>
                      </w:r>
                    </w:p>
                    <w:p w14:paraId="08039CD7">
                      <w:pPr>
                        <w:spacing w:line="320" w:lineRule="exact"/>
                        <w:jc w:val="center"/>
                      </w:pPr>
                      <w:r>
                        <w:rPr>
                          <w:rFonts w:hint="eastAsia"/>
                        </w:rPr>
                        <w:t>噪声</w:t>
                      </w:r>
                    </w:p>
                  </w:txbxContent>
                </v:textbox>
              </v:shape>
            </w:pict>
          </mc:Fallback>
        </mc:AlternateContent>
      </w:r>
    </w:p>
    <w:p w14:paraId="35B74F3A">
      <w:pPr>
        <w:pStyle w:val="48"/>
      </w:pPr>
      <w:r>
        <w:rPr>
          <w:sz w:val="24"/>
        </w:rPr>
        <mc:AlternateContent>
          <mc:Choice Requires="wps">
            <w:drawing>
              <wp:anchor distT="0" distB="0" distL="114300" distR="114300" simplePos="0" relativeHeight="251709440" behindDoc="0" locked="0" layoutInCell="1" allowOverlap="1">
                <wp:simplePos x="0" y="0"/>
                <wp:positionH relativeFrom="column">
                  <wp:posOffset>2282190</wp:posOffset>
                </wp:positionH>
                <wp:positionV relativeFrom="paragraph">
                  <wp:posOffset>45085</wp:posOffset>
                </wp:positionV>
                <wp:extent cx="1246505" cy="323850"/>
                <wp:effectExtent l="10795" t="10795" r="19050" b="17780"/>
                <wp:wrapNone/>
                <wp:docPr id="1407962239" name="文本框 71"/>
                <wp:cNvGraphicFramePr/>
                <a:graphic xmlns:a="http://schemas.openxmlformats.org/drawingml/2006/main">
                  <a:graphicData uri="http://schemas.microsoft.com/office/word/2010/wordprocessingShape">
                    <wps:wsp>
                      <wps:cNvSpPr txBox="1">
                        <a:spLocks noChangeArrowheads="1"/>
                      </wps:cNvSpPr>
                      <wps:spPr bwMode="auto">
                        <a:xfrm>
                          <a:off x="0" y="0"/>
                          <a:ext cx="1246822" cy="323850"/>
                        </a:xfrm>
                        <a:prstGeom prst="rect">
                          <a:avLst/>
                        </a:prstGeom>
                        <a:solidFill>
                          <a:srgbClr val="FFFFFF"/>
                        </a:solidFill>
                        <a:ln w="22225" cmpd="sng">
                          <a:solidFill>
                            <a:srgbClr val="000000"/>
                          </a:solidFill>
                          <a:miter lim="800000"/>
                          <a:tailEnd type="triangle" w="med" len="med"/>
                        </a:ln>
                        <a:effectLst/>
                      </wps:spPr>
                      <wps:txbx>
                        <w:txbxContent>
                          <w:p w14:paraId="7D806A7F">
                            <w:pPr>
                              <w:spacing w:line="320" w:lineRule="exact"/>
                              <w:jc w:val="center"/>
                            </w:pPr>
                            <w:r>
                              <w:rPr>
                                <w:rFonts w:hint="eastAsia"/>
                              </w:rPr>
                              <w:t>熔融、挤出</w:t>
                            </w:r>
                          </w:p>
                        </w:txbxContent>
                      </wps:txbx>
                      <wps:bodyPr rot="0" vert="horz" wrap="square" lIns="91440" tIns="45720" rIns="91440" bIns="45720" anchor="t" anchorCtr="0" upright="1">
                        <a:noAutofit/>
                      </wps:bodyPr>
                    </wps:wsp>
                  </a:graphicData>
                </a:graphic>
              </wp:anchor>
            </w:drawing>
          </mc:Choice>
          <mc:Fallback>
            <w:pict>
              <v:shape id="文本框 71" o:spid="_x0000_s1026" o:spt="202" type="#_x0000_t202" style="position:absolute;left:0pt;margin-left:179.7pt;margin-top:3.55pt;height:25.5pt;width:98.15pt;z-index:251709440;mso-width-relative:page;mso-height-relative:page;" fillcolor="#FFFFFF" filled="t" stroked="t" coordsize="21600,21600" o:gfxdata="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AAAA&#10;AGRycy9QSwECFAAUAAAACACHTuJABNQwjdgAAAAIAQAADwAAAAAAAAABACAAAAAiAAAAZHJzL2Rv&#10;d25yZXYueG1sUEsBAhQAFAAAAAgAh07iQPO96ptzAgAA2QQAAA4AAAAAAAAAAQAgAAAAJwEAAGRy&#10;cy9lMm9Eb2MueG1sUEsFBgAAAAAGAAYAWQEAAAwGAAAAAA==&#10;">
                <v:fill on="t" focussize="0,0"/>
                <v:stroke weight="1.75pt" color="#000000" miterlimit="8" joinstyle="miter" endarrow="block"/>
                <v:imagedata o:title=""/>
                <o:lock v:ext="edit" aspectratio="f"/>
                <v:textbox>
                  <w:txbxContent>
                    <w:p w14:paraId="7D806A7F">
                      <w:pPr>
                        <w:spacing w:line="320" w:lineRule="exact"/>
                        <w:jc w:val="center"/>
                      </w:pPr>
                      <w:r>
                        <w:rPr>
                          <w:rFonts w:hint="eastAsia"/>
                        </w:rPr>
                        <w:t>熔融、挤出</w:t>
                      </w:r>
                    </w:p>
                  </w:txbxContent>
                </v:textbox>
              </v:shape>
            </w:pict>
          </mc:Fallback>
        </mc:AlternateContent>
      </w:r>
      <w:r>
        <mc:AlternateContent>
          <mc:Choice Requires="wps">
            <w:drawing>
              <wp:anchor distT="0" distB="0" distL="114300" distR="114300" simplePos="0" relativeHeight="251714560" behindDoc="0" locked="0" layoutInCell="1" allowOverlap="1">
                <wp:simplePos x="0" y="0"/>
                <wp:positionH relativeFrom="column">
                  <wp:posOffset>1833245</wp:posOffset>
                </wp:positionH>
                <wp:positionV relativeFrom="paragraph">
                  <wp:posOffset>118745</wp:posOffset>
                </wp:positionV>
                <wp:extent cx="438150" cy="635"/>
                <wp:effectExtent l="23495" t="52070" r="5080" b="61595"/>
                <wp:wrapNone/>
                <wp:docPr id="667889257" name="直接连接符 70"/>
                <wp:cNvGraphicFramePr/>
                <a:graphic xmlns:a="http://schemas.openxmlformats.org/drawingml/2006/main">
                  <a:graphicData uri="http://schemas.microsoft.com/office/word/2010/wordprocessingShape">
                    <wps:wsp>
                      <wps:cNvCnPr>
                        <a:cxnSpLocks noChangeShapeType="1"/>
                      </wps:cNvCnPr>
                      <wps:spPr bwMode="auto">
                        <a:xfrm flipH="1">
                          <a:off x="0" y="0"/>
                          <a:ext cx="438150" cy="635"/>
                        </a:xfrm>
                        <a:prstGeom prst="line">
                          <a:avLst/>
                        </a:prstGeom>
                        <a:noFill/>
                        <a:ln w="9525" cmpd="sng">
                          <a:solidFill>
                            <a:srgbClr val="000000"/>
                          </a:solidFill>
                          <a:prstDash val="dash"/>
                          <a:round/>
                          <a:tailEnd type="triangle" w="med" len="med"/>
                        </a:ln>
                      </wps:spPr>
                      <wps:bodyPr/>
                    </wps:wsp>
                  </a:graphicData>
                </a:graphic>
              </wp:anchor>
            </w:drawing>
          </mc:Choice>
          <mc:Fallback>
            <w:pict>
              <v:line id="直接连接符 70" o:spid="_x0000_s1026" o:spt="20" style="position:absolute;left:0pt;flip:x;margin-left:144.35pt;margin-top:9.35pt;height:0.05pt;width:34.5pt;z-index:251714560;mso-width-relative:page;mso-height-relative:page;" filled="f" stroked="t" coordsize="21600,21600" o:gfxdata="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6Rtvy1QAA&#10;AAkBAAAPAAAAAAAAAAEAIAAAACIAAABkcnMvZG93bnJldi54bWxQSwECFAAUAAAACACHTuJArhIr&#10;myECAAAPBAAADgAAAAAAAAABACAAAAAkAQAAZHJzL2Uyb0RvYy54bWxQSwUGAAAAAAYABgBZAQAA&#10;twUAAAAA&#10;">
                <v:fill on="f" focussize="0,0"/>
                <v:stroke color="#000000" joinstyle="round" dashstyle="dash" endarrow="block"/>
                <v:imagedata o:title=""/>
                <o:lock v:ext="edit" aspectratio="f"/>
              </v:line>
            </w:pict>
          </mc:Fallback>
        </mc:AlternateContent>
      </w:r>
    </w:p>
    <w:p w14:paraId="546741E1">
      <w:pPr>
        <w:ind w:firstLine="480"/>
      </w:pPr>
      <w:r>
        <mc:AlternateContent>
          <mc:Choice Requires="wps">
            <w:drawing>
              <wp:anchor distT="0" distB="0" distL="114300" distR="114300" simplePos="0" relativeHeight="251713536" behindDoc="0" locked="0" layoutInCell="1" allowOverlap="1">
                <wp:simplePos x="0" y="0"/>
                <wp:positionH relativeFrom="column">
                  <wp:posOffset>2898140</wp:posOffset>
                </wp:positionH>
                <wp:positionV relativeFrom="paragraph">
                  <wp:posOffset>113030</wp:posOffset>
                </wp:positionV>
                <wp:extent cx="0" cy="394970"/>
                <wp:effectExtent l="38100" t="0" r="38100" b="5080"/>
                <wp:wrapNone/>
                <wp:docPr id="141400063" name="直接连接符 69"/>
                <wp:cNvGraphicFramePr/>
                <a:graphic xmlns:a="http://schemas.openxmlformats.org/drawingml/2006/main">
                  <a:graphicData uri="http://schemas.microsoft.com/office/word/2010/wordprocessingShape">
                    <wps:wsp>
                      <wps:cNvCnPr>
                        <a:cxnSpLocks noChangeShapeType="1"/>
                      </wps:cNvCnPr>
                      <wps:spPr bwMode="auto">
                        <a:xfrm flipH="1">
                          <a:off x="0" y="0"/>
                          <a:ext cx="0" cy="395287"/>
                        </a:xfrm>
                        <a:prstGeom prst="line">
                          <a:avLst/>
                        </a:prstGeom>
                        <a:noFill/>
                        <a:ln w="22225" cmpd="sng">
                          <a:solidFill>
                            <a:srgbClr val="000000"/>
                          </a:solidFill>
                          <a:round/>
                          <a:tailEnd type="triangle" w="med" len="med"/>
                        </a:ln>
                      </wps:spPr>
                      <wps:bodyPr/>
                    </wps:wsp>
                  </a:graphicData>
                </a:graphic>
              </wp:anchor>
            </w:drawing>
          </mc:Choice>
          <mc:Fallback>
            <w:pict>
              <v:line id="直接连接符 69" o:spid="_x0000_s1026" o:spt="20" style="position:absolute;left:0pt;flip:x;margin-left:228.2pt;margin-top:8.9pt;height:31.1pt;width:0pt;z-index:251713536;mso-width-relative:page;mso-height-relative:page;" filled="f" stroked="t" coordsize="21600,21600" o:gfxdata="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DYnc3/UAAAACQEAAA8AAAAAAAAAAQAg&#10;AAAAIgAAAGRycy9kb3ducmV2LnhtbFBLAQIUABQAAAAIAIdO4kA7tT1PEgIAAPYDAAAOAAAAAAAA&#10;AAEAIAAAACMBAABkcnMvZTJvRG9jLnhtbFBLBQYAAAAABgAGAFkBAACnBQAAAAA=&#10;">
                <v:fill on="f" focussize="0,0"/>
                <v:stroke weight="1.75pt" color="#000000" joinstyle="round" endarrow="block"/>
                <v:imagedata o:title=""/>
                <o:lock v:ext="edit" aspectratio="f"/>
              </v:line>
            </w:pict>
          </mc:Fallback>
        </mc:AlternateContent>
      </w:r>
    </w:p>
    <w:p w14:paraId="3E97D432">
      <w:pPr>
        <w:pStyle w:val="48"/>
      </w:pPr>
    </w:p>
    <w:p w14:paraId="18573E77">
      <w:pPr>
        <w:pStyle w:val="48"/>
      </w:pPr>
      <w:r>
        <mc:AlternateContent>
          <mc:Choice Requires="wps">
            <w:drawing>
              <wp:anchor distT="0" distB="0" distL="114300" distR="114300" simplePos="0" relativeHeight="251710464" behindDoc="0" locked="0" layoutInCell="1" allowOverlap="1">
                <wp:simplePos x="0" y="0"/>
                <wp:positionH relativeFrom="column">
                  <wp:posOffset>2306320</wp:posOffset>
                </wp:positionH>
                <wp:positionV relativeFrom="paragraph">
                  <wp:posOffset>47625</wp:posOffset>
                </wp:positionV>
                <wp:extent cx="1275715" cy="323850"/>
                <wp:effectExtent l="10795" t="10795" r="18415" b="17780"/>
                <wp:wrapNone/>
                <wp:docPr id="871224537" name="文本框 68"/>
                <wp:cNvGraphicFramePr/>
                <a:graphic xmlns:a="http://schemas.openxmlformats.org/drawingml/2006/main">
                  <a:graphicData uri="http://schemas.microsoft.com/office/word/2010/wordprocessingShape">
                    <wps:wsp>
                      <wps:cNvSpPr txBox="1">
                        <a:spLocks noChangeArrowheads="1"/>
                      </wps:cNvSpPr>
                      <wps:spPr bwMode="auto">
                        <a:xfrm>
                          <a:off x="0" y="0"/>
                          <a:ext cx="1275715" cy="323850"/>
                        </a:xfrm>
                        <a:prstGeom prst="rect">
                          <a:avLst/>
                        </a:prstGeom>
                        <a:solidFill>
                          <a:srgbClr val="FFFFFF"/>
                        </a:solidFill>
                        <a:ln w="22225" cmpd="sng">
                          <a:solidFill>
                            <a:srgbClr val="000000"/>
                          </a:solidFill>
                          <a:miter lim="800000"/>
                          <a:tailEnd type="triangle" w="med" len="med"/>
                        </a:ln>
                        <a:effectLst/>
                      </wps:spPr>
                      <wps:txbx>
                        <w:txbxContent>
                          <w:p w14:paraId="25441A74">
                            <w:pPr>
                              <w:spacing w:line="320" w:lineRule="exact"/>
                              <w:jc w:val="center"/>
                            </w:pPr>
                            <w:r>
                              <w:rPr>
                                <w:rFonts w:hint="eastAsia"/>
                              </w:rPr>
                              <w:t>冷却（风冷机）</w:t>
                            </w:r>
                          </w:p>
                        </w:txbxContent>
                      </wps:txbx>
                      <wps:bodyPr rot="0" vert="horz" wrap="square" lIns="91440" tIns="45720" rIns="91440" bIns="45720" anchor="t" anchorCtr="0" upright="1">
                        <a:noAutofit/>
                      </wps:bodyPr>
                    </wps:wsp>
                  </a:graphicData>
                </a:graphic>
              </wp:anchor>
            </w:drawing>
          </mc:Choice>
          <mc:Fallback>
            <w:pict>
              <v:shape id="文本框 68" o:spid="_x0000_s1026" o:spt="202" type="#_x0000_t202" style="position:absolute;left:0pt;margin-left:181.6pt;margin-top:3.75pt;height:25.5pt;width:100.45pt;z-index:251710464;mso-width-relative:page;mso-height-relative:page;" fillcolor="#FFFFFF" filled="t" stroked="t" coordsize="21600,21600" o:gfxdata="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JyxXuzZAAAACAEAAA8AAAAAAAAAAQAgAAAAIgAAAGRycy9kb3du&#10;cmV2LnhtbFBLAQIUABQAAAAIAIdO4kDEeUTWcAIAANgEAAAOAAAAAAAAAAEAIAAAACgBAABkcnMv&#10;ZTJvRG9jLnhtbFBLBQYAAAAABgAGAFkBAAAKBgAAAAA=&#10;">
                <v:fill on="t" focussize="0,0"/>
                <v:stroke weight="1.75pt" color="#000000" miterlimit="8" joinstyle="miter" endarrow="block"/>
                <v:imagedata o:title=""/>
                <o:lock v:ext="edit" aspectratio="f"/>
                <v:textbox>
                  <w:txbxContent>
                    <w:p w14:paraId="25441A74">
                      <w:pPr>
                        <w:spacing w:line="320" w:lineRule="exact"/>
                        <w:jc w:val="center"/>
                      </w:pPr>
                      <w:r>
                        <w:rPr>
                          <w:rFonts w:hint="eastAsia"/>
                        </w:rPr>
                        <w:t>冷却（风冷机）</w:t>
                      </w:r>
                    </w:p>
                  </w:txbxContent>
                </v:textbox>
              </v:shape>
            </w:pict>
          </mc:Fallback>
        </mc:AlternateContent>
      </w:r>
    </w:p>
    <w:p w14:paraId="66041A05">
      <w:pPr>
        <w:ind w:firstLine="480"/>
      </w:pPr>
      <w:r>
        <mc:AlternateContent>
          <mc:Choice Requires="wps">
            <w:drawing>
              <wp:anchor distT="0" distB="0" distL="114300" distR="114300" simplePos="0" relativeHeight="251745280" behindDoc="0" locked="0" layoutInCell="1" allowOverlap="1">
                <wp:simplePos x="0" y="0"/>
                <wp:positionH relativeFrom="column">
                  <wp:posOffset>2934335</wp:posOffset>
                </wp:positionH>
                <wp:positionV relativeFrom="paragraph">
                  <wp:posOffset>128270</wp:posOffset>
                </wp:positionV>
                <wp:extent cx="0" cy="394970"/>
                <wp:effectExtent l="38100" t="0" r="38100" b="5080"/>
                <wp:wrapNone/>
                <wp:docPr id="22" name="直接连接符 69"/>
                <wp:cNvGraphicFramePr/>
                <a:graphic xmlns:a="http://schemas.openxmlformats.org/drawingml/2006/main">
                  <a:graphicData uri="http://schemas.microsoft.com/office/word/2010/wordprocessingShape">
                    <wps:wsp>
                      <wps:cNvCnPr>
                        <a:cxnSpLocks noChangeShapeType="1"/>
                      </wps:cNvCnPr>
                      <wps:spPr bwMode="auto">
                        <a:xfrm flipH="1">
                          <a:off x="0" y="0"/>
                          <a:ext cx="0" cy="394970"/>
                        </a:xfrm>
                        <a:prstGeom prst="line">
                          <a:avLst/>
                        </a:prstGeom>
                        <a:noFill/>
                        <a:ln w="22225" cmpd="sng">
                          <a:solidFill>
                            <a:srgbClr val="000000"/>
                          </a:solidFill>
                          <a:round/>
                          <a:tailEnd type="triangle" w="med" len="med"/>
                        </a:ln>
                      </wps:spPr>
                      <wps:bodyPr/>
                    </wps:wsp>
                  </a:graphicData>
                </a:graphic>
              </wp:anchor>
            </w:drawing>
          </mc:Choice>
          <mc:Fallback>
            <w:pict>
              <v:line id="直接连接符 69" o:spid="_x0000_s1026" o:spt="20" style="position:absolute;left:0pt;flip:x;margin-left:231.05pt;margin-top:10.1pt;height:31.1pt;width:0pt;z-index:251745280;mso-width-relative:page;mso-height-relative:page;" filled="f" stroked="t" coordsize="21600,21600" o:gfxdata="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BUaNOnUAAAACQEAAA8AAAAAAAAAAQAgAAAAIgAA&#10;AGRycy9kb3ducmV2LnhtbFBLAQIUABQAAAAIAIdO4kDioxaCDAIAAO8DAAAOAAAAAAAAAAEAIAAA&#10;ACMBAABkcnMvZTJvRG9jLnhtbFBLBQYAAAAABgAGAFkBAAChBQAAAAA=&#10;">
                <v:fill on="f" focussize="0,0"/>
                <v:stroke weight="1.75pt" color="#000000" joinstyle="round" endarrow="block"/>
                <v:imagedata o:title=""/>
                <o:lock v:ext="edit" aspectratio="f"/>
              </v:line>
            </w:pict>
          </mc:Fallback>
        </mc:AlternateContent>
      </w:r>
    </w:p>
    <w:p w14:paraId="466713E6">
      <w:pPr>
        <w:pStyle w:val="48"/>
      </w:pPr>
    </w:p>
    <w:p w14:paraId="3A062C47">
      <w:pPr>
        <w:ind w:firstLine="480"/>
      </w:pPr>
      <w:r>
        <w:rPr>
          <w:sz w:val="24"/>
        </w:rPr>
        <mc:AlternateContent>
          <mc:Choice Requires="wps">
            <w:drawing>
              <wp:anchor distT="0" distB="0" distL="114300" distR="114300" simplePos="0" relativeHeight="251747328" behindDoc="1" locked="0" layoutInCell="1" allowOverlap="1">
                <wp:simplePos x="0" y="0"/>
                <wp:positionH relativeFrom="column">
                  <wp:posOffset>4084955</wp:posOffset>
                </wp:positionH>
                <wp:positionV relativeFrom="paragraph">
                  <wp:posOffset>16510</wp:posOffset>
                </wp:positionV>
                <wp:extent cx="857885" cy="317500"/>
                <wp:effectExtent l="10795" t="10795" r="26670" b="14605"/>
                <wp:wrapNone/>
                <wp:docPr id="24" name="文本框 72"/>
                <wp:cNvGraphicFramePr/>
                <a:graphic xmlns:a="http://schemas.openxmlformats.org/drawingml/2006/main">
                  <a:graphicData uri="http://schemas.microsoft.com/office/word/2010/wordprocessingShape">
                    <wps:wsp>
                      <wps:cNvSpPr txBox="1">
                        <a:spLocks noChangeArrowheads="1"/>
                      </wps:cNvSpPr>
                      <wps:spPr bwMode="auto">
                        <a:xfrm>
                          <a:off x="0" y="0"/>
                          <a:ext cx="857885" cy="317500"/>
                        </a:xfrm>
                        <a:prstGeom prst="rect">
                          <a:avLst/>
                        </a:prstGeom>
                        <a:solidFill>
                          <a:srgbClr val="FFFFFF"/>
                        </a:solidFill>
                        <a:ln w="22225" cmpd="sng">
                          <a:solidFill>
                            <a:srgbClr val="000000"/>
                          </a:solidFill>
                          <a:prstDash val="dash"/>
                          <a:miter lim="800000"/>
                          <a:tailEnd type="triangle" w="med" len="med"/>
                        </a:ln>
                        <a:effectLst/>
                      </wps:spPr>
                      <wps:txbx>
                        <w:txbxContent>
                          <w:p w14:paraId="4E5AB75F">
                            <w:pPr>
                              <w:spacing w:line="320" w:lineRule="exact"/>
                              <w:jc w:val="center"/>
                            </w:pPr>
                            <w:r>
                              <w:rPr>
                                <w:rFonts w:hint="eastAsia"/>
                              </w:rPr>
                              <w:t>噪声</w:t>
                            </w:r>
                          </w:p>
                        </w:txbxContent>
                      </wps:txbx>
                      <wps:bodyPr rot="0" vert="horz" wrap="square" lIns="91440" tIns="45720" rIns="91440" bIns="45720" anchor="t" anchorCtr="0" upright="1">
                        <a:noAutofit/>
                      </wps:bodyPr>
                    </wps:wsp>
                  </a:graphicData>
                </a:graphic>
              </wp:anchor>
            </w:drawing>
          </mc:Choice>
          <mc:Fallback>
            <w:pict>
              <v:shape id="文本框 72" o:spid="_x0000_s1026" o:spt="202" type="#_x0000_t202" style="position:absolute;left:0pt;margin-left:321.65pt;margin-top:1.3pt;height:25pt;width:67.55pt;z-index:-251569152;mso-width-relative:page;mso-height-relative:page;" fillcolor="#FFFFFF" filled="t" stroked="t" coordsize="21600,21600" o:gfxdata="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NY9kFbZAAAACAEAAA8AAAAAAAAAAQAgAAAAIgAAAGRycy9k&#10;b3ducmV2LnhtbFBLAQIUABQAAAAIAIdO4kCs1h80cwIAAOgEAAAOAAAAAAAAAAEAIAAAACgBAABk&#10;cnMvZTJvRG9jLnhtbFBLBQYAAAAABgAGAFkBAAANBgAAAAA=&#10;">
                <v:fill on="t" focussize="0,0"/>
                <v:stroke weight="1.75pt" color="#000000" miterlimit="8" joinstyle="miter" dashstyle="dash" endarrow="block"/>
                <v:imagedata o:title=""/>
                <o:lock v:ext="edit" aspectratio="f"/>
                <v:textbox>
                  <w:txbxContent>
                    <w:p w14:paraId="4E5AB75F">
                      <w:pPr>
                        <w:spacing w:line="320" w:lineRule="exact"/>
                        <w:jc w:val="center"/>
                      </w:pPr>
                      <w:r>
                        <w:rPr>
                          <w:rFonts w:hint="eastAsia"/>
                        </w:rPr>
                        <w:t>噪声</w:t>
                      </w:r>
                    </w:p>
                  </w:txbxContent>
                </v:textbox>
              </v:shape>
            </w:pict>
          </mc:Fallback>
        </mc:AlternateContent>
      </w:r>
      <w:r>
        <mc:AlternateContent>
          <mc:Choice Requires="wps">
            <w:drawing>
              <wp:anchor distT="0" distB="0" distL="114300" distR="114300" simplePos="0" relativeHeight="251744256" behindDoc="0" locked="0" layoutInCell="1" allowOverlap="1">
                <wp:simplePos x="0" y="0"/>
                <wp:positionH relativeFrom="column">
                  <wp:posOffset>2317750</wp:posOffset>
                </wp:positionH>
                <wp:positionV relativeFrom="paragraph">
                  <wp:posOffset>50800</wp:posOffset>
                </wp:positionV>
                <wp:extent cx="1275715" cy="323850"/>
                <wp:effectExtent l="10795" t="10795" r="27940" b="27305"/>
                <wp:wrapNone/>
                <wp:docPr id="21" name="文本框 68"/>
                <wp:cNvGraphicFramePr/>
                <a:graphic xmlns:a="http://schemas.openxmlformats.org/drawingml/2006/main">
                  <a:graphicData uri="http://schemas.microsoft.com/office/word/2010/wordprocessingShape">
                    <wps:wsp>
                      <wps:cNvSpPr txBox="1">
                        <a:spLocks noChangeArrowheads="1"/>
                      </wps:cNvSpPr>
                      <wps:spPr bwMode="auto">
                        <a:xfrm>
                          <a:off x="0" y="0"/>
                          <a:ext cx="1275715" cy="323850"/>
                        </a:xfrm>
                        <a:prstGeom prst="rect">
                          <a:avLst/>
                        </a:prstGeom>
                        <a:solidFill>
                          <a:srgbClr val="FFFFFF"/>
                        </a:solidFill>
                        <a:ln w="22225" cmpd="sng">
                          <a:solidFill>
                            <a:srgbClr val="000000"/>
                          </a:solidFill>
                          <a:miter lim="800000"/>
                          <a:tailEnd type="triangle" w="med" len="med"/>
                        </a:ln>
                        <a:effectLst/>
                      </wps:spPr>
                      <wps:txbx>
                        <w:txbxContent>
                          <w:p w14:paraId="65ED355B">
                            <w:pPr>
                              <w:spacing w:line="320" w:lineRule="exact"/>
                              <w:jc w:val="center"/>
                              <w:rPr>
                                <w:rFonts w:hint="eastAsia" w:eastAsia="宋体"/>
                                <w:lang w:eastAsia="zh-CN"/>
                              </w:rPr>
                            </w:pPr>
                            <w:r>
                              <w:rPr>
                                <w:rFonts w:hint="eastAsia"/>
                                <w:lang w:eastAsia="zh-CN"/>
                              </w:rPr>
                              <w:t>切粒</w:t>
                            </w:r>
                          </w:p>
                        </w:txbxContent>
                      </wps:txbx>
                      <wps:bodyPr rot="0" vert="horz" wrap="square" lIns="91440" tIns="45720" rIns="91440" bIns="45720" anchor="t" anchorCtr="0" upright="1">
                        <a:noAutofit/>
                      </wps:bodyPr>
                    </wps:wsp>
                  </a:graphicData>
                </a:graphic>
              </wp:anchor>
            </w:drawing>
          </mc:Choice>
          <mc:Fallback>
            <w:pict>
              <v:shape id="文本框 68" o:spid="_x0000_s1026" o:spt="202" type="#_x0000_t202" style="position:absolute;left:0pt;margin-left:182.5pt;margin-top:4pt;height:25.5pt;width:100.45pt;z-index:251744256;mso-width-relative:page;mso-height-relative:page;" fillcolor="#FFFFFF" filled="t" stroked="t" coordsize="21600,21600" o:gfxdata="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7hjnQ9gAAAAIAQAADwAAAAAAAAABACAAAAAiAAAAZHJzL2Rvd25yZXYueG1s&#10;UEsBAhQAFAAAAAgAh07iQBWxz99qAgAA0QQAAA4AAAAAAAAAAQAgAAAAJwEAAGRycy9lMm9Eb2Mu&#10;eG1sUEsFBgAAAAAGAAYAWQEAAAMGAAAAAA==&#10;">
                <v:fill on="t" focussize="0,0"/>
                <v:stroke weight="1.75pt" color="#000000" miterlimit="8" joinstyle="miter" endarrow="block"/>
                <v:imagedata o:title=""/>
                <o:lock v:ext="edit" aspectratio="f"/>
                <v:textbox>
                  <w:txbxContent>
                    <w:p w14:paraId="65ED355B">
                      <w:pPr>
                        <w:spacing w:line="320" w:lineRule="exact"/>
                        <w:jc w:val="center"/>
                        <w:rPr>
                          <w:rFonts w:hint="eastAsia" w:eastAsia="宋体"/>
                          <w:lang w:eastAsia="zh-CN"/>
                        </w:rPr>
                      </w:pPr>
                      <w:r>
                        <w:rPr>
                          <w:rFonts w:hint="eastAsia"/>
                          <w:lang w:eastAsia="zh-CN"/>
                        </w:rPr>
                        <w:t>切粒</w:t>
                      </w:r>
                    </w:p>
                  </w:txbxContent>
                </v:textbox>
              </v:shape>
            </w:pict>
          </mc:Fallback>
        </mc:AlternateContent>
      </w:r>
    </w:p>
    <w:p w14:paraId="58072D9D">
      <w:pPr>
        <w:ind w:firstLine="480"/>
      </w:pPr>
      <w:r>
        <mc:AlternateContent>
          <mc:Choice Requires="wps">
            <w:drawing>
              <wp:anchor distT="0" distB="0" distL="114300" distR="114300" simplePos="0" relativeHeight="251746304" behindDoc="0" locked="0" layoutInCell="1" allowOverlap="1">
                <wp:simplePos x="0" y="0"/>
                <wp:positionH relativeFrom="column">
                  <wp:posOffset>3616960</wp:posOffset>
                </wp:positionH>
                <wp:positionV relativeFrom="paragraph">
                  <wp:posOffset>8890</wp:posOffset>
                </wp:positionV>
                <wp:extent cx="434340" cy="1270"/>
                <wp:effectExtent l="0" t="38100" r="3810" b="36830"/>
                <wp:wrapNone/>
                <wp:docPr id="23" name="直接连接符 70"/>
                <wp:cNvGraphicFramePr/>
                <a:graphic xmlns:a="http://schemas.openxmlformats.org/drawingml/2006/main">
                  <a:graphicData uri="http://schemas.microsoft.com/office/word/2010/wordprocessingShape">
                    <wps:wsp>
                      <wps:cNvCnPr>
                        <a:cxnSpLocks noChangeShapeType="1"/>
                      </wps:cNvCnPr>
                      <wps:spPr bwMode="auto">
                        <a:xfrm flipV="1">
                          <a:off x="0" y="0"/>
                          <a:ext cx="434340" cy="1270"/>
                        </a:xfrm>
                        <a:prstGeom prst="line">
                          <a:avLst/>
                        </a:prstGeom>
                        <a:noFill/>
                        <a:ln w="9525" cmpd="sng">
                          <a:solidFill>
                            <a:srgbClr val="000000"/>
                          </a:solidFill>
                          <a:prstDash val="dash"/>
                          <a:round/>
                          <a:tailEnd type="triangle" w="med" len="med"/>
                        </a:ln>
                      </wps:spPr>
                      <wps:bodyPr/>
                    </wps:wsp>
                  </a:graphicData>
                </a:graphic>
              </wp:anchor>
            </w:drawing>
          </mc:Choice>
          <mc:Fallback>
            <w:pict>
              <v:line id="直接连接符 70" o:spid="_x0000_s1026" o:spt="20" style="position:absolute;left:0pt;flip:y;margin-left:284.8pt;margin-top:0.7pt;height:0.1pt;width:34.2pt;z-index:251746304;mso-width-relative:page;mso-height-relative:page;" filled="f" stroked="t" coordsize="21600,21600" o:gfxdata="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Jl5pnfTAAAABwEAAA8AAAAA&#10;AAAAAQAgAAAAIgAAAGRycy9kb3ducmV2LnhtbFBLAQIUABQAAAAIAIdO4kBO9iNPGQIAAAkEAAAO&#10;AAAAAAAAAAEAIAAAACIBAABkcnMvZTJvRG9jLnhtbFBLBQYAAAAABgAGAFkBAACtBQAAAAA=&#10;">
                <v:fill on="f" focussize="0,0"/>
                <v:stroke color="#000000" joinstyle="round" dashstyle="dash" endarrow="block"/>
                <v:imagedata o:title=""/>
                <o:lock v:ext="edit" aspectratio="f"/>
              </v:line>
            </w:pict>
          </mc:Fallback>
        </mc:AlternateContent>
      </w:r>
      <w:r>
        <w:rPr>
          <w:sz w:val="24"/>
        </w:rPr>
        <mc:AlternateContent>
          <mc:Choice Requires="wps">
            <w:drawing>
              <wp:anchor distT="0" distB="0" distL="114300" distR="114300" simplePos="0" relativeHeight="251706368" behindDoc="1" locked="0" layoutInCell="1" allowOverlap="1">
                <wp:simplePos x="0" y="0"/>
                <wp:positionH relativeFrom="column">
                  <wp:posOffset>2933065</wp:posOffset>
                </wp:positionH>
                <wp:positionV relativeFrom="paragraph">
                  <wp:posOffset>184150</wp:posOffset>
                </wp:positionV>
                <wp:extent cx="635" cy="419100"/>
                <wp:effectExtent l="37465" t="0" r="38100" b="0"/>
                <wp:wrapNone/>
                <wp:docPr id="554951316" name="直接连接符 67"/>
                <wp:cNvGraphicFramePr/>
                <a:graphic xmlns:a="http://schemas.openxmlformats.org/drawingml/2006/main">
                  <a:graphicData uri="http://schemas.microsoft.com/office/word/2010/wordprocessingShape">
                    <wps:wsp>
                      <wps:cNvCnPr>
                        <a:cxnSpLocks noChangeShapeType="1"/>
                      </wps:cNvCnPr>
                      <wps:spPr bwMode="auto">
                        <a:xfrm>
                          <a:off x="0" y="0"/>
                          <a:ext cx="635" cy="419100"/>
                        </a:xfrm>
                        <a:prstGeom prst="line">
                          <a:avLst/>
                        </a:prstGeom>
                        <a:noFill/>
                        <a:ln w="22225" cmpd="sng">
                          <a:solidFill>
                            <a:srgbClr val="000000"/>
                          </a:solidFill>
                          <a:round/>
                          <a:tailEnd type="triangle" w="med" len="med"/>
                        </a:ln>
                      </wps:spPr>
                      <wps:bodyPr/>
                    </wps:wsp>
                  </a:graphicData>
                </a:graphic>
              </wp:anchor>
            </w:drawing>
          </mc:Choice>
          <mc:Fallback>
            <w:pict>
              <v:line id="直接连接符 67" o:spid="_x0000_s1026" o:spt="20" style="position:absolute;left:0pt;margin-left:230.95pt;margin-top:14.5pt;height:33pt;width:0.05pt;z-index:-251610112;mso-width-relative:page;mso-height-relative:page;" filled="f" stroked="t" coordsize="21600,21600" o:gfxdata="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3OxVytYAAAAJAQAADwAAAAAAAAABACAA&#10;AAAiAAAAZHJzL2Rvd25yZXYueG1sUEsBAhQAFAAAAAgAh07iQNYI5woPAgAA7gMAAA4AAAAAAAAA&#10;AQAgAAAAJQEAAGRycy9lMm9Eb2MueG1sUEsFBgAAAAAGAAYAWQEAAKYFAAAAAA==&#10;">
                <v:fill on="f" focussize="0,0"/>
                <v:stroke weight="1.75pt" color="#000000" joinstyle="round" endarrow="block"/>
                <v:imagedata o:title=""/>
                <o:lock v:ext="edit" aspectratio="f"/>
              </v:line>
            </w:pict>
          </mc:Fallback>
        </mc:AlternateContent>
      </w:r>
    </w:p>
    <w:p w14:paraId="4F7BAC57">
      <w:pPr>
        <w:ind w:firstLine="480"/>
      </w:pPr>
    </w:p>
    <w:p w14:paraId="1C367F24">
      <w:pPr>
        <w:pStyle w:val="13"/>
      </w:pPr>
      <w:r>
        <mc:AlternateContent>
          <mc:Choice Requires="wps">
            <w:drawing>
              <wp:anchor distT="0" distB="0" distL="114300" distR="114300" simplePos="0" relativeHeight="251711488" behindDoc="0" locked="0" layoutInCell="1" allowOverlap="1">
                <wp:simplePos x="0" y="0"/>
                <wp:positionH relativeFrom="column">
                  <wp:posOffset>2232660</wp:posOffset>
                </wp:positionH>
                <wp:positionV relativeFrom="paragraph">
                  <wp:posOffset>209550</wp:posOffset>
                </wp:positionV>
                <wp:extent cx="1541780" cy="323850"/>
                <wp:effectExtent l="10795" t="10795" r="19050" b="17780"/>
                <wp:wrapNone/>
                <wp:docPr id="1534179565" name="文本框 66"/>
                <wp:cNvGraphicFramePr/>
                <a:graphic xmlns:a="http://schemas.openxmlformats.org/drawingml/2006/main">
                  <a:graphicData uri="http://schemas.microsoft.com/office/word/2010/wordprocessingShape">
                    <wps:wsp>
                      <wps:cNvSpPr txBox="1">
                        <a:spLocks noChangeArrowheads="1"/>
                      </wps:cNvSpPr>
                      <wps:spPr bwMode="auto">
                        <a:xfrm>
                          <a:off x="0" y="0"/>
                          <a:ext cx="1541780" cy="323850"/>
                        </a:xfrm>
                        <a:prstGeom prst="rect">
                          <a:avLst/>
                        </a:prstGeom>
                        <a:solidFill>
                          <a:srgbClr val="FFFFFF"/>
                        </a:solidFill>
                        <a:ln w="22225" cmpd="sng">
                          <a:solidFill>
                            <a:srgbClr val="000000"/>
                          </a:solidFill>
                          <a:miter lim="800000"/>
                          <a:tailEnd type="triangle" w="med" len="med"/>
                        </a:ln>
                      </wps:spPr>
                      <wps:txbx>
                        <w:txbxContent>
                          <w:p w14:paraId="60EAEFBE">
                            <w:pPr>
                              <w:spacing w:line="320" w:lineRule="exact"/>
                              <w:jc w:val="center"/>
                            </w:pPr>
                            <w:r>
                              <w:rPr>
                                <w:rFonts w:hint="eastAsia"/>
                              </w:rPr>
                              <w:t>聚乙烯再生颗粒料</w:t>
                            </w:r>
                          </w:p>
                        </w:txbxContent>
                      </wps:txbx>
                      <wps:bodyPr rot="0" vert="horz" wrap="square" lIns="91440" tIns="45720" rIns="91440" bIns="45720" anchor="t" anchorCtr="0" upright="1">
                        <a:noAutofit/>
                      </wps:bodyPr>
                    </wps:wsp>
                  </a:graphicData>
                </a:graphic>
              </wp:anchor>
            </w:drawing>
          </mc:Choice>
          <mc:Fallback>
            <w:pict>
              <v:shape id="文本框 66" o:spid="_x0000_s1026" o:spt="202" type="#_x0000_t202" style="position:absolute;left:0pt;margin-left:175.8pt;margin-top:16.5pt;height:25.5pt;width:121.4pt;z-index:251711488;mso-width-relative:page;mso-height-relative:page;" fillcolor="#FFFFFF" filled="t" stroked="t" coordsize="21600,21600" o:gfxdata="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bjINyNkAAAAJAQAADwAAAAAAAAABACAAAAAiAAAAZHJzL2Rvd25yZXYueG1s&#10;UEsBAhQAFAAAAAgAh07iQIVY5XlpAgAAywQAAA4AAAAAAAAAAQAgAAAAKAEAAGRycy9lMm9Eb2Mu&#10;eG1sUEsFBgAAAAAGAAYAWQEAAAMGAAAAAA==&#10;">
                <v:fill on="t" focussize="0,0"/>
                <v:stroke weight="1.75pt" color="#000000" miterlimit="8" joinstyle="miter" endarrow="block"/>
                <v:imagedata o:title=""/>
                <o:lock v:ext="edit" aspectratio="f"/>
                <v:textbox>
                  <w:txbxContent>
                    <w:p w14:paraId="60EAEFBE">
                      <w:pPr>
                        <w:spacing w:line="320" w:lineRule="exact"/>
                        <w:jc w:val="center"/>
                      </w:pPr>
                      <w:r>
                        <w:rPr>
                          <w:rFonts w:hint="eastAsia"/>
                        </w:rPr>
                        <w:t>聚乙烯再生颗粒料</w:t>
                      </w:r>
                    </w:p>
                  </w:txbxContent>
                </v:textbox>
              </v:shape>
            </w:pict>
          </mc:Fallback>
        </mc:AlternateContent>
      </w:r>
    </w:p>
    <w:p w14:paraId="7B732F79">
      <w:pPr>
        <w:ind w:firstLine="480"/>
      </w:pPr>
    </w:p>
    <w:p w14:paraId="39E1CF90">
      <w:pPr>
        <w:spacing w:line="360" w:lineRule="auto"/>
        <w:rPr>
          <w:rFonts w:hint="eastAsia" w:ascii="宋体" w:hAnsi="宋体"/>
          <w:color w:val="FF0000"/>
        </w:rPr>
      </w:pPr>
      <w:r>
        <w:rPr>
          <w:sz w:val="24"/>
        </w:rPr>
        <mc:AlternateContent>
          <mc:Choice Requires="wps">
            <w:drawing>
              <wp:anchor distT="0" distB="0" distL="114300" distR="114300" simplePos="0" relativeHeight="251715584" behindDoc="1" locked="0" layoutInCell="1" allowOverlap="1">
                <wp:simplePos x="0" y="0"/>
                <wp:positionH relativeFrom="column">
                  <wp:posOffset>2945130</wp:posOffset>
                </wp:positionH>
                <wp:positionV relativeFrom="paragraph">
                  <wp:posOffset>104775</wp:posOffset>
                </wp:positionV>
                <wp:extent cx="635" cy="419100"/>
                <wp:effectExtent l="37465" t="0" r="38100" b="0"/>
                <wp:wrapNone/>
                <wp:docPr id="1689443278" name="直接连接符 67"/>
                <wp:cNvGraphicFramePr/>
                <a:graphic xmlns:a="http://schemas.openxmlformats.org/drawingml/2006/main">
                  <a:graphicData uri="http://schemas.microsoft.com/office/word/2010/wordprocessingShape">
                    <wps:wsp>
                      <wps:cNvCnPr>
                        <a:cxnSpLocks noChangeShapeType="1"/>
                      </wps:cNvCnPr>
                      <wps:spPr bwMode="auto">
                        <a:xfrm>
                          <a:off x="0" y="0"/>
                          <a:ext cx="635" cy="419100"/>
                        </a:xfrm>
                        <a:prstGeom prst="line">
                          <a:avLst/>
                        </a:prstGeom>
                        <a:noFill/>
                        <a:ln w="22225" cmpd="sng">
                          <a:solidFill>
                            <a:srgbClr val="000000"/>
                          </a:solidFill>
                          <a:round/>
                          <a:tailEnd type="triangle" w="med" len="med"/>
                        </a:ln>
                      </wps:spPr>
                      <wps:bodyPr/>
                    </wps:wsp>
                  </a:graphicData>
                </a:graphic>
              </wp:anchor>
            </w:drawing>
          </mc:Choice>
          <mc:Fallback>
            <w:pict>
              <v:line id="直接连接符 67" o:spid="_x0000_s1026" o:spt="20" style="position:absolute;left:0pt;margin-left:231.9pt;margin-top:8.25pt;height:33pt;width:0.05pt;z-index:-251600896;mso-width-relative:page;mso-height-relative:page;" filled="f" stroked="t" coordsize="21600,21600" o:gfxdata="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MJS05nWAAAACQEAAA8AAAAAAAAAAQAg&#10;AAAAIgAAAGRycy9kb3ducmV2LnhtbFBLAQIUABQAAAAIAIdO4kAC3m/+EAIAAO8DAAAOAAAAAAAA&#10;AAEAIAAAACUBAABkcnMvZTJvRG9jLnhtbFBLBQYAAAAABgAGAFkBAACnBQAAAAA=&#10;">
                <v:fill on="f" focussize="0,0"/>
                <v:stroke weight="1.75pt" color="#000000" joinstyle="round" endarrow="block"/>
                <v:imagedata o:title=""/>
                <o:lock v:ext="edit" aspectratio="f"/>
              </v:line>
            </w:pict>
          </mc:Fallback>
        </mc:AlternateContent>
      </w:r>
    </w:p>
    <w:p w14:paraId="311451D4">
      <w:pPr>
        <w:spacing w:line="360" w:lineRule="auto"/>
        <w:jc w:val="center"/>
        <w:rPr>
          <w:rFonts w:hint="eastAsia" w:ascii="宋体" w:hAnsi="宋体"/>
          <w:b/>
          <w:sz w:val="24"/>
        </w:rPr>
      </w:pPr>
      <w:r>
        <w:rPr>
          <w:rFonts w:hint="eastAsia"/>
        </w:rPr>
        <mc:AlternateContent>
          <mc:Choice Requires="wps">
            <w:drawing>
              <wp:anchor distT="0" distB="0" distL="114300" distR="114300" simplePos="0" relativeHeight="251661312" behindDoc="0" locked="0" layoutInCell="1" allowOverlap="1">
                <wp:simplePos x="0" y="0"/>
                <wp:positionH relativeFrom="column">
                  <wp:posOffset>2083435</wp:posOffset>
                </wp:positionH>
                <wp:positionV relativeFrom="paragraph">
                  <wp:posOffset>264160</wp:posOffset>
                </wp:positionV>
                <wp:extent cx="1812290" cy="357505"/>
                <wp:effectExtent l="10795" t="10795" r="15240" b="12700"/>
                <wp:wrapNone/>
                <wp:docPr id="2129546804" name="Text Box 12"/>
                <wp:cNvGraphicFramePr/>
                <a:graphic xmlns:a="http://schemas.openxmlformats.org/drawingml/2006/main">
                  <a:graphicData uri="http://schemas.microsoft.com/office/word/2010/wordprocessingShape">
                    <wps:wsp>
                      <wps:cNvSpPr txBox="1">
                        <a:spLocks noChangeArrowheads="1"/>
                      </wps:cNvSpPr>
                      <wps:spPr bwMode="auto">
                        <a:xfrm>
                          <a:off x="0" y="0"/>
                          <a:ext cx="1812290" cy="357188"/>
                        </a:xfrm>
                        <a:prstGeom prst="rect">
                          <a:avLst/>
                        </a:prstGeom>
                        <a:solidFill>
                          <a:srgbClr val="FFFFFF"/>
                        </a:solidFill>
                        <a:ln w="22225">
                          <a:solidFill>
                            <a:srgbClr val="000000"/>
                          </a:solidFill>
                          <a:prstDash val="dash"/>
                          <a:miter lim="800000"/>
                          <a:tailEnd type="triangle" w="med" len="med"/>
                        </a:ln>
                      </wps:spPr>
                      <wps:txbx>
                        <w:txbxContent>
                          <w:p w14:paraId="1AF99EA6">
                            <w:pPr>
                              <w:spacing w:line="360" w:lineRule="auto"/>
                              <w:jc w:val="center"/>
                              <w:rPr>
                                <w:b w:val="0"/>
                                <w:bCs w:val="0"/>
                                <w:color w:val="808080" w:themeColor="text1" w:themeTint="80"/>
                                <w:szCs w:val="21"/>
                                <w14:textFill>
                                  <w14:solidFill>
                                    <w14:schemeClr w14:val="tx1">
                                      <w14:lumMod w14:val="50000"/>
                                      <w14:lumOff w14:val="50000"/>
                                    </w14:schemeClr>
                                  </w14:solidFill>
                                </w14:textFill>
                              </w:rPr>
                            </w:pPr>
                            <w:r>
                              <w:rPr>
                                <w:rFonts w:hint="eastAsia"/>
                                <w:b w:val="0"/>
                                <w:bCs w:val="0"/>
                                <w:color w:val="auto"/>
                                <w:szCs w:val="21"/>
                              </w:rPr>
                              <w:t>进入滴灌带生产线</w:t>
                            </w:r>
                          </w:p>
                        </w:txbxContent>
                      </wps:txbx>
                      <wps:bodyPr rot="0" vert="horz" wrap="square" lIns="91440" tIns="45720" rIns="91440" bIns="45720" anchor="t" anchorCtr="0" upright="1">
                        <a:noAutofit/>
                      </wps:bodyPr>
                    </wps:wsp>
                  </a:graphicData>
                </a:graphic>
              </wp:anchor>
            </w:drawing>
          </mc:Choice>
          <mc:Fallback>
            <w:pict>
              <v:shape id="Text Box 12" o:spid="_x0000_s1026" o:spt="202" type="#_x0000_t202" style="position:absolute;left:0pt;margin-left:164.05pt;margin-top:20.8pt;height:28.15pt;width:142.7pt;z-index:251661312;mso-width-relative:page;mso-height-relative:page;" fillcolor="#FFFFFF" filled="t" stroked="t" coordsize="21600,21600" o:gfxdata="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DT8DQH2gAAAAkBAAAPAAAAAAAAAAEAIAAAACIAAABkcnMvZG93bnJldi54bWxQSwECFAAUAAAA&#10;CACHTuJA/E5hGF4CAADXBAAADgAAAAAAAAABACAAAAApAQAAZHJzL2Uyb0RvYy54bWxQSwUGAAAA&#10;AAYABgBZAQAA+QUAAAAA&#10;">
                <v:fill on="t" focussize="0,0"/>
                <v:stroke weight="1.75pt" color="#000000" miterlimit="8" joinstyle="miter" dashstyle="dash" endarrow="block"/>
                <v:imagedata o:title=""/>
                <o:lock v:ext="edit" aspectratio="f"/>
                <v:textbox>
                  <w:txbxContent>
                    <w:p w14:paraId="1AF99EA6">
                      <w:pPr>
                        <w:spacing w:line="360" w:lineRule="auto"/>
                        <w:jc w:val="center"/>
                        <w:rPr>
                          <w:b w:val="0"/>
                          <w:bCs w:val="0"/>
                          <w:color w:val="808080" w:themeColor="text1" w:themeTint="80"/>
                          <w:szCs w:val="21"/>
                          <w14:textFill>
                            <w14:solidFill>
                              <w14:schemeClr w14:val="tx1">
                                <w14:lumMod w14:val="50000"/>
                                <w14:lumOff w14:val="50000"/>
                              </w14:schemeClr>
                            </w14:solidFill>
                          </w14:textFill>
                        </w:rPr>
                      </w:pPr>
                      <w:r>
                        <w:rPr>
                          <w:rFonts w:hint="eastAsia"/>
                          <w:b w:val="0"/>
                          <w:bCs w:val="0"/>
                          <w:color w:val="auto"/>
                          <w:szCs w:val="21"/>
                        </w:rPr>
                        <w:t>进入滴灌带生产线</w:t>
                      </w:r>
                    </w:p>
                  </w:txbxContent>
                </v:textbox>
              </v:shape>
            </w:pict>
          </mc:Fallback>
        </mc:AlternateContent>
      </w:r>
    </w:p>
    <w:p w14:paraId="0DC0A577">
      <w:pPr>
        <w:spacing w:line="360" w:lineRule="auto"/>
        <w:jc w:val="center"/>
        <w:rPr>
          <w:rFonts w:hint="eastAsia" w:ascii="宋体" w:hAnsi="宋体"/>
          <w:b/>
          <w:sz w:val="24"/>
        </w:rPr>
      </w:pPr>
    </w:p>
    <w:p w14:paraId="09C797A7">
      <w:pPr>
        <w:spacing w:line="360" w:lineRule="auto"/>
        <w:jc w:val="center"/>
        <w:rPr>
          <w:rFonts w:ascii="宋体" w:hAnsi="宋体"/>
          <w:b/>
          <w:sz w:val="24"/>
        </w:rPr>
      </w:pPr>
    </w:p>
    <w:p w14:paraId="26E48BE0">
      <w:pPr>
        <w:spacing w:line="360" w:lineRule="auto"/>
        <w:jc w:val="center"/>
        <w:rPr>
          <w:rFonts w:hint="eastAsia" w:ascii="宋体" w:hAnsi="宋体"/>
          <w:b/>
          <w:sz w:val="24"/>
        </w:rPr>
      </w:pPr>
      <w:r>
        <w:rPr>
          <w:rFonts w:ascii="宋体" w:hAnsi="宋体"/>
          <w:b/>
          <w:sz w:val="24"/>
        </w:rPr>
        <w:t>图</w:t>
      </w:r>
      <w:r>
        <w:rPr>
          <w:rFonts w:hint="eastAsia" w:ascii="宋体" w:hAnsi="宋体"/>
          <w:b/>
          <w:sz w:val="24"/>
        </w:rPr>
        <w:t>3.2</w:t>
      </w:r>
      <w:r>
        <w:rPr>
          <w:rFonts w:ascii="宋体" w:hAnsi="宋体"/>
          <w:b/>
          <w:sz w:val="24"/>
        </w:rPr>
        <w:t>-</w:t>
      </w:r>
      <w:r>
        <w:rPr>
          <w:rFonts w:hint="eastAsia" w:ascii="宋体" w:hAnsi="宋体"/>
          <w:b/>
          <w:sz w:val="24"/>
        </w:rPr>
        <w:t>2</w:t>
      </w:r>
      <w:r>
        <w:rPr>
          <w:rFonts w:ascii="宋体" w:hAnsi="宋体"/>
          <w:b/>
          <w:sz w:val="24"/>
        </w:rPr>
        <w:t xml:space="preserve">   </w:t>
      </w:r>
      <w:r>
        <w:rPr>
          <w:rFonts w:hint="eastAsia" w:ascii="宋体" w:hAnsi="宋体"/>
          <w:b/>
          <w:sz w:val="24"/>
        </w:rPr>
        <w:t>造粒生产线工艺流程及产污节点图</w:t>
      </w:r>
    </w:p>
    <w:p w14:paraId="28D6CB92">
      <w:pPr>
        <w:spacing w:line="360" w:lineRule="auto"/>
        <w:ind w:right="-40" w:firstLine="472" w:firstLineChars="196"/>
        <w:rPr>
          <w:rFonts w:hint="eastAsia" w:ascii="宋体" w:hAnsi="宋体"/>
          <w:b/>
          <w:bCs/>
          <w:sz w:val="24"/>
        </w:rPr>
      </w:pPr>
      <w:r>
        <w:rPr>
          <w:rFonts w:ascii="宋体" w:hAnsi="宋体"/>
          <w:b/>
          <w:bCs/>
          <w:sz w:val="24"/>
        </w:rPr>
        <w:t>工艺简述：</w:t>
      </w:r>
    </w:p>
    <w:p w14:paraId="3506DFC7">
      <w:pPr>
        <w:widowControl/>
        <w:spacing w:line="360" w:lineRule="auto"/>
        <w:ind w:firstLine="480" w:firstLineChars="200"/>
        <w:rPr>
          <w:color w:val="000000"/>
          <w:kern w:val="0"/>
          <w:sz w:val="24"/>
          <w:szCs w:val="24"/>
        </w:rPr>
      </w:pPr>
      <w:r>
        <w:rPr>
          <w:rFonts w:hint="eastAsia" w:ascii="宋体" w:hAnsi="宋体" w:cs="宋体"/>
          <w:kern w:val="0"/>
          <w:sz w:val="24"/>
          <w:szCs w:val="24"/>
          <w:lang w:bidi="zh-CN"/>
        </w:rPr>
        <w:t>原料利用距离本项目东侧6.93km处的本公司2024年8月建成投入使用的地膜回收分拣、破碎清选后的废旧地膜运送至本项目区</w:t>
      </w:r>
      <w:r>
        <w:rPr>
          <w:rFonts w:ascii="宋体" w:hAnsi="宋体"/>
          <w:bCs/>
          <w:sz w:val="24"/>
        </w:rPr>
        <w:t>经</w:t>
      </w:r>
      <w:r>
        <w:rPr>
          <w:rFonts w:hint="eastAsia" w:ascii="宋体" w:hAnsi="宋体"/>
          <w:bCs/>
          <w:sz w:val="24"/>
        </w:rPr>
        <w:t>自动喂料机</w:t>
      </w:r>
      <w:r>
        <w:rPr>
          <w:rFonts w:ascii="宋体" w:hAnsi="宋体"/>
          <w:bCs/>
          <w:sz w:val="24"/>
        </w:rPr>
        <w:t>将物料定量送入造粒机</w:t>
      </w:r>
      <w:r>
        <w:rPr>
          <w:rFonts w:hint="eastAsia" w:ascii="宋体" w:hAnsi="宋体"/>
          <w:bCs/>
          <w:sz w:val="24"/>
        </w:rPr>
        <w:t>，</w:t>
      </w:r>
      <w:r>
        <w:rPr>
          <w:rFonts w:hint="eastAsia"/>
          <w:color w:val="000000"/>
          <w:kern w:val="0"/>
          <w:sz w:val="24"/>
          <w:szCs w:val="24"/>
        </w:rPr>
        <w:t>造粒机由挤出机、</w:t>
      </w:r>
      <w:r>
        <w:rPr>
          <w:rFonts w:hint="eastAsia"/>
          <w:color w:val="000000"/>
          <w:kern w:val="0"/>
          <w:sz w:val="24"/>
          <w:szCs w:val="24"/>
          <w:lang w:eastAsia="zh-CN"/>
        </w:rPr>
        <w:t>风冷机</w:t>
      </w:r>
      <w:r>
        <w:rPr>
          <w:rFonts w:hint="eastAsia"/>
          <w:color w:val="000000"/>
          <w:kern w:val="0"/>
          <w:sz w:val="24"/>
          <w:szCs w:val="24"/>
        </w:rPr>
        <w:t>、切粒机组成，塑料的挤出成型就是塑料在挤出机中，在一定的温度（</w:t>
      </w:r>
      <w:r>
        <w:rPr>
          <w:color w:val="000000"/>
          <w:kern w:val="0"/>
          <w:sz w:val="24"/>
          <w:szCs w:val="24"/>
        </w:rPr>
        <w:t>1</w:t>
      </w:r>
      <w:r>
        <w:rPr>
          <w:rFonts w:hint="eastAsia"/>
          <w:color w:val="000000"/>
          <w:kern w:val="0"/>
          <w:sz w:val="24"/>
          <w:szCs w:val="24"/>
          <w:lang w:val="en-US" w:eastAsia="zh-CN"/>
        </w:rPr>
        <w:t>7</w:t>
      </w:r>
      <w:r>
        <w:rPr>
          <w:color w:val="000000"/>
          <w:kern w:val="0"/>
          <w:sz w:val="24"/>
          <w:szCs w:val="24"/>
        </w:rPr>
        <w:t>0-200</w:t>
      </w:r>
      <w:r>
        <w:rPr>
          <w:rFonts w:hint="eastAsia"/>
          <w:color w:val="000000"/>
          <w:kern w:val="0"/>
          <w:sz w:val="24"/>
          <w:szCs w:val="24"/>
        </w:rPr>
        <w:t>℃左右）和一定的压力下熔融塑料，并连续通过有固定截面的模型，得到具有特定断面形状连续型材的加工方法，塑料在料筒中借助料筒外部的加热和螺杆转动的剪切挤压作用而熔融，同时熔体在压力的推动下被连续挤出，被挤出的型材失去塑性变为条状，再经过风冷冷却，以免发生变形。最后进入切粒机切成圆柱状颗粒。再生塑料颗粒的粒径在</w:t>
      </w:r>
      <w:r>
        <w:rPr>
          <w:rFonts w:hint="eastAsia"/>
          <w:color w:val="000000"/>
          <w:kern w:val="0"/>
          <w:sz w:val="24"/>
          <w:szCs w:val="24"/>
          <w:lang w:val="en-US" w:eastAsia="zh-CN"/>
        </w:rPr>
        <w:t>2</w:t>
      </w:r>
      <w:r>
        <w:rPr>
          <w:color w:val="000000"/>
          <w:kern w:val="0"/>
          <w:sz w:val="24"/>
          <w:szCs w:val="24"/>
        </w:rPr>
        <w:t>-</w:t>
      </w:r>
      <w:r>
        <w:rPr>
          <w:rFonts w:hint="eastAsia"/>
          <w:color w:val="000000"/>
          <w:kern w:val="0"/>
          <w:sz w:val="24"/>
          <w:szCs w:val="24"/>
          <w:lang w:val="en-US" w:eastAsia="zh-CN"/>
        </w:rPr>
        <w:t>5</w:t>
      </w:r>
      <w:r>
        <w:rPr>
          <w:color w:val="000000"/>
          <w:kern w:val="0"/>
          <w:sz w:val="24"/>
          <w:szCs w:val="24"/>
        </w:rPr>
        <w:t>mm</w:t>
      </w:r>
      <w:r>
        <w:rPr>
          <w:rFonts w:hint="eastAsia"/>
          <w:color w:val="000000"/>
          <w:kern w:val="0"/>
          <w:sz w:val="24"/>
          <w:szCs w:val="24"/>
        </w:rPr>
        <w:t>范围内，塑料颗粒由于粒径较大，因此不易起尘。</w:t>
      </w:r>
    </w:p>
    <w:p w14:paraId="63C3A3BE">
      <w:pPr>
        <w:widowControl/>
        <w:spacing w:line="360" w:lineRule="auto"/>
        <w:ind w:firstLine="480" w:firstLineChars="200"/>
        <w:jc w:val="left"/>
        <w:rPr>
          <w:color w:val="000000"/>
          <w:kern w:val="0"/>
          <w:sz w:val="24"/>
          <w:szCs w:val="24"/>
        </w:rPr>
      </w:pPr>
      <w:r>
        <w:rPr>
          <w:rFonts w:hint="eastAsia"/>
          <w:color w:val="000000"/>
          <w:kern w:val="0"/>
          <w:sz w:val="24"/>
          <w:szCs w:val="24"/>
        </w:rPr>
        <w:t>产污环节：热熔、挤出、切粒工序产生的污染包括有机废气、噪声、塑料挤出机过滤废网片。</w:t>
      </w:r>
    </w:p>
    <w:p w14:paraId="636D90AE">
      <w:pPr>
        <w:widowControl/>
        <w:spacing w:line="360" w:lineRule="auto"/>
        <w:ind w:firstLine="480" w:firstLineChars="200"/>
        <w:jc w:val="left"/>
        <w:rPr>
          <w:color w:val="000000"/>
          <w:kern w:val="0"/>
          <w:sz w:val="24"/>
          <w:szCs w:val="24"/>
        </w:rPr>
      </w:pPr>
      <w:r>
        <w:rPr>
          <w:rFonts w:hint="eastAsia"/>
          <w:color w:val="000000"/>
          <w:kern w:val="0"/>
          <w:sz w:val="24"/>
          <w:szCs w:val="24"/>
        </w:rPr>
        <w:t>本项目热熔挤出工序不添加任何阻燃剂、增塑剂等添加剂，采用直接再生方式，挤出造粒</w:t>
      </w:r>
      <w:r>
        <w:rPr>
          <w:color w:val="000000"/>
          <w:kern w:val="0"/>
          <w:sz w:val="24"/>
          <w:szCs w:val="24"/>
        </w:rPr>
        <w:t>过程为单纯物理熔融变化过程，聚乙烯加热温度控制在1</w:t>
      </w:r>
      <w:r>
        <w:rPr>
          <w:rFonts w:hint="eastAsia"/>
          <w:color w:val="000000"/>
          <w:kern w:val="0"/>
          <w:sz w:val="24"/>
          <w:szCs w:val="24"/>
          <w:lang w:val="en-US" w:eastAsia="zh-CN"/>
        </w:rPr>
        <w:t>7</w:t>
      </w:r>
      <w:r>
        <w:rPr>
          <w:color w:val="000000"/>
          <w:kern w:val="0"/>
          <w:sz w:val="24"/>
          <w:szCs w:val="24"/>
        </w:rPr>
        <w:t>0-200℃左右，聚乙烯裂解温度为≥380℃，因加</w:t>
      </w:r>
      <w:r>
        <w:rPr>
          <w:rFonts w:hint="eastAsia"/>
          <w:color w:val="000000"/>
          <w:kern w:val="0"/>
          <w:sz w:val="24"/>
          <w:szCs w:val="24"/>
        </w:rPr>
        <w:t>热温度控制在不发生裂解的温度条件下，故无裂解废气产生，但在实际操作过程中，因料筒局部过热等</w:t>
      </w:r>
      <w:r>
        <w:rPr>
          <w:rFonts w:hint="eastAsia"/>
          <w:color w:val="000000"/>
          <w:kern w:val="0"/>
          <w:sz w:val="24"/>
          <w:szCs w:val="24"/>
          <w:lang w:eastAsia="zh-CN"/>
        </w:rPr>
        <w:t>其他</w:t>
      </w:r>
      <w:r>
        <w:rPr>
          <w:rFonts w:hint="eastAsia"/>
          <w:color w:val="000000"/>
          <w:kern w:val="0"/>
          <w:sz w:val="24"/>
          <w:szCs w:val="24"/>
        </w:rPr>
        <w:t>原因，会有少量单体产生，主要为乙烯单体，还会产生一定的异味气体（臭气浓度）。在此工序设置集气罩对废气进行收集，收集后的气体经“</w:t>
      </w:r>
      <w:r>
        <w:rPr>
          <w:rFonts w:hint="eastAsia" w:ascii="宋体" w:hAnsi="宋体" w:cs="宋体"/>
          <w:kern w:val="0"/>
          <w:sz w:val="24"/>
          <w:szCs w:val="24"/>
          <w:lang w:val="zh-CN" w:bidi="zh-CN"/>
        </w:rPr>
        <w:t>1套活性炭浓缩吸附+催化燃烧系统装置</w:t>
      </w:r>
      <w:r>
        <w:rPr>
          <w:rFonts w:hint="eastAsia"/>
          <w:color w:val="000000"/>
          <w:kern w:val="0"/>
          <w:sz w:val="24"/>
          <w:szCs w:val="24"/>
        </w:rPr>
        <w:t>”处理达标后，通过15m高排气筒排放。</w:t>
      </w:r>
    </w:p>
    <w:p w14:paraId="2FC20D2F">
      <w:pPr>
        <w:spacing w:line="360" w:lineRule="auto"/>
        <w:ind w:firstLine="480" w:firstLineChars="200"/>
        <w:rPr>
          <w:color w:val="000000"/>
          <w:kern w:val="0"/>
          <w:sz w:val="24"/>
          <w:szCs w:val="24"/>
        </w:rPr>
      </w:pPr>
      <w:r>
        <w:rPr>
          <w:color w:val="000000"/>
          <w:kern w:val="0"/>
          <w:sz w:val="24"/>
          <w:szCs w:val="24"/>
        </w:rPr>
        <w:t>滴灌带生产工艺流程</w:t>
      </w:r>
      <w:r>
        <w:rPr>
          <w:rFonts w:hint="eastAsia"/>
          <w:color w:val="000000"/>
          <w:kern w:val="0"/>
          <w:sz w:val="24"/>
          <w:szCs w:val="24"/>
        </w:rPr>
        <w:t>如下。</w:t>
      </w:r>
    </w:p>
    <w:p w14:paraId="42808962">
      <w:pPr>
        <w:autoSpaceDE w:val="0"/>
        <w:autoSpaceDN w:val="0"/>
      </w:pPr>
      <w:r>
        <mc:AlternateContent>
          <mc:Choice Requires="wps">
            <w:drawing>
              <wp:anchor distT="0" distB="0" distL="114300" distR="114300" simplePos="0" relativeHeight="251703296" behindDoc="0" locked="0" layoutInCell="1" allowOverlap="1">
                <wp:simplePos x="0" y="0"/>
                <wp:positionH relativeFrom="column">
                  <wp:posOffset>398145</wp:posOffset>
                </wp:positionH>
                <wp:positionV relativeFrom="paragraph">
                  <wp:posOffset>4791710</wp:posOffset>
                </wp:positionV>
                <wp:extent cx="1754505" cy="478790"/>
                <wp:effectExtent l="0" t="0" r="17145" b="16510"/>
                <wp:wrapNone/>
                <wp:docPr id="1508709336" name="矩形 63"/>
                <wp:cNvGraphicFramePr/>
                <a:graphic xmlns:a="http://schemas.openxmlformats.org/drawingml/2006/main">
                  <a:graphicData uri="http://schemas.microsoft.com/office/word/2010/wordprocessingShape">
                    <wps:wsp>
                      <wps:cNvSpPr>
                        <a:spLocks noChangeArrowheads="1"/>
                      </wps:cNvSpPr>
                      <wps:spPr bwMode="auto">
                        <a:xfrm>
                          <a:off x="0" y="0"/>
                          <a:ext cx="1754505" cy="478790"/>
                        </a:xfrm>
                        <a:prstGeom prst="rect">
                          <a:avLst/>
                        </a:prstGeom>
                        <a:solidFill>
                          <a:srgbClr val="FFFFFF"/>
                        </a:solidFill>
                        <a:ln w="9525" cmpd="sng">
                          <a:solidFill>
                            <a:srgbClr val="000000"/>
                          </a:solidFill>
                          <a:miter lim="800000"/>
                        </a:ln>
                        <a:effectLst/>
                      </wps:spPr>
                      <wps:txbx>
                        <w:txbxContent>
                          <w:p w14:paraId="2177DC43">
                            <w:pPr>
                              <w:spacing w:line="320" w:lineRule="exact"/>
                              <w:jc w:val="center"/>
                              <w:rPr>
                                <w:sz w:val="24"/>
                                <w:szCs w:val="24"/>
                              </w:rPr>
                            </w:pPr>
                            <w:r>
                              <w:rPr>
                                <w:rFonts w:hint="eastAsia"/>
                                <w:sz w:val="24"/>
                                <w:szCs w:val="24"/>
                              </w:rPr>
                              <w:t>返回造粒工序</w:t>
                            </w:r>
                          </w:p>
                          <w:p w14:paraId="0E49B762">
                            <w:pPr>
                              <w:spacing w:line="320" w:lineRule="exact"/>
                              <w:jc w:val="center"/>
                              <w:rPr>
                                <w:sz w:val="24"/>
                                <w:szCs w:val="24"/>
                              </w:rPr>
                            </w:pPr>
                            <w:r>
                              <w:rPr>
                                <w:rFonts w:hint="eastAsia"/>
                                <w:sz w:val="24"/>
                                <w:szCs w:val="24"/>
                              </w:rPr>
                              <w:t>重新造粒</w:t>
                            </w:r>
                          </w:p>
                        </w:txbxContent>
                      </wps:txbx>
                      <wps:bodyPr rot="0" vert="horz" wrap="square" lIns="91440" tIns="45720" rIns="91440" bIns="45720" anchor="t" anchorCtr="0" upright="1">
                        <a:noAutofit/>
                      </wps:bodyPr>
                    </wps:wsp>
                  </a:graphicData>
                </a:graphic>
              </wp:anchor>
            </w:drawing>
          </mc:Choice>
          <mc:Fallback>
            <w:pict>
              <v:rect id="矩形 63" o:spid="_x0000_s1026" o:spt="1" style="position:absolute;left:0pt;margin-left:31.35pt;margin-top:377.3pt;height:37.7pt;width:138.15pt;z-index:251703296;mso-width-relative:page;mso-height-relative:page;" fillcolor="#FFFFFF" filled="t" stroked="t" coordsize="21600,21600" o:gfxdata="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DQEDzX2QAAAAoBAAAPAAAA&#10;AAAAAAEAIAAAACIAAABkcnMvZG93bnJldi54bWxQSwECFAAUAAAACACHTuJA5dXDFU0CAACdBAAA&#10;DgAAAAAAAAABACAAAAAoAQAAZHJzL2Uyb0RvYy54bWxQSwUGAAAAAAYABgBZAQAA5wUAAAAA&#10;">
                <v:fill on="t" focussize="0,0"/>
                <v:stroke color="#000000" miterlimit="8" joinstyle="miter"/>
                <v:imagedata o:title=""/>
                <o:lock v:ext="edit" aspectratio="f"/>
                <v:textbox>
                  <w:txbxContent>
                    <w:p w14:paraId="2177DC43">
                      <w:pPr>
                        <w:spacing w:line="320" w:lineRule="exact"/>
                        <w:jc w:val="center"/>
                        <w:rPr>
                          <w:sz w:val="24"/>
                          <w:szCs w:val="24"/>
                        </w:rPr>
                      </w:pPr>
                      <w:r>
                        <w:rPr>
                          <w:rFonts w:hint="eastAsia"/>
                          <w:sz w:val="24"/>
                          <w:szCs w:val="24"/>
                        </w:rPr>
                        <w:t>返回造粒工序</w:t>
                      </w:r>
                    </w:p>
                    <w:p w14:paraId="0E49B762">
                      <w:pPr>
                        <w:spacing w:line="320" w:lineRule="exact"/>
                        <w:jc w:val="center"/>
                        <w:rPr>
                          <w:sz w:val="24"/>
                          <w:szCs w:val="24"/>
                        </w:rPr>
                      </w:pPr>
                      <w:r>
                        <w:rPr>
                          <w:rFonts w:hint="eastAsia"/>
                          <w:sz w:val="24"/>
                          <w:szCs w:val="24"/>
                        </w:rPr>
                        <w:t>重新造粒</w:t>
                      </w:r>
                    </w:p>
                  </w:txbxContent>
                </v:textbox>
              </v:rect>
            </w:pict>
          </mc:Fallback>
        </mc:AlternateContent>
      </w:r>
      <w:r>
        <mc:AlternateContent>
          <mc:Choice Requires="wps">
            <w:drawing>
              <wp:anchor distT="0" distB="0" distL="114300" distR="114300" simplePos="0" relativeHeight="251705344" behindDoc="0" locked="0" layoutInCell="1" allowOverlap="1">
                <wp:simplePos x="0" y="0"/>
                <wp:positionH relativeFrom="column">
                  <wp:posOffset>3977640</wp:posOffset>
                </wp:positionH>
                <wp:positionV relativeFrom="paragraph">
                  <wp:posOffset>1643380</wp:posOffset>
                </wp:positionV>
                <wp:extent cx="1642745" cy="551180"/>
                <wp:effectExtent l="5715" t="5080" r="8890" b="5715"/>
                <wp:wrapNone/>
                <wp:docPr id="973433196" name="矩形 65"/>
                <wp:cNvGraphicFramePr/>
                <a:graphic xmlns:a="http://schemas.openxmlformats.org/drawingml/2006/main">
                  <a:graphicData uri="http://schemas.microsoft.com/office/word/2010/wordprocessingShape">
                    <wps:wsp>
                      <wps:cNvSpPr>
                        <a:spLocks noChangeArrowheads="1"/>
                      </wps:cNvSpPr>
                      <wps:spPr bwMode="auto">
                        <a:xfrm>
                          <a:off x="0" y="0"/>
                          <a:ext cx="1642745" cy="551180"/>
                        </a:xfrm>
                        <a:prstGeom prst="rect">
                          <a:avLst/>
                        </a:prstGeom>
                        <a:solidFill>
                          <a:srgbClr val="FFFFFF"/>
                        </a:solidFill>
                        <a:ln w="9525" cmpd="sng">
                          <a:solidFill>
                            <a:srgbClr val="000000"/>
                          </a:solidFill>
                          <a:prstDash val="dash"/>
                          <a:miter lim="800000"/>
                        </a:ln>
                        <a:effectLst/>
                      </wps:spPr>
                      <wps:txbx>
                        <w:txbxContent>
                          <w:p w14:paraId="4EFEB669">
                            <w:pPr>
                              <w:spacing w:line="320" w:lineRule="exact"/>
                              <w:jc w:val="center"/>
                              <w:rPr>
                                <w:sz w:val="24"/>
                                <w:szCs w:val="24"/>
                              </w:rPr>
                            </w:pPr>
                            <w:r>
                              <w:rPr>
                                <w:rFonts w:hint="eastAsia"/>
                                <w:sz w:val="24"/>
                                <w:szCs w:val="24"/>
                              </w:rPr>
                              <w:t>有机废气、噪声、</w:t>
                            </w:r>
                          </w:p>
                          <w:p w14:paraId="1CA8ACDE">
                            <w:pPr>
                              <w:spacing w:line="320" w:lineRule="exact"/>
                              <w:jc w:val="center"/>
                              <w:rPr>
                                <w:sz w:val="24"/>
                                <w:szCs w:val="24"/>
                              </w:rPr>
                            </w:pPr>
                            <w:r>
                              <w:rPr>
                                <w:rFonts w:hint="eastAsia"/>
                                <w:sz w:val="24"/>
                                <w:szCs w:val="24"/>
                              </w:rPr>
                              <w:t>边角料</w:t>
                            </w:r>
                          </w:p>
                        </w:txbxContent>
                      </wps:txbx>
                      <wps:bodyPr rot="0" vert="horz" wrap="square" lIns="91440" tIns="45720" rIns="91440" bIns="45720" anchor="t" anchorCtr="0" upright="1">
                        <a:noAutofit/>
                      </wps:bodyPr>
                    </wps:wsp>
                  </a:graphicData>
                </a:graphic>
              </wp:anchor>
            </w:drawing>
          </mc:Choice>
          <mc:Fallback>
            <w:pict>
              <v:rect id="矩形 65" o:spid="_x0000_s1026" o:spt="1" style="position:absolute;left:0pt;margin-left:313.2pt;margin-top:129.4pt;height:43.4pt;width:129.35pt;z-index:251705344;mso-width-relative:page;mso-height-relative:page;" fillcolor="#FFFFFF" filled="t" stroked="t" coordsize="21600,21600" o:gfxdata="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BFa8v/&#10;2gAAAAsBAAAPAAAAAAAAAAEAIAAAACIAAABkcnMvZG93bnJldi54bWxQSwECFAAUAAAACACHTuJA&#10;08QYhlgCAAC0BAAADgAAAAAAAAABACAAAAApAQAAZHJzL2Uyb0RvYy54bWxQSwUGAAAAAAYABgBZ&#10;AQAA8wUAAAAA&#10;">
                <v:fill on="t" focussize="0,0"/>
                <v:stroke color="#000000" miterlimit="8" joinstyle="miter" dashstyle="dash"/>
                <v:imagedata o:title=""/>
                <o:lock v:ext="edit" aspectratio="f"/>
                <v:textbox>
                  <w:txbxContent>
                    <w:p w14:paraId="4EFEB669">
                      <w:pPr>
                        <w:spacing w:line="320" w:lineRule="exact"/>
                        <w:jc w:val="center"/>
                        <w:rPr>
                          <w:sz w:val="24"/>
                          <w:szCs w:val="24"/>
                        </w:rPr>
                      </w:pPr>
                      <w:r>
                        <w:rPr>
                          <w:rFonts w:hint="eastAsia"/>
                          <w:sz w:val="24"/>
                          <w:szCs w:val="24"/>
                        </w:rPr>
                        <w:t>有机废气、噪声、</w:t>
                      </w:r>
                    </w:p>
                    <w:p w14:paraId="1CA8ACDE">
                      <w:pPr>
                        <w:spacing w:line="320" w:lineRule="exact"/>
                        <w:jc w:val="center"/>
                        <w:rPr>
                          <w:sz w:val="24"/>
                          <w:szCs w:val="24"/>
                        </w:rPr>
                      </w:pPr>
                      <w:r>
                        <w:rPr>
                          <w:rFonts w:hint="eastAsia"/>
                          <w:sz w:val="24"/>
                          <w:szCs w:val="24"/>
                        </w:rPr>
                        <w:t>边角料</w:t>
                      </w:r>
                    </w:p>
                  </w:txbxContent>
                </v:textbox>
              </v:rect>
            </w:pict>
          </mc:Fallback>
        </mc:AlternateContent>
      </w:r>
      <w:r>
        <mc:AlternateContent>
          <mc:Choice Requires="wps">
            <w:drawing>
              <wp:anchor distT="0" distB="0" distL="114300" distR="114300" simplePos="0" relativeHeight="251704320" behindDoc="0" locked="0" layoutInCell="1" allowOverlap="1">
                <wp:simplePos x="0" y="0"/>
                <wp:positionH relativeFrom="column">
                  <wp:posOffset>2310765</wp:posOffset>
                </wp:positionH>
                <wp:positionV relativeFrom="paragraph">
                  <wp:posOffset>2719070</wp:posOffset>
                </wp:positionV>
                <wp:extent cx="1576070" cy="352425"/>
                <wp:effectExtent l="5715" t="13970" r="8890" b="5080"/>
                <wp:wrapNone/>
                <wp:docPr id="2114301104" name="矩形 64"/>
                <wp:cNvGraphicFramePr/>
                <a:graphic xmlns:a="http://schemas.openxmlformats.org/drawingml/2006/main">
                  <a:graphicData uri="http://schemas.microsoft.com/office/word/2010/wordprocessingShape">
                    <wps:wsp>
                      <wps:cNvSpPr>
                        <a:spLocks noChangeArrowheads="1"/>
                      </wps:cNvSpPr>
                      <wps:spPr bwMode="auto">
                        <a:xfrm>
                          <a:off x="0" y="0"/>
                          <a:ext cx="1576070" cy="352425"/>
                        </a:xfrm>
                        <a:prstGeom prst="rect">
                          <a:avLst/>
                        </a:prstGeom>
                        <a:solidFill>
                          <a:srgbClr val="FFFFFF"/>
                        </a:solidFill>
                        <a:ln w="9525" cmpd="sng">
                          <a:solidFill>
                            <a:srgbClr val="000000"/>
                          </a:solidFill>
                          <a:prstDash val="dash"/>
                          <a:miter lim="800000"/>
                        </a:ln>
                        <a:effectLst/>
                      </wps:spPr>
                      <wps:txbx>
                        <w:txbxContent>
                          <w:p w14:paraId="0DFC8882">
                            <w:pPr>
                              <w:spacing w:line="320" w:lineRule="exact"/>
                              <w:jc w:val="center"/>
                              <w:rPr>
                                <w:sz w:val="24"/>
                                <w:szCs w:val="24"/>
                              </w:rPr>
                            </w:pPr>
                            <w:r>
                              <w:rPr>
                                <w:rFonts w:hint="eastAsia"/>
                                <w:sz w:val="24"/>
                                <w:szCs w:val="24"/>
                              </w:rPr>
                              <w:t>冷却（风冷式冷却）机）</w:t>
                            </w:r>
                          </w:p>
                        </w:txbxContent>
                      </wps:txbx>
                      <wps:bodyPr rot="0" vert="horz" wrap="square" lIns="91440" tIns="45720" rIns="91440" bIns="45720" anchor="t" anchorCtr="0" upright="1">
                        <a:noAutofit/>
                      </wps:bodyPr>
                    </wps:wsp>
                  </a:graphicData>
                </a:graphic>
              </wp:anchor>
            </w:drawing>
          </mc:Choice>
          <mc:Fallback>
            <w:pict>
              <v:rect id="矩形 64" o:spid="_x0000_s1026" o:spt="1" style="position:absolute;left:0pt;margin-left:181.95pt;margin-top:214.1pt;height:27.75pt;width:124.1pt;z-index:251704320;mso-width-relative:page;mso-height-relative:page;" fillcolor="#FFFFFF" filled="t" stroked="t" coordsize="21600,21600" o:gfxdata="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BIfPcV&#10;2gAAAAsBAAAPAAAAAAAAAAEAIAAAACIAAABkcnMvZG93bnJldi54bWxQSwECFAAUAAAACACHTuJA&#10;HSsEE1gCAAC1BAAADgAAAAAAAAABACAAAAApAQAAZHJzL2Uyb0RvYy54bWxQSwUGAAAAAAYABgBZ&#10;AQAA8wUAAAAA&#10;">
                <v:fill on="t" focussize="0,0"/>
                <v:stroke color="#000000" miterlimit="8" joinstyle="miter" dashstyle="dash"/>
                <v:imagedata o:title=""/>
                <o:lock v:ext="edit" aspectratio="f"/>
                <v:textbox>
                  <w:txbxContent>
                    <w:p w14:paraId="0DFC8882">
                      <w:pPr>
                        <w:spacing w:line="320" w:lineRule="exact"/>
                        <w:jc w:val="center"/>
                        <w:rPr>
                          <w:sz w:val="24"/>
                          <w:szCs w:val="24"/>
                        </w:rPr>
                      </w:pPr>
                      <w:r>
                        <w:rPr>
                          <w:rFonts w:hint="eastAsia"/>
                          <w:sz w:val="24"/>
                          <w:szCs w:val="24"/>
                        </w:rPr>
                        <w:t>冷却（风冷式冷却）机）</w:t>
                      </w:r>
                    </w:p>
                  </w:txbxContent>
                </v:textbox>
              </v:rect>
            </w:pict>
          </mc:Fallback>
        </mc:AlternateContent>
      </w:r>
      <w:r>
        <w:drawing>
          <wp:inline distT="0" distB="0" distL="0" distR="0">
            <wp:extent cx="5720080" cy="5210175"/>
            <wp:effectExtent l="0" t="0" r="0" b="9525"/>
            <wp:docPr id="1841550298"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1550298" name="图片 62"/>
                    <pic:cNvPicPr>
                      <a:picLocks noChangeAspect="1" noChangeArrowheads="1"/>
                    </pic:cNvPicPr>
                  </pic:nvPicPr>
                  <pic:blipFill>
                    <a:blip r:embed="rId20">
                      <a:lum bright="6000"/>
                      <a:extLst>
                        <a:ext uri="{28A0092B-C50C-407E-A947-70E740481C1C}">
                          <a14:useLocalDpi xmlns:a14="http://schemas.microsoft.com/office/drawing/2010/main" val="0"/>
                        </a:ext>
                      </a:extLst>
                    </a:blip>
                    <a:srcRect/>
                    <a:stretch>
                      <a:fillRect/>
                    </a:stretch>
                  </pic:blipFill>
                  <pic:spPr>
                    <a:xfrm>
                      <a:off x="0" y="0"/>
                      <a:ext cx="5720080" cy="5210175"/>
                    </a:xfrm>
                    <a:prstGeom prst="rect">
                      <a:avLst/>
                    </a:prstGeom>
                    <a:noFill/>
                    <a:ln>
                      <a:noFill/>
                    </a:ln>
                    <a:effectLst/>
                  </pic:spPr>
                </pic:pic>
              </a:graphicData>
            </a:graphic>
          </wp:inline>
        </w:drawing>
      </w:r>
    </w:p>
    <w:p w14:paraId="58234F1D">
      <w:pPr>
        <w:ind w:firstLine="482"/>
        <w:jc w:val="center"/>
        <w:rPr>
          <w:b/>
          <w:bCs/>
        </w:rPr>
      </w:pPr>
      <w:r>
        <w:rPr>
          <w:b/>
          <w:bCs/>
        </w:rPr>
        <w:t>图</w:t>
      </w:r>
      <w:r>
        <w:rPr>
          <w:rFonts w:hint="eastAsia"/>
          <w:b/>
          <w:bCs/>
        </w:rPr>
        <w:t xml:space="preserve">3.2-2  </w:t>
      </w:r>
      <w:r>
        <w:rPr>
          <w:b/>
          <w:bCs/>
        </w:rPr>
        <w:t>滴灌带生产线工艺流程及产污节点图</w:t>
      </w:r>
    </w:p>
    <w:p w14:paraId="66481C17">
      <w:pPr>
        <w:pStyle w:val="38"/>
        <w:ind w:left="210" w:leftChars="100" w:firstLine="480" w:firstLineChars="200"/>
        <w:rPr>
          <w:rFonts w:hint="eastAsia"/>
        </w:rPr>
      </w:pPr>
    </w:p>
    <w:p w14:paraId="71B2E5A7">
      <w:pPr>
        <w:pStyle w:val="38"/>
        <w:ind w:left="0" w:leftChars="0" w:firstLine="638" w:firstLineChars="266"/>
      </w:pPr>
      <w:r>
        <w:rPr>
          <w:rFonts w:hint="eastAsia"/>
        </w:rPr>
        <w:t>工艺流程简述：</w:t>
      </w:r>
    </w:p>
    <w:p w14:paraId="7721383E">
      <w:pPr>
        <w:pStyle w:val="38"/>
        <w:ind w:left="210" w:leftChars="100" w:firstLine="480" w:firstLineChars="200"/>
      </w:pPr>
      <w:r>
        <w:rPr>
          <w:rFonts w:hint="eastAsia"/>
        </w:rPr>
        <w:t>①拌料：将聚乙烯再生颗粒、聚乙烯（新料）、色母、抗老化剂按比例</w:t>
      </w:r>
      <w:r>
        <w:rPr>
          <w:rFonts w:hint="eastAsia"/>
          <w:lang w:eastAsia="zh-CN"/>
        </w:rPr>
        <w:t>（</w:t>
      </w:r>
      <w:r>
        <w:rPr>
          <w:rFonts w:hint="eastAsia"/>
        </w:rPr>
        <w:t>聚乙烯再生颗粒</w:t>
      </w:r>
      <w:r>
        <w:rPr>
          <w:rFonts w:hint="eastAsia"/>
          <w:lang w:val="en-US" w:eastAsia="zh-CN"/>
        </w:rPr>
        <w:t>55%</w:t>
      </w:r>
      <w:r>
        <w:rPr>
          <w:rFonts w:hint="eastAsia"/>
          <w:lang w:eastAsia="zh-CN"/>
        </w:rPr>
        <w:t>：</w:t>
      </w:r>
      <w:r>
        <w:rPr>
          <w:rFonts w:hint="eastAsia"/>
        </w:rPr>
        <w:t>聚乙烯（新料）</w:t>
      </w:r>
      <w:r>
        <w:rPr>
          <w:rFonts w:hint="eastAsia"/>
          <w:lang w:val="en-US" w:eastAsia="zh-CN"/>
        </w:rPr>
        <w:t>35%</w:t>
      </w:r>
      <w:r>
        <w:rPr>
          <w:rFonts w:hint="eastAsia"/>
          <w:lang w:eastAsia="zh-CN"/>
        </w:rPr>
        <w:t>：</w:t>
      </w:r>
      <w:r>
        <w:rPr>
          <w:rFonts w:hint="eastAsia"/>
        </w:rPr>
        <w:t>色母</w:t>
      </w:r>
      <w:r>
        <w:rPr>
          <w:rFonts w:hint="eastAsia"/>
          <w:lang w:val="en-US" w:eastAsia="zh-CN"/>
        </w:rPr>
        <w:t>5%：</w:t>
      </w:r>
      <w:r>
        <w:rPr>
          <w:rFonts w:hint="eastAsia"/>
        </w:rPr>
        <w:t>抗老化剂</w:t>
      </w:r>
      <w:r>
        <w:rPr>
          <w:rFonts w:hint="eastAsia"/>
          <w:lang w:val="en-US" w:eastAsia="zh-CN"/>
        </w:rPr>
        <w:t>5%</w:t>
      </w:r>
      <w:r>
        <w:rPr>
          <w:rFonts w:hint="eastAsia"/>
          <w:lang w:eastAsia="zh-CN"/>
        </w:rPr>
        <w:t>）</w:t>
      </w:r>
      <w:r>
        <w:rPr>
          <w:rFonts w:hint="eastAsia"/>
        </w:rPr>
        <w:t>混合搅拌均匀，搅拌工序主要产生噪声。</w:t>
      </w:r>
    </w:p>
    <w:p w14:paraId="50779709">
      <w:pPr>
        <w:pStyle w:val="38"/>
        <w:ind w:left="210" w:leftChars="100" w:firstLine="480" w:firstLineChars="200"/>
      </w:pPr>
      <w:r>
        <w:rPr>
          <w:rFonts w:hint="eastAsia"/>
        </w:rPr>
        <w:t>②熔融挤出：利用塑料的热塑性，将塑料加热（1</w:t>
      </w:r>
      <w:r>
        <w:rPr>
          <w:rFonts w:hint="eastAsia"/>
          <w:lang w:val="en-US" w:eastAsia="zh-CN"/>
        </w:rPr>
        <w:t>70</w:t>
      </w:r>
      <w:r>
        <w:rPr>
          <w:rFonts w:hint="eastAsia"/>
        </w:rPr>
        <w:t>-200℃左右）熔化后，加以高的压力使其快速流入模腔，</w:t>
      </w:r>
      <w:r>
        <w:rPr>
          <w:rFonts w:hint="eastAsia"/>
          <w:lang w:eastAsia="zh-CN"/>
        </w:rPr>
        <w:t>经过</w:t>
      </w:r>
      <w:r>
        <w:rPr>
          <w:rFonts w:hint="eastAsia"/>
        </w:rPr>
        <w:t>一段时间的保压和冷却（冷却采用风冷式冷却机，也叫冷冻机），成为各种形状的材料。熔融挤出工序产生的污染包括非甲烷总烃、异味、噪声以及边角料。</w:t>
      </w:r>
    </w:p>
    <w:p w14:paraId="16EA1F7F">
      <w:pPr>
        <w:pStyle w:val="38"/>
        <w:ind w:left="210" w:leftChars="100" w:firstLine="480" w:firstLineChars="200"/>
      </w:pPr>
      <w:r>
        <w:rPr>
          <w:rFonts w:hint="eastAsia"/>
        </w:rPr>
        <w:t>③冷却定型：风环冷却，滴灌带从机头挤出吹胀后，立即进行风冷，冷却装置由冷却风环、鼓风机等组成，将不合格品、残次品及边角料统一收集返回造粒工序。冷却定型工序产生的污染主要为噪声。</w:t>
      </w:r>
    </w:p>
    <w:p w14:paraId="01753E5E">
      <w:pPr>
        <w:pStyle w:val="38"/>
        <w:ind w:left="210" w:leftChars="100" w:firstLine="480" w:firstLineChars="200"/>
      </w:pPr>
      <w:r>
        <w:rPr>
          <w:rFonts w:hint="eastAsia"/>
        </w:rPr>
        <w:t>④收卷打包：定型完成后，进行收卷卷取，合格产品可入库，不合格品、残次品及边角料统一收集后返回造粒工序。</w:t>
      </w:r>
    </w:p>
    <w:p w14:paraId="7D54492F">
      <w:pPr>
        <w:pStyle w:val="4"/>
        <w:autoSpaceDE w:val="0"/>
        <w:autoSpaceDN w:val="0"/>
        <w:spacing w:before="0" w:after="0" w:line="360" w:lineRule="auto"/>
        <w:jc w:val="left"/>
        <w:rPr>
          <w:kern w:val="0"/>
          <w:sz w:val="24"/>
          <w:lang w:val="en-US" w:bidi="zh-CN"/>
        </w:rPr>
      </w:pPr>
      <w:r>
        <w:rPr>
          <w:rFonts w:hint="eastAsia"/>
          <w:kern w:val="0"/>
          <w:sz w:val="24"/>
          <w:lang w:val="en-US" w:bidi="zh-CN"/>
        </w:rPr>
        <w:t>3.2.3全厂产污环节分析</w:t>
      </w:r>
    </w:p>
    <w:p w14:paraId="25889872">
      <w:pPr>
        <w:widowControl/>
        <w:tabs>
          <w:tab w:val="left" w:pos="4320"/>
        </w:tabs>
        <w:spacing w:line="360" w:lineRule="auto"/>
        <w:ind w:firstLine="480" w:firstLineChars="200"/>
        <w:rPr>
          <w:color w:val="000000"/>
          <w:sz w:val="24"/>
          <w:szCs w:val="24"/>
        </w:rPr>
      </w:pPr>
      <w:r>
        <w:rPr>
          <w:rFonts w:hint="eastAsia"/>
          <w:color w:val="000000"/>
          <w:sz w:val="24"/>
          <w:szCs w:val="24"/>
        </w:rPr>
        <w:t>本项目运营过程产污环节</w:t>
      </w:r>
      <w:r>
        <w:rPr>
          <w:color w:val="000000"/>
          <w:sz w:val="24"/>
          <w:szCs w:val="24"/>
        </w:rPr>
        <w:t>见表</w:t>
      </w:r>
      <w:r>
        <w:rPr>
          <w:rFonts w:hint="eastAsia"/>
          <w:color w:val="000000"/>
          <w:sz w:val="24"/>
          <w:szCs w:val="24"/>
        </w:rPr>
        <w:t>3.2</w:t>
      </w:r>
      <w:r>
        <w:rPr>
          <w:color w:val="000000"/>
          <w:sz w:val="24"/>
          <w:szCs w:val="24"/>
        </w:rPr>
        <w:t>-</w:t>
      </w:r>
      <w:r>
        <w:rPr>
          <w:rFonts w:hint="eastAsia"/>
          <w:color w:val="000000"/>
          <w:sz w:val="24"/>
          <w:szCs w:val="24"/>
        </w:rPr>
        <w:t>1</w:t>
      </w:r>
      <w:r>
        <w:rPr>
          <w:color w:val="000000"/>
          <w:sz w:val="24"/>
          <w:szCs w:val="24"/>
        </w:rPr>
        <w:t>。</w:t>
      </w:r>
    </w:p>
    <w:p w14:paraId="3675FD50">
      <w:pPr>
        <w:pStyle w:val="29"/>
        <w:jc w:val="center"/>
        <w:rPr>
          <w:rFonts w:hint="eastAsia" w:ascii="Times New Roman" w:hAnsi="宋体"/>
          <w:b/>
          <w:color w:val="000000"/>
        </w:rPr>
      </w:pPr>
      <w:r>
        <w:rPr>
          <w:rFonts w:hint="eastAsia" w:ascii="Times New Roman" w:hAnsi="宋体"/>
          <w:b/>
          <w:color w:val="000000"/>
        </w:rPr>
        <w:t>表</w:t>
      </w:r>
      <w:r>
        <w:rPr>
          <w:rFonts w:hint="eastAsia" w:ascii="Times New Roman" w:hAnsi="宋体"/>
          <w:b/>
          <w:color w:val="000000"/>
          <w:lang w:val="en-US"/>
        </w:rPr>
        <w:t>3.2</w:t>
      </w:r>
      <w:r>
        <w:rPr>
          <w:rFonts w:hint="eastAsia" w:ascii="Times New Roman" w:hAnsi="宋体"/>
          <w:b/>
          <w:color w:val="000000"/>
        </w:rPr>
        <w:t>-1     建设项目产污环节汇总</w:t>
      </w:r>
    </w:p>
    <w:tbl>
      <w:tblPr>
        <w:tblStyle w:val="49"/>
        <w:tblW w:w="5125" w:type="pct"/>
        <w:jc w:val="center"/>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0" w:type="dxa"/>
          <w:bottom w:w="0" w:type="dxa"/>
          <w:right w:w="0" w:type="dxa"/>
        </w:tblCellMar>
      </w:tblPr>
      <w:tblGrid>
        <w:gridCol w:w="947"/>
        <w:gridCol w:w="1417"/>
        <w:gridCol w:w="1164"/>
        <w:gridCol w:w="1126"/>
        <w:gridCol w:w="955"/>
        <w:gridCol w:w="1013"/>
        <w:gridCol w:w="1747"/>
        <w:gridCol w:w="911"/>
        <w:gridCol w:w="50"/>
      </w:tblGrid>
      <w:tr w14:paraId="7EB36E3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0" w:type="dxa"/>
            <w:bottom w:w="0" w:type="dxa"/>
            <w:right w:w="0" w:type="dxa"/>
          </w:tblCellMar>
        </w:tblPrEx>
        <w:trPr>
          <w:gridAfter w:val="1"/>
          <w:wAfter w:w="26" w:type="pct"/>
          <w:trHeight w:val="192" w:hRule="atLeast"/>
          <w:jc w:val="center"/>
        </w:trPr>
        <w:tc>
          <w:tcPr>
            <w:tcW w:w="507" w:type="pct"/>
            <w:vMerge w:val="restart"/>
            <w:vAlign w:val="center"/>
          </w:tcPr>
          <w:p w14:paraId="6783C9A4">
            <w:pPr>
              <w:pStyle w:val="228"/>
              <w:rPr>
                <w:szCs w:val="21"/>
              </w:rPr>
            </w:pPr>
            <w:r>
              <w:rPr>
                <w:szCs w:val="21"/>
              </w:rPr>
              <w:t>类别</w:t>
            </w:r>
          </w:p>
        </w:tc>
        <w:tc>
          <w:tcPr>
            <w:tcW w:w="759" w:type="pct"/>
            <w:vMerge w:val="restart"/>
            <w:vAlign w:val="center"/>
          </w:tcPr>
          <w:p w14:paraId="45DB81C7">
            <w:pPr>
              <w:pStyle w:val="228"/>
              <w:rPr>
                <w:szCs w:val="21"/>
              </w:rPr>
            </w:pPr>
            <w:r>
              <w:rPr>
                <w:szCs w:val="21"/>
              </w:rPr>
              <w:t>主要生产单元</w:t>
            </w:r>
          </w:p>
        </w:tc>
        <w:tc>
          <w:tcPr>
            <w:tcW w:w="623" w:type="pct"/>
            <w:vMerge w:val="restart"/>
            <w:vAlign w:val="center"/>
          </w:tcPr>
          <w:p w14:paraId="110E8A09">
            <w:pPr>
              <w:pStyle w:val="228"/>
              <w:rPr>
                <w:szCs w:val="21"/>
              </w:rPr>
            </w:pPr>
            <w:r>
              <w:rPr>
                <w:szCs w:val="21"/>
              </w:rPr>
              <w:t>产污设施</w:t>
            </w:r>
          </w:p>
        </w:tc>
        <w:tc>
          <w:tcPr>
            <w:tcW w:w="603" w:type="pct"/>
            <w:vMerge w:val="restart"/>
            <w:vAlign w:val="center"/>
          </w:tcPr>
          <w:p w14:paraId="75D22D78">
            <w:pPr>
              <w:pStyle w:val="228"/>
              <w:rPr>
                <w:szCs w:val="21"/>
              </w:rPr>
            </w:pPr>
            <w:r>
              <w:rPr>
                <w:szCs w:val="21"/>
              </w:rPr>
              <w:t>产排污环节</w:t>
            </w:r>
          </w:p>
        </w:tc>
        <w:tc>
          <w:tcPr>
            <w:tcW w:w="511" w:type="pct"/>
            <w:vMerge w:val="restart"/>
            <w:vAlign w:val="center"/>
          </w:tcPr>
          <w:p w14:paraId="1B274942">
            <w:pPr>
              <w:pStyle w:val="228"/>
              <w:rPr>
                <w:szCs w:val="21"/>
              </w:rPr>
            </w:pPr>
            <w:r>
              <w:rPr>
                <w:szCs w:val="21"/>
              </w:rPr>
              <w:t>污染物</w:t>
            </w:r>
          </w:p>
        </w:tc>
        <w:tc>
          <w:tcPr>
            <w:tcW w:w="543" w:type="pct"/>
            <w:vMerge w:val="restart"/>
            <w:vAlign w:val="center"/>
          </w:tcPr>
          <w:p w14:paraId="4D323BC6">
            <w:pPr>
              <w:pStyle w:val="228"/>
              <w:rPr>
                <w:szCs w:val="21"/>
              </w:rPr>
            </w:pPr>
            <w:r>
              <w:rPr>
                <w:szCs w:val="21"/>
              </w:rPr>
              <w:t>排放方式</w:t>
            </w:r>
          </w:p>
        </w:tc>
        <w:tc>
          <w:tcPr>
            <w:tcW w:w="1424" w:type="pct"/>
            <w:gridSpan w:val="2"/>
            <w:vAlign w:val="center"/>
          </w:tcPr>
          <w:p w14:paraId="1B2BE9C2">
            <w:pPr>
              <w:pStyle w:val="228"/>
              <w:rPr>
                <w:szCs w:val="21"/>
              </w:rPr>
            </w:pPr>
            <w:r>
              <w:rPr>
                <w:szCs w:val="21"/>
              </w:rPr>
              <w:t>污染防治设施</w:t>
            </w:r>
          </w:p>
        </w:tc>
      </w:tr>
      <w:tr w14:paraId="7D2CDCC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0" w:type="dxa"/>
            <w:bottom w:w="0" w:type="dxa"/>
            <w:right w:w="0" w:type="dxa"/>
          </w:tblCellMar>
        </w:tblPrEx>
        <w:trPr>
          <w:gridAfter w:val="1"/>
          <w:wAfter w:w="26" w:type="pct"/>
          <w:trHeight w:val="451" w:hRule="atLeast"/>
          <w:jc w:val="center"/>
        </w:trPr>
        <w:tc>
          <w:tcPr>
            <w:tcW w:w="507" w:type="pct"/>
            <w:vMerge w:val="continue"/>
            <w:vAlign w:val="center"/>
          </w:tcPr>
          <w:p w14:paraId="44995E9F">
            <w:pPr>
              <w:jc w:val="center"/>
              <w:rPr>
                <w:szCs w:val="21"/>
              </w:rPr>
            </w:pPr>
          </w:p>
        </w:tc>
        <w:tc>
          <w:tcPr>
            <w:tcW w:w="759" w:type="pct"/>
            <w:vMerge w:val="continue"/>
            <w:vAlign w:val="center"/>
          </w:tcPr>
          <w:p w14:paraId="4ACFDDCA">
            <w:pPr>
              <w:jc w:val="center"/>
              <w:rPr>
                <w:szCs w:val="21"/>
              </w:rPr>
            </w:pPr>
          </w:p>
        </w:tc>
        <w:tc>
          <w:tcPr>
            <w:tcW w:w="623" w:type="pct"/>
            <w:vMerge w:val="continue"/>
            <w:vAlign w:val="center"/>
          </w:tcPr>
          <w:p w14:paraId="237C7B08">
            <w:pPr>
              <w:jc w:val="center"/>
              <w:rPr>
                <w:szCs w:val="21"/>
              </w:rPr>
            </w:pPr>
          </w:p>
        </w:tc>
        <w:tc>
          <w:tcPr>
            <w:tcW w:w="603" w:type="pct"/>
            <w:vMerge w:val="continue"/>
            <w:vAlign w:val="center"/>
          </w:tcPr>
          <w:p w14:paraId="7988A3EA">
            <w:pPr>
              <w:jc w:val="center"/>
              <w:rPr>
                <w:szCs w:val="21"/>
              </w:rPr>
            </w:pPr>
          </w:p>
        </w:tc>
        <w:tc>
          <w:tcPr>
            <w:tcW w:w="511" w:type="pct"/>
            <w:vMerge w:val="continue"/>
            <w:vAlign w:val="center"/>
          </w:tcPr>
          <w:p w14:paraId="0A054930">
            <w:pPr>
              <w:jc w:val="center"/>
              <w:rPr>
                <w:szCs w:val="21"/>
              </w:rPr>
            </w:pPr>
          </w:p>
        </w:tc>
        <w:tc>
          <w:tcPr>
            <w:tcW w:w="543" w:type="pct"/>
            <w:vMerge w:val="continue"/>
            <w:vAlign w:val="center"/>
          </w:tcPr>
          <w:p w14:paraId="07D56F9D">
            <w:pPr>
              <w:jc w:val="center"/>
              <w:rPr>
                <w:szCs w:val="21"/>
              </w:rPr>
            </w:pPr>
          </w:p>
        </w:tc>
        <w:tc>
          <w:tcPr>
            <w:tcW w:w="936" w:type="pct"/>
            <w:vAlign w:val="center"/>
          </w:tcPr>
          <w:p w14:paraId="22277DDA">
            <w:pPr>
              <w:pStyle w:val="228"/>
              <w:rPr>
                <w:szCs w:val="21"/>
              </w:rPr>
            </w:pPr>
            <w:r>
              <w:rPr>
                <w:szCs w:val="21"/>
              </w:rPr>
              <w:t>污染防治设施及工艺</w:t>
            </w:r>
          </w:p>
        </w:tc>
        <w:tc>
          <w:tcPr>
            <w:tcW w:w="488" w:type="pct"/>
            <w:vAlign w:val="center"/>
          </w:tcPr>
          <w:p w14:paraId="6013E74A">
            <w:pPr>
              <w:pStyle w:val="228"/>
              <w:rPr>
                <w:szCs w:val="21"/>
              </w:rPr>
            </w:pPr>
            <w:r>
              <w:rPr>
                <w:szCs w:val="21"/>
              </w:rPr>
              <w:t>是否为可</w:t>
            </w:r>
          </w:p>
          <w:p w14:paraId="769CEC94">
            <w:pPr>
              <w:pStyle w:val="228"/>
              <w:rPr>
                <w:szCs w:val="21"/>
              </w:rPr>
            </w:pPr>
            <w:r>
              <w:rPr>
                <w:szCs w:val="21"/>
              </w:rPr>
              <w:t>行技术</w:t>
            </w:r>
          </w:p>
        </w:tc>
      </w:tr>
      <w:tr w14:paraId="3A77409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0" w:type="dxa"/>
            <w:bottom w:w="0" w:type="dxa"/>
            <w:right w:w="0" w:type="dxa"/>
          </w:tblCellMar>
        </w:tblPrEx>
        <w:trPr>
          <w:gridAfter w:val="1"/>
          <w:wAfter w:w="26" w:type="pct"/>
          <w:trHeight w:val="504" w:hRule="atLeast"/>
          <w:jc w:val="center"/>
        </w:trPr>
        <w:tc>
          <w:tcPr>
            <w:tcW w:w="507" w:type="pct"/>
            <w:vMerge w:val="restart"/>
            <w:vAlign w:val="center"/>
          </w:tcPr>
          <w:p w14:paraId="3D1EB79A">
            <w:pPr>
              <w:jc w:val="center"/>
              <w:rPr>
                <w:szCs w:val="21"/>
              </w:rPr>
            </w:pPr>
            <w:r>
              <w:rPr>
                <w:rFonts w:hint="eastAsia"/>
                <w:szCs w:val="21"/>
              </w:rPr>
              <w:t>大气</w:t>
            </w:r>
          </w:p>
        </w:tc>
        <w:tc>
          <w:tcPr>
            <w:tcW w:w="759" w:type="pct"/>
            <w:vAlign w:val="center"/>
          </w:tcPr>
          <w:p w14:paraId="5E766BC8">
            <w:pPr>
              <w:pStyle w:val="228"/>
              <w:keepNext w:val="0"/>
              <w:keepLines w:val="0"/>
              <w:pageBreakBefore w:val="0"/>
              <w:widowControl w:val="0"/>
              <w:kinsoku/>
              <w:wordWrap/>
              <w:overflowPunct/>
              <w:topLinePunct w:val="0"/>
              <w:autoSpaceDE/>
              <w:autoSpaceDN/>
              <w:bidi w:val="0"/>
              <w:adjustRightInd/>
              <w:snapToGrid/>
              <w:spacing w:line="280" w:lineRule="exact"/>
              <w:textAlignment w:val="auto"/>
              <w:rPr>
                <w:szCs w:val="21"/>
              </w:rPr>
            </w:pPr>
            <w:r>
              <w:rPr>
                <w:rFonts w:hint="eastAsia"/>
                <w:szCs w:val="21"/>
              </w:rPr>
              <w:t>造粒生产线混料工序</w:t>
            </w:r>
          </w:p>
        </w:tc>
        <w:tc>
          <w:tcPr>
            <w:tcW w:w="623" w:type="pct"/>
            <w:vAlign w:val="center"/>
          </w:tcPr>
          <w:p w14:paraId="0011B386">
            <w:pPr>
              <w:pStyle w:val="228"/>
              <w:keepNext w:val="0"/>
              <w:keepLines w:val="0"/>
              <w:pageBreakBefore w:val="0"/>
              <w:widowControl w:val="0"/>
              <w:kinsoku/>
              <w:wordWrap/>
              <w:overflowPunct/>
              <w:topLinePunct w:val="0"/>
              <w:autoSpaceDE/>
              <w:autoSpaceDN/>
              <w:bidi w:val="0"/>
              <w:adjustRightInd/>
              <w:snapToGrid/>
              <w:spacing w:line="280" w:lineRule="exact"/>
              <w:textAlignment w:val="auto"/>
              <w:rPr>
                <w:szCs w:val="21"/>
              </w:rPr>
            </w:pPr>
            <w:r>
              <w:rPr>
                <w:rFonts w:hint="eastAsia"/>
                <w:szCs w:val="21"/>
              </w:rPr>
              <w:t>上料机和自动装料机</w:t>
            </w:r>
          </w:p>
        </w:tc>
        <w:tc>
          <w:tcPr>
            <w:tcW w:w="603" w:type="pct"/>
            <w:vAlign w:val="center"/>
          </w:tcPr>
          <w:p w14:paraId="4220C351">
            <w:pPr>
              <w:pStyle w:val="228"/>
              <w:keepNext w:val="0"/>
              <w:keepLines w:val="0"/>
              <w:pageBreakBefore w:val="0"/>
              <w:widowControl w:val="0"/>
              <w:kinsoku/>
              <w:wordWrap/>
              <w:overflowPunct/>
              <w:topLinePunct w:val="0"/>
              <w:autoSpaceDE/>
              <w:autoSpaceDN/>
              <w:bidi w:val="0"/>
              <w:adjustRightInd/>
              <w:snapToGrid/>
              <w:spacing w:line="280" w:lineRule="exact"/>
              <w:textAlignment w:val="auto"/>
              <w:rPr>
                <w:szCs w:val="21"/>
              </w:rPr>
            </w:pPr>
            <w:r>
              <w:rPr>
                <w:rFonts w:hint="eastAsia"/>
                <w:szCs w:val="21"/>
              </w:rPr>
              <w:t>上料和自动装料工序</w:t>
            </w:r>
          </w:p>
        </w:tc>
        <w:tc>
          <w:tcPr>
            <w:tcW w:w="511" w:type="pct"/>
            <w:vAlign w:val="center"/>
          </w:tcPr>
          <w:p w14:paraId="7DF1D7A2">
            <w:pPr>
              <w:pStyle w:val="228"/>
              <w:keepNext w:val="0"/>
              <w:keepLines w:val="0"/>
              <w:pageBreakBefore w:val="0"/>
              <w:widowControl w:val="0"/>
              <w:kinsoku/>
              <w:wordWrap/>
              <w:overflowPunct/>
              <w:topLinePunct w:val="0"/>
              <w:autoSpaceDE/>
              <w:autoSpaceDN/>
              <w:bidi w:val="0"/>
              <w:adjustRightInd/>
              <w:snapToGrid/>
              <w:spacing w:line="280" w:lineRule="exact"/>
              <w:textAlignment w:val="auto"/>
              <w:rPr>
                <w:szCs w:val="21"/>
              </w:rPr>
            </w:pPr>
            <w:r>
              <w:rPr>
                <w:rFonts w:hint="eastAsia"/>
                <w:szCs w:val="21"/>
              </w:rPr>
              <w:t>颗粒物</w:t>
            </w:r>
          </w:p>
        </w:tc>
        <w:tc>
          <w:tcPr>
            <w:tcW w:w="543" w:type="pct"/>
            <w:vAlign w:val="center"/>
          </w:tcPr>
          <w:p w14:paraId="41EA6E31">
            <w:pPr>
              <w:jc w:val="center"/>
              <w:rPr>
                <w:szCs w:val="21"/>
              </w:rPr>
            </w:pPr>
            <w:r>
              <w:rPr>
                <w:rFonts w:hint="eastAsia"/>
                <w:szCs w:val="21"/>
              </w:rPr>
              <w:t>无组织</w:t>
            </w:r>
          </w:p>
        </w:tc>
        <w:tc>
          <w:tcPr>
            <w:tcW w:w="936" w:type="pct"/>
            <w:vAlign w:val="center"/>
          </w:tcPr>
          <w:p w14:paraId="59922FE1">
            <w:pPr>
              <w:jc w:val="center"/>
              <w:rPr>
                <w:szCs w:val="21"/>
              </w:rPr>
            </w:pPr>
            <w:r>
              <w:rPr>
                <w:rFonts w:hint="eastAsia"/>
                <w:szCs w:val="21"/>
              </w:rPr>
              <w:t>密闭设备</w:t>
            </w:r>
          </w:p>
        </w:tc>
        <w:tc>
          <w:tcPr>
            <w:tcW w:w="488" w:type="pct"/>
            <w:vAlign w:val="center"/>
          </w:tcPr>
          <w:p w14:paraId="5843C206">
            <w:pPr>
              <w:pStyle w:val="228"/>
            </w:pPr>
            <w:r>
              <w:t>是</w:t>
            </w:r>
          </w:p>
        </w:tc>
      </w:tr>
      <w:tr w14:paraId="1E3DA0B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0" w:type="dxa"/>
            <w:bottom w:w="0" w:type="dxa"/>
            <w:right w:w="0" w:type="dxa"/>
          </w:tblCellMar>
        </w:tblPrEx>
        <w:trPr>
          <w:gridAfter w:val="1"/>
          <w:wAfter w:w="26" w:type="pct"/>
          <w:trHeight w:val="1875" w:hRule="atLeast"/>
          <w:jc w:val="center"/>
        </w:trPr>
        <w:tc>
          <w:tcPr>
            <w:tcW w:w="507" w:type="pct"/>
            <w:vMerge w:val="continue"/>
            <w:vAlign w:val="center"/>
          </w:tcPr>
          <w:p w14:paraId="115E0744">
            <w:pPr>
              <w:jc w:val="center"/>
              <w:rPr>
                <w:szCs w:val="21"/>
              </w:rPr>
            </w:pPr>
          </w:p>
        </w:tc>
        <w:tc>
          <w:tcPr>
            <w:tcW w:w="759" w:type="pct"/>
            <w:vMerge w:val="restart"/>
            <w:vAlign w:val="center"/>
          </w:tcPr>
          <w:p w14:paraId="5F497279">
            <w:pPr>
              <w:pStyle w:val="228"/>
              <w:keepNext w:val="0"/>
              <w:keepLines w:val="0"/>
              <w:pageBreakBefore w:val="0"/>
              <w:widowControl w:val="0"/>
              <w:kinsoku/>
              <w:wordWrap/>
              <w:overflowPunct/>
              <w:topLinePunct w:val="0"/>
              <w:autoSpaceDE/>
              <w:autoSpaceDN/>
              <w:bidi w:val="0"/>
              <w:adjustRightInd/>
              <w:snapToGrid/>
              <w:spacing w:line="280" w:lineRule="exact"/>
              <w:textAlignment w:val="auto"/>
              <w:rPr>
                <w:szCs w:val="21"/>
              </w:rPr>
            </w:pPr>
            <w:r>
              <w:rPr>
                <w:rFonts w:hint="eastAsia"/>
                <w:szCs w:val="21"/>
              </w:rPr>
              <w:t>造粒生产线</w:t>
            </w:r>
            <w:r>
              <w:rPr>
                <w:rFonts w:hint="eastAsia"/>
                <w:szCs w:val="21"/>
                <w:lang w:eastAsia="zh-CN"/>
              </w:rPr>
              <w:t>熔</w:t>
            </w:r>
            <w:r>
              <w:rPr>
                <w:rFonts w:hint="eastAsia"/>
                <w:szCs w:val="21"/>
              </w:rPr>
              <w:t>融挤出工序</w:t>
            </w:r>
          </w:p>
        </w:tc>
        <w:tc>
          <w:tcPr>
            <w:tcW w:w="623" w:type="pct"/>
            <w:vMerge w:val="restart"/>
            <w:vAlign w:val="center"/>
          </w:tcPr>
          <w:p w14:paraId="1FB983B2">
            <w:pPr>
              <w:pStyle w:val="228"/>
              <w:keepNext w:val="0"/>
              <w:keepLines w:val="0"/>
              <w:pageBreakBefore w:val="0"/>
              <w:widowControl w:val="0"/>
              <w:kinsoku/>
              <w:wordWrap/>
              <w:overflowPunct/>
              <w:topLinePunct w:val="0"/>
              <w:autoSpaceDE/>
              <w:autoSpaceDN/>
              <w:bidi w:val="0"/>
              <w:adjustRightInd/>
              <w:snapToGrid/>
              <w:spacing w:line="280" w:lineRule="exact"/>
              <w:textAlignment w:val="auto"/>
              <w:rPr>
                <w:szCs w:val="21"/>
              </w:rPr>
            </w:pPr>
            <w:r>
              <w:rPr>
                <w:rFonts w:hint="eastAsia"/>
                <w:szCs w:val="21"/>
              </w:rPr>
              <w:t>造粒机</w:t>
            </w:r>
          </w:p>
        </w:tc>
        <w:tc>
          <w:tcPr>
            <w:tcW w:w="603" w:type="pct"/>
            <w:vMerge w:val="restart"/>
            <w:vAlign w:val="center"/>
          </w:tcPr>
          <w:p w14:paraId="2AFE012F">
            <w:pPr>
              <w:pStyle w:val="228"/>
              <w:keepNext w:val="0"/>
              <w:keepLines w:val="0"/>
              <w:pageBreakBefore w:val="0"/>
              <w:widowControl w:val="0"/>
              <w:kinsoku/>
              <w:wordWrap/>
              <w:overflowPunct/>
              <w:topLinePunct w:val="0"/>
              <w:autoSpaceDE/>
              <w:autoSpaceDN/>
              <w:bidi w:val="0"/>
              <w:adjustRightInd/>
              <w:snapToGrid/>
              <w:spacing w:line="280" w:lineRule="exact"/>
              <w:textAlignment w:val="auto"/>
              <w:rPr>
                <w:szCs w:val="21"/>
              </w:rPr>
            </w:pPr>
            <w:r>
              <w:rPr>
                <w:rFonts w:hint="eastAsia"/>
                <w:szCs w:val="21"/>
              </w:rPr>
              <w:t>再生颗粒造粒工序</w:t>
            </w:r>
          </w:p>
        </w:tc>
        <w:tc>
          <w:tcPr>
            <w:tcW w:w="511" w:type="pct"/>
            <w:vMerge w:val="restart"/>
            <w:vAlign w:val="center"/>
          </w:tcPr>
          <w:p w14:paraId="6D80206B">
            <w:pPr>
              <w:pStyle w:val="228"/>
              <w:keepNext w:val="0"/>
              <w:keepLines w:val="0"/>
              <w:pageBreakBefore w:val="0"/>
              <w:widowControl w:val="0"/>
              <w:kinsoku/>
              <w:wordWrap/>
              <w:overflowPunct/>
              <w:topLinePunct w:val="0"/>
              <w:autoSpaceDE/>
              <w:autoSpaceDN/>
              <w:bidi w:val="0"/>
              <w:adjustRightInd/>
              <w:snapToGrid/>
              <w:spacing w:line="280" w:lineRule="exact"/>
              <w:textAlignment w:val="auto"/>
              <w:rPr>
                <w:szCs w:val="21"/>
              </w:rPr>
            </w:pPr>
            <w:r>
              <w:rPr>
                <w:rFonts w:hint="eastAsia"/>
                <w:szCs w:val="21"/>
              </w:rPr>
              <w:t>非甲烷总烃</w:t>
            </w:r>
          </w:p>
        </w:tc>
        <w:tc>
          <w:tcPr>
            <w:tcW w:w="543" w:type="pct"/>
            <w:vAlign w:val="center"/>
          </w:tcPr>
          <w:p w14:paraId="6768997C">
            <w:pPr>
              <w:jc w:val="center"/>
              <w:rPr>
                <w:szCs w:val="21"/>
              </w:rPr>
            </w:pPr>
            <w:r>
              <w:rPr>
                <w:rFonts w:hint="eastAsia"/>
                <w:szCs w:val="21"/>
              </w:rPr>
              <w:t>有组织</w:t>
            </w:r>
          </w:p>
        </w:tc>
        <w:tc>
          <w:tcPr>
            <w:tcW w:w="936" w:type="pct"/>
            <w:vAlign w:val="center"/>
          </w:tcPr>
          <w:p w14:paraId="32D52A8D">
            <w:pPr>
              <w:jc w:val="center"/>
              <w:rPr>
                <w:szCs w:val="21"/>
              </w:rPr>
            </w:pPr>
            <w:r>
              <w:rPr>
                <w:szCs w:val="21"/>
              </w:rPr>
              <w:t>废气收集后，由</w:t>
            </w:r>
            <w:r>
              <w:rPr>
                <w:rFonts w:hint="eastAsia"/>
                <w:szCs w:val="21"/>
              </w:rPr>
              <w:t>“</w:t>
            </w:r>
            <w:r>
              <w:rPr>
                <w:rFonts w:hint="eastAsia"/>
                <w:szCs w:val="21"/>
                <w:lang w:eastAsia="zh-CN"/>
              </w:rPr>
              <w:t>活性炭浓缩吸附+催化燃烧</w:t>
            </w:r>
            <w:r>
              <w:rPr>
                <w:rFonts w:hint="eastAsia"/>
                <w:szCs w:val="21"/>
              </w:rPr>
              <w:t>系统”</w:t>
            </w:r>
            <w:r>
              <w:rPr>
                <w:szCs w:val="21"/>
              </w:rPr>
              <w:t>处理后，最后</w:t>
            </w:r>
            <w:r>
              <w:rPr>
                <w:rFonts w:hint="eastAsia"/>
                <w:szCs w:val="21"/>
              </w:rPr>
              <w:t>厂房内</w:t>
            </w:r>
            <w:r>
              <w:rPr>
                <w:szCs w:val="21"/>
              </w:rPr>
              <w:t>1根15m高排气筒</w:t>
            </w:r>
            <w:r>
              <w:rPr>
                <w:rFonts w:hint="eastAsia"/>
                <w:szCs w:val="21"/>
              </w:rPr>
              <w:t>（DA001）</w:t>
            </w:r>
            <w:r>
              <w:rPr>
                <w:szCs w:val="21"/>
              </w:rPr>
              <w:t>排放</w:t>
            </w:r>
            <w:r>
              <w:rPr>
                <w:rFonts w:hint="eastAsia"/>
                <w:szCs w:val="21"/>
              </w:rPr>
              <w:t>。</w:t>
            </w:r>
          </w:p>
        </w:tc>
        <w:tc>
          <w:tcPr>
            <w:tcW w:w="488" w:type="pct"/>
            <w:vAlign w:val="center"/>
          </w:tcPr>
          <w:p w14:paraId="36CE2A68">
            <w:pPr>
              <w:pStyle w:val="228"/>
            </w:pPr>
            <w:r>
              <w:t>是</w:t>
            </w:r>
          </w:p>
        </w:tc>
      </w:tr>
      <w:tr w14:paraId="2BBEF3D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0" w:type="dxa"/>
            <w:bottom w:w="0" w:type="dxa"/>
            <w:right w:w="0" w:type="dxa"/>
          </w:tblCellMar>
        </w:tblPrEx>
        <w:trPr>
          <w:gridAfter w:val="1"/>
          <w:wAfter w:w="26" w:type="pct"/>
          <w:trHeight w:val="471" w:hRule="atLeast"/>
          <w:jc w:val="center"/>
        </w:trPr>
        <w:tc>
          <w:tcPr>
            <w:tcW w:w="507" w:type="pct"/>
            <w:vMerge w:val="continue"/>
            <w:vAlign w:val="center"/>
          </w:tcPr>
          <w:p w14:paraId="3D4A4FA9">
            <w:pPr>
              <w:jc w:val="center"/>
              <w:rPr>
                <w:szCs w:val="21"/>
              </w:rPr>
            </w:pPr>
          </w:p>
        </w:tc>
        <w:tc>
          <w:tcPr>
            <w:tcW w:w="759" w:type="pct"/>
            <w:vMerge w:val="continue"/>
            <w:vAlign w:val="center"/>
          </w:tcPr>
          <w:p w14:paraId="66DEEA6C">
            <w:pPr>
              <w:pStyle w:val="228"/>
              <w:keepNext w:val="0"/>
              <w:keepLines w:val="0"/>
              <w:pageBreakBefore w:val="0"/>
              <w:widowControl w:val="0"/>
              <w:kinsoku/>
              <w:wordWrap/>
              <w:overflowPunct/>
              <w:topLinePunct w:val="0"/>
              <w:autoSpaceDE/>
              <w:autoSpaceDN/>
              <w:bidi w:val="0"/>
              <w:adjustRightInd/>
              <w:snapToGrid/>
              <w:spacing w:line="280" w:lineRule="exact"/>
              <w:textAlignment w:val="auto"/>
              <w:rPr>
                <w:szCs w:val="21"/>
              </w:rPr>
            </w:pPr>
          </w:p>
        </w:tc>
        <w:tc>
          <w:tcPr>
            <w:tcW w:w="623" w:type="pct"/>
            <w:vMerge w:val="continue"/>
            <w:vAlign w:val="center"/>
          </w:tcPr>
          <w:p w14:paraId="10D41DE2">
            <w:pPr>
              <w:pStyle w:val="228"/>
              <w:keepNext w:val="0"/>
              <w:keepLines w:val="0"/>
              <w:pageBreakBefore w:val="0"/>
              <w:widowControl w:val="0"/>
              <w:kinsoku/>
              <w:wordWrap/>
              <w:overflowPunct/>
              <w:topLinePunct w:val="0"/>
              <w:autoSpaceDE/>
              <w:autoSpaceDN/>
              <w:bidi w:val="0"/>
              <w:adjustRightInd/>
              <w:snapToGrid/>
              <w:spacing w:line="280" w:lineRule="exact"/>
              <w:textAlignment w:val="auto"/>
              <w:rPr>
                <w:szCs w:val="21"/>
              </w:rPr>
            </w:pPr>
          </w:p>
        </w:tc>
        <w:tc>
          <w:tcPr>
            <w:tcW w:w="603" w:type="pct"/>
            <w:vMerge w:val="continue"/>
            <w:vAlign w:val="center"/>
          </w:tcPr>
          <w:p w14:paraId="348B291D">
            <w:pPr>
              <w:pStyle w:val="228"/>
              <w:keepNext w:val="0"/>
              <w:keepLines w:val="0"/>
              <w:pageBreakBefore w:val="0"/>
              <w:widowControl w:val="0"/>
              <w:kinsoku/>
              <w:wordWrap/>
              <w:overflowPunct/>
              <w:topLinePunct w:val="0"/>
              <w:autoSpaceDE/>
              <w:autoSpaceDN/>
              <w:bidi w:val="0"/>
              <w:adjustRightInd/>
              <w:snapToGrid/>
              <w:spacing w:line="280" w:lineRule="exact"/>
              <w:textAlignment w:val="auto"/>
              <w:rPr>
                <w:szCs w:val="21"/>
              </w:rPr>
            </w:pPr>
          </w:p>
        </w:tc>
        <w:tc>
          <w:tcPr>
            <w:tcW w:w="511" w:type="pct"/>
            <w:vMerge w:val="continue"/>
            <w:vAlign w:val="center"/>
          </w:tcPr>
          <w:p w14:paraId="59B51859">
            <w:pPr>
              <w:pStyle w:val="228"/>
              <w:keepNext w:val="0"/>
              <w:keepLines w:val="0"/>
              <w:pageBreakBefore w:val="0"/>
              <w:widowControl w:val="0"/>
              <w:kinsoku/>
              <w:wordWrap/>
              <w:overflowPunct/>
              <w:topLinePunct w:val="0"/>
              <w:autoSpaceDE/>
              <w:autoSpaceDN/>
              <w:bidi w:val="0"/>
              <w:adjustRightInd/>
              <w:snapToGrid/>
              <w:spacing w:line="280" w:lineRule="exact"/>
              <w:textAlignment w:val="auto"/>
              <w:rPr>
                <w:szCs w:val="21"/>
              </w:rPr>
            </w:pPr>
          </w:p>
        </w:tc>
        <w:tc>
          <w:tcPr>
            <w:tcW w:w="543" w:type="pct"/>
            <w:vAlign w:val="center"/>
          </w:tcPr>
          <w:p w14:paraId="1373EDDE">
            <w:pPr>
              <w:jc w:val="center"/>
              <w:rPr>
                <w:szCs w:val="21"/>
              </w:rPr>
            </w:pPr>
            <w:r>
              <w:rPr>
                <w:rFonts w:hint="eastAsia"/>
                <w:szCs w:val="21"/>
              </w:rPr>
              <w:t>无组织</w:t>
            </w:r>
          </w:p>
        </w:tc>
        <w:tc>
          <w:tcPr>
            <w:tcW w:w="936" w:type="pct"/>
            <w:vAlign w:val="center"/>
          </w:tcPr>
          <w:p w14:paraId="617927D3">
            <w:pPr>
              <w:jc w:val="center"/>
              <w:rPr>
                <w:szCs w:val="21"/>
              </w:rPr>
            </w:pPr>
            <w:r>
              <w:rPr>
                <w:rFonts w:hint="eastAsia"/>
                <w:szCs w:val="21"/>
              </w:rPr>
              <w:t>设置换气扇，通风换气</w:t>
            </w:r>
          </w:p>
        </w:tc>
        <w:tc>
          <w:tcPr>
            <w:tcW w:w="488" w:type="pct"/>
            <w:vAlign w:val="center"/>
          </w:tcPr>
          <w:p w14:paraId="7FF9C31C">
            <w:pPr>
              <w:pStyle w:val="228"/>
            </w:pPr>
            <w:r>
              <w:t>是</w:t>
            </w:r>
          </w:p>
        </w:tc>
      </w:tr>
      <w:tr w14:paraId="62B6A64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0" w:type="dxa"/>
            <w:bottom w:w="0" w:type="dxa"/>
            <w:right w:w="0" w:type="dxa"/>
          </w:tblCellMar>
        </w:tblPrEx>
        <w:trPr>
          <w:gridAfter w:val="1"/>
          <w:wAfter w:w="26" w:type="pct"/>
          <w:trHeight w:val="527" w:hRule="atLeast"/>
          <w:jc w:val="center"/>
        </w:trPr>
        <w:tc>
          <w:tcPr>
            <w:tcW w:w="507" w:type="pct"/>
            <w:vMerge w:val="continue"/>
            <w:vAlign w:val="center"/>
          </w:tcPr>
          <w:p w14:paraId="579E7EAA">
            <w:pPr>
              <w:jc w:val="center"/>
              <w:rPr>
                <w:szCs w:val="21"/>
              </w:rPr>
            </w:pPr>
          </w:p>
        </w:tc>
        <w:tc>
          <w:tcPr>
            <w:tcW w:w="759" w:type="pct"/>
            <w:vAlign w:val="center"/>
          </w:tcPr>
          <w:p w14:paraId="766E12A0">
            <w:pPr>
              <w:pStyle w:val="228"/>
              <w:keepNext w:val="0"/>
              <w:keepLines w:val="0"/>
              <w:pageBreakBefore w:val="0"/>
              <w:widowControl w:val="0"/>
              <w:kinsoku/>
              <w:wordWrap/>
              <w:overflowPunct/>
              <w:topLinePunct w:val="0"/>
              <w:autoSpaceDE/>
              <w:autoSpaceDN/>
              <w:bidi w:val="0"/>
              <w:adjustRightInd/>
              <w:snapToGrid/>
              <w:spacing w:line="280" w:lineRule="exact"/>
              <w:textAlignment w:val="auto"/>
              <w:rPr>
                <w:szCs w:val="21"/>
              </w:rPr>
            </w:pPr>
            <w:r>
              <w:rPr>
                <w:rFonts w:hint="eastAsia"/>
                <w:szCs w:val="21"/>
              </w:rPr>
              <w:t>滴灌带生产工序</w:t>
            </w:r>
          </w:p>
        </w:tc>
        <w:tc>
          <w:tcPr>
            <w:tcW w:w="623" w:type="pct"/>
            <w:vAlign w:val="center"/>
          </w:tcPr>
          <w:p w14:paraId="77CD8047">
            <w:pPr>
              <w:pStyle w:val="228"/>
              <w:keepNext w:val="0"/>
              <w:keepLines w:val="0"/>
              <w:pageBreakBefore w:val="0"/>
              <w:widowControl w:val="0"/>
              <w:kinsoku/>
              <w:wordWrap/>
              <w:overflowPunct/>
              <w:topLinePunct w:val="0"/>
              <w:autoSpaceDE/>
              <w:autoSpaceDN/>
              <w:bidi w:val="0"/>
              <w:adjustRightInd/>
              <w:snapToGrid/>
              <w:spacing w:line="280" w:lineRule="exact"/>
              <w:textAlignment w:val="auto"/>
              <w:rPr>
                <w:szCs w:val="21"/>
              </w:rPr>
            </w:pPr>
            <w:r>
              <w:rPr>
                <w:rFonts w:hint="eastAsia"/>
                <w:szCs w:val="21"/>
              </w:rPr>
              <w:t xml:space="preserve">混料 </w:t>
            </w:r>
          </w:p>
        </w:tc>
        <w:tc>
          <w:tcPr>
            <w:tcW w:w="603" w:type="pct"/>
            <w:vAlign w:val="center"/>
          </w:tcPr>
          <w:p w14:paraId="21BF2340">
            <w:pPr>
              <w:pStyle w:val="228"/>
              <w:keepNext w:val="0"/>
              <w:keepLines w:val="0"/>
              <w:pageBreakBefore w:val="0"/>
              <w:widowControl w:val="0"/>
              <w:kinsoku/>
              <w:wordWrap/>
              <w:overflowPunct/>
              <w:topLinePunct w:val="0"/>
              <w:autoSpaceDE/>
              <w:autoSpaceDN/>
              <w:bidi w:val="0"/>
              <w:adjustRightInd/>
              <w:snapToGrid/>
              <w:spacing w:line="280" w:lineRule="exact"/>
              <w:textAlignment w:val="auto"/>
              <w:rPr>
                <w:szCs w:val="21"/>
              </w:rPr>
            </w:pPr>
            <w:r>
              <w:rPr>
                <w:rFonts w:hint="eastAsia"/>
                <w:szCs w:val="21"/>
              </w:rPr>
              <w:t>混料工序</w:t>
            </w:r>
          </w:p>
        </w:tc>
        <w:tc>
          <w:tcPr>
            <w:tcW w:w="511" w:type="pct"/>
            <w:vAlign w:val="center"/>
          </w:tcPr>
          <w:p w14:paraId="3CB800AD">
            <w:pPr>
              <w:pStyle w:val="228"/>
              <w:keepNext w:val="0"/>
              <w:keepLines w:val="0"/>
              <w:pageBreakBefore w:val="0"/>
              <w:widowControl w:val="0"/>
              <w:kinsoku/>
              <w:wordWrap/>
              <w:overflowPunct/>
              <w:topLinePunct w:val="0"/>
              <w:autoSpaceDE/>
              <w:autoSpaceDN/>
              <w:bidi w:val="0"/>
              <w:adjustRightInd/>
              <w:snapToGrid/>
              <w:spacing w:line="280" w:lineRule="exact"/>
              <w:textAlignment w:val="auto"/>
              <w:rPr>
                <w:szCs w:val="21"/>
              </w:rPr>
            </w:pPr>
            <w:r>
              <w:rPr>
                <w:rFonts w:hint="eastAsia"/>
                <w:szCs w:val="21"/>
              </w:rPr>
              <w:t>颗粒物</w:t>
            </w:r>
          </w:p>
        </w:tc>
        <w:tc>
          <w:tcPr>
            <w:tcW w:w="543" w:type="pct"/>
            <w:vAlign w:val="center"/>
          </w:tcPr>
          <w:p w14:paraId="79FED00D">
            <w:pPr>
              <w:jc w:val="center"/>
              <w:rPr>
                <w:szCs w:val="21"/>
              </w:rPr>
            </w:pPr>
            <w:r>
              <w:rPr>
                <w:rFonts w:hint="eastAsia"/>
                <w:szCs w:val="21"/>
              </w:rPr>
              <w:t>/</w:t>
            </w:r>
          </w:p>
        </w:tc>
        <w:tc>
          <w:tcPr>
            <w:tcW w:w="936" w:type="pct"/>
            <w:vAlign w:val="center"/>
          </w:tcPr>
          <w:p w14:paraId="3F806F72">
            <w:pPr>
              <w:jc w:val="center"/>
              <w:rPr>
                <w:szCs w:val="21"/>
                <w:lang w:val="zh-CN" w:bidi="zh-CN"/>
              </w:rPr>
            </w:pPr>
            <w:r>
              <w:rPr>
                <w:rFonts w:hint="eastAsia"/>
                <w:szCs w:val="21"/>
              </w:rPr>
              <w:t>密闭设备</w:t>
            </w:r>
          </w:p>
        </w:tc>
        <w:tc>
          <w:tcPr>
            <w:tcW w:w="488" w:type="pct"/>
            <w:vAlign w:val="center"/>
          </w:tcPr>
          <w:p w14:paraId="3D403178">
            <w:pPr>
              <w:pStyle w:val="228"/>
              <w:rPr>
                <w:szCs w:val="24"/>
                <w:lang w:val="zh-CN" w:bidi="zh-CN"/>
              </w:rPr>
            </w:pPr>
            <w:r>
              <w:t>是</w:t>
            </w:r>
          </w:p>
        </w:tc>
      </w:tr>
      <w:tr w14:paraId="39EFE49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0" w:type="dxa"/>
            <w:bottom w:w="0" w:type="dxa"/>
            <w:right w:w="0" w:type="dxa"/>
          </w:tblCellMar>
        </w:tblPrEx>
        <w:trPr>
          <w:gridAfter w:val="1"/>
          <w:wAfter w:w="26" w:type="pct"/>
          <w:trHeight w:val="1473" w:hRule="atLeast"/>
          <w:jc w:val="center"/>
        </w:trPr>
        <w:tc>
          <w:tcPr>
            <w:tcW w:w="507" w:type="pct"/>
            <w:vMerge w:val="continue"/>
            <w:vAlign w:val="center"/>
          </w:tcPr>
          <w:p w14:paraId="1414E767">
            <w:pPr>
              <w:jc w:val="center"/>
              <w:rPr>
                <w:szCs w:val="21"/>
              </w:rPr>
            </w:pPr>
          </w:p>
        </w:tc>
        <w:tc>
          <w:tcPr>
            <w:tcW w:w="759" w:type="pct"/>
            <w:vMerge w:val="restart"/>
            <w:vAlign w:val="center"/>
          </w:tcPr>
          <w:p w14:paraId="00FE2174">
            <w:pPr>
              <w:pStyle w:val="228"/>
              <w:rPr>
                <w:szCs w:val="21"/>
              </w:rPr>
            </w:pPr>
            <w:r>
              <w:rPr>
                <w:szCs w:val="21"/>
              </w:rPr>
              <w:t>挤出成型工序</w:t>
            </w:r>
          </w:p>
        </w:tc>
        <w:tc>
          <w:tcPr>
            <w:tcW w:w="623" w:type="pct"/>
            <w:vMerge w:val="restart"/>
            <w:vAlign w:val="center"/>
          </w:tcPr>
          <w:p w14:paraId="30561A1C">
            <w:pPr>
              <w:pStyle w:val="228"/>
              <w:rPr>
                <w:szCs w:val="21"/>
              </w:rPr>
            </w:pPr>
            <w:r>
              <w:rPr>
                <w:szCs w:val="21"/>
              </w:rPr>
              <w:t>挤出机</w:t>
            </w:r>
          </w:p>
        </w:tc>
        <w:tc>
          <w:tcPr>
            <w:tcW w:w="603" w:type="pct"/>
            <w:vMerge w:val="restart"/>
            <w:vAlign w:val="center"/>
          </w:tcPr>
          <w:p w14:paraId="72347C23">
            <w:pPr>
              <w:pStyle w:val="228"/>
              <w:rPr>
                <w:szCs w:val="21"/>
              </w:rPr>
            </w:pPr>
            <w:r>
              <w:rPr>
                <w:szCs w:val="21"/>
              </w:rPr>
              <w:t>挤出成型工序</w:t>
            </w:r>
          </w:p>
        </w:tc>
        <w:tc>
          <w:tcPr>
            <w:tcW w:w="511" w:type="pct"/>
            <w:vMerge w:val="restart"/>
            <w:vAlign w:val="center"/>
          </w:tcPr>
          <w:p w14:paraId="628B397F">
            <w:pPr>
              <w:pStyle w:val="228"/>
              <w:rPr>
                <w:szCs w:val="21"/>
              </w:rPr>
            </w:pPr>
            <w:r>
              <w:rPr>
                <w:szCs w:val="21"/>
              </w:rPr>
              <w:t>非甲烷总烃</w:t>
            </w:r>
          </w:p>
        </w:tc>
        <w:tc>
          <w:tcPr>
            <w:tcW w:w="543" w:type="pct"/>
            <w:vAlign w:val="center"/>
          </w:tcPr>
          <w:p w14:paraId="1229993A">
            <w:pPr>
              <w:jc w:val="center"/>
              <w:rPr>
                <w:szCs w:val="21"/>
              </w:rPr>
            </w:pPr>
            <w:r>
              <w:rPr>
                <w:szCs w:val="21"/>
              </w:rPr>
              <w:t>有组织</w:t>
            </w:r>
          </w:p>
        </w:tc>
        <w:tc>
          <w:tcPr>
            <w:tcW w:w="936" w:type="pct"/>
            <w:vAlign w:val="center"/>
          </w:tcPr>
          <w:p w14:paraId="60E8029C">
            <w:pPr>
              <w:autoSpaceDE w:val="0"/>
              <w:autoSpaceDN w:val="0"/>
              <w:ind w:left="21" w:leftChars="10" w:right="21" w:rightChars="10"/>
              <w:rPr>
                <w:szCs w:val="21"/>
              </w:rPr>
            </w:pPr>
            <w:r>
              <w:rPr>
                <w:szCs w:val="21"/>
              </w:rPr>
              <w:t>废气经收集后，由</w:t>
            </w:r>
            <w:r>
              <w:rPr>
                <w:rFonts w:hint="eastAsia"/>
                <w:szCs w:val="21"/>
              </w:rPr>
              <w:t>“</w:t>
            </w:r>
            <w:r>
              <w:rPr>
                <w:rFonts w:hint="eastAsia"/>
                <w:szCs w:val="21"/>
                <w:lang w:eastAsia="zh-CN"/>
              </w:rPr>
              <w:t>活性炭浓缩吸附+催化燃烧</w:t>
            </w:r>
            <w:r>
              <w:rPr>
                <w:rFonts w:hint="eastAsia"/>
                <w:szCs w:val="21"/>
              </w:rPr>
              <w:t>系统”</w:t>
            </w:r>
            <w:r>
              <w:rPr>
                <w:szCs w:val="21"/>
              </w:rPr>
              <w:t>处理后，最后由</w:t>
            </w:r>
            <w:r>
              <w:rPr>
                <w:rFonts w:hint="eastAsia"/>
                <w:szCs w:val="21"/>
              </w:rPr>
              <w:t>车间</w:t>
            </w:r>
            <w:r>
              <w:rPr>
                <w:szCs w:val="21"/>
              </w:rPr>
              <w:t>1根15m高排气筒</w:t>
            </w:r>
            <w:r>
              <w:rPr>
                <w:rFonts w:hint="eastAsia"/>
                <w:szCs w:val="21"/>
              </w:rPr>
              <w:t>（DA001）</w:t>
            </w:r>
            <w:r>
              <w:rPr>
                <w:szCs w:val="21"/>
              </w:rPr>
              <w:t>排放</w:t>
            </w:r>
            <w:r>
              <w:rPr>
                <w:rFonts w:hint="eastAsia"/>
                <w:szCs w:val="21"/>
              </w:rPr>
              <w:t>。</w:t>
            </w:r>
          </w:p>
        </w:tc>
        <w:tc>
          <w:tcPr>
            <w:tcW w:w="488" w:type="pct"/>
            <w:vAlign w:val="center"/>
          </w:tcPr>
          <w:p w14:paraId="3FB911E2">
            <w:pPr>
              <w:pStyle w:val="228"/>
            </w:pPr>
            <w:r>
              <w:t>是</w:t>
            </w:r>
          </w:p>
        </w:tc>
      </w:tr>
      <w:tr w14:paraId="6C4C882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0" w:type="dxa"/>
            <w:bottom w:w="0" w:type="dxa"/>
            <w:right w:w="0" w:type="dxa"/>
          </w:tblCellMar>
        </w:tblPrEx>
        <w:trPr>
          <w:gridAfter w:val="1"/>
          <w:wAfter w:w="26" w:type="pct"/>
          <w:trHeight w:val="764" w:hRule="atLeast"/>
          <w:jc w:val="center"/>
        </w:trPr>
        <w:tc>
          <w:tcPr>
            <w:tcW w:w="507" w:type="pct"/>
            <w:vMerge w:val="continue"/>
            <w:vAlign w:val="center"/>
          </w:tcPr>
          <w:p w14:paraId="432063DF">
            <w:pPr>
              <w:jc w:val="center"/>
              <w:rPr>
                <w:szCs w:val="21"/>
              </w:rPr>
            </w:pPr>
          </w:p>
        </w:tc>
        <w:tc>
          <w:tcPr>
            <w:tcW w:w="759" w:type="pct"/>
            <w:vMerge w:val="continue"/>
            <w:vAlign w:val="center"/>
          </w:tcPr>
          <w:p w14:paraId="4CA429A5">
            <w:pPr>
              <w:pStyle w:val="228"/>
              <w:rPr>
                <w:szCs w:val="21"/>
              </w:rPr>
            </w:pPr>
          </w:p>
        </w:tc>
        <w:tc>
          <w:tcPr>
            <w:tcW w:w="623" w:type="pct"/>
            <w:vMerge w:val="continue"/>
            <w:vAlign w:val="center"/>
          </w:tcPr>
          <w:p w14:paraId="50DE6B4B">
            <w:pPr>
              <w:pStyle w:val="228"/>
              <w:rPr>
                <w:szCs w:val="21"/>
              </w:rPr>
            </w:pPr>
          </w:p>
        </w:tc>
        <w:tc>
          <w:tcPr>
            <w:tcW w:w="603" w:type="pct"/>
            <w:vMerge w:val="continue"/>
            <w:vAlign w:val="center"/>
          </w:tcPr>
          <w:p w14:paraId="7FC6F99A">
            <w:pPr>
              <w:pStyle w:val="228"/>
              <w:rPr>
                <w:szCs w:val="21"/>
              </w:rPr>
            </w:pPr>
          </w:p>
        </w:tc>
        <w:tc>
          <w:tcPr>
            <w:tcW w:w="511" w:type="pct"/>
            <w:vMerge w:val="continue"/>
            <w:vAlign w:val="center"/>
          </w:tcPr>
          <w:p w14:paraId="0F629597">
            <w:pPr>
              <w:pStyle w:val="228"/>
              <w:rPr>
                <w:szCs w:val="21"/>
              </w:rPr>
            </w:pPr>
          </w:p>
        </w:tc>
        <w:tc>
          <w:tcPr>
            <w:tcW w:w="543" w:type="pct"/>
            <w:vAlign w:val="center"/>
          </w:tcPr>
          <w:p w14:paraId="54117315">
            <w:pPr>
              <w:jc w:val="center"/>
              <w:rPr>
                <w:szCs w:val="21"/>
              </w:rPr>
            </w:pPr>
            <w:r>
              <w:rPr>
                <w:rFonts w:hint="eastAsia"/>
                <w:szCs w:val="21"/>
              </w:rPr>
              <w:t>无组织</w:t>
            </w:r>
          </w:p>
        </w:tc>
        <w:tc>
          <w:tcPr>
            <w:tcW w:w="936" w:type="pct"/>
            <w:vAlign w:val="center"/>
          </w:tcPr>
          <w:p w14:paraId="3C78D36E">
            <w:pPr>
              <w:autoSpaceDE w:val="0"/>
              <w:autoSpaceDN w:val="0"/>
              <w:ind w:left="21" w:leftChars="10" w:right="21" w:rightChars="10"/>
              <w:jc w:val="center"/>
              <w:rPr>
                <w:szCs w:val="21"/>
              </w:rPr>
            </w:pPr>
            <w:r>
              <w:rPr>
                <w:rFonts w:hint="eastAsia"/>
                <w:szCs w:val="21"/>
              </w:rPr>
              <w:t>设置换气扇，通风换气</w:t>
            </w:r>
          </w:p>
        </w:tc>
        <w:tc>
          <w:tcPr>
            <w:tcW w:w="488" w:type="pct"/>
            <w:vAlign w:val="center"/>
          </w:tcPr>
          <w:p w14:paraId="025404E5">
            <w:pPr>
              <w:pStyle w:val="228"/>
            </w:pPr>
            <w:r>
              <w:t>是</w:t>
            </w:r>
          </w:p>
        </w:tc>
      </w:tr>
      <w:tr w14:paraId="34B10DE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0" w:type="dxa"/>
            <w:bottom w:w="0" w:type="dxa"/>
            <w:right w:w="0" w:type="dxa"/>
          </w:tblCellMar>
        </w:tblPrEx>
        <w:trPr>
          <w:gridAfter w:val="1"/>
          <w:wAfter w:w="26" w:type="pct"/>
          <w:trHeight w:val="764" w:hRule="atLeast"/>
          <w:jc w:val="center"/>
        </w:trPr>
        <w:tc>
          <w:tcPr>
            <w:tcW w:w="4973" w:type="pct"/>
            <w:gridSpan w:val="8"/>
            <w:vAlign w:val="center"/>
          </w:tcPr>
          <w:p w14:paraId="55082645">
            <w:pPr>
              <w:pStyle w:val="228"/>
            </w:pPr>
            <w:r>
              <w:rPr>
                <w:rFonts w:hint="eastAsia"/>
              </w:rPr>
              <w:t>注：本项目各生产线分布在厂房内，两条生产线</w:t>
            </w:r>
            <w:r>
              <w:rPr>
                <w:szCs w:val="21"/>
              </w:rPr>
              <w:t>非甲烷总烃</w:t>
            </w:r>
            <w:r>
              <w:rPr>
                <w:rFonts w:hint="eastAsia"/>
                <w:szCs w:val="21"/>
              </w:rPr>
              <w:t>经各自生产线集气罩收集后经“</w:t>
            </w:r>
            <w:r>
              <w:rPr>
                <w:rFonts w:hint="eastAsia"/>
                <w:szCs w:val="21"/>
                <w:lang w:eastAsia="zh-CN"/>
              </w:rPr>
              <w:t>活性炭浓缩吸附+催化燃烧</w:t>
            </w:r>
            <w:r>
              <w:rPr>
                <w:rFonts w:hint="eastAsia"/>
                <w:szCs w:val="21"/>
              </w:rPr>
              <w:t>系统”</w:t>
            </w:r>
            <w:r>
              <w:rPr>
                <w:szCs w:val="21"/>
              </w:rPr>
              <w:t>处理后，最后由</w:t>
            </w:r>
            <w:r>
              <w:rPr>
                <w:rFonts w:hint="eastAsia"/>
                <w:szCs w:val="21"/>
              </w:rPr>
              <w:t>1</w:t>
            </w:r>
            <w:r>
              <w:rPr>
                <w:szCs w:val="21"/>
              </w:rPr>
              <w:t>根15m高排气筒</w:t>
            </w:r>
            <w:r>
              <w:rPr>
                <w:rFonts w:hint="eastAsia"/>
                <w:szCs w:val="21"/>
              </w:rPr>
              <w:t>分别</w:t>
            </w:r>
            <w:r>
              <w:rPr>
                <w:szCs w:val="21"/>
              </w:rPr>
              <w:t>排放</w:t>
            </w:r>
            <w:r>
              <w:rPr>
                <w:rFonts w:hint="eastAsia"/>
                <w:szCs w:val="21"/>
              </w:rPr>
              <w:t>。</w:t>
            </w:r>
          </w:p>
        </w:tc>
      </w:tr>
      <w:tr w14:paraId="0B5DC71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0" w:type="dxa"/>
            <w:bottom w:w="0" w:type="dxa"/>
            <w:right w:w="0" w:type="dxa"/>
          </w:tblCellMar>
        </w:tblPrEx>
        <w:trPr>
          <w:gridAfter w:val="1"/>
          <w:wAfter w:w="26" w:type="pct"/>
          <w:trHeight w:val="1115" w:hRule="atLeast"/>
          <w:jc w:val="center"/>
        </w:trPr>
        <w:tc>
          <w:tcPr>
            <w:tcW w:w="507" w:type="pct"/>
            <w:vAlign w:val="center"/>
          </w:tcPr>
          <w:p w14:paraId="076EC217">
            <w:pPr>
              <w:jc w:val="center"/>
              <w:rPr>
                <w:szCs w:val="21"/>
              </w:rPr>
            </w:pPr>
            <w:r>
              <w:rPr>
                <w:rFonts w:hint="eastAsia"/>
                <w:szCs w:val="21"/>
              </w:rPr>
              <w:t>废水</w:t>
            </w:r>
          </w:p>
        </w:tc>
        <w:tc>
          <w:tcPr>
            <w:tcW w:w="1382" w:type="pct"/>
            <w:gridSpan w:val="2"/>
            <w:vAlign w:val="center"/>
          </w:tcPr>
          <w:p w14:paraId="3F18B32A">
            <w:pPr>
              <w:pStyle w:val="228"/>
              <w:spacing w:before="22" w:line="278" w:lineRule="auto"/>
              <w:ind w:right="128"/>
            </w:pPr>
            <w:r>
              <w:t>生活</w:t>
            </w:r>
          </w:p>
        </w:tc>
        <w:tc>
          <w:tcPr>
            <w:tcW w:w="603" w:type="pct"/>
            <w:vAlign w:val="center"/>
          </w:tcPr>
          <w:p w14:paraId="319E1EB0">
            <w:pPr>
              <w:pStyle w:val="228"/>
              <w:spacing w:before="22" w:line="278" w:lineRule="auto"/>
              <w:ind w:right="128"/>
            </w:pPr>
            <w:r>
              <w:t>办公及生活区</w:t>
            </w:r>
          </w:p>
        </w:tc>
        <w:tc>
          <w:tcPr>
            <w:tcW w:w="511" w:type="pct"/>
            <w:vAlign w:val="center"/>
          </w:tcPr>
          <w:p w14:paraId="1A0C03E8">
            <w:pPr>
              <w:pStyle w:val="228"/>
              <w:spacing w:before="22" w:line="278" w:lineRule="auto"/>
              <w:ind w:right="128"/>
            </w:pPr>
            <w:r>
              <w:t>生活污水</w:t>
            </w:r>
          </w:p>
        </w:tc>
        <w:tc>
          <w:tcPr>
            <w:tcW w:w="1479" w:type="pct"/>
            <w:gridSpan w:val="2"/>
            <w:vAlign w:val="center"/>
          </w:tcPr>
          <w:p w14:paraId="59FE9713">
            <w:pPr>
              <w:pStyle w:val="228"/>
              <w:spacing w:before="22" w:line="278" w:lineRule="auto"/>
              <w:ind w:right="128"/>
              <w:rPr>
                <w:rFonts w:hint="default" w:eastAsia="宋体"/>
                <w:lang w:val="en-US" w:eastAsia="zh-CN"/>
              </w:rPr>
            </w:pPr>
            <w:r>
              <w:rPr>
                <w:rFonts w:hint="eastAsia"/>
                <w:lang w:val="en-US" w:eastAsia="zh-CN"/>
              </w:rPr>
              <w:t>生活污水排入</w:t>
            </w:r>
            <w:r>
              <w:rPr>
                <w:rFonts w:hint="eastAsia" w:ascii="宋体" w:hAnsi="宋体"/>
                <w:szCs w:val="21"/>
                <w:lang w:val="en-US" w:eastAsia="zh-CN"/>
              </w:rPr>
              <w:t>10</w:t>
            </w:r>
            <w:r>
              <w:rPr>
                <w:rFonts w:ascii="宋体" w:hAnsi="宋体"/>
                <w:szCs w:val="21"/>
              </w:rPr>
              <w:t>m</w:t>
            </w:r>
            <w:r>
              <w:rPr>
                <w:rFonts w:ascii="宋体" w:hAnsi="宋体"/>
                <w:szCs w:val="21"/>
                <w:vertAlign w:val="superscript"/>
              </w:rPr>
              <w:t>3</w:t>
            </w:r>
            <w:r>
              <w:rPr>
                <w:rFonts w:hint="eastAsia" w:ascii="宋体" w:hAnsi="宋体"/>
                <w:szCs w:val="21"/>
                <w:lang w:val="en-US" w:eastAsia="zh-CN"/>
              </w:rPr>
              <w:t>防渗化粪池</w:t>
            </w:r>
            <w:r>
              <w:rPr>
                <w:rFonts w:hint="eastAsia" w:ascii="宋体" w:hAnsi="宋体"/>
                <w:szCs w:val="21"/>
                <w:lang w:eastAsia="zh-CN"/>
              </w:rPr>
              <w:t>，定期由库尔勒龙润水处理有限公司采用罐车拉运至库尔勒南市区污水处理厂</w:t>
            </w:r>
            <w:r>
              <w:rPr>
                <w:rFonts w:hint="eastAsia"/>
                <w:lang w:val="en-US" w:eastAsia="zh-CN"/>
              </w:rPr>
              <w:t>。</w:t>
            </w:r>
          </w:p>
        </w:tc>
        <w:tc>
          <w:tcPr>
            <w:tcW w:w="488" w:type="pct"/>
            <w:vAlign w:val="center"/>
          </w:tcPr>
          <w:p w14:paraId="16F68BCC">
            <w:pPr>
              <w:pStyle w:val="228"/>
            </w:pPr>
            <w:r>
              <w:t>是</w:t>
            </w:r>
          </w:p>
        </w:tc>
      </w:tr>
      <w:tr w14:paraId="576D740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0" w:type="dxa"/>
            <w:bottom w:w="0" w:type="dxa"/>
            <w:right w:w="0" w:type="dxa"/>
          </w:tblCellMar>
        </w:tblPrEx>
        <w:trPr>
          <w:trHeight w:val="356" w:hRule="atLeast"/>
          <w:jc w:val="center"/>
        </w:trPr>
        <w:tc>
          <w:tcPr>
            <w:tcW w:w="507" w:type="pct"/>
            <w:vMerge w:val="restart"/>
            <w:vAlign w:val="center"/>
          </w:tcPr>
          <w:p w14:paraId="3650E22D">
            <w:pPr>
              <w:ind w:firstLine="210" w:firstLineChars="100"/>
            </w:pPr>
            <w:r>
              <w:t>噪声</w:t>
            </w:r>
          </w:p>
        </w:tc>
        <w:tc>
          <w:tcPr>
            <w:tcW w:w="1382" w:type="pct"/>
            <w:gridSpan w:val="2"/>
            <w:vAlign w:val="center"/>
          </w:tcPr>
          <w:p w14:paraId="5801962A">
            <w:pPr>
              <w:pStyle w:val="228"/>
            </w:pPr>
            <w:r>
              <w:t>造粒机</w:t>
            </w:r>
          </w:p>
        </w:tc>
        <w:tc>
          <w:tcPr>
            <w:tcW w:w="603" w:type="pct"/>
            <w:vAlign w:val="center"/>
          </w:tcPr>
          <w:p w14:paraId="4FEA9D7A">
            <w:pPr>
              <w:pStyle w:val="228"/>
            </w:pPr>
            <w:r>
              <w:t>机械噪声</w:t>
            </w:r>
          </w:p>
        </w:tc>
        <w:tc>
          <w:tcPr>
            <w:tcW w:w="1991" w:type="pct"/>
            <w:gridSpan w:val="3"/>
            <w:vMerge w:val="restart"/>
            <w:vAlign w:val="center"/>
          </w:tcPr>
          <w:p w14:paraId="76A83173">
            <w:pPr>
              <w:pStyle w:val="228"/>
              <w:spacing w:line="278" w:lineRule="auto"/>
              <w:jc w:val="left"/>
            </w:pPr>
            <w:r>
              <w:t>厂房隔音、基础减震，柔性连接等措施降噪</w:t>
            </w:r>
          </w:p>
        </w:tc>
        <w:tc>
          <w:tcPr>
            <w:tcW w:w="515" w:type="pct"/>
            <w:gridSpan w:val="2"/>
            <w:vMerge w:val="restart"/>
            <w:vAlign w:val="center"/>
          </w:tcPr>
          <w:p w14:paraId="2D7E0AB4">
            <w:pPr>
              <w:pStyle w:val="228"/>
            </w:pPr>
            <w:r>
              <w:rPr>
                <w:w w:val="99"/>
              </w:rPr>
              <w:t>/</w:t>
            </w:r>
          </w:p>
        </w:tc>
      </w:tr>
      <w:tr w14:paraId="5F1E68A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0" w:type="dxa"/>
            <w:bottom w:w="0" w:type="dxa"/>
            <w:right w:w="0" w:type="dxa"/>
          </w:tblCellMar>
        </w:tblPrEx>
        <w:trPr>
          <w:trHeight w:val="329" w:hRule="atLeast"/>
          <w:jc w:val="center"/>
        </w:trPr>
        <w:tc>
          <w:tcPr>
            <w:tcW w:w="507" w:type="pct"/>
            <w:vMerge w:val="continue"/>
            <w:vAlign w:val="center"/>
          </w:tcPr>
          <w:p w14:paraId="1D092C2D">
            <w:pPr>
              <w:jc w:val="center"/>
              <w:rPr>
                <w:sz w:val="2"/>
                <w:szCs w:val="2"/>
              </w:rPr>
            </w:pPr>
          </w:p>
        </w:tc>
        <w:tc>
          <w:tcPr>
            <w:tcW w:w="1382" w:type="pct"/>
            <w:gridSpan w:val="2"/>
            <w:vAlign w:val="center"/>
          </w:tcPr>
          <w:p w14:paraId="03F088F4">
            <w:pPr>
              <w:pStyle w:val="228"/>
            </w:pPr>
            <w:r>
              <w:t>切粒机</w:t>
            </w:r>
          </w:p>
        </w:tc>
        <w:tc>
          <w:tcPr>
            <w:tcW w:w="603" w:type="pct"/>
            <w:vAlign w:val="center"/>
          </w:tcPr>
          <w:p w14:paraId="3DC29A82">
            <w:pPr>
              <w:pStyle w:val="228"/>
            </w:pPr>
            <w:r>
              <w:t>机械噪声</w:t>
            </w:r>
          </w:p>
        </w:tc>
        <w:tc>
          <w:tcPr>
            <w:tcW w:w="1991" w:type="pct"/>
            <w:gridSpan w:val="3"/>
            <w:vMerge w:val="continue"/>
            <w:vAlign w:val="center"/>
          </w:tcPr>
          <w:p w14:paraId="6DAE4AF6">
            <w:pPr>
              <w:rPr>
                <w:sz w:val="2"/>
                <w:szCs w:val="2"/>
              </w:rPr>
            </w:pPr>
          </w:p>
        </w:tc>
        <w:tc>
          <w:tcPr>
            <w:tcW w:w="515" w:type="pct"/>
            <w:gridSpan w:val="2"/>
            <w:vMerge w:val="continue"/>
            <w:vAlign w:val="center"/>
          </w:tcPr>
          <w:p w14:paraId="527EA21F">
            <w:pPr>
              <w:rPr>
                <w:sz w:val="2"/>
                <w:szCs w:val="2"/>
              </w:rPr>
            </w:pPr>
          </w:p>
        </w:tc>
      </w:tr>
      <w:tr w14:paraId="24FF743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0" w:type="dxa"/>
            <w:bottom w:w="0" w:type="dxa"/>
            <w:right w:w="0" w:type="dxa"/>
          </w:tblCellMar>
        </w:tblPrEx>
        <w:trPr>
          <w:trHeight w:val="356" w:hRule="atLeast"/>
          <w:jc w:val="center"/>
        </w:trPr>
        <w:tc>
          <w:tcPr>
            <w:tcW w:w="507" w:type="pct"/>
            <w:vMerge w:val="continue"/>
            <w:vAlign w:val="center"/>
          </w:tcPr>
          <w:p w14:paraId="2CA2F138">
            <w:pPr>
              <w:jc w:val="center"/>
              <w:rPr>
                <w:sz w:val="2"/>
                <w:szCs w:val="2"/>
              </w:rPr>
            </w:pPr>
          </w:p>
        </w:tc>
        <w:tc>
          <w:tcPr>
            <w:tcW w:w="1382" w:type="pct"/>
            <w:gridSpan w:val="2"/>
            <w:vAlign w:val="center"/>
          </w:tcPr>
          <w:p w14:paraId="020CBD8D">
            <w:pPr>
              <w:pStyle w:val="228"/>
            </w:pPr>
            <w:r>
              <w:t>挤出机</w:t>
            </w:r>
          </w:p>
        </w:tc>
        <w:tc>
          <w:tcPr>
            <w:tcW w:w="603" w:type="pct"/>
            <w:vAlign w:val="center"/>
          </w:tcPr>
          <w:p w14:paraId="3DD07349">
            <w:pPr>
              <w:pStyle w:val="228"/>
            </w:pPr>
            <w:r>
              <w:t>机械噪声</w:t>
            </w:r>
          </w:p>
        </w:tc>
        <w:tc>
          <w:tcPr>
            <w:tcW w:w="1991" w:type="pct"/>
            <w:gridSpan w:val="3"/>
            <w:vMerge w:val="continue"/>
            <w:vAlign w:val="center"/>
          </w:tcPr>
          <w:p w14:paraId="00E37FAF">
            <w:pPr>
              <w:rPr>
                <w:sz w:val="2"/>
                <w:szCs w:val="2"/>
              </w:rPr>
            </w:pPr>
          </w:p>
        </w:tc>
        <w:tc>
          <w:tcPr>
            <w:tcW w:w="515" w:type="pct"/>
            <w:gridSpan w:val="2"/>
            <w:vMerge w:val="continue"/>
            <w:vAlign w:val="center"/>
          </w:tcPr>
          <w:p w14:paraId="32A5FD9E">
            <w:pPr>
              <w:rPr>
                <w:sz w:val="2"/>
                <w:szCs w:val="2"/>
              </w:rPr>
            </w:pPr>
          </w:p>
        </w:tc>
      </w:tr>
      <w:tr w14:paraId="65EA9CA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0" w:type="dxa"/>
            <w:bottom w:w="0" w:type="dxa"/>
            <w:right w:w="0" w:type="dxa"/>
          </w:tblCellMar>
        </w:tblPrEx>
        <w:trPr>
          <w:trHeight w:val="356" w:hRule="atLeast"/>
          <w:jc w:val="center"/>
        </w:trPr>
        <w:tc>
          <w:tcPr>
            <w:tcW w:w="507" w:type="pct"/>
            <w:vMerge w:val="continue"/>
            <w:vAlign w:val="center"/>
          </w:tcPr>
          <w:p w14:paraId="771A0A7A">
            <w:pPr>
              <w:jc w:val="center"/>
              <w:rPr>
                <w:sz w:val="2"/>
                <w:szCs w:val="2"/>
              </w:rPr>
            </w:pPr>
          </w:p>
        </w:tc>
        <w:tc>
          <w:tcPr>
            <w:tcW w:w="1382" w:type="pct"/>
            <w:gridSpan w:val="2"/>
            <w:vAlign w:val="center"/>
          </w:tcPr>
          <w:p w14:paraId="3D10DE1F">
            <w:pPr>
              <w:pStyle w:val="228"/>
            </w:pPr>
            <w:r>
              <w:t>搅拌机</w:t>
            </w:r>
          </w:p>
        </w:tc>
        <w:tc>
          <w:tcPr>
            <w:tcW w:w="603" w:type="pct"/>
            <w:vAlign w:val="center"/>
          </w:tcPr>
          <w:p w14:paraId="4B262DCB">
            <w:pPr>
              <w:pStyle w:val="228"/>
            </w:pPr>
            <w:r>
              <w:t>机械噪声</w:t>
            </w:r>
          </w:p>
        </w:tc>
        <w:tc>
          <w:tcPr>
            <w:tcW w:w="1991" w:type="pct"/>
            <w:gridSpan w:val="3"/>
            <w:vMerge w:val="continue"/>
            <w:vAlign w:val="center"/>
          </w:tcPr>
          <w:p w14:paraId="12B7991E">
            <w:pPr>
              <w:rPr>
                <w:sz w:val="2"/>
                <w:szCs w:val="2"/>
              </w:rPr>
            </w:pPr>
          </w:p>
        </w:tc>
        <w:tc>
          <w:tcPr>
            <w:tcW w:w="515" w:type="pct"/>
            <w:gridSpan w:val="2"/>
            <w:vMerge w:val="continue"/>
            <w:vAlign w:val="center"/>
          </w:tcPr>
          <w:p w14:paraId="2879DB9B">
            <w:pPr>
              <w:rPr>
                <w:sz w:val="2"/>
                <w:szCs w:val="2"/>
              </w:rPr>
            </w:pPr>
          </w:p>
        </w:tc>
      </w:tr>
      <w:tr w14:paraId="019529E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0" w:type="dxa"/>
            <w:bottom w:w="0" w:type="dxa"/>
            <w:right w:w="0" w:type="dxa"/>
          </w:tblCellMar>
        </w:tblPrEx>
        <w:trPr>
          <w:trHeight w:val="356" w:hRule="atLeast"/>
          <w:jc w:val="center"/>
        </w:trPr>
        <w:tc>
          <w:tcPr>
            <w:tcW w:w="507" w:type="pct"/>
            <w:vMerge w:val="continue"/>
            <w:vAlign w:val="center"/>
          </w:tcPr>
          <w:p w14:paraId="7487A5BA">
            <w:pPr>
              <w:jc w:val="center"/>
              <w:rPr>
                <w:sz w:val="2"/>
                <w:szCs w:val="2"/>
              </w:rPr>
            </w:pPr>
          </w:p>
        </w:tc>
        <w:tc>
          <w:tcPr>
            <w:tcW w:w="1382" w:type="pct"/>
            <w:gridSpan w:val="2"/>
            <w:vAlign w:val="center"/>
          </w:tcPr>
          <w:p w14:paraId="12EDB73A">
            <w:pPr>
              <w:pStyle w:val="228"/>
            </w:pPr>
            <w:r>
              <w:t>水泵</w:t>
            </w:r>
          </w:p>
        </w:tc>
        <w:tc>
          <w:tcPr>
            <w:tcW w:w="603" w:type="pct"/>
            <w:vAlign w:val="center"/>
          </w:tcPr>
          <w:p w14:paraId="449AD9DA">
            <w:pPr>
              <w:pStyle w:val="228"/>
            </w:pPr>
            <w:r>
              <w:t>机械噪声</w:t>
            </w:r>
          </w:p>
        </w:tc>
        <w:tc>
          <w:tcPr>
            <w:tcW w:w="1991" w:type="pct"/>
            <w:gridSpan w:val="3"/>
            <w:vMerge w:val="continue"/>
            <w:vAlign w:val="center"/>
          </w:tcPr>
          <w:p w14:paraId="03A4595D">
            <w:pPr>
              <w:rPr>
                <w:sz w:val="2"/>
                <w:szCs w:val="2"/>
              </w:rPr>
            </w:pPr>
          </w:p>
        </w:tc>
        <w:tc>
          <w:tcPr>
            <w:tcW w:w="515" w:type="pct"/>
            <w:gridSpan w:val="2"/>
            <w:vMerge w:val="continue"/>
            <w:vAlign w:val="center"/>
          </w:tcPr>
          <w:p w14:paraId="5304FE1B">
            <w:pPr>
              <w:rPr>
                <w:sz w:val="2"/>
                <w:szCs w:val="2"/>
              </w:rPr>
            </w:pPr>
          </w:p>
        </w:tc>
      </w:tr>
      <w:tr w14:paraId="65D7D6E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0" w:type="dxa"/>
            <w:bottom w:w="0" w:type="dxa"/>
            <w:right w:w="0" w:type="dxa"/>
          </w:tblCellMar>
        </w:tblPrEx>
        <w:trPr>
          <w:trHeight w:val="356" w:hRule="atLeast"/>
          <w:jc w:val="center"/>
        </w:trPr>
        <w:tc>
          <w:tcPr>
            <w:tcW w:w="507" w:type="pct"/>
            <w:vMerge w:val="continue"/>
            <w:vAlign w:val="center"/>
          </w:tcPr>
          <w:p w14:paraId="527633F3">
            <w:pPr>
              <w:ind w:firstLine="40"/>
              <w:jc w:val="center"/>
              <w:rPr>
                <w:sz w:val="2"/>
                <w:szCs w:val="2"/>
              </w:rPr>
            </w:pPr>
          </w:p>
        </w:tc>
        <w:tc>
          <w:tcPr>
            <w:tcW w:w="1382" w:type="pct"/>
            <w:gridSpan w:val="2"/>
            <w:vAlign w:val="center"/>
          </w:tcPr>
          <w:p w14:paraId="1BB3DCBA">
            <w:pPr>
              <w:pStyle w:val="228"/>
            </w:pPr>
            <w:r>
              <w:t>风机</w:t>
            </w:r>
          </w:p>
        </w:tc>
        <w:tc>
          <w:tcPr>
            <w:tcW w:w="603" w:type="pct"/>
            <w:vAlign w:val="center"/>
          </w:tcPr>
          <w:p w14:paraId="5E279CA4">
            <w:pPr>
              <w:pStyle w:val="228"/>
            </w:pPr>
            <w:r>
              <w:t>空气动力噪声</w:t>
            </w:r>
          </w:p>
        </w:tc>
        <w:tc>
          <w:tcPr>
            <w:tcW w:w="1991" w:type="pct"/>
            <w:gridSpan w:val="3"/>
            <w:vMerge w:val="continue"/>
            <w:vAlign w:val="center"/>
          </w:tcPr>
          <w:p w14:paraId="30B12DF3">
            <w:pPr>
              <w:rPr>
                <w:sz w:val="2"/>
                <w:szCs w:val="2"/>
              </w:rPr>
            </w:pPr>
          </w:p>
        </w:tc>
        <w:tc>
          <w:tcPr>
            <w:tcW w:w="515" w:type="pct"/>
            <w:gridSpan w:val="2"/>
            <w:vMerge w:val="continue"/>
            <w:vAlign w:val="center"/>
          </w:tcPr>
          <w:p w14:paraId="183C8C1C">
            <w:pPr>
              <w:rPr>
                <w:sz w:val="2"/>
                <w:szCs w:val="2"/>
              </w:rPr>
            </w:pPr>
          </w:p>
        </w:tc>
      </w:tr>
      <w:tr w14:paraId="5981DD3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0" w:type="dxa"/>
            <w:bottom w:w="0" w:type="dxa"/>
            <w:right w:w="0" w:type="dxa"/>
          </w:tblCellMar>
        </w:tblPrEx>
        <w:trPr>
          <w:trHeight w:val="437" w:hRule="atLeast"/>
          <w:jc w:val="center"/>
        </w:trPr>
        <w:tc>
          <w:tcPr>
            <w:tcW w:w="507" w:type="pct"/>
            <w:vMerge w:val="continue"/>
            <w:vAlign w:val="center"/>
          </w:tcPr>
          <w:p w14:paraId="245D2A40">
            <w:pPr>
              <w:ind w:firstLine="40"/>
              <w:jc w:val="center"/>
              <w:rPr>
                <w:sz w:val="2"/>
                <w:szCs w:val="2"/>
              </w:rPr>
            </w:pPr>
          </w:p>
        </w:tc>
        <w:tc>
          <w:tcPr>
            <w:tcW w:w="1382" w:type="pct"/>
            <w:gridSpan w:val="2"/>
            <w:vAlign w:val="center"/>
          </w:tcPr>
          <w:p w14:paraId="252A9F29">
            <w:pPr>
              <w:pStyle w:val="228"/>
            </w:pPr>
            <w:r>
              <w:t>空压机</w:t>
            </w:r>
          </w:p>
        </w:tc>
        <w:tc>
          <w:tcPr>
            <w:tcW w:w="603" w:type="pct"/>
            <w:vAlign w:val="center"/>
          </w:tcPr>
          <w:p w14:paraId="6F28AD6D">
            <w:pPr>
              <w:pStyle w:val="228"/>
            </w:pPr>
            <w:r>
              <w:t>空气动力噪声</w:t>
            </w:r>
          </w:p>
        </w:tc>
        <w:tc>
          <w:tcPr>
            <w:tcW w:w="1991" w:type="pct"/>
            <w:gridSpan w:val="3"/>
            <w:vMerge w:val="continue"/>
            <w:vAlign w:val="center"/>
          </w:tcPr>
          <w:p w14:paraId="06921E05">
            <w:pPr>
              <w:rPr>
                <w:sz w:val="2"/>
                <w:szCs w:val="2"/>
              </w:rPr>
            </w:pPr>
          </w:p>
        </w:tc>
        <w:tc>
          <w:tcPr>
            <w:tcW w:w="515" w:type="pct"/>
            <w:gridSpan w:val="2"/>
            <w:vMerge w:val="continue"/>
            <w:vAlign w:val="center"/>
          </w:tcPr>
          <w:p w14:paraId="2E965D31">
            <w:pPr>
              <w:rPr>
                <w:sz w:val="2"/>
                <w:szCs w:val="2"/>
              </w:rPr>
            </w:pPr>
          </w:p>
        </w:tc>
      </w:tr>
      <w:tr w14:paraId="034BD66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0" w:type="dxa"/>
            <w:bottom w:w="0" w:type="dxa"/>
            <w:right w:w="0" w:type="dxa"/>
          </w:tblCellMar>
        </w:tblPrEx>
        <w:trPr>
          <w:trHeight w:val="638" w:hRule="atLeast"/>
          <w:jc w:val="center"/>
        </w:trPr>
        <w:tc>
          <w:tcPr>
            <w:tcW w:w="507" w:type="pct"/>
            <w:vMerge w:val="restart"/>
            <w:vAlign w:val="center"/>
          </w:tcPr>
          <w:p w14:paraId="069E2460">
            <w:pPr>
              <w:pStyle w:val="3"/>
              <w:ind w:firstLine="210" w:firstLineChars="100"/>
              <w:rPr>
                <w:rFonts w:ascii="Times New Roman" w:hAnsi="Times New Roman" w:eastAsia="宋体"/>
                <w:b w:val="0"/>
                <w:bCs w:val="0"/>
                <w:sz w:val="21"/>
                <w:szCs w:val="21"/>
                <w:lang w:val="en-US" w:bidi="zh-CN"/>
              </w:rPr>
            </w:pPr>
            <w:bookmarkStart w:id="132" w:name="_Toc28051"/>
            <w:bookmarkStart w:id="133" w:name="_Toc209911810"/>
            <w:bookmarkStart w:id="134" w:name="_Toc24279"/>
            <w:r>
              <w:rPr>
                <w:rFonts w:hint="eastAsia" w:ascii="Times New Roman" w:hAnsi="Times New Roman" w:eastAsia="宋体"/>
                <w:b w:val="0"/>
                <w:bCs w:val="0"/>
                <w:sz w:val="21"/>
                <w:szCs w:val="21"/>
                <w:lang w:val="en-US" w:bidi="zh-CN"/>
              </w:rPr>
              <w:t>固体</w:t>
            </w:r>
            <w:bookmarkEnd w:id="132"/>
            <w:bookmarkEnd w:id="133"/>
            <w:bookmarkEnd w:id="134"/>
          </w:p>
          <w:p w14:paraId="660F8A13">
            <w:pPr>
              <w:pStyle w:val="3"/>
              <w:ind w:firstLine="210" w:firstLineChars="100"/>
              <w:rPr>
                <w:sz w:val="21"/>
              </w:rPr>
            </w:pPr>
            <w:bookmarkStart w:id="135" w:name="_Toc17755"/>
            <w:bookmarkStart w:id="136" w:name="_Toc31"/>
            <w:bookmarkStart w:id="137" w:name="_Toc209911811"/>
            <w:r>
              <w:rPr>
                <w:rFonts w:hint="eastAsia" w:ascii="Times New Roman" w:hAnsi="Times New Roman" w:eastAsia="宋体"/>
                <w:b w:val="0"/>
                <w:bCs w:val="0"/>
                <w:sz w:val="21"/>
                <w:szCs w:val="21"/>
                <w:lang w:val="en-US" w:bidi="zh-CN"/>
              </w:rPr>
              <w:t>废物</w:t>
            </w:r>
            <w:bookmarkEnd w:id="135"/>
            <w:bookmarkEnd w:id="136"/>
            <w:bookmarkEnd w:id="137"/>
          </w:p>
        </w:tc>
        <w:tc>
          <w:tcPr>
            <w:tcW w:w="1382" w:type="pct"/>
            <w:gridSpan w:val="2"/>
            <w:vAlign w:val="center"/>
          </w:tcPr>
          <w:p w14:paraId="7D30DC9B">
            <w:pPr>
              <w:pStyle w:val="228"/>
            </w:pPr>
            <w:r>
              <w:rPr>
                <w:rFonts w:hint="eastAsia"/>
              </w:rPr>
              <w:t>各生产线</w:t>
            </w:r>
          </w:p>
        </w:tc>
        <w:tc>
          <w:tcPr>
            <w:tcW w:w="603" w:type="pct"/>
            <w:vAlign w:val="center"/>
          </w:tcPr>
          <w:p w14:paraId="568C211D">
            <w:pPr>
              <w:pStyle w:val="228"/>
            </w:pPr>
            <w:r>
              <w:rPr>
                <w:szCs w:val="21"/>
                <w:lang w:eastAsia="en-US"/>
              </w:rPr>
              <w:t>挤出、切割装置</w:t>
            </w:r>
          </w:p>
        </w:tc>
        <w:tc>
          <w:tcPr>
            <w:tcW w:w="511" w:type="pct"/>
            <w:vAlign w:val="center"/>
          </w:tcPr>
          <w:p w14:paraId="58DF4AA6">
            <w:pPr>
              <w:pStyle w:val="228"/>
            </w:pPr>
            <w:r>
              <w:rPr>
                <w:szCs w:val="21"/>
              </w:rPr>
              <w:t>不合格品、残次品及边角料</w:t>
            </w:r>
          </w:p>
        </w:tc>
        <w:tc>
          <w:tcPr>
            <w:tcW w:w="543" w:type="pct"/>
            <w:vAlign w:val="center"/>
          </w:tcPr>
          <w:p w14:paraId="093F987A">
            <w:pPr>
              <w:pStyle w:val="228"/>
            </w:pPr>
            <w:r>
              <w:rPr>
                <w:rFonts w:hint="eastAsia"/>
              </w:rPr>
              <w:t>间歇</w:t>
            </w:r>
          </w:p>
        </w:tc>
        <w:tc>
          <w:tcPr>
            <w:tcW w:w="936" w:type="pct"/>
            <w:vAlign w:val="center"/>
          </w:tcPr>
          <w:p w14:paraId="67C92F73">
            <w:pPr>
              <w:pStyle w:val="228"/>
            </w:pPr>
            <w:r>
              <w:rPr>
                <w:rFonts w:hint="eastAsia"/>
              </w:rPr>
              <w:t>收集后全部返回造粒工序</w:t>
            </w:r>
          </w:p>
        </w:tc>
        <w:tc>
          <w:tcPr>
            <w:tcW w:w="515" w:type="pct"/>
            <w:gridSpan w:val="2"/>
            <w:vAlign w:val="center"/>
          </w:tcPr>
          <w:p w14:paraId="2C2E3249">
            <w:pPr>
              <w:pStyle w:val="228"/>
              <w:spacing w:before="48"/>
              <w:ind w:left="25" w:hanging="25" w:hangingChars="12"/>
            </w:pPr>
            <w:r>
              <w:rPr>
                <w:rFonts w:hint="eastAsia"/>
              </w:rPr>
              <w:t>是</w:t>
            </w:r>
          </w:p>
        </w:tc>
      </w:tr>
      <w:tr w14:paraId="70743F6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0" w:type="dxa"/>
            <w:bottom w:w="0" w:type="dxa"/>
            <w:right w:w="0" w:type="dxa"/>
          </w:tblCellMar>
        </w:tblPrEx>
        <w:trPr>
          <w:trHeight w:val="638" w:hRule="atLeast"/>
          <w:jc w:val="center"/>
        </w:trPr>
        <w:tc>
          <w:tcPr>
            <w:tcW w:w="507" w:type="pct"/>
            <w:vMerge w:val="continue"/>
            <w:vAlign w:val="center"/>
          </w:tcPr>
          <w:p w14:paraId="0F6C72D4">
            <w:pPr>
              <w:pStyle w:val="228"/>
              <w:spacing w:before="1" w:line="278" w:lineRule="auto"/>
              <w:ind w:right="92"/>
              <w:jc w:val="both"/>
            </w:pPr>
          </w:p>
        </w:tc>
        <w:tc>
          <w:tcPr>
            <w:tcW w:w="1382" w:type="pct"/>
            <w:gridSpan w:val="2"/>
            <w:vAlign w:val="center"/>
          </w:tcPr>
          <w:p w14:paraId="4E7DE0D8">
            <w:pPr>
              <w:pStyle w:val="228"/>
            </w:pPr>
            <w:r>
              <w:rPr>
                <w:rFonts w:hint="eastAsia"/>
              </w:rPr>
              <w:t>挤出工序</w:t>
            </w:r>
          </w:p>
        </w:tc>
        <w:tc>
          <w:tcPr>
            <w:tcW w:w="603" w:type="pct"/>
            <w:vAlign w:val="center"/>
          </w:tcPr>
          <w:p w14:paraId="4E27A74B">
            <w:pPr>
              <w:pStyle w:val="228"/>
            </w:pPr>
            <w:r>
              <w:rPr>
                <w:szCs w:val="21"/>
                <w:lang w:eastAsia="en-US"/>
              </w:rPr>
              <w:t>挤出机</w:t>
            </w:r>
          </w:p>
        </w:tc>
        <w:tc>
          <w:tcPr>
            <w:tcW w:w="511" w:type="pct"/>
            <w:vAlign w:val="center"/>
          </w:tcPr>
          <w:p w14:paraId="6249C681">
            <w:pPr>
              <w:pStyle w:val="228"/>
            </w:pPr>
            <w:r>
              <w:rPr>
                <w:rFonts w:hint="eastAsia"/>
              </w:rPr>
              <w:t>废过滤网</w:t>
            </w:r>
          </w:p>
        </w:tc>
        <w:tc>
          <w:tcPr>
            <w:tcW w:w="543" w:type="pct"/>
            <w:vAlign w:val="center"/>
          </w:tcPr>
          <w:p w14:paraId="43513009">
            <w:pPr>
              <w:pStyle w:val="228"/>
            </w:pPr>
            <w:r>
              <w:rPr>
                <w:rFonts w:hint="eastAsia"/>
              </w:rPr>
              <w:t>间歇</w:t>
            </w:r>
          </w:p>
        </w:tc>
        <w:tc>
          <w:tcPr>
            <w:tcW w:w="936" w:type="pct"/>
            <w:vAlign w:val="center"/>
          </w:tcPr>
          <w:p w14:paraId="1CAC95B3">
            <w:pPr>
              <w:pStyle w:val="228"/>
              <w:rPr>
                <w:szCs w:val="24"/>
                <w:lang w:bidi="zh-CN"/>
              </w:rPr>
            </w:pPr>
            <w:r>
              <w:rPr>
                <w:rFonts w:hint="eastAsia"/>
              </w:rPr>
              <w:t>收集后交由外售给废品回收站</w:t>
            </w:r>
          </w:p>
        </w:tc>
        <w:tc>
          <w:tcPr>
            <w:tcW w:w="515" w:type="pct"/>
            <w:gridSpan w:val="2"/>
            <w:vAlign w:val="center"/>
          </w:tcPr>
          <w:p w14:paraId="23F7B1FF">
            <w:pPr>
              <w:pStyle w:val="228"/>
              <w:spacing w:before="48"/>
              <w:ind w:left="25" w:hanging="25" w:hangingChars="12"/>
            </w:pPr>
            <w:r>
              <w:rPr>
                <w:rFonts w:hint="eastAsia"/>
              </w:rPr>
              <w:t>是</w:t>
            </w:r>
          </w:p>
        </w:tc>
      </w:tr>
      <w:tr w14:paraId="6D13496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0" w:type="dxa"/>
            <w:bottom w:w="0" w:type="dxa"/>
            <w:right w:w="0" w:type="dxa"/>
          </w:tblCellMar>
        </w:tblPrEx>
        <w:trPr>
          <w:trHeight w:val="638" w:hRule="atLeast"/>
          <w:jc w:val="center"/>
        </w:trPr>
        <w:tc>
          <w:tcPr>
            <w:tcW w:w="507" w:type="pct"/>
            <w:vMerge w:val="continue"/>
            <w:vAlign w:val="center"/>
          </w:tcPr>
          <w:p w14:paraId="36B236DA">
            <w:pPr>
              <w:pStyle w:val="228"/>
              <w:spacing w:before="1" w:line="278" w:lineRule="auto"/>
              <w:ind w:right="92"/>
              <w:jc w:val="both"/>
            </w:pPr>
          </w:p>
        </w:tc>
        <w:tc>
          <w:tcPr>
            <w:tcW w:w="1382" w:type="pct"/>
            <w:gridSpan w:val="2"/>
            <w:vAlign w:val="center"/>
          </w:tcPr>
          <w:p w14:paraId="6DEF2594">
            <w:pPr>
              <w:pStyle w:val="228"/>
              <w:rPr>
                <w:szCs w:val="24"/>
                <w:lang w:bidi="zh-CN"/>
              </w:rPr>
            </w:pPr>
            <w:r>
              <w:rPr>
                <w:rFonts w:hint="eastAsia"/>
              </w:rPr>
              <w:t>尾气治理</w:t>
            </w:r>
          </w:p>
        </w:tc>
        <w:tc>
          <w:tcPr>
            <w:tcW w:w="603" w:type="pct"/>
            <w:vAlign w:val="center"/>
          </w:tcPr>
          <w:p w14:paraId="0A819D8C">
            <w:pPr>
              <w:pStyle w:val="228"/>
              <w:rPr>
                <w:szCs w:val="24"/>
                <w:lang w:bidi="zh-CN"/>
              </w:rPr>
            </w:pPr>
            <w:r>
              <w:rPr>
                <w:rFonts w:hint="eastAsia"/>
              </w:rPr>
              <w:t>尾气治理系统</w:t>
            </w:r>
          </w:p>
        </w:tc>
        <w:tc>
          <w:tcPr>
            <w:tcW w:w="511" w:type="pct"/>
            <w:vAlign w:val="center"/>
          </w:tcPr>
          <w:p w14:paraId="2985C439">
            <w:pPr>
              <w:pStyle w:val="228"/>
              <w:rPr>
                <w:szCs w:val="24"/>
                <w:lang w:bidi="zh-CN"/>
              </w:rPr>
            </w:pPr>
            <w:r>
              <w:rPr>
                <w:rFonts w:hint="eastAsia"/>
              </w:rPr>
              <w:t>废催化剂</w:t>
            </w:r>
          </w:p>
        </w:tc>
        <w:tc>
          <w:tcPr>
            <w:tcW w:w="543" w:type="pct"/>
            <w:vAlign w:val="center"/>
          </w:tcPr>
          <w:p w14:paraId="0BC599AC">
            <w:pPr>
              <w:pStyle w:val="228"/>
              <w:rPr>
                <w:szCs w:val="24"/>
                <w:lang w:val="zh-CN" w:bidi="zh-CN"/>
              </w:rPr>
            </w:pPr>
            <w:r>
              <w:rPr>
                <w:rFonts w:hint="eastAsia"/>
              </w:rPr>
              <w:t>间歇</w:t>
            </w:r>
          </w:p>
        </w:tc>
        <w:tc>
          <w:tcPr>
            <w:tcW w:w="936" w:type="pct"/>
            <w:vAlign w:val="center"/>
          </w:tcPr>
          <w:p w14:paraId="36A52298">
            <w:pPr>
              <w:pStyle w:val="228"/>
              <w:rPr>
                <w:szCs w:val="24"/>
                <w:lang w:eastAsia="en-US" w:bidi="zh-CN"/>
              </w:rPr>
            </w:pPr>
            <w:r>
              <w:rPr>
                <w:szCs w:val="21"/>
                <w:lang w:eastAsia="en-US"/>
              </w:rPr>
              <w:t>厂家每5年更换1次</w:t>
            </w:r>
          </w:p>
        </w:tc>
        <w:tc>
          <w:tcPr>
            <w:tcW w:w="515" w:type="pct"/>
            <w:gridSpan w:val="2"/>
            <w:vAlign w:val="center"/>
          </w:tcPr>
          <w:p w14:paraId="782CE327">
            <w:pPr>
              <w:pStyle w:val="228"/>
              <w:spacing w:before="48"/>
              <w:ind w:left="25" w:hanging="25" w:hangingChars="12"/>
            </w:pPr>
            <w:r>
              <w:rPr>
                <w:rFonts w:hint="eastAsia"/>
              </w:rPr>
              <w:t>是</w:t>
            </w:r>
          </w:p>
        </w:tc>
      </w:tr>
      <w:tr w14:paraId="4C19067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0" w:type="dxa"/>
            <w:bottom w:w="0" w:type="dxa"/>
            <w:right w:w="0" w:type="dxa"/>
          </w:tblCellMar>
        </w:tblPrEx>
        <w:trPr>
          <w:trHeight w:val="268" w:hRule="atLeast"/>
          <w:jc w:val="center"/>
        </w:trPr>
        <w:tc>
          <w:tcPr>
            <w:tcW w:w="507" w:type="pct"/>
            <w:vMerge w:val="continue"/>
            <w:vAlign w:val="center"/>
          </w:tcPr>
          <w:p w14:paraId="17F2CB9B">
            <w:pPr>
              <w:pStyle w:val="228"/>
              <w:spacing w:before="1" w:line="278" w:lineRule="auto"/>
              <w:ind w:right="92"/>
              <w:jc w:val="both"/>
            </w:pPr>
          </w:p>
        </w:tc>
        <w:tc>
          <w:tcPr>
            <w:tcW w:w="1382" w:type="pct"/>
            <w:gridSpan w:val="2"/>
            <w:vMerge w:val="restart"/>
            <w:vAlign w:val="center"/>
          </w:tcPr>
          <w:p w14:paraId="5879CA28">
            <w:pPr>
              <w:pStyle w:val="228"/>
            </w:pPr>
            <w:r>
              <w:rPr>
                <w:rFonts w:hint="eastAsia"/>
              </w:rPr>
              <w:t>熔融挤出工序</w:t>
            </w:r>
          </w:p>
        </w:tc>
        <w:tc>
          <w:tcPr>
            <w:tcW w:w="603" w:type="pct"/>
            <w:vAlign w:val="center"/>
          </w:tcPr>
          <w:p w14:paraId="534D39FF">
            <w:pPr>
              <w:pStyle w:val="228"/>
            </w:pPr>
            <w:r>
              <w:rPr>
                <w:rFonts w:hint="eastAsia"/>
              </w:rPr>
              <w:t>废过滤网</w:t>
            </w:r>
          </w:p>
        </w:tc>
        <w:tc>
          <w:tcPr>
            <w:tcW w:w="1991" w:type="pct"/>
            <w:gridSpan w:val="3"/>
            <w:vAlign w:val="center"/>
          </w:tcPr>
          <w:p w14:paraId="54B6C0D4">
            <w:pPr>
              <w:pStyle w:val="228"/>
            </w:pPr>
            <w:r>
              <w:rPr>
                <w:szCs w:val="21"/>
              </w:rPr>
              <w:t>外售给废品回收站处理</w:t>
            </w:r>
          </w:p>
        </w:tc>
        <w:tc>
          <w:tcPr>
            <w:tcW w:w="515" w:type="pct"/>
            <w:gridSpan w:val="2"/>
            <w:vAlign w:val="center"/>
          </w:tcPr>
          <w:p w14:paraId="02107304">
            <w:pPr>
              <w:pStyle w:val="228"/>
              <w:spacing w:before="48"/>
              <w:ind w:left="25" w:hanging="25" w:hangingChars="12"/>
            </w:pPr>
            <w:r>
              <w:rPr>
                <w:rFonts w:hint="eastAsia"/>
              </w:rPr>
              <w:t>是</w:t>
            </w:r>
          </w:p>
        </w:tc>
      </w:tr>
      <w:tr w14:paraId="656884F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0" w:type="dxa"/>
            <w:bottom w:w="0" w:type="dxa"/>
            <w:right w:w="0" w:type="dxa"/>
          </w:tblCellMar>
        </w:tblPrEx>
        <w:trPr>
          <w:trHeight w:val="318" w:hRule="atLeast"/>
          <w:jc w:val="center"/>
        </w:trPr>
        <w:tc>
          <w:tcPr>
            <w:tcW w:w="507" w:type="pct"/>
            <w:vMerge w:val="continue"/>
            <w:vAlign w:val="center"/>
          </w:tcPr>
          <w:p w14:paraId="7718FA69">
            <w:pPr>
              <w:pStyle w:val="228"/>
              <w:spacing w:before="1" w:line="278" w:lineRule="auto"/>
              <w:ind w:right="92"/>
              <w:jc w:val="both"/>
            </w:pPr>
          </w:p>
        </w:tc>
        <w:tc>
          <w:tcPr>
            <w:tcW w:w="1382" w:type="pct"/>
            <w:gridSpan w:val="2"/>
            <w:vMerge w:val="continue"/>
            <w:vAlign w:val="center"/>
          </w:tcPr>
          <w:p w14:paraId="144B8B6D">
            <w:pPr>
              <w:pStyle w:val="228"/>
            </w:pPr>
          </w:p>
        </w:tc>
        <w:tc>
          <w:tcPr>
            <w:tcW w:w="603" w:type="pct"/>
            <w:vAlign w:val="center"/>
          </w:tcPr>
          <w:p w14:paraId="3130A30C">
            <w:pPr>
              <w:pStyle w:val="228"/>
            </w:pPr>
            <w:r>
              <w:rPr>
                <w:rFonts w:hint="eastAsia"/>
              </w:rPr>
              <w:t>熔融废渣</w:t>
            </w:r>
          </w:p>
        </w:tc>
        <w:tc>
          <w:tcPr>
            <w:tcW w:w="1991" w:type="pct"/>
            <w:gridSpan w:val="3"/>
            <w:vAlign w:val="center"/>
          </w:tcPr>
          <w:p w14:paraId="31EBE405">
            <w:pPr>
              <w:pStyle w:val="228"/>
            </w:pPr>
            <w:r>
              <w:rPr>
                <w:szCs w:val="21"/>
              </w:rPr>
              <w:t>外售给注塑</w:t>
            </w:r>
            <w:r>
              <w:rPr>
                <w:rFonts w:hint="eastAsia"/>
                <w:szCs w:val="21"/>
              </w:rPr>
              <w:t>厂</w:t>
            </w:r>
          </w:p>
        </w:tc>
        <w:tc>
          <w:tcPr>
            <w:tcW w:w="515" w:type="pct"/>
            <w:gridSpan w:val="2"/>
            <w:vAlign w:val="center"/>
          </w:tcPr>
          <w:p w14:paraId="4197536E">
            <w:pPr>
              <w:pStyle w:val="228"/>
              <w:spacing w:before="48"/>
              <w:ind w:left="25" w:hanging="25" w:hangingChars="12"/>
            </w:pPr>
            <w:r>
              <w:rPr>
                <w:rFonts w:hint="eastAsia"/>
              </w:rPr>
              <w:t>是</w:t>
            </w:r>
          </w:p>
        </w:tc>
      </w:tr>
      <w:tr w14:paraId="195D399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0" w:type="dxa"/>
            <w:bottom w:w="0" w:type="dxa"/>
            <w:right w:w="0" w:type="dxa"/>
          </w:tblCellMar>
        </w:tblPrEx>
        <w:trPr>
          <w:trHeight w:val="657" w:hRule="atLeast"/>
          <w:jc w:val="center"/>
        </w:trPr>
        <w:tc>
          <w:tcPr>
            <w:tcW w:w="507" w:type="pct"/>
            <w:vMerge w:val="continue"/>
            <w:vAlign w:val="center"/>
          </w:tcPr>
          <w:p w14:paraId="75C1E80C">
            <w:pPr>
              <w:ind w:firstLine="40"/>
              <w:jc w:val="center"/>
              <w:rPr>
                <w:sz w:val="2"/>
                <w:szCs w:val="2"/>
              </w:rPr>
            </w:pPr>
          </w:p>
        </w:tc>
        <w:tc>
          <w:tcPr>
            <w:tcW w:w="1382" w:type="pct"/>
            <w:gridSpan w:val="2"/>
            <w:vAlign w:val="center"/>
          </w:tcPr>
          <w:p w14:paraId="2AEFF8EA">
            <w:pPr>
              <w:pStyle w:val="228"/>
            </w:pPr>
            <w:r>
              <w:rPr>
                <w:rFonts w:hint="eastAsia"/>
              </w:rPr>
              <w:t>设备维护</w:t>
            </w:r>
          </w:p>
        </w:tc>
        <w:tc>
          <w:tcPr>
            <w:tcW w:w="603" w:type="pct"/>
            <w:vAlign w:val="center"/>
          </w:tcPr>
          <w:p w14:paraId="532CF9DB">
            <w:pPr>
              <w:pStyle w:val="228"/>
            </w:pPr>
            <w:r>
              <w:rPr>
                <w:rFonts w:hint="eastAsia"/>
              </w:rPr>
              <w:t>废润滑油和废润滑油桶</w:t>
            </w:r>
          </w:p>
        </w:tc>
        <w:tc>
          <w:tcPr>
            <w:tcW w:w="1991" w:type="pct"/>
            <w:gridSpan w:val="3"/>
            <w:vMerge w:val="restart"/>
            <w:vAlign w:val="center"/>
          </w:tcPr>
          <w:p w14:paraId="7F7A2005">
            <w:pPr>
              <w:pStyle w:val="228"/>
              <w:rPr>
                <w:szCs w:val="21"/>
              </w:rPr>
            </w:pPr>
            <w:r>
              <w:rPr>
                <w:szCs w:val="21"/>
              </w:rPr>
              <w:t>经收集后暂存于危废</w:t>
            </w:r>
            <w:r>
              <w:rPr>
                <w:rFonts w:hint="eastAsia"/>
                <w:szCs w:val="21"/>
              </w:rPr>
              <w:t>贮存点（位于厂房的东南角，10m</w:t>
            </w:r>
            <w:r>
              <w:rPr>
                <w:rFonts w:hint="eastAsia"/>
                <w:szCs w:val="21"/>
                <w:vertAlign w:val="superscript"/>
              </w:rPr>
              <w:t>2</w:t>
            </w:r>
            <w:r>
              <w:rPr>
                <w:rFonts w:hint="eastAsia"/>
                <w:szCs w:val="21"/>
              </w:rPr>
              <w:t>）</w:t>
            </w:r>
            <w:r>
              <w:rPr>
                <w:szCs w:val="21"/>
              </w:rPr>
              <w:t>，定期交由有危险废物处置资质的单位安全处置</w:t>
            </w:r>
            <w:r>
              <w:rPr>
                <w:rFonts w:hint="eastAsia"/>
                <w:szCs w:val="21"/>
              </w:rPr>
              <w:t>。</w:t>
            </w:r>
          </w:p>
        </w:tc>
        <w:tc>
          <w:tcPr>
            <w:tcW w:w="515" w:type="pct"/>
            <w:gridSpan w:val="2"/>
            <w:vMerge w:val="restart"/>
            <w:vAlign w:val="center"/>
          </w:tcPr>
          <w:p w14:paraId="0B2B5B60">
            <w:pPr>
              <w:pStyle w:val="228"/>
              <w:spacing w:before="137"/>
              <w:ind w:left="25" w:hanging="24" w:hangingChars="12"/>
            </w:pPr>
            <w:r>
              <w:rPr>
                <w:rFonts w:hint="eastAsia"/>
                <w:w w:val="99"/>
              </w:rPr>
              <w:t>是</w:t>
            </w:r>
          </w:p>
        </w:tc>
      </w:tr>
      <w:tr w14:paraId="20764B8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0" w:type="dxa"/>
            <w:bottom w:w="0" w:type="dxa"/>
            <w:right w:w="0" w:type="dxa"/>
          </w:tblCellMar>
        </w:tblPrEx>
        <w:trPr>
          <w:trHeight w:val="337" w:hRule="atLeast"/>
          <w:jc w:val="center"/>
        </w:trPr>
        <w:tc>
          <w:tcPr>
            <w:tcW w:w="507" w:type="pct"/>
            <w:vMerge w:val="continue"/>
            <w:vAlign w:val="center"/>
          </w:tcPr>
          <w:p w14:paraId="2876DC73">
            <w:pPr>
              <w:ind w:firstLine="40"/>
              <w:jc w:val="center"/>
              <w:rPr>
                <w:sz w:val="2"/>
                <w:szCs w:val="2"/>
              </w:rPr>
            </w:pPr>
          </w:p>
        </w:tc>
        <w:tc>
          <w:tcPr>
            <w:tcW w:w="1382" w:type="pct"/>
            <w:gridSpan w:val="2"/>
            <w:vAlign w:val="center"/>
          </w:tcPr>
          <w:p w14:paraId="72F40104">
            <w:pPr>
              <w:pStyle w:val="228"/>
            </w:pPr>
            <w:r>
              <w:rPr>
                <w:rFonts w:hint="eastAsia"/>
              </w:rPr>
              <w:t>尾气治理设施</w:t>
            </w:r>
          </w:p>
        </w:tc>
        <w:tc>
          <w:tcPr>
            <w:tcW w:w="603" w:type="pct"/>
            <w:vAlign w:val="center"/>
          </w:tcPr>
          <w:p w14:paraId="15D7DD1C">
            <w:pPr>
              <w:pStyle w:val="228"/>
            </w:pPr>
            <w:r>
              <w:t>废活性炭</w:t>
            </w:r>
          </w:p>
        </w:tc>
        <w:tc>
          <w:tcPr>
            <w:tcW w:w="1991" w:type="pct"/>
            <w:gridSpan w:val="3"/>
            <w:vMerge w:val="continue"/>
            <w:vAlign w:val="center"/>
          </w:tcPr>
          <w:p w14:paraId="154A28F5">
            <w:pPr>
              <w:pStyle w:val="228"/>
              <w:rPr>
                <w:szCs w:val="21"/>
              </w:rPr>
            </w:pPr>
          </w:p>
        </w:tc>
        <w:tc>
          <w:tcPr>
            <w:tcW w:w="515" w:type="pct"/>
            <w:gridSpan w:val="2"/>
            <w:vMerge w:val="continue"/>
            <w:vAlign w:val="center"/>
          </w:tcPr>
          <w:p w14:paraId="5911F1CE">
            <w:pPr>
              <w:pStyle w:val="228"/>
              <w:spacing w:before="137"/>
              <w:ind w:left="25" w:hanging="24" w:hangingChars="12"/>
              <w:rPr>
                <w:w w:val="99"/>
              </w:rPr>
            </w:pPr>
          </w:p>
        </w:tc>
      </w:tr>
      <w:tr w14:paraId="027C426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0" w:type="dxa"/>
            <w:bottom w:w="0" w:type="dxa"/>
            <w:right w:w="0" w:type="dxa"/>
          </w:tblCellMar>
        </w:tblPrEx>
        <w:trPr>
          <w:trHeight w:val="90" w:hRule="atLeast"/>
          <w:jc w:val="center"/>
        </w:trPr>
        <w:tc>
          <w:tcPr>
            <w:tcW w:w="507" w:type="pct"/>
            <w:vMerge w:val="continue"/>
            <w:vAlign w:val="center"/>
          </w:tcPr>
          <w:p w14:paraId="753C056E">
            <w:pPr>
              <w:ind w:firstLine="40"/>
              <w:jc w:val="center"/>
              <w:rPr>
                <w:sz w:val="2"/>
                <w:szCs w:val="2"/>
              </w:rPr>
            </w:pPr>
          </w:p>
        </w:tc>
        <w:tc>
          <w:tcPr>
            <w:tcW w:w="1382" w:type="pct"/>
            <w:gridSpan w:val="2"/>
            <w:vAlign w:val="center"/>
          </w:tcPr>
          <w:p w14:paraId="1AA93E2E">
            <w:pPr>
              <w:pStyle w:val="228"/>
            </w:pPr>
            <w:r>
              <w:t>办公生活</w:t>
            </w:r>
          </w:p>
        </w:tc>
        <w:tc>
          <w:tcPr>
            <w:tcW w:w="603" w:type="pct"/>
            <w:vAlign w:val="center"/>
          </w:tcPr>
          <w:p w14:paraId="69C32FDE">
            <w:pPr>
              <w:pStyle w:val="228"/>
            </w:pPr>
            <w:r>
              <w:t>生活垃圾</w:t>
            </w:r>
          </w:p>
        </w:tc>
        <w:tc>
          <w:tcPr>
            <w:tcW w:w="1991" w:type="pct"/>
            <w:gridSpan w:val="3"/>
            <w:vAlign w:val="center"/>
          </w:tcPr>
          <w:p w14:paraId="00104A98">
            <w:pPr>
              <w:pStyle w:val="228"/>
            </w:pPr>
            <w:r>
              <w:rPr>
                <w:rFonts w:hint="eastAsia"/>
              </w:rPr>
              <w:t>收集后交由环卫部门处置</w:t>
            </w:r>
          </w:p>
        </w:tc>
        <w:tc>
          <w:tcPr>
            <w:tcW w:w="515" w:type="pct"/>
            <w:gridSpan w:val="2"/>
            <w:vAlign w:val="center"/>
          </w:tcPr>
          <w:p w14:paraId="0C0A4EC3">
            <w:pPr>
              <w:pStyle w:val="228"/>
            </w:pPr>
            <w:r>
              <w:t>/</w:t>
            </w:r>
          </w:p>
        </w:tc>
      </w:tr>
    </w:tbl>
    <w:p w14:paraId="3E52087B">
      <w:pPr>
        <w:pStyle w:val="3"/>
        <w:keepNext w:val="0"/>
        <w:keepLines w:val="0"/>
        <w:autoSpaceDE w:val="0"/>
        <w:autoSpaceDN w:val="0"/>
        <w:spacing w:before="0" w:after="0" w:line="360" w:lineRule="auto"/>
        <w:jc w:val="left"/>
        <w:rPr>
          <w:rFonts w:ascii="Times New Roman" w:hAnsi="Times New Roman" w:eastAsia="宋体"/>
          <w:kern w:val="0"/>
          <w:sz w:val="24"/>
          <w:szCs w:val="30"/>
          <w:lang w:val="en-US" w:bidi="zh-CN"/>
        </w:rPr>
      </w:pPr>
      <w:bookmarkStart w:id="138" w:name="_Toc17147"/>
      <w:r>
        <w:rPr>
          <w:rFonts w:hint="eastAsia" w:ascii="Times New Roman" w:hAnsi="Times New Roman" w:eastAsia="宋体"/>
          <w:kern w:val="0"/>
          <w:sz w:val="24"/>
          <w:szCs w:val="30"/>
          <w:lang w:val="en-US" w:bidi="zh-CN"/>
        </w:rPr>
        <w:t>3.3物料平衡及水平衡</w:t>
      </w:r>
      <w:bookmarkEnd w:id="138"/>
    </w:p>
    <w:p w14:paraId="6C1C389D">
      <w:pPr>
        <w:pStyle w:val="4"/>
        <w:autoSpaceDE w:val="0"/>
        <w:autoSpaceDN w:val="0"/>
        <w:spacing w:before="0" w:after="0" w:line="360" w:lineRule="auto"/>
        <w:jc w:val="left"/>
        <w:rPr>
          <w:kern w:val="0"/>
          <w:sz w:val="24"/>
          <w:lang w:val="en-US" w:bidi="zh-CN"/>
        </w:rPr>
      </w:pPr>
      <w:bookmarkStart w:id="139" w:name="_Toc11032"/>
      <w:bookmarkStart w:id="140" w:name="_Toc11517"/>
      <w:bookmarkStart w:id="141" w:name="_Toc18674"/>
      <w:bookmarkStart w:id="142" w:name="_Toc17248"/>
      <w:bookmarkStart w:id="143" w:name="_Toc3444"/>
      <w:bookmarkStart w:id="144" w:name="_Toc21883"/>
      <w:r>
        <w:rPr>
          <w:rFonts w:hint="eastAsia"/>
          <w:kern w:val="0"/>
          <w:sz w:val="24"/>
          <w:lang w:val="en-US" w:bidi="zh-CN"/>
        </w:rPr>
        <w:t>3.3.1物料平衡</w:t>
      </w:r>
      <w:bookmarkEnd w:id="139"/>
      <w:bookmarkEnd w:id="140"/>
      <w:bookmarkEnd w:id="141"/>
      <w:bookmarkEnd w:id="142"/>
      <w:bookmarkEnd w:id="143"/>
      <w:bookmarkEnd w:id="144"/>
    </w:p>
    <w:p w14:paraId="11B4C863">
      <w:pPr>
        <w:widowControl/>
        <w:spacing w:line="360" w:lineRule="auto"/>
        <w:ind w:firstLine="480" w:firstLineChars="200"/>
        <w:rPr>
          <w:color w:val="000000"/>
          <w:sz w:val="24"/>
          <w:szCs w:val="24"/>
        </w:rPr>
      </w:pPr>
      <w:r>
        <w:rPr>
          <w:rFonts w:hint="eastAsia"/>
          <w:color w:val="000000"/>
          <w:sz w:val="24"/>
          <w:szCs w:val="24"/>
        </w:rPr>
        <w:t>项目各生产线物料平衡情况详见表3.3-1、图3.3-1、图3.1-2。</w:t>
      </w:r>
    </w:p>
    <w:p w14:paraId="3B47225E">
      <w:pPr>
        <w:widowControl/>
        <w:jc w:val="center"/>
        <w:rPr>
          <w:rFonts w:hint="eastAsia"/>
          <w:b/>
          <w:bCs/>
          <w:color w:val="000000"/>
          <w:szCs w:val="21"/>
        </w:rPr>
      </w:pPr>
    </w:p>
    <w:p w14:paraId="15024535">
      <w:pPr>
        <w:widowControl/>
        <w:jc w:val="center"/>
        <w:rPr>
          <w:rFonts w:hint="eastAsia"/>
          <w:b/>
          <w:bCs/>
          <w:color w:val="000000"/>
          <w:szCs w:val="21"/>
        </w:rPr>
      </w:pPr>
    </w:p>
    <w:p w14:paraId="28AFD19A">
      <w:pPr>
        <w:widowControl/>
        <w:jc w:val="center"/>
        <w:rPr>
          <w:rFonts w:hint="eastAsia"/>
          <w:b/>
          <w:bCs/>
          <w:color w:val="000000"/>
          <w:szCs w:val="21"/>
        </w:rPr>
      </w:pPr>
    </w:p>
    <w:p w14:paraId="1E34C723">
      <w:pPr>
        <w:widowControl/>
        <w:jc w:val="center"/>
        <w:rPr>
          <w:rFonts w:hint="eastAsia"/>
          <w:b/>
          <w:bCs/>
          <w:color w:val="000000"/>
          <w:szCs w:val="21"/>
        </w:rPr>
      </w:pPr>
    </w:p>
    <w:p w14:paraId="3CD9E37F">
      <w:pPr>
        <w:widowControl/>
        <w:jc w:val="center"/>
        <w:rPr>
          <w:rFonts w:hint="eastAsia"/>
          <w:b/>
          <w:bCs/>
          <w:color w:val="000000"/>
          <w:szCs w:val="21"/>
        </w:rPr>
      </w:pPr>
    </w:p>
    <w:p w14:paraId="74E580E0">
      <w:pPr>
        <w:widowControl/>
        <w:jc w:val="center"/>
        <w:rPr>
          <w:b/>
          <w:bCs/>
          <w:color w:val="000000"/>
          <w:szCs w:val="21"/>
        </w:rPr>
      </w:pPr>
      <w:r>
        <w:rPr>
          <w:rFonts w:hint="eastAsia"/>
          <w:b/>
          <w:bCs/>
          <w:color w:val="000000"/>
          <w:szCs w:val="21"/>
        </w:rPr>
        <w:t>表3.3-1    物料平衡情况</w:t>
      </w:r>
    </w:p>
    <w:tbl>
      <w:tblPr>
        <w:tblStyle w:val="49"/>
        <w:tblW w:w="4909" w:type="pct"/>
        <w:jc w:val="cente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autofit"/>
        <w:tblCellMar>
          <w:top w:w="0" w:type="dxa"/>
          <w:left w:w="108" w:type="dxa"/>
          <w:bottom w:w="0" w:type="dxa"/>
          <w:right w:w="108" w:type="dxa"/>
        </w:tblCellMar>
      </w:tblPr>
      <w:tblGrid>
        <w:gridCol w:w="3933"/>
        <w:gridCol w:w="1395"/>
        <w:gridCol w:w="1404"/>
        <w:gridCol w:w="1214"/>
        <w:gridCol w:w="1173"/>
      </w:tblGrid>
      <w:tr w14:paraId="678796CE">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51" w:hRule="atLeast"/>
          <w:jc w:val="center"/>
        </w:trPr>
        <w:tc>
          <w:tcPr>
            <w:tcW w:w="3695" w:type="pct"/>
            <w:gridSpan w:val="3"/>
            <w:vAlign w:val="center"/>
          </w:tcPr>
          <w:p w14:paraId="238E1A7F">
            <w:pPr>
              <w:pStyle w:val="240"/>
              <w:rPr>
                <w:rFonts w:hint="default"/>
                <w:color w:val="auto"/>
              </w:rPr>
            </w:pPr>
            <w:r>
              <w:rPr>
                <w:color w:val="auto"/>
              </w:rPr>
              <w:t>净投入（t/a）</w:t>
            </w:r>
          </w:p>
        </w:tc>
        <w:tc>
          <w:tcPr>
            <w:tcW w:w="1304" w:type="pct"/>
            <w:gridSpan w:val="2"/>
            <w:vAlign w:val="center"/>
          </w:tcPr>
          <w:p w14:paraId="1D9B3D33">
            <w:pPr>
              <w:pStyle w:val="240"/>
              <w:rPr>
                <w:rFonts w:hint="default"/>
                <w:color w:val="auto"/>
              </w:rPr>
            </w:pPr>
            <w:r>
              <w:rPr>
                <w:color w:val="auto"/>
              </w:rPr>
              <w:t>净产出（t/a）</w:t>
            </w:r>
          </w:p>
        </w:tc>
      </w:tr>
      <w:tr w14:paraId="1AFADE5E">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38" w:hRule="atLeast"/>
          <w:jc w:val="center"/>
        </w:trPr>
        <w:tc>
          <w:tcPr>
            <w:tcW w:w="2158" w:type="pct"/>
            <w:vAlign w:val="center"/>
          </w:tcPr>
          <w:p w14:paraId="57B14F66">
            <w:pPr>
              <w:jc w:val="center"/>
              <w:rPr>
                <w:szCs w:val="21"/>
              </w:rPr>
            </w:pPr>
            <w:r>
              <w:rPr>
                <w:szCs w:val="21"/>
              </w:rPr>
              <w:t>品种</w:t>
            </w:r>
          </w:p>
        </w:tc>
        <w:tc>
          <w:tcPr>
            <w:tcW w:w="766" w:type="pct"/>
            <w:vAlign w:val="center"/>
          </w:tcPr>
          <w:p w14:paraId="483FF1D7">
            <w:pPr>
              <w:jc w:val="center"/>
              <w:rPr>
                <w:szCs w:val="21"/>
              </w:rPr>
            </w:pPr>
            <w:r>
              <w:rPr>
                <w:szCs w:val="21"/>
              </w:rPr>
              <w:t>数量</w:t>
            </w:r>
          </w:p>
        </w:tc>
        <w:tc>
          <w:tcPr>
            <w:tcW w:w="769" w:type="pct"/>
            <w:vAlign w:val="center"/>
          </w:tcPr>
          <w:p w14:paraId="582DB3A0">
            <w:pPr>
              <w:jc w:val="center"/>
              <w:rPr>
                <w:szCs w:val="21"/>
              </w:rPr>
            </w:pPr>
            <w:r>
              <w:rPr>
                <w:szCs w:val="21"/>
              </w:rPr>
              <w:t>品种</w:t>
            </w:r>
          </w:p>
        </w:tc>
        <w:tc>
          <w:tcPr>
            <w:tcW w:w="661" w:type="pct"/>
            <w:vAlign w:val="center"/>
          </w:tcPr>
          <w:p w14:paraId="6C50D7E4">
            <w:pPr>
              <w:jc w:val="center"/>
              <w:rPr>
                <w:szCs w:val="21"/>
              </w:rPr>
            </w:pPr>
            <w:r>
              <w:rPr>
                <w:szCs w:val="21"/>
              </w:rPr>
              <w:t>数量</w:t>
            </w:r>
          </w:p>
        </w:tc>
        <w:tc>
          <w:tcPr>
            <w:tcW w:w="643" w:type="pct"/>
            <w:vAlign w:val="center"/>
          </w:tcPr>
          <w:p w14:paraId="74772CB4">
            <w:pPr>
              <w:jc w:val="center"/>
              <w:rPr>
                <w:szCs w:val="21"/>
              </w:rPr>
            </w:pPr>
            <w:r>
              <w:rPr>
                <w:rFonts w:hint="eastAsia"/>
                <w:szCs w:val="21"/>
              </w:rPr>
              <w:t>备注</w:t>
            </w:r>
          </w:p>
        </w:tc>
      </w:tr>
      <w:tr w14:paraId="77573EFB">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41" w:hRule="atLeast"/>
          <w:jc w:val="center"/>
        </w:trPr>
        <w:tc>
          <w:tcPr>
            <w:tcW w:w="5000" w:type="pct"/>
            <w:gridSpan w:val="5"/>
            <w:vAlign w:val="center"/>
          </w:tcPr>
          <w:p w14:paraId="2531820F">
            <w:pPr>
              <w:jc w:val="center"/>
              <w:rPr>
                <w:szCs w:val="21"/>
              </w:rPr>
            </w:pPr>
            <w:r>
              <w:rPr>
                <w:rFonts w:hint="eastAsia"/>
                <w:szCs w:val="21"/>
              </w:rPr>
              <w:t>造粒</w:t>
            </w:r>
          </w:p>
        </w:tc>
      </w:tr>
      <w:tr w14:paraId="4021B7FC">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658" w:hRule="atLeast"/>
          <w:jc w:val="center"/>
        </w:trPr>
        <w:tc>
          <w:tcPr>
            <w:tcW w:w="2158" w:type="pct"/>
            <w:vAlign w:val="center"/>
          </w:tcPr>
          <w:p w14:paraId="6918129A">
            <w:pPr>
              <w:jc w:val="center"/>
              <w:rPr>
                <w:szCs w:val="21"/>
              </w:rPr>
            </w:pPr>
            <w:r>
              <w:t>利用距离本项目东侧6.93km处的本公司2024年8月建成投入使用的地膜回收分拣、破碎清选后的废旧地膜</w:t>
            </w:r>
          </w:p>
        </w:tc>
        <w:tc>
          <w:tcPr>
            <w:tcW w:w="766" w:type="pct"/>
            <w:vAlign w:val="center"/>
          </w:tcPr>
          <w:p w14:paraId="5B8E7BAE">
            <w:pPr>
              <w:jc w:val="center"/>
              <w:rPr>
                <w:szCs w:val="21"/>
              </w:rPr>
            </w:pPr>
            <w:r>
              <w:rPr>
                <w:rFonts w:hint="eastAsia"/>
                <w:szCs w:val="21"/>
              </w:rPr>
              <w:t>5500</w:t>
            </w:r>
          </w:p>
        </w:tc>
        <w:tc>
          <w:tcPr>
            <w:tcW w:w="769" w:type="pct"/>
            <w:vAlign w:val="center"/>
          </w:tcPr>
          <w:p w14:paraId="042BA4F8">
            <w:pPr>
              <w:jc w:val="center"/>
              <w:rPr>
                <w:szCs w:val="21"/>
              </w:rPr>
            </w:pPr>
            <w:r>
              <w:rPr>
                <w:rFonts w:hint="eastAsia"/>
                <w:szCs w:val="21"/>
              </w:rPr>
              <w:t>再生聚乙烯颗粒</w:t>
            </w:r>
          </w:p>
        </w:tc>
        <w:tc>
          <w:tcPr>
            <w:tcW w:w="661" w:type="pct"/>
            <w:vAlign w:val="center"/>
          </w:tcPr>
          <w:p w14:paraId="19648102">
            <w:pPr>
              <w:jc w:val="center"/>
              <w:rPr>
                <w:rFonts w:hint="default" w:eastAsia="宋体"/>
                <w:szCs w:val="21"/>
                <w:lang w:val="en-US" w:eastAsia="zh-CN"/>
              </w:rPr>
            </w:pPr>
            <w:r>
              <w:rPr>
                <w:rFonts w:hint="eastAsia"/>
                <w:szCs w:val="21"/>
              </w:rPr>
              <w:t>54</w:t>
            </w:r>
            <w:r>
              <w:rPr>
                <w:rFonts w:hint="eastAsia"/>
                <w:szCs w:val="21"/>
                <w:lang w:val="en-US" w:eastAsia="zh-CN"/>
              </w:rPr>
              <w:t>98.075</w:t>
            </w:r>
          </w:p>
        </w:tc>
        <w:tc>
          <w:tcPr>
            <w:tcW w:w="643" w:type="pct"/>
            <w:vAlign w:val="center"/>
          </w:tcPr>
          <w:p w14:paraId="3FB5E512">
            <w:pPr>
              <w:jc w:val="center"/>
              <w:rPr>
                <w:szCs w:val="21"/>
              </w:rPr>
            </w:pPr>
            <w:r>
              <w:rPr>
                <w:rFonts w:hint="eastAsia"/>
                <w:bCs/>
                <w:szCs w:val="21"/>
              </w:rPr>
              <w:t>中间产品</w:t>
            </w:r>
          </w:p>
        </w:tc>
      </w:tr>
      <w:tr w14:paraId="0EF8E69E">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21" w:hRule="atLeast"/>
          <w:jc w:val="center"/>
        </w:trPr>
        <w:tc>
          <w:tcPr>
            <w:tcW w:w="2158" w:type="pct"/>
            <w:vAlign w:val="center"/>
          </w:tcPr>
          <w:p w14:paraId="7DB3F1A1">
            <w:pPr>
              <w:jc w:val="center"/>
              <w:rPr>
                <w:szCs w:val="21"/>
              </w:rPr>
            </w:pPr>
          </w:p>
        </w:tc>
        <w:tc>
          <w:tcPr>
            <w:tcW w:w="766" w:type="pct"/>
            <w:vAlign w:val="center"/>
          </w:tcPr>
          <w:p w14:paraId="7B49A0F4">
            <w:pPr>
              <w:jc w:val="center"/>
              <w:rPr>
                <w:szCs w:val="21"/>
              </w:rPr>
            </w:pPr>
          </w:p>
        </w:tc>
        <w:tc>
          <w:tcPr>
            <w:tcW w:w="769" w:type="pct"/>
            <w:vAlign w:val="center"/>
          </w:tcPr>
          <w:p w14:paraId="52B09DF6">
            <w:pPr>
              <w:jc w:val="center"/>
              <w:rPr>
                <w:szCs w:val="21"/>
              </w:rPr>
            </w:pPr>
            <w:r>
              <w:rPr>
                <w:rFonts w:hint="eastAsia"/>
                <w:szCs w:val="21"/>
              </w:rPr>
              <w:t>非甲烷总烃</w:t>
            </w:r>
          </w:p>
        </w:tc>
        <w:tc>
          <w:tcPr>
            <w:tcW w:w="661" w:type="pct"/>
            <w:vAlign w:val="center"/>
          </w:tcPr>
          <w:p w14:paraId="5CA8C0CE">
            <w:pPr>
              <w:jc w:val="center"/>
              <w:rPr>
                <w:rFonts w:hint="default" w:eastAsia="宋体"/>
                <w:szCs w:val="21"/>
                <w:lang w:val="en-US" w:eastAsia="zh-CN"/>
              </w:rPr>
            </w:pPr>
            <w:r>
              <w:rPr>
                <w:rFonts w:hint="eastAsia"/>
                <w:szCs w:val="21"/>
                <w:lang w:val="en-US" w:eastAsia="zh-CN"/>
              </w:rPr>
              <w:t>1.925</w:t>
            </w:r>
          </w:p>
        </w:tc>
        <w:tc>
          <w:tcPr>
            <w:tcW w:w="643" w:type="pct"/>
            <w:vAlign w:val="center"/>
          </w:tcPr>
          <w:p w14:paraId="50F981E4">
            <w:pPr>
              <w:jc w:val="center"/>
              <w:rPr>
                <w:szCs w:val="21"/>
              </w:rPr>
            </w:pPr>
            <w:r>
              <w:rPr>
                <w:rFonts w:hint="eastAsia"/>
                <w:bCs/>
                <w:szCs w:val="21"/>
              </w:rPr>
              <w:t>废气</w:t>
            </w:r>
          </w:p>
        </w:tc>
      </w:tr>
      <w:tr w14:paraId="0842261B">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21" w:hRule="atLeast"/>
          <w:jc w:val="center"/>
        </w:trPr>
        <w:tc>
          <w:tcPr>
            <w:tcW w:w="2158" w:type="pct"/>
            <w:vAlign w:val="center"/>
          </w:tcPr>
          <w:p w14:paraId="7DB3E641">
            <w:pPr>
              <w:jc w:val="center"/>
              <w:rPr>
                <w:szCs w:val="21"/>
              </w:rPr>
            </w:pPr>
            <w:r>
              <w:rPr>
                <w:rFonts w:hint="eastAsia"/>
                <w:szCs w:val="21"/>
              </w:rPr>
              <w:t>合计</w:t>
            </w:r>
          </w:p>
        </w:tc>
        <w:tc>
          <w:tcPr>
            <w:tcW w:w="766" w:type="pct"/>
            <w:vAlign w:val="center"/>
          </w:tcPr>
          <w:p w14:paraId="799547EB">
            <w:pPr>
              <w:jc w:val="center"/>
              <w:rPr>
                <w:bCs/>
                <w:szCs w:val="21"/>
              </w:rPr>
            </w:pPr>
            <w:r>
              <w:rPr>
                <w:rFonts w:hint="eastAsia"/>
                <w:szCs w:val="21"/>
              </w:rPr>
              <w:t>5500</w:t>
            </w:r>
          </w:p>
        </w:tc>
        <w:tc>
          <w:tcPr>
            <w:tcW w:w="769" w:type="pct"/>
            <w:vAlign w:val="center"/>
          </w:tcPr>
          <w:p w14:paraId="6EF4E965">
            <w:pPr>
              <w:jc w:val="center"/>
              <w:rPr>
                <w:bCs/>
                <w:szCs w:val="21"/>
              </w:rPr>
            </w:pPr>
          </w:p>
        </w:tc>
        <w:tc>
          <w:tcPr>
            <w:tcW w:w="661" w:type="pct"/>
            <w:vAlign w:val="center"/>
          </w:tcPr>
          <w:p w14:paraId="44AABE9A">
            <w:pPr>
              <w:jc w:val="center"/>
              <w:rPr>
                <w:bCs/>
                <w:szCs w:val="21"/>
              </w:rPr>
            </w:pPr>
            <w:r>
              <w:rPr>
                <w:rFonts w:hint="eastAsia"/>
                <w:bCs/>
                <w:szCs w:val="21"/>
              </w:rPr>
              <w:t>5500</w:t>
            </w:r>
          </w:p>
        </w:tc>
        <w:tc>
          <w:tcPr>
            <w:tcW w:w="643" w:type="pct"/>
            <w:vAlign w:val="center"/>
          </w:tcPr>
          <w:p w14:paraId="655EFDF9">
            <w:pPr>
              <w:jc w:val="center"/>
              <w:rPr>
                <w:szCs w:val="21"/>
              </w:rPr>
            </w:pPr>
          </w:p>
        </w:tc>
      </w:tr>
      <w:tr w14:paraId="1AB2A21B">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21" w:hRule="atLeast"/>
          <w:jc w:val="center"/>
        </w:trPr>
        <w:tc>
          <w:tcPr>
            <w:tcW w:w="5000" w:type="pct"/>
            <w:gridSpan w:val="5"/>
            <w:vAlign w:val="center"/>
          </w:tcPr>
          <w:p w14:paraId="6CBC9BD1">
            <w:pPr>
              <w:jc w:val="center"/>
              <w:rPr>
                <w:bCs/>
                <w:szCs w:val="21"/>
              </w:rPr>
            </w:pPr>
            <w:r>
              <w:rPr>
                <w:bCs/>
                <w:szCs w:val="21"/>
              </w:rPr>
              <w:t>滴灌带</w:t>
            </w:r>
          </w:p>
        </w:tc>
      </w:tr>
      <w:tr w14:paraId="2C62568D">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21" w:hRule="atLeast"/>
          <w:jc w:val="center"/>
        </w:trPr>
        <w:tc>
          <w:tcPr>
            <w:tcW w:w="2158" w:type="pct"/>
            <w:vAlign w:val="center"/>
          </w:tcPr>
          <w:p w14:paraId="52019EFA">
            <w:pPr>
              <w:jc w:val="center"/>
              <w:rPr>
                <w:szCs w:val="21"/>
              </w:rPr>
            </w:pPr>
            <w:r>
              <w:rPr>
                <w:rFonts w:hint="eastAsia"/>
                <w:szCs w:val="21"/>
              </w:rPr>
              <w:t>再生颗粒</w:t>
            </w:r>
          </w:p>
        </w:tc>
        <w:tc>
          <w:tcPr>
            <w:tcW w:w="766" w:type="pct"/>
            <w:vAlign w:val="center"/>
          </w:tcPr>
          <w:p w14:paraId="233CCD5D">
            <w:pPr>
              <w:jc w:val="center"/>
              <w:rPr>
                <w:rFonts w:hint="default" w:eastAsia="宋体"/>
                <w:bCs/>
                <w:szCs w:val="21"/>
                <w:lang w:val="en-US" w:eastAsia="zh-CN"/>
              </w:rPr>
            </w:pPr>
            <w:r>
              <w:rPr>
                <w:rFonts w:hint="eastAsia"/>
                <w:bCs/>
                <w:szCs w:val="21"/>
              </w:rPr>
              <w:t>54</w:t>
            </w:r>
            <w:r>
              <w:rPr>
                <w:rFonts w:hint="eastAsia"/>
                <w:bCs/>
                <w:szCs w:val="21"/>
                <w:lang w:val="en-US" w:eastAsia="zh-CN"/>
              </w:rPr>
              <w:t>98.075</w:t>
            </w:r>
          </w:p>
        </w:tc>
        <w:tc>
          <w:tcPr>
            <w:tcW w:w="769" w:type="pct"/>
            <w:vAlign w:val="center"/>
          </w:tcPr>
          <w:p w14:paraId="6E9F3BE1">
            <w:pPr>
              <w:jc w:val="center"/>
              <w:rPr>
                <w:bCs/>
                <w:szCs w:val="21"/>
              </w:rPr>
            </w:pPr>
            <w:r>
              <w:rPr>
                <w:rFonts w:hint="eastAsia"/>
                <w:bCs/>
                <w:szCs w:val="21"/>
              </w:rPr>
              <w:t>滴灌带</w:t>
            </w:r>
          </w:p>
        </w:tc>
        <w:tc>
          <w:tcPr>
            <w:tcW w:w="661" w:type="pct"/>
            <w:vAlign w:val="center"/>
          </w:tcPr>
          <w:p w14:paraId="6DC9116F">
            <w:pPr>
              <w:jc w:val="center"/>
              <w:rPr>
                <w:rFonts w:ascii="Times New Roman" w:hAnsi="Times New Roman" w:cs="Times New Roman"/>
                <w:bCs/>
                <w:kern w:val="2"/>
                <w:sz w:val="21"/>
                <w:szCs w:val="21"/>
              </w:rPr>
            </w:pPr>
            <w:r>
              <w:rPr>
                <w:rFonts w:hint="eastAsia"/>
                <w:bCs/>
                <w:szCs w:val="21"/>
              </w:rPr>
              <w:t>9995</w:t>
            </w:r>
          </w:p>
        </w:tc>
        <w:tc>
          <w:tcPr>
            <w:tcW w:w="643" w:type="pct"/>
            <w:vAlign w:val="center"/>
          </w:tcPr>
          <w:p w14:paraId="55AEC257">
            <w:pPr>
              <w:jc w:val="center"/>
              <w:rPr>
                <w:bCs/>
                <w:color w:val="000000"/>
                <w:szCs w:val="21"/>
              </w:rPr>
            </w:pPr>
            <w:r>
              <w:rPr>
                <w:rFonts w:hint="eastAsia"/>
                <w:bCs/>
                <w:color w:val="000000"/>
                <w:szCs w:val="21"/>
              </w:rPr>
              <w:t>产品</w:t>
            </w:r>
          </w:p>
        </w:tc>
      </w:tr>
      <w:tr w14:paraId="161FBA2C">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658" w:hRule="atLeast"/>
          <w:jc w:val="center"/>
        </w:trPr>
        <w:tc>
          <w:tcPr>
            <w:tcW w:w="2158" w:type="pct"/>
            <w:vAlign w:val="center"/>
          </w:tcPr>
          <w:p w14:paraId="539F3BFC">
            <w:pPr>
              <w:jc w:val="center"/>
              <w:rPr>
                <w:bCs/>
                <w:szCs w:val="21"/>
              </w:rPr>
            </w:pPr>
            <w:r>
              <w:rPr>
                <w:szCs w:val="21"/>
              </w:rPr>
              <w:t>聚乙烯颗粒</w:t>
            </w:r>
            <w:r>
              <w:rPr>
                <w:rFonts w:hint="eastAsia"/>
                <w:szCs w:val="21"/>
              </w:rPr>
              <w:t>（新料）</w:t>
            </w:r>
          </w:p>
        </w:tc>
        <w:tc>
          <w:tcPr>
            <w:tcW w:w="766" w:type="pct"/>
            <w:vAlign w:val="center"/>
          </w:tcPr>
          <w:p w14:paraId="1ECD0771">
            <w:pPr>
              <w:jc w:val="center"/>
              <w:rPr>
                <w:bCs/>
                <w:szCs w:val="21"/>
              </w:rPr>
            </w:pPr>
            <w:r>
              <w:rPr>
                <w:rFonts w:hint="eastAsia"/>
                <w:bCs/>
                <w:szCs w:val="21"/>
              </w:rPr>
              <w:t>3519</w:t>
            </w:r>
          </w:p>
        </w:tc>
        <w:tc>
          <w:tcPr>
            <w:tcW w:w="769" w:type="pct"/>
            <w:vAlign w:val="center"/>
          </w:tcPr>
          <w:p w14:paraId="3AA34C2C">
            <w:pPr>
              <w:jc w:val="center"/>
              <w:rPr>
                <w:bCs/>
                <w:szCs w:val="21"/>
              </w:rPr>
            </w:pPr>
            <w:bookmarkStart w:id="145" w:name="_Hlk209952307"/>
            <w:r>
              <w:rPr>
                <w:rFonts w:hint="eastAsia"/>
                <w:szCs w:val="21"/>
              </w:rPr>
              <w:t>不合格品、</w:t>
            </w:r>
            <w:r>
              <w:rPr>
                <w:bCs/>
                <w:szCs w:val="21"/>
              </w:rPr>
              <w:t>残次品及边角废料</w:t>
            </w:r>
            <w:bookmarkEnd w:id="145"/>
          </w:p>
        </w:tc>
        <w:tc>
          <w:tcPr>
            <w:tcW w:w="661" w:type="pct"/>
            <w:vAlign w:val="center"/>
          </w:tcPr>
          <w:p w14:paraId="25AE10D3">
            <w:pPr>
              <w:jc w:val="center"/>
              <w:rPr>
                <w:rFonts w:hint="default" w:eastAsia="宋体"/>
                <w:bCs/>
                <w:szCs w:val="21"/>
                <w:lang w:val="en-US" w:eastAsia="zh-CN"/>
              </w:rPr>
            </w:pPr>
            <w:r>
              <w:rPr>
                <w:rFonts w:hint="eastAsia"/>
                <w:bCs/>
                <w:szCs w:val="21"/>
                <w:lang w:val="en-US" w:eastAsia="zh-CN"/>
              </w:rPr>
              <w:t>29.985</w:t>
            </w:r>
          </w:p>
        </w:tc>
        <w:tc>
          <w:tcPr>
            <w:tcW w:w="643" w:type="pct"/>
            <w:vAlign w:val="center"/>
          </w:tcPr>
          <w:p w14:paraId="21C82427">
            <w:pPr>
              <w:jc w:val="center"/>
              <w:rPr>
                <w:bCs/>
                <w:color w:val="000000"/>
                <w:szCs w:val="21"/>
              </w:rPr>
            </w:pPr>
            <w:r>
              <w:rPr>
                <w:rFonts w:hint="eastAsia"/>
                <w:bCs/>
                <w:color w:val="000000"/>
                <w:szCs w:val="21"/>
              </w:rPr>
              <w:t>固废</w:t>
            </w:r>
          </w:p>
        </w:tc>
      </w:tr>
      <w:tr w14:paraId="260A660A">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21" w:hRule="atLeast"/>
          <w:jc w:val="center"/>
        </w:trPr>
        <w:tc>
          <w:tcPr>
            <w:tcW w:w="2158" w:type="pct"/>
            <w:vAlign w:val="center"/>
          </w:tcPr>
          <w:p w14:paraId="5A35E0D5">
            <w:pPr>
              <w:jc w:val="center"/>
              <w:rPr>
                <w:bCs/>
                <w:szCs w:val="21"/>
              </w:rPr>
            </w:pPr>
            <w:r>
              <w:rPr>
                <w:bCs/>
                <w:szCs w:val="21"/>
              </w:rPr>
              <w:t>黑色母粒500s</w:t>
            </w:r>
          </w:p>
        </w:tc>
        <w:tc>
          <w:tcPr>
            <w:tcW w:w="766" w:type="pct"/>
            <w:vAlign w:val="center"/>
          </w:tcPr>
          <w:p w14:paraId="5FFF23B8">
            <w:pPr>
              <w:jc w:val="center"/>
              <w:rPr>
                <w:rFonts w:hint="default"/>
                <w:bCs/>
                <w:szCs w:val="21"/>
                <w:lang w:val="en-US" w:bidi="zh-CN"/>
              </w:rPr>
            </w:pPr>
            <w:r>
              <w:rPr>
                <w:rFonts w:hint="eastAsia"/>
                <w:bCs/>
                <w:szCs w:val="21"/>
                <w:lang w:val="en-US" w:bidi="zh-CN"/>
              </w:rPr>
              <w:t>511.4513</w:t>
            </w:r>
          </w:p>
        </w:tc>
        <w:tc>
          <w:tcPr>
            <w:tcW w:w="769" w:type="pct"/>
            <w:vAlign w:val="center"/>
          </w:tcPr>
          <w:p w14:paraId="5A0A299A">
            <w:pPr>
              <w:jc w:val="center"/>
              <w:rPr>
                <w:bCs/>
                <w:szCs w:val="21"/>
              </w:rPr>
            </w:pPr>
            <w:r>
              <w:rPr>
                <w:rFonts w:hint="eastAsia"/>
                <w:bCs/>
                <w:szCs w:val="21"/>
              </w:rPr>
              <w:t>非甲烷总烃</w:t>
            </w:r>
          </w:p>
        </w:tc>
        <w:tc>
          <w:tcPr>
            <w:tcW w:w="661" w:type="pct"/>
            <w:vAlign w:val="center"/>
          </w:tcPr>
          <w:p w14:paraId="52EAD807">
            <w:pPr>
              <w:jc w:val="center"/>
              <w:rPr>
                <w:rFonts w:hint="default" w:eastAsia="宋体"/>
                <w:bCs/>
                <w:szCs w:val="21"/>
                <w:lang w:val="en-US" w:eastAsia="zh-CN"/>
              </w:rPr>
            </w:pPr>
            <w:r>
              <w:rPr>
                <w:rFonts w:hint="eastAsia"/>
                <w:bCs/>
                <w:szCs w:val="21"/>
                <w:lang w:val="en-US" w:eastAsia="zh-CN"/>
              </w:rPr>
              <w:t>14.9925</w:t>
            </w:r>
          </w:p>
        </w:tc>
        <w:tc>
          <w:tcPr>
            <w:tcW w:w="643" w:type="pct"/>
            <w:vAlign w:val="center"/>
          </w:tcPr>
          <w:p w14:paraId="166E71A4">
            <w:pPr>
              <w:jc w:val="center"/>
              <w:rPr>
                <w:bCs/>
                <w:color w:val="000000"/>
                <w:szCs w:val="21"/>
              </w:rPr>
            </w:pPr>
            <w:r>
              <w:rPr>
                <w:rFonts w:hint="eastAsia"/>
                <w:bCs/>
                <w:color w:val="000000"/>
                <w:szCs w:val="21"/>
              </w:rPr>
              <w:t>废气</w:t>
            </w:r>
          </w:p>
        </w:tc>
      </w:tr>
      <w:tr w14:paraId="012712E4">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21" w:hRule="atLeast"/>
          <w:jc w:val="center"/>
        </w:trPr>
        <w:tc>
          <w:tcPr>
            <w:tcW w:w="2158" w:type="pct"/>
            <w:vAlign w:val="center"/>
          </w:tcPr>
          <w:p w14:paraId="77F94FB7">
            <w:pPr>
              <w:jc w:val="center"/>
              <w:rPr>
                <w:bCs/>
                <w:szCs w:val="21"/>
              </w:rPr>
            </w:pPr>
            <w:r>
              <w:rPr>
                <w:rFonts w:hint="eastAsia"/>
                <w:bCs/>
                <w:szCs w:val="21"/>
              </w:rPr>
              <w:t>抗老化剂</w:t>
            </w:r>
          </w:p>
        </w:tc>
        <w:tc>
          <w:tcPr>
            <w:tcW w:w="766" w:type="pct"/>
            <w:vAlign w:val="center"/>
          </w:tcPr>
          <w:p w14:paraId="327427A0">
            <w:pPr>
              <w:jc w:val="center"/>
              <w:rPr>
                <w:bCs/>
                <w:szCs w:val="21"/>
                <w:lang w:bidi="zh-CN"/>
              </w:rPr>
            </w:pPr>
            <w:r>
              <w:rPr>
                <w:rFonts w:hint="eastAsia"/>
                <w:bCs/>
                <w:szCs w:val="21"/>
                <w:lang w:val="en-US" w:bidi="zh-CN"/>
              </w:rPr>
              <w:t>511.4512</w:t>
            </w:r>
          </w:p>
        </w:tc>
        <w:tc>
          <w:tcPr>
            <w:tcW w:w="769" w:type="pct"/>
            <w:vAlign w:val="center"/>
          </w:tcPr>
          <w:p w14:paraId="2D21009D">
            <w:pPr>
              <w:jc w:val="center"/>
              <w:rPr>
                <w:bCs/>
                <w:szCs w:val="21"/>
              </w:rPr>
            </w:pPr>
          </w:p>
        </w:tc>
        <w:tc>
          <w:tcPr>
            <w:tcW w:w="661" w:type="pct"/>
            <w:vAlign w:val="center"/>
          </w:tcPr>
          <w:p w14:paraId="6621588E">
            <w:pPr>
              <w:jc w:val="center"/>
              <w:rPr>
                <w:bCs/>
                <w:szCs w:val="21"/>
              </w:rPr>
            </w:pPr>
          </w:p>
        </w:tc>
        <w:tc>
          <w:tcPr>
            <w:tcW w:w="643" w:type="pct"/>
            <w:vAlign w:val="center"/>
          </w:tcPr>
          <w:p w14:paraId="284F3167">
            <w:pPr>
              <w:jc w:val="center"/>
              <w:rPr>
                <w:bCs/>
                <w:color w:val="000000"/>
                <w:szCs w:val="21"/>
              </w:rPr>
            </w:pPr>
          </w:p>
        </w:tc>
      </w:tr>
      <w:tr w14:paraId="08F9FCC4">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58" w:hRule="atLeast"/>
          <w:jc w:val="center"/>
        </w:trPr>
        <w:tc>
          <w:tcPr>
            <w:tcW w:w="2158" w:type="pct"/>
            <w:vAlign w:val="center"/>
          </w:tcPr>
          <w:p w14:paraId="530C5978">
            <w:pPr>
              <w:jc w:val="center"/>
              <w:rPr>
                <w:bCs/>
                <w:szCs w:val="21"/>
              </w:rPr>
            </w:pPr>
            <w:r>
              <w:rPr>
                <w:bCs/>
                <w:szCs w:val="21"/>
              </w:rPr>
              <w:t>合计</w:t>
            </w:r>
          </w:p>
        </w:tc>
        <w:tc>
          <w:tcPr>
            <w:tcW w:w="766" w:type="pct"/>
            <w:vAlign w:val="center"/>
          </w:tcPr>
          <w:p w14:paraId="77D4FA6D">
            <w:pPr>
              <w:jc w:val="center"/>
              <w:rPr>
                <w:rFonts w:hint="eastAsia" w:ascii="Times New Roman" w:hAnsi="Times New Roman" w:eastAsia="宋体" w:cs="Times New Roman"/>
                <w:bCs/>
                <w:szCs w:val="21"/>
                <w:lang w:val="en-US" w:eastAsia="zh-CN"/>
              </w:rPr>
            </w:pPr>
            <w:r>
              <w:rPr>
                <w:rFonts w:hint="eastAsia"/>
                <w:bCs/>
                <w:szCs w:val="21"/>
              </w:rPr>
              <w:t>10</w:t>
            </w:r>
            <w:r>
              <w:rPr>
                <w:rFonts w:hint="eastAsia" w:ascii="Times New Roman" w:hAnsi="Times New Roman" w:eastAsia="宋体" w:cs="Times New Roman"/>
                <w:bCs/>
                <w:szCs w:val="21"/>
                <w:lang w:val="en-US" w:eastAsia="zh-CN"/>
              </w:rPr>
              <w:t>039.9775</w:t>
            </w:r>
          </w:p>
          <w:p w14:paraId="0B9E77A6">
            <w:pPr>
              <w:jc w:val="center"/>
              <w:rPr>
                <w:bCs/>
                <w:szCs w:val="21"/>
              </w:rPr>
            </w:pPr>
            <w:r>
              <w:rPr>
                <w:rFonts w:hint="eastAsia" w:ascii="Times New Roman" w:hAnsi="Times New Roman" w:eastAsia="宋体" w:cs="Times New Roman"/>
                <w:bCs/>
                <w:szCs w:val="21"/>
                <w:lang w:val="en-US" w:eastAsia="zh-CN"/>
              </w:rPr>
              <w:t>约10040</w:t>
            </w:r>
          </w:p>
        </w:tc>
        <w:tc>
          <w:tcPr>
            <w:tcW w:w="769" w:type="pct"/>
            <w:vAlign w:val="center"/>
          </w:tcPr>
          <w:p w14:paraId="41502D3B">
            <w:pPr>
              <w:jc w:val="center"/>
              <w:rPr>
                <w:bCs/>
                <w:szCs w:val="21"/>
              </w:rPr>
            </w:pPr>
            <w:r>
              <w:rPr>
                <w:rFonts w:hint="eastAsia"/>
                <w:bCs/>
                <w:szCs w:val="21"/>
              </w:rPr>
              <w:t>合计</w:t>
            </w:r>
          </w:p>
        </w:tc>
        <w:tc>
          <w:tcPr>
            <w:tcW w:w="661" w:type="pct"/>
            <w:vAlign w:val="center"/>
          </w:tcPr>
          <w:p w14:paraId="3BE3F931">
            <w:pPr>
              <w:jc w:val="center"/>
              <w:rPr>
                <w:rFonts w:hint="eastAsia" w:ascii="Times New Roman" w:hAnsi="Times New Roman" w:eastAsia="宋体" w:cs="Times New Roman"/>
                <w:bCs/>
                <w:szCs w:val="21"/>
                <w:lang w:val="en-US" w:eastAsia="zh-CN"/>
              </w:rPr>
            </w:pPr>
            <w:r>
              <w:rPr>
                <w:rFonts w:hint="eastAsia"/>
                <w:bCs/>
                <w:szCs w:val="21"/>
              </w:rPr>
              <w:t>10</w:t>
            </w:r>
            <w:r>
              <w:rPr>
                <w:rFonts w:hint="eastAsia" w:ascii="Times New Roman" w:hAnsi="Times New Roman" w:eastAsia="宋体" w:cs="Times New Roman"/>
                <w:bCs/>
                <w:szCs w:val="21"/>
                <w:lang w:val="en-US" w:eastAsia="zh-CN"/>
              </w:rPr>
              <w:t>039.9775</w:t>
            </w:r>
          </w:p>
          <w:p w14:paraId="041E2A9C">
            <w:pPr>
              <w:jc w:val="center"/>
              <w:rPr>
                <w:rFonts w:hint="default"/>
                <w:lang w:val="en-US" w:eastAsia="zh-CN"/>
              </w:rPr>
            </w:pPr>
            <w:r>
              <w:rPr>
                <w:rFonts w:hint="eastAsia" w:ascii="Times New Roman" w:hAnsi="Times New Roman" w:eastAsia="宋体" w:cs="Times New Roman"/>
                <w:bCs/>
                <w:szCs w:val="21"/>
                <w:lang w:val="en-US" w:eastAsia="zh-CN"/>
              </w:rPr>
              <w:t>约10040</w:t>
            </w:r>
          </w:p>
        </w:tc>
        <w:tc>
          <w:tcPr>
            <w:tcW w:w="643" w:type="pct"/>
            <w:vAlign w:val="center"/>
          </w:tcPr>
          <w:p w14:paraId="33DB8E97">
            <w:pPr>
              <w:jc w:val="center"/>
              <w:rPr>
                <w:bCs/>
                <w:color w:val="C00000"/>
                <w:szCs w:val="21"/>
              </w:rPr>
            </w:pPr>
          </w:p>
        </w:tc>
      </w:tr>
    </w:tbl>
    <w:p w14:paraId="24A84D8C">
      <w:bookmarkStart w:id="146" w:name="_Toc16459"/>
      <w:bookmarkStart w:id="147" w:name="_Toc9661"/>
      <w:bookmarkStart w:id="148" w:name="_Toc25188"/>
      <w:bookmarkStart w:id="149" w:name="_Toc4062"/>
      <w:bookmarkStart w:id="150" w:name="_Toc13439"/>
    </w:p>
    <w:p w14:paraId="32250D2E">
      <w:pPr>
        <w:rPr>
          <w:color w:val="000000"/>
        </w:rPr>
      </w:pPr>
      <w:r>
        <w:rPr>
          <w:sz w:val="24"/>
        </w:rPr>
        <mc:AlternateContent>
          <mc:Choice Requires="wps">
            <w:drawing>
              <wp:anchor distT="0" distB="0" distL="114300" distR="114300" simplePos="0" relativeHeight="251662336" behindDoc="0" locked="0" layoutInCell="1" allowOverlap="1">
                <wp:simplePos x="0" y="0"/>
                <wp:positionH relativeFrom="column">
                  <wp:posOffset>958850</wp:posOffset>
                </wp:positionH>
                <wp:positionV relativeFrom="paragraph">
                  <wp:posOffset>82550</wp:posOffset>
                </wp:positionV>
                <wp:extent cx="3561080" cy="509905"/>
                <wp:effectExtent l="0" t="0" r="20320" b="23495"/>
                <wp:wrapNone/>
                <wp:docPr id="1491001988" name="Text Box 13"/>
                <wp:cNvGraphicFramePr/>
                <a:graphic xmlns:a="http://schemas.openxmlformats.org/drawingml/2006/main">
                  <a:graphicData uri="http://schemas.microsoft.com/office/word/2010/wordprocessingShape">
                    <wps:wsp>
                      <wps:cNvSpPr txBox="1">
                        <a:spLocks noChangeArrowheads="1"/>
                      </wps:cNvSpPr>
                      <wps:spPr bwMode="auto">
                        <a:xfrm>
                          <a:off x="0" y="0"/>
                          <a:ext cx="3561080" cy="509905"/>
                        </a:xfrm>
                        <a:prstGeom prst="rect">
                          <a:avLst/>
                        </a:prstGeom>
                        <a:solidFill>
                          <a:srgbClr val="FFFFFF"/>
                        </a:solidFill>
                        <a:ln w="19050">
                          <a:solidFill>
                            <a:srgbClr val="000000"/>
                          </a:solidFill>
                          <a:miter lim="800000"/>
                          <a:tailEnd type="triangle" w="med" len="med"/>
                        </a:ln>
                      </wps:spPr>
                      <wps:txbx>
                        <w:txbxContent>
                          <w:p w14:paraId="672C0978">
                            <w:pPr>
                              <w:jc w:val="center"/>
                            </w:pPr>
                            <w:r>
                              <w:rPr>
                                <w:color w:val="000000"/>
                              </w:rPr>
                              <w:t>利用距离本项目</w:t>
                            </w:r>
                            <w:r>
                              <w:rPr>
                                <w:rFonts w:hint="eastAsia"/>
                                <w:color w:val="000000"/>
                              </w:rPr>
                              <w:t>东侧6.93km处的本公司2024年8月建成投入使用</w:t>
                            </w:r>
                            <w:r>
                              <w:rPr>
                                <w:color w:val="000000"/>
                              </w:rPr>
                              <w:t>的地膜回收分拣、破碎清选后的废旧地膜</w:t>
                            </w:r>
                          </w:p>
                        </w:txbxContent>
                      </wps:txbx>
                      <wps:bodyPr rot="0" vert="horz" wrap="square" lIns="91440" tIns="45720" rIns="91440" bIns="45720" anchor="t" anchorCtr="0" upright="1">
                        <a:noAutofit/>
                      </wps:bodyPr>
                    </wps:wsp>
                  </a:graphicData>
                </a:graphic>
              </wp:anchor>
            </w:drawing>
          </mc:Choice>
          <mc:Fallback>
            <w:pict>
              <v:shape id="Text Box 13" o:spid="_x0000_s1026" o:spt="202" type="#_x0000_t202" style="position:absolute;left:0pt;margin-left:75.5pt;margin-top:6.5pt;height:40.15pt;width:280.4pt;z-index:251662336;mso-width-relative:page;mso-height-relative:page;" fillcolor="#FFFFFF" filled="t" stroked="t" coordsize="21600,21600" o:gfxdata="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APzxSE1wAAAAkBAAAP&#10;AAAAAAAAAAEAIAAAACIAAABkcnMvZG93bnJldi54bWxQSwECFAAUAAAACACHTuJACMGtoVICAAC/&#10;BAAADgAAAAAAAAABACAAAAAmAQAAZHJzL2Uyb0RvYy54bWxQSwUGAAAAAAYABgBZAQAA6gUAAAAA&#10;">
                <v:fill on="t" focussize="0,0"/>
                <v:stroke weight="1.5pt" color="#000000" miterlimit="8" joinstyle="miter" endarrow="block"/>
                <v:imagedata o:title=""/>
                <o:lock v:ext="edit" aspectratio="f"/>
                <v:textbox>
                  <w:txbxContent>
                    <w:p w14:paraId="672C0978">
                      <w:pPr>
                        <w:jc w:val="center"/>
                      </w:pPr>
                      <w:r>
                        <w:rPr>
                          <w:color w:val="000000"/>
                        </w:rPr>
                        <w:t>利用距离本项目</w:t>
                      </w:r>
                      <w:r>
                        <w:rPr>
                          <w:rFonts w:hint="eastAsia"/>
                          <w:color w:val="000000"/>
                        </w:rPr>
                        <w:t>东侧6.93km处的本公司2024年8月建成投入使用</w:t>
                      </w:r>
                      <w:r>
                        <w:rPr>
                          <w:color w:val="000000"/>
                        </w:rPr>
                        <w:t>的地膜回收分拣、破碎清选后的废旧地膜</w:t>
                      </w:r>
                    </w:p>
                  </w:txbxContent>
                </v:textbox>
              </v:shape>
            </w:pict>
          </mc:Fallback>
        </mc:AlternateContent>
      </w:r>
    </w:p>
    <w:p w14:paraId="5277675D">
      <w:pPr>
        <w:pStyle w:val="38"/>
        <w:rPr>
          <w:color w:val="000000"/>
        </w:rPr>
      </w:pPr>
    </w:p>
    <w:p w14:paraId="49C549D4">
      <w:pPr>
        <w:rPr>
          <w:color w:val="000000"/>
        </w:rPr>
      </w:pPr>
      <w:r>
        <mc:AlternateContent>
          <mc:Choice Requires="wps">
            <w:drawing>
              <wp:anchor distT="0" distB="0" distL="114300" distR="114300" simplePos="0" relativeHeight="251663360" behindDoc="0" locked="0" layoutInCell="1" allowOverlap="1">
                <wp:simplePos x="0" y="0"/>
                <wp:positionH relativeFrom="column">
                  <wp:posOffset>2510790</wp:posOffset>
                </wp:positionH>
                <wp:positionV relativeFrom="paragraph">
                  <wp:posOffset>106045</wp:posOffset>
                </wp:positionV>
                <wp:extent cx="635" cy="544195"/>
                <wp:effectExtent l="76835" t="13970" r="84455" b="22860"/>
                <wp:wrapNone/>
                <wp:docPr id="1511423118" name="Line 14"/>
                <wp:cNvGraphicFramePr/>
                <a:graphic xmlns:a="http://schemas.openxmlformats.org/drawingml/2006/main">
                  <a:graphicData uri="http://schemas.microsoft.com/office/word/2010/wordprocessingShape">
                    <wps:wsp>
                      <wps:cNvCnPr>
                        <a:cxnSpLocks noChangeShapeType="1"/>
                      </wps:cNvCnPr>
                      <wps:spPr bwMode="auto">
                        <a:xfrm>
                          <a:off x="0" y="0"/>
                          <a:ext cx="635" cy="544195"/>
                        </a:xfrm>
                        <a:prstGeom prst="line">
                          <a:avLst/>
                        </a:prstGeom>
                        <a:noFill/>
                        <a:ln w="19050">
                          <a:solidFill>
                            <a:srgbClr val="000000"/>
                          </a:solidFill>
                          <a:round/>
                          <a:tailEnd type="arrow" w="med" len="med"/>
                        </a:ln>
                      </wps:spPr>
                      <wps:bodyPr/>
                    </wps:wsp>
                  </a:graphicData>
                </a:graphic>
              </wp:anchor>
            </w:drawing>
          </mc:Choice>
          <mc:Fallback>
            <w:pict>
              <v:line id="Line 14" o:spid="_x0000_s1026" o:spt="20" style="position:absolute;left:0pt;margin-left:197.7pt;margin-top:8.35pt;height:42.85pt;width:0.05pt;z-index:251663360;mso-width-relative:page;mso-height-relative:page;" filled="f" stroked="t" coordsize="21600,21600" o:gfxdata="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f6rD&#10;YtYAAAAKAQAADwAAAAAAAAABACAAAAAiAAAAZHJzL2Rvd25yZXYueG1sUEsBAhQAFAAAAAgAh07i&#10;QO/4fFjrAQAA1gMAAA4AAAAAAAAAAQAgAAAAJQEAAGRycy9lMm9Eb2MueG1sUEsFBgAAAAAGAAYA&#10;WQEAAIIFAAAAAA==&#10;">
                <v:fill on="f" focussize="0,0"/>
                <v:stroke weight="1.5pt" color="#000000" joinstyle="round" endarrow="open"/>
                <v:imagedata o:title=""/>
                <o:lock v:ext="edit" aspectratio="f"/>
              </v:line>
            </w:pict>
          </mc:Fallback>
        </mc:AlternateContent>
      </w:r>
    </w:p>
    <w:p w14:paraId="30AE2B33">
      <w:pPr>
        <w:pStyle w:val="38"/>
        <w:rPr>
          <w:color w:val="000000"/>
        </w:rPr>
      </w:pPr>
      <w:r>
        <w:rPr>
          <w:sz w:val="21"/>
        </w:rPr>
        <mc:AlternateContent>
          <mc:Choice Requires="wps">
            <w:drawing>
              <wp:anchor distT="0" distB="0" distL="114300" distR="114300" simplePos="0" relativeHeight="251691008" behindDoc="0" locked="0" layoutInCell="1" allowOverlap="1">
                <wp:simplePos x="0" y="0"/>
                <wp:positionH relativeFrom="column">
                  <wp:posOffset>2493010</wp:posOffset>
                </wp:positionH>
                <wp:positionV relativeFrom="paragraph">
                  <wp:posOffset>38100</wp:posOffset>
                </wp:positionV>
                <wp:extent cx="567055" cy="424815"/>
                <wp:effectExtent l="1905" t="1270" r="2540" b="2540"/>
                <wp:wrapNone/>
                <wp:docPr id="872771783" name="Text Box 15"/>
                <wp:cNvGraphicFramePr/>
                <a:graphic xmlns:a="http://schemas.openxmlformats.org/drawingml/2006/main">
                  <a:graphicData uri="http://schemas.microsoft.com/office/word/2010/wordprocessingShape">
                    <wps:wsp>
                      <wps:cNvSpPr txBox="1">
                        <a:spLocks noChangeArrowheads="1"/>
                      </wps:cNvSpPr>
                      <wps:spPr bwMode="auto">
                        <a:xfrm>
                          <a:off x="0" y="0"/>
                          <a:ext cx="567055" cy="424815"/>
                        </a:xfrm>
                        <a:prstGeom prst="rect">
                          <a:avLst/>
                        </a:prstGeom>
                        <a:noFill/>
                        <a:ln>
                          <a:noFill/>
                        </a:ln>
                      </wps:spPr>
                      <wps:txbx>
                        <w:txbxContent>
                          <w:p w14:paraId="48F52EA5">
                            <w:r>
                              <w:rPr>
                                <w:rFonts w:hint="eastAsia"/>
                              </w:rPr>
                              <w:t>5500</w:t>
                            </w:r>
                          </w:p>
                        </w:txbxContent>
                      </wps:txbx>
                      <wps:bodyPr rot="0" vert="horz" wrap="square" lIns="91440" tIns="45720" rIns="91440" bIns="45720" anchor="t" anchorCtr="0" upright="1">
                        <a:noAutofit/>
                      </wps:bodyPr>
                    </wps:wsp>
                  </a:graphicData>
                </a:graphic>
              </wp:anchor>
            </w:drawing>
          </mc:Choice>
          <mc:Fallback>
            <w:pict>
              <v:shape id="Text Box 15" o:spid="_x0000_s1026" o:spt="202" type="#_x0000_t202" style="position:absolute;left:0pt;margin-left:196.3pt;margin-top:3pt;height:33.45pt;width:44.65pt;z-index:251691008;mso-width-relative:page;mso-height-relative:page;" filled="f" stroked="f" coordsize="21600,21600" o:gfxdata="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P1uUs1gAAAAgBAAAPAAAAAAAAAAEAIAAA&#10;ACIAAABkcnMvZG93bnJldi54bWxQSwECFAAUAAAACACHTuJAPpgk2w4CAAAcBAAADgAAAAAAAAAB&#10;ACAAAAAlAQAAZHJzL2Uyb0RvYy54bWxQSwUGAAAAAAYABgBZAQAApQUAAAAA&#10;">
                <v:fill on="f" focussize="0,0"/>
                <v:stroke on="f"/>
                <v:imagedata o:title=""/>
                <o:lock v:ext="edit" aspectratio="f"/>
                <v:textbox>
                  <w:txbxContent>
                    <w:p w14:paraId="48F52EA5">
                      <w:r>
                        <w:rPr>
                          <w:rFonts w:hint="eastAsia"/>
                        </w:rPr>
                        <w:t>5500</w:t>
                      </w:r>
                    </w:p>
                  </w:txbxContent>
                </v:textbox>
              </v:shape>
            </w:pict>
          </mc:Fallback>
        </mc:AlternateContent>
      </w:r>
    </w:p>
    <w:p w14:paraId="24BC0D8F">
      <w:pPr>
        <w:rPr>
          <w:color w:val="000000"/>
        </w:rPr>
      </w:pPr>
      <w:r>
        <mc:AlternateContent>
          <mc:Choice Requires="wps">
            <w:drawing>
              <wp:anchor distT="0" distB="0" distL="114300" distR="114300" simplePos="0" relativeHeight="251689984" behindDoc="0" locked="0" layoutInCell="1" allowOverlap="1">
                <wp:simplePos x="0" y="0"/>
                <wp:positionH relativeFrom="column">
                  <wp:posOffset>3700780</wp:posOffset>
                </wp:positionH>
                <wp:positionV relativeFrom="paragraph">
                  <wp:posOffset>144145</wp:posOffset>
                </wp:positionV>
                <wp:extent cx="1372235" cy="424815"/>
                <wp:effectExtent l="0" t="4445" r="0" b="0"/>
                <wp:wrapNone/>
                <wp:docPr id="1392557262" name="Text Box 16"/>
                <wp:cNvGraphicFramePr/>
                <a:graphic xmlns:a="http://schemas.openxmlformats.org/drawingml/2006/main">
                  <a:graphicData uri="http://schemas.microsoft.com/office/word/2010/wordprocessingShape">
                    <wps:wsp>
                      <wps:cNvSpPr txBox="1">
                        <a:spLocks noChangeArrowheads="1"/>
                      </wps:cNvSpPr>
                      <wps:spPr bwMode="auto">
                        <a:xfrm>
                          <a:off x="0" y="0"/>
                          <a:ext cx="1372235" cy="424815"/>
                        </a:xfrm>
                        <a:prstGeom prst="rect">
                          <a:avLst/>
                        </a:prstGeom>
                        <a:noFill/>
                        <a:ln>
                          <a:noFill/>
                        </a:ln>
                      </wps:spPr>
                      <wps:txbx>
                        <w:txbxContent>
                          <w:p w14:paraId="292B8E8E">
                            <w:pPr>
                              <w:rPr>
                                <w:rFonts w:hint="default" w:eastAsia="宋体"/>
                                <w:lang w:val="en-US" w:eastAsia="zh-CN"/>
                              </w:rPr>
                            </w:pPr>
                            <w:r>
                              <w:rPr>
                                <w:rFonts w:hint="eastAsia"/>
                              </w:rPr>
                              <w:t>非甲烷总烃</w:t>
                            </w:r>
                            <w:r>
                              <w:rPr>
                                <w:rFonts w:hint="eastAsia"/>
                                <w:lang w:val="en-US" w:eastAsia="zh-CN"/>
                              </w:rPr>
                              <w:t>1.925</w:t>
                            </w:r>
                          </w:p>
                        </w:txbxContent>
                      </wps:txbx>
                      <wps:bodyPr rot="0" vert="horz" wrap="square" lIns="91440" tIns="45720" rIns="91440" bIns="45720" anchor="t" anchorCtr="0" upright="1">
                        <a:noAutofit/>
                      </wps:bodyPr>
                    </wps:wsp>
                  </a:graphicData>
                </a:graphic>
              </wp:anchor>
            </w:drawing>
          </mc:Choice>
          <mc:Fallback>
            <w:pict>
              <v:shape id="Text Box 16" o:spid="_x0000_s1026" o:spt="202" type="#_x0000_t202" style="position:absolute;left:0pt;margin-left:291.4pt;margin-top:11.35pt;height:33.45pt;width:108.05pt;z-index:251689984;mso-width-relative:page;mso-height-relative:page;" filled="f" stroked="f" coordsize="21600,21600" o:gfxdata="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MV3uzbXAAAACQEAAA8AAAAAAAAAAQAg&#10;AAAAIgAAAGRycy9kb3ducmV2LnhtbFBLAQIUABQAAAAIAIdO4kBjx3NkDwIAAB4EAAAOAAAAAAAA&#10;AAEAIAAAACYBAABkcnMvZTJvRG9jLnhtbFBLBQYAAAAABgAGAFkBAACnBQAAAAA=&#10;">
                <v:fill on="f" focussize="0,0"/>
                <v:stroke on="f"/>
                <v:imagedata o:title=""/>
                <o:lock v:ext="edit" aspectratio="f"/>
                <v:textbox>
                  <w:txbxContent>
                    <w:p w14:paraId="292B8E8E">
                      <w:pPr>
                        <w:rPr>
                          <w:rFonts w:hint="default" w:eastAsia="宋体"/>
                          <w:lang w:val="en-US" w:eastAsia="zh-CN"/>
                        </w:rPr>
                      </w:pPr>
                      <w:r>
                        <w:rPr>
                          <w:rFonts w:hint="eastAsia"/>
                        </w:rPr>
                        <w:t>非甲烷总烃</w:t>
                      </w:r>
                      <w:r>
                        <w:rPr>
                          <w:rFonts w:hint="eastAsia"/>
                          <w:lang w:val="en-US" w:eastAsia="zh-CN"/>
                        </w:rPr>
                        <w:t>1.925</w:t>
                      </w:r>
                    </w:p>
                  </w:txbxContent>
                </v:textbox>
              </v:shape>
            </w:pict>
          </mc:Fallback>
        </mc:AlternateContent>
      </w:r>
      <w:r>
        <mc:AlternateContent>
          <mc:Choice Requires="wps">
            <w:drawing>
              <wp:anchor distT="0" distB="0" distL="114300" distR="114300" simplePos="0" relativeHeight="251667456" behindDoc="0" locked="0" layoutInCell="1" allowOverlap="1">
                <wp:simplePos x="0" y="0"/>
                <wp:positionH relativeFrom="column">
                  <wp:posOffset>1814195</wp:posOffset>
                </wp:positionH>
                <wp:positionV relativeFrom="paragraph">
                  <wp:posOffset>180975</wp:posOffset>
                </wp:positionV>
                <wp:extent cx="1371600" cy="315595"/>
                <wp:effectExtent l="18415" t="12700" r="10160" b="14605"/>
                <wp:wrapNone/>
                <wp:docPr id="480147747" name="Text Box 17"/>
                <wp:cNvGraphicFramePr/>
                <a:graphic xmlns:a="http://schemas.openxmlformats.org/drawingml/2006/main">
                  <a:graphicData uri="http://schemas.microsoft.com/office/word/2010/wordprocessingShape">
                    <wps:wsp>
                      <wps:cNvSpPr txBox="1">
                        <a:spLocks noChangeArrowheads="1"/>
                      </wps:cNvSpPr>
                      <wps:spPr bwMode="auto">
                        <a:xfrm>
                          <a:off x="0" y="0"/>
                          <a:ext cx="1371600" cy="315595"/>
                        </a:xfrm>
                        <a:prstGeom prst="rect">
                          <a:avLst/>
                        </a:prstGeom>
                        <a:solidFill>
                          <a:srgbClr val="FFFFFF"/>
                        </a:solidFill>
                        <a:ln w="19050">
                          <a:solidFill>
                            <a:srgbClr val="000000"/>
                          </a:solidFill>
                          <a:miter lim="800000"/>
                          <a:tailEnd type="triangle" w="med" len="med"/>
                        </a:ln>
                      </wps:spPr>
                      <wps:txbx>
                        <w:txbxContent>
                          <w:p w14:paraId="70ABD939">
                            <w:pPr>
                              <w:jc w:val="center"/>
                            </w:pPr>
                            <w:r>
                              <w:rPr>
                                <w:rFonts w:hint="eastAsia"/>
                              </w:rPr>
                              <w:t>热熔</w:t>
                            </w:r>
                          </w:p>
                        </w:txbxContent>
                      </wps:txbx>
                      <wps:bodyPr rot="0" vert="horz" wrap="square" lIns="91440" tIns="45720" rIns="91440" bIns="45720" anchor="t" anchorCtr="0" upright="1">
                        <a:noAutofit/>
                      </wps:bodyPr>
                    </wps:wsp>
                  </a:graphicData>
                </a:graphic>
              </wp:anchor>
            </w:drawing>
          </mc:Choice>
          <mc:Fallback>
            <w:pict>
              <v:shape id="Text Box 17" o:spid="_x0000_s1026" o:spt="202" type="#_x0000_t202" style="position:absolute;left:0pt;margin-left:142.85pt;margin-top:14.25pt;height:24.85pt;width:108pt;z-index:251667456;mso-width-relative:page;mso-height-relative:page;" fillcolor="#FFFFFF" filled="t" stroked="t" coordsize="21600,21600" o:gfxdata="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AqdX1C1gAAAAkBAAAP&#10;AAAAAAAAAAEAIAAAACIAAABkcnMvZG93bnJldi54bWxQSwECFAAUAAAACACHTuJAYT4L6VMCAAC+&#10;BAAADgAAAAAAAAABACAAAAAlAQAAZHJzL2Uyb0RvYy54bWxQSwUGAAAAAAYABgBZAQAA6gUAAAAA&#10;">
                <v:fill on="t" focussize="0,0"/>
                <v:stroke weight="1.5pt" color="#000000" miterlimit="8" joinstyle="miter" endarrow="block"/>
                <v:imagedata o:title=""/>
                <o:lock v:ext="edit" aspectratio="f"/>
                <v:textbox>
                  <w:txbxContent>
                    <w:p w14:paraId="70ABD939">
                      <w:pPr>
                        <w:jc w:val="center"/>
                      </w:pPr>
                      <w:r>
                        <w:rPr>
                          <w:rFonts w:hint="eastAsia"/>
                        </w:rPr>
                        <w:t>热熔</w:t>
                      </w:r>
                    </w:p>
                  </w:txbxContent>
                </v:textbox>
              </v:shape>
            </w:pict>
          </mc:Fallback>
        </mc:AlternateContent>
      </w:r>
    </w:p>
    <w:p w14:paraId="5D60EC1B">
      <w:pPr>
        <w:pStyle w:val="38"/>
        <w:rPr>
          <w:color w:val="000000"/>
        </w:rPr>
      </w:pPr>
      <w:r>
        <mc:AlternateContent>
          <mc:Choice Requires="wps">
            <w:drawing>
              <wp:anchor distT="0" distB="0" distL="114300" distR="114300" simplePos="0" relativeHeight="251669504" behindDoc="0" locked="0" layoutInCell="1" allowOverlap="1">
                <wp:simplePos x="0" y="0"/>
                <wp:positionH relativeFrom="column">
                  <wp:posOffset>3185795</wp:posOffset>
                </wp:positionH>
                <wp:positionV relativeFrom="paragraph">
                  <wp:posOffset>120015</wp:posOffset>
                </wp:positionV>
                <wp:extent cx="587375" cy="635"/>
                <wp:effectExtent l="18415" t="83185" r="22860" b="78105"/>
                <wp:wrapNone/>
                <wp:docPr id="402652928" name="Line 18"/>
                <wp:cNvGraphicFramePr/>
                <a:graphic xmlns:a="http://schemas.openxmlformats.org/drawingml/2006/main">
                  <a:graphicData uri="http://schemas.microsoft.com/office/word/2010/wordprocessingShape">
                    <wps:wsp>
                      <wps:cNvCnPr>
                        <a:cxnSpLocks noChangeShapeType="1"/>
                      </wps:cNvCnPr>
                      <wps:spPr bwMode="auto">
                        <a:xfrm>
                          <a:off x="0" y="0"/>
                          <a:ext cx="587375" cy="635"/>
                        </a:xfrm>
                        <a:prstGeom prst="line">
                          <a:avLst/>
                        </a:prstGeom>
                        <a:noFill/>
                        <a:ln w="19050">
                          <a:solidFill>
                            <a:srgbClr val="000000"/>
                          </a:solidFill>
                          <a:prstDash val="dash"/>
                          <a:round/>
                          <a:tailEnd type="arrow" w="med" len="med"/>
                        </a:ln>
                      </wps:spPr>
                      <wps:bodyPr/>
                    </wps:wsp>
                  </a:graphicData>
                </a:graphic>
              </wp:anchor>
            </w:drawing>
          </mc:Choice>
          <mc:Fallback>
            <w:pict>
              <v:line id="Line 18" o:spid="_x0000_s1026" o:spt="20" style="position:absolute;left:0pt;margin-left:250.85pt;margin-top:9.45pt;height:0.05pt;width:46.25pt;z-index:251669504;mso-width-relative:page;mso-height-relative:page;" filled="f" stroked="t" coordsize="21600,21600" o:gfxdata="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dw/aONYAAAAJAQAADwAAAAAAAAABACAAAAAiAAAAZHJzL2Rvd25yZXYueG1sUEsB&#10;AhQAFAAAAAgAh07iQKAMlb73AQAA7QMAAA4AAAAAAAAAAQAgAAAAJQEAAGRycy9lMm9Eb2MueG1s&#10;UEsFBgAAAAAGAAYAWQEAAI4FAAAAAA==&#10;">
                <v:fill on="f" focussize="0,0"/>
                <v:stroke weight="1.5pt" color="#000000" joinstyle="round" dashstyle="dash" endarrow="open"/>
                <v:imagedata o:title=""/>
                <o:lock v:ext="edit" aspectratio="f"/>
              </v:line>
            </w:pict>
          </mc:Fallback>
        </mc:AlternateContent>
      </w:r>
    </w:p>
    <w:p w14:paraId="6A4EBABF">
      <w:pPr>
        <w:rPr>
          <w:color w:val="000000"/>
        </w:rPr>
      </w:pPr>
      <w:r>
        <mc:AlternateContent>
          <mc:Choice Requires="wps">
            <w:drawing>
              <wp:anchor distT="0" distB="0" distL="114300" distR="114300" simplePos="0" relativeHeight="251692032" behindDoc="0" locked="0" layoutInCell="1" allowOverlap="1">
                <wp:simplePos x="0" y="0"/>
                <wp:positionH relativeFrom="column">
                  <wp:posOffset>2459990</wp:posOffset>
                </wp:positionH>
                <wp:positionV relativeFrom="paragraph">
                  <wp:posOffset>182245</wp:posOffset>
                </wp:positionV>
                <wp:extent cx="718820" cy="424815"/>
                <wp:effectExtent l="0" t="4445" r="0" b="0"/>
                <wp:wrapNone/>
                <wp:docPr id="1255262348" name="Text Box 19"/>
                <wp:cNvGraphicFramePr/>
                <a:graphic xmlns:a="http://schemas.openxmlformats.org/drawingml/2006/main">
                  <a:graphicData uri="http://schemas.microsoft.com/office/word/2010/wordprocessingShape">
                    <wps:wsp>
                      <wps:cNvSpPr txBox="1">
                        <a:spLocks noChangeArrowheads="1"/>
                      </wps:cNvSpPr>
                      <wps:spPr bwMode="auto">
                        <a:xfrm>
                          <a:off x="0" y="0"/>
                          <a:ext cx="718820" cy="424815"/>
                        </a:xfrm>
                        <a:prstGeom prst="rect">
                          <a:avLst/>
                        </a:prstGeom>
                        <a:noFill/>
                        <a:ln>
                          <a:noFill/>
                        </a:ln>
                      </wps:spPr>
                      <wps:txbx>
                        <w:txbxContent>
                          <w:p w14:paraId="5E8C32ED">
                            <w:pPr>
                              <w:rPr>
                                <w:rFonts w:hint="default" w:eastAsia="宋体"/>
                                <w:lang w:val="en-US" w:eastAsia="zh-CN"/>
                              </w:rPr>
                            </w:pPr>
                            <w:r>
                              <w:rPr>
                                <w:rFonts w:hint="eastAsia"/>
                              </w:rPr>
                              <w:t>549</w:t>
                            </w:r>
                            <w:r>
                              <w:rPr>
                                <w:rFonts w:hint="eastAsia"/>
                                <w:lang w:val="en-US" w:eastAsia="zh-CN"/>
                              </w:rPr>
                              <w:t>8.075</w:t>
                            </w:r>
                          </w:p>
                        </w:txbxContent>
                      </wps:txbx>
                      <wps:bodyPr rot="0" vert="horz" wrap="square" lIns="91440" tIns="45720" rIns="91440" bIns="45720" anchor="t" anchorCtr="0" upright="1">
                        <a:noAutofit/>
                      </wps:bodyPr>
                    </wps:wsp>
                  </a:graphicData>
                </a:graphic>
              </wp:anchor>
            </w:drawing>
          </mc:Choice>
          <mc:Fallback>
            <w:pict>
              <v:shape id="Text Box 19" o:spid="_x0000_s1026" o:spt="202" type="#_x0000_t202" style="position:absolute;left:0pt;margin-left:193.7pt;margin-top:14.35pt;height:33.45pt;width:56.6pt;z-index:251692032;mso-width-relative:page;mso-height-relative:page;" filled="f" stroked="f" coordsize="21600,21600" o:gfxdata="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6dCga1wAAAAkBAAAPAAAAAAAAAAEAIAAA&#10;ACIAAABkcnMvZG93bnJldi54bWxQSwECFAAUAAAACACHTuJApQVy1Q0CAAAdBAAADgAAAAAAAAAB&#10;ACAAAAAmAQAAZHJzL2Uyb0RvYy54bWxQSwUGAAAAAAYABgBZAQAApQUAAAAA&#10;">
                <v:fill on="f" focussize="0,0"/>
                <v:stroke on="f"/>
                <v:imagedata o:title=""/>
                <o:lock v:ext="edit" aspectratio="f"/>
                <v:textbox>
                  <w:txbxContent>
                    <w:p w14:paraId="5E8C32ED">
                      <w:pPr>
                        <w:rPr>
                          <w:rFonts w:hint="default" w:eastAsia="宋体"/>
                          <w:lang w:val="en-US" w:eastAsia="zh-CN"/>
                        </w:rPr>
                      </w:pPr>
                      <w:r>
                        <w:rPr>
                          <w:rFonts w:hint="eastAsia"/>
                        </w:rPr>
                        <w:t>549</w:t>
                      </w:r>
                      <w:r>
                        <w:rPr>
                          <w:rFonts w:hint="eastAsia"/>
                          <w:lang w:val="en-US" w:eastAsia="zh-CN"/>
                        </w:rPr>
                        <w:t>8.075</w:t>
                      </w:r>
                    </w:p>
                  </w:txbxContent>
                </v:textbox>
              </v:shape>
            </w:pict>
          </mc:Fallback>
        </mc:AlternateContent>
      </w:r>
      <w:r>
        <mc:AlternateContent>
          <mc:Choice Requires="wps">
            <w:drawing>
              <wp:anchor distT="0" distB="0" distL="114300" distR="114300" simplePos="0" relativeHeight="251687936" behindDoc="0" locked="0" layoutInCell="1" allowOverlap="1">
                <wp:simplePos x="0" y="0"/>
                <wp:positionH relativeFrom="column">
                  <wp:posOffset>2499995</wp:posOffset>
                </wp:positionH>
                <wp:positionV relativeFrom="paragraph">
                  <wp:posOffset>19050</wp:posOffset>
                </wp:positionV>
                <wp:extent cx="635" cy="544195"/>
                <wp:effectExtent l="75565" t="12700" r="85725" b="24130"/>
                <wp:wrapNone/>
                <wp:docPr id="115963822" name="Line 20"/>
                <wp:cNvGraphicFramePr/>
                <a:graphic xmlns:a="http://schemas.openxmlformats.org/drawingml/2006/main">
                  <a:graphicData uri="http://schemas.microsoft.com/office/word/2010/wordprocessingShape">
                    <wps:wsp>
                      <wps:cNvCnPr>
                        <a:cxnSpLocks noChangeShapeType="1"/>
                      </wps:cNvCnPr>
                      <wps:spPr bwMode="auto">
                        <a:xfrm>
                          <a:off x="0" y="0"/>
                          <a:ext cx="635" cy="544195"/>
                        </a:xfrm>
                        <a:prstGeom prst="line">
                          <a:avLst/>
                        </a:prstGeom>
                        <a:noFill/>
                        <a:ln w="19050">
                          <a:solidFill>
                            <a:srgbClr val="000000"/>
                          </a:solidFill>
                          <a:round/>
                          <a:tailEnd type="arrow" w="med" len="med"/>
                        </a:ln>
                      </wps:spPr>
                      <wps:bodyPr/>
                    </wps:wsp>
                  </a:graphicData>
                </a:graphic>
              </wp:anchor>
            </w:drawing>
          </mc:Choice>
          <mc:Fallback>
            <w:pict>
              <v:line id="Line 20" o:spid="_x0000_s1026" o:spt="20" style="position:absolute;left:0pt;margin-left:196.85pt;margin-top:1.5pt;height:42.85pt;width:0.05pt;z-index:251687936;mso-width-relative:page;mso-height-relative:page;" filled="f" stroked="t" coordsize="21600,21600" o:gfxdata="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C9NMZ9&#10;1AAAAAgBAAAPAAAAAAAAAAEAIAAAACIAAABkcnMvZG93bnJldi54bWxQSwECFAAUAAAACACHTuJA&#10;Lcze4+wBAADVAwAADgAAAAAAAAABACAAAAAjAQAAZHJzL2Uyb0RvYy54bWxQSwUGAAAAAAYABgBZ&#10;AQAAgQUAAAAA&#10;">
                <v:fill on="f" focussize="0,0"/>
                <v:stroke weight="1.5pt" color="#000000" joinstyle="round" endarrow="open"/>
                <v:imagedata o:title=""/>
                <o:lock v:ext="edit" aspectratio="f"/>
              </v:line>
            </w:pict>
          </mc:Fallback>
        </mc:AlternateContent>
      </w:r>
    </w:p>
    <w:p w14:paraId="695F23A6">
      <w:pPr>
        <w:pStyle w:val="38"/>
        <w:rPr>
          <w:color w:val="000000"/>
        </w:rPr>
      </w:pPr>
    </w:p>
    <w:p w14:paraId="01E79796">
      <w:r>
        <mc:AlternateContent>
          <mc:Choice Requires="wps">
            <w:drawing>
              <wp:anchor distT="0" distB="0" distL="114300" distR="114300" simplePos="0" relativeHeight="251686912" behindDoc="0" locked="0" layoutInCell="1" allowOverlap="1">
                <wp:simplePos x="0" y="0"/>
                <wp:positionH relativeFrom="column">
                  <wp:posOffset>1726565</wp:posOffset>
                </wp:positionH>
                <wp:positionV relativeFrom="paragraph">
                  <wp:posOffset>73025</wp:posOffset>
                </wp:positionV>
                <wp:extent cx="1589405" cy="315595"/>
                <wp:effectExtent l="16510" t="9525" r="13335" b="17780"/>
                <wp:wrapNone/>
                <wp:docPr id="299533147" name="Text Box 22"/>
                <wp:cNvGraphicFramePr/>
                <a:graphic xmlns:a="http://schemas.openxmlformats.org/drawingml/2006/main">
                  <a:graphicData uri="http://schemas.microsoft.com/office/word/2010/wordprocessingShape">
                    <wps:wsp>
                      <wps:cNvSpPr txBox="1">
                        <a:spLocks noChangeArrowheads="1"/>
                      </wps:cNvSpPr>
                      <wps:spPr bwMode="auto">
                        <a:xfrm>
                          <a:off x="0" y="0"/>
                          <a:ext cx="1589405" cy="315595"/>
                        </a:xfrm>
                        <a:prstGeom prst="rect">
                          <a:avLst/>
                        </a:prstGeom>
                        <a:solidFill>
                          <a:srgbClr val="FFFFFF"/>
                        </a:solidFill>
                        <a:ln w="19050">
                          <a:solidFill>
                            <a:srgbClr val="000000"/>
                          </a:solidFill>
                          <a:miter lim="800000"/>
                          <a:tailEnd type="triangle" w="med" len="med"/>
                        </a:ln>
                      </wps:spPr>
                      <wps:txbx>
                        <w:txbxContent>
                          <w:p w14:paraId="1C1160F3">
                            <w:pPr>
                              <w:jc w:val="center"/>
                            </w:pPr>
                            <w:r>
                              <w:rPr>
                                <w:rFonts w:hint="eastAsia"/>
                              </w:rPr>
                              <w:t>挤出成型、冷却、切粒</w:t>
                            </w:r>
                          </w:p>
                        </w:txbxContent>
                      </wps:txbx>
                      <wps:bodyPr rot="0" vert="horz" wrap="square" lIns="91440" tIns="45720" rIns="91440" bIns="45720" anchor="t" anchorCtr="0" upright="1">
                        <a:noAutofit/>
                      </wps:bodyPr>
                    </wps:wsp>
                  </a:graphicData>
                </a:graphic>
              </wp:anchor>
            </w:drawing>
          </mc:Choice>
          <mc:Fallback>
            <w:pict>
              <v:shape id="Text Box 22" o:spid="_x0000_s1026" o:spt="202" type="#_x0000_t202" style="position:absolute;left:0pt;margin-left:135.95pt;margin-top:5.75pt;height:24.85pt;width:125.15pt;z-index:251686912;mso-width-relative:page;mso-height-relative:page;" fillcolor="#FFFFFF" filled="t" stroked="t" coordsize="21600,21600" o:gfxdata="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GGPEYbXAAAACQEA&#10;AA8AAAAAAAAAAQAgAAAAIgAAAGRycy9kb3ducmV2LnhtbFBLAQIUABQAAAAIAIdO4kCA6HQrVAIA&#10;AL4EAAAOAAAAAAAAAAEAIAAAACYBAABkcnMvZTJvRG9jLnhtbFBLBQYAAAAABgAGAFkBAADsBQAA&#10;AAA=&#10;">
                <v:fill on="t" focussize="0,0"/>
                <v:stroke weight="1.5pt" color="#000000" miterlimit="8" joinstyle="miter" endarrow="block"/>
                <v:imagedata o:title=""/>
                <o:lock v:ext="edit" aspectratio="f"/>
                <v:textbox>
                  <w:txbxContent>
                    <w:p w14:paraId="1C1160F3">
                      <w:pPr>
                        <w:jc w:val="center"/>
                      </w:pPr>
                      <w:r>
                        <w:rPr>
                          <w:rFonts w:hint="eastAsia"/>
                        </w:rPr>
                        <w:t>挤出成型、冷却、切粒</w:t>
                      </w:r>
                    </w:p>
                  </w:txbxContent>
                </v:textbox>
              </v:shape>
            </w:pict>
          </mc:Fallback>
        </mc:AlternateContent>
      </w:r>
    </w:p>
    <w:p w14:paraId="2CAF07C5">
      <w:pPr>
        <w:pStyle w:val="38"/>
      </w:pPr>
      <w:r>
        <w:rPr>
          <w:sz w:val="21"/>
        </w:rPr>
        <mc:AlternateContent>
          <mc:Choice Requires="wps">
            <w:drawing>
              <wp:anchor distT="0" distB="0" distL="114300" distR="114300" simplePos="0" relativeHeight="251688960" behindDoc="0" locked="0" layoutInCell="1" allowOverlap="1">
                <wp:simplePos x="0" y="0"/>
                <wp:positionH relativeFrom="column">
                  <wp:posOffset>2499360</wp:posOffset>
                </wp:positionH>
                <wp:positionV relativeFrom="paragraph">
                  <wp:posOffset>207010</wp:posOffset>
                </wp:positionV>
                <wp:extent cx="635" cy="544195"/>
                <wp:effectExtent l="84455" t="17780" r="76835" b="28575"/>
                <wp:wrapNone/>
                <wp:docPr id="855522402" name="Line 24"/>
                <wp:cNvGraphicFramePr/>
                <a:graphic xmlns:a="http://schemas.openxmlformats.org/drawingml/2006/main">
                  <a:graphicData uri="http://schemas.microsoft.com/office/word/2010/wordprocessingShape">
                    <wps:wsp>
                      <wps:cNvCnPr>
                        <a:cxnSpLocks noChangeShapeType="1"/>
                      </wps:cNvCnPr>
                      <wps:spPr bwMode="auto">
                        <a:xfrm>
                          <a:off x="0" y="0"/>
                          <a:ext cx="635" cy="544195"/>
                        </a:xfrm>
                        <a:prstGeom prst="line">
                          <a:avLst/>
                        </a:prstGeom>
                        <a:noFill/>
                        <a:ln w="19050">
                          <a:solidFill>
                            <a:srgbClr val="000000"/>
                          </a:solidFill>
                          <a:round/>
                          <a:tailEnd type="arrow" w="med" len="med"/>
                        </a:ln>
                      </wps:spPr>
                      <wps:bodyPr/>
                    </wps:wsp>
                  </a:graphicData>
                </a:graphic>
              </wp:anchor>
            </w:drawing>
          </mc:Choice>
          <mc:Fallback>
            <w:pict>
              <v:line id="Line 24" o:spid="_x0000_s1026" o:spt="20" style="position:absolute;left:0pt;margin-left:196.8pt;margin-top:16.3pt;height:42.85pt;width:0.05pt;z-index:251688960;mso-width-relative:page;mso-height-relative:page;" filled="f" stroked="t" coordsize="21600,21600" o:gfxdata="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DD3PNz&#10;1QAAAAoBAAAPAAAAAAAAAAEAIAAAACIAAABkcnMvZG93bnJldi54bWxQSwECFAAUAAAACACHTuJA&#10;+17mA+sBAADVAwAADgAAAAAAAAABACAAAAAkAQAAZHJzL2Uyb0RvYy54bWxQSwUGAAAAAAYABgBZ&#10;AQAAgQUAAAAA&#10;">
                <v:fill on="f" focussize="0,0"/>
                <v:stroke weight="1.5pt" color="#000000" joinstyle="round" endarrow="open"/>
                <v:imagedata o:title=""/>
                <o:lock v:ext="edit" aspectratio="f"/>
              </v:line>
            </w:pict>
          </mc:Fallback>
        </mc:AlternateContent>
      </w:r>
    </w:p>
    <w:p w14:paraId="51C9E5D6">
      <w:r>
        <mc:AlternateContent>
          <mc:Choice Requires="wps">
            <w:drawing>
              <wp:anchor distT="0" distB="0" distL="114300" distR="114300" simplePos="0" relativeHeight="251694080" behindDoc="0" locked="0" layoutInCell="1" allowOverlap="1">
                <wp:simplePos x="0" y="0"/>
                <wp:positionH relativeFrom="column">
                  <wp:posOffset>2459990</wp:posOffset>
                </wp:positionH>
                <wp:positionV relativeFrom="paragraph">
                  <wp:posOffset>6985</wp:posOffset>
                </wp:positionV>
                <wp:extent cx="718820" cy="424815"/>
                <wp:effectExtent l="0" t="635" r="0" b="3175"/>
                <wp:wrapNone/>
                <wp:docPr id="98290424" name="Text Box 25"/>
                <wp:cNvGraphicFramePr/>
                <a:graphic xmlns:a="http://schemas.openxmlformats.org/drawingml/2006/main">
                  <a:graphicData uri="http://schemas.microsoft.com/office/word/2010/wordprocessingShape">
                    <wps:wsp>
                      <wps:cNvSpPr txBox="1">
                        <a:spLocks noChangeArrowheads="1"/>
                      </wps:cNvSpPr>
                      <wps:spPr bwMode="auto">
                        <a:xfrm>
                          <a:off x="0" y="0"/>
                          <a:ext cx="718820" cy="424815"/>
                        </a:xfrm>
                        <a:prstGeom prst="rect">
                          <a:avLst/>
                        </a:prstGeom>
                        <a:noFill/>
                        <a:ln>
                          <a:noFill/>
                        </a:ln>
                      </wps:spPr>
                      <wps:txbx>
                        <w:txbxContent>
                          <w:p w14:paraId="468E275C">
                            <w:pPr>
                              <w:rPr>
                                <w:rFonts w:hint="default"/>
                                <w:lang w:val="en-US" w:eastAsia="zh-CN"/>
                              </w:rPr>
                            </w:pPr>
                            <w:r>
                              <w:rPr>
                                <w:rFonts w:hint="eastAsia"/>
                              </w:rPr>
                              <w:t>549</w:t>
                            </w:r>
                            <w:r>
                              <w:rPr>
                                <w:rFonts w:hint="eastAsia"/>
                                <w:lang w:val="en-US" w:eastAsia="zh-CN"/>
                              </w:rPr>
                              <w:t>8.075</w:t>
                            </w:r>
                          </w:p>
                        </w:txbxContent>
                      </wps:txbx>
                      <wps:bodyPr rot="0" vert="horz" wrap="square" lIns="91440" tIns="45720" rIns="91440" bIns="45720" anchor="t" anchorCtr="0" upright="1">
                        <a:noAutofit/>
                      </wps:bodyPr>
                    </wps:wsp>
                  </a:graphicData>
                </a:graphic>
              </wp:anchor>
            </w:drawing>
          </mc:Choice>
          <mc:Fallback>
            <w:pict>
              <v:shape id="Text Box 25" o:spid="_x0000_s1026" o:spt="202" type="#_x0000_t202" style="position:absolute;left:0pt;margin-left:193.7pt;margin-top:0.55pt;height:33.45pt;width:56.6pt;z-index:251694080;mso-width-relative:page;mso-height-relative:page;" filled="f" stroked="f" coordsize="21600,21600" o:gfxdata="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BOCTLfVAAAACAEAAA8AAAAAAAAAAQAgAAAAIgAA&#10;AGRycy9kb3ducmV2LnhtbFBLAQIUABQAAAAIAIdO4kBCG4RsCwIAABsEAAAOAAAAAAAAAAEAIAAA&#10;ACQBAABkcnMvZTJvRG9jLnhtbFBLBQYAAAAABgAGAFkBAAChBQAAAAA=&#10;">
                <v:fill on="f" focussize="0,0"/>
                <v:stroke on="f"/>
                <v:imagedata o:title=""/>
                <o:lock v:ext="edit" aspectratio="f"/>
                <v:textbox>
                  <w:txbxContent>
                    <w:p w14:paraId="468E275C">
                      <w:pPr>
                        <w:rPr>
                          <w:rFonts w:hint="default"/>
                          <w:lang w:val="en-US" w:eastAsia="zh-CN"/>
                        </w:rPr>
                      </w:pPr>
                      <w:r>
                        <w:rPr>
                          <w:rFonts w:hint="eastAsia"/>
                        </w:rPr>
                        <w:t>549</w:t>
                      </w:r>
                      <w:r>
                        <w:rPr>
                          <w:rFonts w:hint="eastAsia"/>
                          <w:lang w:val="en-US" w:eastAsia="zh-CN"/>
                        </w:rPr>
                        <w:t>8.075</w:t>
                      </w:r>
                    </w:p>
                  </w:txbxContent>
                </v:textbox>
              </v:shape>
            </w:pict>
          </mc:Fallback>
        </mc:AlternateContent>
      </w:r>
    </w:p>
    <w:p w14:paraId="49832858">
      <w:pPr>
        <w:pStyle w:val="38"/>
      </w:pPr>
      <w:r>
        <w:rPr>
          <w:sz w:val="21"/>
        </w:rPr>
        <mc:AlternateContent>
          <mc:Choice Requires="wps">
            <w:drawing>
              <wp:anchor distT="0" distB="0" distL="114300" distR="114300" simplePos="0" relativeHeight="251693056" behindDoc="1" locked="0" layoutInCell="1" allowOverlap="1">
                <wp:simplePos x="0" y="0"/>
                <wp:positionH relativeFrom="column">
                  <wp:posOffset>3355340</wp:posOffset>
                </wp:positionH>
                <wp:positionV relativeFrom="paragraph">
                  <wp:posOffset>134620</wp:posOffset>
                </wp:positionV>
                <wp:extent cx="791845" cy="424815"/>
                <wp:effectExtent l="0" t="0" r="0" b="0"/>
                <wp:wrapNone/>
                <wp:docPr id="1771936251" name="Text Box 26"/>
                <wp:cNvGraphicFramePr/>
                <a:graphic xmlns:a="http://schemas.openxmlformats.org/drawingml/2006/main">
                  <a:graphicData uri="http://schemas.microsoft.com/office/word/2010/wordprocessingShape">
                    <wps:wsp>
                      <wps:cNvSpPr txBox="1">
                        <a:spLocks noChangeArrowheads="1"/>
                      </wps:cNvSpPr>
                      <wps:spPr bwMode="auto">
                        <a:xfrm>
                          <a:off x="0" y="0"/>
                          <a:ext cx="791794" cy="424815"/>
                        </a:xfrm>
                        <a:prstGeom prst="rect">
                          <a:avLst/>
                        </a:prstGeom>
                        <a:noFill/>
                        <a:ln>
                          <a:noFill/>
                        </a:ln>
                      </wps:spPr>
                      <wps:txbx>
                        <w:txbxContent>
                          <w:p w14:paraId="58B419A4">
                            <w:pPr>
                              <w:rPr>
                                <w:rFonts w:hint="default"/>
                                <w:lang w:val="en-US" w:eastAsia="zh-CN"/>
                              </w:rPr>
                            </w:pPr>
                            <w:r>
                              <w:rPr>
                                <w:rFonts w:hint="eastAsia"/>
                              </w:rPr>
                              <w:t>549</w:t>
                            </w:r>
                            <w:r>
                              <w:rPr>
                                <w:rFonts w:hint="eastAsia"/>
                                <w:lang w:val="en-US" w:eastAsia="zh-CN"/>
                              </w:rPr>
                              <w:t>8.075</w:t>
                            </w:r>
                          </w:p>
                        </w:txbxContent>
                      </wps:txbx>
                      <wps:bodyPr rot="0" vert="horz" wrap="square" lIns="91440" tIns="45720" rIns="91440" bIns="45720" anchor="t" anchorCtr="0" upright="1">
                        <a:noAutofit/>
                      </wps:bodyPr>
                    </wps:wsp>
                  </a:graphicData>
                </a:graphic>
              </wp:anchor>
            </w:drawing>
          </mc:Choice>
          <mc:Fallback>
            <w:pict>
              <v:shape id="Text Box 26" o:spid="_x0000_s1026" o:spt="202" type="#_x0000_t202" style="position:absolute;left:0pt;margin-left:264.2pt;margin-top:10.6pt;height:33.45pt;width:62.35pt;z-index:-251623424;mso-width-relative:page;mso-height-relative:page;" filled="f" stroked="f" coordsize="21600,21600" o:gfxdata="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D82U89YAAAAJAQAADwAAAAAAAAABACAA&#10;AAAiAAAAZHJzL2Rvd25yZXYueG1sUEsBAhQAFAAAAAgAh07iQC7AJ8oPAgAAHQQAAA4AAAAAAAAA&#10;AQAgAAAAJQEAAGRycy9lMm9Eb2MueG1sUEsFBgAAAAAGAAYAWQEAAKYFAAAAAA==&#10;">
                <v:fill on="f" focussize="0,0"/>
                <v:stroke on="f"/>
                <v:imagedata o:title=""/>
                <o:lock v:ext="edit" aspectratio="f"/>
                <v:textbox>
                  <w:txbxContent>
                    <w:p w14:paraId="58B419A4">
                      <w:pPr>
                        <w:rPr>
                          <w:rFonts w:hint="default"/>
                          <w:lang w:val="en-US" w:eastAsia="zh-CN"/>
                        </w:rPr>
                      </w:pPr>
                      <w:r>
                        <w:rPr>
                          <w:rFonts w:hint="eastAsia"/>
                        </w:rPr>
                        <w:t>549</w:t>
                      </w:r>
                      <w:r>
                        <w:rPr>
                          <w:rFonts w:hint="eastAsia"/>
                          <w:lang w:val="en-US" w:eastAsia="zh-CN"/>
                        </w:rPr>
                        <w:t>8.075</w:t>
                      </w:r>
                    </w:p>
                  </w:txbxContent>
                </v:textbox>
              </v:shape>
            </w:pict>
          </mc:Fallback>
        </mc:AlternateContent>
      </w:r>
      <w:r>
        <w:rPr>
          <w:sz w:val="21"/>
        </w:rPr>
        <mc:AlternateContent>
          <mc:Choice Requires="wps">
            <w:drawing>
              <wp:anchor distT="0" distB="0" distL="114300" distR="114300" simplePos="0" relativeHeight="251668480" behindDoc="0" locked="0" layoutInCell="1" allowOverlap="1">
                <wp:simplePos x="0" y="0"/>
                <wp:positionH relativeFrom="column">
                  <wp:posOffset>4210050</wp:posOffset>
                </wp:positionH>
                <wp:positionV relativeFrom="paragraph">
                  <wp:posOffset>153035</wp:posOffset>
                </wp:positionV>
                <wp:extent cx="847725" cy="495935"/>
                <wp:effectExtent l="0" t="0" r="0" b="0"/>
                <wp:wrapNone/>
                <wp:docPr id="1335796094" name="Text Box 27"/>
                <wp:cNvGraphicFramePr/>
                <a:graphic xmlns:a="http://schemas.openxmlformats.org/drawingml/2006/main">
                  <a:graphicData uri="http://schemas.microsoft.com/office/word/2010/wordprocessingShape">
                    <wps:wsp>
                      <wps:cNvSpPr txBox="1">
                        <a:spLocks noChangeArrowheads="1"/>
                      </wps:cNvSpPr>
                      <wps:spPr bwMode="auto">
                        <a:xfrm>
                          <a:off x="0" y="0"/>
                          <a:ext cx="847725" cy="496252"/>
                        </a:xfrm>
                        <a:prstGeom prst="rect">
                          <a:avLst/>
                        </a:prstGeom>
                        <a:noFill/>
                        <a:ln>
                          <a:noFill/>
                        </a:ln>
                      </wps:spPr>
                      <wps:txbx>
                        <w:txbxContent>
                          <w:p w14:paraId="4AA01EF2">
                            <w:r>
                              <w:rPr>
                                <w:rFonts w:hint="eastAsia"/>
                              </w:rPr>
                              <w:t>进入滴灌带生产线</w:t>
                            </w:r>
                          </w:p>
                        </w:txbxContent>
                      </wps:txbx>
                      <wps:bodyPr rot="0" vert="horz" wrap="square" lIns="91440" tIns="45720" rIns="91440" bIns="45720" anchor="t" anchorCtr="0" upright="1">
                        <a:noAutofit/>
                      </wps:bodyPr>
                    </wps:wsp>
                  </a:graphicData>
                </a:graphic>
              </wp:anchor>
            </w:drawing>
          </mc:Choice>
          <mc:Fallback>
            <w:pict>
              <v:shape id="Text Box 27" o:spid="_x0000_s1026" o:spt="202" type="#_x0000_t202" style="position:absolute;left:0pt;margin-left:331.5pt;margin-top:12.05pt;height:39.05pt;width:66.75pt;z-index:251668480;mso-width-relative:page;mso-height-relative:page;" filled="f" stroked="f" coordsize="21600,21600" o:gfxdata="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GuBqy2AAAAAoBAAAPAAAAAAAAAAEA&#10;IAAAACIAAABkcnMvZG93bnJldi54bWxQSwECFAAUAAAACACHTuJA64HTTA8CAAAdBAAADgAAAAAA&#10;AAABACAAAAAnAQAAZHJzL2Uyb0RvYy54bWxQSwUGAAAAAAYABgBZAQAAqAUAAAAA&#10;">
                <v:fill on="f" focussize="0,0"/>
                <v:stroke on="f"/>
                <v:imagedata o:title=""/>
                <o:lock v:ext="edit" aspectratio="f"/>
                <v:textbox>
                  <w:txbxContent>
                    <w:p w14:paraId="4AA01EF2">
                      <w:r>
                        <w:rPr>
                          <w:rFonts w:hint="eastAsia"/>
                        </w:rPr>
                        <w:t>进入滴灌带生产线</w:t>
                      </w:r>
                    </w:p>
                  </w:txbxContent>
                </v:textbox>
              </v:shape>
            </w:pict>
          </mc:Fallback>
        </mc:AlternateContent>
      </w:r>
      <w:r>
        <w:rPr>
          <w:sz w:val="21"/>
        </w:rPr>
        <mc:AlternateContent>
          <mc:Choice Requires="wps">
            <w:drawing>
              <wp:anchor distT="0" distB="0" distL="114300" distR="114300" simplePos="0" relativeHeight="251685888" behindDoc="0" locked="0" layoutInCell="1" allowOverlap="1">
                <wp:simplePos x="0" y="0"/>
                <wp:positionH relativeFrom="column">
                  <wp:posOffset>1727835</wp:posOffset>
                </wp:positionH>
                <wp:positionV relativeFrom="paragraph">
                  <wp:posOffset>260985</wp:posOffset>
                </wp:positionV>
                <wp:extent cx="1600200" cy="315595"/>
                <wp:effectExtent l="17780" t="14605" r="10795" b="12700"/>
                <wp:wrapNone/>
                <wp:docPr id="1333000184" name="Text Box 28"/>
                <wp:cNvGraphicFramePr/>
                <a:graphic xmlns:a="http://schemas.openxmlformats.org/drawingml/2006/main">
                  <a:graphicData uri="http://schemas.microsoft.com/office/word/2010/wordprocessingShape">
                    <wps:wsp>
                      <wps:cNvSpPr txBox="1">
                        <a:spLocks noChangeArrowheads="1"/>
                      </wps:cNvSpPr>
                      <wps:spPr bwMode="auto">
                        <a:xfrm>
                          <a:off x="0" y="0"/>
                          <a:ext cx="1600200" cy="315595"/>
                        </a:xfrm>
                        <a:prstGeom prst="rect">
                          <a:avLst/>
                        </a:prstGeom>
                        <a:solidFill>
                          <a:srgbClr val="FFFFFF"/>
                        </a:solidFill>
                        <a:ln w="19050">
                          <a:solidFill>
                            <a:srgbClr val="000000"/>
                          </a:solidFill>
                          <a:miter lim="800000"/>
                          <a:tailEnd type="triangle" w="med" len="med"/>
                        </a:ln>
                      </wps:spPr>
                      <wps:txbx>
                        <w:txbxContent>
                          <w:p w14:paraId="7674B18D">
                            <w:pPr>
                              <w:jc w:val="center"/>
                            </w:pPr>
                            <w:r>
                              <w:rPr>
                                <w:rFonts w:hint="eastAsia"/>
                              </w:rPr>
                              <w:t>成品聚乙烯再生颗粒</w:t>
                            </w:r>
                          </w:p>
                        </w:txbxContent>
                      </wps:txbx>
                      <wps:bodyPr rot="0" vert="horz" wrap="square" lIns="91440" tIns="45720" rIns="91440" bIns="45720" anchor="t" anchorCtr="0" upright="1">
                        <a:noAutofit/>
                      </wps:bodyPr>
                    </wps:wsp>
                  </a:graphicData>
                </a:graphic>
              </wp:anchor>
            </w:drawing>
          </mc:Choice>
          <mc:Fallback>
            <w:pict>
              <v:shape id="Text Box 28" o:spid="_x0000_s1026" o:spt="202" type="#_x0000_t202" style="position:absolute;left:0pt;margin-left:136.05pt;margin-top:20.55pt;height:24.85pt;width:126pt;z-index:251685888;mso-width-relative:page;mso-height-relative:page;" fillcolor="#FFFFFF" filled="t" stroked="t" coordsize="21600,21600" o:gfxdata="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ArgzT/XAAAACQEA&#10;AA8AAAAAAAAAAQAgAAAAIgAAAGRycy9kb3ducmV2LnhtbFBLAQIUABQAAAAIAIdO4kAtSk4nVAIA&#10;AL8EAAAOAAAAAAAAAAEAIAAAACYBAABkcnMvZTJvRG9jLnhtbFBLBQYAAAAABgAGAFkBAADsBQAA&#10;AAA=&#10;">
                <v:fill on="t" focussize="0,0"/>
                <v:stroke weight="1.5pt" color="#000000" miterlimit="8" joinstyle="miter" endarrow="block"/>
                <v:imagedata o:title=""/>
                <o:lock v:ext="edit" aspectratio="f"/>
                <v:textbox>
                  <w:txbxContent>
                    <w:p w14:paraId="7674B18D">
                      <w:pPr>
                        <w:jc w:val="center"/>
                      </w:pPr>
                      <w:r>
                        <w:rPr>
                          <w:rFonts w:hint="eastAsia"/>
                        </w:rPr>
                        <w:t>成品聚乙烯再生颗粒</w:t>
                      </w:r>
                    </w:p>
                  </w:txbxContent>
                </v:textbox>
              </v:shape>
            </w:pict>
          </mc:Fallback>
        </mc:AlternateContent>
      </w:r>
    </w:p>
    <w:p w14:paraId="47AF9D7F">
      <w:r>
        <mc:AlternateContent>
          <mc:Choice Requires="wps">
            <w:drawing>
              <wp:anchor distT="0" distB="0" distL="114300" distR="114300" simplePos="0" relativeHeight="251664384" behindDoc="0" locked="0" layoutInCell="1" allowOverlap="1">
                <wp:simplePos x="0" y="0"/>
                <wp:positionH relativeFrom="column">
                  <wp:posOffset>3327400</wp:posOffset>
                </wp:positionH>
                <wp:positionV relativeFrom="paragraph">
                  <wp:posOffset>100330</wp:posOffset>
                </wp:positionV>
                <wp:extent cx="848360" cy="635"/>
                <wp:effectExtent l="17145" t="84455" r="20320" b="76835"/>
                <wp:wrapNone/>
                <wp:docPr id="1531137284" name="Line 29"/>
                <wp:cNvGraphicFramePr/>
                <a:graphic xmlns:a="http://schemas.openxmlformats.org/drawingml/2006/main">
                  <a:graphicData uri="http://schemas.microsoft.com/office/word/2010/wordprocessingShape">
                    <wps:wsp>
                      <wps:cNvCnPr>
                        <a:cxnSpLocks noChangeShapeType="1"/>
                      </wps:cNvCnPr>
                      <wps:spPr bwMode="auto">
                        <a:xfrm>
                          <a:off x="0" y="0"/>
                          <a:ext cx="848360" cy="635"/>
                        </a:xfrm>
                        <a:prstGeom prst="line">
                          <a:avLst/>
                        </a:prstGeom>
                        <a:noFill/>
                        <a:ln w="19050">
                          <a:solidFill>
                            <a:srgbClr val="000000"/>
                          </a:solidFill>
                          <a:round/>
                          <a:tailEnd type="arrow" w="med" len="med"/>
                        </a:ln>
                      </wps:spPr>
                      <wps:bodyPr/>
                    </wps:wsp>
                  </a:graphicData>
                </a:graphic>
              </wp:anchor>
            </w:drawing>
          </mc:Choice>
          <mc:Fallback>
            <w:pict>
              <v:line id="Line 29" o:spid="_x0000_s1026" o:spt="20" style="position:absolute;left:0pt;margin-left:262pt;margin-top:7.9pt;height:0.05pt;width:66.8pt;z-index:251664384;mso-width-relative:page;mso-height-relative:page;" filled="f" stroked="t" coordsize="21600,21600" o:gfxdata="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E/z&#10;reHWAAAACQEAAA8AAAAAAAAAAQAgAAAAIgAAAGRycy9kb3ducmV2LnhtbFBLAQIUABQAAAAIAIdO&#10;4kBnnp2G7AEAANYDAAAOAAAAAAAAAAEAIAAAACUBAABkcnMvZTJvRG9jLnhtbFBLBQYAAAAABgAG&#10;AFkBAACDBQAAAAA=&#10;">
                <v:fill on="f" focussize="0,0"/>
                <v:stroke weight="1.5pt" color="#000000" joinstyle="round" endarrow="open"/>
                <v:imagedata o:title=""/>
                <o:lock v:ext="edit" aspectratio="f"/>
              </v:line>
            </w:pict>
          </mc:Fallback>
        </mc:AlternateContent>
      </w:r>
    </w:p>
    <w:p w14:paraId="3739EFB2">
      <w:pPr>
        <w:jc w:val="center"/>
        <w:rPr>
          <w:b/>
          <w:bCs/>
          <w:color w:val="000000"/>
          <w:sz w:val="24"/>
          <w:szCs w:val="24"/>
        </w:rPr>
      </w:pPr>
    </w:p>
    <w:p w14:paraId="44AD6258">
      <w:pPr>
        <w:jc w:val="center"/>
        <w:rPr>
          <w:b/>
          <w:bCs/>
          <w:color w:val="000000"/>
          <w:sz w:val="24"/>
          <w:szCs w:val="24"/>
        </w:rPr>
      </w:pPr>
      <w:r>
        <w:rPr>
          <w:rFonts w:hint="eastAsia"/>
          <w:b/>
          <w:bCs/>
          <w:color w:val="000000"/>
          <w:sz w:val="24"/>
          <w:szCs w:val="24"/>
        </w:rPr>
        <w:t>图3.3-1   项目造粒生产线物料平衡图</w:t>
      </w:r>
    </w:p>
    <w:p w14:paraId="41646B82">
      <w:pPr>
        <w:pStyle w:val="180"/>
        <w:tabs>
          <w:tab w:val="left" w:pos="0"/>
          <w:tab w:val="clear" w:pos="794"/>
        </w:tabs>
        <w:ind w:left="0" w:firstLine="0"/>
        <w:jc w:val="center"/>
        <w:rPr>
          <w:b/>
          <w:lang w:val="en-US"/>
        </w:rPr>
      </w:pPr>
    </w:p>
    <w:p w14:paraId="4BDD4F00">
      <w:pPr>
        <w:pStyle w:val="180"/>
        <w:tabs>
          <w:tab w:val="left" w:pos="0"/>
          <w:tab w:val="clear" w:pos="794"/>
        </w:tabs>
        <w:ind w:left="0" w:firstLine="0"/>
        <w:jc w:val="center"/>
        <w:rPr>
          <w:b/>
          <w:lang w:val="en-US"/>
        </w:rPr>
      </w:pPr>
    </w:p>
    <w:p w14:paraId="77B9CC1B">
      <w:pPr>
        <w:pStyle w:val="180"/>
        <w:tabs>
          <w:tab w:val="left" w:pos="0"/>
          <w:tab w:val="clear" w:pos="794"/>
        </w:tabs>
        <w:ind w:left="0" w:firstLine="0"/>
        <w:jc w:val="center"/>
        <w:rPr>
          <w:b/>
          <w:lang w:val="en-US"/>
        </w:rPr>
      </w:pPr>
    </w:p>
    <w:p w14:paraId="58F66B18">
      <w:pPr>
        <w:pStyle w:val="180"/>
        <w:tabs>
          <w:tab w:val="left" w:pos="0"/>
          <w:tab w:val="clear" w:pos="794"/>
        </w:tabs>
        <w:ind w:left="0" w:firstLine="0"/>
        <w:jc w:val="center"/>
        <w:rPr>
          <w:b/>
          <w:lang w:val="en-US"/>
        </w:rPr>
      </w:pPr>
    </w:p>
    <w:p w14:paraId="76BAF656">
      <w:pPr>
        <w:pStyle w:val="180"/>
        <w:tabs>
          <w:tab w:val="left" w:pos="0"/>
          <w:tab w:val="clear" w:pos="794"/>
        </w:tabs>
        <w:ind w:left="0" w:firstLine="0"/>
        <w:jc w:val="center"/>
        <w:rPr>
          <w:b/>
          <w:lang w:val="en-US"/>
        </w:rPr>
      </w:pPr>
    </w:p>
    <w:p w14:paraId="447D24B5">
      <w:pPr>
        <w:pStyle w:val="180"/>
        <w:ind w:left="624" w:hangingChars="260"/>
      </w:pPr>
      <w:r>
        <w:rPr>
          <w:rFonts w:hint="eastAsia"/>
          <w:lang w:val="en-US"/>
        </w:rPr>
        <mc:AlternateContent>
          <mc:Choice Requires="wps">
            <w:drawing>
              <wp:anchor distT="0" distB="0" distL="114300" distR="114300" simplePos="0" relativeHeight="251716608" behindDoc="0" locked="0" layoutInCell="1" allowOverlap="1">
                <wp:simplePos x="0" y="0"/>
                <wp:positionH relativeFrom="column">
                  <wp:posOffset>1264285</wp:posOffset>
                </wp:positionH>
                <wp:positionV relativeFrom="paragraph">
                  <wp:posOffset>104775</wp:posOffset>
                </wp:positionV>
                <wp:extent cx="3717925" cy="333375"/>
                <wp:effectExtent l="9525" t="9525" r="15875" b="9525"/>
                <wp:wrapNone/>
                <wp:docPr id="1971072328" name="文本框 105"/>
                <wp:cNvGraphicFramePr/>
                <a:graphic xmlns:a="http://schemas.openxmlformats.org/drawingml/2006/main">
                  <a:graphicData uri="http://schemas.microsoft.com/office/word/2010/wordprocessingShape">
                    <wps:wsp>
                      <wps:cNvSpPr txBox="1">
                        <a:spLocks noChangeArrowheads="1"/>
                      </wps:cNvSpPr>
                      <wps:spPr bwMode="auto">
                        <a:xfrm>
                          <a:off x="0" y="0"/>
                          <a:ext cx="3717925" cy="333375"/>
                        </a:xfrm>
                        <a:prstGeom prst="rect">
                          <a:avLst/>
                        </a:prstGeom>
                        <a:solidFill>
                          <a:srgbClr val="FFFFFF"/>
                        </a:solidFill>
                        <a:ln w="19050" cmpd="sng">
                          <a:solidFill>
                            <a:srgbClr val="000000"/>
                          </a:solidFill>
                          <a:miter lim="800000"/>
                        </a:ln>
                        <a:effectLst/>
                      </wps:spPr>
                      <wps:txbx>
                        <w:txbxContent>
                          <w:p w14:paraId="261DA6B6">
                            <w:pPr>
                              <w:rPr>
                                <w:color w:val="000000"/>
                                <w:sz w:val="24"/>
                                <w:szCs w:val="24"/>
                              </w:rPr>
                            </w:pPr>
                            <w:r>
                              <w:rPr>
                                <w:rFonts w:hint="eastAsia"/>
                              </w:rPr>
                              <w:t>再生</w:t>
                            </w:r>
                            <w:r>
                              <w:rPr>
                                <w:rFonts w:hint="eastAsia"/>
                                <w:color w:val="000000"/>
                                <w:sz w:val="24"/>
                                <w:szCs w:val="24"/>
                              </w:rPr>
                              <w:t>颗粒（本厂）</w:t>
                            </w:r>
                            <w:r>
                              <w:rPr>
                                <w:rFonts w:hint="eastAsia"/>
                              </w:rPr>
                              <w:t>549</w:t>
                            </w:r>
                            <w:r>
                              <w:rPr>
                                <w:rFonts w:hint="eastAsia"/>
                                <w:lang w:val="en-US" w:eastAsia="zh-CN"/>
                              </w:rPr>
                              <w:t>8.075</w:t>
                            </w:r>
                            <w:r>
                              <w:rPr>
                                <w:rFonts w:hint="eastAsia"/>
                                <w:color w:val="000000"/>
                                <w:szCs w:val="21"/>
                              </w:rPr>
                              <w:t>、聚乙烯颗粒（新料）</w:t>
                            </w:r>
                            <w:r>
                              <w:rPr>
                                <w:rFonts w:hint="eastAsia"/>
                                <w:bCs/>
                                <w:szCs w:val="21"/>
                              </w:rPr>
                              <w:t>3519</w:t>
                            </w:r>
                          </w:p>
                        </w:txbxContent>
                      </wps:txbx>
                      <wps:bodyPr rot="0" vert="horz" wrap="square" lIns="91440" tIns="45720" rIns="91440" bIns="45720" anchor="t" anchorCtr="0" upright="1">
                        <a:noAutofit/>
                      </wps:bodyPr>
                    </wps:wsp>
                  </a:graphicData>
                </a:graphic>
              </wp:anchor>
            </w:drawing>
          </mc:Choice>
          <mc:Fallback>
            <w:pict>
              <v:shape id="文本框 105" o:spid="_x0000_s1026" o:spt="202" type="#_x0000_t202" style="position:absolute;left:0pt;margin-left:99.55pt;margin-top:8.25pt;height:26.25pt;width:292.75pt;z-index:251716608;mso-width-relative:page;mso-height-relative:page;" fillcolor="#FFFFFF" filled="t" stroked="t" coordsize="21600,21600" o:gfxdata="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OBuM7DWAAAACQEA&#10;AA8AAAAAAAAAAQAgAAAAIgAAAGRycy9kb3ducmV2LnhtbFBLAQIUABQAAAAIAIdO4kCNeEGQVQIA&#10;AKwEAAAOAAAAAAAAAAEAIAAAACUBAABkcnMvZTJvRG9jLnhtbFBLBQYAAAAABgAGAFkBAADsBQAA&#10;AAA=&#10;">
                <v:fill on="t" focussize="0,0"/>
                <v:stroke weight="1.5pt" color="#000000" miterlimit="8" joinstyle="miter"/>
                <v:imagedata o:title=""/>
                <o:lock v:ext="edit" aspectratio="f"/>
                <v:textbox>
                  <w:txbxContent>
                    <w:p w14:paraId="261DA6B6">
                      <w:pPr>
                        <w:rPr>
                          <w:color w:val="000000"/>
                          <w:sz w:val="24"/>
                          <w:szCs w:val="24"/>
                        </w:rPr>
                      </w:pPr>
                      <w:r>
                        <w:rPr>
                          <w:rFonts w:hint="eastAsia"/>
                        </w:rPr>
                        <w:t>再生</w:t>
                      </w:r>
                      <w:r>
                        <w:rPr>
                          <w:rFonts w:hint="eastAsia"/>
                          <w:color w:val="000000"/>
                          <w:sz w:val="24"/>
                          <w:szCs w:val="24"/>
                        </w:rPr>
                        <w:t>颗粒（本厂）</w:t>
                      </w:r>
                      <w:r>
                        <w:rPr>
                          <w:rFonts w:hint="eastAsia"/>
                        </w:rPr>
                        <w:t>549</w:t>
                      </w:r>
                      <w:r>
                        <w:rPr>
                          <w:rFonts w:hint="eastAsia"/>
                          <w:lang w:val="en-US" w:eastAsia="zh-CN"/>
                        </w:rPr>
                        <w:t>8.075</w:t>
                      </w:r>
                      <w:r>
                        <w:rPr>
                          <w:rFonts w:hint="eastAsia"/>
                          <w:color w:val="000000"/>
                          <w:szCs w:val="21"/>
                        </w:rPr>
                        <w:t>、聚乙烯颗粒（新料）</w:t>
                      </w:r>
                      <w:r>
                        <w:rPr>
                          <w:rFonts w:hint="eastAsia"/>
                          <w:bCs/>
                          <w:szCs w:val="21"/>
                        </w:rPr>
                        <w:t>3519</w:t>
                      </w:r>
                    </w:p>
                  </w:txbxContent>
                </v:textbox>
              </v:shape>
            </w:pict>
          </mc:Fallback>
        </mc:AlternateContent>
      </w:r>
    </w:p>
    <w:p w14:paraId="0FF5FC5D">
      <w:pPr>
        <w:pStyle w:val="180"/>
        <w:ind w:left="624" w:hangingChars="260"/>
      </w:pPr>
      <w:r>
        <w:rPr>
          <w:rFonts w:hint="eastAsia"/>
          <w:lang w:val="en-US"/>
        </w:rPr>
        <mc:AlternateContent>
          <mc:Choice Requires="wps">
            <w:drawing>
              <wp:anchor distT="0" distB="0" distL="114300" distR="114300" simplePos="0" relativeHeight="251731968" behindDoc="0" locked="0" layoutInCell="1" allowOverlap="1">
                <wp:simplePos x="0" y="0"/>
                <wp:positionH relativeFrom="column">
                  <wp:posOffset>2712085</wp:posOffset>
                </wp:positionH>
                <wp:positionV relativeFrom="paragraph">
                  <wp:posOffset>184150</wp:posOffset>
                </wp:positionV>
                <wp:extent cx="952500" cy="333375"/>
                <wp:effectExtent l="0" t="0" r="0" b="0"/>
                <wp:wrapNone/>
                <wp:docPr id="1660608807" name="文本框 101"/>
                <wp:cNvGraphicFramePr/>
                <a:graphic xmlns:a="http://schemas.openxmlformats.org/drawingml/2006/main">
                  <a:graphicData uri="http://schemas.microsoft.com/office/word/2010/wordprocessingShape">
                    <wps:wsp>
                      <wps:cNvSpPr txBox="1">
                        <a:spLocks noChangeArrowheads="1"/>
                      </wps:cNvSpPr>
                      <wps:spPr bwMode="auto">
                        <a:xfrm>
                          <a:off x="0" y="0"/>
                          <a:ext cx="952500" cy="333375"/>
                        </a:xfrm>
                        <a:prstGeom prst="rect">
                          <a:avLst/>
                        </a:prstGeom>
                        <a:noFill/>
                        <a:ln>
                          <a:noFill/>
                        </a:ln>
                        <a:effectLst/>
                      </wps:spPr>
                      <wps:txbx>
                        <w:txbxContent>
                          <w:p w14:paraId="6618334D">
                            <w:pPr>
                              <w:jc w:val="center"/>
                              <w:rPr>
                                <w:rFonts w:hint="eastAsia" w:eastAsia="宋体"/>
                                <w:lang w:val="en-US" w:eastAsia="zh-CN"/>
                              </w:rPr>
                            </w:pPr>
                            <w:r>
                              <w:rPr>
                                <w:rFonts w:hint="eastAsia"/>
                                <w:lang w:val="en-US" w:eastAsia="zh-CN"/>
                              </w:rPr>
                              <w:t>9017.075</w:t>
                            </w:r>
                          </w:p>
                        </w:txbxContent>
                      </wps:txbx>
                      <wps:bodyPr rot="0" vert="horz" wrap="square" lIns="91440" tIns="45720" rIns="91440" bIns="45720" anchor="t" anchorCtr="0" upright="1">
                        <a:noAutofit/>
                      </wps:bodyPr>
                    </wps:wsp>
                  </a:graphicData>
                </a:graphic>
              </wp:anchor>
            </w:drawing>
          </mc:Choice>
          <mc:Fallback>
            <w:pict>
              <v:shape id="文本框 101" o:spid="_x0000_s1026" o:spt="202" type="#_x0000_t202" style="position:absolute;left:0pt;margin-left:213.55pt;margin-top:14.5pt;height:26.25pt;width:75pt;z-index:251731968;mso-width-relative:page;mso-height-relative:page;" filled="f" stroked="f" coordsize="21600,21600" o:gfxdata="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GYaGGDW&#10;AAAACQEAAA8AAAAAAAAAAQAgAAAAIgAAAGRycy9kb3ducmV2LnhtbFBLAQIUABQAAAAIAIdO4kAu&#10;alz6IgIAAC0EAAAOAAAAAAAAAAEAIAAAACUBAABkcnMvZTJvRG9jLnhtbFBLBQYAAAAABgAGAFkB&#10;AAC5BQAAAAA=&#10;">
                <v:fill on="f" focussize="0,0"/>
                <v:stroke on="f"/>
                <v:imagedata o:title=""/>
                <o:lock v:ext="edit" aspectratio="f"/>
                <v:textbox>
                  <w:txbxContent>
                    <w:p w14:paraId="6618334D">
                      <w:pPr>
                        <w:jc w:val="center"/>
                        <w:rPr>
                          <w:rFonts w:hint="eastAsia" w:eastAsia="宋体"/>
                          <w:lang w:val="en-US" w:eastAsia="zh-CN"/>
                        </w:rPr>
                      </w:pPr>
                      <w:r>
                        <w:rPr>
                          <w:rFonts w:hint="eastAsia"/>
                          <w:lang w:val="en-US" w:eastAsia="zh-CN"/>
                        </w:rPr>
                        <w:t>9017.075</w:t>
                      </w:r>
                    </w:p>
                  </w:txbxContent>
                </v:textbox>
              </v:shape>
            </w:pict>
          </mc:Fallback>
        </mc:AlternateContent>
      </w:r>
      <w:r>
        <w:rPr>
          <w:rFonts w:hint="eastAsia"/>
          <w:lang w:val="en-US"/>
        </w:rPr>
        <mc:AlternateContent>
          <mc:Choice Requires="wps">
            <w:drawing>
              <wp:anchor distT="0" distB="0" distL="114300" distR="114300" simplePos="0" relativeHeight="251743232" behindDoc="0" locked="0" layoutInCell="1" allowOverlap="1">
                <wp:simplePos x="0" y="0"/>
                <wp:positionH relativeFrom="column">
                  <wp:posOffset>1425575</wp:posOffset>
                </wp:positionH>
                <wp:positionV relativeFrom="paragraph">
                  <wp:posOffset>198120</wp:posOffset>
                </wp:positionV>
                <wp:extent cx="742950" cy="333375"/>
                <wp:effectExtent l="0" t="0" r="0" b="0"/>
                <wp:wrapNone/>
                <wp:docPr id="2" name="文本框 91"/>
                <wp:cNvGraphicFramePr/>
                <a:graphic xmlns:a="http://schemas.openxmlformats.org/drawingml/2006/main">
                  <a:graphicData uri="http://schemas.microsoft.com/office/word/2010/wordprocessingShape">
                    <wps:wsp>
                      <wps:cNvSpPr txBox="1">
                        <a:spLocks noChangeArrowheads="1"/>
                      </wps:cNvSpPr>
                      <wps:spPr bwMode="auto">
                        <a:xfrm>
                          <a:off x="0" y="0"/>
                          <a:ext cx="742950" cy="333375"/>
                        </a:xfrm>
                        <a:prstGeom prst="rect">
                          <a:avLst/>
                        </a:prstGeom>
                        <a:noFill/>
                        <a:ln>
                          <a:noFill/>
                        </a:ln>
                      </wps:spPr>
                      <wps:txbx>
                        <w:txbxContent>
                          <w:p w14:paraId="0E202EA1">
                            <w:pPr>
                              <w:autoSpaceDE w:val="0"/>
                              <w:autoSpaceDN w:val="0"/>
                              <w:spacing w:line="280" w:lineRule="exact"/>
                              <w:ind w:left="-19" w:leftChars="-9" w:firstLine="31"/>
                              <w:jc w:val="center"/>
                              <w:rPr>
                                <w:rFonts w:hint="eastAsia"/>
                                <w:bCs/>
                                <w:szCs w:val="21"/>
                                <w:lang w:val="en-US" w:bidi="zh-CN"/>
                              </w:rPr>
                            </w:pPr>
                            <w:r>
                              <w:rPr>
                                <w:rFonts w:hint="eastAsia"/>
                                <w:bCs/>
                                <w:szCs w:val="21"/>
                                <w:lang w:val="en-US" w:bidi="zh-CN"/>
                              </w:rPr>
                              <w:t>511.4512</w:t>
                            </w:r>
                          </w:p>
                          <w:p w14:paraId="5C43327B"/>
                        </w:txbxContent>
                      </wps:txbx>
                      <wps:bodyPr rot="0" vert="horz" wrap="square" lIns="91440" tIns="45720" rIns="91440" bIns="45720" anchor="t" anchorCtr="0" upright="1">
                        <a:noAutofit/>
                      </wps:bodyPr>
                    </wps:wsp>
                  </a:graphicData>
                </a:graphic>
              </wp:anchor>
            </w:drawing>
          </mc:Choice>
          <mc:Fallback>
            <w:pict>
              <v:shape id="文本框 91" o:spid="_x0000_s1026" o:spt="202" type="#_x0000_t202" style="position:absolute;left:0pt;margin-left:112.25pt;margin-top:15.6pt;height:26.25pt;width:58.5pt;z-index:251743232;mso-width-relative:page;mso-height-relative:page;" filled="f" stroked="f" coordsize="21600,21600" o:gfxdata="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uXNnDdYAAAAJAQAADwAAAAAA&#10;AAABACAAAAAiAAAAZHJzL2Rvd25yZXYueG1sUEsBAhQAFAAAAAgAh07iQKGxMWYVAgAAFQQAAA4A&#10;AAAAAAAAAQAgAAAAJQEAAGRycy9lMm9Eb2MueG1sUEsFBgAAAAAGAAYAWQEAAKwFAAAAAA==&#10;">
                <v:fill on="f" focussize="0,0"/>
                <v:stroke on="f"/>
                <v:imagedata o:title=""/>
                <o:lock v:ext="edit" aspectratio="f"/>
                <v:textbox>
                  <w:txbxContent>
                    <w:p w14:paraId="0E202EA1">
                      <w:pPr>
                        <w:autoSpaceDE w:val="0"/>
                        <w:autoSpaceDN w:val="0"/>
                        <w:spacing w:line="280" w:lineRule="exact"/>
                        <w:ind w:left="-19" w:leftChars="-9" w:firstLine="31"/>
                        <w:jc w:val="center"/>
                        <w:rPr>
                          <w:rFonts w:hint="eastAsia"/>
                          <w:bCs/>
                          <w:szCs w:val="21"/>
                          <w:lang w:val="en-US" w:bidi="zh-CN"/>
                        </w:rPr>
                      </w:pPr>
                      <w:r>
                        <w:rPr>
                          <w:rFonts w:hint="eastAsia"/>
                          <w:bCs/>
                          <w:szCs w:val="21"/>
                          <w:lang w:val="en-US" w:bidi="zh-CN"/>
                        </w:rPr>
                        <w:t>511.4512</w:t>
                      </w:r>
                    </w:p>
                    <w:p w14:paraId="5C43327B"/>
                  </w:txbxContent>
                </v:textbox>
              </v:shape>
            </w:pict>
          </mc:Fallback>
        </mc:AlternateContent>
      </w:r>
      <w:r>
        <w:rPr>
          <w:rFonts w:hint="eastAsia"/>
          <w:lang w:val="en-US"/>
        </w:rPr>
        <mc:AlternateContent>
          <mc:Choice Requires="wps">
            <w:drawing>
              <wp:anchor distT="0" distB="0" distL="114300" distR="114300" simplePos="0" relativeHeight="251738112" behindDoc="0" locked="0" layoutInCell="1" allowOverlap="1">
                <wp:simplePos x="0" y="0"/>
                <wp:positionH relativeFrom="column">
                  <wp:posOffset>2797810</wp:posOffset>
                </wp:positionH>
                <wp:positionV relativeFrom="paragraph">
                  <wp:posOffset>1485900</wp:posOffset>
                </wp:positionV>
                <wp:extent cx="971550" cy="333375"/>
                <wp:effectExtent l="0" t="2540" r="0" b="0"/>
                <wp:wrapNone/>
                <wp:docPr id="1841560788" name="文本框 104"/>
                <wp:cNvGraphicFramePr/>
                <a:graphic xmlns:a="http://schemas.openxmlformats.org/drawingml/2006/main">
                  <a:graphicData uri="http://schemas.microsoft.com/office/word/2010/wordprocessingShape">
                    <wps:wsp>
                      <wps:cNvSpPr txBox="1">
                        <a:spLocks noChangeArrowheads="1"/>
                      </wps:cNvSpPr>
                      <wps:spPr bwMode="auto">
                        <a:xfrm>
                          <a:off x="0" y="0"/>
                          <a:ext cx="971550" cy="333375"/>
                        </a:xfrm>
                        <a:prstGeom prst="rect">
                          <a:avLst/>
                        </a:prstGeom>
                        <a:noFill/>
                        <a:ln>
                          <a:noFill/>
                        </a:ln>
                      </wps:spPr>
                      <wps:txbx>
                        <w:txbxContent>
                          <w:p w14:paraId="5A916C02">
                            <w:pPr>
                              <w:jc w:val="center"/>
                              <w:rPr>
                                <w:rFonts w:hint="default" w:eastAsia="宋体"/>
                                <w:lang w:val="en-US" w:eastAsia="zh-CN"/>
                              </w:rPr>
                            </w:pPr>
                            <w:r>
                              <w:rPr>
                                <w:rFonts w:hint="eastAsia"/>
                              </w:rPr>
                              <w:t>100</w:t>
                            </w:r>
                            <w:r>
                              <w:rPr>
                                <w:rFonts w:hint="eastAsia"/>
                                <w:lang w:val="en-US" w:eastAsia="zh-CN"/>
                              </w:rPr>
                              <w:t>24.985</w:t>
                            </w:r>
                          </w:p>
                        </w:txbxContent>
                      </wps:txbx>
                      <wps:bodyPr rot="0" vert="horz" wrap="square" lIns="91440" tIns="45720" rIns="91440" bIns="45720" anchor="t" anchorCtr="0" upright="1">
                        <a:noAutofit/>
                      </wps:bodyPr>
                    </wps:wsp>
                  </a:graphicData>
                </a:graphic>
              </wp:anchor>
            </w:drawing>
          </mc:Choice>
          <mc:Fallback>
            <w:pict>
              <v:shape id="文本框 104" o:spid="_x0000_s1026" o:spt="202" type="#_x0000_t202" style="position:absolute;left:0pt;margin-left:220.3pt;margin-top:117pt;height:26.25pt;width:76.5pt;z-index:251738112;mso-width-relative:page;mso-height-relative:page;" filled="f" stroked="f" coordsize="21600,21600" o:gfxdata="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6RlVn1wAA&#10;AAsBAAAPAAAAAAAAAAEAIAAAACIAAABkcnMvZG93bnJldi54bWxQSwECFAAUAAAACACHTuJAMYFg&#10;+R8CAAAfBAAADgAAAAAAAAABACAAAAAmAQAAZHJzL2Uyb0RvYy54bWxQSwUGAAAAAAYABgBZAQAA&#10;twUAAAAA&#10;">
                <v:fill on="f" focussize="0,0"/>
                <v:stroke on="f"/>
                <v:imagedata o:title=""/>
                <o:lock v:ext="edit" aspectratio="f"/>
                <v:textbox>
                  <w:txbxContent>
                    <w:p w14:paraId="5A916C02">
                      <w:pPr>
                        <w:jc w:val="center"/>
                        <w:rPr>
                          <w:rFonts w:hint="default" w:eastAsia="宋体"/>
                          <w:lang w:val="en-US" w:eastAsia="zh-CN"/>
                        </w:rPr>
                      </w:pPr>
                      <w:r>
                        <w:rPr>
                          <w:rFonts w:hint="eastAsia"/>
                        </w:rPr>
                        <w:t>100</w:t>
                      </w:r>
                      <w:r>
                        <w:rPr>
                          <w:rFonts w:hint="eastAsia"/>
                          <w:lang w:val="en-US" w:eastAsia="zh-CN"/>
                        </w:rPr>
                        <w:t>24.985</w:t>
                      </w:r>
                    </w:p>
                  </w:txbxContent>
                </v:textbox>
              </v:shape>
            </w:pict>
          </mc:Fallback>
        </mc:AlternateContent>
      </w:r>
      <w:r>
        <w:rPr>
          <w:rFonts w:hint="eastAsia"/>
          <w:lang w:val="en-US"/>
        </w:rPr>
        <mc:AlternateContent>
          <mc:Choice Requires="wps">
            <w:drawing>
              <wp:anchor distT="0" distB="0" distL="114300" distR="114300" simplePos="0" relativeHeight="251724800" behindDoc="0" locked="0" layoutInCell="1" allowOverlap="1">
                <wp:simplePos x="0" y="0"/>
                <wp:positionH relativeFrom="column">
                  <wp:posOffset>2912110</wp:posOffset>
                </wp:positionH>
                <wp:positionV relativeFrom="paragraph">
                  <wp:posOffset>2152650</wp:posOffset>
                </wp:positionV>
                <wp:extent cx="0" cy="304800"/>
                <wp:effectExtent l="57150" t="12065" r="57150" b="16510"/>
                <wp:wrapNone/>
                <wp:docPr id="87437500" name="直接箭头连接符 100"/>
                <wp:cNvGraphicFramePr/>
                <a:graphic xmlns:a="http://schemas.openxmlformats.org/drawingml/2006/main">
                  <a:graphicData uri="http://schemas.microsoft.com/office/word/2010/wordprocessingShape">
                    <wps:wsp>
                      <wps:cNvCnPr>
                        <a:cxnSpLocks noChangeShapeType="1"/>
                      </wps:cNvCnPr>
                      <wps:spPr bwMode="auto">
                        <a:xfrm>
                          <a:off x="0" y="0"/>
                          <a:ext cx="0" cy="304800"/>
                        </a:xfrm>
                        <a:prstGeom prst="straightConnector1">
                          <a:avLst/>
                        </a:prstGeom>
                        <a:noFill/>
                        <a:ln w="9525" cmpd="sng">
                          <a:solidFill>
                            <a:srgbClr val="000000"/>
                          </a:solidFill>
                          <a:round/>
                          <a:tailEnd type="triangle" w="med" len="med"/>
                        </a:ln>
                      </wps:spPr>
                      <wps:bodyPr/>
                    </wps:wsp>
                  </a:graphicData>
                </a:graphic>
              </wp:anchor>
            </w:drawing>
          </mc:Choice>
          <mc:Fallback>
            <w:pict>
              <v:shape id="直接箭头连接符 100" o:spid="_x0000_s1026" o:spt="32" type="#_x0000_t32" style="position:absolute;left:0pt;margin-left:229.3pt;margin-top:169.5pt;height:24pt;width:0pt;z-index:251724800;mso-width-relative:page;mso-height-relative:page;" filled="f" stroked="t" coordsize="21600,21600" o:gfxdata="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A86bLHZAAAA&#10;CwEAAA8AAAAAAAAAAQAgAAAAIgAAAGRycy9kb3ducmV2LnhtbFBLAQIUABQAAAAIAIdO4kCtyu88&#10;HAIAAP8DAAAOAAAAAAAAAAEAIAAAACgBAABkcnMvZTJvRG9jLnhtbFBLBQYAAAAABgAGAFkBAAC2&#10;BQAAAAA=&#10;">
                <v:fill on="f" focussize="0,0"/>
                <v:stroke color="#000000" joinstyle="round" endarrow="block"/>
                <v:imagedata o:title=""/>
                <o:lock v:ext="edit" aspectratio="f"/>
              </v:shape>
            </w:pict>
          </mc:Fallback>
        </mc:AlternateContent>
      </w:r>
      <w:r>
        <w:rPr>
          <w:rFonts w:hint="eastAsia"/>
          <w:lang w:val="en-US"/>
        </w:rPr>
        <mc:AlternateContent>
          <mc:Choice Requires="wps">
            <w:drawing>
              <wp:anchor distT="0" distB="0" distL="114300" distR="114300" simplePos="0" relativeHeight="251723776" behindDoc="0" locked="0" layoutInCell="1" allowOverlap="1">
                <wp:simplePos x="0" y="0"/>
                <wp:positionH relativeFrom="column">
                  <wp:posOffset>2912110</wp:posOffset>
                </wp:positionH>
                <wp:positionV relativeFrom="paragraph">
                  <wp:posOffset>1495425</wp:posOffset>
                </wp:positionV>
                <wp:extent cx="0" cy="304800"/>
                <wp:effectExtent l="57150" t="12065" r="57150" b="16510"/>
                <wp:wrapNone/>
                <wp:docPr id="1391003978" name="直接箭头连接符 99"/>
                <wp:cNvGraphicFramePr/>
                <a:graphic xmlns:a="http://schemas.openxmlformats.org/drawingml/2006/main">
                  <a:graphicData uri="http://schemas.microsoft.com/office/word/2010/wordprocessingShape">
                    <wps:wsp>
                      <wps:cNvCnPr>
                        <a:cxnSpLocks noChangeShapeType="1"/>
                      </wps:cNvCnPr>
                      <wps:spPr bwMode="auto">
                        <a:xfrm>
                          <a:off x="0" y="0"/>
                          <a:ext cx="0" cy="304800"/>
                        </a:xfrm>
                        <a:prstGeom prst="straightConnector1">
                          <a:avLst/>
                        </a:prstGeom>
                        <a:noFill/>
                        <a:ln w="9525" cmpd="sng">
                          <a:solidFill>
                            <a:srgbClr val="000000"/>
                          </a:solidFill>
                          <a:round/>
                          <a:tailEnd type="triangle" w="med" len="med"/>
                        </a:ln>
                      </wps:spPr>
                      <wps:bodyPr/>
                    </wps:wsp>
                  </a:graphicData>
                </a:graphic>
              </wp:anchor>
            </w:drawing>
          </mc:Choice>
          <mc:Fallback>
            <w:pict>
              <v:shape id="直接箭头连接符 99" o:spid="_x0000_s1026" o:spt="32" type="#_x0000_t32" style="position:absolute;left:0pt;margin-left:229.3pt;margin-top:117.75pt;height:24pt;width:0pt;z-index:251723776;mso-width-relative:page;mso-height-relative:page;" filled="f" stroked="t" coordsize="21600,21600" o:gfxdata="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BbsFXva&#10;AAAACwEAAA8AAAAAAAAAAQAgAAAAIgAAAGRycy9kb3ducmV2LnhtbFBLAQIUABQAAAAIAIdO4kBT&#10;fZAVHgIAAAAEAAAOAAAAAAAAAAEAIAAAACkBAABkcnMvZTJvRG9jLnhtbFBLBQYAAAAABgAGAFkB&#10;AAC5BQAAAAA=&#10;">
                <v:fill on="f" focussize="0,0"/>
                <v:stroke color="#000000" joinstyle="round" endarrow="block"/>
                <v:imagedata o:title=""/>
                <o:lock v:ext="edit" aspectratio="f"/>
              </v:shape>
            </w:pict>
          </mc:Fallback>
        </mc:AlternateContent>
      </w:r>
      <w:r>
        <w:rPr>
          <w:rFonts w:hint="eastAsia"/>
          <w:lang w:val="en-US"/>
        </w:rPr>
        <mc:AlternateContent>
          <mc:Choice Requires="wps">
            <w:drawing>
              <wp:anchor distT="0" distB="0" distL="114300" distR="114300" simplePos="0" relativeHeight="251722752" behindDoc="0" locked="0" layoutInCell="1" allowOverlap="1">
                <wp:simplePos x="0" y="0"/>
                <wp:positionH relativeFrom="column">
                  <wp:posOffset>2912110</wp:posOffset>
                </wp:positionH>
                <wp:positionV relativeFrom="paragraph">
                  <wp:posOffset>857250</wp:posOffset>
                </wp:positionV>
                <wp:extent cx="0" cy="304800"/>
                <wp:effectExtent l="57150" t="12065" r="57150" b="16510"/>
                <wp:wrapNone/>
                <wp:docPr id="1781526503" name="直接箭头连接符 98"/>
                <wp:cNvGraphicFramePr/>
                <a:graphic xmlns:a="http://schemas.openxmlformats.org/drawingml/2006/main">
                  <a:graphicData uri="http://schemas.microsoft.com/office/word/2010/wordprocessingShape">
                    <wps:wsp>
                      <wps:cNvCnPr>
                        <a:cxnSpLocks noChangeShapeType="1"/>
                      </wps:cNvCnPr>
                      <wps:spPr bwMode="auto">
                        <a:xfrm>
                          <a:off x="0" y="0"/>
                          <a:ext cx="0" cy="304800"/>
                        </a:xfrm>
                        <a:prstGeom prst="straightConnector1">
                          <a:avLst/>
                        </a:prstGeom>
                        <a:noFill/>
                        <a:ln w="9525" cmpd="sng">
                          <a:solidFill>
                            <a:srgbClr val="000000"/>
                          </a:solidFill>
                          <a:round/>
                          <a:tailEnd type="triangle" w="med" len="med"/>
                        </a:ln>
                      </wps:spPr>
                      <wps:bodyPr/>
                    </wps:wsp>
                  </a:graphicData>
                </a:graphic>
              </wp:anchor>
            </w:drawing>
          </mc:Choice>
          <mc:Fallback>
            <w:pict>
              <v:shape id="直接箭头连接符 98" o:spid="_x0000_s1026" o:spt="32" type="#_x0000_t32" style="position:absolute;left:0pt;margin-left:229.3pt;margin-top:67.5pt;height:24pt;width:0pt;z-index:251722752;mso-width-relative:page;mso-height-relative:page;" filled="f" stroked="t" coordsize="21600,21600" o:gfxdata="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xD34uNkA&#10;AAALAQAADwAAAAAAAAABACAAAAAiAAAAZHJzL2Rvd25yZXYueG1sUEsBAhQAFAAAAAgAh07iQEZA&#10;8uYeAgAAAAQAAA4AAAAAAAAAAQAgAAAAKAEAAGRycy9lMm9Eb2MueG1sUEsFBgAAAAAGAAYAWQEA&#10;ALgFAAAAAA==&#10;">
                <v:fill on="f" focussize="0,0"/>
                <v:stroke color="#000000" joinstyle="round" endarrow="block"/>
                <v:imagedata o:title=""/>
                <o:lock v:ext="edit" aspectratio="f"/>
              </v:shape>
            </w:pict>
          </mc:Fallback>
        </mc:AlternateContent>
      </w:r>
      <w:r>
        <w:rPr>
          <w:rFonts w:hint="eastAsia"/>
          <w:lang w:val="en-US"/>
        </w:rPr>
        <mc:AlternateContent>
          <mc:Choice Requires="wps">
            <w:drawing>
              <wp:anchor distT="0" distB="0" distL="114300" distR="114300" simplePos="0" relativeHeight="251721728" behindDoc="0" locked="0" layoutInCell="1" allowOverlap="1">
                <wp:simplePos x="0" y="0"/>
                <wp:positionH relativeFrom="column">
                  <wp:posOffset>2912110</wp:posOffset>
                </wp:positionH>
                <wp:positionV relativeFrom="paragraph">
                  <wp:posOffset>200025</wp:posOffset>
                </wp:positionV>
                <wp:extent cx="0" cy="304800"/>
                <wp:effectExtent l="57150" t="12065" r="57150" b="16510"/>
                <wp:wrapNone/>
                <wp:docPr id="635404967" name="直接箭头连接符 97"/>
                <wp:cNvGraphicFramePr/>
                <a:graphic xmlns:a="http://schemas.openxmlformats.org/drawingml/2006/main">
                  <a:graphicData uri="http://schemas.microsoft.com/office/word/2010/wordprocessingShape">
                    <wps:wsp>
                      <wps:cNvCnPr>
                        <a:cxnSpLocks noChangeShapeType="1"/>
                      </wps:cNvCnPr>
                      <wps:spPr bwMode="auto">
                        <a:xfrm>
                          <a:off x="0" y="0"/>
                          <a:ext cx="0" cy="304800"/>
                        </a:xfrm>
                        <a:prstGeom prst="straightConnector1">
                          <a:avLst/>
                        </a:prstGeom>
                        <a:noFill/>
                        <a:ln w="9525" cmpd="sng">
                          <a:solidFill>
                            <a:srgbClr val="000000"/>
                          </a:solidFill>
                          <a:round/>
                          <a:tailEnd type="triangle" w="med" len="med"/>
                        </a:ln>
                      </wps:spPr>
                      <wps:bodyPr/>
                    </wps:wsp>
                  </a:graphicData>
                </a:graphic>
              </wp:anchor>
            </w:drawing>
          </mc:Choice>
          <mc:Fallback>
            <w:pict>
              <v:shape id="直接箭头连接符 97" o:spid="_x0000_s1026" o:spt="32" type="#_x0000_t32" style="position:absolute;left:0pt;margin-left:229.3pt;margin-top:15.75pt;height:24pt;width:0pt;z-index:251721728;mso-width-relative:page;mso-height-relative:page;" filled="f" stroked="t" coordsize="21600,21600" o:gfxdata="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C2lL4DZ&#10;AAAACQEAAA8AAAAAAAAAAQAgAAAAIgAAAGRycy9kb3ducmV2LnhtbFBLAQIUABQAAAAIAIdO4kAV&#10;01FWHwIAAP8DAAAOAAAAAAAAAAEAIAAAACgBAABkcnMvZTJvRG9jLnhtbFBLBQYAAAAABgAGAFkB&#10;AAC5BQAAAAA=&#10;">
                <v:fill on="f" focussize="0,0"/>
                <v:stroke color="#000000" joinstyle="round" endarrow="block"/>
                <v:imagedata o:title=""/>
                <o:lock v:ext="edit" aspectratio="f"/>
              </v:shape>
            </w:pict>
          </mc:Fallback>
        </mc:AlternateContent>
      </w:r>
    </w:p>
    <w:p w14:paraId="6ADF2FA2">
      <w:pPr>
        <w:pStyle w:val="180"/>
        <w:ind w:left="624" w:hangingChars="260"/>
      </w:pPr>
      <w:r>
        <w:rPr>
          <w:rFonts w:hint="eastAsia"/>
          <w:lang w:val="en-US"/>
        </w:rPr>
        <mc:AlternateContent>
          <mc:Choice Requires="wps">
            <w:drawing>
              <wp:anchor distT="0" distB="0" distL="114300" distR="114300" simplePos="0" relativeHeight="251727872" behindDoc="0" locked="0" layoutInCell="1" allowOverlap="1">
                <wp:simplePos x="0" y="0"/>
                <wp:positionH relativeFrom="column">
                  <wp:posOffset>1407160</wp:posOffset>
                </wp:positionH>
                <wp:positionV relativeFrom="paragraph">
                  <wp:posOffset>186690</wp:posOffset>
                </wp:positionV>
                <wp:extent cx="733425" cy="0"/>
                <wp:effectExtent l="0" t="9525" r="0" b="9525"/>
                <wp:wrapNone/>
                <wp:docPr id="959831119" name="直接箭头连接符 96"/>
                <wp:cNvGraphicFramePr/>
                <a:graphic xmlns:a="http://schemas.openxmlformats.org/drawingml/2006/main">
                  <a:graphicData uri="http://schemas.microsoft.com/office/word/2010/wordprocessingShape">
                    <wps:wsp>
                      <wps:cNvCnPr>
                        <a:cxnSpLocks noChangeShapeType="1"/>
                      </wps:cNvCnPr>
                      <wps:spPr bwMode="auto">
                        <a:xfrm>
                          <a:off x="0" y="0"/>
                          <a:ext cx="733425" cy="0"/>
                        </a:xfrm>
                        <a:prstGeom prst="straightConnector1">
                          <a:avLst/>
                        </a:prstGeom>
                        <a:noFill/>
                        <a:ln w="19050" cmpd="sng">
                          <a:solidFill>
                            <a:srgbClr val="000000"/>
                          </a:solidFill>
                          <a:round/>
                        </a:ln>
                      </wps:spPr>
                      <wps:bodyPr/>
                    </wps:wsp>
                  </a:graphicData>
                </a:graphic>
              </wp:anchor>
            </w:drawing>
          </mc:Choice>
          <mc:Fallback>
            <w:pict>
              <v:shape id="直接箭头连接符 96" o:spid="_x0000_s1026" o:spt="32" type="#_x0000_t32" style="position:absolute;left:0pt;margin-left:110.8pt;margin-top:14.7pt;height:0pt;width:57.75pt;z-index:251727872;mso-width-relative:page;mso-height-relative:page;" filled="f" stroked="t" coordsize="21600,21600" o:gfxdata="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24+wH1AAAAAkBAAAPAAAAAAAAAAEAIAAAACIAAABkcnMvZG93&#10;bnJldi54bWxQSwECFAAUAAAACACHTuJARiFtSQQCAADSAwAADgAAAAAAAAABACAAAAAjAQAAZHJz&#10;L2Uyb0RvYy54bWxQSwUGAAAAAAYABgBZAQAAmQUAAAAA&#10;">
                <v:fill on="f" focussize="0,0"/>
                <v:stroke weight="1.5pt" color="#000000" joinstyle="round"/>
                <v:imagedata o:title=""/>
                <o:lock v:ext="edit" aspectratio="f"/>
              </v:shape>
            </w:pict>
          </mc:Fallback>
        </mc:AlternateContent>
      </w:r>
      <w:r>
        <w:rPr>
          <w:rFonts w:hint="eastAsia"/>
          <w:lang w:val="en-US"/>
        </w:rPr>
        <mc:AlternateContent>
          <mc:Choice Requires="wps">
            <w:drawing>
              <wp:anchor distT="0" distB="0" distL="114300" distR="114300" simplePos="0" relativeHeight="251726848" behindDoc="0" locked="0" layoutInCell="1" allowOverlap="1">
                <wp:simplePos x="0" y="0"/>
                <wp:positionH relativeFrom="column">
                  <wp:posOffset>2140585</wp:posOffset>
                </wp:positionH>
                <wp:positionV relativeFrom="paragraph">
                  <wp:posOffset>186690</wp:posOffset>
                </wp:positionV>
                <wp:extent cx="0" cy="466725"/>
                <wp:effectExtent l="9525" t="0" r="9525" b="0"/>
                <wp:wrapNone/>
                <wp:docPr id="1428571238" name="直接箭头连接符 95"/>
                <wp:cNvGraphicFramePr/>
                <a:graphic xmlns:a="http://schemas.openxmlformats.org/drawingml/2006/main">
                  <a:graphicData uri="http://schemas.microsoft.com/office/word/2010/wordprocessingShape">
                    <wps:wsp>
                      <wps:cNvCnPr>
                        <a:cxnSpLocks noChangeShapeType="1"/>
                      </wps:cNvCnPr>
                      <wps:spPr bwMode="auto">
                        <a:xfrm>
                          <a:off x="0" y="0"/>
                          <a:ext cx="0" cy="466725"/>
                        </a:xfrm>
                        <a:prstGeom prst="straightConnector1">
                          <a:avLst/>
                        </a:prstGeom>
                        <a:noFill/>
                        <a:ln w="19050" cmpd="sng">
                          <a:solidFill>
                            <a:srgbClr val="000000"/>
                          </a:solidFill>
                          <a:round/>
                        </a:ln>
                      </wps:spPr>
                      <wps:bodyPr/>
                    </wps:wsp>
                  </a:graphicData>
                </a:graphic>
              </wp:anchor>
            </w:drawing>
          </mc:Choice>
          <mc:Fallback>
            <w:pict>
              <v:shape id="直接箭头连接符 95" o:spid="_x0000_s1026" o:spt="32" type="#_x0000_t32" style="position:absolute;left:0pt;margin-left:168.55pt;margin-top:14.7pt;height:36.75pt;width:0pt;z-index:251726848;mso-width-relative:page;mso-height-relative:page;" filled="f" stroked="t" coordsize="21600,21600" o:gfxdata="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PIACK9UAAAAKAQAADwAAAAAAAAABACAAAAAiAAAAZHJzL2Rv&#10;d25yZXYueG1sUEsBAhQAFAAAAAgAh07iQCEh0GMEAgAA0wMAAA4AAAAAAAAAAQAgAAAAJAEAAGRy&#10;cy9lMm9Eb2MueG1sUEsFBgAAAAAGAAYAWQEAAJoFAAAAAA==&#10;">
                <v:fill on="f" focussize="0,0"/>
                <v:stroke weight="1.5pt" color="#000000" joinstyle="round"/>
                <v:imagedata o:title=""/>
                <o:lock v:ext="edit" aspectratio="f"/>
              </v:shape>
            </w:pict>
          </mc:Fallback>
        </mc:AlternateContent>
      </w:r>
      <w:r>
        <w:rPr>
          <w:rFonts w:hint="eastAsia"/>
          <w:lang w:val="en-US"/>
        </w:rPr>
        <mc:AlternateContent>
          <mc:Choice Requires="wps">
            <w:drawing>
              <wp:anchor distT="0" distB="0" distL="114300" distR="114300" simplePos="0" relativeHeight="251730944" behindDoc="0" locked="0" layoutInCell="1" allowOverlap="1">
                <wp:simplePos x="0" y="0"/>
                <wp:positionH relativeFrom="column">
                  <wp:posOffset>435610</wp:posOffset>
                </wp:positionH>
                <wp:positionV relativeFrom="paragraph">
                  <wp:posOffset>520065</wp:posOffset>
                </wp:positionV>
                <wp:extent cx="971550" cy="333375"/>
                <wp:effectExtent l="9525" t="9525" r="9525" b="9525"/>
                <wp:wrapNone/>
                <wp:docPr id="1790837310" name="文本框 94"/>
                <wp:cNvGraphicFramePr/>
                <a:graphic xmlns:a="http://schemas.openxmlformats.org/drawingml/2006/main">
                  <a:graphicData uri="http://schemas.microsoft.com/office/word/2010/wordprocessingShape">
                    <wps:wsp>
                      <wps:cNvSpPr txBox="1">
                        <a:spLocks noChangeArrowheads="1"/>
                      </wps:cNvSpPr>
                      <wps:spPr bwMode="auto">
                        <a:xfrm>
                          <a:off x="0" y="0"/>
                          <a:ext cx="971550" cy="333375"/>
                        </a:xfrm>
                        <a:prstGeom prst="rect">
                          <a:avLst/>
                        </a:prstGeom>
                        <a:solidFill>
                          <a:srgbClr val="FFFFFF"/>
                        </a:solidFill>
                        <a:ln w="19050" cmpd="sng">
                          <a:solidFill>
                            <a:srgbClr val="000000"/>
                          </a:solidFill>
                          <a:miter lim="800000"/>
                        </a:ln>
                      </wps:spPr>
                      <wps:txbx>
                        <w:txbxContent>
                          <w:p w14:paraId="2A84CC0E">
                            <w:pPr>
                              <w:jc w:val="center"/>
                            </w:pPr>
                            <w:r>
                              <w:rPr>
                                <w:rFonts w:hint="eastAsia"/>
                              </w:rPr>
                              <w:t xml:space="preserve">黑色母料 </w:t>
                            </w:r>
                          </w:p>
                        </w:txbxContent>
                      </wps:txbx>
                      <wps:bodyPr rot="0" vert="horz" wrap="square" lIns="91440" tIns="45720" rIns="91440" bIns="45720" anchor="t" anchorCtr="0" upright="1">
                        <a:noAutofit/>
                      </wps:bodyPr>
                    </wps:wsp>
                  </a:graphicData>
                </a:graphic>
              </wp:anchor>
            </w:drawing>
          </mc:Choice>
          <mc:Fallback>
            <w:pict>
              <v:shape id="文本框 94" o:spid="_x0000_s1026" o:spt="202" type="#_x0000_t202" style="position:absolute;left:0pt;margin-left:34.3pt;margin-top:40.95pt;height:26.25pt;width:76.5pt;z-index:251730944;mso-width-relative:page;mso-height-relative:page;" fillcolor="#FFFFFF" filled="t" stroked="t" coordsize="21600,21600" o:gfxdata="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Fg3rBtUAAAAJAQAADwAAAAAAAAAB&#10;ACAAAAAiAAAAZHJzL2Rvd25yZXYueG1sUEsBAhQAFAAAAAgAh07iQHCV8hRMAgAAnAQAAA4AAAAA&#10;AAAAAQAgAAAAJAEAAGRycy9lMm9Eb2MueG1sUEsFBgAAAAAGAAYAWQEAAOIFAAAAAA==&#10;">
                <v:fill on="t" focussize="0,0"/>
                <v:stroke weight="1.5pt" color="#000000" miterlimit="8" joinstyle="miter"/>
                <v:imagedata o:title=""/>
                <o:lock v:ext="edit" aspectratio="f"/>
                <v:textbox>
                  <w:txbxContent>
                    <w:p w14:paraId="2A84CC0E">
                      <w:pPr>
                        <w:jc w:val="center"/>
                      </w:pPr>
                      <w:r>
                        <w:rPr>
                          <w:rFonts w:hint="eastAsia"/>
                        </w:rPr>
                        <w:t xml:space="preserve">黑色母料 </w:t>
                      </w:r>
                    </w:p>
                  </w:txbxContent>
                </v:textbox>
              </v:shape>
            </w:pict>
          </mc:Fallback>
        </mc:AlternateContent>
      </w:r>
      <w:r>
        <w:rPr>
          <w:rFonts w:hint="eastAsia"/>
          <w:lang w:val="en-US"/>
        </w:rPr>
        <mc:AlternateContent>
          <mc:Choice Requires="wps">
            <w:drawing>
              <wp:anchor distT="0" distB="0" distL="114300" distR="114300" simplePos="0" relativeHeight="251729920" behindDoc="0" locked="0" layoutInCell="1" allowOverlap="1">
                <wp:simplePos x="0" y="0"/>
                <wp:positionH relativeFrom="column">
                  <wp:posOffset>435610</wp:posOffset>
                </wp:positionH>
                <wp:positionV relativeFrom="paragraph">
                  <wp:posOffset>72390</wp:posOffset>
                </wp:positionV>
                <wp:extent cx="971550" cy="333375"/>
                <wp:effectExtent l="9525" t="9525" r="9525" b="9525"/>
                <wp:wrapNone/>
                <wp:docPr id="1785213284" name="文本框 93"/>
                <wp:cNvGraphicFramePr/>
                <a:graphic xmlns:a="http://schemas.openxmlformats.org/drawingml/2006/main">
                  <a:graphicData uri="http://schemas.microsoft.com/office/word/2010/wordprocessingShape">
                    <wps:wsp>
                      <wps:cNvSpPr txBox="1">
                        <a:spLocks noChangeArrowheads="1"/>
                      </wps:cNvSpPr>
                      <wps:spPr bwMode="auto">
                        <a:xfrm>
                          <a:off x="0" y="0"/>
                          <a:ext cx="971550" cy="333375"/>
                        </a:xfrm>
                        <a:prstGeom prst="rect">
                          <a:avLst/>
                        </a:prstGeom>
                        <a:solidFill>
                          <a:srgbClr val="FFFFFF"/>
                        </a:solidFill>
                        <a:ln w="19050" cmpd="sng">
                          <a:solidFill>
                            <a:srgbClr val="000000"/>
                          </a:solidFill>
                          <a:miter lim="800000"/>
                        </a:ln>
                      </wps:spPr>
                      <wps:txbx>
                        <w:txbxContent>
                          <w:p w14:paraId="479E54F4">
                            <w:pPr>
                              <w:jc w:val="center"/>
                            </w:pPr>
                            <w:r>
                              <w:rPr>
                                <w:rFonts w:hint="eastAsia"/>
                              </w:rPr>
                              <w:t xml:space="preserve">抗老化剂 </w:t>
                            </w:r>
                          </w:p>
                        </w:txbxContent>
                      </wps:txbx>
                      <wps:bodyPr rot="0" vert="horz" wrap="square" lIns="91440" tIns="45720" rIns="91440" bIns="45720" anchor="t" anchorCtr="0" upright="1">
                        <a:noAutofit/>
                      </wps:bodyPr>
                    </wps:wsp>
                  </a:graphicData>
                </a:graphic>
              </wp:anchor>
            </w:drawing>
          </mc:Choice>
          <mc:Fallback>
            <w:pict>
              <v:shape id="文本框 93" o:spid="_x0000_s1026" o:spt="202" type="#_x0000_t202" style="position:absolute;left:0pt;margin-left:34.3pt;margin-top:5.7pt;height:26.25pt;width:76.5pt;z-index:251729920;mso-width-relative:page;mso-height-relative:page;" fillcolor="#FFFFFF" filled="t" stroked="t" coordsize="21600,21600" o:gfxdata="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CrBwAH1AAAAAgBAAAPAAAAAAAAAAEA&#10;IAAAACIAAABkcnMvZG93bnJldi54bWxQSwECFAAUAAAACACHTuJAXJ14L0wCAACcBAAADgAAAAAA&#10;AAABACAAAAAjAQAAZHJzL2Uyb0RvYy54bWxQSwUGAAAAAAYABgBZAQAA4QUAAAAA&#10;">
                <v:fill on="t" focussize="0,0"/>
                <v:stroke weight="1.5pt" color="#000000" miterlimit="8" joinstyle="miter"/>
                <v:imagedata o:title=""/>
                <o:lock v:ext="edit" aspectratio="f"/>
                <v:textbox>
                  <w:txbxContent>
                    <w:p w14:paraId="479E54F4">
                      <w:pPr>
                        <w:jc w:val="center"/>
                      </w:pPr>
                      <w:r>
                        <w:rPr>
                          <w:rFonts w:hint="eastAsia"/>
                        </w:rPr>
                        <w:t xml:space="preserve">抗老化剂 </w:t>
                      </w:r>
                    </w:p>
                  </w:txbxContent>
                </v:textbox>
              </v:shape>
            </w:pict>
          </mc:Fallback>
        </mc:AlternateContent>
      </w:r>
    </w:p>
    <w:p w14:paraId="0F334E5E">
      <w:pPr>
        <w:pStyle w:val="180"/>
        <w:ind w:left="624" w:hangingChars="260"/>
      </w:pPr>
      <w:r>
        <w:rPr>
          <w:rFonts w:hint="eastAsia"/>
          <w:lang w:val="en-US"/>
        </w:rPr>
        <mc:AlternateContent>
          <mc:Choice Requires="wps">
            <w:drawing>
              <wp:anchor distT="0" distB="0" distL="114300" distR="114300" simplePos="0" relativeHeight="251732992" behindDoc="0" locked="0" layoutInCell="1" allowOverlap="1">
                <wp:simplePos x="0" y="0"/>
                <wp:positionH relativeFrom="column">
                  <wp:posOffset>1383030</wp:posOffset>
                </wp:positionH>
                <wp:positionV relativeFrom="paragraph">
                  <wp:posOffset>180340</wp:posOffset>
                </wp:positionV>
                <wp:extent cx="742950" cy="333375"/>
                <wp:effectExtent l="0" t="0" r="0" b="0"/>
                <wp:wrapNone/>
                <wp:docPr id="577793855" name="文本框 91"/>
                <wp:cNvGraphicFramePr/>
                <a:graphic xmlns:a="http://schemas.openxmlformats.org/drawingml/2006/main">
                  <a:graphicData uri="http://schemas.microsoft.com/office/word/2010/wordprocessingShape">
                    <wps:wsp>
                      <wps:cNvSpPr txBox="1">
                        <a:spLocks noChangeArrowheads="1"/>
                      </wps:cNvSpPr>
                      <wps:spPr bwMode="auto">
                        <a:xfrm>
                          <a:off x="0" y="0"/>
                          <a:ext cx="742950" cy="333375"/>
                        </a:xfrm>
                        <a:prstGeom prst="rect">
                          <a:avLst/>
                        </a:prstGeom>
                        <a:noFill/>
                        <a:ln>
                          <a:noFill/>
                        </a:ln>
                      </wps:spPr>
                      <wps:txbx>
                        <w:txbxContent>
                          <w:p w14:paraId="67A009DD">
                            <w:pPr>
                              <w:autoSpaceDE w:val="0"/>
                              <w:autoSpaceDN w:val="0"/>
                              <w:spacing w:line="280" w:lineRule="exact"/>
                              <w:ind w:left="-19" w:leftChars="-9" w:firstLine="31"/>
                              <w:jc w:val="center"/>
                              <w:rPr>
                                <w:rFonts w:hint="eastAsia"/>
                                <w:bCs/>
                                <w:szCs w:val="21"/>
                                <w:lang w:val="en-US" w:bidi="zh-CN"/>
                              </w:rPr>
                            </w:pPr>
                            <w:r>
                              <w:rPr>
                                <w:rFonts w:hint="eastAsia"/>
                                <w:bCs/>
                                <w:szCs w:val="21"/>
                                <w:lang w:val="en-US" w:bidi="zh-CN"/>
                              </w:rPr>
                              <w:t>511.4513</w:t>
                            </w:r>
                          </w:p>
                          <w:p w14:paraId="2332E4BC"/>
                        </w:txbxContent>
                      </wps:txbx>
                      <wps:bodyPr rot="0" vert="horz" wrap="square" lIns="91440" tIns="45720" rIns="91440" bIns="45720" anchor="t" anchorCtr="0" upright="1">
                        <a:noAutofit/>
                      </wps:bodyPr>
                    </wps:wsp>
                  </a:graphicData>
                </a:graphic>
              </wp:anchor>
            </w:drawing>
          </mc:Choice>
          <mc:Fallback>
            <w:pict>
              <v:shape id="文本框 91" o:spid="_x0000_s1026" o:spt="202" type="#_x0000_t202" style="position:absolute;left:0pt;margin-left:108.9pt;margin-top:14.2pt;height:26.25pt;width:58.5pt;z-index:251732992;mso-width-relative:page;mso-height-relative:page;" filled="f" stroked="f" coordsize="21600,21600" o:gfxdata="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W/DPodcAAAAJ&#10;AQAADwAAAAAAAAABACAAAAAiAAAAZHJzL2Rvd25yZXYueG1sUEsBAhQAFAAAAAgAh07iQJ2gqdwd&#10;AgAAHQQAAA4AAAAAAAAAAQAgAAAAJgEAAGRycy9lMm9Eb2MueG1sUEsFBgAAAAAGAAYAWQEAALUF&#10;AAAAAA==&#10;">
                <v:fill on="f" focussize="0,0"/>
                <v:stroke on="f"/>
                <v:imagedata o:title=""/>
                <o:lock v:ext="edit" aspectratio="f"/>
                <v:textbox>
                  <w:txbxContent>
                    <w:p w14:paraId="67A009DD">
                      <w:pPr>
                        <w:autoSpaceDE w:val="0"/>
                        <w:autoSpaceDN w:val="0"/>
                        <w:spacing w:line="280" w:lineRule="exact"/>
                        <w:ind w:left="-19" w:leftChars="-9" w:firstLine="31"/>
                        <w:jc w:val="center"/>
                        <w:rPr>
                          <w:rFonts w:hint="eastAsia"/>
                          <w:bCs/>
                          <w:szCs w:val="21"/>
                          <w:lang w:val="en-US" w:bidi="zh-CN"/>
                        </w:rPr>
                      </w:pPr>
                      <w:r>
                        <w:rPr>
                          <w:rFonts w:hint="eastAsia"/>
                          <w:bCs/>
                          <w:szCs w:val="21"/>
                          <w:lang w:val="en-US" w:bidi="zh-CN"/>
                        </w:rPr>
                        <w:t>511.4513</w:t>
                      </w:r>
                    </w:p>
                    <w:p w14:paraId="2332E4BC"/>
                  </w:txbxContent>
                </v:textbox>
              </v:shape>
            </w:pict>
          </mc:Fallback>
        </mc:AlternateContent>
      </w:r>
      <w:r>
        <w:rPr>
          <w:rFonts w:hint="eastAsia"/>
          <w:lang w:val="en-US"/>
        </w:rPr>
        <mc:AlternateContent>
          <mc:Choice Requires="wps">
            <w:drawing>
              <wp:anchor distT="0" distB="0" distL="114300" distR="114300" simplePos="0" relativeHeight="251725824" behindDoc="0" locked="0" layoutInCell="1" allowOverlap="1">
                <wp:simplePos x="0" y="0"/>
                <wp:positionH relativeFrom="column">
                  <wp:posOffset>2125345</wp:posOffset>
                </wp:positionH>
                <wp:positionV relativeFrom="paragraph">
                  <wp:posOffset>165100</wp:posOffset>
                </wp:positionV>
                <wp:extent cx="386715" cy="6350"/>
                <wp:effectExtent l="13335" t="46990" r="19050" b="60960"/>
                <wp:wrapNone/>
                <wp:docPr id="858802529" name="直接箭头连接符 92"/>
                <wp:cNvGraphicFramePr/>
                <a:graphic xmlns:a="http://schemas.openxmlformats.org/drawingml/2006/main">
                  <a:graphicData uri="http://schemas.microsoft.com/office/word/2010/wordprocessingShape">
                    <wps:wsp>
                      <wps:cNvCnPr>
                        <a:cxnSpLocks noChangeShapeType="1"/>
                      </wps:cNvCnPr>
                      <wps:spPr bwMode="auto">
                        <a:xfrm>
                          <a:off x="0" y="0"/>
                          <a:ext cx="386715" cy="6350"/>
                        </a:xfrm>
                        <a:prstGeom prst="straightConnector1">
                          <a:avLst/>
                        </a:prstGeom>
                        <a:noFill/>
                        <a:ln w="9525" cmpd="sng">
                          <a:solidFill>
                            <a:srgbClr val="000000"/>
                          </a:solidFill>
                          <a:round/>
                          <a:tailEnd type="triangle" w="med" len="med"/>
                        </a:ln>
                        <a:effectLst/>
                      </wps:spPr>
                      <wps:bodyPr/>
                    </wps:wsp>
                  </a:graphicData>
                </a:graphic>
              </wp:anchor>
            </w:drawing>
          </mc:Choice>
          <mc:Fallback>
            <w:pict>
              <v:shape id="直接箭头连接符 92" o:spid="_x0000_s1026" o:spt="32" type="#_x0000_t32" style="position:absolute;left:0pt;margin-left:167.35pt;margin-top:13pt;height:0.5pt;width:30.45pt;z-index:251725824;mso-width-relative:page;mso-height-relative:page;" filled="f" stroked="t" coordsize="21600,21600" o:gfxdata="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Ee4ZrPaAAAACQEAAA8AAAAAAAAAAQAgAAAAIgAAAGRycy9kb3ducmV2LnhtbFBLAQIUABQA&#10;AAAIAIdO4kBWJRu5JwIAABAEAAAOAAAAAAAAAAEAIAAAACkBAABkcnMvZTJvRG9jLnhtbFBLBQYA&#10;AAAABgAGAFkBAADCBQAAAAA=&#10;">
                <v:fill on="f" focussize="0,0"/>
                <v:stroke color="#000000" joinstyle="round" endarrow="block"/>
                <v:imagedata o:title=""/>
                <o:lock v:ext="edit" aspectratio="f"/>
              </v:shape>
            </w:pict>
          </mc:Fallback>
        </mc:AlternateContent>
      </w:r>
      <w:r>
        <w:rPr>
          <w:rFonts w:hint="eastAsia"/>
          <w:lang w:val="en-US"/>
        </w:rPr>
        <mc:AlternateContent>
          <mc:Choice Requires="wps">
            <w:drawing>
              <wp:anchor distT="0" distB="0" distL="114300" distR="114300" simplePos="0" relativeHeight="251720704" behindDoc="0" locked="0" layoutInCell="1" allowOverlap="1">
                <wp:simplePos x="0" y="0"/>
                <wp:positionH relativeFrom="column">
                  <wp:posOffset>2569210</wp:posOffset>
                </wp:positionH>
                <wp:positionV relativeFrom="paragraph">
                  <wp:posOffset>1311275</wp:posOffset>
                </wp:positionV>
                <wp:extent cx="762000" cy="333375"/>
                <wp:effectExtent l="9525" t="9525" r="9525" b="9525"/>
                <wp:wrapNone/>
                <wp:docPr id="925389664" name="文本框 90"/>
                <wp:cNvGraphicFramePr/>
                <a:graphic xmlns:a="http://schemas.openxmlformats.org/drawingml/2006/main">
                  <a:graphicData uri="http://schemas.microsoft.com/office/word/2010/wordprocessingShape">
                    <wps:wsp>
                      <wps:cNvSpPr txBox="1">
                        <a:spLocks noChangeArrowheads="1"/>
                      </wps:cNvSpPr>
                      <wps:spPr bwMode="auto">
                        <a:xfrm>
                          <a:off x="0" y="0"/>
                          <a:ext cx="762000" cy="333375"/>
                        </a:xfrm>
                        <a:prstGeom prst="rect">
                          <a:avLst/>
                        </a:prstGeom>
                        <a:solidFill>
                          <a:srgbClr val="FFFFFF"/>
                        </a:solidFill>
                        <a:ln w="19050" cmpd="sng">
                          <a:solidFill>
                            <a:srgbClr val="000000"/>
                          </a:solidFill>
                          <a:miter lim="800000"/>
                        </a:ln>
                      </wps:spPr>
                      <wps:txbx>
                        <w:txbxContent>
                          <w:p w14:paraId="230A440F">
                            <w:pPr>
                              <w:jc w:val="center"/>
                            </w:pPr>
                            <w:r>
                              <w:rPr>
                                <w:rFonts w:hint="eastAsia"/>
                              </w:rPr>
                              <w:t>定型</w:t>
                            </w:r>
                          </w:p>
                        </w:txbxContent>
                      </wps:txbx>
                      <wps:bodyPr rot="0" vert="horz" wrap="square" lIns="91440" tIns="45720" rIns="91440" bIns="45720" anchor="t" anchorCtr="0" upright="1">
                        <a:noAutofit/>
                      </wps:bodyPr>
                    </wps:wsp>
                  </a:graphicData>
                </a:graphic>
              </wp:anchor>
            </w:drawing>
          </mc:Choice>
          <mc:Fallback>
            <w:pict>
              <v:shape id="文本框 90" o:spid="_x0000_s1026" o:spt="202" type="#_x0000_t202" style="position:absolute;left:0pt;margin-left:202.3pt;margin-top:103.25pt;height:26.25pt;width:60pt;z-index:251720704;mso-width-relative:page;mso-height-relative:page;" fillcolor="#FFFFFF" filled="t" stroked="t" coordsize="21600,21600" o:gfxdata="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AH1ZbdYAAAALAQAADwAA&#10;AAAAAAABACAAAAAiAAAAZHJzL2Rvd25yZXYueG1sUEsBAhQAFAAAAAgAh07iQJTqRmxRAgAAmwQA&#10;AA4AAAAAAAAAAQAgAAAAJQEAAGRycy9lMm9Eb2MueG1sUEsFBgAAAAAGAAYAWQEAAOgFAAAAAA==&#10;">
                <v:fill on="t" focussize="0,0"/>
                <v:stroke weight="1.5pt" color="#000000" miterlimit="8" joinstyle="miter"/>
                <v:imagedata o:title=""/>
                <o:lock v:ext="edit" aspectratio="f"/>
                <v:textbox>
                  <w:txbxContent>
                    <w:p w14:paraId="230A440F">
                      <w:pPr>
                        <w:jc w:val="center"/>
                      </w:pPr>
                      <w:r>
                        <w:rPr>
                          <w:rFonts w:hint="eastAsia"/>
                        </w:rPr>
                        <w:t>定型</w:t>
                      </w:r>
                    </w:p>
                  </w:txbxContent>
                </v:textbox>
              </v:shape>
            </w:pict>
          </mc:Fallback>
        </mc:AlternateContent>
      </w:r>
      <w:r>
        <w:rPr>
          <w:rFonts w:hint="eastAsia"/>
          <w:lang w:val="en-US"/>
        </w:rPr>
        <mc:AlternateContent>
          <mc:Choice Requires="wps">
            <w:drawing>
              <wp:anchor distT="0" distB="0" distL="114300" distR="114300" simplePos="0" relativeHeight="251717632" behindDoc="0" locked="0" layoutInCell="1" allowOverlap="1">
                <wp:simplePos x="0" y="0"/>
                <wp:positionH relativeFrom="column">
                  <wp:posOffset>2483485</wp:posOffset>
                </wp:positionH>
                <wp:positionV relativeFrom="paragraph">
                  <wp:posOffset>-3175</wp:posOffset>
                </wp:positionV>
                <wp:extent cx="762000" cy="333375"/>
                <wp:effectExtent l="9525" t="9525" r="9525" b="9525"/>
                <wp:wrapNone/>
                <wp:docPr id="1159512834" name="文本框 89"/>
                <wp:cNvGraphicFramePr/>
                <a:graphic xmlns:a="http://schemas.openxmlformats.org/drawingml/2006/main">
                  <a:graphicData uri="http://schemas.microsoft.com/office/word/2010/wordprocessingShape">
                    <wps:wsp>
                      <wps:cNvSpPr txBox="1">
                        <a:spLocks noChangeArrowheads="1"/>
                      </wps:cNvSpPr>
                      <wps:spPr bwMode="auto">
                        <a:xfrm>
                          <a:off x="0" y="0"/>
                          <a:ext cx="762000" cy="333375"/>
                        </a:xfrm>
                        <a:prstGeom prst="rect">
                          <a:avLst/>
                        </a:prstGeom>
                        <a:solidFill>
                          <a:srgbClr val="FFFFFF"/>
                        </a:solidFill>
                        <a:ln w="19050" cmpd="sng">
                          <a:solidFill>
                            <a:srgbClr val="000000"/>
                          </a:solidFill>
                          <a:miter lim="800000"/>
                        </a:ln>
                      </wps:spPr>
                      <wps:txbx>
                        <w:txbxContent>
                          <w:p w14:paraId="7EEF742D">
                            <w:pPr>
                              <w:jc w:val="center"/>
                            </w:pPr>
                            <w:r>
                              <w:rPr>
                                <w:rFonts w:hint="eastAsia"/>
                              </w:rPr>
                              <w:t>搅拌机</w:t>
                            </w:r>
                          </w:p>
                        </w:txbxContent>
                      </wps:txbx>
                      <wps:bodyPr rot="0" vert="horz" wrap="square" lIns="91440" tIns="45720" rIns="91440" bIns="45720" anchor="t" anchorCtr="0" upright="1">
                        <a:noAutofit/>
                      </wps:bodyPr>
                    </wps:wsp>
                  </a:graphicData>
                </a:graphic>
              </wp:anchor>
            </w:drawing>
          </mc:Choice>
          <mc:Fallback>
            <w:pict>
              <v:shape id="文本框 89" o:spid="_x0000_s1026" o:spt="202" type="#_x0000_t202" style="position:absolute;left:0pt;margin-left:195.55pt;margin-top:-0.25pt;height:26.25pt;width:60pt;z-index:251717632;mso-width-relative:page;mso-height-relative:page;" fillcolor="#FFFFFF" filled="t" stroked="t" coordsize="21600,21600" o:gfxdata="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MZ3yzjVAAAACAEAAA8AAAAA&#10;AAAAAQAgAAAAIgAAAGRycy9kb3ducmV2LnhtbFBLAQIUABQAAAAIAIdO4kAt5RGSUAIAAJwEAAAO&#10;AAAAAAAAAAEAIAAAACQBAABkcnMvZTJvRG9jLnhtbFBLBQYAAAAABgAGAFkBAADmBQAAAAA=&#10;">
                <v:fill on="t" focussize="0,0"/>
                <v:stroke weight="1.5pt" color="#000000" miterlimit="8" joinstyle="miter"/>
                <v:imagedata o:title=""/>
                <o:lock v:ext="edit" aspectratio="f"/>
                <v:textbox>
                  <w:txbxContent>
                    <w:p w14:paraId="7EEF742D">
                      <w:pPr>
                        <w:jc w:val="center"/>
                      </w:pPr>
                      <w:r>
                        <w:rPr>
                          <w:rFonts w:hint="eastAsia"/>
                        </w:rPr>
                        <w:t>搅拌机</w:t>
                      </w:r>
                    </w:p>
                  </w:txbxContent>
                </v:textbox>
              </v:shape>
            </w:pict>
          </mc:Fallback>
        </mc:AlternateContent>
      </w:r>
    </w:p>
    <w:p w14:paraId="3E523102">
      <w:pPr>
        <w:pStyle w:val="180"/>
        <w:ind w:left="624" w:hangingChars="260"/>
      </w:pPr>
      <w:r>
        <w:rPr>
          <w:rFonts w:hint="eastAsia"/>
          <w:lang w:val="en-US"/>
        </w:rPr>
        <mc:AlternateContent>
          <mc:Choice Requires="wps">
            <w:drawing>
              <wp:anchor distT="0" distB="0" distL="114300" distR="114300" simplePos="0" relativeHeight="251734016" behindDoc="0" locked="0" layoutInCell="1" allowOverlap="1">
                <wp:simplePos x="0" y="0"/>
                <wp:positionH relativeFrom="column">
                  <wp:posOffset>2902585</wp:posOffset>
                </wp:positionH>
                <wp:positionV relativeFrom="paragraph">
                  <wp:posOffset>80645</wp:posOffset>
                </wp:positionV>
                <wp:extent cx="971550" cy="333375"/>
                <wp:effectExtent l="0" t="2540" r="0" b="0"/>
                <wp:wrapNone/>
                <wp:docPr id="842171401" name="文本框 103"/>
                <wp:cNvGraphicFramePr/>
                <a:graphic xmlns:a="http://schemas.openxmlformats.org/drawingml/2006/main">
                  <a:graphicData uri="http://schemas.microsoft.com/office/word/2010/wordprocessingShape">
                    <wps:wsp>
                      <wps:cNvSpPr txBox="1">
                        <a:spLocks noChangeArrowheads="1"/>
                      </wps:cNvSpPr>
                      <wps:spPr bwMode="auto">
                        <a:xfrm>
                          <a:off x="0" y="0"/>
                          <a:ext cx="971550" cy="333375"/>
                        </a:xfrm>
                        <a:prstGeom prst="rect">
                          <a:avLst/>
                        </a:prstGeom>
                        <a:noFill/>
                        <a:ln>
                          <a:noFill/>
                        </a:ln>
                      </wps:spPr>
                      <wps:txbx>
                        <w:txbxContent>
                          <w:p w14:paraId="6FD60214">
                            <w:pPr>
                              <w:jc w:val="center"/>
                              <w:rPr>
                                <w:rFonts w:hint="default" w:eastAsia="宋体"/>
                                <w:lang w:val="en-US" w:eastAsia="zh-CN"/>
                              </w:rPr>
                            </w:pPr>
                            <w:r>
                              <w:rPr>
                                <w:rFonts w:hint="eastAsia"/>
                              </w:rPr>
                              <w:t>10</w:t>
                            </w:r>
                            <w:r>
                              <w:rPr>
                                <w:rFonts w:hint="eastAsia"/>
                                <w:lang w:val="en-US" w:eastAsia="zh-CN"/>
                              </w:rPr>
                              <w:t>039.9775</w:t>
                            </w:r>
                          </w:p>
                        </w:txbxContent>
                      </wps:txbx>
                      <wps:bodyPr rot="0" vert="horz" wrap="square" lIns="91440" tIns="45720" rIns="91440" bIns="45720" anchor="t" anchorCtr="0" upright="1">
                        <a:noAutofit/>
                      </wps:bodyPr>
                    </wps:wsp>
                  </a:graphicData>
                </a:graphic>
              </wp:anchor>
            </w:drawing>
          </mc:Choice>
          <mc:Fallback>
            <w:pict>
              <v:shape id="文本框 103" o:spid="_x0000_s1026" o:spt="202" type="#_x0000_t202" style="position:absolute;left:0pt;margin-left:228.55pt;margin-top:6.35pt;height:26.25pt;width:76.5pt;z-index:251734016;mso-width-relative:page;mso-height-relative:page;" filled="f" stroked="f" coordsize="21600,21600" o:gfxdata="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vgVfVdYAAAAJ&#10;AQAADwAAAAAAAAABACAAAAAiAAAAZHJzL2Rvd25yZXYueG1sUEsBAhQAFAAAAAgAh07iQJH+xPUe&#10;AgAAHgQAAA4AAAAAAAAAAQAgAAAAJQEAAGRycy9lMm9Eb2MueG1sUEsFBgAAAAAGAAYAWQEAALUF&#10;AAAAAA==&#10;">
                <v:fill on="f" focussize="0,0"/>
                <v:stroke on="f"/>
                <v:imagedata o:title=""/>
                <o:lock v:ext="edit" aspectratio="f"/>
                <v:textbox>
                  <w:txbxContent>
                    <w:p w14:paraId="6FD60214">
                      <w:pPr>
                        <w:jc w:val="center"/>
                        <w:rPr>
                          <w:rFonts w:hint="default" w:eastAsia="宋体"/>
                          <w:lang w:val="en-US" w:eastAsia="zh-CN"/>
                        </w:rPr>
                      </w:pPr>
                      <w:r>
                        <w:rPr>
                          <w:rFonts w:hint="eastAsia"/>
                        </w:rPr>
                        <w:t>10</w:t>
                      </w:r>
                      <w:r>
                        <w:rPr>
                          <w:rFonts w:hint="eastAsia"/>
                          <w:lang w:val="en-US" w:eastAsia="zh-CN"/>
                        </w:rPr>
                        <w:t>039.9775</w:t>
                      </w:r>
                    </w:p>
                  </w:txbxContent>
                </v:textbox>
              </v:shape>
            </w:pict>
          </mc:Fallback>
        </mc:AlternateContent>
      </w:r>
      <w:r>
        <w:rPr>
          <w:rFonts w:hint="eastAsia"/>
          <w:lang w:val="en-US"/>
        </w:rPr>
        <mc:AlternateContent>
          <mc:Choice Requires="wps">
            <w:drawing>
              <wp:anchor distT="0" distB="0" distL="114300" distR="114300" simplePos="0" relativeHeight="251728896" behindDoc="0" locked="0" layoutInCell="1" allowOverlap="1">
                <wp:simplePos x="0" y="0"/>
                <wp:positionH relativeFrom="column">
                  <wp:posOffset>1407160</wp:posOffset>
                </wp:positionH>
                <wp:positionV relativeFrom="paragraph">
                  <wp:posOffset>145415</wp:posOffset>
                </wp:positionV>
                <wp:extent cx="733425" cy="0"/>
                <wp:effectExtent l="0" t="9525" r="0" b="9525"/>
                <wp:wrapNone/>
                <wp:docPr id="1492391793" name="直接箭头连接符 88"/>
                <wp:cNvGraphicFramePr/>
                <a:graphic xmlns:a="http://schemas.openxmlformats.org/drawingml/2006/main">
                  <a:graphicData uri="http://schemas.microsoft.com/office/word/2010/wordprocessingShape">
                    <wps:wsp>
                      <wps:cNvCnPr>
                        <a:cxnSpLocks noChangeShapeType="1"/>
                      </wps:cNvCnPr>
                      <wps:spPr bwMode="auto">
                        <a:xfrm>
                          <a:off x="0" y="0"/>
                          <a:ext cx="733425" cy="0"/>
                        </a:xfrm>
                        <a:prstGeom prst="straightConnector1">
                          <a:avLst/>
                        </a:prstGeom>
                        <a:noFill/>
                        <a:ln w="19050" cmpd="sng">
                          <a:solidFill>
                            <a:srgbClr val="000000"/>
                          </a:solidFill>
                          <a:round/>
                        </a:ln>
                      </wps:spPr>
                      <wps:bodyPr/>
                    </wps:wsp>
                  </a:graphicData>
                </a:graphic>
              </wp:anchor>
            </w:drawing>
          </mc:Choice>
          <mc:Fallback>
            <w:pict>
              <v:shape id="直接箭头连接符 88" o:spid="_x0000_s1026" o:spt="32" type="#_x0000_t32" style="position:absolute;left:0pt;margin-left:110.8pt;margin-top:11.45pt;height:0pt;width:57.75pt;z-index:251728896;mso-width-relative:page;mso-height-relative:page;" filled="f" stroked="t" coordsize="21600,21600" o:gfxdata="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ANH8lnTAAAACQEAAA8AAAAAAAAAAQAgAAAAIgAAAGRycy9kb3du&#10;cmV2LnhtbFBLAQIUABQAAAAIAIdO4kCj/570BAIAANMDAAAOAAAAAAAAAAEAIAAAACIBAABkcnMv&#10;ZTJvRG9jLnhtbFBLBQYAAAAABgAGAFkBAACYBQAAAAA=&#10;">
                <v:fill on="f" focussize="0,0"/>
                <v:stroke weight="1.5pt" color="#000000" joinstyle="round"/>
                <v:imagedata o:title=""/>
                <o:lock v:ext="edit" aspectratio="f"/>
              </v:shape>
            </w:pict>
          </mc:Fallback>
        </mc:AlternateContent>
      </w:r>
    </w:p>
    <w:p w14:paraId="722EF0CA">
      <w:pPr>
        <w:pStyle w:val="180"/>
        <w:ind w:left="624" w:hangingChars="260"/>
      </w:pPr>
      <w:r>
        <w:rPr>
          <w:rFonts w:hint="eastAsia"/>
          <w:lang w:val="en-US"/>
        </w:rPr>
        <mc:AlternateContent>
          <mc:Choice Requires="wps">
            <w:drawing>
              <wp:anchor distT="0" distB="0" distL="114300" distR="114300" simplePos="0" relativeHeight="251737088" behindDoc="0" locked="0" layoutInCell="1" allowOverlap="1">
                <wp:simplePos x="0" y="0"/>
                <wp:positionH relativeFrom="column">
                  <wp:posOffset>3578860</wp:posOffset>
                </wp:positionH>
                <wp:positionV relativeFrom="paragraph">
                  <wp:posOffset>62865</wp:posOffset>
                </wp:positionV>
                <wp:extent cx="971550" cy="333375"/>
                <wp:effectExtent l="0" t="0" r="0" b="4445"/>
                <wp:wrapNone/>
                <wp:docPr id="670838003" name="文本框 87"/>
                <wp:cNvGraphicFramePr/>
                <a:graphic xmlns:a="http://schemas.openxmlformats.org/drawingml/2006/main">
                  <a:graphicData uri="http://schemas.microsoft.com/office/word/2010/wordprocessingShape">
                    <wps:wsp>
                      <wps:cNvSpPr txBox="1">
                        <a:spLocks noChangeArrowheads="1"/>
                      </wps:cNvSpPr>
                      <wps:spPr bwMode="auto">
                        <a:xfrm>
                          <a:off x="0" y="0"/>
                          <a:ext cx="971550" cy="333375"/>
                        </a:xfrm>
                        <a:prstGeom prst="rect">
                          <a:avLst/>
                        </a:prstGeom>
                        <a:noFill/>
                        <a:ln>
                          <a:noFill/>
                        </a:ln>
                      </wps:spPr>
                      <wps:txbx>
                        <w:txbxContent>
                          <w:p w14:paraId="5B08F0EC">
                            <w:r>
                              <w:rPr>
                                <w:rFonts w:hint="eastAsia"/>
                                <w:bCs/>
                                <w:szCs w:val="21"/>
                                <w:lang w:val="en-US" w:eastAsia="zh-CN"/>
                              </w:rPr>
                              <w:t>14.9925</w:t>
                            </w:r>
                          </w:p>
                        </w:txbxContent>
                      </wps:txbx>
                      <wps:bodyPr rot="0" vert="horz" wrap="square" lIns="91440" tIns="45720" rIns="91440" bIns="45720" anchor="t" anchorCtr="0" upright="1">
                        <a:noAutofit/>
                      </wps:bodyPr>
                    </wps:wsp>
                  </a:graphicData>
                </a:graphic>
              </wp:anchor>
            </w:drawing>
          </mc:Choice>
          <mc:Fallback>
            <w:pict>
              <v:shape id="文本框 87" o:spid="_x0000_s1026" o:spt="202" type="#_x0000_t202" style="position:absolute;left:0pt;margin-left:281.8pt;margin-top:4.95pt;height:26.25pt;width:76.5pt;z-index:251737088;mso-width-relative:page;mso-height-relative:page;" filled="f" stroked="f" coordsize="21600,21600" o:gfxdata="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D3dfiXVAAAACAEA&#10;AA8AAAAAAAAAAQAgAAAAIgAAAGRycy9kb3ducmV2LnhtbFBLAQIUABQAAAAIAIdO4kDiVoOuHQIA&#10;AB0EAAAOAAAAAAAAAAEAIAAAACQBAABkcnMvZTJvRG9jLnhtbFBLBQYAAAAABgAGAFkBAACzBQAA&#10;AAA=&#10;">
                <v:fill on="f" focussize="0,0"/>
                <v:stroke on="f"/>
                <v:imagedata o:title=""/>
                <o:lock v:ext="edit" aspectratio="f"/>
                <v:textbox>
                  <w:txbxContent>
                    <w:p w14:paraId="5B08F0EC">
                      <w:r>
                        <w:rPr>
                          <w:rFonts w:hint="eastAsia"/>
                          <w:bCs/>
                          <w:szCs w:val="21"/>
                          <w:lang w:val="en-US" w:eastAsia="zh-CN"/>
                        </w:rPr>
                        <w:t>14.9925</w:t>
                      </w:r>
                    </w:p>
                  </w:txbxContent>
                </v:textbox>
              </v:shape>
            </w:pict>
          </mc:Fallback>
        </mc:AlternateContent>
      </w:r>
      <w:r>
        <w:rPr>
          <w:rFonts w:hint="eastAsia"/>
          <w:lang w:val="en-US"/>
        </w:rPr>
        <mc:AlternateContent>
          <mc:Choice Requires="wps">
            <w:drawing>
              <wp:anchor distT="0" distB="0" distL="114300" distR="114300" simplePos="0" relativeHeight="251736064" behindDoc="0" locked="0" layoutInCell="1" allowOverlap="1">
                <wp:simplePos x="0" y="0"/>
                <wp:positionH relativeFrom="column">
                  <wp:posOffset>3945255</wp:posOffset>
                </wp:positionH>
                <wp:positionV relativeFrom="paragraph">
                  <wp:posOffset>162560</wp:posOffset>
                </wp:positionV>
                <wp:extent cx="1267460" cy="542925"/>
                <wp:effectExtent l="0" t="0" r="0" b="4445"/>
                <wp:wrapNone/>
                <wp:docPr id="1656191722" name="文本框 86"/>
                <wp:cNvGraphicFramePr/>
                <a:graphic xmlns:a="http://schemas.openxmlformats.org/drawingml/2006/main">
                  <a:graphicData uri="http://schemas.microsoft.com/office/word/2010/wordprocessingShape">
                    <wps:wsp>
                      <wps:cNvSpPr txBox="1">
                        <a:spLocks noChangeArrowheads="1"/>
                      </wps:cNvSpPr>
                      <wps:spPr bwMode="auto">
                        <a:xfrm>
                          <a:off x="0" y="0"/>
                          <a:ext cx="1267460" cy="542925"/>
                        </a:xfrm>
                        <a:prstGeom prst="rect">
                          <a:avLst/>
                        </a:prstGeom>
                        <a:noFill/>
                        <a:ln>
                          <a:noFill/>
                        </a:ln>
                        <a:effectLst/>
                      </wps:spPr>
                      <wps:txbx>
                        <w:txbxContent>
                          <w:p w14:paraId="473621E0">
                            <w:pPr>
                              <w:jc w:val="center"/>
                            </w:pPr>
                            <w:r>
                              <w:rPr>
                                <w:rFonts w:hint="eastAsia"/>
                              </w:rPr>
                              <w:t>非甲烷总烃</w:t>
                            </w:r>
                          </w:p>
                        </w:txbxContent>
                      </wps:txbx>
                      <wps:bodyPr rot="0" vert="horz" wrap="square" lIns="91440" tIns="45720" rIns="91440" bIns="45720" anchor="t" anchorCtr="0" upright="1">
                        <a:noAutofit/>
                      </wps:bodyPr>
                    </wps:wsp>
                  </a:graphicData>
                </a:graphic>
              </wp:anchor>
            </w:drawing>
          </mc:Choice>
          <mc:Fallback>
            <w:pict>
              <v:shape id="文本框 86" o:spid="_x0000_s1026" o:spt="202" type="#_x0000_t202" style="position:absolute;left:0pt;margin-left:310.65pt;margin-top:12.8pt;height:42.75pt;width:99.8pt;z-index:251736064;mso-width-relative:page;mso-height-relative:page;" filled="f" stroked="f" coordsize="21600,21600" o:gfxdata="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ADLQ6f&#10;1gAAAAoBAAAPAAAAAAAAAAEAIAAAACIAAABkcnMvZG93bnJldi54bWxQSwECFAAUAAAACACHTuJA&#10;6EcgwCMCAAAtBAAADgAAAAAAAAABACAAAAAlAQAAZHJzL2Uyb0RvYy54bWxQSwUGAAAAAAYABgBZ&#10;AQAAugUAAAAA&#10;">
                <v:fill on="f" focussize="0,0"/>
                <v:stroke on="f"/>
                <v:imagedata o:title=""/>
                <o:lock v:ext="edit" aspectratio="f"/>
                <v:textbox>
                  <w:txbxContent>
                    <w:p w14:paraId="473621E0">
                      <w:pPr>
                        <w:jc w:val="center"/>
                      </w:pPr>
                      <w:r>
                        <w:rPr>
                          <w:rFonts w:hint="eastAsia"/>
                        </w:rPr>
                        <w:t>非甲烷总烃</w:t>
                      </w:r>
                    </w:p>
                  </w:txbxContent>
                </v:textbox>
              </v:shape>
            </w:pict>
          </mc:Fallback>
        </mc:AlternateContent>
      </w:r>
      <w:r>
        <w:rPr>
          <w:rFonts w:hint="eastAsia"/>
          <w:lang w:val="en-US"/>
        </w:rPr>
        <mc:AlternateContent>
          <mc:Choice Requires="wps">
            <w:drawing>
              <wp:anchor distT="0" distB="0" distL="114300" distR="114300" simplePos="0" relativeHeight="251718656" behindDoc="0" locked="0" layoutInCell="1" allowOverlap="1">
                <wp:simplePos x="0" y="0"/>
                <wp:positionH relativeFrom="column">
                  <wp:posOffset>2283460</wp:posOffset>
                </wp:positionH>
                <wp:positionV relativeFrom="paragraph">
                  <wp:posOffset>146050</wp:posOffset>
                </wp:positionV>
                <wp:extent cx="1285875" cy="333375"/>
                <wp:effectExtent l="9525" t="9525" r="9525" b="9525"/>
                <wp:wrapNone/>
                <wp:docPr id="1300458618" name="文本框 85"/>
                <wp:cNvGraphicFramePr/>
                <a:graphic xmlns:a="http://schemas.openxmlformats.org/drawingml/2006/main">
                  <a:graphicData uri="http://schemas.microsoft.com/office/word/2010/wordprocessingShape">
                    <wps:wsp>
                      <wps:cNvSpPr txBox="1">
                        <a:spLocks noChangeArrowheads="1"/>
                      </wps:cNvSpPr>
                      <wps:spPr bwMode="auto">
                        <a:xfrm>
                          <a:off x="0" y="0"/>
                          <a:ext cx="1285875" cy="333375"/>
                        </a:xfrm>
                        <a:prstGeom prst="rect">
                          <a:avLst/>
                        </a:prstGeom>
                        <a:solidFill>
                          <a:srgbClr val="FFFFFF"/>
                        </a:solidFill>
                        <a:ln w="19050" cmpd="sng">
                          <a:solidFill>
                            <a:srgbClr val="000000"/>
                          </a:solidFill>
                          <a:miter lim="800000"/>
                        </a:ln>
                      </wps:spPr>
                      <wps:txbx>
                        <w:txbxContent>
                          <w:p w14:paraId="5E9F7861">
                            <w:pPr>
                              <w:jc w:val="center"/>
                            </w:pPr>
                            <w:r>
                              <w:rPr>
                                <w:rFonts w:hint="eastAsia"/>
                              </w:rPr>
                              <w:t>滴灌带挤出机</w:t>
                            </w:r>
                          </w:p>
                        </w:txbxContent>
                      </wps:txbx>
                      <wps:bodyPr rot="0" vert="horz" wrap="square" lIns="91440" tIns="45720" rIns="91440" bIns="45720" anchor="t" anchorCtr="0" upright="1">
                        <a:noAutofit/>
                      </wps:bodyPr>
                    </wps:wsp>
                  </a:graphicData>
                </a:graphic>
              </wp:anchor>
            </w:drawing>
          </mc:Choice>
          <mc:Fallback>
            <w:pict>
              <v:shape id="文本框 85" o:spid="_x0000_s1026" o:spt="202" type="#_x0000_t202" style="position:absolute;left:0pt;margin-left:179.8pt;margin-top:11.5pt;height:26.25pt;width:101.25pt;z-index:251718656;mso-width-relative:page;mso-height-relative:page;" fillcolor="#FFFFFF" filled="t" stroked="t" coordsize="21600,21600" o:gfxdata="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gz4NNcAAAAJAQAADwAAAAAA&#10;AAABACAAAAAiAAAAZHJzL2Rvd25yZXYueG1sUEsBAhQAFAAAAAgAh07iQN8HMSlNAgAAnQQAAA4A&#10;AAAAAAAAAQAgAAAAJgEAAGRycy9lMm9Eb2MueG1sUEsFBgAAAAAGAAYAWQEAAOUFAAAAAA==&#10;">
                <v:fill on="t" focussize="0,0"/>
                <v:stroke weight="1.5pt" color="#000000" miterlimit="8" joinstyle="miter"/>
                <v:imagedata o:title=""/>
                <o:lock v:ext="edit" aspectratio="f"/>
                <v:textbox>
                  <w:txbxContent>
                    <w:p w14:paraId="5E9F7861">
                      <w:pPr>
                        <w:jc w:val="center"/>
                      </w:pPr>
                      <w:r>
                        <w:rPr>
                          <w:rFonts w:hint="eastAsia"/>
                        </w:rPr>
                        <w:t>滴灌带挤出机</w:t>
                      </w:r>
                    </w:p>
                  </w:txbxContent>
                </v:textbox>
              </v:shape>
            </w:pict>
          </mc:Fallback>
        </mc:AlternateContent>
      </w:r>
    </w:p>
    <w:p w14:paraId="0DD87823">
      <w:pPr>
        <w:pStyle w:val="180"/>
        <w:ind w:left="624" w:hangingChars="260"/>
      </w:pPr>
      <w:r>
        <w:rPr>
          <w:rFonts w:hint="eastAsia"/>
          <w:lang w:val="en-US"/>
        </w:rPr>
        <mc:AlternateContent>
          <mc:Choice Requires="wps">
            <w:drawing>
              <wp:anchor distT="0" distB="0" distL="114300" distR="114300" simplePos="0" relativeHeight="251735040" behindDoc="0" locked="0" layoutInCell="1" allowOverlap="1">
                <wp:simplePos x="0" y="0"/>
                <wp:positionH relativeFrom="column">
                  <wp:posOffset>3569335</wp:posOffset>
                </wp:positionH>
                <wp:positionV relativeFrom="paragraph">
                  <wp:posOffset>65405</wp:posOffset>
                </wp:positionV>
                <wp:extent cx="638175" cy="635"/>
                <wp:effectExtent l="9525" t="52070" r="19050" b="61595"/>
                <wp:wrapNone/>
                <wp:docPr id="822356200" name="直接箭头连接符 84"/>
                <wp:cNvGraphicFramePr/>
                <a:graphic xmlns:a="http://schemas.openxmlformats.org/drawingml/2006/main">
                  <a:graphicData uri="http://schemas.microsoft.com/office/word/2010/wordprocessingShape">
                    <wps:wsp>
                      <wps:cNvCnPr>
                        <a:cxnSpLocks noChangeShapeType="1"/>
                      </wps:cNvCnPr>
                      <wps:spPr bwMode="auto">
                        <a:xfrm>
                          <a:off x="0" y="0"/>
                          <a:ext cx="638175" cy="635"/>
                        </a:xfrm>
                        <a:prstGeom prst="straightConnector1">
                          <a:avLst/>
                        </a:prstGeom>
                        <a:noFill/>
                        <a:ln w="9525" cmpd="sng">
                          <a:solidFill>
                            <a:srgbClr val="000000"/>
                          </a:solidFill>
                          <a:prstDash val="dash"/>
                          <a:round/>
                          <a:tailEnd type="triangle" w="med" len="med"/>
                        </a:ln>
                      </wps:spPr>
                      <wps:bodyPr/>
                    </wps:wsp>
                  </a:graphicData>
                </a:graphic>
              </wp:anchor>
            </w:drawing>
          </mc:Choice>
          <mc:Fallback>
            <w:pict>
              <v:shape id="直接箭头连接符 84" o:spid="_x0000_s1026" o:spt="32" type="#_x0000_t32" style="position:absolute;left:0pt;margin-left:281.05pt;margin-top:5.15pt;height:0.05pt;width:50.25pt;z-index:251735040;mso-width-relative:page;mso-height-relative:page;" filled="f" stroked="t" coordsize="21600,21600" o:gfxdata="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AiOkPi1QAAAAkBAAAPAAAAAAAAAAEAIAAAACIAAABkcnMvZG93bnJldi54bWxQSwECFAAUAAAA&#10;CACHTuJAC/Dh1CoCAAAZBAAADgAAAAAAAAABACAAAAAkAQAAZHJzL2Uyb0RvYy54bWxQSwUGAAAA&#10;AAYABgBZAQAAwAUAAAAA&#10;">
                <v:fill on="f" focussize="0,0"/>
                <v:stroke color="#000000" joinstyle="round" dashstyle="dash" endarrow="block"/>
                <v:imagedata o:title=""/>
                <o:lock v:ext="edit" aspectratio="f"/>
              </v:shape>
            </w:pict>
          </mc:Fallback>
        </mc:AlternateContent>
      </w:r>
    </w:p>
    <w:p w14:paraId="448588D8">
      <w:pPr>
        <w:pStyle w:val="180"/>
        <w:ind w:left="624" w:hangingChars="260"/>
      </w:pPr>
      <w:r>
        <w:rPr>
          <w:rFonts w:hint="eastAsia"/>
          <w:lang w:val="en-US"/>
        </w:rPr>
        <mc:AlternateContent>
          <mc:Choice Requires="wps">
            <w:drawing>
              <wp:anchor distT="0" distB="0" distL="114300" distR="114300" simplePos="0" relativeHeight="251739136" behindDoc="0" locked="0" layoutInCell="1" allowOverlap="1">
                <wp:simplePos x="0" y="0"/>
                <wp:positionH relativeFrom="column">
                  <wp:posOffset>3919855</wp:posOffset>
                </wp:positionH>
                <wp:positionV relativeFrom="paragraph">
                  <wp:posOffset>205105</wp:posOffset>
                </wp:positionV>
                <wp:extent cx="1496695" cy="525780"/>
                <wp:effectExtent l="0" t="0" r="0" b="7620"/>
                <wp:wrapNone/>
                <wp:docPr id="1779713469" name="文本框 82"/>
                <wp:cNvGraphicFramePr/>
                <a:graphic xmlns:a="http://schemas.openxmlformats.org/drawingml/2006/main">
                  <a:graphicData uri="http://schemas.microsoft.com/office/word/2010/wordprocessingShape">
                    <wps:wsp>
                      <wps:cNvSpPr txBox="1">
                        <a:spLocks noChangeArrowheads="1"/>
                      </wps:cNvSpPr>
                      <wps:spPr bwMode="auto">
                        <a:xfrm>
                          <a:off x="0" y="0"/>
                          <a:ext cx="1496695" cy="526097"/>
                        </a:xfrm>
                        <a:prstGeom prst="rect">
                          <a:avLst/>
                        </a:prstGeom>
                        <a:noFill/>
                        <a:ln>
                          <a:noFill/>
                        </a:ln>
                        <a:effectLst/>
                      </wps:spPr>
                      <wps:txbx>
                        <w:txbxContent>
                          <w:p w14:paraId="3646390C">
                            <w:pPr>
                              <w:jc w:val="center"/>
                              <w:rPr>
                                <w:szCs w:val="21"/>
                              </w:rPr>
                            </w:pPr>
                            <w:r>
                              <w:rPr>
                                <w:rFonts w:hint="eastAsia"/>
                                <w:bCs/>
                                <w:szCs w:val="21"/>
                              </w:rPr>
                              <w:t>不合格品、</w:t>
                            </w:r>
                            <w:r>
                              <w:rPr>
                                <w:bCs/>
                                <w:szCs w:val="21"/>
                              </w:rPr>
                              <w:t>残次品及边角废料</w:t>
                            </w:r>
                          </w:p>
                        </w:txbxContent>
                      </wps:txbx>
                      <wps:bodyPr rot="0" vert="horz" wrap="square" lIns="91440" tIns="45720" rIns="91440" bIns="45720" anchor="t" anchorCtr="0" upright="1">
                        <a:noAutofit/>
                      </wps:bodyPr>
                    </wps:wsp>
                  </a:graphicData>
                </a:graphic>
              </wp:anchor>
            </w:drawing>
          </mc:Choice>
          <mc:Fallback>
            <w:pict>
              <v:shape id="文本框 82" o:spid="_x0000_s1026" o:spt="202" type="#_x0000_t202" style="position:absolute;left:0pt;margin-left:308.65pt;margin-top:16.15pt;height:41.4pt;width:117.85pt;z-index:251739136;mso-width-relative:page;mso-height-relative:page;" filled="f" stroked="f" coordsize="21600,21600" o:gfxdata="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Ba&#10;5O4b1wAAAAoBAAAPAAAAAAAAAAEAIAAAACIAAABkcnMvZG93bnJldi54bWxQSwECFAAUAAAACACH&#10;TuJAd6OV6yUCAAAtBAAADgAAAAAAAAABACAAAAAmAQAAZHJzL2Uyb0RvYy54bWxQSwUGAAAAAAYA&#10;BgBZAQAAvQUAAAAA&#10;">
                <v:fill on="f" focussize="0,0"/>
                <v:stroke on="f"/>
                <v:imagedata o:title=""/>
                <o:lock v:ext="edit" aspectratio="f"/>
                <v:textbox>
                  <w:txbxContent>
                    <w:p w14:paraId="3646390C">
                      <w:pPr>
                        <w:jc w:val="center"/>
                        <w:rPr>
                          <w:szCs w:val="21"/>
                        </w:rPr>
                      </w:pPr>
                      <w:r>
                        <w:rPr>
                          <w:rFonts w:hint="eastAsia"/>
                          <w:bCs/>
                          <w:szCs w:val="21"/>
                        </w:rPr>
                        <w:t>不合格品、</w:t>
                      </w:r>
                      <w:r>
                        <w:rPr>
                          <w:bCs/>
                          <w:szCs w:val="21"/>
                        </w:rPr>
                        <w:t>残次品及边角废料</w:t>
                      </w:r>
                    </w:p>
                  </w:txbxContent>
                </v:textbox>
              </v:shape>
            </w:pict>
          </mc:Fallback>
        </mc:AlternateContent>
      </w:r>
      <w:r>
        <w:rPr>
          <w:rFonts w:hint="eastAsia"/>
          <w:lang w:val="en-US"/>
        </w:rPr>
        <mc:AlternateContent>
          <mc:Choice Requires="wps">
            <w:drawing>
              <wp:anchor distT="0" distB="0" distL="114300" distR="114300" simplePos="0" relativeHeight="251741184" behindDoc="0" locked="0" layoutInCell="1" allowOverlap="1">
                <wp:simplePos x="0" y="0"/>
                <wp:positionH relativeFrom="column">
                  <wp:posOffset>3140710</wp:posOffset>
                </wp:positionH>
                <wp:positionV relativeFrom="paragraph">
                  <wp:posOffset>173990</wp:posOffset>
                </wp:positionV>
                <wp:extent cx="971550" cy="333375"/>
                <wp:effectExtent l="0" t="0" r="0" b="4445"/>
                <wp:wrapNone/>
                <wp:docPr id="2099692031" name="文本框 83"/>
                <wp:cNvGraphicFramePr/>
                <a:graphic xmlns:a="http://schemas.openxmlformats.org/drawingml/2006/main">
                  <a:graphicData uri="http://schemas.microsoft.com/office/word/2010/wordprocessingShape">
                    <wps:wsp>
                      <wps:cNvSpPr txBox="1">
                        <a:spLocks noChangeArrowheads="1"/>
                      </wps:cNvSpPr>
                      <wps:spPr bwMode="auto">
                        <a:xfrm>
                          <a:off x="0" y="0"/>
                          <a:ext cx="971550" cy="333375"/>
                        </a:xfrm>
                        <a:prstGeom prst="rect">
                          <a:avLst/>
                        </a:prstGeom>
                        <a:noFill/>
                        <a:ln>
                          <a:noFill/>
                        </a:ln>
                      </wps:spPr>
                      <wps:txbx>
                        <w:txbxContent>
                          <w:p w14:paraId="18789DC8">
                            <w:pPr>
                              <w:jc w:val="center"/>
                              <w:rPr>
                                <w:rFonts w:hint="default" w:eastAsia="宋体"/>
                                <w:lang w:val="en-US" w:eastAsia="zh-CN"/>
                              </w:rPr>
                            </w:pPr>
                            <w:r>
                              <w:rPr>
                                <w:rFonts w:hint="eastAsia"/>
                                <w:lang w:val="en-US" w:eastAsia="zh-CN"/>
                              </w:rPr>
                              <w:t>29.985</w:t>
                            </w:r>
                          </w:p>
                        </w:txbxContent>
                      </wps:txbx>
                      <wps:bodyPr rot="0" vert="horz" wrap="square" lIns="91440" tIns="45720" rIns="91440" bIns="45720" anchor="t" anchorCtr="0" upright="1">
                        <a:noAutofit/>
                      </wps:bodyPr>
                    </wps:wsp>
                  </a:graphicData>
                </a:graphic>
              </wp:anchor>
            </w:drawing>
          </mc:Choice>
          <mc:Fallback>
            <w:pict>
              <v:shape id="文本框 83" o:spid="_x0000_s1026" o:spt="202" type="#_x0000_t202" style="position:absolute;left:0pt;margin-left:247.3pt;margin-top:13.7pt;height:26.25pt;width:76.5pt;z-index:251741184;mso-width-relative:page;mso-height-relative:page;" filled="f" stroked="f" coordsize="21600,21600" o:gfxdata="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UnuwE9YAAAAJ&#10;AQAADwAAAAAAAAABACAAAAAiAAAAZHJzL2Rvd25yZXYueG1sUEsBAhQAFAAAAAgAh07iQHPL5UYe&#10;AgAAHgQAAA4AAAAAAAAAAQAgAAAAJQEAAGRycy9lMm9Eb2MueG1sUEsFBgAAAAAGAAYAWQEAALUF&#10;AAAAAA==&#10;">
                <v:fill on="f" focussize="0,0"/>
                <v:stroke on="f"/>
                <v:imagedata o:title=""/>
                <o:lock v:ext="edit" aspectratio="f"/>
                <v:textbox>
                  <w:txbxContent>
                    <w:p w14:paraId="18789DC8">
                      <w:pPr>
                        <w:jc w:val="center"/>
                        <w:rPr>
                          <w:rFonts w:hint="default" w:eastAsia="宋体"/>
                          <w:lang w:val="en-US" w:eastAsia="zh-CN"/>
                        </w:rPr>
                      </w:pPr>
                      <w:r>
                        <w:rPr>
                          <w:rFonts w:hint="eastAsia"/>
                          <w:lang w:val="en-US" w:eastAsia="zh-CN"/>
                        </w:rPr>
                        <w:t>29.985</w:t>
                      </w:r>
                    </w:p>
                  </w:txbxContent>
                </v:textbox>
              </v:shape>
            </w:pict>
          </mc:Fallback>
        </mc:AlternateContent>
      </w:r>
    </w:p>
    <w:p w14:paraId="51DF8DCD">
      <w:pPr>
        <w:pStyle w:val="180"/>
        <w:ind w:left="624" w:hangingChars="260"/>
        <w:rPr>
          <w:lang w:val="en-US"/>
        </w:rPr>
      </w:pPr>
      <w:r>
        <w:rPr>
          <w:rFonts w:hint="eastAsia"/>
          <w:lang w:val="en-US"/>
        </w:rPr>
        <mc:AlternateContent>
          <mc:Choice Requires="wps">
            <w:drawing>
              <wp:anchor distT="0" distB="0" distL="114300" distR="114300" simplePos="0" relativeHeight="251740160" behindDoc="0" locked="0" layoutInCell="1" allowOverlap="1">
                <wp:simplePos x="0" y="0"/>
                <wp:positionH relativeFrom="column">
                  <wp:posOffset>3331210</wp:posOffset>
                </wp:positionH>
                <wp:positionV relativeFrom="paragraph">
                  <wp:posOffset>195580</wp:posOffset>
                </wp:positionV>
                <wp:extent cx="695325" cy="635"/>
                <wp:effectExtent l="9525" t="52070" r="19050" b="61595"/>
                <wp:wrapNone/>
                <wp:docPr id="1098159674" name="直接箭头连接符 81"/>
                <wp:cNvGraphicFramePr/>
                <a:graphic xmlns:a="http://schemas.openxmlformats.org/drawingml/2006/main">
                  <a:graphicData uri="http://schemas.microsoft.com/office/word/2010/wordprocessingShape">
                    <wps:wsp>
                      <wps:cNvCnPr>
                        <a:cxnSpLocks noChangeShapeType="1"/>
                      </wps:cNvCnPr>
                      <wps:spPr bwMode="auto">
                        <a:xfrm>
                          <a:off x="0" y="0"/>
                          <a:ext cx="695325" cy="635"/>
                        </a:xfrm>
                        <a:prstGeom prst="straightConnector1">
                          <a:avLst/>
                        </a:prstGeom>
                        <a:noFill/>
                        <a:ln w="9525" cmpd="sng">
                          <a:solidFill>
                            <a:srgbClr val="000000"/>
                          </a:solidFill>
                          <a:prstDash val="dash"/>
                          <a:round/>
                          <a:tailEnd type="triangle" w="med" len="med"/>
                        </a:ln>
                      </wps:spPr>
                      <wps:bodyPr/>
                    </wps:wsp>
                  </a:graphicData>
                </a:graphic>
              </wp:anchor>
            </w:drawing>
          </mc:Choice>
          <mc:Fallback>
            <w:pict>
              <v:shape id="直接箭头连接符 81" o:spid="_x0000_s1026" o:spt="32" type="#_x0000_t32" style="position:absolute;left:0pt;margin-left:262.3pt;margin-top:15.4pt;height:0.05pt;width:54.75pt;z-index:251740160;mso-width-relative:page;mso-height-relative:page;" filled="f" stroked="t" coordsize="21600,21600" o:gfxdata="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AVOVi9UAAAAJAQAADwAAAAAAAAABACAAAAAiAAAAZHJzL2Rvd25yZXYueG1sUEsBAhQAFAAAAAgA&#10;h07iQOh/fQsoAgAAGgQAAA4AAAAAAAAAAQAgAAAAJAEAAGRycy9lMm9Eb2MueG1sUEsFBgAAAAAG&#10;AAYAWQEAAL4FAAAAAA==&#10;">
                <v:fill on="f" focussize="0,0"/>
                <v:stroke color="#000000" joinstyle="round" dashstyle="dash" endarrow="block"/>
                <v:imagedata o:title=""/>
                <o:lock v:ext="edit" aspectratio="f"/>
              </v:shape>
            </w:pict>
          </mc:Fallback>
        </mc:AlternateContent>
      </w:r>
    </w:p>
    <w:p w14:paraId="084FC851">
      <w:pPr>
        <w:pStyle w:val="180"/>
        <w:ind w:firstLine="420"/>
        <w:rPr>
          <w:lang w:val="en-US"/>
        </w:rPr>
      </w:pPr>
      <w:r>
        <w:rPr>
          <w:rFonts w:hint="eastAsia"/>
          <w:lang w:val="en-US"/>
        </w:rPr>
        <mc:AlternateContent>
          <mc:Choice Requires="wps">
            <w:drawing>
              <wp:anchor distT="0" distB="0" distL="114300" distR="114300" simplePos="0" relativeHeight="251742208" behindDoc="0" locked="0" layoutInCell="1" allowOverlap="1">
                <wp:simplePos x="0" y="0"/>
                <wp:positionH relativeFrom="column">
                  <wp:posOffset>2721610</wp:posOffset>
                </wp:positionH>
                <wp:positionV relativeFrom="paragraph">
                  <wp:posOffset>82550</wp:posOffset>
                </wp:positionV>
                <wp:extent cx="971550" cy="333375"/>
                <wp:effectExtent l="0" t="2540" r="0" b="0"/>
                <wp:wrapNone/>
                <wp:docPr id="1560994700" name="文本框 80"/>
                <wp:cNvGraphicFramePr/>
                <a:graphic xmlns:a="http://schemas.openxmlformats.org/drawingml/2006/main">
                  <a:graphicData uri="http://schemas.microsoft.com/office/word/2010/wordprocessingShape">
                    <wps:wsp>
                      <wps:cNvSpPr txBox="1">
                        <a:spLocks noChangeArrowheads="1"/>
                      </wps:cNvSpPr>
                      <wps:spPr bwMode="auto">
                        <a:xfrm>
                          <a:off x="0" y="0"/>
                          <a:ext cx="971550" cy="333375"/>
                        </a:xfrm>
                        <a:prstGeom prst="rect">
                          <a:avLst/>
                        </a:prstGeom>
                        <a:noFill/>
                        <a:ln>
                          <a:noFill/>
                        </a:ln>
                      </wps:spPr>
                      <wps:txbx>
                        <w:txbxContent>
                          <w:p w14:paraId="1895E174">
                            <w:pPr>
                              <w:jc w:val="center"/>
                            </w:pPr>
                            <w:r>
                              <w:rPr>
                                <w:rFonts w:hint="eastAsia"/>
                              </w:rPr>
                              <w:t>9995</w:t>
                            </w:r>
                          </w:p>
                        </w:txbxContent>
                      </wps:txbx>
                      <wps:bodyPr rot="0" vert="horz" wrap="square" lIns="91440" tIns="45720" rIns="91440" bIns="45720" anchor="t" anchorCtr="0" upright="1">
                        <a:noAutofit/>
                      </wps:bodyPr>
                    </wps:wsp>
                  </a:graphicData>
                </a:graphic>
              </wp:anchor>
            </w:drawing>
          </mc:Choice>
          <mc:Fallback>
            <w:pict>
              <v:shape id="文本框 80" o:spid="_x0000_s1026" o:spt="202" type="#_x0000_t202" style="position:absolute;left:0pt;margin-left:214.3pt;margin-top:6.5pt;height:26.25pt;width:76.5pt;z-index:251742208;mso-width-relative:page;mso-height-relative:page;" filled="f" stroked="f" coordsize="21600,21600" o:gfxdata="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0dEIK9YAAAAJ&#10;AQAADwAAAAAAAAABACAAAAAiAAAAZHJzL2Rvd25yZXYueG1sUEsBAhQAFAAAAAgAh07iQLIgFWYe&#10;AgAAHgQAAA4AAAAAAAAAAQAgAAAAJQEAAGRycy9lMm9Eb2MueG1sUEsFBgAAAAAGAAYAWQEAALUF&#10;AAAAAA==&#10;">
                <v:fill on="f" focussize="0,0"/>
                <v:stroke on="f"/>
                <v:imagedata o:title=""/>
                <o:lock v:ext="edit" aspectratio="f"/>
                <v:textbox>
                  <w:txbxContent>
                    <w:p w14:paraId="1895E174">
                      <w:pPr>
                        <w:jc w:val="center"/>
                      </w:pPr>
                      <w:r>
                        <w:rPr>
                          <w:rFonts w:hint="eastAsia"/>
                        </w:rPr>
                        <w:t>9995</w:t>
                      </w:r>
                    </w:p>
                  </w:txbxContent>
                </v:textbox>
              </v:shape>
            </w:pict>
          </mc:Fallback>
        </mc:AlternateContent>
      </w:r>
    </w:p>
    <w:p w14:paraId="77C492E7">
      <w:pPr>
        <w:pStyle w:val="180"/>
        <w:ind w:firstLine="420"/>
        <w:rPr>
          <w:lang w:val="en-US"/>
        </w:rPr>
      </w:pPr>
      <w:r>
        <w:rPr>
          <w:rFonts w:hint="eastAsia"/>
          <w:lang w:val="en-US"/>
        </w:rPr>
        <mc:AlternateContent>
          <mc:Choice Requires="wps">
            <w:drawing>
              <wp:anchor distT="0" distB="0" distL="114300" distR="114300" simplePos="0" relativeHeight="251719680" behindDoc="0" locked="0" layoutInCell="1" allowOverlap="1">
                <wp:simplePos x="0" y="0"/>
                <wp:positionH relativeFrom="column">
                  <wp:posOffset>2397760</wp:posOffset>
                </wp:positionH>
                <wp:positionV relativeFrom="paragraph">
                  <wp:posOffset>171450</wp:posOffset>
                </wp:positionV>
                <wp:extent cx="1047750" cy="333375"/>
                <wp:effectExtent l="9525" t="9525" r="9525" b="9525"/>
                <wp:wrapNone/>
                <wp:docPr id="1322885705" name="文本框 79"/>
                <wp:cNvGraphicFramePr/>
                <a:graphic xmlns:a="http://schemas.openxmlformats.org/drawingml/2006/main">
                  <a:graphicData uri="http://schemas.microsoft.com/office/word/2010/wordprocessingShape">
                    <wps:wsp>
                      <wps:cNvSpPr txBox="1">
                        <a:spLocks noChangeArrowheads="1"/>
                      </wps:cNvSpPr>
                      <wps:spPr bwMode="auto">
                        <a:xfrm>
                          <a:off x="0" y="0"/>
                          <a:ext cx="1047750" cy="333375"/>
                        </a:xfrm>
                        <a:prstGeom prst="rect">
                          <a:avLst/>
                        </a:prstGeom>
                        <a:solidFill>
                          <a:srgbClr val="FFFFFF"/>
                        </a:solidFill>
                        <a:ln w="19050" cmpd="sng">
                          <a:solidFill>
                            <a:srgbClr val="000000"/>
                          </a:solidFill>
                          <a:miter lim="800000"/>
                        </a:ln>
                      </wps:spPr>
                      <wps:txbx>
                        <w:txbxContent>
                          <w:p w14:paraId="3F3FF17A">
                            <w:pPr>
                              <w:jc w:val="center"/>
                            </w:pPr>
                            <w:r>
                              <w:rPr>
                                <w:rFonts w:hint="eastAsia"/>
                              </w:rPr>
                              <w:t>包装入库</w:t>
                            </w:r>
                          </w:p>
                        </w:txbxContent>
                      </wps:txbx>
                      <wps:bodyPr rot="0" vert="horz" wrap="square" lIns="91440" tIns="45720" rIns="91440" bIns="45720" anchor="t" anchorCtr="0" upright="1">
                        <a:noAutofit/>
                      </wps:bodyPr>
                    </wps:wsp>
                  </a:graphicData>
                </a:graphic>
              </wp:anchor>
            </w:drawing>
          </mc:Choice>
          <mc:Fallback>
            <w:pict>
              <v:shape id="文本框 79" o:spid="_x0000_s1026" o:spt="202" type="#_x0000_t202" style="position:absolute;left:0pt;margin-left:188.8pt;margin-top:13.5pt;height:26.25pt;width:82.5pt;z-index:251719680;mso-width-relative:page;mso-height-relative:page;" fillcolor="#FFFFFF" filled="t" stroked="t" coordsize="21600,21600" o:gfxdata="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DLCKQB1gAAAAkBAAAPAAAAAAAA&#10;AAEAIAAAACIAAABkcnMvZG93bnJldi54bWxQSwECFAAUAAAACACHTuJA68C1lE0CAACdBAAADgAA&#10;AAAAAAABACAAAAAlAQAAZHJzL2Uyb0RvYy54bWxQSwUGAAAAAAYABgBZAQAA5AUAAAAA&#10;">
                <v:fill on="t" focussize="0,0"/>
                <v:stroke weight="1.5pt" color="#000000" miterlimit="8" joinstyle="miter"/>
                <v:imagedata o:title=""/>
                <o:lock v:ext="edit" aspectratio="f"/>
                <v:textbox>
                  <w:txbxContent>
                    <w:p w14:paraId="3F3FF17A">
                      <w:pPr>
                        <w:jc w:val="center"/>
                      </w:pPr>
                      <w:r>
                        <w:rPr>
                          <w:rFonts w:hint="eastAsia"/>
                        </w:rPr>
                        <w:t>包装入库</w:t>
                      </w:r>
                    </w:p>
                  </w:txbxContent>
                </v:textbox>
              </v:shape>
            </w:pict>
          </mc:Fallback>
        </mc:AlternateContent>
      </w:r>
    </w:p>
    <w:p w14:paraId="4B44B30F">
      <w:pPr>
        <w:pStyle w:val="180"/>
        <w:ind w:firstLine="420"/>
        <w:rPr>
          <w:lang w:val="en-US"/>
        </w:rPr>
      </w:pPr>
    </w:p>
    <w:p w14:paraId="25962C21">
      <w:pPr>
        <w:pStyle w:val="180"/>
        <w:tabs>
          <w:tab w:val="left" w:pos="0"/>
          <w:tab w:val="clear" w:pos="794"/>
        </w:tabs>
        <w:ind w:left="0" w:firstLine="0"/>
        <w:jc w:val="center"/>
        <w:rPr>
          <w:b/>
          <w:lang w:val="en-US"/>
        </w:rPr>
      </w:pPr>
      <w:r>
        <w:rPr>
          <w:rFonts w:hint="eastAsia"/>
          <w:color w:val="0000FF"/>
          <w:lang w:val="en-US"/>
        </w:rPr>
        <w:t xml:space="preserve">       </w:t>
      </w:r>
      <w:r>
        <w:rPr>
          <w:rFonts w:hint="eastAsia"/>
          <w:b/>
          <w:lang w:val="en-US"/>
        </w:rPr>
        <w:t xml:space="preserve"> 图3.3-2   滴灌带生产线物料平衡图  单位：t/a</w:t>
      </w:r>
    </w:p>
    <w:p w14:paraId="4AA2AC46">
      <w:pPr>
        <w:pStyle w:val="4"/>
        <w:autoSpaceDE w:val="0"/>
        <w:autoSpaceDN w:val="0"/>
        <w:spacing w:before="0" w:after="0" w:line="360" w:lineRule="auto"/>
        <w:jc w:val="left"/>
        <w:rPr>
          <w:kern w:val="0"/>
          <w:sz w:val="24"/>
          <w:lang w:val="en-US" w:bidi="zh-CN"/>
        </w:rPr>
      </w:pPr>
      <w:bookmarkStart w:id="151" w:name="_Toc28821"/>
      <w:r>
        <w:rPr>
          <w:rFonts w:hint="eastAsia"/>
          <w:kern w:val="0"/>
          <w:sz w:val="24"/>
          <w:lang w:val="en-US" w:bidi="zh-CN"/>
        </w:rPr>
        <w:t>3.3.2水平衡</w:t>
      </w:r>
      <w:bookmarkEnd w:id="146"/>
      <w:bookmarkEnd w:id="147"/>
      <w:bookmarkEnd w:id="148"/>
      <w:bookmarkEnd w:id="149"/>
      <w:bookmarkEnd w:id="150"/>
      <w:bookmarkEnd w:id="151"/>
    </w:p>
    <w:p w14:paraId="5DB7DF41">
      <w:pPr>
        <w:widowControl/>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项目运营期用、排水情况见表4.2-2。</w:t>
      </w:r>
    </w:p>
    <w:p w14:paraId="71FCBB0B">
      <w:pPr>
        <w:widowControl/>
        <w:jc w:val="center"/>
        <w:rPr>
          <w:b/>
          <w:bCs/>
          <w:color w:val="000000"/>
          <w:szCs w:val="21"/>
        </w:rPr>
      </w:pPr>
      <w:r>
        <w:rPr>
          <w:rFonts w:hint="eastAsia"/>
          <w:b/>
          <w:bCs/>
          <w:color w:val="000000"/>
          <w:szCs w:val="21"/>
        </w:rPr>
        <w:t>表4.2-2    项目给排水情况    单位：</w:t>
      </w:r>
      <w:r>
        <w:rPr>
          <w:b/>
          <w:bCs/>
          <w:color w:val="000000"/>
          <w:szCs w:val="21"/>
        </w:rPr>
        <w:t>m</w:t>
      </w:r>
      <w:r>
        <w:rPr>
          <w:b/>
          <w:bCs/>
          <w:color w:val="000000"/>
          <w:szCs w:val="21"/>
          <w:vertAlign w:val="superscript"/>
        </w:rPr>
        <w:t>3</w:t>
      </w:r>
      <w:r>
        <w:rPr>
          <w:b/>
          <w:bCs/>
          <w:color w:val="000000"/>
          <w:szCs w:val="21"/>
        </w:rPr>
        <w:t>/</w:t>
      </w:r>
      <w:r>
        <w:rPr>
          <w:rFonts w:hint="eastAsia"/>
          <w:b/>
          <w:bCs/>
          <w:color w:val="000000"/>
          <w:szCs w:val="21"/>
        </w:rPr>
        <w:t>a</w:t>
      </w:r>
    </w:p>
    <w:tbl>
      <w:tblPr>
        <w:tblStyle w:val="49"/>
        <w:tblW w:w="4983"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6" w:space="0"/>
        </w:tblBorders>
        <w:tblLayout w:type="autofit"/>
        <w:tblCellMar>
          <w:top w:w="0" w:type="dxa"/>
          <w:left w:w="108" w:type="dxa"/>
          <w:bottom w:w="0" w:type="dxa"/>
          <w:right w:w="108" w:type="dxa"/>
        </w:tblCellMar>
      </w:tblPr>
      <w:tblGrid>
        <w:gridCol w:w="984"/>
        <w:gridCol w:w="3025"/>
        <w:gridCol w:w="2127"/>
        <w:gridCol w:w="1901"/>
        <w:gridCol w:w="1219"/>
      </w:tblGrid>
      <w:tr w14:paraId="49617D1E">
        <w:tblPrEx>
          <w:tblBorders>
            <w:top w:val="single" w:color="auto" w:sz="12" w:space="0"/>
            <w:left w:val="single" w:color="auto" w:sz="12" w:space="0"/>
            <w:bottom w:val="single" w:color="auto" w:sz="12" w:space="0"/>
            <w:right w:val="single" w:color="auto" w:sz="12" w:space="0"/>
            <w:insideH w:val="single" w:color="auto" w:sz="4" w:space="0"/>
            <w:insideV w:val="single" w:color="auto" w:sz="6" w:space="0"/>
          </w:tblBorders>
          <w:tblCellMar>
            <w:top w:w="0" w:type="dxa"/>
            <w:left w:w="108" w:type="dxa"/>
            <w:bottom w:w="0" w:type="dxa"/>
            <w:right w:w="108" w:type="dxa"/>
          </w:tblCellMar>
        </w:tblPrEx>
        <w:trPr>
          <w:trHeight w:val="349" w:hRule="atLeast"/>
          <w:jc w:val="center"/>
        </w:trPr>
        <w:tc>
          <w:tcPr>
            <w:tcW w:w="532" w:type="pct"/>
            <w:tcBorders>
              <w:tl2br w:val="nil"/>
              <w:tr2bl w:val="nil"/>
            </w:tcBorders>
            <w:vAlign w:val="center"/>
          </w:tcPr>
          <w:p w14:paraId="07A08D8F">
            <w:pPr>
              <w:pStyle w:val="240"/>
              <w:rPr>
                <w:rFonts w:hint="default"/>
              </w:rPr>
            </w:pPr>
            <w:r>
              <w:rPr>
                <w:rFonts w:hint="default"/>
              </w:rPr>
              <w:t>序号</w:t>
            </w:r>
          </w:p>
        </w:tc>
        <w:tc>
          <w:tcPr>
            <w:tcW w:w="1633" w:type="pct"/>
            <w:tcBorders>
              <w:tl2br w:val="nil"/>
              <w:tr2bl w:val="nil"/>
            </w:tcBorders>
            <w:vAlign w:val="center"/>
          </w:tcPr>
          <w:p w14:paraId="35636477">
            <w:pPr>
              <w:pStyle w:val="240"/>
              <w:rPr>
                <w:rFonts w:hint="default"/>
              </w:rPr>
            </w:pPr>
            <w:r>
              <w:rPr>
                <w:rFonts w:hint="default"/>
              </w:rPr>
              <w:t>用水类别</w:t>
            </w:r>
          </w:p>
        </w:tc>
        <w:tc>
          <w:tcPr>
            <w:tcW w:w="1148" w:type="pct"/>
            <w:tcBorders>
              <w:tl2br w:val="nil"/>
              <w:tr2bl w:val="nil"/>
            </w:tcBorders>
            <w:vAlign w:val="center"/>
          </w:tcPr>
          <w:p w14:paraId="411207F1">
            <w:pPr>
              <w:pStyle w:val="240"/>
              <w:rPr>
                <w:rFonts w:hint="default"/>
              </w:rPr>
            </w:pPr>
            <w:r>
              <w:rPr>
                <w:rFonts w:hint="default"/>
              </w:rPr>
              <w:t>新鲜水</w:t>
            </w:r>
            <w:r>
              <w:t>量</w:t>
            </w:r>
          </w:p>
        </w:tc>
        <w:tc>
          <w:tcPr>
            <w:tcW w:w="1026" w:type="pct"/>
            <w:tcBorders>
              <w:tl2br w:val="nil"/>
              <w:tr2bl w:val="nil"/>
            </w:tcBorders>
            <w:vAlign w:val="center"/>
          </w:tcPr>
          <w:p w14:paraId="5D8C22E6">
            <w:pPr>
              <w:pStyle w:val="240"/>
              <w:rPr>
                <w:rFonts w:hint="default"/>
              </w:rPr>
            </w:pPr>
            <w:r>
              <w:rPr>
                <w:rFonts w:hint="default"/>
              </w:rPr>
              <w:t>损耗量</w:t>
            </w:r>
          </w:p>
        </w:tc>
        <w:tc>
          <w:tcPr>
            <w:tcW w:w="658" w:type="pct"/>
            <w:tcBorders>
              <w:tl2br w:val="nil"/>
              <w:tr2bl w:val="nil"/>
            </w:tcBorders>
            <w:vAlign w:val="center"/>
          </w:tcPr>
          <w:p w14:paraId="6423B848">
            <w:pPr>
              <w:pStyle w:val="240"/>
              <w:rPr>
                <w:rFonts w:hint="default"/>
              </w:rPr>
            </w:pPr>
            <w:r>
              <w:rPr>
                <w:rFonts w:hint="default"/>
              </w:rPr>
              <w:t>排放量</w:t>
            </w:r>
          </w:p>
        </w:tc>
      </w:tr>
      <w:tr w14:paraId="2E2B5376">
        <w:tblPrEx>
          <w:tblBorders>
            <w:top w:val="single" w:color="auto" w:sz="12" w:space="0"/>
            <w:left w:val="single" w:color="auto" w:sz="12" w:space="0"/>
            <w:bottom w:val="single" w:color="auto" w:sz="12" w:space="0"/>
            <w:right w:val="single" w:color="auto" w:sz="12" w:space="0"/>
            <w:insideH w:val="single" w:color="auto" w:sz="4" w:space="0"/>
            <w:insideV w:val="single" w:color="auto" w:sz="6" w:space="0"/>
          </w:tblBorders>
          <w:tblCellMar>
            <w:top w:w="0" w:type="dxa"/>
            <w:left w:w="108" w:type="dxa"/>
            <w:bottom w:w="0" w:type="dxa"/>
            <w:right w:w="108" w:type="dxa"/>
          </w:tblCellMar>
        </w:tblPrEx>
        <w:trPr>
          <w:trHeight w:val="396" w:hRule="atLeast"/>
          <w:jc w:val="center"/>
        </w:trPr>
        <w:tc>
          <w:tcPr>
            <w:tcW w:w="532" w:type="pct"/>
            <w:tcBorders>
              <w:tl2br w:val="nil"/>
              <w:tr2bl w:val="nil"/>
            </w:tcBorders>
            <w:vAlign w:val="center"/>
          </w:tcPr>
          <w:p w14:paraId="186D4352">
            <w:pPr>
              <w:pStyle w:val="240"/>
              <w:rPr>
                <w:rFonts w:hint="default"/>
              </w:rPr>
            </w:pPr>
            <w:r>
              <w:t>1</w:t>
            </w:r>
          </w:p>
        </w:tc>
        <w:tc>
          <w:tcPr>
            <w:tcW w:w="1633" w:type="pct"/>
            <w:tcBorders>
              <w:tl2br w:val="nil"/>
              <w:tr2bl w:val="nil"/>
            </w:tcBorders>
            <w:vAlign w:val="center"/>
          </w:tcPr>
          <w:p w14:paraId="32BC6A85">
            <w:pPr>
              <w:pStyle w:val="240"/>
              <w:rPr>
                <w:rFonts w:hint="default"/>
              </w:rPr>
            </w:pPr>
            <w:r>
              <w:rPr>
                <w:rFonts w:hint="default"/>
              </w:rPr>
              <w:t>生活用水</w:t>
            </w:r>
          </w:p>
        </w:tc>
        <w:tc>
          <w:tcPr>
            <w:tcW w:w="1148" w:type="pct"/>
            <w:tcBorders>
              <w:tl2br w:val="nil"/>
              <w:tr2bl w:val="nil"/>
            </w:tcBorders>
            <w:vAlign w:val="center"/>
          </w:tcPr>
          <w:p w14:paraId="014F3FF8">
            <w:pPr>
              <w:pStyle w:val="240"/>
              <w:rPr>
                <w:rFonts w:hint="default" w:eastAsia="宋体"/>
                <w:lang w:val="en-US" w:eastAsia="zh-CN"/>
              </w:rPr>
            </w:pPr>
            <w:r>
              <w:rPr>
                <w:rFonts w:hint="eastAsia"/>
                <w:lang w:val="en-US" w:eastAsia="zh-CN"/>
              </w:rPr>
              <w:t>115.2</w:t>
            </w:r>
          </w:p>
        </w:tc>
        <w:tc>
          <w:tcPr>
            <w:tcW w:w="1026" w:type="pct"/>
            <w:tcBorders>
              <w:tl2br w:val="nil"/>
              <w:tr2bl w:val="nil"/>
            </w:tcBorders>
            <w:vAlign w:val="center"/>
          </w:tcPr>
          <w:p w14:paraId="6D450D26">
            <w:pPr>
              <w:pStyle w:val="240"/>
              <w:rPr>
                <w:rFonts w:hint="default" w:eastAsia="宋体"/>
                <w:lang w:val="en-US" w:eastAsia="zh-CN"/>
              </w:rPr>
            </w:pPr>
            <w:r>
              <w:rPr>
                <w:rFonts w:hint="eastAsia"/>
                <w:lang w:val="en-US" w:eastAsia="zh-CN"/>
              </w:rPr>
              <w:t>7.2</w:t>
            </w:r>
          </w:p>
        </w:tc>
        <w:tc>
          <w:tcPr>
            <w:tcW w:w="658" w:type="pct"/>
            <w:tcBorders>
              <w:tl2br w:val="nil"/>
              <w:tr2bl w:val="nil"/>
            </w:tcBorders>
            <w:vAlign w:val="center"/>
          </w:tcPr>
          <w:p w14:paraId="0D165E46">
            <w:pPr>
              <w:pStyle w:val="240"/>
              <w:rPr>
                <w:rFonts w:hint="default" w:eastAsia="宋体"/>
                <w:lang w:val="en-US" w:eastAsia="zh-CN"/>
              </w:rPr>
            </w:pPr>
            <w:r>
              <w:rPr>
                <w:rFonts w:hint="eastAsia"/>
                <w:lang w:val="en-US" w:eastAsia="zh-CN"/>
              </w:rPr>
              <w:t>92.16</w:t>
            </w:r>
          </w:p>
        </w:tc>
      </w:tr>
    </w:tbl>
    <w:p w14:paraId="25F14C46">
      <w:pPr>
        <w:widowControl/>
        <w:spacing w:line="360" w:lineRule="auto"/>
        <w:ind w:firstLine="480" w:firstLineChars="200"/>
        <w:rPr>
          <w:color w:val="000000"/>
          <w:sz w:val="24"/>
          <w:szCs w:val="24"/>
        </w:rPr>
      </w:pPr>
      <w:r>
        <w:rPr>
          <w:rFonts w:hint="eastAsia"/>
          <w:color w:val="000000"/>
          <w:sz w:val="24"/>
          <w:szCs w:val="24"/>
        </w:rPr>
        <w:t>项目水平衡见图4.2-2。</w:t>
      </w:r>
    </w:p>
    <w:p w14:paraId="5CD543D4">
      <w:pPr>
        <w:pStyle w:val="38"/>
      </w:pPr>
      <w:r>
        <mc:AlternateContent>
          <mc:Choice Requires="wps">
            <w:drawing>
              <wp:anchor distT="0" distB="0" distL="114300" distR="114300" simplePos="0" relativeHeight="251702272" behindDoc="0" locked="0" layoutInCell="1" allowOverlap="1">
                <wp:simplePos x="0" y="0"/>
                <wp:positionH relativeFrom="column">
                  <wp:posOffset>2982595</wp:posOffset>
                </wp:positionH>
                <wp:positionV relativeFrom="paragraph">
                  <wp:posOffset>295910</wp:posOffset>
                </wp:positionV>
                <wp:extent cx="2564765" cy="685800"/>
                <wp:effectExtent l="9525" t="9525" r="16510" b="9525"/>
                <wp:wrapNone/>
                <wp:docPr id="605064080" name="Text Box 69"/>
                <wp:cNvGraphicFramePr/>
                <a:graphic xmlns:a="http://schemas.openxmlformats.org/drawingml/2006/main">
                  <a:graphicData uri="http://schemas.microsoft.com/office/word/2010/wordprocessingShape">
                    <wps:wsp>
                      <wps:cNvSpPr txBox="1">
                        <a:spLocks noChangeArrowheads="1"/>
                      </wps:cNvSpPr>
                      <wps:spPr bwMode="auto">
                        <a:xfrm>
                          <a:off x="0" y="0"/>
                          <a:ext cx="2564765" cy="685800"/>
                        </a:xfrm>
                        <a:prstGeom prst="rect">
                          <a:avLst/>
                        </a:prstGeom>
                        <a:solidFill>
                          <a:srgbClr val="FFFFFF"/>
                        </a:solidFill>
                        <a:ln w="19050">
                          <a:solidFill>
                            <a:srgbClr val="000000"/>
                          </a:solidFill>
                          <a:miter lim="800000"/>
                          <a:tailEnd type="triangle" w="med" len="med"/>
                        </a:ln>
                      </wps:spPr>
                      <wps:txbx>
                        <w:txbxContent>
                          <w:p w14:paraId="39056FA3">
                            <w:pPr>
                              <w:jc w:val="center"/>
                              <w:rPr>
                                <w:sz w:val="21"/>
                                <w:szCs w:val="21"/>
                              </w:rPr>
                            </w:pPr>
                            <w:r>
                              <w:rPr>
                                <w:rFonts w:hint="eastAsia" w:ascii="Times New Roman" w:hAnsi="Times New Roman" w:eastAsia="宋体" w:cs="Times New Roman"/>
                                <w:sz w:val="21"/>
                                <w:szCs w:val="21"/>
                                <w:lang w:eastAsia="zh-CN"/>
                              </w:rPr>
                              <w:t>排入</w:t>
                            </w:r>
                            <w:r>
                              <w:rPr>
                                <w:rFonts w:hint="eastAsia" w:cs="Times New Roman"/>
                                <w:sz w:val="21"/>
                                <w:szCs w:val="21"/>
                                <w:lang w:val="en-US" w:eastAsia="zh-CN"/>
                              </w:rPr>
                              <w:t>塑料防渗化粪池</w:t>
                            </w:r>
                            <w:r>
                              <w:rPr>
                                <w:rFonts w:hint="eastAsia" w:ascii="Times New Roman" w:hAnsi="Times New Roman" w:eastAsia="宋体" w:cs="Times New Roman"/>
                                <w:sz w:val="21"/>
                                <w:szCs w:val="21"/>
                              </w:rPr>
                              <w:t>（容积</w:t>
                            </w:r>
                            <w:r>
                              <w:rPr>
                                <w:rFonts w:hint="eastAsia" w:cs="Times New Roman"/>
                                <w:sz w:val="21"/>
                                <w:szCs w:val="21"/>
                                <w:lang w:val="en-US" w:eastAsia="zh-CN"/>
                              </w:rPr>
                              <w:t>3</w:t>
                            </w:r>
                            <w:r>
                              <w:rPr>
                                <w:rFonts w:hint="eastAsia" w:ascii="Times New Roman" w:hAnsi="Times New Roman" w:eastAsia="宋体" w:cs="Times New Roman"/>
                                <w:sz w:val="21"/>
                                <w:szCs w:val="21"/>
                                <w:lang w:val="en-US" w:eastAsia="zh-CN"/>
                              </w:rPr>
                              <w:t>0</w:t>
                            </w:r>
                            <w:r>
                              <w:rPr>
                                <w:rFonts w:hint="eastAsia" w:ascii="Times New Roman" w:hAnsi="Times New Roman" w:eastAsia="宋体" w:cs="Times New Roman"/>
                                <w:sz w:val="21"/>
                                <w:szCs w:val="21"/>
                              </w:rPr>
                              <w:t>m</w:t>
                            </w:r>
                            <w:r>
                              <w:rPr>
                                <w:rFonts w:hint="eastAsia" w:ascii="Times New Roman" w:hAnsi="Times New Roman" w:eastAsia="宋体" w:cs="Times New Roman"/>
                                <w:sz w:val="21"/>
                                <w:szCs w:val="21"/>
                                <w:vertAlign w:val="superscript"/>
                              </w:rPr>
                              <w:t>3</w:t>
                            </w:r>
                            <w:r>
                              <w:rPr>
                                <w:rFonts w:hint="eastAsia" w:ascii="Times New Roman" w:hAnsi="Times New Roman" w:eastAsia="宋体" w:cs="Times New Roman"/>
                                <w:sz w:val="21"/>
                                <w:szCs w:val="21"/>
                              </w:rPr>
                              <w:t>）</w:t>
                            </w:r>
                            <w:r>
                              <w:rPr>
                                <w:rFonts w:hint="eastAsia" w:ascii="Times New Roman" w:hAnsi="Times New Roman" w:eastAsia="宋体" w:cs="Times New Roman"/>
                                <w:sz w:val="21"/>
                                <w:szCs w:val="21"/>
                                <w:lang w:eastAsia="zh-CN"/>
                              </w:rPr>
                              <w:t>，</w:t>
                            </w:r>
                            <w:r>
                              <w:rPr>
                                <w:rFonts w:hint="eastAsia" w:ascii="宋体" w:hAnsi="宋体" w:cs="宋体"/>
                                <w:sz w:val="21"/>
                                <w:szCs w:val="21"/>
                                <w:lang w:eastAsia="zh-CN"/>
                              </w:rPr>
                              <w:t>定期</w:t>
                            </w:r>
                            <w:r>
                              <w:rPr>
                                <w:rFonts w:hint="eastAsia" w:ascii="宋体" w:hAnsi="宋体" w:cs="宋体"/>
                                <w:sz w:val="21"/>
                                <w:szCs w:val="21"/>
                                <w:lang w:val="en-US" w:eastAsia="zh-CN"/>
                              </w:rPr>
                              <w:t>由库尔勒龙润水处理有限公司采用罐车</w:t>
                            </w:r>
                            <w:r>
                              <w:rPr>
                                <w:rFonts w:hint="eastAsia" w:ascii="宋体" w:hAnsi="宋体" w:cs="宋体"/>
                                <w:sz w:val="21"/>
                                <w:szCs w:val="21"/>
                                <w:lang w:eastAsia="zh-CN"/>
                              </w:rPr>
                              <w:t>拉运至</w:t>
                            </w:r>
                            <w:r>
                              <w:rPr>
                                <w:rFonts w:hint="eastAsia" w:ascii="宋体" w:hAnsi="宋体" w:cs="宋体"/>
                                <w:sz w:val="21"/>
                                <w:szCs w:val="21"/>
                                <w:lang w:val="en-US" w:eastAsia="zh-CN"/>
                              </w:rPr>
                              <w:t>库尔勒南市区</w:t>
                            </w:r>
                            <w:r>
                              <w:rPr>
                                <w:rFonts w:hint="eastAsia" w:ascii="宋体" w:hAnsi="宋体" w:cs="宋体"/>
                                <w:sz w:val="21"/>
                                <w:szCs w:val="21"/>
                                <w:lang w:eastAsia="zh-CN"/>
                              </w:rPr>
                              <w:t>污水处理</w:t>
                            </w:r>
                            <w:r>
                              <w:rPr>
                                <w:rFonts w:hint="eastAsia" w:ascii="宋体" w:hAnsi="宋体" w:cs="宋体"/>
                                <w:sz w:val="21"/>
                                <w:szCs w:val="21"/>
                                <w:lang w:val="en-US" w:eastAsia="zh-CN"/>
                              </w:rPr>
                              <w:t>厂</w:t>
                            </w:r>
                          </w:p>
                        </w:txbxContent>
                      </wps:txbx>
                      <wps:bodyPr rot="0" vert="horz" wrap="square" lIns="91440" tIns="45720" rIns="91440" bIns="45720" anchor="t" anchorCtr="0" upright="1">
                        <a:noAutofit/>
                      </wps:bodyPr>
                    </wps:wsp>
                  </a:graphicData>
                </a:graphic>
              </wp:anchor>
            </w:drawing>
          </mc:Choice>
          <mc:Fallback>
            <w:pict>
              <v:shape id="Text Box 69" o:spid="_x0000_s1026" o:spt="202" type="#_x0000_t202" style="position:absolute;left:0pt;margin-left:234.85pt;margin-top:23.3pt;height:54pt;width:201.95pt;z-index:251702272;mso-width-relative:page;mso-height-relative:page;" fillcolor="#FFFFFF" filled="t" stroked="t" coordsize="21600,21600" o:gfxdata="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KGtIYrXAAAACgEA&#10;AA8AAAAAAAAAAQAgAAAAIgAAAGRycy9kb3ducmV2LnhtbFBLAQIUABQAAAAIAIdO4kBfTVZBVAIA&#10;AL4EAAAOAAAAAAAAAAEAIAAAACYBAABkcnMvZTJvRG9jLnhtbFBLBQYAAAAABgAGAFkBAADsBQAA&#10;AAA=&#10;">
                <v:fill on="t" focussize="0,0"/>
                <v:stroke weight="1.5pt" color="#000000" miterlimit="8" joinstyle="miter" endarrow="block"/>
                <v:imagedata o:title=""/>
                <o:lock v:ext="edit" aspectratio="f"/>
                <v:textbox>
                  <w:txbxContent>
                    <w:p w14:paraId="39056FA3">
                      <w:pPr>
                        <w:jc w:val="center"/>
                        <w:rPr>
                          <w:sz w:val="21"/>
                          <w:szCs w:val="21"/>
                        </w:rPr>
                      </w:pPr>
                      <w:r>
                        <w:rPr>
                          <w:rFonts w:hint="eastAsia" w:ascii="Times New Roman" w:hAnsi="Times New Roman" w:eastAsia="宋体" w:cs="Times New Roman"/>
                          <w:sz w:val="21"/>
                          <w:szCs w:val="21"/>
                          <w:lang w:eastAsia="zh-CN"/>
                        </w:rPr>
                        <w:t>排入</w:t>
                      </w:r>
                      <w:r>
                        <w:rPr>
                          <w:rFonts w:hint="eastAsia" w:cs="Times New Roman"/>
                          <w:sz w:val="21"/>
                          <w:szCs w:val="21"/>
                          <w:lang w:val="en-US" w:eastAsia="zh-CN"/>
                        </w:rPr>
                        <w:t>塑料防渗化粪池</w:t>
                      </w:r>
                      <w:r>
                        <w:rPr>
                          <w:rFonts w:hint="eastAsia" w:ascii="Times New Roman" w:hAnsi="Times New Roman" w:eastAsia="宋体" w:cs="Times New Roman"/>
                          <w:sz w:val="21"/>
                          <w:szCs w:val="21"/>
                        </w:rPr>
                        <w:t>（容积</w:t>
                      </w:r>
                      <w:r>
                        <w:rPr>
                          <w:rFonts w:hint="eastAsia" w:cs="Times New Roman"/>
                          <w:sz w:val="21"/>
                          <w:szCs w:val="21"/>
                          <w:lang w:val="en-US" w:eastAsia="zh-CN"/>
                        </w:rPr>
                        <w:t>3</w:t>
                      </w:r>
                      <w:r>
                        <w:rPr>
                          <w:rFonts w:hint="eastAsia" w:ascii="Times New Roman" w:hAnsi="Times New Roman" w:eastAsia="宋体" w:cs="Times New Roman"/>
                          <w:sz w:val="21"/>
                          <w:szCs w:val="21"/>
                          <w:lang w:val="en-US" w:eastAsia="zh-CN"/>
                        </w:rPr>
                        <w:t>0</w:t>
                      </w:r>
                      <w:r>
                        <w:rPr>
                          <w:rFonts w:hint="eastAsia" w:ascii="Times New Roman" w:hAnsi="Times New Roman" w:eastAsia="宋体" w:cs="Times New Roman"/>
                          <w:sz w:val="21"/>
                          <w:szCs w:val="21"/>
                        </w:rPr>
                        <w:t>m</w:t>
                      </w:r>
                      <w:r>
                        <w:rPr>
                          <w:rFonts w:hint="eastAsia" w:ascii="Times New Roman" w:hAnsi="Times New Roman" w:eastAsia="宋体" w:cs="Times New Roman"/>
                          <w:sz w:val="21"/>
                          <w:szCs w:val="21"/>
                          <w:vertAlign w:val="superscript"/>
                        </w:rPr>
                        <w:t>3</w:t>
                      </w:r>
                      <w:r>
                        <w:rPr>
                          <w:rFonts w:hint="eastAsia" w:ascii="Times New Roman" w:hAnsi="Times New Roman" w:eastAsia="宋体" w:cs="Times New Roman"/>
                          <w:sz w:val="21"/>
                          <w:szCs w:val="21"/>
                        </w:rPr>
                        <w:t>）</w:t>
                      </w:r>
                      <w:r>
                        <w:rPr>
                          <w:rFonts w:hint="eastAsia" w:ascii="Times New Roman" w:hAnsi="Times New Roman" w:eastAsia="宋体" w:cs="Times New Roman"/>
                          <w:sz w:val="21"/>
                          <w:szCs w:val="21"/>
                          <w:lang w:eastAsia="zh-CN"/>
                        </w:rPr>
                        <w:t>，</w:t>
                      </w:r>
                      <w:r>
                        <w:rPr>
                          <w:rFonts w:hint="eastAsia" w:ascii="宋体" w:hAnsi="宋体" w:cs="宋体"/>
                          <w:sz w:val="21"/>
                          <w:szCs w:val="21"/>
                          <w:lang w:eastAsia="zh-CN"/>
                        </w:rPr>
                        <w:t>定期</w:t>
                      </w:r>
                      <w:r>
                        <w:rPr>
                          <w:rFonts w:hint="eastAsia" w:ascii="宋体" w:hAnsi="宋体" w:cs="宋体"/>
                          <w:sz w:val="21"/>
                          <w:szCs w:val="21"/>
                          <w:lang w:val="en-US" w:eastAsia="zh-CN"/>
                        </w:rPr>
                        <w:t>由库尔勒龙润水处理有限公司采用罐车</w:t>
                      </w:r>
                      <w:r>
                        <w:rPr>
                          <w:rFonts w:hint="eastAsia" w:ascii="宋体" w:hAnsi="宋体" w:cs="宋体"/>
                          <w:sz w:val="21"/>
                          <w:szCs w:val="21"/>
                          <w:lang w:eastAsia="zh-CN"/>
                        </w:rPr>
                        <w:t>拉运至</w:t>
                      </w:r>
                      <w:r>
                        <w:rPr>
                          <w:rFonts w:hint="eastAsia" w:ascii="宋体" w:hAnsi="宋体" w:cs="宋体"/>
                          <w:sz w:val="21"/>
                          <w:szCs w:val="21"/>
                          <w:lang w:val="en-US" w:eastAsia="zh-CN"/>
                        </w:rPr>
                        <w:t>库尔勒南市区</w:t>
                      </w:r>
                      <w:r>
                        <w:rPr>
                          <w:rFonts w:hint="eastAsia" w:ascii="宋体" w:hAnsi="宋体" w:cs="宋体"/>
                          <w:sz w:val="21"/>
                          <w:szCs w:val="21"/>
                          <w:lang w:eastAsia="zh-CN"/>
                        </w:rPr>
                        <w:t>污水处理</w:t>
                      </w:r>
                      <w:r>
                        <w:rPr>
                          <w:rFonts w:hint="eastAsia" w:ascii="宋体" w:hAnsi="宋体" w:cs="宋体"/>
                          <w:sz w:val="21"/>
                          <w:szCs w:val="21"/>
                          <w:lang w:val="en-US" w:eastAsia="zh-CN"/>
                        </w:rPr>
                        <w:t>厂</w:t>
                      </w:r>
                    </w:p>
                  </w:txbxContent>
                </v:textbox>
              </v:shape>
            </w:pict>
          </mc:Fallback>
        </mc:AlternateContent>
      </w:r>
      <w:r>
        <mc:AlternateContent>
          <mc:Choice Requires="wps">
            <w:drawing>
              <wp:anchor distT="0" distB="0" distL="114300" distR="114300" simplePos="0" relativeHeight="251683840" behindDoc="0" locked="0" layoutInCell="1" allowOverlap="1">
                <wp:simplePos x="0" y="0"/>
                <wp:positionH relativeFrom="column">
                  <wp:posOffset>1586230</wp:posOffset>
                </wp:positionH>
                <wp:positionV relativeFrom="paragraph">
                  <wp:posOffset>41910</wp:posOffset>
                </wp:positionV>
                <wp:extent cx="762635" cy="271780"/>
                <wp:effectExtent l="0" t="0" r="0" b="0"/>
                <wp:wrapNone/>
                <wp:docPr id="1336809994" name="Text Box 42"/>
                <wp:cNvGraphicFramePr/>
                <a:graphic xmlns:a="http://schemas.openxmlformats.org/drawingml/2006/main">
                  <a:graphicData uri="http://schemas.microsoft.com/office/word/2010/wordprocessingShape">
                    <wps:wsp>
                      <wps:cNvSpPr txBox="1">
                        <a:spLocks noChangeArrowheads="1"/>
                      </wps:cNvSpPr>
                      <wps:spPr bwMode="auto">
                        <a:xfrm>
                          <a:off x="0" y="0"/>
                          <a:ext cx="762635" cy="271780"/>
                        </a:xfrm>
                        <a:prstGeom prst="rect">
                          <a:avLst/>
                        </a:prstGeom>
                        <a:noFill/>
                        <a:ln>
                          <a:noFill/>
                        </a:ln>
                      </wps:spPr>
                      <wps:txbx>
                        <w:txbxContent>
                          <w:p w14:paraId="481F1F60">
                            <w:pPr>
                              <w:pStyle w:val="38"/>
                              <w:spacing w:line="240" w:lineRule="auto"/>
                              <w:jc w:val="center"/>
                              <w:rPr>
                                <w:rFonts w:hint="default" w:eastAsia="宋体"/>
                                <w:lang w:val="en-US" w:eastAsia="zh-CN"/>
                              </w:rPr>
                            </w:pPr>
                            <w:r>
                              <w:rPr>
                                <w:rFonts w:hint="eastAsia"/>
                                <w:lang w:val="en-US" w:eastAsia="zh-CN"/>
                              </w:rPr>
                              <w:t>23.04</w:t>
                            </w:r>
                          </w:p>
                        </w:txbxContent>
                      </wps:txbx>
                      <wps:bodyPr rot="0" vert="horz" wrap="square" lIns="91440" tIns="45720" rIns="91440" bIns="45720" anchor="t" anchorCtr="0" upright="1">
                        <a:noAutofit/>
                      </wps:bodyPr>
                    </wps:wsp>
                  </a:graphicData>
                </a:graphic>
              </wp:anchor>
            </w:drawing>
          </mc:Choice>
          <mc:Fallback>
            <w:pict>
              <v:shape id="Text Box 42" o:spid="_x0000_s1026" o:spt="202" type="#_x0000_t202" style="position:absolute;left:0pt;margin-left:124.9pt;margin-top:3.3pt;height:21.4pt;width:60.05pt;z-index:251683840;mso-width-relative:page;mso-height-relative:page;" filled="f" stroked="f" coordsize="21600,21600" o:gfxdata="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EC1fdfWAAAACAEAAA8AAAAAAAAAAQAg&#10;AAAAIgAAAGRycy9kb3ducmV2LnhtbFBLAQIUABQAAAAIAIdO4kA79VrSEAIAAB0EAAAOAAAAAAAA&#10;AAEAIAAAACUBAABkcnMvZTJvRG9jLnhtbFBLBQYAAAAABgAGAFkBAACnBQAAAAA=&#10;">
                <v:fill on="f" focussize="0,0"/>
                <v:stroke on="f"/>
                <v:imagedata o:title=""/>
                <o:lock v:ext="edit" aspectratio="f"/>
                <v:textbox>
                  <w:txbxContent>
                    <w:p w14:paraId="481F1F60">
                      <w:pPr>
                        <w:pStyle w:val="38"/>
                        <w:spacing w:line="240" w:lineRule="auto"/>
                        <w:jc w:val="center"/>
                        <w:rPr>
                          <w:rFonts w:hint="default" w:eastAsia="宋体"/>
                          <w:lang w:val="en-US" w:eastAsia="zh-CN"/>
                        </w:rPr>
                      </w:pPr>
                      <w:r>
                        <w:rPr>
                          <w:rFonts w:hint="eastAsia"/>
                          <w:lang w:val="en-US" w:eastAsia="zh-CN"/>
                        </w:rPr>
                        <w:t>23.04</w:t>
                      </w:r>
                    </w:p>
                  </w:txbxContent>
                </v:textbox>
              </v:shape>
            </w:pict>
          </mc:Fallback>
        </mc:AlternateContent>
      </w:r>
      <w:r>
        <w:rPr>
          <w:sz w:val="21"/>
        </w:rPr>
        <mc:AlternateContent>
          <mc:Choice Requires="wps">
            <w:drawing>
              <wp:anchor distT="0" distB="0" distL="114300" distR="114300" simplePos="0" relativeHeight="251665408" behindDoc="0" locked="0" layoutInCell="1" allowOverlap="1">
                <wp:simplePos x="0" y="0"/>
                <wp:positionH relativeFrom="column">
                  <wp:posOffset>1600200</wp:posOffset>
                </wp:positionH>
                <wp:positionV relativeFrom="paragraph">
                  <wp:posOffset>288290</wp:posOffset>
                </wp:positionV>
                <wp:extent cx="282575" cy="272415"/>
                <wp:effectExtent l="13970" t="69215" r="65405" b="10795"/>
                <wp:wrapNone/>
                <wp:docPr id="963540264" name="Line 43"/>
                <wp:cNvGraphicFramePr/>
                <a:graphic xmlns:a="http://schemas.openxmlformats.org/drawingml/2006/main">
                  <a:graphicData uri="http://schemas.microsoft.com/office/word/2010/wordprocessingShape">
                    <wps:wsp>
                      <wps:cNvCnPr>
                        <a:cxnSpLocks noChangeShapeType="1"/>
                      </wps:cNvCnPr>
                      <wps:spPr bwMode="auto">
                        <a:xfrm flipV="1">
                          <a:off x="0" y="0"/>
                          <a:ext cx="282575" cy="272415"/>
                        </a:xfrm>
                        <a:prstGeom prst="line">
                          <a:avLst/>
                        </a:prstGeom>
                        <a:noFill/>
                        <a:ln w="19050">
                          <a:solidFill>
                            <a:srgbClr val="000000"/>
                          </a:solidFill>
                          <a:prstDash val="dash"/>
                          <a:round/>
                          <a:tailEnd type="arrow" w="med" len="med"/>
                        </a:ln>
                      </wps:spPr>
                      <wps:bodyPr/>
                    </wps:wsp>
                  </a:graphicData>
                </a:graphic>
              </wp:anchor>
            </w:drawing>
          </mc:Choice>
          <mc:Fallback>
            <w:pict>
              <v:line id="Line 43" o:spid="_x0000_s1026" o:spt="20" style="position:absolute;left:0pt;flip:y;margin-left:126pt;margin-top:22.7pt;height:21.45pt;width:22.25pt;z-index:251665408;mso-width-relative:page;mso-height-relative:page;" filled="f" stroked="t" coordsize="21600,21600" o:gfxdata="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Ixx133XAAAACQEAAA8AAAAAAAAAAQAgAAAAIgAAAGRycy9kb3du&#10;cmV2LnhtbFBLAQIUABQAAAAIAIdO4kCR3Bn+AAIAAPoDAAAOAAAAAAAAAAEAIAAAACYBAABkcnMv&#10;ZTJvRG9jLnhtbFBLBQYAAAAABgAGAFkBAACYBQAAAAA=&#10;">
                <v:fill on="f" focussize="0,0"/>
                <v:stroke weight="1.5pt" color="#000000" joinstyle="round" dashstyle="dash" endarrow="open"/>
                <v:imagedata o:title=""/>
                <o:lock v:ext="edit" aspectratio="f"/>
              </v:line>
            </w:pict>
          </mc:Fallback>
        </mc:AlternateContent>
      </w:r>
    </w:p>
    <w:p w14:paraId="7C97F208">
      <w:pPr>
        <w:pStyle w:val="38"/>
        <w:rPr>
          <w:rFonts w:ascii="Times New Roman" w:hAnsi="Times New Roman" w:cs="Times New Roman"/>
          <w:color w:val="000000"/>
        </w:rPr>
      </w:pPr>
      <w:r>
        <mc:AlternateContent>
          <mc:Choice Requires="wps">
            <w:drawing>
              <wp:anchor distT="0" distB="0" distL="114300" distR="114300" simplePos="0" relativeHeight="251684864" behindDoc="0" locked="0" layoutInCell="1" allowOverlap="1">
                <wp:simplePos x="0" y="0"/>
                <wp:positionH relativeFrom="column">
                  <wp:posOffset>2348230</wp:posOffset>
                </wp:positionH>
                <wp:positionV relativeFrom="paragraph">
                  <wp:posOffset>117475</wp:posOffset>
                </wp:positionV>
                <wp:extent cx="643255" cy="271780"/>
                <wp:effectExtent l="0" t="0" r="0" b="0"/>
                <wp:wrapNone/>
                <wp:docPr id="1558714348" name="Text Box 45"/>
                <wp:cNvGraphicFramePr/>
                <a:graphic xmlns:a="http://schemas.openxmlformats.org/drawingml/2006/main">
                  <a:graphicData uri="http://schemas.microsoft.com/office/word/2010/wordprocessingShape">
                    <wps:wsp>
                      <wps:cNvSpPr txBox="1">
                        <a:spLocks noChangeArrowheads="1"/>
                      </wps:cNvSpPr>
                      <wps:spPr bwMode="auto">
                        <a:xfrm>
                          <a:off x="0" y="0"/>
                          <a:ext cx="643255" cy="271780"/>
                        </a:xfrm>
                        <a:prstGeom prst="rect">
                          <a:avLst/>
                        </a:prstGeom>
                        <a:noFill/>
                        <a:ln>
                          <a:noFill/>
                        </a:ln>
                      </wps:spPr>
                      <wps:txbx>
                        <w:txbxContent>
                          <w:p w14:paraId="197D5B35">
                            <w:pPr>
                              <w:pStyle w:val="38"/>
                              <w:spacing w:line="240" w:lineRule="auto"/>
                              <w:jc w:val="center"/>
                              <w:rPr>
                                <w:rFonts w:hint="default" w:eastAsia="宋体"/>
                                <w:lang w:val="en-US" w:eastAsia="zh-CN"/>
                              </w:rPr>
                            </w:pPr>
                            <w:r>
                              <w:rPr>
                                <w:rFonts w:hint="eastAsia"/>
                                <w:lang w:val="en-US" w:eastAsia="zh-CN"/>
                              </w:rPr>
                              <w:t>92.16</w:t>
                            </w:r>
                          </w:p>
                        </w:txbxContent>
                      </wps:txbx>
                      <wps:bodyPr rot="0" vert="horz" wrap="square" lIns="91440" tIns="45720" rIns="91440" bIns="45720" anchor="t" anchorCtr="0" upright="1">
                        <a:noAutofit/>
                      </wps:bodyPr>
                    </wps:wsp>
                  </a:graphicData>
                </a:graphic>
              </wp:anchor>
            </w:drawing>
          </mc:Choice>
          <mc:Fallback>
            <w:pict>
              <v:shape id="Text Box 45" o:spid="_x0000_s1026" o:spt="202" type="#_x0000_t202" style="position:absolute;left:0pt;margin-left:184.9pt;margin-top:9.25pt;height:21.4pt;width:50.65pt;z-index:251684864;mso-width-relative:page;mso-height-relative:page;" filled="f" stroked="f" coordsize="21600,21600" o:gfxdata="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DBkzlXXAAAACQEAAA8AAAAAAAAAAQAg&#10;AAAAIgAAAGRycy9kb3ducmV2LnhtbFBLAQIUABQAAAAIAIdO4kD9Sjs7DwIAAB0EAAAOAAAAAAAA&#10;AAEAIAAAACYBAABkcnMvZTJvRG9jLnhtbFBLBQYAAAAABgAGAFkBAACnBQAAAAA=&#10;">
                <v:fill on="f" focussize="0,0"/>
                <v:stroke on="f"/>
                <v:imagedata o:title=""/>
                <o:lock v:ext="edit" aspectratio="f"/>
                <v:textbox>
                  <w:txbxContent>
                    <w:p w14:paraId="197D5B35">
                      <w:pPr>
                        <w:pStyle w:val="38"/>
                        <w:spacing w:line="240" w:lineRule="auto"/>
                        <w:jc w:val="center"/>
                        <w:rPr>
                          <w:rFonts w:hint="default" w:eastAsia="宋体"/>
                          <w:lang w:val="en-US" w:eastAsia="zh-CN"/>
                        </w:rPr>
                      </w:pPr>
                      <w:r>
                        <w:rPr>
                          <w:rFonts w:hint="eastAsia"/>
                          <w:lang w:val="en-US" w:eastAsia="zh-CN"/>
                        </w:rPr>
                        <w:t>92.16</w:t>
                      </w:r>
                    </w:p>
                  </w:txbxContent>
                </v:textbox>
              </v:shape>
            </w:pict>
          </mc:Fallback>
        </mc:AlternateContent>
      </w:r>
      <w:r>
        <mc:AlternateContent>
          <mc:Choice Requires="wps">
            <w:drawing>
              <wp:anchor distT="0" distB="0" distL="114300" distR="114300" simplePos="0" relativeHeight="251680768" behindDoc="0" locked="0" layoutInCell="1" allowOverlap="1">
                <wp:simplePos x="0" y="0"/>
                <wp:positionH relativeFrom="column">
                  <wp:posOffset>454025</wp:posOffset>
                </wp:positionH>
                <wp:positionV relativeFrom="paragraph">
                  <wp:posOffset>184785</wp:posOffset>
                </wp:positionV>
                <wp:extent cx="657225" cy="271780"/>
                <wp:effectExtent l="0" t="0" r="0" b="0"/>
                <wp:wrapNone/>
                <wp:docPr id="527037816" name="Text Box 46"/>
                <wp:cNvGraphicFramePr/>
                <a:graphic xmlns:a="http://schemas.openxmlformats.org/drawingml/2006/main">
                  <a:graphicData uri="http://schemas.microsoft.com/office/word/2010/wordprocessingShape">
                    <wps:wsp>
                      <wps:cNvSpPr txBox="1">
                        <a:spLocks noChangeArrowheads="1"/>
                      </wps:cNvSpPr>
                      <wps:spPr bwMode="auto">
                        <a:xfrm>
                          <a:off x="0" y="0"/>
                          <a:ext cx="657225" cy="271780"/>
                        </a:xfrm>
                        <a:prstGeom prst="rect">
                          <a:avLst/>
                        </a:prstGeom>
                        <a:noFill/>
                        <a:ln>
                          <a:noFill/>
                        </a:ln>
                      </wps:spPr>
                      <wps:txbx>
                        <w:txbxContent>
                          <w:p w14:paraId="7AA0F04E">
                            <w:pPr>
                              <w:pStyle w:val="38"/>
                              <w:spacing w:line="240" w:lineRule="auto"/>
                              <w:jc w:val="center"/>
                              <w:rPr>
                                <w:rFonts w:hint="default" w:eastAsia="宋体"/>
                                <w:lang w:val="en-US" w:eastAsia="zh-CN"/>
                              </w:rPr>
                            </w:pPr>
                            <w:r>
                              <w:rPr>
                                <w:rFonts w:hint="eastAsia"/>
                                <w:lang w:val="en-US" w:eastAsia="zh-CN"/>
                              </w:rPr>
                              <w:t>115.2</w:t>
                            </w:r>
                          </w:p>
                        </w:txbxContent>
                      </wps:txbx>
                      <wps:bodyPr rot="0" vert="horz" wrap="square" lIns="91440" tIns="45720" rIns="91440" bIns="45720" anchor="t" anchorCtr="0" upright="1">
                        <a:noAutofit/>
                      </wps:bodyPr>
                    </wps:wsp>
                  </a:graphicData>
                </a:graphic>
              </wp:anchor>
            </w:drawing>
          </mc:Choice>
          <mc:Fallback>
            <w:pict>
              <v:shape id="Text Box 46" o:spid="_x0000_s1026" o:spt="202" type="#_x0000_t202" style="position:absolute;left:0pt;margin-left:35.75pt;margin-top:14.55pt;height:21.4pt;width:51.75pt;z-index:251680768;mso-width-relative:page;mso-height-relative:page;" filled="f" stroked="f" coordsize="21600,21600" o:gfxdata="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KJbEPtQAAAAIAQAADwAAAAAAAAABACAAAAAi&#10;AAAAZHJzL2Rvd25yZXYueG1sUEsBAhQAFAAAAAgAh07iQN8sOOwOAgAAHAQAAA4AAAAAAAAAAQAg&#10;AAAAIwEAAGRycy9lMm9Eb2MueG1sUEsFBgAAAAAGAAYAWQEAAKMFAAAAAA==&#10;">
                <v:fill on="f" focussize="0,0"/>
                <v:stroke on="f"/>
                <v:imagedata o:title=""/>
                <o:lock v:ext="edit" aspectratio="f"/>
                <v:textbox>
                  <w:txbxContent>
                    <w:p w14:paraId="7AA0F04E">
                      <w:pPr>
                        <w:pStyle w:val="38"/>
                        <w:spacing w:line="240" w:lineRule="auto"/>
                        <w:jc w:val="center"/>
                        <w:rPr>
                          <w:rFonts w:hint="default" w:eastAsia="宋体"/>
                          <w:lang w:val="en-US" w:eastAsia="zh-CN"/>
                        </w:rPr>
                      </w:pPr>
                      <w:r>
                        <w:rPr>
                          <w:rFonts w:hint="eastAsia"/>
                          <w:lang w:val="en-US" w:eastAsia="zh-CN"/>
                        </w:rPr>
                        <w:t>115.2</w:t>
                      </w:r>
                    </w:p>
                  </w:txbxContent>
                </v:textbox>
              </v:shape>
            </w:pict>
          </mc:Fallback>
        </mc:AlternateContent>
      </w:r>
      <w:r>
        <mc:AlternateContent>
          <mc:Choice Requires="wps">
            <w:drawing>
              <wp:anchor distT="0" distB="0" distL="114300" distR="114300" simplePos="0" relativeHeight="251678720" behindDoc="0" locked="0" layoutInCell="1" allowOverlap="1">
                <wp:simplePos x="0" y="0"/>
                <wp:positionH relativeFrom="column">
                  <wp:posOffset>-142240</wp:posOffset>
                </wp:positionH>
                <wp:positionV relativeFrom="paragraph">
                  <wp:posOffset>53975</wp:posOffset>
                </wp:positionV>
                <wp:extent cx="849630" cy="111125"/>
                <wp:effectExtent l="0" t="0" r="0" b="3175"/>
                <wp:wrapNone/>
                <wp:docPr id="1699572900" name="Text Box 39"/>
                <wp:cNvGraphicFramePr/>
                <a:graphic xmlns:a="http://schemas.openxmlformats.org/drawingml/2006/main">
                  <a:graphicData uri="http://schemas.microsoft.com/office/word/2010/wordprocessingShape">
                    <wps:wsp>
                      <wps:cNvSpPr txBox="1">
                        <a:spLocks noChangeArrowheads="1"/>
                      </wps:cNvSpPr>
                      <wps:spPr bwMode="auto">
                        <a:xfrm flipV="1">
                          <a:off x="0" y="0"/>
                          <a:ext cx="849630" cy="111442"/>
                        </a:xfrm>
                        <a:prstGeom prst="rect">
                          <a:avLst/>
                        </a:prstGeom>
                        <a:noFill/>
                        <a:ln>
                          <a:noFill/>
                        </a:ln>
                      </wps:spPr>
                      <wps:txbx>
                        <w:txbxContent>
                          <w:p w14:paraId="510EC0C4">
                            <w:pPr>
                              <w:jc w:val="center"/>
                            </w:pPr>
                            <w:r>
                              <w:rPr>
                                <w:rFonts w:hint="eastAsia"/>
                              </w:rPr>
                              <w:t>新鲜水</w:t>
                            </w:r>
                          </w:p>
                          <w:p w14:paraId="3E06015C">
                            <w:pPr>
                              <w:pStyle w:val="38"/>
                              <w:spacing w:line="240" w:lineRule="auto"/>
                              <w:jc w:val="center"/>
                            </w:pPr>
                            <w:r>
                              <w:rPr>
                                <w:rFonts w:hint="eastAsia"/>
                              </w:rPr>
                              <w:t>420</w:t>
                            </w:r>
                          </w:p>
                        </w:txbxContent>
                      </wps:txbx>
                      <wps:bodyPr rot="0" vert="horz" wrap="square" lIns="91440" tIns="45720" rIns="91440" bIns="45720" anchor="t" anchorCtr="0" upright="1">
                        <a:noAutofit/>
                      </wps:bodyPr>
                    </wps:wsp>
                  </a:graphicData>
                </a:graphic>
              </wp:anchor>
            </w:drawing>
          </mc:Choice>
          <mc:Fallback>
            <w:pict>
              <v:shape id="Text Box 39" o:spid="_x0000_s1026" o:spt="202" type="#_x0000_t202" style="position:absolute;left:0pt;flip:y;margin-left:-11.2pt;margin-top:4.25pt;height:8.75pt;width:66.9pt;z-index:251678720;mso-width-relative:page;mso-height-relative:page;" filled="f" stroked="f" coordsize="21600,21600" o:gfxdata="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NPhZgTYAAAACAEAAA8AAAAAAAAA&#10;AQAgAAAAIgAAAGRycy9kb3ducmV2LnhtbFBLAQIUABQAAAAIAIdO4kCvwoHMEQIAACcEAAAOAAAA&#10;AAAAAAEAIAAAACcBAABkcnMvZTJvRG9jLnhtbFBLBQYAAAAABgAGAFkBAACqBQAAAAA=&#10;">
                <v:fill on="f" focussize="0,0"/>
                <v:stroke on="f"/>
                <v:imagedata o:title=""/>
                <o:lock v:ext="edit" aspectratio="f"/>
                <v:textbox>
                  <w:txbxContent>
                    <w:p w14:paraId="510EC0C4">
                      <w:pPr>
                        <w:jc w:val="center"/>
                      </w:pPr>
                      <w:r>
                        <w:rPr>
                          <w:rFonts w:hint="eastAsia"/>
                        </w:rPr>
                        <w:t>新鲜水</w:t>
                      </w:r>
                    </w:p>
                    <w:p w14:paraId="3E06015C">
                      <w:pPr>
                        <w:pStyle w:val="38"/>
                        <w:spacing w:line="240" w:lineRule="auto"/>
                        <w:jc w:val="center"/>
                      </w:pPr>
                      <w:r>
                        <w:rPr>
                          <w:rFonts w:hint="eastAsia"/>
                        </w:rPr>
                        <w:t>420</w:t>
                      </w:r>
                    </w:p>
                  </w:txbxContent>
                </v:textbox>
              </v:shape>
            </w:pict>
          </mc:Fallback>
        </mc:AlternateContent>
      </w:r>
      <w:r>
        <mc:AlternateContent>
          <mc:Choice Requires="wps">
            <w:drawing>
              <wp:anchor distT="0" distB="0" distL="114300" distR="114300" simplePos="0" relativeHeight="251676672" behindDoc="0" locked="0" layoutInCell="1" allowOverlap="1">
                <wp:simplePos x="0" y="0"/>
                <wp:positionH relativeFrom="column">
                  <wp:posOffset>1066800</wp:posOffset>
                </wp:positionH>
                <wp:positionV relativeFrom="paragraph">
                  <wp:posOffset>269875</wp:posOffset>
                </wp:positionV>
                <wp:extent cx="1295400" cy="304800"/>
                <wp:effectExtent l="13970" t="14605" r="14605" b="13970"/>
                <wp:wrapNone/>
                <wp:docPr id="1312810854" name="Text Box 47"/>
                <wp:cNvGraphicFramePr/>
                <a:graphic xmlns:a="http://schemas.openxmlformats.org/drawingml/2006/main">
                  <a:graphicData uri="http://schemas.microsoft.com/office/word/2010/wordprocessingShape">
                    <wps:wsp>
                      <wps:cNvSpPr txBox="1">
                        <a:spLocks noChangeArrowheads="1"/>
                      </wps:cNvSpPr>
                      <wps:spPr bwMode="auto">
                        <a:xfrm>
                          <a:off x="0" y="0"/>
                          <a:ext cx="1295400" cy="304800"/>
                        </a:xfrm>
                        <a:prstGeom prst="rect">
                          <a:avLst/>
                        </a:prstGeom>
                        <a:solidFill>
                          <a:srgbClr val="FFFFFF"/>
                        </a:solidFill>
                        <a:ln w="19050">
                          <a:solidFill>
                            <a:srgbClr val="000000"/>
                          </a:solidFill>
                          <a:miter lim="800000"/>
                          <a:tailEnd type="triangle" w="med" len="med"/>
                        </a:ln>
                      </wps:spPr>
                      <wps:txbx>
                        <w:txbxContent>
                          <w:p w14:paraId="4413FEEB">
                            <w:pPr>
                              <w:jc w:val="center"/>
                            </w:pPr>
                            <w:r>
                              <w:rPr>
                                <w:rFonts w:hint="eastAsia"/>
                              </w:rPr>
                              <w:t>生活用水</w:t>
                            </w:r>
                          </w:p>
                        </w:txbxContent>
                      </wps:txbx>
                      <wps:bodyPr rot="0" vert="horz" wrap="square" lIns="91440" tIns="45720" rIns="91440" bIns="45720" anchor="t" anchorCtr="0" upright="1">
                        <a:noAutofit/>
                      </wps:bodyPr>
                    </wps:wsp>
                  </a:graphicData>
                </a:graphic>
              </wp:anchor>
            </w:drawing>
          </mc:Choice>
          <mc:Fallback>
            <w:pict>
              <v:shape id="Text Box 47" o:spid="_x0000_s1026" o:spt="202" type="#_x0000_t202" style="position:absolute;left:0pt;margin-left:84pt;margin-top:21.25pt;height:24pt;width:102pt;z-index:251676672;mso-width-relative:page;mso-height-relative:page;" fillcolor="#FFFFFF" filled="t" stroked="t" coordsize="21600,21600" o:gfxdata="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ChKHdLYAAAACQEA&#10;AA8AAAAAAAAAAQAgAAAAIgAAAGRycy9kb3ducmV2LnhtbFBLAQIUABQAAAAIAIdO4kBxbb7UUwIA&#10;AL8EAAAOAAAAAAAAAAEAIAAAACcBAABkcnMvZTJvRG9jLnhtbFBLBQYAAAAABgAGAFkBAADsBQAA&#10;AAA=&#10;">
                <v:fill on="t" focussize="0,0"/>
                <v:stroke weight="1.5pt" color="#000000" miterlimit="8" joinstyle="miter" endarrow="block"/>
                <v:imagedata o:title=""/>
                <o:lock v:ext="edit" aspectratio="f"/>
                <v:textbox>
                  <w:txbxContent>
                    <w:p w14:paraId="4413FEEB">
                      <w:pPr>
                        <w:jc w:val="center"/>
                      </w:pPr>
                      <w:r>
                        <w:rPr>
                          <w:rFonts w:hint="eastAsia"/>
                        </w:rPr>
                        <w:t>生活用水</w:t>
                      </w:r>
                    </w:p>
                  </w:txbxContent>
                </v:textbox>
              </v:shape>
            </w:pict>
          </mc:Fallback>
        </mc:AlternateContent>
      </w:r>
    </w:p>
    <w:p w14:paraId="6C2D0AD3">
      <w:r>
        <mc:AlternateContent>
          <mc:Choice Requires="wps">
            <w:drawing>
              <wp:anchor distT="0" distB="0" distL="114300" distR="114300" simplePos="0" relativeHeight="251666432" behindDoc="0" locked="0" layoutInCell="1" allowOverlap="1">
                <wp:simplePos x="0" y="0"/>
                <wp:positionH relativeFrom="column">
                  <wp:posOffset>2350770</wp:posOffset>
                </wp:positionH>
                <wp:positionV relativeFrom="paragraph">
                  <wp:posOffset>118745</wp:posOffset>
                </wp:positionV>
                <wp:extent cx="621030" cy="635"/>
                <wp:effectExtent l="12065" t="84455" r="24130" b="76835"/>
                <wp:wrapNone/>
                <wp:docPr id="1963651953" name="Line 48"/>
                <wp:cNvGraphicFramePr/>
                <a:graphic xmlns:a="http://schemas.openxmlformats.org/drawingml/2006/main">
                  <a:graphicData uri="http://schemas.microsoft.com/office/word/2010/wordprocessingShape">
                    <wps:wsp>
                      <wps:cNvCnPr>
                        <a:cxnSpLocks noChangeShapeType="1"/>
                      </wps:cNvCnPr>
                      <wps:spPr bwMode="auto">
                        <a:xfrm>
                          <a:off x="0" y="0"/>
                          <a:ext cx="621030" cy="635"/>
                        </a:xfrm>
                        <a:prstGeom prst="line">
                          <a:avLst/>
                        </a:prstGeom>
                        <a:noFill/>
                        <a:ln w="19050">
                          <a:solidFill>
                            <a:srgbClr val="000000"/>
                          </a:solidFill>
                          <a:prstDash val="dash"/>
                          <a:round/>
                          <a:tailEnd type="arrow" w="med" len="med"/>
                        </a:ln>
                      </wps:spPr>
                      <wps:bodyPr/>
                    </wps:wsp>
                  </a:graphicData>
                </a:graphic>
              </wp:anchor>
            </w:drawing>
          </mc:Choice>
          <mc:Fallback>
            <w:pict>
              <v:line id="Line 48" o:spid="_x0000_s1026" o:spt="20" style="position:absolute;left:0pt;margin-left:185.1pt;margin-top:9.35pt;height:0.05pt;width:48.9pt;z-index:251666432;mso-width-relative:page;mso-height-relative:page;" filled="f" stroked="t" coordsize="21600,21600" o:gfxdata="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BuYrJy1gAAAAkBAAAPAAAAAAAAAAEAIAAAACIAAABkcnMvZG93bnJldi54bWxQSwEC&#10;FAAUAAAACACHTuJAxZ9ymvYBAADuAwAADgAAAAAAAAABACAAAAAlAQAAZHJzL2Uyb0RvYy54bWxQ&#10;SwUGAAAAAAYABgBZAQAAjQUAAAAA&#10;">
                <v:fill on="f" focussize="0,0"/>
                <v:stroke weight="1.5pt" color="#000000" joinstyle="round" dashstyle="dash" endarrow="open"/>
                <v:imagedata o:title=""/>
                <o:lock v:ext="edit" aspectratio="f"/>
              </v:line>
            </w:pict>
          </mc:Fallback>
        </mc:AlternateContent>
      </w:r>
      <w:r>
        <mc:AlternateContent>
          <mc:Choice Requires="wps">
            <w:drawing>
              <wp:anchor distT="0" distB="0" distL="114300" distR="114300" simplePos="0" relativeHeight="251677696" behindDoc="0" locked="0" layoutInCell="1" allowOverlap="1">
                <wp:simplePos x="0" y="0"/>
                <wp:positionH relativeFrom="column">
                  <wp:posOffset>653415</wp:posOffset>
                </wp:positionH>
                <wp:positionV relativeFrom="paragraph">
                  <wp:posOffset>125095</wp:posOffset>
                </wp:positionV>
                <wp:extent cx="413385" cy="635"/>
                <wp:effectExtent l="10160" t="81280" r="24130" b="80010"/>
                <wp:wrapNone/>
                <wp:docPr id="1473678095" name="Line 49"/>
                <wp:cNvGraphicFramePr/>
                <a:graphic xmlns:a="http://schemas.openxmlformats.org/drawingml/2006/main">
                  <a:graphicData uri="http://schemas.microsoft.com/office/word/2010/wordprocessingShape">
                    <wps:wsp>
                      <wps:cNvCnPr>
                        <a:cxnSpLocks noChangeShapeType="1"/>
                      </wps:cNvCnPr>
                      <wps:spPr bwMode="auto">
                        <a:xfrm>
                          <a:off x="0" y="0"/>
                          <a:ext cx="413385" cy="635"/>
                        </a:xfrm>
                        <a:prstGeom prst="line">
                          <a:avLst/>
                        </a:prstGeom>
                        <a:noFill/>
                        <a:ln w="19050">
                          <a:solidFill>
                            <a:srgbClr val="000000"/>
                          </a:solidFill>
                          <a:round/>
                          <a:tailEnd type="arrow" w="med" len="med"/>
                        </a:ln>
                      </wps:spPr>
                      <wps:bodyPr/>
                    </wps:wsp>
                  </a:graphicData>
                </a:graphic>
              </wp:anchor>
            </w:drawing>
          </mc:Choice>
          <mc:Fallback>
            <w:pict>
              <v:line id="Line 49" o:spid="_x0000_s1026" o:spt="20" style="position:absolute;left:0pt;margin-left:51.45pt;margin-top:9.85pt;height:0.05pt;width:32.55pt;z-index:251677696;mso-width-relative:page;mso-height-relative:page;" filled="f" stroked="t" coordsize="21600,21600" o:gfxdata="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uL/B&#10;gNQAAAAJAQAADwAAAAAAAAABACAAAAAiAAAAZHJzL2Rvd25yZXYueG1sUEsBAhQAFAAAAAgAh07i&#10;QBwzRMntAQAA1gMAAA4AAAAAAAAAAQAgAAAAIwEAAGRycy9lMm9Eb2MueG1sUEsFBgAAAAAGAAYA&#10;WQEAAIIFAAAAAA==&#10;">
                <v:fill on="f" focussize="0,0"/>
                <v:stroke weight="1.5pt" color="#000000" joinstyle="round" endarrow="open"/>
                <v:imagedata o:title=""/>
                <o:lock v:ext="edit" aspectratio="f"/>
              </v:line>
            </w:pict>
          </mc:Fallback>
        </mc:AlternateContent>
      </w:r>
    </w:p>
    <w:p w14:paraId="17052C7A">
      <w:pPr>
        <w:rPr>
          <w:color w:val="000000"/>
        </w:rPr>
      </w:pPr>
    </w:p>
    <w:p w14:paraId="3C88067C">
      <w:pPr>
        <w:autoSpaceDE w:val="0"/>
        <w:autoSpaceDN w:val="0"/>
        <w:adjustRightInd w:val="0"/>
        <w:spacing w:line="360" w:lineRule="auto"/>
        <w:jc w:val="center"/>
        <w:rPr>
          <w:rFonts w:ascii="宋体" w:cs="宋体"/>
          <w:b/>
          <w:color w:val="000000"/>
          <w:sz w:val="24"/>
          <w:szCs w:val="24"/>
        </w:rPr>
      </w:pPr>
      <w:r>
        <w:rPr>
          <w:b/>
          <w:bCs/>
          <w:color w:val="000000"/>
          <w:sz w:val="24"/>
          <w:szCs w:val="24"/>
        </w:rPr>
        <w:t>图</w:t>
      </w:r>
      <w:r>
        <w:rPr>
          <w:rFonts w:hint="eastAsia"/>
          <w:b/>
          <w:bCs/>
          <w:color w:val="000000"/>
          <w:sz w:val="24"/>
          <w:szCs w:val="24"/>
        </w:rPr>
        <w:t>4.2-2</w:t>
      </w:r>
      <w:r>
        <w:rPr>
          <w:b/>
          <w:bCs/>
          <w:color w:val="000000"/>
          <w:sz w:val="24"/>
          <w:szCs w:val="24"/>
        </w:rPr>
        <w:t xml:space="preserve">    </w:t>
      </w:r>
      <w:r>
        <w:rPr>
          <w:rFonts w:hint="eastAsia"/>
          <w:b/>
          <w:bCs/>
          <w:color w:val="000000"/>
          <w:sz w:val="24"/>
          <w:szCs w:val="24"/>
        </w:rPr>
        <w:t>项目水平衡</w:t>
      </w:r>
      <w:r>
        <w:rPr>
          <w:b/>
          <w:bCs/>
          <w:color w:val="000000"/>
          <w:sz w:val="24"/>
          <w:szCs w:val="24"/>
        </w:rPr>
        <w:t>图</w:t>
      </w:r>
      <w:r>
        <w:rPr>
          <w:rFonts w:hint="eastAsia"/>
          <w:b/>
          <w:bCs/>
          <w:color w:val="000000"/>
          <w:sz w:val="24"/>
          <w:szCs w:val="24"/>
        </w:rPr>
        <w:t xml:space="preserve">    单位：m</w:t>
      </w:r>
      <w:r>
        <w:rPr>
          <w:rFonts w:hint="eastAsia"/>
          <w:b/>
          <w:bCs/>
          <w:color w:val="000000"/>
          <w:sz w:val="24"/>
          <w:szCs w:val="24"/>
          <w:vertAlign w:val="superscript"/>
        </w:rPr>
        <w:t>3</w:t>
      </w:r>
      <w:r>
        <w:rPr>
          <w:rFonts w:hint="eastAsia"/>
          <w:b/>
          <w:bCs/>
          <w:color w:val="000000"/>
          <w:sz w:val="24"/>
          <w:szCs w:val="24"/>
        </w:rPr>
        <w:t>/a</w:t>
      </w:r>
    </w:p>
    <w:p w14:paraId="496D856F">
      <w:pPr>
        <w:pStyle w:val="3"/>
        <w:keepNext w:val="0"/>
        <w:keepLines w:val="0"/>
        <w:autoSpaceDE w:val="0"/>
        <w:autoSpaceDN w:val="0"/>
        <w:spacing w:before="0" w:after="0" w:line="360" w:lineRule="auto"/>
        <w:jc w:val="left"/>
        <w:rPr>
          <w:rFonts w:ascii="Times New Roman" w:hAnsi="Times New Roman" w:eastAsia="宋体"/>
          <w:kern w:val="0"/>
          <w:sz w:val="24"/>
          <w:szCs w:val="30"/>
          <w:lang w:val="en-US" w:bidi="zh-CN"/>
        </w:rPr>
      </w:pPr>
      <w:bookmarkStart w:id="152" w:name="_Toc14914"/>
      <w:bookmarkStart w:id="153" w:name="_Toc363049963"/>
      <w:bookmarkStart w:id="154" w:name="_Toc332727830"/>
      <w:bookmarkStart w:id="155" w:name="_Toc164427371"/>
      <w:r>
        <w:rPr>
          <w:rFonts w:hint="eastAsia" w:ascii="Times New Roman" w:hAnsi="Times New Roman" w:eastAsia="宋体"/>
          <w:kern w:val="0"/>
          <w:sz w:val="24"/>
          <w:szCs w:val="30"/>
          <w:lang w:val="en-US" w:bidi="zh-CN"/>
        </w:rPr>
        <w:t>3.4污染源源强核算</w:t>
      </w:r>
      <w:bookmarkEnd w:id="152"/>
    </w:p>
    <w:p w14:paraId="09A4CA9F">
      <w:pPr>
        <w:pStyle w:val="4"/>
        <w:autoSpaceDE w:val="0"/>
        <w:autoSpaceDN w:val="0"/>
        <w:spacing w:before="0" w:after="0" w:line="360" w:lineRule="auto"/>
        <w:jc w:val="left"/>
        <w:rPr>
          <w:kern w:val="0"/>
          <w:sz w:val="24"/>
          <w:lang w:val="en-US" w:bidi="zh-CN"/>
        </w:rPr>
      </w:pPr>
      <w:r>
        <w:rPr>
          <w:rFonts w:hint="eastAsia"/>
          <w:kern w:val="0"/>
          <w:sz w:val="24"/>
          <w:lang w:val="en-US" w:bidi="zh-CN"/>
        </w:rPr>
        <w:t>3.4.1施工期污染源分析</w:t>
      </w:r>
      <w:bookmarkEnd w:id="153"/>
      <w:bookmarkEnd w:id="154"/>
      <w:bookmarkEnd w:id="155"/>
    </w:p>
    <w:p w14:paraId="11FDDA54">
      <w:pPr>
        <w:spacing w:line="360" w:lineRule="auto"/>
        <w:ind w:firstLine="480" w:firstLineChars="200"/>
        <w:rPr>
          <w:rFonts w:hint="eastAsia" w:ascii="宋体" w:hAnsi="宋体"/>
          <w:bCs/>
          <w:sz w:val="24"/>
        </w:rPr>
      </w:pPr>
      <w:r>
        <w:rPr>
          <w:rFonts w:hint="eastAsia" w:ascii="宋体" w:hAnsi="宋体" w:cs="宋体"/>
          <w:sz w:val="24"/>
          <w:szCs w:val="24"/>
        </w:rPr>
        <w:t>根据现场调查，</w:t>
      </w:r>
      <w:r>
        <w:rPr>
          <w:rFonts w:ascii="宋体" w:hAnsi="宋体"/>
          <w:bCs/>
          <w:sz w:val="24"/>
        </w:rPr>
        <w:t>项目</w:t>
      </w:r>
      <w:r>
        <w:rPr>
          <w:rFonts w:hint="eastAsia" w:ascii="宋体" w:hAnsi="宋体"/>
          <w:bCs/>
          <w:sz w:val="24"/>
        </w:rPr>
        <w:t>租用现有厂房，</w:t>
      </w:r>
      <w:r>
        <w:rPr>
          <w:rFonts w:hint="eastAsia" w:ascii="宋体" w:hAnsi="宋体" w:cs="宋体"/>
          <w:sz w:val="24"/>
          <w:szCs w:val="24"/>
        </w:rPr>
        <w:t>施工过程中产生的主要污染物为</w:t>
      </w:r>
      <w:r>
        <w:rPr>
          <w:rFonts w:ascii="宋体" w:hAnsi="宋体"/>
          <w:bCs/>
          <w:sz w:val="24"/>
        </w:rPr>
        <w:t>配套附属设施建设和设备安装、调试。</w:t>
      </w:r>
    </w:p>
    <w:p w14:paraId="52AD9491">
      <w:pPr>
        <w:pStyle w:val="5"/>
        <w:rPr>
          <w:rFonts w:ascii="Times New Roman" w:hAnsi="Times New Roman"/>
          <w:color w:val="000000"/>
          <w:lang w:val="en-US"/>
        </w:rPr>
      </w:pPr>
      <w:r>
        <w:rPr>
          <w:rFonts w:hint="eastAsia" w:ascii="Times New Roman" w:hAnsi="Times New Roman"/>
          <w:color w:val="000000"/>
          <w:lang w:val="en-US"/>
        </w:rPr>
        <w:t>3.4.1.1大气污染源</w:t>
      </w:r>
    </w:p>
    <w:p w14:paraId="68296686">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①粉尘</w:t>
      </w:r>
    </w:p>
    <w:p w14:paraId="09E83914">
      <w:pPr>
        <w:spacing w:line="360" w:lineRule="auto"/>
        <w:ind w:firstLine="480" w:firstLineChars="200"/>
        <w:rPr>
          <w:rFonts w:hint="default" w:ascii="宋体" w:hAnsi="宋体" w:eastAsia="宋体" w:cs="宋体"/>
          <w:sz w:val="24"/>
          <w:szCs w:val="24"/>
        </w:rPr>
      </w:pPr>
      <w:r>
        <w:rPr>
          <w:rFonts w:hint="default" w:ascii="宋体" w:hAnsi="宋体" w:eastAsia="宋体" w:cs="宋体"/>
          <w:sz w:val="24"/>
          <w:szCs w:val="24"/>
        </w:rPr>
        <w:t>据有关文献资料介绍，车辆行驶产生的扬尘占总扬尘的60%以上。</w:t>
      </w:r>
    </w:p>
    <w:p w14:paraId="4BED390F">
      <w:pPr>
        <w:spacing w:line="360" w:lineRule="auto"/>
        <w:ind w:firstLine="480" w:firstLineChars="200"/>
        <w:rPr>
          <w:rFonts w:hint="default" w:ascii="宋体" w:hAnsi="宋体" w:eastAsia="宋体" w:cs="宋体"/>
          <w:sz w:val="24"/>
          <w:szCs w:val="24"/>
        </w:rPr>
      </w:pPr>
      <w:r>
        <w:rPr>
          <w:rFonts w:hint="default" w:ascii="宋体" w:hAnsi="宋体" w:eastAsia="宋体" w:cs="宋体"/>
          <w:sz w:val="24"/>
          <w:szCs w:val="24"/>
        </w:rPr>
        <w:t>车辆行驶产生的扬尘，在完全干燥情况下，按下列经验公式计算：</w:t>
      </w:r>
    </w:p>
    <w:p w14:paraId="5E5E49C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lang w:eastAsia="zh-CN"/>
        </w:rPr>
      </w:pPr>
      <w:r>
        <w:rPr>
          <w:rFonts w:hint="default" w:ascii="Times New Roman" w:hAnsi="Times New Roman" w:eastAsia="宋体" w:cs="Times New Roman"/>
          <w:color w:val="auto"/>
          <w:position w:val="-28"/>
          <w:szCs w:val="24"/>
          <w:lang w:eastAsia="zh-CN"/>
        </w:rPr>
        <w:object>
          <v:shape id="_x0000_i1025" o:spt="75" type="#_x0000_t75" style="height:31.75pt;width:176.7pt;" o:ole="t" filled="f" o:preferrelative="t" stroked="f" coordsize="21600,21600">
            <v:path/>
            <v:fill on="f" focussize="0,0"/>
            <v:stroke on="f"/>
            <v:imagedata r:id="rId22" o:title=""/>
            <o:lock v:ext="edit" aspectratio="t"/>
            <w10:wrap type="none"/>
            <w10:anchorlock/>
          </v:shape>
          <o:OLEObject Type="Embed" ProgID="Equation.KSEE3" ShapeID="_x0000_i1025" DrawAspect="Content" ObjectID="_1468075725" r:id="rId21">
            <o:LockedField>false</o:LockedField>
          </o:OLEObject>
        </w:object>
      </w:r>
    </w:p>
    <w:p w14:paraId="60B3CF76">
      <w:pPr>
        <w:spacing w:line="360" w:lineRule="auto"/>
        <w:ind w:firstLine="480" w:firstLineChars="200"/>
        <w:rPr>
          <w:rFonts w:hint="default" w:ascii="宋体" w:hAnsi="宋体" w:eastAsia="宋体" w:cs="宋体"/>
          <w:sz w:val="24"/>
          <w:szCs w:val="24"/>
        </w:rPr>
      </w:pPr>
      <w:r>
        <w:rPr>
          <w:rFonts w:hint="default" w:ascii="宋体" w:hAnsi="宋体" w:eastAsia="宋体" w:cs="宋体"/>
          <w:sz w:val="24"/>
          <w:szCs w:val="24"/>
        </w:rPr>
        <w:t>式中：Q——汽车行驶的扬尘，kg/km·辆；</w:t>
      </w:r>
    </w:p>
    <w:p w14:paraId="6529DCAB">
      <w:pPr>
        <w:spacing w:line="360" w:lineRule="auto"/>
        <w:ind w:firstLine="480" w:firstLineChars="200"/>
        <w:rPr>
          <w:rFonts w:hint="default" w:ascii="宋体" w:hAnsi="宋体" w:eastAsia="宋体" w:cs="宋体"/>
          <w:sz w:val="24"/>
          <w:szCs w:val="24"/>
        </w:rPr>
      </w:pPr>
      <w:r>
        <w:rPr>
          <w:rFonts w:hint="default" w:ascii="宋体" w:hAnsi="宋体" w:eastAsia="宋体" w:cs="宋体"/>
          <w:sz w:val="24"/>
          <w:szCs w:val="24"/>
        </w:rPr>
        <w:t>V——汽车速度，km/h；</w:t>
      </w:r>
    </w:p>
    <w:p w14:paraId="3C1E6434">
      <w:pPr>
        <w:spacing w:line="360" w:lineRule="auto"/>
        <w:ind w:firstLine="480" w:firstLineChars="200"/>
        <w:rPr>
          <w:rFonts w:hint="default" w:ascii="宋体" w:hAnsi="宋体" w:eastAsia="宋体" w:cs="宋体"/>
          <w:sz w:val="24"/>
          <w:szCs w:val="24"/>
        </w:rPr>
      </w:pPr>
      <w:r>
        <w:rPr>
          <w:rFonts w:hint="default" w:ascii="宋体" w:hAnsi="宋体" w:eastAsia="宋体" w:cs="宋体"/>
          <w:sz w:val="24"/>
          <w:szCs w:val="24"/>
        </w:rPr>
        <w:t>W——汽车载重量，吨；</w:t>
      </w:r>
    </w:p>
    <w:p w14:paraId="7C8D828A">
      <w:pPr>
        <w:spacing w:line="360" w:lineRule="auto"/>
        <w:ind w:firstLine="480" w:firstLineChars="200"/>
        <w:rPr>
          <w:rFonts w:hint="default" w:ascii="宋体" w:hAnsi="宋体" w:eastAsia="宋体" w:cs="宋体"/>
          <w:sz w:val="24"/>
          <w:szCs w:val="24"/>
        </w:rPr>
      </w:pPr>
      <w:r>
        <w:rPr>
          <w:rFonts w:hint="default" w:ascii="宋体" w:hAnsi="宋体" w:eastAsia="宋体" w:cs="宋体"/>
          <w:sz w:val="24"/>
          <w:szCs w:val="24"/>
        </w:rPr>
        <w:t>P——道路表面粉尘量，kg/m</w:t>
      </w:r>
      <w:r>
        <w:rPr>
          <w:rFonts w:hint="default" w:ascii="宋体" w:hAnsi="宋体" w:eastAsia="宋体" w:cs="宋体"/>
          <w:sz w:val="24"/>
          <w:szCs w:val="24"/>
          <w:vertAlign w:val="superscript"/>
        </w:rPr>
        <w:t>2</w:t>
      </w:r>
      <w:r>
        <w:rPr>
          <w:rFonts w:hint="default" w:ascii="宋体" w:hAnsi="宋体" w:eastAsia="宋体" w:cs="宋体"/>
          <w:sz w:val="24"/>
          <w:szCs w:val="24"/>
        </w:rPr>
        <w:t>。</w:t>
      </w:r>
    </w:p>
    <w:p w14:paraId="67977D1C">
      <w:pPr>
        <w:spacing w:line="360" w:lineRule="auto"/>
        <w:ind w:firstLine="480" w:firstLineChars="200"/>
        <w:rPr>
          <w:rFonts w:hint="default" w:ascii="宋体" w:hAnsi="宋体" w:eastAsia="宋体" w:cs="宋体"/>
          <w:sz w:val="24"/>
          <w:szCs w:val="24"/>
        </w:rPr>
      </w:pPr>
      <w:r>
        <w:rPr>
          <w:rFonts w:hint="default" w:ascii="宋体" w:hAnsi="宋体" w:eastAsia="宋体" w:cs="宋体"/>
          <w:sz w:val="24"/>
          <w:szCs w:val="24"/>
          <w:lang w:eastAsia="zh-CN"/>
        </w:rPr>
        <w:t>下表为</w:t>
      </w:r>
      <w:r>
        <w:rPr>
          <w:rFonts w:hint="default" w:ascii="宋体" w:hAnsi="宋体" w:eastAsia="宋体" w:cs="宋体"/>
          <w:sz w:val="24"/>
          <w:szCs w:val="24"/>
        </w:rPr>
        <w:t>一辆10吨卡车，通过一段长度为1km的路面时，不同路面清洁程度，不同行驶速度情况下产生的扬尘量。</w:t>
      </w:r>
    </w:p>
    <w:p w14:paraId="03ED1B1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lang w:eastAsia="zh-CN"/>
        </w:rPr>
        <w:t>表</w:t>
      </w:r>
      <w:r>
        <w:rPr>
          <w:rFonts w:hint="eastAsia" w:ascii="Times New Roman" w:hAnsi="Times New Roman" w:eastAsia="宋体" w:cs="Times New Roman"/>
          <w:b/>
          <w:bCs/>
          <w:color w:val="auto"/>
          <w:sz w:val="21"/>
          <w:szCs w:val="21"/>
          <w:lang w:val="en-US" w:eastAsia="zh-CN"/>
        </w:rPr>
        <w:t>3.4-1</w:t>
      </w:r>
      <w:r>
        <w:rPr>
          <w:rFonts w:hint="default" w:ascii="Times New Roman" w:hAnsi="Times New Roman" w:eastAsia="宋体" w:cs="Times New Roman"/>
          <w:b/>
          <w:bCs/>
          <w:color w:val="auto"/>
          <w:sz w:val="21"/>
          <w:szCs w:val="21"/>
          <w:lang w:val="en-US" w:eastAsia="zh-CN"/>
        </w:rPr>
        <w:t xml:space="preserve">  </w:t>
      </w:r>
      <w:r>
        <w:rPr>
          <w:rFonts w:hint="default" w:ascii="Times New Roman" w:hAnsi="Times New Roman" w:eastAsia="宋体" w:cs="Times New Roman"/>
          <w:b/>
          <w:bCs/>
          <w:color w:val="auto"/>
          <w:sz w:val="21"/>
          <w:szCs w:val="21"/>
          <w:lang w:eastAsia="zh-CN"/>
        </w:rPr>
        <w:t>在不同车速和地面清洁程度的汽车扬尘</w:t>
      </w:r>
      <w:r>
        <w:rPr>
          <w:rFonts w:hint="default" w:ascii="Times New Roman" w:hAnsi="Times New Roman" w:eastAsia="宋体" w:cs="Times New Roman"/>
          <w:b/>
          <w:bCs/>
          <w:color w:val="auto"/>
          <w:sz w:val="21"/>
          <w:szCs w:val="21"/>
          <w:lang w:val="en-US" w:eastAsia="zh-CN"/>
        </w:rPr>
        <w:t xml:space="preserve">   </w:t>
      </w:r>
      <w:r>
        <w:rPr>
          <w:rFonts w:hint="default" w:ascii="Times New Roman" w:hAnsi="Times New Roman" w:eastAsia="宋体" w:cs="Times New Roman"/>
          <w:b/>
          <w:bCs/>
          <w:color w:val="auto"/>
          <w:sz w:val="21"/>
          <w:szCs w:val="21"/>
          <w:lang w:eastAsia="zh-CN"/>
        </w:rPr>
        <w:t>单位：kg/辆·公里</w:t>
      </w:r>
    </w:p>
    <w:tbl>
      <w:tblPr>
        <w:tblStyle w:val="50"/>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391"/>
        <w:gridCol w:w="1323"/>
        <w:gridCol w:w="1205"/>
        <w:gridCol w:w="1405"/>
        <w:gridCol w:w="1387"/>
        <w:gridCol w:w="1167"/>
        <w:gridCol w:w="1288"/>
      </w:tblGrid>
      <w:tr w14:paraId="6BC927C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91" w:type="dxa"/>
            <w:tcBorders>
              <w:tl2br w:val="nil"/>
              <w:tr2bl w:val="nil"/>
            </w:tcBorders>
            <w:noWrap w:val="0"/>
            <w:vAlign w:val="center"/>
          </w:tcPr>
          <w:p w14:paraId="7D22C3A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P车速</w:t>
            </w:r>
          </w:p>
        </w:tc>
        <w:tc>
          <w:tcPr>
            <w:tcW w:w="1323" w:type="dxa"/>
            <w:tcBorders>
              <w:tl2br w:val="nil"/>
              <w:tr2bl w:val="nil"/>
            </w:tcBorders>
            <w:noWrap w:val="0"/>
            <w:vAlign w:val="center"/>
          </w:tcPr>
          <w:p w14:paraId="5B1E05F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0.1(kg/m</w:t>
            </w:r>
            <w:r>
              <w:rPr>
                <w:rFonts w:hint="default" w:ascii="Times New Roman" w:hAnsi="Times New Roman" w:eastAsia="宋体" w:cs="Times New Roman"/>
                <w:color w:val="auto"/>
                <w:sz w:val="21"/>
                <w:szCs w:val="21"/>
                <w:vertAlign w:val="superscript"/>
                <w:lang w:val="en-US" w:eastAsia="zh-CN"/>
              </w:rPr>
              <w:t>2</w:t>
            </w:r>
            <w:r>
              <w:rPr>
                <w:rFonts w:hint="default" w:ascii="Times New Roman" w:hAnsi="Times New Roman" w:eastAsia="宋体" w:cs="Times New Roman"/>
                <w:color w:val="auto"/>
                <w:sz w:val="21"/>
                <w:szCs w:val="21"/>
                <w:lang w:val="en-US" w:eastAsia="zh-CN"/>
              </w:rPr>
              <w:t>)</w:t>
            </w:r>
          </w:p>
        </w:tc>
        <w:tc>
          <w:tcPr>
            <w:tcW w:w="1205" w:type="dxa"/>
            <w:tcBorders>
              <w:tl2br w:val="nil"/>
              <w:tr2bl w:val="nil"/>
            </w:tcBorders>
            <w:noWrap w:val="0"/>
            <w:vAlign w:val="center"/>
          </w:tcPr>
          <w:p w14:paraId="14BC0C3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0.2(kg/m</w:t>
            </w:r>
            <w:r>
              <w:rPr>
                <w:rFonts w:hint="default" w:ascii="Times New Roman" w:hAnsi="Times New Roman" w:eastAsia="宋体" w:cs="Times New Roman"/>
                <w:color w:val="auto"/>
                <w:sz w:val="21"/>
                <w:szCs w:val="21"/>
                <w:vertAlign w:val="superscript"/>
                <w:lang w:val="en-US" w:eastAsia="zh-CN"/>
              </w:rPr>
              <w:t>2</w:t>
            </w:r>
            <w:r>
              <w:rPr>
                <w:rFonts w:hint="default" w:ascii="Times New Roman" w:hAnsi="Times New Roman" w:eastAsia="宋体" w:cs="Times New Roman"/>
                <w:color w:val="auto"/>
                <w:sz w:val="21"/>
                <w:szCs w:val="21"/>
                <w:lang w:val="en-US" w:eastAsia="zh-CN"/>
              </w:rPr>
              <w:t>)</w:t>
            </w:r>
          </w:p>
        </w:tc>
        <w:tc>
          <w:tcPr>
            <w:tcW w:w="1405" w:type="dxa"/>
            <w:tcBorders>
              <w:tl2br w:val="nil"/>
              <w:tr2bl w:val="nil"/>
            </w:tcBorders>
            <w:noWrap w:val="0"/>
            <w:vAlign w:val="center"/>
          </w:tcPr>
          <w:p w14:paraId="1693289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0.3(kg/m</w:t>
            </w:r>
            <w:r>
              <w:rPr>
                <w:rFonts w:hint="default" w:ascii="Times New Roman" w:hAnsi="Times New Roman" w:eastAsia="宋体" w:cs="Times New Roman"/>
                <w:color w:val="auto"/>
                <w:sz w:val="21"/>
                <w:szCs w:val="21"/>
                <w:vertAlign w:val="superscript"/>
                <w:lang w:val="en-US" w:eastAsia="zh-CN"/>
              </w:rPr>
              <w:t>2</w:t>
            </w:r>
            <w:r>
              <w:rPr>
                <w:rFonts w:hint="default" w:ascii="Times New Roman" w:hAnsi="Times New Roman" w:eastAsia="宋体" w:cs="Times New Roman"/>
                <w:color w:val="auto"/>
                <w:sz w:val="21"/>
                <w:szCs w:val="21"/>
                <w:lang w:val="en-US" w:eastAsia="zh-CN"/>
              </w:rPr>
              <w:t>)</w:t>
            </w:r>
          </w:p>
        </w:tc>
        <w:tc>
          <w:tcPr>
            <w:tcW w:w="1387" w:type="dxa"/>
            <w:tcBorders>
              <w:tl2br w:val="nil"/>
              <w:tr2bl w:val="nil"/>
            </w:tcBorders>
            <w:noWrap w:val="0"/>
            <w:vAlign w:val="center"/>
          </w:tcPr>
          <w:p w14:paraId="545E978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0.4(kg/m</w:t>
            </w:r>
            <w:r>
              <w:rPr>
                <w:rFonts w:hint="default" w:ascii="Times New Roman" w:hAnsi="Times New Roman" w:eastAsia="宋体" w:cs="Times New Roman"/>
                <w:color w:val="auto"/>
                <w:sz w:val="21"/>
                <w:szCs w:val="21"/>
                <w:vertAlign w:val="superscript"/>
                <w:lang w:val="en-US" w:eastAsia="zh-CN"/>
              </w:rPr>
              <w:t>2</w:t>
            </w:r>
            <w:r>
              <w:rPr>
                <w:rFonts w:hint="default" w:ascii="Times New Roman" w:hAnsi="Times New Roman" w:eastAsia="宋体" w:cs="Times New Roman"/>
                <w:color w:val="auto"/>
                <w:sz w:val="21"/>
                <w:szCs w:val="21"/>
                <w:lang w:val="en-US" w:eastAsia="zh-CN"/>
              </w:rPr>
              <w:t>)</w:t>
            </w:r>
          </w:p>
        </w:tc>
        <w:tc>
          <w:tcPr>
            <w:tcW w:w="1167" w:type="dxa"/>
            <w:tcBorders>
              <w:tl2br w:val="nil"/>
              <w:tr2bl w:val="nil"/>
            </w:tcBorders>
            <w:noWrap w:val="0"/>
            <w:vAlign w:val="center"/>
          </w:tcPr>
          <w:p w14:paraId="1387426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0.5(kg/m</w:t>
            </w:r>
            <w:r>
              <w:rPr>
                <w:rFonts w:hint="default" w:ascii="Times New Roman" w:hAnsi="Times New Roman" w:eastAsia="宋体" w:cs="Times New Roman"/>
                <w:color w:val="auto"/>
                <w:sz w:val="21"/>
                <w:szCs w:val="21"/>
                <w:vertAlign w:val="superscript"/>
                <w:lang w:val="en-US" w:eastAsia="zh-CN"/>
              </w:rPr>
              <w:t>2</w:t>
            </w:r>
            <w:r>
              <w:rPr>
                <w:rFonts w:hint="default" w:ascii="Times New Roman" w:hAnsi="Times New Roman" w:eastAsia="宋体" w:cs="Times New Roman"/>
                <w:color w:val="auto"/>
                <w:sz w:val="21"/>
                <w:szCs w:val="21"/>
                <w:lang w:val="en-US" w:eastAsia="zh-CN"/>
              </w:rPr>
              <w:t>)</w:t>
            </w:r>
          </w:p>
        </w:tc>
        <w:tc>
          <w:tcPr>
            <w:tcW w:w="1288" w:type="dxa"/>
            <w:tcBorders>
              <w:tl2br w:val="nil"/>
              <w:tr2bl w:val="nil"/>
            </w:tcBorders>
            <w:noWrap w:val="0"/>
            <w:vAlign w:val="center"/>
          </w:tcPr>
          <w:p w14:paraId="3E1951A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1(kg/m</w:t>
            </w:r>
            <w:r>
              <w:rPr>
                <w:rFonts w:hint="default" w:ascii="Times New Roman" w:hAnsi="Times New Roman" w:eastAsia="宋体" w:cs="Times New Roman"/>
                <w:color w:val="auto"/>
                <w:sz w:val="21"/>
                <w:szCs w:val="21"/>
                <w:vertAlign w:val="superscript"/>
                <w:lang w:val="en-US" w:eastAsia="zh-CN"/>
              </w:rPr>
              <w:t>2</w:t>
            </w:r>
            <w:r>
              <w:rPr>
                <w:rFonts w:hint="default" w:ascii="Times New Roman" w:hAnsi="Times New Roman" w:eastAsia="宋体" w:cs="Times New Roman"/>
                <w:color w:val="auto"/>
                <w:sz w:val="21"/>
                <w:szCs w:val="21"/>
                <w:lang w:val="en-US" w:eastAsia="zh-CN"/>
              </w:rPr>
              <w:t>)</w:t>
            </w:r>
          </w:p>
        </w:tc>
      </w:tr>
      <w:tr w14:paraId="5DECEC8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91" w:type="dxa"/>
            <w:tcBorders>
              <w:tl2br w:val="nil"/>
              <w:tr2bl w:val="nil"/>
            </w:tcBorders>
            <w:noWrap w:val="0"/>
            <w:vAlign w:val="center"/>
          </w:tcPr>
          <w:p w14:paraId="5B198D3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5(km/hr)</w:t>
            </w:r>
          </w:p>
        </w:tc>
        <w:tc>
          <w:tcPr>
            <w:tcW w:w="1323" w:type="dxa"/>
            <w:tcBorders>
              <w:tl2br w:val="nil"/>
              <w:tr2bl w:val="nil"/>
            </w:tcBorders>
            <w:noWrap w:val="0"/>
            <w:vAlign w:val="center"/>
          </w:tcPr>
          <w:p w14:paraId="188F8E0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sz w:val="21"/>
                <w:szCs w:val="21"/>
                <w:lang w:val="en-US" w:eastAsia="zh-CN"/>
              </w:rPr>
              <w:t>0.051056</w:t>
            </w:r>
          </w:p>
        </w:tc>
        <w:tc>
          <w:tcPr>
            <w:tcW w:w="1205" w:type="dxa"/>
            <w:tcBorders>
              <w:tl2br w:val="nil"/>
              <w:tr2bl w:val="nil"/>
            </w:tcBorders>
            <w:noWrap w:val="0"/>
            <w:vAlign w:val="center"/>
          </w:tcPr>
          <w:p w14:paraId="75DE96B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0.085865</w:t>
            </w:r>
          </w:p>
        </w:tc>
        <w:tc>
          <w:tcPr>
            <w:tcW w:w="1405" w:type="dxa"/>
            <w:tcBorders>
              <w:tl2br w:val="nil"/>
              <w:tr2bl w:val="nil"/>
            </w:tcBorders>
            <w:noWrap w:val="0"/>
            <w:vAlign w:val="center"/>
          </w:tcPr>
          <w:p w14:paraId="24CA6EB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0.116382</w:t>
            </w:r>
          </w:p>
        </w:tc>
        <w:tc>
          <w:tcPr>
            <w:tcW w:w="1387" w:type="dxa"/>
            <w:tcBorders>
              <w:tl2br w:val="nil"/>
              <w:tr2bl w:val="nil"/>
            </w:tcBorders>
            <w:noWrap w:val="0"/>
            <w:vAlign w:val="center"/>
          </w:tcPr>
          <w:p w14:paraId="5A8F356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0.144408</w:t>
            </w:r>
          </w:p>
        </w:tc>
        <w:tc>
          <w:tcPr>
            <w:tcW w:w="1167" w:type="dxa"/>
            <w:tcBorders>
              <w:tl2br w:val="nil"/>
              <w:tr2bl w:val="nil"/>
            </w:tcBorders>
            <w:noWrap w:val="0"/>
            <w:vAlign w:val="center"/>
          </w:tcPr>
          <w:p w14:paraId="1571B19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0.170715</w:t>
            </w:r>
          </w:p>
        </w:tc>
        <w:tc>
          <w:tcPr>
            <w:tcW w:w="1288" w:type="dxa"/>
            <w:tcBorders>
              <w:tl2br w:val="nil"/>
              <w:tr2bl w:val="nil"/>
            </w:tcBorders>
            <w:noWrap w:val="0"/>
            <w:vAlign w:val="center"/>
          </w:tcPr>
          <w:p w14:paraId="49B4074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0.287108</w:t>
            </w:r>
          </w:p>
        </w:tc>
      </w:tr>
      <w:tr w14:paraId="680C052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91" w:type="dxa"/>
            <w:tcBorders>
              <w:tl2br w:val="nil"/>
              <w:tr2bl w:val="nil"/>
            </w:tcBorders>
            <w:noWrap w:val="0"/>
            <w:vAlign w:val="center"/>
          </w:tcPr>
          <w:p w14:paraId="5DF5343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10(km/hr)</w:t>
            </w:r>
          </w:p>
        </w:tc>
        <w:tc>
          <w:tcPr>
            <w:tcW w:w="1323" w:type="dxa"/>
            <w:tcBorders>
              <w:tl2br w:val="nil"/>
              <w:tr2bl w:val="nil"/>
            </w:tcBorders>
            <w:noWrap w:val="0"/>
            <w:vAlign w:val="center"/>
          </w:tcPr>
          <w:p w14:paraId="711D941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0.102112</w:t>
            </w:r>
          </w:p>
        </w:tc>
        <w:tc>
          <w:tcPr>
            <w:tcW w:w="1205" w:type="dxa"/>
            <w:tcBorders>
              <w:tl2br w:val="nil"/>
              <w:tr2bl w:val="nil"/>
            </w:tcBorders>
            <w:noWrap w:val="0"/>
            <w:vAlign w:val="center"/>
          </w:tcPr>
          <w:p w14:paraId="1552555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0.171731</w:t>
            </w:r>
          </w:p>
        </w:tc>
        <w:tc>
          <w:tcPr>
            <w:tcW w:w="1405" w:type="dxa"/>
            <w:tcBorders>
              <w:tl2br w:val="nil"/>
              <w:tr2bl w:val="nil"/>
            </w:tcBorders>
            <w:noWrap w:val="0"/>
            <w:vAlign w:val="center"/>
          </w:tcPr>
          <w:p w14:paraId="4FB9C99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0.232764</w:t>
            </w:r>
          </w:p>
        </w:tc>
        <w:tc>
          <w:tcPr>
            <w:tcW w:w="1387" w:type="dxa"/>
            <w:tcBorders>
              <w:tl2br w:val="nil"/>
              <w:tr2bl w:val="nil"/>
            </w:tcBorders>
            <w:noWrap w:val="0"/>
            <w:vAlign w:val="center"/>
          </w:tcPr>
          <w:p w14:paraId="1AAE8AF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0.288815</w:t>
            </w:r>
          </w:p>
        </w:tc>
        <w:tc>
          <w:tcPr>
            <w:tcW w:w="1167" w:type="dxa"/>
            <w:tcBorders>
              <w:tl2br w:val="nil"/>
              <w:tr2bl w:val="nil"/>
            </w:tcBorders>
            <w:noWrap w:val="0"/>
            <w:vAlign w:val="center"/>
          </w:tcPr>
          <w:p w14:paraId="450A155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0.341431</w:t>
            </w:r>
          </w:p>
        </w:tc>
        <w:tc>
          <w:tcPr>
            <w:tcW w:w="1288" w:type="dxa"/>
            <w:tcBorders>
              <w:tl2br w:val="nil"/>
              <w:tr2bl w:val="nil"/>
            </w:tcBorders>
            <w:noWrap w:val="0"/>
            <w:vAlign w:val="center"/>
          </w:tcPr>
          <w:p w14:paraId="60CB423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0.574216</w:t>
            </w:r>
          </w:p>
        </w:tc>
      </w:tr>
      <w:tr w14:paraId="21AEE9E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91" w:type="dxa"/>
            <w:tcBorders>
              <w:tl2br w:val="nil"/>
              <w:tr2bl w:val="nil"/>
            </w:tcBorders>
            <w:noWrap w:val="0"/>
            <w:vAlign w:val="center"/>
          </w:tcPr>
          <w:p w14:paraId="2B97A00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15(km/hr)</w:t>
            </w:r>
          </w:p>
        </w:tc>
        <w:tc>
          <w:tcPr>
            <w:tcW w:w="1323" w:type="dxa"/>
            <w:tcBorders>
              <w:tl2br w:val="nil"/>
              <w:tr2bl w:val="nil"/>
            </w:tcBorders>
            <w:noWrap w:val="0"/>
            <w:vAlign w:val="center"/>
          </w:tcPr>
          <w:p w14:paraId="4869669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0.153167</w:t>
            </w:r>
          </w:p>
        </w:tc>
        <w:tc>
          <w:tcPr>
            <w:tcW w:w="1205" w:type="dxa"/>
            <w:tcBorders>
              <w:tl2br w:val="nil"/>
              <w:tr2bl w:val="nil"/>
            </w:tcBorders>
            <w:noWrap w:val="0"/>
            <w:vAlign w:val="center"/>
          </w:tcPr>
          <w:p w14:paraId="24FE4DC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0.257596</w:t>
            </w:r>
          </w:p>
        </w:tc>
        <w:tc>
          <w:tcPr>
            <w:tcW w:w="1405" w:type="dxa"/>
            <w:tcBorders>
              <w:tl2br w:val="nil"/>
              <w:tr2bl w:val="nil"/>
            </w:tcBorders>
            <w:noWrap w:val="0"/>
            <w:vAlign w:val="center"/>
          </w:tcPr>
          <w:p w14:paraId="1BB2D7E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0.349146</w:t>
            </w:r>
          </w:p>
        </w:tc>
        <w:tc>
          <w:tcPr>
            <w:tcW w:w="1387" w:type="dxa"/>
            <w:tcBorders>
              <w:tl2br w:val="nil"/>
              <w:tr2bl w:val="nil"/>
            </w:tcBorders>
            <w:noWrap w:val="0"/>
            <w:vAlign w:val="center"/>
          </w:tcPr>
          <w:p w14:paraId="5C3D055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0.433223</w:t>
            </w:r>
          </w:p>
        </w:tc>
        <w:tc>
          <w:tcPr>
            <w:tcW w:w="1167" w:type="dxa"/>
            <w:tcBorders>
              <w:tl2br w:val="nil"/>
              <w:tr2bl w:val="nil"/>
            </w:tcBorders>
            <w:noWrap w:val="0"/>
            <w:vAlign w:val="center"/>
          </w:tcPr>
          <w:p w14:paraId="4A55F19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0.512146</w:t>
            </w:r>
          </w:p>
        </w:tc>
        <w:tc>
          <w:tcPr>
            <w:tcW w:w="1288" w:type="dxa"/>
            <w:tcBorders>
              <w:tl2br w:val="nil"/>
              <w:tr2bl w:val="nil"/>
            </w:tcBorders>
            <w:noWrap w:val="0"/>
            <w:vAlign w:val="center"/>
          </w:tcPr>
          <w:p w14:paraId="615190A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0.861323</w:t>
            </w:r>
          </w:p>
        </w:tc>
      </w:tr>
      <w:tr w14:paraId="48C8747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91" w:type="dxa"/>
            <w:tcBorders>
              <w:tl2br w:val="nil"/>
              <w:tr2bl w:val="nil"/>
            </w:tcBorders>
            <w:noWrap w:val="0"/>
            <w:vAlign w:val="center"/>
          </w:tcPr>
          <w:p w14:paraId="103D2D8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25(km/hr)</w:t>
            </w:r>
          </w:p>
        </w:tc>
        <w:tc>
          <w:tcPr>
            <w:tcW w:w="1323" w:type="dxa"/>
            <w:tcBorders>
              <w:tl2br w:val="nil"/>
              <w:tr2bl w:val="nil"/>
            </w:tcBorders>
            <w:noWrap w:val="0"/>
            <w:vAlign w:val="center"/>
          </w:tcPr>
          <w:p w14:paraId="58686CA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0.255279</w:t>
            </w:r>
          </w:p>
        </w:tc>
        <w:tc>
          <w:tcPr>
            <w:tcW w:w="1205" w:type="dxa"/>
            <w:tcBorders>
              <w:tl2br w:val="nil"/>
              <w:tr2bl w:val="nil"/>
            </w:tcBorders>
            <w:noWrap w:val="0"/>
            <w:vAlign w:val="center"/>
          </w:tcPr>
          <w:p w14:paraId="4EC8683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0.429326</w:t>
            </w:r>
          </w:p>
        </w:tc>
        <w:tc>
          <w:tcPr>
            <w:tcW w:w="1405" w:type="dxa"/>
            <w:tcBorders>
              <w:tl2br w:val="nil"/>
              <w:tr2bl w:val="nil"/>
            </w:tcBorders>
            <w:noWrap w:val="0"/>
            <w:vAlign w:val="center"/>
          </w:tcPr>
          <w:p w14:paraId="0A03D03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0.58191</w:t>
            </w:r>
          </w:p>
        </w:tc>
        <w:tc>
          <w:tcPr>
            <w:tcW w:w="1387" w:type="dxa"/>
            <w:tcBorders>
              <w:tl2br w:val="nil"/>
              <w:tr2bl w:val="nil"/>
            </w:tcBorders>
            <w:noWrap w:val="0"/>
            <w:vAlign w:val="center"/>
          </w:tcPr>
          <w:p w14:paraId="61586E1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0.722038</w:t>
            </w:r>
          </w:p>
        </w:tc>
        <w:tc>
          <w:tcPr>
            <w:tcW w:w="1167" w:type="dxa"/>
            <w:tcBorders>
              <w:tl2br w:val="nil"/>
              <w:tr2bl w:val="nil"/>
            </w:tcBorders>
            <w:noWrap w:val="0"/>
            <w:vAlign w:val="center"/>
          </w:tcPr>
          <w:p w14:paraId="6DE0681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0.853577</w:t>
            </w:r>
          </w:p>
        </w:tc>
        <w:tc>
          <w:tcPr>
            <w:tcW w:w="1288" w:type="dxa"/>
            <w:tcBorders>
              <w:tl2br w:val="nil"/>
              <w:tr2bl w:val="nil"/>
            </w:tcBorders>
            <w:noWrap w:val="0"/>
            <w:vAlign w:val="center"/>
          </w:tcPr>
          <w:p w14:paraId="1A87CDB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1.435539</w:t>
            </w:r>
          </w:p>
        </w:tc>
      </w:tr>
    </w:tbl>
    <w:p w14:paraId="1357E521">
      <w:pPr>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由此可见，在同样路面清洁程度条件下，车速越快，扬尘量越大；而在同样车速情况下，路面越脏，则扬尘量越大。因此限速行驶及保持路面的清洁是减少汽车扬尘的有效手段。</w:t>
      </w:r>
    </w:p>
    <w:p w14:paraId="508FDA11">
      <w:pPr>
        <w:spacing w:line="360" w:lineRule="auto"/>
        <w:ind w:firstLine="480" w:firstLineChars="200"/>
        <w:rPr>
          <w:sz w:val="24"/>
          <w:szCs w:val="24"/>
        </w:rPr>
      </w:pPr>
      <w:r>
        <w:rPr>
          <w:rFonts w:hint="eastAsia" w:ascii="宋体" w:hAnsi="宋体"/>
          <w:sz w:val="24"/>
        </w:rPr>
        <w:t>②</w:t>
      </w:r>
      <w:r>
        <w:rPr>
          <w:sz w:val="24"/>
          <w:szCs w:val="24"/>
        </w:rPr>
        <w:t>机动车废气</w:t>
      </w:r>
    </w:p>
    <w:p w14:paraId="39ADAC19">
      <w:pPr>
        <w:spacing w:line="360" w:lineRule="auto"/>
        <w:ind w:firstLine="480" w:firstLineChars="200"/>
        <w:rPr>
          <w:sz w:val="24"/>
          <w:szCs w:val="24"/>
        </w:rPr>
      </w:pPr>
      <w:r>
        <w:rPr>
          <w:rFonts w:hint="eastAsia"/>
          <w:sz w:val="24"/>
          <w:szCs w:val="24"/>
        </w:rPr>
        <w:t>机动车废气主要是施工现运输车辆因内燃机燃烧排放的尾气，主要污染物是NO</w:t>
      </w:r>
      <w:r>
        <w:rPr>
          <w:rFonts w:hint="eastAsia"/>
          <w:sz w:val="24"/>
          <w:szCs w:val="24"/>
          <w:vertAlign w:val="subscript"/>
        </w:rPr>
        <w:t>x</w:t>
      </w:r>
      <w:r>
        <w:rPr>
          <w:rFonts w:hint="eastAsia"/>
          <w:sz w:val="24"/>
          <w:szCs w:val="24"/>
        </w:rPr>
        <w:t>、CO、HC。但一般情况下，由于运输车辆的流动性、阶段性和间断性的特点，施工场地平均单位时间排放的</w:t>
      </w:r>
      <w:r>
        <w:rPr>
          <w:rFonts w:hint="eastAsia"/>
          <w:sz w:val="24"/>
          <w:szCs w:val="24"/>
          <w:lang w:eastAsia="zh-CN"/>
        </w:rPr>
        <w:t>空气污染物</w:t>
      </w:r>
      <w:r>
        <w:rPr>
          <w:rFonts w:hint="eastAsia"/>
          <w:sz w:val="24"/>
          <w:szCs w:val="24"/>
        </w:rPr>
        <w:t>总量并不大。</w:t>
      </w:r>
    </w:p>
    <w:p w14:paraId="56B00077">
      <w:pPr>
        <w:pStyle w:val="5"/>
        <w:rPr>
          <w:rFonts w:ascii="Times New Roman" w:hAnsi="Times New Roman"/>
          <w:color w:val="000000"/>
          <w:lang w:val="en-US"/>
        </w:rPr>
      </w:pPr>
      <w:r>
        <w:rPr>
          <w:rFonts w:hint="eastAsia" w:ascii="Times New Roman" w:hAnsi="Times New Roman"/>
          <w:color w:val="000000"/>
          <w:lang w:val="en-US"/>
        </w:rPr>
        <w:t>3.4.1.2噪声污染源</w:t>
      </w:r>
    </w:p>
    <w:p w14:paraId="390EB6B7">
      <w:pPr>
        <w:snapToGrid w:val="0"/>
        <w:spacing w:line="480" w:lineRule="exact"/>
        <w:ind w:firstLine="480" w:firstLineChars="200"/>
        <w:rPr>
          <w:rFonts w:hint="eastAsia" w:ascii="宋体" w:hAnsi="宋体" w:cs="宋体"/>
          <w:sz w:val="24"/>
          <w:szCs w:val="24"/>
        </w:rPr>
      </w:pPr>
      <w:r>
        <w:rPr>
          <w:rFonts w:hint="eastAsia" w:ascii="宋体" w:hAnsi="宋体" w:cs="宋体"/>
          <w:sz w:val="24"/>
          <w:szCs w:val="24"/>
        </w:rPr>
        <w:t>施工期噪声主要来源于运输车辆产生的噪声，运输车辆声级值85</w:t>
      </w:r>
      <w:r>
        <w:rPr>
          <w:rFonts w:hint="eastAsia" w:ascii="宋体" w:hAnsi="宋体" w:cs="宋体"/>
          <w:bCs/>
          <w:szCs w:val="24"/>
        </w:rPr>
        <w:t>dB（A）</w:t>
      </w:r>
      <w:r>
        <w:rPr>
          <w:rFonts w:hint="eastAsia" w:ascii="宋体" w:hAnsi="宋体" w:cs="宋体"/>
          <w:sz w:val="24"/>
          <w:szCs w:val="24"/>
        </w:rPr>
        <w:t>在项目施工过程中，评价建议合理安排施工时间、合理布局施工现场等。</w:t>
      </w:r>
    </w:p>
    <w:p w14:paraId="04844A06">
      <w:pPr>
        <w:pStyle w:val="5"/>
        <w:rPr>
          <w:rFonts w:ascii="Times New Roman" w:hAnsi="Times New Roman"/>
          <w:color w:val="000000"/>
        </w:rPr>
      </w:pPr>
      <w:r>
        <w:rPr>
          <w:rFonts w:hint="eastAsia" w:ascii="Times New Roman" w:hAnsi="Times New Roman"/>
          <w:color w:val="000000"/>
          <w:lang w:val="en-US"/>
        </w:rPr>
        <w:t>3.4.1.3</w:t>
      </w:r>
      <w:r>
        <w:rPr>
          <w:rFonts w:hint="eastAsia" w:ascii="Times New Roman" w:hAnsi="Times New Roman"/>
          <w:color w:val="000000"/>
        </w:rPr>
        <w:t>水污染源</w:t>
      </w:r>
    </w:p>
    <w:p w14:paraId="62187CDA">
      <w:pPr>
        <w:spacing w:line="480" w:lineRule="exact"/>
        <w:ind w:firstLine="480" w:firstLineChars="200"/>
        <w:rPr>
          <w:rFonts w:hint="eastAsia" w:ascii="宋体" w:hAnsi="宋体"/>
          <w:kern w:val="0"/>
          <w:sz w:val="24"/>
          <w:lang w:val="zh-CN"/>
        </w:rPr>
      </w:pPr>
      <w:r>
        <w:rPr>
          <w:rFonts w:ascii="宋体" w:hAnsi="宋体"/>
          <w:kern w:val="0"/>
          <w:sz w:val="24"/>
          <w:lang w:val="zh-CN"/>
        </w:rPr>
        <w:t>施工期间主要的水污染源为施工人员的生活污水，水中主要污染物包括油脂、COD</w:t>
      </w:r>
      <w:r>
        <w:rPr>
          <w:rFonts w:ascii="宋体" w:hAnsi="宋体"/>
          <w:kern w:val="0"/>
          <w:sz w:val="24"/>
          <w:vertAlign w:val="subscript"/>
          <w:lang w:val="zh-CN"/>
        </w:rPr>
        <w:t>Cr</w:t>
      </w:r>
      <w:r>
        <w:rPr>
          <w:rFonts w:ascii="宋体" w:hAnsi="宋体"/>
          <w:kern w:val="0"/>
          <w:sz w:val="24"/>
          <w:lang w:val="zh-CN"/>
        </w:rPr>
        <w:t>、悬浮物和氨氮等。</w:t>
      </w:r>
    </w:p>
    <w:p w14:paraId="607AABA2">
      <w:pPr>
        <w:snapToGrid w:val="0"/>
        <w:spacing w:line="480" w:lineRule="exact"/>
        <w:ind w:firstLine="480" w:firstLineChars="200"/>
        <w:rPr>
          <w:rFonts w:hint="eastAsia" w:ascii="宋体" w:hAnsi="宋体" w:cs="宋体"/>
          <w:sz w:val="24"/>
          <w:szCs w:val="24"/>
        </w:rPr>
      </w:pPr>
      <w:r>
        <w:rPr>
          <w:rFonts w:hint="eastAsia" w:ascii="宋体" w:hAnsi="宋体" w:cs="宋体"/>
          <w:sz w:val="24"/>
          <w:szCs w:val="24"/>
        </w:rPr>
        <w:t>本项目主要为生产设备安装，施工总人数为12人，施工人员均不在施工场地食宿，施工期用水主要为洗漱用水，按人均用水30L/人·d，生活污水用量约0.3m</w:t>
      </w:r>
      <w:r>
        <w:rPr>
          <w:rFonts w:hint="eastAsia" w:ascii="宋体" w:hAnsi="宋体" w:cs="宋体"/>
          <w:sz w:val="24"/>
          <w:szCs w:val="24"/>
          <w:vertAlign w:val="superscript"/>
        </w:rPr>
        <w:t>3</w:t>
      </w:r>
      <w:r>
        <w:rPr>
          <w:rFonts w:hint="eastAsia" w:ascii="宋体" w:hAnsi="宋体" w:cs="宋体"/>
          <w:sz w:val="24"/>
          <w:szCs w:val="24"/>
        </w:rPr>
        <w:t>/d。污水产生系数以用水量的0.8计，则项目生活污水产生量为0.288m</w:t>
      </w:r>
      <w:r>
        <w:rPr>
          <w:rFonts w:hint="eastAsia" w:ascii="宋体" w:hAnsi="宋体" w:cs="宋体"/>
          <w:sz w:val="24"/>
          <w:szCs w:val="24"/>
          <w:vertAlign w:val="superscript"/>
        </w:rPr>
        <w:t>3</w:t>
      </w:r>
      <w:r>
        <w:rPr>
          <w:rFonts w:hint="eastAsia" w:ascii="宋体" w:hAnsi="宋体" w:cs="宋体"/>
          <w:sz w:val="24"/>
          <w:szCs w:val="24"/>
        </w:rPr>
        <w:t>/d。排入</w:t>
      </w:r>
      <w:r>
        <w:rPr>
          <w:rFonts w:hint="eastAsia" w:ascii="宋体" w:hAnsi="宋体" w:cs="宋体"/>
          <w:sz w:val="24"/>
          <w:szCs w:val="24"/>
          <w:lang w:val="en-US" w:eastAsia="zh-CN"/>
        </w:rPr>
        <w:t>1</w:t>
      </w:r>
      <w:r>
        <w:rPr>
          <w:rFonts w:hint="eastAsia" w:ascii="宋体" w:hAnsi="宋体" w:cs="宋体"/>
          <w:sz w:val="24"/>
          <w:szCs w:val="24"/>
        </w:rPr>
        <w:t>0m</w:t>
      </w:r>
      <w:r>
        <w:rPr>
          <w:rFonts w:hint="eastAsia" w:ascii="宋体" w:hAnsi="宋体" w:cs="宋体"/>
          <w:sz w:val="24"/>
          <w:szCs w:val="24"/>
          <w:vertAlign w:val="superscript"/>
        </w:rPr>
        <w:t>3</w:t>
      </w:r>
      <w:r>
        <w:rPr>
          <w:rFonts w:hint="eastAsia" w:ascii="宋体" w:hAnsi="宋体" w:cs="宋体"/>
          <w:sz w:val="24"/>
          <w:szCs w:val="24"/>
          <w:lang w:val="en-US" w:eastAsia="zh-CN"/>
        </w:rPr>
        <w:t>防渗化粪池</w:t>
      </w:r>
      <w:r>
        <w:rPr>
          <w:rFonts w:hint="eastAsia" w:ascii="宋体" w:hAnsi="宋体" w:cs="宋体"/>
          <w:sz w:val="24"/>
          <w:szCs w:val="24"/>
        </w:rPr>
        <w:t>，定期由库尔勒龙润水处理有限公司采用罐车拉运至库尔勒南市区污水处理厂。</w:t>
      </w:r>
    </w:p>
    <w:p w14:paraId="5D174A07">
      <w:pPr>
        <w:pStyle w:val="5"/>
        <w:rPr>
          <w:rFonts w:ascii="Times New Roman" w:hAnsi="Times New Roman"/>
          <w:color w:val="000000"/>
        </w:rPr>
      </w:pPr>
      <w:r>
        <w:rPr>
          <w:rFonts w:hint="eastAsia" w:ascii="Times New Roman" w:hAnsi="Times New Roman"/>
          <w:color w:val="000000"/>
          <w:lang w:val="en-US"/>
        </w:rPr>
        <w:t>3.4.1.4</w:t>
      </w:r>
      <w:r>
        <w:rPr>
          <w:rFonts w:hint="eastAsia" w:ascii="Times New Roman" w:hAnsi="Times New Roman"/>
          <w:color w:val="000000"/>
        </w:rPr>
        <w:t>固体废弃物</w:t>
      </w:r>
    </w:p>
    <w:p w14:paraId="617FE920">
      <w:pPr>
        <w:spacing w:line="360" w:lineRule="auto"/>
        <w:ind w:firstLine="480"/>
        <w:rPr>
          <w:rFonts w:hint="eastAsia" w:ascii="宋体" w:hAnsi="宋体"/>
          <w:kern w:val="0"/>
          <w:sz w:val="24"/>
          <w:lang w:val="zh-CN"/>
        </w:rPr>
      </w:pPr>
      <w:r>
        <w:rPr>
          <w:rFonts w:ascii="宋体" w:hAnsi="宋体"/>
          <w:kern w:val="0"/>
          <w:sz w:val="24"/>
          <w:lang w:val="zh-CN"/>
        </w:rPr>
        <w:t>施工期固体废物主要来源于施工人员日常生活产生的生活垃圾。</w:t>
      </w:r>
    </w:p>
    <w:p w14:paraId="031F50C3">
      <w:pPr>
        <w:snapToGrid w:val="0"/>
        <w:spacing w:line="440" w:lineRule="exact"/>
        <w:ind w:firstLine="480" w:firstLineChars="200"/>
        <w:rPr>
          <w:rFonts w:hint="eastAsia" w:ascii="宋体" w:hAnsi="宋体" w:cs="宋体"/>
          <w:sz w:val="24"/>
          <w:szCs w:val="24"/>
        </w:rPr>
      </w:pPr>
      <w:r>
        <w:rPr>
          <w:rFonts w:hint="eastAsia" w:ascii="宋体" w:hAnsi="宋体" w:cs="宋体"/>
          <w:sz w:val="24"/>
          <w:szCs w:val="24"/>
        </w:rPr>
        <w:t>施工人员的生活垃圾，按照《第二次全国污染源普查城镇生活源产排污系数手册》，生活垃圾以0.5kg/人·d计算，施工人数平均按12人计，施工期为1个月，则施工期产生的生活垃圾的量为0.18t，分类收集，交环卫部门定期清运。</w:t>
      </w:r>
    </w:p>
    <w:p w14:paraId="5A01A9E2">
      <w:pPr>
        <w:pStyle w:val="4"/>
        <w:autoSpaceDE w:val="0"/>
        <w:autoSpaceDN w:val="0"/>
        <w:spacing w:before="0" w:after="0" w:line="360" w:lineRule="auto"/>
        <w:jc w:val="left"/>
        <w:rPr>
          <w:kern w:val="0"/>
          <w:sz w:val="24"/>
          <w:lang w:val="en-US" w:bidi="zh-CN"/>
        </w:rPr>
      </w:pPr>
      <w:bookmarkStart w:id="156" w:name="_Toc25731"/>
      <w:r>
        <w:rPr>
          <w:rFonts w:hint="eastAsia"/>
          <w:kern w:val="0"/>
          <w:sz w:val="24"/>
          <w:lang w:val="en-US" w:bidi="zh-CN"/>
        </w:rPr>
        <w:t>3.4.2运营期污染源分析</w:t>
      </w:r>
    </w:p>
    <w:p w14:paraId="0CDF385E">
      <w:pPr>
        <w:pStyle w:val="5"/>
        <w:rPr>
          <w:rFonts w:ascii="Times New Roman" w:hAnsi="Times New Roman"/>
          <w:color w:val="000000"/>
        </w:rPr>
      </w:pPr>
      <w:r>
        <w:rPr>
          <w:rFonts w:hint="eastAsia" w:ascii="Times New Roman" w:hAnsi="Times New Roman"/>
          <w:color w:val="000000"/>
          <w:lang w:val="en-US"/>
        </w:rPr>
        <w:t>3.4.2.1</w:t>
      </w:r>
      <w:r>
        <w:rPr>
          <w:rFonts w:hint="eastAsia" w:ascii="Times New Roman" w:hAnsi="Times New Roman"/>
          <w:color w:val="000000"/>
        </w:rPr>
        <w:t>大气污染源分析</w:t>
      </w:r>
    </w:p>
    <w:p w14:paraId="6A822BE3">
      <w:pPr>
        <w:widowControl/>
        <w:spacing w:line="360" w:lineRule="auto"/>
        <w:ind w:firstLine="480" w:firstLineChars="200"/>
        <w:rPr>
          <w:color w:val="000000"/>
          <w:kern w:val="0"/>
          <w:sz w:val="24"/>
          <w:szCs w:val="24"/>
        </w:rPr>
      </w:pPr>
      <w:r>
        <w:rPr>
          <w:rFonts w:hint="eastAsia"/>
          <w:color w:val="000000"/>
          <w:kern w:val="0"/>
          <w:sz w:val="24"/>
          <w:szCs w:val="24"/>
        </w:rPr>
        <w:t>项目运营期大气污染物主要为造粒、滴灌带生产熔融挤出、加热过程中产生的有机废气。</w:t>
      </w:r>
    </w:p>
    <w:p w14:paraId="1EDA9715">
      <w:pPr>
        <w:widowControl/>
        <w:spacing w:line="360" w:lineRule="auto"/>
        <w:ind w:firstLine="480" w:firstLineChars="200"/>
        <w:rPr>
          <w:color w:val="000000"/>
          <w:kern w:val="0"/>
          <w:sz w:val="24"/>
          <w:szCs w:val="24"/>
        </w:rPr>
      </w:pPr>
      <w:r>
        <w:rPr>
          <w:rFonts w:hint="eastAsia"/>
          <w:color w:val="000000"/>
          <w:kern w:val="0"/>
          <w:sz w:val="24"/>
          <w:szCs w:val="24"/>
        </w:rPr>
        <w:t>生产过</w:t>
      </w:r>
      <w:r>
        <w:rPr>
          <w:rFonts w:hint="eastAsia"/>
          <w:color w:val="000000"/>
          <w:kern w:val="0"/>
          <w:sz w:val="24"/>
          <w:szCs w:val="24"/>
          <w:lang w:eastAsia="zh-CN"/>
        </w:rPr>
        <w:t>程中</w:t>
      </w:r>
      <w:r>
        <w:rPr>
          <w:rFonts w:hint="eastAsia"/>
          <w:color w:val="000000"/>
          <w:kern w:val="0"/>
          <w:sz w:val="24"/>
          <w:szCs w:val="24"/>
        </w:rPr>
        <w:t>产生的废气分为有组织排放和无组织排放。有组织排放：造粒、滴灌带生产热熔挤出工序有机废气；无组织排放：造粒、滴灌带生产过程未经集气罩收集的废气。</w:t>
      </w:r>
    </w:p>
    <w:p w14:paraId="42E2BE85">
      <w:pPr>
        <w:widowControl/>
        <w:tabs>
          <w:tab w:val="left" w:pos="607"/>
        </w:tabs>
        <w:spacing w:line="360" w:lineRule="auto"/>
        <w:ind w:firstLine="480" w:firstLineChars="200"/>
        <w:rPr>
          <w:color w:val="000000"/>
          <w:kern w:val="0"/>
          <w:sz w:val="24"/>
          <w:szCs w:val="24"/>
        </w:rPr>
      </w:pPr>
      <w:r>
        <w:rPr>
          <w:rFonts w:hint="eastAsia"/>
          <w:color w:val="000000"/>
          <w:kern w:val="0"/>
          <w:sz w:val="24"/>
          <w:szCs w:val="24"/>
        </w:rPr>
        <w:t>1、废气</w:t>
      </w:r>
    </w:p>
    <w:p w14:paraId="0FB3CF82">
      <w:pPr>
        <w:widowControl/>
        <w:spacing w:line="360" w:lineRule="auto"/>
        <w:ind w:firstLine="480" w:firstLineChars="200"/>
        <w:rPr>
          <w:color w:val="000000"/>
          <w:kern w:val="0"/>
          <w:sz w:val="24"/>
          <w:szCs w:val="24"/>
        </w:rPr>
      </w:pPr>
      <w:r>
        <w:rPr>
          <w:rFonts w:hint="eastAsia"/>
          <w:color w:val="000000"/>
          <w:kern w:val="0"/>
          <w:sz w:val="24"/>
          <w:szCs w:val="24"/>
        </w:rPr>
        <w:t>（1）热熔挤出废气</w:t>
      </w:r>
    </w:p>
    <w:p w14:paraId="002C63E1">
      <w:pPr>
        <w:widowControl/>
        <w:tabs>
          <w:tab w:val="left" w:pos="607"/>
        </w:tabs>
        <w:spacing w:line="360" w:lineRule="auto"/>
        <w:ind w:firstLine="480" w:firstLineChars="200"/>
        <w:rPr>
          <w:color w:val="000000"/>
          <w:kern w:val="0"/>
          <w:sz w:val="24"/>
          <w:szCs w:val="24"/>
        </w:rPr>
      </w:pPr>
      <w:r>
        <w:rPr>
          <w:rFonts w:hint="eastAsia"/>
          <w:color w:val="000000"/>
          <w:kern w:val="0"/>
          <w:sz w:val="24"/>
          <w:szCs w:val="24"/>
        </w:rPr>
        <w:t>本项目采用电加热方式对料筒进行加热，热熔挤出工序不添加任何阻燃剂、增塑剂等添加剂，采用直接再生方式</w:t>
      </w:r>
      <w:r>
        <w:rPr>
          <w:color w:val="000000"/>
          <w:kern w:val="0"/>
          <w:sz w:val="24"/>
          <w:szCs w:val="24"/>
        </w:rPr>
        <w:t>，挤出、成型过程为单纯物理熔融变化过程，项目加热温度控制在180-210℃左右，聚乙烯裂解温度为≥380℃</w:t>
      </w:r>
      <w:r>
        <w:rPr>
          <w:rFonts w:hint="eastAsia"/>
          <w:color w:val="000000"/>
          <w:kern w:val="0"/>
          <w:sz w:val="24"/>
          <w:szCs w:val="24"/>
        </w:rPr>
        <w:t>。本项目造粒生产用原料主要成分均为聚乙烯，</w:t>
      </w:r>
      <w:r>
        <w:rPr>
          <w:color w:val="000000"/>
          <w:kern w:val="0"/>
          <w:sz w:val="24"/>
          <w:szCs w:val="24"/>
        </w:rPr>
        <w:t>因加热温度控制在不发生裂解的温度条件下，故无裂解废气产生</w:t>
      </w:r>
      <w:r>
        <w:rPr>
          <w:rFonts w:hint="eastAsia"/>
          <w:color w:val="000000"/>
          <w:kern w:val="0"/>
          <w:sz w:val="24"/>
          <w:szCs w:val="24"/>
        </w:rPr>
        <w:t>，</w:t>
      </w:r>
      <w:r>
        <w:rPr>
          <w:color w:val="000000"/>
          <w:kern w:val="0"/>
          <w:sz w:val="24"/>
          <w:szCs w:val="24"/>
        </w:rPr>
        <w:t>但在实际操作过程中，在受热情况下，聚乙烯塑料颗粒中残存未聚合的反应单体（乙烯单体）以及从聚合物中分解出的乙烯单体可挥发至空气中，从而形</w:t>
      </w:r>
      <w:r>
        <w:rPr>
          <w:rFonts w:hint="eastAsia"/>
          <w:color w:val="000000"/>
          <w:kern w:val="0"/>
          <w:sz w:val="24"/>
          <w:szCs w:val="24"/>
        </w:rPr>
        <w:t>成有机废气，其中不含HCl、Cl</w:t>
      </w:r>
      <w:r>
        <w:rPr>
          <w:rFonts w:hint="eastAsia"/>
          <w:color w:val="000000"/>
          <w:kern w:val="0"/>
          <w:sz w:val="24"/>
          <w:szCs w:val="24"/>
          <w:vertAlign w:val="subscript"/>
        </w:rPr>
        <w:t>2</w:t>
      </w:r>
      <w:r>
        <w:rPr>
          <w:rFonts w:hint="eastAsia"/>
          <w:color w:val="000000"/>
          <w:kern w:val="0"/>
          <w:sz w:val="24"/>
          <w:szCs w:val="24"/>
        </w:rPr>
        <w:t>、苯系物等毒性气体，由于加热温度一般控制在塑料原料允许的范围内，分解的乙烯单体量极少，另外加热在封闭的容器内进行，产生的乙烯单体仅有极少量排出，产生的废气量有限，浓度极低。因此造粒热融挤出工序产生的废气主要为有机废气VOCs，本次环评以非甲烷总烃计。</w:t>
      </w:r>
    </w:p>
    <w:p w14:paraId="42006450">
      <w:pPr>
        <w:widowControl/>
        <w:spacing w:line="360" w:lineRule="auto"/>
        <w:ind w:firstLine="480" w:firstLineChars="200"/>
        <w:rPr>
          <w:color w:val="000000"/>
          <w:kern w:val="0"/>
          <w:sz w:val="24"/>
          <w:szCs w:val="24"/>
        </w:rPr>
      </w:pPr>
      <w:r>
        <w:rPr>
          <w:color w:val="000000"/>
          <w:kern w:val="0"/>
          <w:sz w:val="24"/>
          <w:szCs w:val="24"/>
        </w:rPr>
        <w:t>根据生态环境部2021年6月11日发布的《排放源统计调查产排污核算方法和系数手册》</w:t>
      </w:r>
      <w:r>
        <w:rPr>
          <w:rFonts w:hint="eastAsia"/>
          <w:color w:val="000000"/>
          <w:kern w:val="0"/>
          <w:sz w:val="24"/>
          <w:szCs w:val="24"/>
        </w:rPr>
        <w:t>（2021年第24号）</w:t>
      </w:r>
      <w:r>
        <w:rPr>
          <w:color w:val="000000"/>
          <w:kern w:val="0"/>
          <w:sz w:val="24"/>
          <w:szCs w:val="24"/>
        </w:rPr>
        <w:t>4220非金属废料和碎屑加工处理行业系数表</w:t>
      </w:r>
      <w:r>
        <w:rPr>
          <w:rFonts w:hint="eastAsia"/>
          <w:color w:val="000000"/>
          <w:kern w:val="0"/>
          <w:sz w:val="24"/>
          <w:szCs w:val="24"/>
        </w:rPr>
        <w:t>，废PE/PP再生塑料粒子</w:t>
      </w:r>
      <w:r>
        <w:rPr>
          <w:color w:val="000000"/>
          <w:kern w:val="0"/>
          <w:sz w:val="24"/>
          <w:szCs w:val="24"/>
        </w:rPr>
        <w:t>挤出挥发性有机物（以非甲烷总烃计）产污系数为</w:t>
      </w:r>
      <w:r>
        <w:rPr>
          <w:rFonts w:hint="eastAsia"/>
          <w:color w:val="000000"/>
          <w:kern w:val="0"/>
          <w:sz w:val="24"/>
          <w:szCs w:val="24"/>
        </w:rPr>
        <w:t>350</w:t>
      </w:r>
      <w:r>
        <w:rPr>
          <w:color w:val="000000"/>
          <w:kern w:val="0"/>
          <w:sz w:val="24"/>
          <w:szCs w:val="24"/>
        </w:rPr>
        <w:t>g/t-原料</w:t>
      </w:r>
      <w:r>
        <w:rPr>
          <w:rFonts w:hint="eastAsia"/>
          <w:color w:val="000000"/>
          <w:kern w:val="0"/>
          <w:sz w:val="24"/>
          <w:szCs w:val="24"/>
          <w:lang w:eastAsia="zh-CN"/>
        </w:rPr>
        <w:t>，</w:t>
      </w:r>
      <w:r>
        <w:rPr>
          <w:rFonts w:ascii="宋体" w:hAnsi="宋体" w:eastAsia="宋体" w:cs="宋体"/>
          <w:sz w:val="24"/>
          <w:szCs w:val="24"/>
        </w:rPr>
        <w:t>2922塑料板、管、型材制造行业</w:t>
      </w:r>
      <w:r>
        <w:rPr>
          <w:rFonts w:hint="eastAsia" w:ascii="宋体" w:hAnsi="宋体" w:cs="宋体"/>
          <w:sz w:val="24"/>
          <w:szCs w:val="24"/>
          <w:lang w:eastAsia="zh-CN"/>
        </w:rPr>
        <w:t>滴灌带</w:t>
      </w:r>
      <w:r>
        <w:rPr>
          <w:color w:val="000000"/>
          <w:kern w:val="0"/>
          <w:sz w:val="24"/>
          <w:szCs w:val="24"/>
        </w:rPr>
        <w:t>挤出挥发性有机物（以非甲烷总烃计）产污系数为</w:t>
      </w:r>
      <w:r>
        <w:rPr>
          <w:rFonts w:hint="eastAsia"/>
          <w:color w:val="000000"/>
          <w:kern w:val="0"/>
          <w:sz w:val="24"/>
          <w:szCs w:val="24"/>
          <w:lang w:val="en-US" w:eastAsia="zh-CN"/>
        </w:rPr>
        <w:t>1.5</w:t>
      </w:r>
      <w:r>
        <w:rPr>
          <w:rFonts w:ascii="宋体" w:hAnsi="宋体" w:eastAsia="宋体" w:cs="宋体"/>
          <w:sz w:val="24"/>
          <w:szCs w:val="24"/>
        </w:rPr>
        <w:t>千克/吨-产品</w:t>
      </w:r>
      <w:r>
        <w:rPr>
          <w:rFonts w:hint="eastAsia"/>
          <w:color w:val="000000"/>
          <w:kern w:val="0"/>
          <w:sz w:val="24"/>
          <w:szCs w:val="24"/>
        </w:rPr>
        <w:t>。本项目造粒工序原材料用量为5500t/a</w:t>
      </w:r>
      <w:r>
        <w:rPr>
          <w:rFonts w:hint="eastAsia"/>
          <w:color w:val="000000"/>
          <w:kern w:val="0"/>
          <w:sz w:val="24"/>
          <w:szCs w:val="24"/>
          <w:lang w:eastAsia="zh-CN"/>
        </w:rPr>
        <w:t>，</w:t>
      </w:r>
      <w:r>
        <w:rPr>
          <w:rFonts w:hint="eastAsia"/>
          <w:color w:val="000000"/>
          <w:kern w:val="0"/>
          <w:sz w:val="24"/>
          <w:szCs w:val="24"/>
        </w:rPr>
        <w:t>滴灌带</w:t>
      </w:r>
      <w:r>
        <w:rPr>
          <w:rFonts w:hint="eastAsia"/>
          <w:color w:val="000000"/>
          <w:kern w:val="0"/>
          <w:sz w:val="24"/>
          <w:szCs w:val="24"/>
          <w:lang w:eastAsia="zh-CN"/>
        </w:rPr>
        <w:t>生产线产品</w:t>
      </w:r>
      <w:r>
        <w:rPr>
          <w:rFonts w:hint="eastAsia"/>
          <w:color w:val="000000"/>
          <w:kern w:val="0"/>
          <w:sz w:val="24"/>
          <w:szCs w:val="24"/>
          <w:lang w:val="en-US" w:eastAsia="zh-CN"/>
        </w:rPr>
        <w:t>9995</w:t>
      </w:r>
      <w:r>
        <w:rPr>
          <w:rFonts w:hint="eastAsia"/>
          <w:color w:val="000000"/>
          <w:kern w:val="0"/>
          <w:sz w:val="24"/>
          <w:szCs w:val="24"/>
        </w:rPr>
        <w:t>t/a，年加工时间</w:t>
      </w:r>
      <w:r>
        <w:rPr>
          <w:rFonts w:hint="eastAsia"/>
          <w:color w:val="000000"/>
          <w:kern w:val="0"/>
          <w:sz w:val="24"/>
          <w:szCs w:val="24"/>
          <w:lang w:val="en-US" w:eastAsia="zh-CN"/>
        </w:rPr>
        <w:t>240</w:t>
      </w:r>
      <w:r>
        <w:rPr>
          <w:rFonts w:hint="eastAsia"/>
          <w:color w:val="000000"/>
          <w:kern w:val="0"/>
          <w:sz w:val="24"/>
          <w:szCs w:val="24"/>
        </w:rPr>
        <w:t>d（</w:t>
      </w:r>
      <w:r>
        <w:rPr>
          <w:rFonts w:hint="eastAsia"/>
          <w:color w:val="000000"/>
          <w:kern w:val="0"/>
          <w:sz w:val="24"/>
          <w:szCs w:val="24"/>
          <w:lang w:val="en-US" w:eastAsia="zh-CN"/>
        </w:rPr>
        <w:t>5760</w:t>
      </w:r>
      <w:r>
        <w:rPr>
          <w:rFonts w:hint="eastAsia"/>
          <w:color w:val="000000"/>
          <w:kern w:val="0"/>
          <w:sz w:val="24"/>
          <w:szCs w:val="24"/>
        </w:rPr>
        <w:t>h），2条生产线在一座车间内，根据《废弃资源综合利用行业系数手册》核算出车间系统风量均为</w:t>
      </w:r>
      <w:r>
        <w:rPr>
          <w:rFonts w:hint="eastAsia"/>
          <w:color w:val="000000"/>
          <w:kern w:val="0"/>
          <w:sz w:val="24"/>
          <w:szCs w:val="24"/>
          <w:lang w:val="en-US" w:eastAsia="zh-CN"/>
        </w:rPr>
        <w:t>2</w:t>
      </w:r>
      <w:r>
        <w:rPr>
          <w:rFonts w:hint="eastAsia"/>
          <w:color w:val="000000"/>
          <w:kern w:val="0"/>
          <w:sz w:val="24"/>
          <w:szCs w:val="24"/>
        </w:rPr>
        <w:t>0000m</w:t>
      </w:r>
      <w:r>
        <w:rPr>
          <w:rFonts w:hint="eastAsia"/>
          <w:color w:val="000000"/>
          <w:kern w:val="0"/>
          <w:sz w:val="24"/>
          <w:szCs w:val="24"/>
          <w:vertAlign w:val="superscript"/>
        </w:rPr>
        <w:t>3</w:t>
      </w:r>
      <w:r>
        <w:rPr>
          <w:rFonts w:hint="eastAsia"/>
          <w:color w:val="000000"/>
          <w:kern w:val="0"/>
          <w:sz w:val="24"/>
          <w:szCs w:val="24"/>
        </w:rPr>
        <w:t>/h；根据《排放源统计调查产排污核算方法和系数手册》（2021年第24号）“2922塑料板、管及型材制造行业系数表”中推荐的废气治理效率，本项目</w:t>
      </w:r>
      <w:r>
        <w:rPr>
          <w:rFonts w:hint="eastAsia"/>
          <w:color w:val="000000"/>
          <w:kern w:val="0"/>
          <w:sz w:val="24"/>
          <w:szCs w:val="24"/>
          <w:lang w:eastAsia="zh-CN"/>
        </w:rPr>
        <w:t>活性炭浓缩吸附+催化燃烧</w:t>
      </w:r>
      <w:r>
        <w:rPr>
          <w:rFonts w:hint="eastAsia"/>
          <w:color w:val="000000"/>
          <w:kern w:val="0"/>
          <w:sz w:val="24"/>
          <w:szCs w:val="24"/>
        </w:rPr>
        <w:t>系统去除效率为85%，集气罩收集效率按90%计算，则仍有10%的废气以无组织形式排放，年运行时间</w:t>
      </w:r>
      <w:r>
        <w:rPr>
          <w:rFonts w:hint="eastAsia"/>
          <w:color w:val="000000"/>
          <w:kern w:val="0"/>
          <w:sz w:val="24"/>
          <w:szCs w:val="24"/>
          <w:lang w:val="en-US" w:eastAsia="zh-CN"/>
        </w:rPr>
        <w:t>5760</w:t>
      </w:r>
      <w:r>
        <w:rPr>
          <w:rFonts w:hint="eastAsia"/>
          <w:color w:val="000000"/>
          <w:kern w:val="0"/>
          <w:sz w:val="24"/>
          <w:szCs w:val="24"/>
        </w:rPr>
        <w:t>h。</w:t>
      </w:r>
      <w:r>
        <w:rPr>
          <w:rFonts w:hint="eastAsia"/>
          <w:color w:val="000000"/>
          <w:kern w:val="0"/>
          <w:sz w:val="24"/>
          <w:szCs w:val="24"/>
          <w:lang w:eastAsia="zh-CN"/>
        </w:rPr>
        <w:t>造</w:t>
      </w:r>
      <w:r>
        <w:rPr>
          <w:rFonts w:hint="eastAsia"/>
          <w:color w:val="000000"/>
          <w:kern w:val="0"/>
          <w:sz w:val="24"/>
          <w:szCs w:val="24"/>
        </w:rPr>
        <w:t>粒生产线非甲烷总烃产生量为1.925</w:t>
      </w:r>
      <w:r>
        <w:rPr>
          <w:color w:val="000000"/>
          <w:kern w:val="0"/>
          <w:sz w:val="24"/>
          <w:szCs w:val="24"/>
        </w:rPr>
        <w:t xml:space="preserve"> t/a</w:t>
      </w:r>
      <w:r>
        <w:rPr>
          <w:rFonts w:hint="eastAsia"/>
          <w:color w:val="000000"/>
          <w:kern w:val="0"/>
          <w:sz w:val="24"/>
          <w:szCs w:val="24"/>
          <w:lang w:eastAsia="zh-CN"/>
        </w:rPr>
        <w:t>，其中有组织产生量为</w:t>
      </w:r>
      <w:r>
        <w:rPr>
          <w:rFonts w:hint="eastAsia"/>
          <w:color w:val="000000"/>
          <w:kern w:val="0"/>
          <w:sz w:val="24"/>
          <w:szCs w:val="24"/>
          <w:lang w:val="en-US" w:eastAsia="zh-CN"/>
        </w:rPr>
        <w:t>1.7325</w:t>
      </w:r>
      <w:r>
        <w:rPr>
          <w:color w:val="000000"/>
          <w:kern w:val="0"/>
          <w:sz w:val="24"/>
          <w:szCs w:val="24"/>
        </w:rPr>
        <w:t>t/a</w:t>
      </w:r>
      <w:r>
        <w:rPr>
          <w:rFonts w:hint="eastAsia"/>
          <w:color w:val="000000"/>
          <w:kern w:val="0"/>
          <w:sz w:val="24"/>
          <w:szCs w:val="24"/>
          <w:lang w:eastAsia="zh-CN"/>
        </w:rPr>
        <w:t>、</w:t>
      </w:r>
      <w:r>
        <w:rPr>
          <w:rFonts w:hint="eastAsia"/>
          <w:color w:val="000000"/>
          <w:kern w:val="0"/>
          <w:sz w:val="24"/>
          <w:szCs w:val="24"/>
        </w:rPr>
        <w:t>无组织产生量为0.1925</w:t>
      </w:r>
      <w:r>
        <w:rPr>
          <w:color w:val="000000"/>
          <w:kern w:val="0"/>
          <w:sz w:val="24"/>
          <w:szCs w:val="24"/>
        </w:rPr>
        <w:t>t/a</w:t>
      </w:r>
      <w:r>
        <w:rPr>
          <w:rFonts w:hint="eastAsia"/>
          <w:color w:val="000000"/>
          <w:kern w:val="0"/>
          <w:sz w:val="24"/>
          <w:szCs w:val="24"/>
          <w:lang w:eastAsia="zh-CN"/>
        </w:rPr>
        <w:t>；</w:t>
      </w:r>
      <w:r>
        <w:rPr>
          <w:rFonts w:hint="eastAsia"/>
          <w:color w:val="000000"/>
          <w:kern w:val="0"/>
          <w:sz w:val="24"/>
          <w:szCs w:val="24"/>
        </w:rPr>
        <w:t>滴灌带生产线非甲烷总烃生量为</w:t>
      </w:r>
      <w:r>
        <w:rPr>
          <w:rFonts w:hint="eastAsia"/>
          <w:color w:val="000000"/>
          <w:kern w:val="0"/>
          <w:sz w:val="24"/>
          <w:szCs w:val="24"/>
          <w:lang w:val="en-US" w:eastAsia="zh-CN"/>
        </w:rPr>
        <w:t>14.9925</w:t>
      </w:r>
      <w:r>
        <w:rPr>
          <w:color w:val="000000"/>
          <w:kern w:val="0"/>
          <w:sz w:val="24"/>
          <w:szCs w:val="24"/>
        </w:rPr>
        <w:t>t/a</w:t>
      </w:r>
      <w:r>
        <w:rPr>
          <w:rFonts w:hint="eastAsia"/>
          <w:color w:val="000000"/>
          <w:kern w:val="0"/>
          <w:sz w:val="24"/>
          <w:szCs w:val="24"/>
          <w:lang w:eastAsia="zh-CN"/>
        </w:rPr>
        <w:t>，其中有组织排放产生量为</w:t>
      </w:r>
      <w:r>
        <w:rPr>
          <w:rFonts w:hint="eastAsia"/>
          <w:color w:val="000000"/>
          <w:kern w:val="0"/>
          <w:sz w:val="24"/>
          <w:szCs w:val="24"/>
          <w:lang w:val="en-US" w:eastAsia="zh-CN"/>
        </w:rPr>
        <w:t>13.4932</w:t>
      </w:r>
      <w:r>
        <w:rPr>
          <w:color w:val="000000"/>
          <w:kern w:val="0"/>
          <w:sz w:val="24"/>
          <w:szCs w:val="24"/>
        </w:rPr>
        <w:t>t/a</w:t>
      </w:r>
      <w:r>
        <w:rPr>
          <w:rFonts w:hint="eastAsia"/>
          <w:color w:val="000000"/>
          <w:kern w:val="0"/>
          <w:sz w:val="24"/>
          <w:szCs w:val="24"/>
        </w:rPr>
        <w:t>、无组织产生量为</w:t>
      </w:r>
      <w:r>
        <w:rPr>
          <w:rFonts w:hint="eastAsia"/>
          <w:color w:val="000000"/>
          <w:kern w:val="0"/>
          <w:sz w:val="24"/>
          <w:szCs w:val="24"/>
          <w:lang w:val="en-US" w:eastAsia="zh-CN"/>
        </w:rPr>
        <w:t>1.4993</w:t>
      </w:r>
      <w:r>
        <w:rPr>
          <w:color w:val="000000"/>
          <w:kern w:val="0"/>
          <w:sz w:val="24"/>
          <w:szCs w:val="24"/>
        </w:rPr>
        <w:t>t/a</w:t>
      </w:r>
      <w:r>
        <w:rPr>
          <w:rFonts w:hint="eastAsia"/>
          <w:color w:val="000000"/>
          <w:kern w:val="0"/>
          <w:sz w:val="24"/>
          <w:szCs w:val="24"/>
          <w:lang w:eastAsia="zh-CN"/>
        </w:rPr>
        <w:t>；</w:t>
      </w:r>
      <w:r>
        <w:rPr>
          <w:rFonts w:hint="eastAsia"/>
          <w:color w:val="000000"/>
          <w:kern w:val="0"/>
          <w:sz w:val="24"/>
          <w:szCs w:val="24"/>
        </w:rPr>
        <w:t>非甲烷总烃有组织产生量合计为</w:t>
      </w:r>
      <w:r>
        <w:rPr>
          <w:rFonts w:hint="eastAsia"/>
          <w:color w:val="000000"/>
          <w:kern w:val="0"/>
          <w:sz w:val="24"/>
          <w:szCs w:val="24"/>
          <w:lang w:val="en-US" w:eastAsia="zh-CN"/>
        </w:rPr>
        <w:t>15.2257</w:t>
      </w:r>
      <w:r>
        <w:rPr>
          <w:color w:val="000000"/>
          <w:kern w:val="0"/>
          <w:sz w:val="24"/>
          <w:szCs w:val="24"/>
        </w:rPr>
        <w:t>t/a</w:t>
      </w:r>
      <w:r>
        <w:rPr>
          <w:rFonts w:hint="eastAsia"/>
          <w:color w:val="000000"/>
          <w:kern w:val="0"/>
          <w:sz w:val="24"/>
          <w:szCs w:val="24"/>
        </w:rPr>
        <w:t>和无组织非甲烷总烃产生量合计为</w:t>
      </w:r>
      <w:r>
        <w:rPr>
          <w:rFonts w:hint="eastAsia"/>
          <w:color w:val="000000"/>
          <w:kern w:val="0"/>
          <w:sz w:val="24"/>
          <w:szCs w:val="24"/>
          <w:lang w:val="en-US" w:eastAsia="zh-CN"/>
        </w:rPr>
        <w:t>1.6915</w:t>
      </w:r>
      <w:r>
        <w:rPr>
          <w:color w:val="000000"/>
          <w:kern w:val="0"/>
          <w:sz w:val="24"/>
          <w:szCs w:val="24"/>
        </w:rPr>
        <w:t>t/a</w:t>
      </w:r>
      <w:r>
        <w:rPr>
          <w:rFonts w:hint="eastAsia"/>
          <w:color w:val="000000"/>
          <w:kern w:val="0"/>
          <w:sz w:val="24"/>
          <w:szCs w:val="24"/>
        </w:rPr>
        <w:t>。</w:t>
      </w:r>
    </w:p>
    <w:p w14:paraId="24152609">
      <w:pPr>
        <w:widowControl/>
        <w:spacing w:line="360" w:lineRule="auto"/>
        <w:ind w:firstLine="480" w:firstLineChars="200"/>
        <w:rPr>
          <w:color w:val="000000"/>
          <w:kern w:val="0"/>
          <w:sz w:val="24"/>
          <w:szCs w:val="24"/>
        </w:rPr>
      </w:pPr>
      <w:r>
        <w:rPr>
          <w:rFonts w:hint="eastAsia"/>
          <w:color w:val="000000"/>
          <w:kern w:val="0"/>
          <w:sz w:val="24"/>
          <w:szCs w:val="24"/>
        </w:rPr>
        <w:t>项目熔融挤出工序废气非甲烷总烃产生的情况详见表3.4-1。</w:t>
      </w:r>
    </w:p>
    <w:p w14:paraId="5A60E862">
      <w:pPr>
        <w:widowControl/>
        <w:ind w:firstLine="422" w:firstLineChars="200"/>
        <w:jc w:val="center"/>
        <w:rPr>
          <w:b/>
          <w:bCs/>
          <w:color w:val="000000"/>
          <w:kern w:val="0"/>
          <w:szCs w:val="21"/>
        </w:rPr>
      </w:pPr>
      <w:r>
        <w:rPr>
          <w:rFonts w:hint="eastAsia"/>
          <w:b/>
          <w:bCs/>
          <w:color w:val="000000"/>
          <w:kern w:val="0"/>
          <w:szCs w:val="21"/>
        </w:rPr>
        <w:t>表3.4-1</w:t>
      </w:r>
      <w:r>
        <w:rPr>
          <w:b/>
          <w:bCs/>
          <w:color w:val="000000"/>
          <w:kern w:val="0"/>
          <w:szCs w:val="21"/>
        </w:rPr>
        <w:t xml:space="preserve">    </w:t>
      </w:r>
      <w:r>
        <w:rPr>
          <w:rFonts w:hint="eastAsia"/>
          <w:b/>
          <w:bCs/>
          <w:color w:val="000000"/>
          <w:kern w:val="0"/>
          <w:szCs w:val="21"/>
        </w:rPr>
        <w:t>项目热熔挤出废气排放情况一览表</w:t>
      </w:r>
    </w:p>
    <w:tbl>
      <w:tblPr>
        <w:tblStyle w:val="49"/>
        <w:tblW w:w="8991"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443"/>
        <w:gridCol w:w="773"/>
        <w:gridCol w:w="1255"/>
        <w:gridCol w:w="785"/>
        <w:gridCol w:w="899"/>
        <w:gridCol w:w="1814"/>
        <w:gridCol w:w="794"/>
        <w:gridCol w:w="804"/>
        <w:gridCol w:w="775"/>
        <w:gridCol w:w="649"/>
      </w:tblGrid>
      <w:tr w14:paraId="58A7477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8" w:hRule="atLeast"/>
        </w:trPr>
        <w:tc>
          <w:tcPr>
            <w:tcW w:w="446" w:type="dxa"/>
            <w:vAlign w:val="center"/>
          </w:tcPr>
          <w:p w14:paraId="52BFCB85">
            <w:pPr>
              <w:spacing w:line="320" w:lineRule="exact"/>
              <w:jc w:val="center"/>
              <w:rPr>
                <w:bCs/>
                <w:szCs w:val="21"/>
              </w:rPr>
            </w:pPr>
            <w:r>
              <w:rPr>
                <w:rFonts w:hint="eastAsia"/>
                <w:bCs/>
                <w:szCs w:val="21"/>
              </w:rPr>
              <w:t>序号</w:t>
            </w:r>
          </w:p>
        </w:tc>
        <w:tc>
          <w:tcPr>
            <w:tcW w:w="841" w:type="dxa"/>
            <w:vAlign w:val="center"/>
          </w:tcPr>
          <w:p w14:paraId="22EF97F1">
            <w:pPr>
              <w:spacing w:line="320" w:lineRule="exact"/>
              <w:jc w:val="center"/>
              <w:rPr>
                <w:bCs/>
                <w:szCs w:val="21"/>
              </w:rPr>
            </w:pPr>
            <w:r>
              <w:rPr>
                <w:rFonts w:hint="eastAsia"/>
                <w:bCs/>
                <w:szCs w:val="21"/>
              </w:rPr>
              <w:t>污染源</w:t>
            </w:r>
          </w:p>
        </w:tc>
        <w:tc>
          <w:tcPr>
            <w:tcW w:w="1219" w:type="dxa"/>
            <w:vAlign w:val="center"/>
          </w:tcPr>
          <w:p w14:paraId="5CA4BE3C">
            <w:pPr>
              <w:spacing w:line="320" w:lineRule="exact"/>
              <w:jc w:val="center"/>
              <w:rPr>
                <w:bCs/>
                <w:szCs w:val="21"/>
              </w:rPr>
            </w:pPr>
            <w:r>
              <w:rPr>
                <w:rFonts w:hint="eastAsia"/>
                <w:bCs/>
                <w:szCs w:val="21"/>
              </w:rPr>
              <w:t>排放形式</w:t>
            </w:r>
          </w:p>
        </w:tc>
        <w:tc>
          <w:tcPr>
            <w:tcW w:w="855" w:type="dxa"/>
            <w:vAlign w:val="center"/>
          </w:tcPr>
          <w:p w14:paraId="3722DACA">
            <w:pPr>
              <w:spacing w:line="320" w:lineRule="exact"/>
              <w:jc w:val="center"/>
              <w:rPr>
                <w:bCs/>
                <w:szCs w:val="21"/>
              </w:rPr>
            </w:pPr>
            <w:r>
              <w:rPr>
                <w:rFonts w:hint="eastAsia"/>
                <w:bCs/>
                <w:szCs w:val="21"/>
              </w:rPr>
              <w:t>污染物</w:t>
            </w:r>
          </w:p>
        </w:tc>
        <w:tc>
          <w:tcPr>
            <w:tcW w:w="711" w:type="dxa"/>
            <w:vAlign w:val="center"/>
          </w:tcPr>
          <w:p w14:paraId="4F304CCD">
            <w:pPr>
              <w:spacing w:line="320" w:lineRule="exact"/>
              <w:jc w:val="center"/>
              <w:rPr>
                <w:bCs/>
                <w:szCs w:val="21"/>
              </w:rPr>
            </w:pPr>
            <w:r>
              <w:rPr>
                <w:rFonts w:hint="eastAsia"/>
                <w:bCs/>
                <w:szCs w:val="21"/>
              </w:rPr>
              <w:t>产生量t/a</w:t>
            </w:r>
          </w:p>
        </w:tc>
        <w:tc>
          <w:tcPr>
            <w:tcW w:w="1923" w:type="dxa"/>
            <w:vAlign w:val="center"/>
          </w:tcPr>
          <w:p w14:paraId="0AFF3103">
            <w:pPr>
              <w:spacing w:line="320" w:lineRule="exact"/>
              <w:jc w:val="center"/>
              <w:rPr>
                <w:bCs/>
                <w:szCs w:val="21"/>
              </w:rPr>
            </w:pPr>
            <w:r>
              <w:rPr>
                <w:rFonts w:hint="eastAsia"/>
                <w:bCs/>
                <w:szCs w:val="21"/>
              </w:rPr>
              <w:t>治理措施</w:t>
            </w:r>
          </w:p>
        </w:tc>
        <w:tc>
          <w:tcPr>
            <w:tcW w:w="724" w:type="dxa"/>
            <w:vAlign w:val="center"/>
          </w:tcPr>
          <w:p w14:paraId="7B080013">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bCs/>
                <w:szCs w:val="21"/>
              </w:rPr>
            </w:pPr>
            <w:r>
              <w:rPr>
                <w:rFonts w:hint="eastAsia"/>
                <w:bCs/>
                <w:szCs w:val="21"/>
              </w:rPr>
              <w:t>排放量t/a</w:t>
            </w:r>
          </w:p>
        </w:tc>
        <w:tc>
          <w:tcPr>
            <w:tcW w:w="826" w:type="dxa"/>
            <w:vAlign w:val="center"/>
          </w:tcPr>
          <w:p w14:paraId="7CF7DDBF">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bCs/>
                <w:szCs w:val="21"/>
              </w:rPr>
            </w:pPr>
            <w:r>
              <w:rPr>
                <w:rFonts w:hint="eastAsia"/>
                <w:bCs/>
                <w:szCs w:val="21"/>
              </w:rPr>
              <w:t>排放速率kg/h</w:t>
            </w:r>
          </w:p>
        </w:tc>
        <w:tc>
          <w:tcPr>
            <w:tcW w:w="754" w:type="dxa"/>
            <w:vAlign w:val="center"/>
          </w:tcPr>
          <w:p w14:paraId="4C02EA89">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bCs/>
                <w:szCs w:val="21"/>
              </w:rPr>
            </w:pPr>
            <w:r>
              <w:rPr>
                <w:rFonts w:hint="eastAsia"/>
                <w:bCs/>
                <w:szCs w:val="21"/>
              </w:rPr>
              <w:t>排放浓度mg/m</w:t>
            </w:r>
            <w:r>
              <w:rPr>
                <w:rFonts w:hint="eastAsia"/>
                <w:bCs/>
                <w:szCs w:val="21"/>
                <w:vertAlign w:val="superscript"/>
              </w:rPr>
              <w:t>3</w:t>
            </w:r>
          </w:p>
        </w:tc>
        <w:tc>
          <w:tcPr>
            <w:tcW w:w="692" w:type="dxa"/>
            <w:vAlign w:val="center"/>
          </w:tcPr>
          <w:p w14:paraId="26EC773E">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bCs/>
                <w:szCs w:val="21"/>
              </w:rPr>
            </w:pPr>
            <w:r>
              <w:rPr>
                <w:rFonts w:hint="eastAsia"/>
                <w:bCs/>
                <w:szCs w:val="21"/>
              </w:rPr>
              <w:t>排气筒m</w:t>
            </w:r>
          </w:p>
        </w:tc>
      </w:tr>
      <w:tr w14:paraId="2AEE646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46" w:type="dxa"/>
            <w:vMerge w:val="restart"/>
            <w:vAlign w:val="center"/>
          </w:tcPr>
          <w:p w14:paraId="246D4DB7">
            <w:pPr>
              <w:spacing w:line="320" w:lineRule="exact"/>
              <w:jc w:val="center"/>
              <w:rPr>
                <w:bCs/>
                <w:szCs w:val="21"/>
              </w:rPr>
            </w:pPr>
            <w:r>
              <w:rPr>
                <w:rFonts w:hint="eastAsia"/>
                <w:bCs/>
                <w:szCs w:val="21"/>
              </w:rPr>
              <w:t>1</w:t>
            </w:r>
          </w:p>
        </w:tc>
        <w:tc>
          <w:tcPr>
            <w:tcW w:w="841" w:type="dxa"/>
            <w:vMerge w:val="restart"/>
            <w:vAlign w:val="center"/>
          </w:tcPr>
          <w:p w14:paraId="104B22C6">
            <w:pPr>
              <w:spacing w:line="320" w:lineRule="exact"/>
              <w:jc w:val="center"/>
              <w:rPr>
                <w:bCs/>
                <w:szCs w:val="21"/>
              </w:rPr>
            </w:pPr>
            <w:r>
              <w:rPr>
                <w:rFonts w:hint="eastAsia"/>
                <w:bCs/>
                <w:szCs w:val="21"/>
              </w:rPr>
              <w:t>生产车间挤塑环节</w:t>
            </w:r>
          </w:p>
        </w:tc>
        <w:tc>
          <w:tcPr>
            <w:tcW w:w="1219" w:type="dxa"/>
            <w:vAlign w:val="center"/>
          </w:tcPr>
          <w:p w14:paraId="2D81CFBC">
            <w:pPr>
              <w:pStyle w:val="48"/>
              <w:ind w:left="0" w:leftChars="0" w:firstLine="0"/>
              <w:rPr>
                <w:lang w:val="en-US"/>
              </w:rPr>
            </w:pPr>
            <w:r>
              <w:rPr>
                <w:rFonts w:hint="eastAsia"/>
                <w:lang w:val="en-US"/>
              </w:rPr>
              <w:t>（DA001）</w:t>
            </w:r>
          </w:p>
          <w:p w14:paraId="680B35E9">
            <w:pPr>
              <w:spacing w:line="320" w:lineRule="exact"/>
              <w:jc w:val="center"/>
              <w:rPr>
                <w:bCs/>
                <w:szCs w:val="21"/>
              </w:rPr>
            </w:pPr>
            <w:r>
              <w:rPr>
                <w:rFonts w:hint="eastAsia"/>
                <w:bCs/>
                <w:szCs w:val="21"/>
              </w:rPr>
              <w:t>有组织</w:t>
            </w:r>
          </w:p>
          <w:p w14:paraId="11202AF3">
            <w:pPr>
              <w:spacing w:line="320" w:lineRule="exact"/>
              <w:jc w:val="center"/>
              <w:rPr>
                <w:bCs/>
                <w:szCs w:val="21"/>
              </w:rPr>
            </w:pPr>
            <w:r>
              <w:rPr>
                <w:rFonts w:hint="eastAsia"/>
                <w:bCs/>
                <w:szCs w:val="21"/>
              </w:rPr>
              <w:t>系统风量：</w:t>
            </w:r>
            <w:r>
              <w:rPr>
                <w:rFonts w:hint="eastAsia"/>
                <w:bCs/>
                <w:szCs w:val="21"/>
                <w:vertAlign w:val="baseline"/>
                <w:lang w:val="en-US" w:eastAsia="zh-CN"/>
              </w:rPr>
              <w:t>2</w:t>
            </w:r>
            <w:r>
              <w:rPr>
                <w:rFonts w:hint="eastAsia"/>
                <w:bCs/>
                <w:szCs w:val="21"/>
                <w:vertAlign w:val="baseline"/>
              </w:rPr>
              <w:t>0000m</w:t>
            </w:r>
            <w:r>
              <w:rPr>
                <w:rFonts w:hint="eastAsia"/>
                <w:bCs/>
                <w:szCs w:val="21"/>
                <w:vertAlign w:val="superscript"/>
              </w:rPr>
              <w:t>3</w:t>
            </w:r>
            <w:r>
              <w:rPr>
                <w:rFonts w:hint="eastAsia"/>
                <w:bCs/>
                <w:szCs w:val="21"/>
                <w:vertAlign w:val="baseline"/>
              </w:rPr>
              <w:t>/h</w:t>
            </w:r>
          </w:p>
        </w:tc>
        <w:tc>
          <w:tcPr>
            <w:tcW w:w="855" w:type="dxa"/>
            <w:vAlign w:val="center"/>
          </w:tcPr>
          <w:p w14:paraId="1A1C770F">
            <w:pPr>
              <w:spacing w:line="320" w:lineRule="exact"/>
              <w:jc w:val="center"/>
              <w:rPr>
                <w:bCs/>
                <w:szCs w:val="21"/>
              </w:rPr>
            </w:pPr>
            <w:r>
              <w:rPr>
                <w:rFonts w:hint="eastAsia"/>
                <w:bCs/>
                <w:szCs w:val="21"/>
              </w:rPr>
              <w:t>非甲烷总烃</w:t>
            </w:r>
          </w:p>
        </w:tc>
        <w:tc>
          <w:tcPr>
            <w:tcW w:w="711" w:type="dxa"/>
            <w:vAlign w:val="center"/>
          </w:tcPr>
          <w:p w14:paraId="51103890">
            <w:pPr>
              <w:spacing w:line="320" w:lineRule="exact"/>
              <w:jc w:val="center"/>
              <w:rPr>
                <w:rFonts w:hint="default" w:eastAsia="宋体"/>
                <w:bCs/>
                <w:szCs w:val="21"/>
                <w:lang w:val="en-US" w:eastAsia="zh-CN"/>
              </w:rPr>
            </w:pPr>
            <w:r>
              <w:rPr>
                <w:rFonts w:hint="eastAsia"/>
                <w:bCs/>
                <w:szCs w:val="21"/>
                <w:lang w:val="en-US" w:eastAsia="zh-CN"/>
              </w:rPr>
              <w:t>15.2257</w:t>
            </w:r>
          </w:p>
        </w:tc>
        <w:tc>
          <w:tcPr>
            <w:tcW w:w="1923" w:type="dxa"/>
            <w:vAlign w:val="center"/>
          </w:tcPr>
          <w:p w14:paraId="7656DC67">
            <w:pPr>
              <w:spacing w:line="320" w:lineRule="exact"/>
              <w:jc w:val="center"/>
              <w:rPr>
                <w:bCs/>
                <w:szCs w:val="21"/>
              </w:rPr>
            </w:pPr>
            <w:r>
              <w:rPr>
                <w:rFonts w:hint="eastAsia"/>
                <w:lang w:bidi="ar"/>
              </w:rPr>
              <w:t>活性炭吸附</w:t>
            </w:r>
            <w:r>
              <w:rPr>
                <w:rFonts w:hint="eastAsia"/>
                <w:lang w:eastAsia="zh-CN" w:bidi="ar"/>
              </w:rPr>
              <w:t>活性炭浓缩吸附+催化燃烧</w:t>
            </w:r>
            <w:r>
              <w:rPr>
                <w:lang w:bidi="ar"/>
              </w:rPr>
              <w:t>系统</w:t>
            </w:r>
            <w:r>
              <w:rPr>
                <w:rFonts w:hint="eastAsia"/>
                <w:bCs/>
                <w:szCs w:val="21"/>
              </w:rPr>
              <w:t>（处理效率85%）+15m高排气筒（DA001）排放</w:t>
            </w:r>
          </w:p>
        </w:tc>
        <w:tc>
          <w:tcPr>
            <w:tcW w:w="724" w:type="dxa"/>
            <w:vAlign w:val="center"/>
          </w:tcPr>
          <w:p w14:paraId="7D52516D">
            <w:pPr>
              <w:spacing w:line="320" w:lineRule="exact"/>
              <w:jc w:val="center"/>
              <w:rPr>
                <w:rFonts w:hint="default" w:eastAsia="宋体"/>
                <w:bCs/>
                <w:szCs w:val="21"/>
                <w:lang w:val="en-US" w:eastAsia="zh-CN"/>
              </w:rPr>
            </w:pPr>
            <w:r>
              <w:rPr>
                <w:rFonts w:hint="eastAsia"/>
                <w:bCs/>
                <w:szCs w:val="21"/>
                <w:lang w:val="en-US" w:eastAsia="zh-CN"/>
              </w:rPr>
              <w:t>2.284</w:t>
            </w:r>
          </w:p>
        </w:tc>
        <w:tc>
          <w:tcPr>
            <w:tcW w:w="826" w:type="dxa"/>
            <w:vAlign w:val="center"/>
          </w:tcPr>
          <w:p w14:paraId="5A0AC618">
            <w:pPr>
              <w:spacing w:line="320" w:lineRule="exact"/>
              <w:jc w:val="center"/>
              <w:rPr>
                <w:rFonts w:hint="default" w:eastAsia="宋体"/>
                <w:bCs/>
                <w:szCs w:val="21"/>
                <w:lang w:val="en-US" w:eastAsia="zh-CN"/>
              </w:rPr>
            </w:pPr>
            <w:r>
              <w:rPr>
                <w:rFonts w:hint="eastAsia"/>
                <w:bCs/>
                <w:szCs w:val="21"/>
                <w:lang w:val="en-US" w:eastAsia="zh-CN"/>
              </w:rPr>
              <w:t>0.396</w:t>
            </w:r>
          </w:p>
        </w:tc>
        <w:tc>
          <w:tcPr>
            <w:tcW w:w="754" w:type="dxa"/>
            <w:vAlign w:val="center"/>
          </w:tcPr>
          <w:p w14:paraId="6A5E7E87">
            <w:pPr>
              <w:spacing w:line="320" w:lineRule="exact"/>
              <w:jc w:val="center"/>
              <w:rPr>
                <w:rFonts w:hint="default" w:eastAsia="宋体"/>
                <w:bCs/>
                <w:szCs w:val="21"/>
                <w:lang w:val="en-US" w:eastAsia="zh-CN"/>
              </w:rPr>
            </w:pPr>
            <w:r>
              <w:rPr>
                <w:rFonts w:hint="eastAsia"/>
                <w:bCs/>
                <w:szCs w:val="21"/>
                <w:lang w:val="en-US" w:eastAsia="zh-CN"/>
              </w:rPr>
              <w:t>19.8</w:t>
            </w:r>
          </w:p>
        </w:tc>
        <w:tc>
          <w:tcPr>
            <w:tcW w:w="692" w:type="dxa"/>
            <w:vAlign w:val="center"/>
          </w:tcPr>
          <w:p w14:paraId="4628EBE4">
            <w:pPr>
              <w:spacing w:line="320" w:lineRule="exact"/>
              <w:jc w:val="center"/>
              <w:rPr>
                <w:bCs/>
                <w:szCs w:val="21"/>
              </w:rPr>
            </w:pPr>
            <w:r>
              <w:rPr>
                <w:rFonts w:hint="eastAsia"/>
                <w:bCs/>
                <w:szCs w:val="21"/>
              </w:rPr>
              <w:t>15</w:t>
            </w:r>
          </w:p>
        </w:tc>
      </w:tr>
      <w:tr w14:paraId="0EA7E93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8" w:hRule="atLeast"/>
        </w:trPr>
        <w:tc>
          <w:tcPr>
            <w:tcW w:w="446" w:type="dxa"/>
            <w:vMerge w:val="continue"/>
            <w:vAlign w:val="center"/>
          </w:tcPr>
          <w:p w14:paraId="168F2781">
            <w:pPr>
              <w:spacing w:line="320" w:lineRule="exact"/>
              <w:jc w:val="center"/>
              <w:rPr>
                <w:bCs/>
                <w:szCs w:val="21"/>
              </w:rPr>
            </w:pPr>
          </w:p>
        </w:tc>
        <w:tc>
          <w:tcPr>
            <w:tcW w:w="841" w:type="dxa"/>
            <w:vMerge w:val="continue"/>
            <w:vAlign w:val="center"/>
          </w:tcPr>
          <w:p w14:paraId="0CEB300C">
            <w:pPr>
              <w:spacing w:line="320" w:lineRule="exact"/>
              <w:jc w:val="center"/>
              <w:rPr>
                <w:bCs/>
                <w:szCs w:val="21"/>
              </w:rPr>
            </w:pPr>
          </w:p>
        </w:tc>
        <w:tc>
          <w:tcPr>
            <w:tcW w:w="1219" w:type="dxa"/>
            <w:vAlign w:val="center"/>
          </w:tcPr>
          <w:p w14:paraId="359EE7F8">
            <w:pPr>
              <w:spacing w:line="320" w:lineRule="exact"/>
              <w:jc w:val="center"/>
              <w:rPr>
                <w:bCs/>
                <w:szCs w:val="21"/>
              </w:rPr>
            </w:pPr>
            <w:r>
              <w:rPr>
                <w:rFonts w:hint="eastAsia"/>
                <w:bCs/>
                <w:szCs w:val="21"/>
              </w:rPr>
              <w:t>无组织</w:t>
            </w:r>
          </w:p>
        </w:tc>
        <w:tc>
          <w:tcPr>
            <w:tcW w:w="855" w:type="dxa"/>
            <w:vAlign w:val="center"/>
          </w:tcPr>
          <w:p w14:paraId="2C35E3FF">
            <w:pPr>
              <w:spacing w:line="320" w:lineRule="exact"/>
              <w:jc w:val="center"/>
              <w:rPr>
                <w:bCs/>
                <w:szCs w:val="21"/>
              </w:rPr>
            </w:pPr>
            <w:r>
              <w:rPr>
                <w:rFonts w:hint="eastAsia"/>
                <w:bCs/>
                <w:szCs w:val="21"/>
              </w:rPr>
              <w:t>非甲烷总烃</w:t>
            </w:r>
          </w:p>
        </w:tc>
        <w:tc>
          <w:tcPr>
            <w:tcW w:w="711" w:type="dxa"/>
            <w:vAlign w:val="center"/>
          </w:tcPr>
          <w:p w14:paraId="2A786B61">
            <w:pPr>
              <w:spacing w:line="320" w:lineRule="exact"/>
              <w:jc w:val="center"/>
              <w:rPr>
                <w:rFonts w:hint="default" w:eastAsia="宋体"/>
                <w:bCs/>
                <w:szCs w:val="21"/>
                <w:lang w:val="en-US" w:eastAsia="zh-CN"/>
              </w:rPr>
            </w:pPr>
            <w:r>
              <w:rPr>
                <w:rFonts w:hint="eastAsia"/>
                <w:bCs/>
                <w:szCs w:val="21"/>
                <w:lang w:val="en-US" w:eastAsia="zh-CN"/>
              </w:rPr>
              <w:t>1.6915</w:t>
            </w:r>
          </w:p>
        </w:tc>
        <w:tc>
          <w:tcPr>
            <w:tcW w:w="1923" w:type="dxa"/>
            <w:vAlign w:val="center"/>
          </w:tcPr>
          <w:p w14:paraId="68BC357D">
            <w:pPr>
              <w:spacing w:line="320" w:lineRule="exact"/>
              <w:jc w:val="center"/>
              <w:rPr>
                <w:bCs/>
                <w:szCs w:val="21"/>
              </w:rPr>
            </w:pPr>
            <w:r>
              <w:rPr>
                <w:rFonts w:hint="eastAsia"/>
                <w:bCs/>
                <w:szCs w:val="21"/>
              </w:rPr>
              <w:t>设置排风扇，加强车间通风</w:t>
            </w:r>
          </w:p>
        </w:tc>
        <w:tc>
          <w:tcPr>
            <w:tcW w:w="724" w:type="dxa"/>
            <w:vAlign w:val="center"/>
          </w:tcPr>
          <w:p w14:paraId="175CE0AB">
            <w:pPr>
              <w:spacing w:line="320" w:lineRule="exact"/>
              <w:jc w:val="center"/>
              <w:rPr>
                <w:rFonts w:hint="default" w:eastAsia="宋体"/>
                <w:bCs/>
                <w:szCs w:val="21"/>
                <w:lang w:val="en-US" w:eastAsia="zh-CN"/>
              </w:rPr>
            </w:pPr>
            <w:r>
              <w:rPr>
                <w:rFonts w:hint="eastAsia"/>
                <w:bCs/>
                <w:szCs w:val="21"/>
                <w:lang w:val="en-US" w:eastAsia="zh-CN"/>
              </w:rPr>
              <w:t>1.6915</w:t>
            </w:r>
          </w:p>
        </w:tc>
        <w:tc>
          <w:tcPr>
            <w:tcW w:w="826" w:type="dxa"/>
            <w:vAlign w:val="center"/>
          </w:tcPr>
          <w:p w14:paraId="6123B4F2">
            <w:pPr>
              <w:spacing w:line="320" w:lineRule="exact"/>
              <w:jc w:val="center"/>
              <w:rPr>
                <w:rFonts w:hint="default" w:eastAsia="宋体"/>
                <w:bCs/>
                <w:szCs w:val="21"/>
                <w:lang w:val="en-US" w:eastAsia="zh-CN"/>
              </w:rPr>
            </w:pPr>
            <w:r>
              <w:rPr>
                <w:rFonts w:hint="eastAsia"/>
                <w:bCs/>
                <w:szCs w:val="21"/>
                <w:lang w:val="en-US" w:eastAsia="zh-CN"/>
              </w:rPr>
              <w:t>0.294</w:t>
            </w:r>
          </w:p>
        </w:tc>
        <w:tc>
          <w:tcPr>
            <w:tcW w:w="754" w:type="dxa"/>
            <w:vAlign w:val="center"/>
          </w:tcPr>
          <w:p w14:paraId="31E183ED">
            <w:pPr>
              <w:spacing w:line="320" w:lineRule="exact"/>
              <w:jc w:val="center"/>
              <w:rPr>
                <w:bCs/>
                <w:szCs w:val="21"/>
              </w:rPr>
            </w:pPr>
            <w:r>
              <w:rPr>
                <w:rFonts w:hint="eastAsia"/>
                <w:bCs/>
                <w:szCs w:val="21"/>
              </w:rPr>
              <w:t>/</w:t>
            </w:r>
          </w:p>
        </w:tc>
        <w:tc>
          <w:tcPr>
            <w:tcW w:w="692" w:type="dxa"/>
            <w:vAlign w:val="center"/>
          </w:tcPr>
          <w:p w14:paraId="338EF709">
            <w:pPr>
              <w:spacing w:line="320" w:lineRule="exact"/>
              <w:jc w:val="center"/>
              <w:rPr>
                <w:bCs/>
                <w:szCs w:val="21"/>
              </w:rPr>
            </w:pPr>
            <w:r>
              <w:rPr>
                <w:rFonts w:hint="eastAsia"/>
                <w:bCs/>
                <w:szCs w:val="21"/>
              </w:rPr>
              <w:t>/</w:t>
            </w:r>
          </w:p>
        </w:tc>
      </w:tr>
    </w:tbl>
    <w:p w14:paraId="5AABA240">
      <w:pPr>
        <w:widowControl/>
        <w:spacing w:line="360" w:lineRule="auto"/>
        <w:ind w:left="420" w:leftChars="200"/>
        <w:jc w:val="left"/>
        <w:rPr>
          <w:color w:val="000000"/>
          <w:kern w:val="0"/>
          <w:sz w:val="24"/>
          <w:szCs w:val="24"/>
        </w:rPr>
      </w:pPr>
      <w:r>
        <w:rPr>
          <w:rFonts w:hint="eastAsia"/>
          <w:color w:val="000000"/>
          <w:kern w:val="0"/>
          <w:sz w:val="24"/>
          <w:szCs w:val="24"/>
        </w:rPr>
        <w:t>（2）臭气</w:t>
      </w:r>
      <w:r>
        <w:rPr>
          <w:rFonts w:hint="default" w:ascii="Times New Roman" w:hAnsi="Times New Roman" w:eastAsia="宋体" w:cs="Times New Roman"/>
          <w:color w:val="auto"/>
          <w:kern w:val="0"/>
          <w:sz w:val="24"/>
          <w:szCs w:val="24"/>
          <w:lang w:val="en-US" w:eastAsia="zh-CN" w:bidi="ar"/>
        </w:rPr>
        <w:t>（异味）</w:t>
      </w:r>
    </w:p>
    <w:p w14:paraId="057C49F8">
      <w:pPr>
        <w:widowControl/>
        <w:spacing w:line="360" w:lineRule="auto"/>
        <w:ind w:firstLine="480" w:firstLineChars="200"/>
        <w:rPr>
          <w:color w:val="000000"/>
          <w:kern w:val="0"/>
          <w:sz w:val="24"/>
          <w:szCs w:val="24"/>
        </w:rPr>
      </w:pPr>
      <w:r>
        <w:rPr>
          <w:rFonts w:hint="eastAsia"/>
          <w:color w:val="000000"/>
          <w:kern w:val="0"/>
          <w:sz w:val="24"/>
          <w:szCs w:val="24"/>
        </w:rPr>
        <w:t>臭气属感觉公害，它可直接作用于人们的嗅觉并危害人们的身体健康，已作为典型七公害（空气污染、水质污染、土壤污染、噪声、振动、地面下沉、恶臭）之一，被确定为限制对象。恶臭污染对人的影响包括：使人感到不快、恶心、头疼、</w:t>
      </w:r>
      <w:r>
        <w:rPr>
          <w:rFonts w:hint="eastAsia"/>
          <w:color w:val="000000"/>
          <w:kern w:val="0"/>
          <w:sz w:val="24"/>
          <w:szCs w:val="24"/>
          <w:lang w:eastAsia="zh-CN"/>
        </w:rPr>
        <w:t>食欲缺乏</w:t>
      </w:r>
      <w:r>
        <w:rPr>
          <w:rFonts w:hint="eastAsia"/>
          <w:color w:val="000000"/>
          <w:kern w:val="0"/>
          <w:sz w:val="24"/>
          <w:szCs w:val="24"/>
        </w:rPr>
        <w:t>、营养不良、妨碍睡眠、嗅觉失调、情绪不振等。</w:t>
      </w:r>
    </w:p>
    <w:p w14:paraId="6A143543">
      <w:pPr>
        <w:widowControl/>
        <w:spacing w:line="480" w:lineRule="exact"/>
        <w:ind w:firstLine="480" w:firstLineChars="200"/>
        <w:rPr>
          <w:rFonts w:hint="eastAsia"/>
          <w:color w:val="000000"/>
          <w:kern w:val="0"/>
          <w:sz w:val="24"/>
          <w:szCs w:val="24"/>
        </w:rPr>
      </w:pPr>
      <w:r>
        <w:rPr>
          <w:rFonts w:hint="eastAsia"/>
          <w:color w:val="000000"/>
          <w:kern w:val="0"/>
          <w:sz w:val="24"/>
          <w:szCs w:val="24"/>
        </w:rPr>
        <w:t>本项目运营期产生的有机废气是项目臭气的主要来源，本项目塑料在熔融挤出工序产生的挥发性有机废气中含有少量引起嗅觉不愉快的恶臭，由于导致恶臭产生成分复杂，难以进行污染物辨别和定量分析，因此本项目恶臭按臭气浓度计并进行定性分析。</w:t>
      </w:r>
    </w:p>
    <w:p w14:paraId="6AE44892">
      <w:pPr>
        <w:widowControl/>
        <w:spacing w:line="480" w:lineRule="exact"/>
        <w:rPr>
          <w:color w:val="000000"/>
          <w:kern w:val="0"/>
          <w:sz w:val="24"/>
          <w:szCs w:val="24"/>
        </w:rPr>
      </w:pPr>
      <w:r>
        <w:rPr>
          <w:rFonts w:hint="eastAsia"/>
          <w:color w:val="000000"/>
          <w:kern w:val="0"/>
          <w:sz w:val="24"/>
          <w:szCs w:val="24"/>
        </w:rPr>
        <w:t>项目产生的恶臭（臭气浓度）无组织废气采取安装换气扇，加强车间通风等措施，厂界臭气浓度可满足《恶臭污染物排放标准》（GB14554-93）表1中浓度限值要求。</w:t>
      </w:r>
    </w:p>
    <w:p w14:paraId="52C0F802">
      <w:pPr>
        <w:widowControl/>
        <w:spacing w:line="480" w:lineRule="exact"/>
        <w:ind w:firstLine="480" w:firstLineChars="200"/>
        <w:rPr>
          <w:color w:val="000000"/>
          <w:kern w:val="0"/>
          <w:sz w:val="24"/>
          <w:szCs w:val="24"/>
        </w:rPr>
      </w:pPr>
      <w:r>
        <w:rPr>
          <w:rFonts w:hint="eastAsia"/>
          <w:color w:val="000000"/>
          <w:kern w:val="0"/>
          <w:sz w:val="24"/>
          <w:szCs w:val="24"/>
        </w:rPr>
        <w:t>（3）运输废气</w:t>
      </w:r>
    </w:p>
    <w:p w14:paraId="4FF73F04">
      <w:pPr>
        <w:widowControl/>
        <w:spacing w:line="480" w:lineRule="exact"/>
        <w:ind w:firstLine="480" w:firstLineChars="200"/>
        <w:rPr>
          <w:color w:val="000000"/>
          <w:kern w:val="0"/>
          <w:sz w:val="24"/>
          <w:szCs w:val="24"/>
        </w:rPr>
      </w:pPr>
      <w:r>
        <w:rPr>
          <w:rFonts w:hint="eastAsia"/>
          <w:color w:val="000000"/>
          <w:kern w:val="0"/>
          <w:sz w:val="24"/>
          <w:szCs w:val="24"/>
        </w:rPr>
        <w:t>项目运营期厂内移动源（例如叉车等）在运输原辅料及产品过程中会产生少量燃油尾气，主要污染物为</w:t>
      </w:r>
      <w:r>
        <w:rPr>
          <w:color w:val="000000"/>
          <w:kern w:val="0"/>
          <w:sz w:val="24"/>
          <w:szCs w:val="24"/>
        </w:rPr>
        <w:t>CO</w:t>
      </w:r>
      <w:r>
        <w:rPr>
          <w:rFonts w:hint="eastAsia"/>
          <w:color w:val="000000"/>
          <w:kern w:val="0"/>
          <w:sz w:val="24"/>
          <w:szCs w:val="24"/>
        </w:rPr>
        <w:t>、</w:t>
      </w:r>
      <w:r>
        <w:rPr>
          <w:color w:val="000000"/>
          <w:kern w:val="0"/>
          <w:sz w:val="24"/>
          <w:szCs w:val="24"/>
        </w:rPr>
        <w:t>NOx</w:t>
      </w:r>
      <w:r>
        <w:rPr>
          <w:rFonts w:hint="eastAsia"/>
          <w:color w:val="000000"/>
          <w:kern w:val="0"/>
          <w:sz w:val="24"/>
          <w:szCs w:val="24"/>
        </w:rPr>
        <w:t>、</w:t>
      </w:r>
      <w:r>
        <w:rPr>
          <w:color w:val="000000"/>
          <w:kern w:val="0"/>
          <w:sz w:val="24"/>
          <w:szCs w:val="24"/>
        </w:rPr>
        <w:t>THC</w:t>
      </w:r>
      <w:r>
        <w:rPr>
          <w:rFonts w:hint="eastAsia"/>
          <w:color w:val="000000"/>
          <w:kern w:val="0"/>
          <w:sz w:val="24"/>
          <w:szCs w:val="24"/>
        </w:rPr>
        <w:t>等。参考《非道路移动污染源排放清单编制技术指南（试行）》第四章计算方法中简易计算方法，非道路移动机械平均排放因子为：CO10.722g/kgfuel、THC3.385g/kgfuel、NOx32.792g/kgfuel，本项目场内移动源燃油消耗量约1.25t/a，污染物排放量为CO0.0135t/a、THC0.004t/a、NOx0.041t/a。项目周围地势平坦、开阔，产生的少量移动源燃油尾气随大气消散，且运营期场内已有绿化树木，对燃油尾气有一定的净化作用。</w:t>
      </w:r>
    </w:p>
    <w:p w14:paraId="70FEC41F">
      <w:pPr>
        <w:pStyle w:val="5"/>
        <w:rPr>
          <w:rFonts w:ascii="Times New Roman" w:hAnsi="Times New Roman"/>
          <w:color w:val="000000"/>
          <w:lang w:val="en-US"/>
        </w:rPr>
      </w:pPr>
      <w:r>
        <w:rPr>
          <w:rFonts w:hint="eastAsia" w:ascii="Times New Roman" w:hAnsi="Times New Roman"/>
          <w:color w:val="000000"/>
          <w:lang w:val="en-US"/>
        </w:rPr>
        <w:t>3.4.2.2废水污染源分析</w:t>
      </w:r>
    </w:p>
    <w:p w14:paraId="78B6DD35">
      <w:pPr>
        <w:widowControl/>
        <w:spacing w:line="360" w:lineRule="auto"/>
        <w:ind w:firstLine="480" w:firstLineChars="200"/>
        <w:rPr>
          <w:rFonts w:hint="eastAsia" w:ascii="宋体" w:hAnsi="宋体"/>
          <w:color w:val="000000"/>
          <w:kern w:val="0"/>
          <w:sz w:val="24"/>
          <w:szCs w:val="24"/>
        </w:rPr>
      </w:pPr>
      <w:r>
        <w:rPr>
          <w:rFonts w:hint="eastAsia" w:ascii="宋体" w:hAnsi="宋体"/>
          <w:color w:val="000000"/>
          <w:kern w:val="0"/>
          <w:sz w:val="24"/>
          <w:szCs w:val="24"/>
        </w:rPr>
        <w:t>本</w:t>
      </w:r>
      <w:r>
        <w:rPr>
          <w:rFonts w:hint="eastAsia"/>
          <w:color w:val="000000"/>
          <w:kern w:val="0"/>
          <w:sz w:val="24"/>
          <w:szCs w:val="24"/>
        </w:rPr>
        <w:t>项目运营期排水主要为生活污水。</w:t>
      </w:r>
    </w:p>
    <w:p w14:paraId="387EB4C9">
      <w:pPr>
        <w:widowControl/>
        <w:spacing w:line="360" w:lineRule="auto"/>
        <w:ind w:firstLine="480" w:firstLineChars="200"/>
        <w:rPr>
          <w:rFonts w:hint="eastAsia"/>
          <w:color w:val="000000"/>
          <w:kern w:val="0"/>
          <w:sz w:val="24"/>
          <w:szCs w:val="24"/>
          <w:lang w:eastAsia="zh-CN"/>
        </w:rPr>
      </w:pPr>
      <w:r>
        <w:rPr>
          <w:rFonts w:hint="eastAsia"/>
          <w:color w:val="000000"/>
          <w:kern w:val="0"/>
          <w:sz w:val="24"/>
          <w:szCs w:val="24"/>
        </w:rPr>
        <w:t>生活污水产生量</w:t>
      </w:r>
      <w:r>
        <w:rPr>
          <w:rFonts w:hint="eastAsia"/>
          <w:color w:val="000000"/>
          <w:kern w:val="0"/>
          <w:sz w:val="24"/>
          <w:szCs w:val="24"/>
          <w:lang w:val="en-US" w:eastAsia="zh-CN"/>
        </w:rPr>
        <w:t>0.384</w:t>
      </w:r>
      <w:r>
        <w:rPr>
          <w:rFonts w:hint="eastAsia"/>
          <w:color w:val="000000"/>
          <w:kern w:val="0"/>
          <w:sz w:val="24"/>
          <w:szCs w:val="24"/>
        </w:rPr>
        <w:t>m</w:t>
      </w:r>
      <w:r>
        <w:rPr>
          <w:rFonts w:hint="eastAsia"/>
          <w:color w:val="000000"/>
          <w:kern w:val="0"/>
          <w:sz w:val="24"/>
          <w:szCs w:val="24"/>
          <w:vertAlign w:val="superscript"/>
        </w:rPr>
        <w:t>3</w:t>
      </w:r>
      <w:r>
        <w:rPr>
          <w:rFonts w:hint="eastAsia"/>
          <w:color w:val="000000"/>
          <w:kern w:val="0"/>
          <w:sz w:val="24"/>
          <w:szCs w:val="24"/>
        </w:rPr>
        <w:t>/d（</w:t>
      </w:r>
      <w:r>
        <w:rPr>
          <w:rFonts w:hint="eastAsia"/>
          <w:color w:val="000000"/>
          <w:kern w:val="0"/>
          <w:sz w:val="24"/>
          <w:szCs w:val="24"/>
          <w:lang w:val="en-US" w:eastAsia="zh-CN"/>
        </w:rPr>
        <w:t>92.16</w:t>
      </w:r>
      <w:r>
        <w:rPr>
          <w:rFonts w:hint="eastAsia"/>
          <w:color w:val="000000"/>
          <w:kern w:val="0"/>
          <w:sz w:val="24"/>
          <w:szCs w:val="24"/>
        </w:rPr>
        <w:t>m</w:t>
      </w:r>
      <w:r>
        <w:rPr>
          <w:rFonts w:hint="eastAsia"/>
          <w:color w:val="000000"/>
          <w:kern w:val="0"/>
          <w:sz w:val="24"/>
          <w:szCs w:val="24"/>
          <w:vertAlign w:val="superscript"/>
        </w:rPr>
        <w:t>3</w:t>
      </w:r>
      <w:r>
        <w:rPr>
          <w:rFonts w:hint="eastAsia"/>
          <w:color w:val="000000"/>
          <w:kern w:val="0"/>
          <w:sz w:val="24"/>
          <w:szCs w:val="24"/>
        </w:rPr>
        <w:t>/a）</w:t>
      </w:r>
      <w:r>
        <w:rPr>
          <w:color w:val="000000"/>
          <w:kern w:val="0"/>
          <w:sz w:val="24"/>
          <w:szCs w:val="24"/>
        </w:rPr>
        <w:t>，</w:t>
      </w:r>
      <w:r>
        <w:rPr>
          <w:rFonts w:ascii="宋体" w:hAnsi="宋体" w:eastAsia="宋体" w:cs="宋体"/>
          <w:sz w:val="24"/>
          <w:szCs w:val="24"/>
        </w:rPr>
        <w:t>生活污水水质简单，</w:t>
      </w:r>
      <w:r>
        <w:rPr>
          <w:rFonts w:hint="eastAsia" w:ascii="宋体" w:hAnsi="宋体" w:eastAsia="宋体" w:cs="宋体"/>
          <w:sz w:val="24"/>
          <w:szCs w:val="24"/>
        </w:rPr>
        <w:t>废水中的主要污染物为COD</w:t>
      </w:r>
      <w:r>
        <w:rPr>
          <w:rFonts w:hint="eastAsia" w:ascii="宋体" w:hAnsi="宋体" w:eastAsia="宋体" w:cs="宋体"/>
          <w:sz w:val="24"/>
          <w:szCs w:val="24"/>
          <w:vertAlign w:val="subscript"/>
        </w:rPr>
        <w:t>cr</w:t>
      </w:r>
      <w:r>
        <w:rPr>
          <w:rFonts w:hint="eastAsia" w:ascii="宋体" w:hAnsi="宋体" w:eastAsia="宋体" w:cs="宋体"/>
          <w:sz w:val="24"/>
          <w:szCs w:val="24"/>
        </w:rPr>
        <w:t>、BOD</w:t>
      </w:r>
      <w:r>
        <w:rPr>
          <w:rFonts w:hint="eastAsia" w:ascii="宋体" w:hAnsi="宋体" w:eastAsia="宋体" w:cs="宋体"/>
          <w:sz w:val="24"/>
          <w:szCs w:val="24"/>
          <w:vertAlign w:val="subscript"/>
        </w:rPr>
        <w:t>5</w:t>
      </w:r>
      <w:r>
        <w:rPr>
          <w:rFonts w:hint="eastAsia" w:ascii="宋体" w:hAnsi="宋体" w:eastAsia="宋体" w:cs="宋体"/>
          <w:sz w:val="24"/>
          <w:szCs w:val="24"/>
        </w:rPr>
        <w:t>、SS、氨氮等，生活污水污染物浓度为COD：350mg/L、BOD5:250mg/L、SS：200mg/L、NH</w:t>
      </w:r>
      <w:r>
        <w:rPr>
          <w:rFonts w:hint="eastAsia" w:ascii="宋体" w:hAnsi="宋体" w:eastAsia="宋体" w:cs="宋体"/>
          <w:sz w:val="24"/>
          <w:szCs w:val="24"/>
          <w:vertAlign w:val="subscript"/>
        </w:rPr>
        <w:t>3</w:t>
      </w:r>
      <w:r>
        <w:rPr>
          <w:rFonts w:hint="eastAsia" w:ascii="宋体" w:hAnsi="宋体" w:eastAsia="宋体" w:cs="宋体"/>
          <w:sz w:val="24"/>
          <w:szCs w:val="24"/>
        </w:rPr>
        <w:t>-N：30mg/L。生活污水排入</w:t>
      </w:r>
      <w:r>
        <w:rPr>
          <w:rFonts w:hint="eastAsia" w:ascii="宋体" w:hAnsi="宋体" w:eastAsia="宋体" w:cs="宋体"/>
          <w:sz w:val="24"/>
          <w:szCs w:val="24"/>
          <w:lang w:val="en-US" w:eastAsia="zh-CN"/>
        </w:rPr>
        <w:t>1</w:t>
      </w:r>
      <w:r>
        <w:rPr>
          <w:rFonts w:hint="eastAsia" w:ascii="宋体" w:hAnsi="宋体" w:eastAsia="宋体" w:cs="宋体"/>
          <w:sz w:val="24"/>
          <w:szCs w:val="24"/>
        </w:rPr>
        <w:t>0m</w:t>
      </w:r>
      <w:r>
        <w:rPr>
          <w:rFonts w:hint="eastAsia" w:ascii="宋体" w:hAnsi="宋体" w:eastAsia="宋体" w:cs="宋体"/>
          <w:sz w:val="24"/>
          <w:szCs w:val="24"/>
          <w:vertAlign w:val="superscript"/>
        </w:rPr>
        <w:t>3</w:t>
      </w:r>
      <w:r>
        <w:rPr>
          <w:rFonts w:hint="eastAsia" w:ascii="宋体" w:hAnsi="宋体" w:eastAsia="宋体" w:cs="宋体"/>
          <w:sz w:val="24"/>
          <w:szCs w:val="24"/>
          <w:vertAlign w:val="baseline"/>
          <w:lang w:val="en-US" w:eastAsia="zh-CN"/>
        </w:rPr>
        <w:t>防渗化粪池</w:t>
      </w:r>
      <w:r>
        <w:rPr>
          <w:rFonts w:hint="eastAsia" w:ascii="宋体" w:hAnsi="宋体" w:eastAsia="宋体" w:cs="宋体"/>
          <w:sz w:val="24"/>
          <w:szCs w:val="24"/>
        </w:rPr>
        <w:t>，定期由库尔勒龙润水处理有限公司采用罐车拉运至库尔勒南市区污水处理厂</w:t>
      </w:r>
      <w:r>
        <w:rPr>
          <w:rFonts w:hint="eastAsia"/>
          <w:color w:val="000000"/>
          <w:kern w:val="0"/>
          <w:sz w:val="24"/>
          <w:szCs w:val="24"/>
          <w:lang w:eastAsia="zh-CN"/>
        </w:rPr>
        <w:t>。</w:t>
      </w:r>
    </w:p>
    <w:p w14:paraId="0170FC78">
      <w:pPr>
        <w:widowControl w:val="0"/>
        <w:kinsoku w:val="0"/>
        <w:overflowPunct w:val="0"/>
        <w:autoSpaceDE w:val="0"/>
        <w:autoSpaceDN w:val="0"/>
        <w:spacing w:line="360" w:lineRule="auto"/>
        <w:ind w:firstLine="480" w:firstLineChars="200"/>
        <w:jc w:val="both"/>
        <w:rPr>
          <w:rFonts w:hint="default" w:ascii="Times New Roman" w:hAnsi="Times New Roman" w:eastAsia="宋体" w:cs="Times New Roman"/>
          <w:color w:val="auto"/>
          <w:sz w:val="24"/>
          <w:szCs w:val="24"/>
          <w:lang w:val="zh-CN" w:eastAsia="zh-CN" w:bidi="zh-CN"/>
        </w:rPr>
      </w:pPr>
      <w:r>
        <w:rPr>
          <w:rFonts w:hint="default" w:ascii="Times New Roman" w:hAnsi="Times New Roman" w:eastAsia="宋体" w:cs="Times New Roman"/>
          <w:color w:val="auto"/>
          <w:sz w:val="24"/>
          <w:szCs w:val="24"/>
          <w:lang w:val="zh-CN" w:eastAsia="zh-CN" w:bidi="zh-CN"/>
        </w:rPr>
        <w:t>废水污染物含量见表3.</w:t>
      </w:r>
      <w:r>
        <w:rPr>
          <w:rFonts w:hint="eastAsia" w:ascii="Times New Roman" w:hAnsi="Times New Roman" w:eastAsia="宋体" w:cs="Times New Roman"/>
          <w:color w:val="auto"/>
          <w:sz w:val="24"/>
          <w:szCs w:val="24"/>
          <w:lang w:val="en-US" w:eastAsia="zh-CN" w:bidi="zh-CN"/>
        </w:rPr>
        <w:t>4-</w:t>
      </w:r>
      <w:r>
        <w:rPr>
          <w:rFonts w:hint="default" w:ascii="Times New Roman" w:hAnsi="Times New Roman" w:eastAsia="宋体" w:cs="Times New Roman"/>
          <w:color w:val="auto"/>
          <w:sz w:val="24"/>
          <w:szCs w:val="24"/>
          <w:lang w:val="zh-CN" w:eastAsia="zh-CN" w:bidi="zh-CN"/>
        </w:rPr>
        <w:t>2。</w:t>
      </w:r>
    </w:p>
    <w:p w14:paraId="48B25C83">
      <w:pPr>
        <w:tabs>
          <w:tab w:val="left" w:pos="736"/>
        </w:tabs>
        <w:kinsoku w:val="0"/>
        <w:overflowPunct w:val="0"/>
        <w:autoSpaceDE w:val="0"/>
        <w:autoSpaceDN w:val="0"/>
        <w:adjustRightInd w:val="0"/>
        <w:spacing w:line="240" w:lineRule="auto"/>
        <w:ind w:right="136" w:firstLine="422" w:firstLineChars="200"/>
        <w:jc w:val="center"/>
        <w:rPr>
          <w:rFonts w:hint="default" w:ascii="Times New Roman" w:hAnsi="Times New Roman" w:eastAsia="宋体" w:cs="Times New Roman"/>
          <w:color w:val="auto"/>
          <w:kern w:val="0"/>
          <w:sz w:val="21"/>
          <w:szCs w:val="21"/>
          <w:lang w:val="zh-CN" w:bidi="zh-CN"/>
        </w:rPr>
      </w:pPr>
      <w:r>
        <w:rPr>
          <w:rFonts w:hint="default" w:ascii="Times New Roman" w:hAnsi="Times New Roman" w:eastAsia="宋体" w:cs="Times New Roman"/>
          <w:b/>
          <w:color w:val="auto"/>
          <w:kern w:val="0"/>
          <w:sz w:val="21"/>
          <w:szCs w:val="21"/>
          <w:lang w:val="zh-CN" w:bidi="zh-CN"/>
        </w:rPr>
        <w:t>表3.</w:t>
      </w:r>
      <w:r>
        <w:rPr>
          <w:rFonts w:hint="eastAsia" w:eastAsia="宋体" w:cs="Times New Roman"/>
          <w:b/>
          <w:color w:val="auto"/>
          <w:kern w:val="0"/>
          <w:sz w:val="21"/>
          <w:szCs w:val="21"/>
          <w:lang w:val="en-US" w:bidi="zh-CN"/>
        </w:rPr>
        <w:t>4</w:t>
      </w:r>
      <w:r>
        <w:rPr>
          <w:rFonts w:hint="default" w:ascii="Times New Roman" w:hAnsi="Times New Roman" w:eastAsia="宋体" w:cs="Times New Roman"/>
          <w:b/>
          <w:color w:val="auto"/>
          <w:kern w:val="0"/>
          <w:sz w:val="21"/>
          <w:szCs w:val="21"/>
          <w:lang w:val="en-US" w:bidi="zh-CN"/>
        </w:rPr>
        <w:t>-2</w:t>
      </w:r>
      <w:r>
        <w:rPr>
          <w:rFonts w:hint="default" w:ascii="Times New Roman" w:hAnsi="Times New Roman" w:eastAsia="宋体" w:cs="Times New Roman"/>
          <w:b/>
          <w:color w:val="auto"/>
          <w:kern w:val="0"/>
          <w:sz w:val="21"/>
          <w:szCs w:val="21"/>
          <w:lang w:val="zh-CN" w:bidi="zh-CN"/>
        </w:rPr>
        <w:tab/>
      </w:r>
      <w:r>
        <w:rPr>
          <w:rFonts w:hint="default" w:ascii="Times New Roman" w:hAnsi="Times New Roman" w:eastAsia="宋体" w:cs="Times New Roman"/>
          <w:b/>
          <w:color w:val="auto"/>
          <w:kern w:val="0"/>
          <w:sz w:val="21"/>
          <w:szCs w:val="21"/>
          <w:lang w:val="en-US" w:bidi="zh-CN"/>
        </w:rPr>
        <w:t xml:space="preserve">  生活污水</w:t>
      </w:r>
      <w:r>
        <w:rPr>
          <w:rFonts w:hint="default" w:ascii="Times New Roman" w:hAnsi="Times New Roman" w:eastAsia="宋体" w:cs="Times New Roman"/>
          <w:b/>
          <w:color w:val="auto"/>
          <w:kern w:val="0"/>
          <w:sz w:val="21"/>
          <w:szCs w:val="21"/>
          <w:lang w:val="zh-CN" w:bidi="zh-CN"/>
        </w:rPr>
        <w:t>污染物浓度</w:t>
      </w:r>
    </w:p>
    <w:tbl>
      <w:tblPr>
        <w:tblStyle w:val="49"/>
        <w:tblW w:w="4997"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0" w:type="dxa"/>
          <w:bottom w:w="0" w:type="dxa"/>
          <w:right w:w="0" w:type="dxa"/>
        </w:tblCellMar>
      </w:tblPr>
      <w:tblGrid>
        <w:gridCol w:w="2071"/>
        <w:gridCol w:w="2119"/>
        <w:gridCol w:w="2795"/>
        <w:gridCol w:w="2112"/>
      </w:tblGrid>
      <w:tr w14:paraId="2E3C1B0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892" w:type="dxa"/>
            <w:tcBorders>
              <w:tl2br w:val="nil"/>
              <w:tr2bl w:val="nil"/>
            </w:tcBorders>
            <w:noWrap w:val="0"/>
            <w:vAlign w:val="center"/>
          </w:tcPr>
          <w:p w14:paraId="783C0B4A">
            <w:pPr>
              <w:keepNext w:val="0"/>
              <w:keepLines w:val="0"/>
              <w:widowControl w:val="0"/>
              <w:suppressLineNumbers w:val="0"/>
              <w:autoSpaceDE w:val="0"/>
              <w:autoSpaceDN w:val="0"/>
              <w:spacing w:before="0" w:beforeAutospacing="0" w:after="0" w:afterAutospacing="0" w:line="240" w:lineRule="auto"/>
              <w:ind w:left="0" w:right="0" w:firstLine="0" w:firstLineChars="0"/>
              <w:jc w:val="center"/>
              <w:rPr>
                <w:rFonts w:hint="default" w:ascii="Times New Roman" w:hAnsi="Times New Roman" w:eastAsia="宋体" w:cs="Times New Roman"/>
                <w:b w:val="0"/>
                <w:color w:val="auto"/>
                <w:spacing w:val="-1"/>
                <w:kern w:val="0"/>
                <w:sz w:val="21"/>
                <w:szCs w:val="21"/>
                <w:lang w:val="en-US" w:eastAsia="zh-CN" w:bidi="ar"/>
              </w:rPr>
            </w:pPr>
            <w:r>
              <w:rPr>
                <w:rFonts w:hint="default" w:ascii="Times New Roman" w:hAnsi="Times New Roman" w:eastAsia="宋体" w:cs="Times New Roman"/>
                <w:b w:val="0"/>
                <w:color w:val="auto"/>
                <w:kern w:val="0"/>
                <w:sz w:val="21"/>
                <w:szCs w:val="21"/>
                <w:lang w:val="en-US" w:eastAsia="zh-CN" w:bidi="ar"/>
              </w:rPr>
              <w:t>名称</w:t>
            </w:r>
          </w:p>
        </w:tc>
        <w:tc>
          <w:tcPr>
            <w:tcW w:w="1935" w:type="dxa"/>
            <w:tcBorders>
              <w:tl2br w:val="nil"/>
              <w:tr2bl w:val="nil"/>
            </w:tcBorders>
            <w:noWrap w:val="0"/>
            <w:vAlign w:val="center"/>
          </w:tcPr>
          <w:p w14:paraId="50E91D65">
            <w:pPr>
              <w:keepNext w:val="0"/>
              <w:keepLines w:val="0"/>
              <w:widowControl w:val="0"/>
              <w:suppressLineNumbers w:val="0"/>
              <w:autoSpaceDE w:val="0"/>
              <w:autoSpaceDN w:val="0"/>
              <w:spacing w:before="0" w:beforeAutospacing="0" w:after="0" w:afterAutospacing="0" w:line="240" w:lineRule="auto"/>
              <w:ind w:left="0" w:right="0" w:firstLine="0" w:firstLineChars="0"/>
              <w:jc w:val="center"/>
              <w:rPr>
                <w:rFonts w:hint="default" w:ascii="Times New Roman" w:hAnsi="Times New Roman" w:eastAsia="宋体" w:cs="Times New Roman"/>
                <w:b w:val="0"/>
                <w:color w:val="auto"/>
                <w:spacing w:val="-2"/>
                <w:kern w:val="0"/>
                <w:sz w:val="21"/>
                <w:szCs w:val="21"/>
                <w:lang w:val="en-US" w:eastAsia="zh-CN" w:bidi="ar"/>
              </w:rPr>
            </w:pPr>
            <w:r>
              <w:rPr>
                <w:rFonts w:hint="default" w:ascii="Times New Roman" w:hAnsi="Times New Roman" w:eastAsia="宋体" w:cs="Times New Roman"/>
                <w:b w:val="0"/>
                <w:color w:val="auto"/>
                <w:kern w:val="0"/>
                <w:sz w:val="21"/>
                <w:szCs w:val="21"/>
                <w:lang w:val="en-US" w:eastAsia="zh-CN" w:bidi="ar"/>
              </w:rPr>
              <w:t>类别</w:t>
            </w:r>
          </w:p>
        </w:tc>
        <w:tc>
          <w:tcPr>
            <w:tcW w:w="2553" w:type="dxa"/>
            <w:tcBorders>
              <w:tl2br w:val="nil"/>
              <w:tr2bl w:val="nil"/>
            </w:tcBorders>
            <w:noWrap w:val="0"/>
            <w:vAlign w:val="center"/>
          </w:tcPr>
          <w:p w14:paraId="66BFEF55">
            <w:pPr>
              <w:widowControl w:val="0"/>
              <w:kinsoku w:val="0"/>
              <w:overflowPunct w:val="0"/>
              <w:autoSpaceDE w:val="0"/>
              <w:autoSpaceDN w:val="0"/>
              <w:spacing w:line="240" w:lineRule="auto"/>
              <w:ind w:firstLine="0" w:firstLineChars="0"/>
              <w:jc w:val="center"/>
              <w:rPr>
                <w:rFonts w:hint="default" w:ascii="Times New Roman" w:hAnsi="Times New Roman" w:eastAsia="宋体" w:cs="Times New Roman"/>
                <w:b/>
                <w:color w:val="auto"/>
                <w:sz w:val="21"/>
                <w:szCs w:val="21"/>
                <w:lang w:val="en-US" w:eastAsia="zh-CN" w:bidi="zh-CN"/>
              </w:rPr>
            </w:pPr>
            <w:r>
              <w:rPr>
                <w:rFonts w:hint="default" w:ascii="Times New Roman" w:hAnsi="Times New Roman" w:eastAsia="宋体" w:cs="Times New Roman"/>
                <w:b/>
                <w:color w:val="auto"/>
                <w:spacing w:val="-2"/>
                <w:sz w:val="21"/>
                <w:szCs w:val="21"/>
                <w:lang w:val="zh-CN" w:eastAsia="zh-CN" w:bidi="zh-CN"/>
              </w:rPr>
              <w:t>污染物浓度</w:t>
            </w:r>
            <w:r>
              <w:rPr>
                <w:rFonts w:hint="default" w:ascii="Times New Roman" w:hAnsi="Times New Roman" w:eastAsia="宋体" w:cs="Times New Roman"/>
                <w:b/>
                <w:color w:val="auto"/>
                <w:spacing w:val="-2"/>
                <w:sz w:val="21"/>
                <w:szCs w:val="21"/>
                <w:lang w:val="en-US" w:eastAsia="zh-CN" w:bidi="zh-CN"/>
              </w:rPr>
              <w:t>产生</w:t>
            </w:r>
            <w:r>
              <w:rPr>
                <w:rFonts w:hint="default" w:ascii="Times New Roman" w:hAnsi="Times New Roman" w:eastAsia="宋体" w:cs="Times New Roman"/>
                <w:b/>
                <w:color w:val="auto"/>
                <w:spacing w:val="-2"/>
                <w:sz w:val="21"/>
                <w:szCs w:val="21"/>
                <w:lang w:val="zh-CN" w:eastAsia="zh-CN" w:bidi="zh-CN"/>
              </w:rPr>
              <w:t>（mg/L）</w:t>
            </w:r>
          </w:p>
        </w:tc>
        <w:tc>
          <w:tcPr>
            <w:tcW w:w="1929" w:type="dxa"/>
            <w:tcBorders>
              <w:tl2br w:val="nil"/>
              <w:tr2bl w:val="nil"/>
            </w:tcBorders>
            <w:noWrap w:val="0"/>
            <w:vAlign w:val="center"/>
          </w:tcPr>
          <w:p w14:paraId="1B7E29D2">
            <w:pPr>
              <w:widowControl w:val="0"/>
              <w:kinsoku w:val="0"/>
              <w:overflowPunct w:val="0"/>
              <w:autoSpaceDE w:val="0"/>
              <w:autoSpaceDN w:val="0"/>
              <w:spacing w:line="240" w:lineRule="auto"/>
              <w:ind w:firstLine="0" w:firstLineChars="0"/>
              <w:jc w:val="center"/>
              <w:rPr>
                <w:rFonts w:hint="default" w:ascii="Times New Roman" w:hAnsi="Times New Roman" w:eastAsia="宋体" w:cs="Times New Roman"/>
                <w:b/>
                <w:color w:val="auto"/>
                <w:sz w:val="21"/>
                <w:szCs w:val="21"/>
                <w:lang w:val="en-US" w:eastAsia="zh-CN" w:bidi="zh-CN"/>
              </w:rPr>
            </w:pPr>
            <w:r>
              <w:rPr>
                <w:rFonts w:hint="default" w:ascii="Times New Roman" w:hAnsi="Times New Roman" w:eastAsia="宋体" w:cs="Times New Roman"/>
                <w:b/>
                <w:color w:val="auto"/>
                <w:spacing w:val="-2"/>
                <w:sz w:val="21"/>
                <w:szCs w:val="21"/>
                <w:lang w:val="zh-CN" w:eastAsia="zh-CN" w:bidi="zh-CN"/>
              </w:rPr>
              <w:t>污染产生量（t/a）</w:t>
            </w:r>
          </w:p>
        </w:tc>
      </w:tr>
      <w:tr w14:paraId="0A19ABD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892" w:type="dxa"/>
            <w:vMerge w:val="restart"/>
            <w:tcBorders>
              <w:tl2br w:val="nil"/>
              <w:tr2bl w:val="nil"/>
            </w:tcBorders>
            <w:noWrap w:val="0"/>
            <w:vAlign w:val="center"/>
          </w:tcPr>
          <w:p w14:paraId="756402ED">
            <w:pPr>
              <w:widowControl w:val="0"/>
              <w:kinsoku w:val="0"/>
              <w:overflowPunct w:val="0"/>
              <w:autoSpaceDE w:val="0"/>
              <w:autoSpaceDN w:val="0"/>
              <w:spacing w:line="240" w:lineRule="auto"/>
              <w:ind w:firstLine="0" w:firstLineChars="0"/>
              <w:jc w:val="center"/>
              <w:rPr>
                <w:rFonts w:hint="default" w:ascii="Times New Roman" w:hAnsi="Times New Roman" w:eastAsia="宋体" w:cs="Times New Roman"/>
                <w:color w:val="auto"/>
                <w:sz w:val="21"/>
                <w:szCs w:val="21"/>
                <w:lang w:val="zh-CN" w:eastAsia="zh-CN" w:bidi="zh-CN"/>
              </w:rPr>
            </w:pPr>
            <w:r>
              <w:rPr>
                <w:rFonts w:hint="default" w:ascii="Times New Roman" w:hAnsi="Times New Roman" w:eastAsia="宋体" w:cs="Times New Roman"/>
                <w:color w:val="auto"/>
                <w:sz w:val="21"/>
                <w:szCs w:val="21"/>
                <w:lang w:val="en-US" w:eastAsia="zh-CN" w:bidi="zh-CN"/>
              </w:rPr>
              <w:t>生活污水</w:t>
            </w:r>
          </w:p>
          <w:p w14:paraId="4E65FC97">
            <w:pPr>
              <w:widowControl w:val="0"/>
              <w:kinsoku w:val="0"/>
              <w:overflowPunct w:val="0"/>
              <w:autoSpaceDE w:val="0"/>
              <w:autoSpaceDN w:val="0"/>
              <w:spacing w:line="240" w:lineRule="auto"/>
              <w:ind w:firstLine="0" w:firstLineChars="0"/>
              <w:jc w:val="center"/>
              <w:rPr>
                <w:rFonts w:hint="default" w:ascii="Times New Roman" w:hAnsi="Times New Roman" w:eastAsia="宋体" w:cs="Times New Roman"/>
                <w:color w:val="auto"/>
                <w:sz w:val="21"/>
                <w:szCs w:val="21"/>
                <w:lang w:val="zh-CN" w:eastAsia="zh-CN" w:bidi="zh-CN"/>
              </w:rPr>
            </w:pPr>
            <w:r>
              <w:rPr>
                <w:rFonts w:hint="eastAsia" w:ascii="Times New Roman" w:hAnsi="Times New Roman" w:eastAsia="宋体" w:cs="Times New Roman"/>
                <w:color w:val="auto"/>
                <w:spacing w:val="-1"/>
                <w:sz w:val="21"/>
                <w:szCs w:val="21"/>
                <w:lang w:val="en-US" w:eastAsia="zh-CN" w:bidi="zh-CN"/>
              </w:rPr>
              <w:t>92.16</w:t>
            </w:r>
            <w:r>
              <w:rPr>
                <w:rFonts w:hint="default" w:ascii="Times New Roman" w:hAnsi="Times New Roman" w:eastAsia="宋体" w:cs="Times New Roman"/>
                <w:color w:val="auto"/>
                <w:sz w:val="21"/>
                <w:szCs w:val="21"/>
                <w:lang w:val="en-US" w:eastAsia="zh-CN" w:bidi="zh-CN"/>
              </w:rPr>
              <w:t>m</w:t>
            </w:r>
            <w:r>
              <w:rPr>
                <w:rFonts w:hint="default" w:ascii="Times New Roman" w:hAnsi="Times New Roman" w:eastAsia="宋体" w:cs="Times New Roman"/>
                <w:color w:val="auto"/>
                <w:sz w:val="21"/>
                <w:szCs w:val="21"/>
                <w:vertAlign w:val="superscript"/>
                <w:lang w:val="en-US" w:eastAsia="zh-CN" w:bidi="zh-CN"/>
              </w:rPr>
              <w:t>3</w:t>
            </w:r>
            <w:r>
              <w:rPr>
                <w:rFonts w:hint="default" w:ascii="Times New Roman" w:hAnsi="Times New Roman" w:eastAsia="宋体" w:cs="Times New Roman"/>
                <w:color w:val="auto"/>
                <w:sz w:val="21"/>
                <w:szCs w:val="21"/>
                <w:lang w:val="en-US" w:eastAsia="zh-CN" w:bidi="zh-CN"/>
              </w:rPr>
              <w:t>/a</w:t>
            </w:r>
          </w:p>
        </w:tc>
        <w:tc>
          <w:tcPr>
            <w:tcW w:w="1935" w:type="dxa"/>
            <w:tcBorders>
              <w:tl2br w:val="nil"/>
              <w:tr2bl w:val="nil"/>
            </w:tcBorders>
            <w:noWrap w:val="0"/>
            <w:vAlign w:val="center"/>
          </w:tcPr>
          <w:p w14:paraId="50CF060C">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eastAsia" w:eastAsia="宋体"/>
                <w:color w:val="auto"/>
                <w:kern w:val="0"/>
                <w:sz w:val="21"/>
                <w:szCs w:val="21"/>
                <w:lang w:val="en-US" w:eastAsia="zh-CN" w:bidi="zh-CN"/>
              </w:rPr>
            </w:pPr>
            <w:r>
              <w:rPr>
                <w:rFonts w:hint="default" w:eastAsia="宋体"/>
                <w:color w:val="auto"/>
                <w:kern w:val="0"/>
                <w:sz w:val="21"/>
                <w:szCs w:val="21"/>
                <w:lang w:val="zh-CN" w:bidi="zh-CN"/>
              </w:rPr>
              <w:t>COD</w:t>
            </w:r>
            <w:r>
              <w:rPr>
                <w:rFonts w:hint="eastAsia" w:eastAsia="宋体"/>
                <w:color w:val="auto"/>
                <w:kern w:val="0"/>
                <w:sz w:val="21"/>
                <w:szCs w:val="21"/>
                <w:lang w:val="en-US" w:eastAsia="zh-CN" w:bidi="zh-CN"/>
              </w:rPr>
              <w:t>cr</w:t>
            </w:r>
          </w:p>
        </w:tc>
        <w:tc>
          <w:tcPr>
            <w:tcW w:w="2553" w:type="dxa"/>
            <w:tcBorders>
              <w:tl2br w:val="nil"/>
              <w:tr2bl w:val="nil"/>
            </w:tcBorders>
            <w:noWrap w:val="0"/>
            <w:vAlign w:val="center"/>
          </w:tcPr>
          <w:p w14:paraId="30611CF8">
            <w:pPr>
              <w:widowControl w:val="0"/>
              <w:kinsoku w:val="0"/>
              <w:overflowPunct w:val="0"/>
              <w:autoSpaceDE w:val="0"/>
              <w:autoSpaceDN w:val="0"/>
              <w:spacing w:line="240" w:lineRule="auto"/>
              <w:ind w:firstLine="0" w:firstLineChars="0"/>
              <w:jc w:val="center"/>
              <w:rPr>
                <w:rFonts w:hint="default" w:ascii="Times New Roman" w:hAnsi="Times New Roman" w:eastAsia="宋体" w:cs="Times New Roman"/>
                <w:color w:val="auto"/>
                <w:sz w:val="21"/>
                <w:szCs w:val="21"/>
                <w:lang w:val="en-US" w:eastAsia="zh-CN" w:bidi="zh-CN"/>
              </w:rPr>
            </w:pPr>
            <w:r>
              <w:rPr>
                <w:rFonts w:hint="default" w:ascii="Times New Roman" w:hAnsi="Times New Roman" w:eastAsia="宋体" w:cs="Times New Roman"/>
                <w:color w:val="auto"/>
                <w:sz w:val="21"/>
                <w:szCs w:val="21"/>
                <w:lang w:val="en-US" w:eastAsia="zh-CN" w:bidi="zh-CN"/>
              </w:rPr>
              <w:t>350</w:t>
            </w:r>
          </w:p>
        </w:tc>
        <w:tc>
          <w:tcPr>
            <w:tcW w:w="1929" w:type="dxa"/>
            <w:tcBorders>
              <w:tl2br w:val="nil"/>
              <w:tr2bl w:val="nil"/>
            </w:tcBorders>
            <w:noWrap w:val="0"/>
            <w:vAlign w:val="center"/>
          </w:tcPr>
          <w:p w14:paraId="29C1F04B">
            <w:pPr>
              <w:widowControl w:val="0"/>
              <w:kinsoku w:val="0"/>
              <w:overflowPunct w:val="0"/>
              <w:autoSpaceDE w:val="0"/>
              <w:autoSpaceDN w:val="0"/>
              <w:spacing w:line="240" w:lineRule="auto"/>
              <w:ind w:firstLine="0" w:firstLineChars="0"/>
              <w:jc w:val="center"/>
              <w:rPr>
                <w:rFonts w:hint="default" w:ascii="Times New Roman" w:hAnsi="Times New Roman" w:eastAsia="宋体" w:cs="Times New Roman"/>
                <w:color w:val="auto"/>
                <w:sz w:val="21"/>
                <w:szCs w:val="21"/>
                <w:lang w:val="en-US" w:eastAsia="zh-CN" w:bidi="zh-CN"/>
              </w:rPr>
            </w:pPr>
            <w:r>
              <w:rPr>
                <w:rFonts w:hint="eastAsia" w:ascii="Times New Roman" w:hAnsi="Times New Roman" w:eastAsia="宋体" w:cs="Times New Roman"/>
                <w:color w:val="auto"/>
                <w:sz w:val="21"/>
                <w:szCs w:val="21"/>
                <w:lang w:val="en-US" w:eastAsia="zh-CN" w:bidi="zh-CN"/>
              </w:rPr>
              <w:t>0.032</w:t>
            </w:r>
          </w:p>
        </w:tc>
      </w:tr>
      <w:tr w14:paraId="79C6B67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892" w:type="dxa"/>
            <w:vMerge w:val="continue"/>
            <w:tcBorders>
              <w:tl2br w:val="nil"/>
              <w:tr2bl w:val="nil"/>
            </w:tcBorders>
            <w:noWrap w:val="0"/>
            <w:vAlign w:val="center"/>
          </w:tcPr>
          <w:p w14:paraId="673A2D91">
            <w:pPr>
              <w:widowControl w:val="0"/>
              <w:kinsoku w:val="0"/>
              <w:overflowPunct w:val="0"/>
              <w:autoSpaceDE w:val="0"/>
              <w:autoSpaceDN w:val="0"/>
              <w:spacing w:line="240" w:lineRule="auto"/>
              <w:ind w:firstLine="0" w:firstLineChars="0"/>
              <w:jc w:val="center"/>
              <w:rPr>
                <w:rFonts w:ascii="Times New Roman" w:hAnsi="Times New Roman" w:eastAsia="宋体" w:cs="Times New Roman"/>
                <w:color w:val="auto"/>
                <w:sz w:val="21"/>
                <w:szCs w:val="21"/>
                <w:lang w:val="zh-CN" w:eastAsia="zh-CN" w:bidi="zh-CN"/>
              </w:rPr>
            </w:pPr>
          </w:p>
        </w:tc>
        <w:tc>
          <w:tcPr>
            <w:tcW w:w="1935" w:type="dxa"/>
            <w:tcBorders>
              <w:tl2br w:val="nil"/>
              <w:tr2bl w:val="nil"/>
            </w:tcBorders>
            <w:noWrap w:val="0"/>
            <w:vAlign w:val="center"/>
          </w:tcPr>
          <w:p w14:paraId="204020EF">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eastAsia="宋体"/>
                <w:color w:val="auto"/>
                <w:kern w:val="0"/>
                <w:sz w:val="21"/>
                <w:szCs w:val="21"/>
                <w:lang w:val="zh-CN" w:bidi="zh-CN"/>
              </w:rPr>
            </w:pPr>
            <w:r>
              <w:rPr>
                <w:rFonts w:hint="default" w:eastAsia="宋体"/>
                <w:color w:val="auto"/>
                <w:kern w:val="0"/>
                <w:sz w:val="21"/>
                <w:szCs w:val="21"/>
                <w:lang w:val="zh-CN" w:bidi="zh-CN"/>
              </w:rPr>
              <w:t>BOD</w:t>
            </w:r>
            <w:r>
              <w:rPr>
                <w:rFonts w:eastAsia="宋体"/>
                <w:color w:val="auto"/>
                <w:kern w:val="0"/>
                <w:sz w:val="21"/>
                <w:szCs w:val="21"/>
                <w:vertAlign w:val="subscript"/>
                <w:lang w:val="zh-CN" w:bidi="zh-CN"/>
              </w:rPr>
              <w:t>5</w:t>
            </w:r>
          </w:p>
        </w:tc>
        <w:tc>
          <w:tcPr>
            <w:tcW w:w="2553" w:type="dxa"/>
            <w:tcBorders>
              <w:tl2br w:val="nil"/>
              <w:tr2bl w:val="nil"/>
            </w:tcBorders>
            <w:noWrap w:val="0"/>
            <w:vAlign w:val="center"/>
          </w:tcPr>
          <w:p w14:paraId="325CF598">
            <w:pPr>
              <w:widowControl w:val="0"/>
              <w:kinsoku w:val="0"/>
              <w:overflowPunct w:val="0"/>
              <w:autoSpaceDE w:val="0"/>
              <w:autoSpaceDN w:val="0"/>
              <w:spacing w:line="240" w:lineRule="auto"/>
              <w:ind w:firstLine="0" w:firstLineChars="0"/>
              <w:jc w:val="center"/>
              <w:rPr>
                <w:rFonts w:ascii="Times New Roman" w:hAnsi="Times New Roman" w:eastAsia="宋体" w:cs="Times New Roman"/>
                <w:color w:val="auto"/>
                <w:sz w:val="21"/>
                <w:szCs w:val="21"/>
                <w:lang w:val="en-US" w:eastAsia="zh-CN" w:bidi="zh-CN"/>
              </w:rPr>
            </w:pPr>
            <w:r>
              <w:rPr>
                <w:rFonts w:hint="eastAsia" w:ascii="Times New Roman" w:hAnsi="Times New Roman" w:eastAsia="宋体" w:cs="Times New Roman"/>
                <w:color w:val="auto"/>
                <w:sz w:val="21"/>
                <w:szCs w:val="21"/>
                <w:lang w:val="en-US" w:eastAsia="zh-CN" w:bidi="zh-CN"/>
              </w:rPr>
              <w:t>250</w:t>
            </w:r>
          </w:p>
        </w:tc>
        <w:tc>
          <w:tcPr>
            <w:tcW w:w="1929" w:type="dxa"/>
            <w:tcBorders>
              <w:tl2br w:val="nil"/>
              <w:tr2bl w:val="nil"/>
            </w:tcBorders>
            <w:noWrap w:val="0"/>
            <w:vAlign w:val="center"/>
          </w:tcPr>
          <w:p w14:paraId="20B36360">
            <w:pPr>
              <w:widowControl w:val="0"/>
              <w:kinsoku w:val="0"/>
              <w:overflowPunct w:val="0"/>
              <w:autoSpaceDE w:val="0"/>
              <w:autoSpaceDN w:val="0"/>
              <w:spacing w:line="240" w:lineRule="auto"/>
              <w:ind w:firstLine="0" w:firstLineChars="0"/>
              <w:jc w:val="center"/>
              <w:rPr>
                <w:rFonts w:hint="default" w:ascii="Times New Roman" w:hAnsi="Times New Roman" w:eastAsia="宋体" w:cs="Times New Roman"/>
                <w:color w:val="auto"/>
                <w:sz w:val="21"/>
                <w:szCs w:val="21"/>
                <w:lang w:val="en-US" w:eastAsia="zh-CN" w:bidi="zh-CN"/>
              </w:rPr>
            </w:pPr>
            <w:r>
              <w:rPr>
                <w:rFonts w:hint="eastAsia" w:ascii="Times New Roman" w:hAnsi="Times New Roman" w:eastAsia="宋体" w:cs="Times New Roman"/>
                <w:color w:val="auto"/>
                <w:sz w:val="21"/>
                <w:szCs w:val="21"/>
                <w:lang w:val="en-US" w:eastAsia="zh-CN" w:bidi="zh-CN"/>
              </w:rPr>
              <w:t>0.023</w:t>
            </w:r>
          </w:p>
        </w:tc>
      </w:tr>
      <w:tr w14:paraId="68C47E2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1892" w:type="dxa"/>
            <w:vMerge w:val="continue"/>
            <w:tcBorders>
              <w:tl2br w:val="nil"/>
              <w:tr2bl w:val="nil"/>
            </w:tcBorders>
            <w:noWrap w:val="0"/>
            <w:vAlign w:val="center"/>
          </w:tcPr>
          <w:p w14:paraId="71E5AD18">
            <w:pPr>
              <w:widowControl w:val="0"/>
              <w:kinsoku w:val="0"/>
              <w:overflowPunct w:val="0"/>
              <w:autoSpaceDE w:val="0"/>
              <w:autoSpaceDN w:val="0"/>
              <w:spacing w:line="240" w:lineRule="auto"/>
              <w:ind w:firstLine="0" w:firstLineChars="0"/>
              <w:jc w:val="center"/>
              <w:rPr>
                <w:rFonts w:ascii="Times New Roman" w:hAnsi="Times New Roman" w:eastAsia="宋体" w:cs="Times New Roman"/>
                <w:color w:val="auto"/>
                <w:sz w:val="21"/>
                <w:szCs w:val="21"/>
                <w:lang w:val="zh-CN" w:eastAsia="zh-CN" w:bidi="zh-CN"/>
              </w:rPr>
            </w:pPr>
          </w:p>
        </w:tc>
        <w:tc>
          <w:tcPr>
            <w:tcW w:w="1935" w:type="dxa"/>
            <w:tcBorders>
              <w:tl2br w:val="nil"/>
              <w:tr2bl w:val="nil"/>
            </w:tcBorders>
            <w:noWrap w:val="0"/>
            <w:vAlign w:val="center"/>
          </w:tcPr>
          <w:p w14:paraId="6CBD0A49">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eastAsia="宋体"/>
                <w:color w:val="auto"/>
                <w:kern w:val="0"/>
                <w:sz w:val="21"/>
                <w:szCs w:val="21"/>
                <w:lang w:val="zh-CN" w:bidi="zh-CN"/>
              </w:rPr>
            </w:pPr>
            <w:r>
              <w:rPr>
                <w:rFonts w:hint="default" w:eastAsia="宋体"/>
                <w:color w:val="auto"/>
                <w:kern w:val="0"/>
                <w:sz w:val="21"/>
                <w:szCs w:val="21"/>
                <w:lang w:val="zh-CN" w:bidi="zh-CN"/>
              </w:rPr>
              <w:t>SS</w:t>
            </w:r>
          </w:p>
        </w:tc>
        <w:tc>
          <w:tcPr>
            <w:tcW w:w="2553" w:type="dxa"/>
            <w:tcBorders>
              <w:tl2br w:val="nil"/>
              <w:tr2bl w:val="nil"/>
            </w:tcBorders>
            <w:noWrap w:val="0"/>
            <w:vAlign w:val="center"/>
          </w:tcPr>
          <w:p w14:paraId="480D5508">
            <w:pPr>
              <w:widowControl w:val="0"/>
              <w:kinsoku w:val="0"/>
              <w:overflowPunct w:val="0"/>
              <w:autoSpaceDE w:val="0"/>
              <w:autoSpaceDN w:val="0"/>
              <w:spacing w:line="240" w:lineRule="auto"/>
              <w:ind w:firstLine="0" w:firstLineChars="0"/>
              <w:jc w:val="center"/>
              <w:rPr>
                <w:rFonts w:ascii="Times New Roman" w:hAnsi="Times New Roman" w:eastAsia="宋体" w:cs="Times New Roman"/>
                <w:color w:val="auto"/>
                <w:sz w:val="21"/>
                <w:szCs w:val="21"/>
                <w:lang w:val="en-US" w:eastAsia="zh-CN" w:bidi="zh-CN"/>
              </w:rPr>
            </w:pPr>
            <w:r>
              <w:rPr>
                <w:rFonts w:hint="eastAsia" w:ascii="Times New Roman" w:hAnsi="Times New Roman" w:eastAsia="宋体" w:cs="Times New Roman"/>
                <w:color w:val="auto"/>
                <w:sz w:val="21"/>
                <w:szCs w:val="21"/>
                <w:lang w:val="en-US" w:eastAsia="zh-CN" w:bidi="zh-CN"/>
              </w:rPr>
              <w:t>200</w:t>
            </w:r>
          </w:p>
        </w:tc>
        <w:tc>
          <w:tcPr>
            <w:tcW w:w="1929" w:type="dxa"/>
            <w:tcBorders>
              <w:tl2br w:val="nil"/>
              <w:tr2bl w:val="nil"/>
            </w:tcBorders>
            <w:noWrap w:val="0"/>
            <w:vAlign w:val="center"/>
          </w:tcPr>
          <w:p w14:paraId="323B6491">
            <w:pPr>
              <w:widowControl w:val="0"/>
              <w:kinsoku w:val="0"/>
              <w:overflowPunct w:val="0"/>
              <w:autoSpaceDE w:val="0"/>
              <w:autoSpaceDN w:val="0"/>
              <w:spacing w:line="240" w:lineRule="auto"/>
              <w:ind w:firstLine="0" w:firstLineChars="0"/>
              <w:jc w:val="center"/>
              <w:rPr>
                <w:rFonts w:hint="default" w:ascii="Times New Roman" w:hAnsi="Times New Roman" w:eastAsia="宋体" w:cs="Times New Roman"/>
                <w:color w:val="auto"/>
                <w:sz w:val="21"/>
                <w:szCs w:val="21"/>
                <w:lang w:val="en-US" w:eastAsia="zh-CN" w:bidi="zh-CN"/>
              </w:rPr>
            </w:pPr>
            <w:r>
              <w:rPr>
                <w:rFonts w:hint="eastAsia" w:ascii="Times New Roman" w:hAnsi="Times New Roman" w:eastAsia="宋体" w:cs="Times New Roman"/>
                <w:color w:val="auto"/>
                <w:sz w:val="21"/>
                <w:szCs w:val="21"/>
                <w:lang w:val="en-US" w:eastAsia="zh-CN" w:bidi="zh-CN"/>
              </w:rPr>
              <w:t>0.018</w:t>
            </w:r>
          </w:p>
        </w:tc>
      </w:tr>
      <w:tr w14:paraId="3EAEE0E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892" w:type="dxa"/>
            <w:vMerge w:val="continue"/>
            <w:tcBorders>
              <w:tl2br w:val="nil"/>
              <w:tr2bl w:val="nil"/>
            </w:tcBorders>
            <w:noWrap w:val="0"/>
            <w:vAlign w:val="center"/>
          </w:tcPr>
          <w:p w14:paraId="738E10A3">
            <w:pPr>
              <w:widowControl w:val="0"/>
              <w:kinsoku w:val="0"/>
              <w:overflowPunct w:val="0"/>
              <w:autoSpaceDE w:val="0"/>
              <w:autoSpaceDN w:val="0"/>
              <w:spacing w:line="240" w:lineRule="auto"/>
              <w:ind w:firstLine="0" w:firstLineChars="0"/>
              <w:jc w:val="center"/>
              <w:rPr>
                <w:rFonts w:ascii="Times New Roman" w:hAnsi="Times New Roman" w:eastAsia="宋体" w:cs="Times New Roman"/>
                <w:color w:val="auto"/>
                <w:sz w:val="21"/>
                <w:szCs w:val="21"/>
                <w:lang w:val="zh-CN" w:eastAsia="zh-CN" w:bidi="zh-CN"/>
              </w:rPr>
            </w:pPr>
          </w:p>
        </w:tc>
        <w:tc>
          <w:tcPr>
            <w:tcW w:w="1935" w:type="dxa"/>
            <w:tcBorders>
              <w:tl2br w:val="nil"/>
              <w:tr2bl w:val="nil"/>
            </w:tcBorders>
            <w:noWrap w:val="0"/>
            <w:vAlign w:val="center"/>
          </w:tcPr>
          <w:p w14:paraId="3A9460C8">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eastAsia="宋体"/>
                <w:color w:val="auto"/>
                <w:kern w:val="0"/>
                <w:sz w:val="21"/>
                <w:szCs w:val="21"/>
                <w:lang w:val="zh-CN" w:bidi="zh-CN"/>
              </w:rPr>
            </w:pPr>
            <w:r>
              <w:rPr>
                <w:rFonts w:hint="default" w:eastAsia="宋体"/>
                <w:color w:val="auto"/>
                <w:kern w:val="0"/>
                <w:sz w:val="21"/>
                <w:szCs w:val="21"/>
                <w:lang w:val="zh-CN" w:bidi="zh-CN"/>
              </w:rPr>
              <w:t>NH</w:t>
            </w:r>
            <w:r>
              <w:rPr>
                <w:rFonts w:hint="default" w:eastAsia="宋体"/>
                <w:color w:val="auto"/>
                <w:kern w:val="0"/>
                <w:sz w:val="21"/>
                <w:szCs w:val="21"/>
                <w:vertAlign w:val="subscript"/>
                <w:lang w:val="zh-CN" w:bidi="zh-CN"/>
              </w:rPr>
              <w:t>3</w:t>
            </w:r>
            <w:r>
              <w:rPr>
                <w:rFonts w:hint="default" w:eastAsia="宋体"/>
                <w:color w:val="auto"/>
                <w:kern w:val="0"/>
                <w:sz w:val="21"/>
                <w:szCs w:val="21"/>
                <w:lang w:val="zh-CN" w:bidi="zh-CN"/>
              </w:rPr>
              <w:t>-N</w:t>
            </w:r>
          </w:p>
        </w:tc>
        <w:tc>
          <w:tcPr>
            <w:tcW w:w="2553" w:type="dxa"/>
            <w:tcBorders>
              <w:tl2br w:val="nil"/>
              <w:tr2bl w:val="nil"/>
            </w:tcBorders>
            <w:noWrap w:val="0"/>
            <w:vAlign w:val="center"/>
          </w:tcPr>
          <w:p w14:paraId="61C57B19">
            <w:pPr>
              <w:widowControl w:val="0"/>
              <w:kinsoku w:val="0"/>
              <w:overflowPunct w:val="0"/>
              <w:autoSpaceDE w:val="0"/>
              <w:autoSpaceDN w:val="0"/>
              <w:spacing w:line="240" w:lineRule="auto"/>
              <w:ind w:firstLine="0" w:firstLineChars="0"/>
              <w:jc w:val="center"/>
              <w:rPr>
                <w:rFonts w:ascii="Times New Roman" w:hAnsi="Times New Roman" w:eastAsia="宋体" w:cs="Times New Roman"/>
                <w:color w:val="auto"/>
                <w:sz w:val="21"/>
                <w:szCs w:val="21"/>
                <w:lang w:val="en-US" w:eastAsia="zh-CN" w:bidi="zh-CN"/>
              </w:rPr>
            </w:pPr>
            <w:r>
              <w:rPr>
                <w:rFonts w:ascii="Times New Roman" w:hAnsi="Times New Roman" w:eastAsia="宋体" w:cs="Times New Roman"/>
                <w:color w:val="auto"/>
                <w:sz w:val="21"/>
                <w:szCs w:val="21"/>
                <w:lang w:val="en-US" w:eastAsia="zh-CN" w:bidi="zh-CN"/>
              </w:rPr>
              <w:t>30</w:t>
            </w:r>
          </w:p>
        </w:tc>
        <w:tc>
          <w:tcPr>
            <w:tcW w:w="1929" w:type="dxa"/>
            <w:tcBorders>
              <w:tl2br w:val="nil"/>
              <w:tr2bl w:val="nil"/>
            </w:tcBorders>
            <w:noWrap w:val="0"/>
            <w:vAlign w:val="center"/>
          </w:tcPr>
          <w:p w14:paraId="401744AA">
            <w:pPr>
              <w:widowControl w:val="0"/>
              <w:kinsoku w:val="0"/>
              <w:overflowPunct w:val="0"/>
              <w:autoSpaceDE w:val="0"/>
              <w:autoSpaceDN w:val="0"/>
              <w:spacing w:line="240" w:lineRule="auto"/>
              <w:ind w:firstLine="0" w:firstLineChars="0"/>
              <w:jc w:val="center"/>
              <w:rPr>
                <w:rFonts w:hint="default" w:ascii="Times New Roman" w:hAnsi="Times New Roman" w:eastAsia="宋体" w:cs="Times New Roman"/>
                <w:color w:val="auto"/>
                <w:sz w:val="21"/>
                <w:szCs w:val="21"/>
                <w:lang w:val="en-US" w:eastAsia="zh-CN" w:bidi="zh-CN"/>
              </w:rPr>
            </w:pPr>
            <w:r>
              <w:rPr>
                <w:rFonts w:hint="eastAsia" w:ascii="Times New Roman" w:hAnsi="Times New Roman" w:eastAsia="宋体" w:cs="Times New Roman"/>
                <w:color w:val="auto"/>
                <w:sz w:val="21"/>
                <w:szCs w:val="21"/>
                <w:lang w:val="en-US" w:eastAsia="zh-CN" w:bidi="zh-CN"/>
              </w:rPr>
              <w:t>0.0028</w:t>
            </w:r>
          </w:p>
        </w:tc>
      </w:tr>
    </w:tbl>
    <w:p w14:paraId="3F463016">
      <w:pPr>
        <w:pStyle w:val="5"/>
        <w:rPr>
          <w:rFonts w:ascii="Times New Roman" w:hAnsi="Times New Roman"/>
          <w:color w:val="000000"/>
          <w:lang w:val="en-US"/>
        </w:rPr>
      </w:pPr>
      <w:r>
        <w:rPr>
          <w:rFonts w:hint="eastAsia" w:ascii="Times New Roman" w:hAnsi="Times New Roman"/>
          <w:color w:val="000000"/>
          <w:lang w:val="en-US"/>
        </w:rPr>
        <w:t>3.4.2.3噪声污染源分析</w:t>
      </w:r>
    </w:p>
    <w:p w14:paraId="02AFA126">
      <w:pPr>
        <w:snapToGrid w:val="0"/>
        <w:spacing w:line="440" w:lineRule="exact"/>
        <w:ind w:firstLine="480" w:firstLineChars="200"/>
        <w:rPr>
          <w:rFonts w:hint="eastAsia" w:ascii="宋体" w:hAnsi="宋体" w:cs="宋体"/>
          <w:sz w:val="24"/>
          <w:szCs w:val="24"/>
        </w:rPr>
      </w:pPr>
      <w:r>
        <w:rPr>
          <w:rFonts w:hint="eastAsia" w:ascii="宋体" w:hAnsi="宋体" w:cs="宋体"/>
          <w:sz w:val="24"/>
          <w:szCs w:val="24"/>
        </w:rPr>
        <w:t>本项目主要噪声源包括生产车间生产设备产生的机械噪声和进出车辆出入</w:t>
      </w:r>
      <w:r>
        <w:rPr>
          <w:rFonts w:hint="eastAsia" w:ascii="宋体" w:hAnsi="宋体" w:cs="宋体"/>
          <w:sz w:val="24"/>
          <w:szCs w:val="24"/>
          <w:lang w:eastAsia="zh-CN"/>
        </w:rPr>
        <w:t>厂区</w:t>
      </w:r>
      <w:r>
        <w:rPr>
          <w:rFonts w:hint="eastAsia" w:ascii="宋体" w:hAnsi="宋体" w:cs="宋体"/>
          <w:sz w:val="24"/>
          <w:szCs w:val="24"/>
        </w:rPr>
        <w:t>的车辆噪声。噪声源强约为65～80dB(A)。大部分噪声设备均置于室内。经过类比调查，主要噪声源排放情况见表3.4-</w:t>
      </w:r>
      <w:r>
        <w:rPr>
          <w:rFonts w:hint="eastAsia" w:ascii="宋体" w:hAnsi="宋体" w:cs="宋体"/>
          <w:sz w:val="24"/>
          <w:szCs w:val="24"/>
          <w:lang w:val="en-US" w:eastAsia="zh-CN"/>
        </w:rPr>
        <w:t>4</w:t>
      </w:r>
      <w:r>
        <w:rPr>
          <w:rFonts w:hint="eastAsia" w:ascii="宋体" w:hAnsi="宋体" w:cs="宋体"/>
          <w:sz w:val="24"/>
          <w:szCs w:val="24"/>
        </w:rPr>
        <w:t>和表3.4-</w:t>
      </w:r>
      <w:r>
        <w:rPr>
          <w:rFonts w:hint="eastAsia" w:ascii="宋体" w:hAnsi="宋体" w:cs="宋体"/>
          <w:sz w:val="24"/>
          <w:szCs w:val="24"/>
          <w:lang w:val="en-US" w:eastAsia="zh-CN"/>
        </w:rPr>
        <w:t>5</w:t>
      </w:r>
      <w:r>
        <w:rPr>
          <w:rFonts w:hint="eastAsia" w:ascii="宋体" w:hAnsi="宋体" w:cs="宋体"/>
          <w:sz w:val="24"/>
          <w:szCs w:val="24"/>
        </w:rPr>
        <w:t>。</w:t>
      </w:r>
    </w:p>
    <w:p w14:paraId="26C5EA86">
      <w:pPr>
        <w:adjustRightInd w:val="0"/>
        <w:snapToGrid w:val="0"/>
        <w:spacing w:line="440" w:lineRule="exact"/>
        <w:ind w:firstLine="422" w:firstLineChars="200"/>
        <w:jc w:val="center"/>
        <w:rPr>
          <w:rFonts w:hint="eastAsia" w:ascii="宋体" w:hAnsi="宋体" w:cs="宋体"/>
          <w:b/>
          <w:kern w:val="0"/>
          <w:szCs w:val="21"/>
        </w:rPr>
      </w:pPr>
      <w:r>
        <w:rPr>
          <w:rFonts w:hint="eastAsia" w:ascii="宋体" w:hAnsi="宋体" w:cs="宋体"/>
          <w:b/>
          <w:kern w:val="0"/>
          <w:szCs w:val="21"/>
        </w:rPr>
        <w:t>表3.4-</w:t>
      </w:r>
      <w:r>
        <w:rPr>
          <w:rFonts w:hint="eastAsia" w:ascii="宋体" w:hAnsi="宋体" w:cs="宋体"/>
          <w:b/>
          <w:kern w:val="0"/>
          <w:szCs w:val="21"/>
          <w:lang w:val="en-US" w:eastAsia="zh-CN"/>
        </w:rPr>
        <w:t>4</w:t>
      </w:r>
      <w:r>
        <w:rPr>
          <w:rFonts w:hint="eastAsia" w:ascii="宋体" w:hAnsi="宋体" w:cs="宋体"/>
          <w:b/>
          <w:kern w:val="0"/>
          <w:szCs w:val="21"/>
        </w:rPr>
        <w:t xml:space="preserve">    项目室外声源噪声源强调查清单表</w:t>
      </w:r>
    </w:p>
    <w:tbl>
      <w:tblPr>
        <w:tblStyle w:val="243"/>
        <w:tblW w:w="5313" w:type="pct"/>
        <w:jc w:val="center"/>
        <w:tblBorders>
          <w:top w:val="single" w:color="000000" w:sz="12" w:space="0"/>
          <w:left w:val="single" w:color="000000" w:sz="12" w:space="0"/>
          <w:bottom w:val="single" w:color="000000" w:sz="12" w:space="0"/>
          <w:right w:val="single" w:color="000000" w:sz="12" w:space="0"/>
          <w:insideH w:val="single" w:color="000000" w:sz="2" w:space="0"/>
          <w:insideV w:val="single" w:color="000000" w:sz="4" w:space="0"/>
        </w:tblBorders>
        <w:tblLayout w:type="fixed"/>
        <w:tblCellMar>
          <w:top w:w="0" w:type="dxa"/>
          <w:left w:w="0" w:type="dxa"/>
          <w:bottom w:w="0" w:type="dxa"/>
          <w:right w:w="0" w:type="dxa"/>
        </w:tblCellMar>
      </w:tblPr>
      <w:tblGrid>
        <w:gridCol w:w="729"/>
        <w:gridCol w:w="805"/>
        <w:gridCol w:w="826"/>
        <w:gridCol w:w="741"/>
        <w:gridCol w:w="752"/>
        <w:gridCol w:w="761"/>
        <w:gridCol w:w="1823"/>
        <w:gridCol w:w="2005"/>
        <w:gridCol w:w="1230"/>
      </w:tblGrid>
      <w:tr w14:paraId="5DD2B680">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4" w:space="0"/>
          </w:tblBorders>
          <w:tblCellMar>
            <w:top w:w="0" w:type="dxa"/>
            <w:left w:w="0" w:type="dxa"/>
            <w:bottom w:w="0" w:type="dxa"/>
            <w:right w:w="0" w:type="dxa"/>
          </w:tblCellMar>
        </w:tblPrEx>
        <w:trPr>
          <w:trHeight w:val="358" w:hRule="atLeast"/>
          <w:jc w:val="center"/>
        </w:trPr>
        <w:tc>
          <w:tcPr>
            <w:tcW w:w="377" w:type="pct"/>
            <w:vMerge w:val="restart"/>
            <w:tcBorders>
              <w:tl2br w:val="nil"/>
              <w:tr2bl w:val="nil"/>
            </w:tcBorders>
            <w:vAlign w:val="center"/>
          </w:tcPr>
          <w:p w14:paraId="11C2E79C">
            <w:pPr>
              <w:snapToGrid w:val="0"/>
              <w:jc w:val="center"/>
              <w:rPr>
                <w:rFonts w:hint="eastAsia" w:ascii="宋体" w:hAnsi="宋体" w:eastAsia="宋体" w:cs="宋体"/>
                <w:szCs w:val="21"/>
                <w:lang w:val="en-US" w:eastAsia="zh-CN"/>
              </w:rPr>
            </w:pPr>
            <w:r>
              <w:rPr>
                <w:rFonts w:hint="eastAsia" w:ascii="宋体" w:hAnsi="宋体" w:cs="宋体"/>
                <w:szCs w:val="21"/>
              </w:rPr>
              <w:t>声源名称</w:t>
            </w:r>
          </w:p>
        </w:tc>
        <w:tc>
          <w:tcPr>
            <w:tcW w:w="415" w:type="pct"/>
            <w:vMerge w:val="restart"/>
            <w:tcBorders>
              <w:right w:val="single" w:color="auto" w:sz="4" w:space="0"/>
              <w:tl2br w:val="nil"/>
              <w:tr2bl w:val="nil"/>
            </w:tcBorders>
            <w:vAlign w:val="center"/>
          </w:tcPr>
          <w:p w14:paraId="7D3BF661">
            <w:pPr>
              <w:snapToGrid w:val="0"/>
              <w:jc w:val="center"/>
              <w:rPr>
                <w:rFonts w:hint="eastAsia" w:ascii="宋体" w:hAnsi="宋体" w:cs="宋体"/>
                <w:szCs w:val="21"/>
              </w:rPr>
            </w:pPr>
            <w:r>
              <w:rPr>
                <w:rFonts w:hint="eastAsia" w:ascii="宋体" w:hAnsi="宋体" w:cs="宋体"/>
                <w:szCs w:val="21"/>
              </w:rPr>
              <w:t>型号</w:t>
            </w:r>
          </w:p>
        </w:tc>
        <w:tc>
          <w:tcPr>
            <w:tcW w:w="426" w:type="pct"/>
            <w:vMerge w:val="restart"/>
            <w:tcBorders>
              <w:left w:val="single" w:color="auto" w:sz="4" w:space="0"/>
              <w:tl2br w:val="nil"/>
              <w:tr2bl w:val="nil"/>
            </w:tcBorders>
            <w:vAlign w:val="center"/>
          </w:tcPr>
          <w:p w14:paraId="061D1F18">
            <w:pPr>
              <w:snapToGrid w:val="0"/>
              <w:jc w:val="center"/>
              <w:rPr>
                <w:rFonts w:hint="eastAsia" w:ascii="宋体" w:hAnsi="宋体" w:cs="宋体"/>
                <w:szCs w:val="21"/>
                <w:lang w:val="en-US" w:eastAsia="zh-CN"/>
              </w:rPr>
            </w:pPr>
            <w:r>
              <w:rPr>
                <w:rFonts w:hint="eastAsia" w:ascii="宋体" w:hAnsi="宋体" w:cs="宋体"/>
                <w:szCs w:val="21"/>
                <w:lang w:val="en-US" w:eastAsia="zh-CN"/>
              </w:rPr>
              <w:t>数量</w:t>
            </w:r>
          </w:p>
          <w:p w14:paraId="1A596760">
            <w:pPr>
              <w:snapToGrid w:val="0"/>
              <w:jc w:val="center"/>
              <w:rPr>
                <w:rFonts w:hint="default" w:ascii="宋体" w:hAnsi="宋体" w:eastAsia="宋体" w:cs="宋体"/>
                <w:szCs w:val="21"/>
                <w:lang w:val="en-US" w:eastAsia="zh-CN"/>
              </w:rPr>
            </w:pPr>
            <w:r>
              <w:rPr>
                <w:rFonts w:hint="eastAsia" w:ascii="宋体" w:hAnsi="宋体" w:cs="宋体"/>
                <w:szCs w:val="21"/>
                <w:lang w:val="en-US" w:eastAsia="zh-CN"/>
              </w:rPr>
              <w:t>（台/辆）</w:t>
            </w:r>
          </w:p>
        </w:tc>
        <w:tc>
          <w:tcPr>
            <w:tcW w:w="1165" w:type="pct"/>
            <w:gridSpan w:val="3"/>
            <w:tcBorders>
              <w:tl2br w:val="nil"/>
              <w:tr2bl w:val="nil"/>
            </w:tcBorders>
            <w:vAlign w:val="center"/>
          </w:tcPr>
          <w:p w14:paraId="0067D59D">
            <w:pPr>
              <w:snapToGrid w:val="0"/>
              <w:jc w:val="center"/>
              <w:rPr>
                <w:rFonts w:hint="eastAsia" w:ascii="宋体" w:hAnsi="宋体" w:cs="宋体"/>
                <w:szCs w:val="21"/>
              </w:rPr>
            </w:pPr>
            <w:r>
              <w:rPr>
                <w:rFonts w:hint="eastAsia" w:ascii="宋体" w:hAnsi="宋体" w:cs="宋体"/>
                <w:szCs w:val="21"/>
              </w:rPr>
              <w:t>空间相对位置/m</w:t>
            </w:r>
          </w:p>
        </w:tc>
        <w:tc>
          <w:tcPr>
            <w:tcW w:w="942" w:type="pct"/>
            <w:vMerge w:val="restart"/>
            <w:tcBorders>
              <w:tl2br w:val="nil"/>
              <w:tr2bl w:val="nil"/>
            </w:tcBorders>
            <w:vAlign w:val="center"/>
          </w:tcPr>
          <w:p w14:paraId="2A7A8A94">
            <w:pPr>
              <w:snapToGrid w:val="0"/>
              <w:jc w:val="center"/>
              <w:rPr>
                <w:rFonts w:hint="eastAsia" w:ascii="宋体" w:hAnsi="宋体" w:cs="宋体"/>
                <w:szCs w:val="21"/>
              </w:rPr>
            </w:pPr>
            <w:r>
              <w:rPr>
                <w:rFonts w:hint="eastAsia" w:ascii="宋体" w:hAnsi="宋体" w:cs="宋体"/>
                <w:szCs w:val="21"/>
              </w:rPr>
              <w:t>声压级/距声源距离/（dB(A)/m）</w:t>
            </w:r>
          </w:p>
        </w:tc>
        <w:tc>
          <w:tcPr>
            <w:tcW w:w="1036" w:type="pct"/>
            <w:vMerge w:val="restart"/>
            <w:tcBorders>
              <w:tl2br w:val="nil"/>
              <w:tr2bl w:val="nil"/>
            </w:tcBorders>
            <w:vAlign w:val="center"/>
          </w:tcPr>
          <w:p w14:paraId="3A231F7E">
            <w:pPr>
              <w:snapToGrid w:val="0"/>
              <w:jc w:val="center"/>
              <w:rPr>
                <w:rFonts w:hint="eastAsia" w:ascii="宋体" w:hAnsi="宋体" w:cs="宋体"/>
                <w:szCs w:val="21"/>
              </w:rPr>
            </w:pPr>
            <w:r>
              <w:rPr>
                <w:rFonts w:hint="eastAsia" w:ascii="宋体" w:hAnsi="宋体" w:cs="宋体"/>
                <w:szCs w:val="21"/>
              </w:rPr>
              <w:t>声源控制措施</w:t>
            </w:r>
          </w:p>
        </w:tc>
        <w:tc>
          <w:tcPr>
            <w:tcW w:w="635" w:type="pct"/>
            <w:vMerge w:val="restart"/>
            <w:tcBorders>
              <w:tl2br w:val="nil"/>
              <w:tr2bl w:val="nil"/>
            </w:tcBorders>
            <w:vAlign w:val="center"/>
          </w:tcPr>
          <w:p w14:paraId="707BF0D3">
            <w:pPr>
              <w:snapToGrid w:val="0"/>
              <w:jc w:val="center"/>
              <w:rPr>
                <w:rFonts w:hint="eastAsia" w:ascii="宋体" w:hAnsi="宋体" w:cs="宋体"/>
                <w:szCs w:val="21"/>
              </w:rPr>
            </w:pPr>
            <w:r>
              <w:rPr>
                <w:rFonts w:hint="eastAsia" w:ascii="宋体" w:hAnsi="宋体" w:cs="宋体"/>
                <w:szCs w:val="21"/>
              </w:rPr>
              <w:t>运行时段</w:t>
            </w:r>
          </w:p>
        </w:tc>
      </w:tr>
      <w:tr w14:paraId="17AD6336">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4" w:space="0"/>
          </w:tblBorders>
          <w:tblCellMar>
            <w:top w:w="0" w:type="dxa"/>
            <w:left w:w="0" w:type="dxa"/>
            <w:bottom w:w="0" w:type="dxa"/>
            <w:right w:w="0" w:type="dxa"/>
          </w:tblCellMar>
        </w:tblPrEx>
        <w:trPr>
          <w:trHeight w:val="275" w:hRule="atLeast"/>
          <w:jc w:val="center"/>
        </w:trPr>
        <w:tc>
          <w:tcPr>
            <w:tcW w:w="377" w:type="pct"/>
            <w:vMerge w:val="continue"/>
            <w:tcBorders>
              <w:tl2br w:val="nil"/>
              <w:tr2bl w:val="nil"/>
            </w:tcBorders>
            <w:vAlign w:val="center"/>
          </w:tcPr>
          <w:p w14:paraId="77B04368">
            <w:pPr>
              <w:snapToGrid w:val="0"/>
              <w:jc w:val="center"/>
              <w:rPr>
                <w:rFonts w:hint="eastAsia" w:ascii="宋体" w:hAnsi="宋体" w:cs="宋体"/>
                <w:szCs w:val="21"/>
              </w:rPr>
            </w:pPr>
          </w:p>
        </w:tc>
        <w:tc>
          <w:tcPr>
            <w:tcW w:w="415" w:type="pct"/>
            <w:vMerge w:val="continue"/>
            <w:tcBorders>
              <w:right w:val="single" w:color="auto" w:sz="4" w:space="0"/>
              <w:tl2br w:val="nil"/>
              <w:tr2bl w:val="nil"/>
            </w:tcBorders>
            <w:vAlign w:val="center"/>
          </w:tcPr>
          <w:p w14:paraId="4016F719">
            <w:pPr>
              <w:snapToGrid w:val="0"/>
              <w:jc w:val="center"/>
              <w:rPr>
                <w:rFonts w:hint="eastAsia" w:ascii="宋体" w:hAnsi="宋体" w:cs="宋体"/>
                <w:szCs w:val="21"/>
              </w:rPr>
            </w:pPr>
          </w:p>
        </w:tc>
        <w:tc>
          <w:tcPr>
            <w:tcW w:w="426" w:type="pct"/>
            <w:vMerge w:val="continue"/>
            <w:tcBorders>
              <w:left w:val="single" w:color="auto" w:sz="4" w:space="0"/>
              <w:tl2br w:val="nil"/>
              <w:tr2bl w:val="nil"/>
            </w:tcBorders>
            <w:vAlign w:val="center"/>
          </w:tcPr>
          <w:p w14:paraId="242F41FC">
            <w:pPr>
              <w:snapToGrid w:val="0"/>
              <w:jc w:val="center"/>
              <w:rPr>
                <w:rFonts w:hint="eastAsia" w:ascii="宋体" w:hAnsi="宋体" w:cs="宋体"/>
                <w:szCs w:val="21"/>
              </w:rPr>
            </w:pPr>
          </w:p>
        </w:tc>
        <w:tc>
          <w:tcPr>
            <w:tcW w:w="383" w:type="pct"/>
            <w:tcBorders>
              <w:tl2br w:val="nil"/>
              <w:tr2bl w:val="nil"/>
            </w:tcBorders>
            <w:vAlign w:val="center"/>
          </w:tcPr>
          <w:p w14:paraId="4C125FE9">
            <w:pPr>
              <w:snapToGrid w:val="0"/>
              <w:jc w:val="center"/>
              <w:rPr>
                <w:rFonts w:hint="eastAsia" w:ascii="宋体" w:hAnsi="宋体" w:cs="宋体"/>
                <w:szCs w:val="21"/>
              </w:rPr>
            </w:pPr>
            <w:r>
              <w:rPr>
                <w:rFonts w:hint="eastAsia" w:ascii="宋体" w:hAnsi="宋体" w:cs="宋体"/>
                <w:szCs w:val="21"/>
              </w:rPr>
              <w:t>X</w:t>
            </w:r>
          </w:p>
        </w:tc>
        <w:tc>
          <w:tcPr>
            <w:tcW w:w="389" w:type="pct"/>
            <w:tcBorders>
              <w:tl2br w:val="nil"/>
              <w:tr2bl w:val="nil"/>
            </w:tcBorders>
            <w:vAlign w:val="center"/>
          </w:tcPr>
          <w:p w14:paraId="77F641B6">
            <w:pPr>
              <w:snapToGrid w:val="0"/>
              <w:jc w:val="center"/>
              <w:rPr>
                <w:rFonts w:hint="eastAsia" w:ascii="宋体" w:hAnsi="宋体" w:cs="宋体"/>
                <w:szCs w:val="21"/>
              </w:rPr>
            </w:pPr>
            <w:r>
              <w:rPr>
                <w:rFonts w:hint="eastAsia" w:ascii="宋体" w:hAnsi="宋体" w:cs="宋体"/>
                <w:szCs w:val="21"/>
              </w:rPr>
              <w:t>Y</w:t>
            </w:r>
          </w:p>
        </w:tc>
        <w:tc>
          <w:tcPr>
            <w:tcW w:w="393" w:type="pct"/>
            <w:tcBorders>
              <w:tl2br w:val="nil"/>
              <w:tr2bl w:val="nil"/>
            </w:tcBorders>
            <w:vAlign w:val="center"/>
          </w:tcPr>
          <w:p w14:paraId="3D43DBAD">
            <w:pPr>
              <w:snapToGrid w:val="0"/>
              <w:jc w:val="center"/>
              <w:rPr>
                <w:rFonts w:hint="eastAsia" w:ascii="宋体" w:hAnsi="宋体" w:cs="宋体"/>
                <w:szCs w:val="21"/>
              </w:rPr>
            </w:pPr>
            <w:r>
              <w:rPr>
                <w:rFonts w:hint="eastAsia" w:ascii="宋体" w:hAnsi="宋体" w:cs="宋体"/>
                <w:szCs w:val="21"/>
              </w:rPr>
              <w:t>Z</w:t>
            </w:r>
          </w:p>
        </w:tc>
        <w:tc>
          <w:tcPr>
            <w:tcW w:w="942" w:type="pct"/>
            <w:vMerge w:val="continue"/>
            <w:tcBorders>
              <w:tl2br w:val="nil"/>
              <w:tr2bl w:val="nil"/>
            </w:tcBorders>
            <w:vAlign w:val="center"/>
          </w:tcPr>
          <w:p w14:paraId="6F4F5FB9">
            <w:pPr>
              <w:snapToGrid w:val="0"/>
              <w:jc w:val="center"/>
              <w:rPr>
                <w:rFonts w:hint="eastAsia" w:ascii="宋体" w:hAnsi="宋体" w:cs="宋体"/>
                <w:szCs w:val="21"/>
              </w:rPr>
            </w:pPr>
          </w:p>
        </w:tc>
        <w:tc>
          <w:tcPr>
            <w:tcW w:w="1036" w:type="pct"/>
            <w:vMerge w:val="continue"/>
            <w:tcBorders>
              <w:tl2br w:val="nil"/>
              <w:tr2bl w:val="nil"/>
            </w:tcBorders>
            <w:vAlign w:val="center"/>
          </w:tcPr>
          <w:p w14:paraId="53184147">
            <w:pPr>
              <w:snapToGrid w:val="0"/>
              <w:jc w:val="center"/>
              <w:rPr>
                <w:rFonts w:hint="eastAsia" w:ascii="宋体" w:hAnsi="宋体" w:cs="宋体"/>
                <w:szCs w:val="21"/>
              </w:rPr>
            </w:pPr>
          </w:p>
        </w:tc>
        <w:tc>
          <w:tcPr>
            <w:tcW w:w="635" w:type="pct"/>
            <w:vMerge w:val="continue"/>
            <w:tcBorders>
              <w:tl2br w:val="nil"/>
              <w:tr2bl w:val="nil"/>
            </w:tcBorders>
            <w:vAlign w:val="center"/>
          </w:tcPr>
          <w:p w14:paraId="648D3169">
            <w:pPr>
              <w:snapToGrid w:val="0"/>
              <w:jc w:val="center"/>
              <w:rPr>
                <w:rFonts w:hint="eastAsia" w:ascii="宋体" w:hAnsi="宋体" w:cs="宋体"/>
                <w:szCs w:val="21"/>
              </w:rPr>
            </w:pPr>
          </w:p>
        </w:tc>
      </w:tr>
      <w:tr w14:paraId="0204E35F">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4" w:space="0"/>
          </w:tblBorders>
          <w:tblCellMar>
            <w:top w:w="0" w:type="dxa"/>
            <w:left w:w="0" w:type="dxa"/>
            <w:bottom w:w="0" w:type="dxa"/>
            <w:right w:w="0" w:type="dxa"/>
          </w:tblCellMar>
        </w:tblPrEx>
        <w:trPr>
          <w:trHeight w:val="457" w:hRule="atLeast"/>
          <w:jc w:val="center"/>
        </w:trPr>
        <w:tc>
          <w:tcPr>
            <w:tcW w:w="377" w:type="pct"/>
            <w:tcBorders>
              <w:tl2br w:val="nil"/>
              <w:tr2bl w:val="nil"/>
            </w:tcBorders>
            <w:vAlign w:val="center"/>
          </w:tcPr>
          <w:p w14:paraId="7FE28E67">
            <w:pPr>
              <w:snapToGrid w:val="0"/>
              <w:jc w:val="center"/>
              <w:rPr>
                <w:rFonts w:hint="eastAsia" w:ascii="宋体" w:hAnsi="宋体" w:cs="宋体"/>
                <w:szCs w:val="21"/>
              </w:rPr>
            </w:pPr>
            <w:r>
              <w:rPr>
                <w:rFonts w:hint="eastAsia" w:ascii="宋体" w:hAnsi="宋体" w:cs="宋体"/>
                <w:szCs w:val="21"/>
                <w:lang w:val="en-US" w:eastAsia="zh-CN"/>
              </w:rPr>
              <w:t>1#</w:t>
            </w:r>
            <w:r>
              <w:rPr>
                <w:rFonts w:hint="eastAsia" w:ascii="宋体" w:hAnsi="宋体" w:cs="宋体"/>
                <w:szCs w:val="21"/>
              </w:rPr>
              <w:t>自卸汽车</w:t>
            </w:r>
          </w:p>
        </w:tc>
        <w:tc>
          <w:tcPr>
            <w:tcW w:w="415" w:type="pct"/>
            <w:tcBorders>
              <w:right w:val="single" w:color="auto" w:sz="4" w:space="0"/>
              <w:tl2br w:val="nil"/>
              <w:tr2bl w:val="nil"/>
            </w:tcBorders>
            <w:vAlign w:val="center"/>
          </w:tcPr>
          <w:p w14:paraId="317DFB22">
            <w:pPr>
              <w:snapToGrid w:val="0"/>
              <w:jc w:val="center"/>
              <w:rPr>
                <w:rFonts w:hint="default" w:ascii="宋体" w:hAnsi="宋体" w:eastAsia="宋体" w:cs="宋体"/>
                <w:kern w:val="0"/>
                <w:szCs w:val="21"/>
                <w:lang w:val="en-US" w:eastAsia="zh-CN"/>
              </w:rPr>
            </w:pPr>
            <w:r>
              <w:rPr>
                <w:rFonts w:hint="eastAsia" w:ascii="宋体" w:hAnsi="宋体" w:cs="宋体"/>
                <w:kern w:val="0"/>
                <w:szCs w:val="21"/>
                <w:lang w:val="en-US" w:eastAsia="zh-CN"/>
              </w:rPr>
              <w:t>15t</w:t>
            </w:r>
          </w:p>
        </w:tc>
        <w:tc>
          <w:tcPr>
            <w:tcW w:w="426" w:type="pct"/>
            <w:tcBorders>
              <w:left w:val="single" w:color="auto" w:sz="4" w:space="0"/>
              <w:tl2br w:val="nil"/>
              <w:tr2bl w:val="nil"/>
            </w:tcBorders>
            <w:vAlign w:val="center"/>
          </w:tcPr>
          <w:p w14:paraId="71C80ADC">
            <w:pPr>
              <w:snapToGrid w:val="0"/>
              <w:jc w:val="center"/>
              <w:rPr>
                <w:rFonts w:hint="default" w:ascii="宋体" w:hAnsi="宋体" w:cs="宋体"/>
                <w:kern w:val="0"/>
                <w:szCs w:val="21"/>
                <w:lang w:val="en-US" w:eastAsia="zh-CN"/>
              </w:rPr>
            </w:pPr>
            <w:r>
              <w:rPr>
                <w:rFonts w:hint="eastAsia" w:ascii="宋体" w:hAnsi="宋体" w:cs="宋体"/>
                <w:kern w:val="0"/>
                <w:szCs w:val="21"/>
                <w:lang w:val="en-US" w:eastAsia="zh-CN"/>
              </w:rPr>
              <w:t>1</w:t>
            </w:r>
          </w:p>
        </w:tc>
        <w:tc>
          <w:tcPr>
            <w:tcW w:w="383" w:type="pct"/>
            <w:tcBorders>
              <w:tl2br w:val="nil"/>
              <w:tr2bl w:val="nil"/>
            </w:tcBorders>
            <w:vAlign w:val="center"/>
          </w:tcPr>
          <w:p w14:paraId="4918089D">
            <w:pPr>
              <w:snapToGrid w:val="0"/>
              <w:jc w:val="center"/>
              <w:rPr>
                <w:rFonts w:hint="eastAsia" w:ascii="宋体" w:hAnsi="宋体" w:cs="宋体"/>
                <w:szCs w:val="21"/>
              </w:rPr>
            </w:pPr>
            <w:r>
              <w:rPr>
                <w:rFonts w:hint="eastAsia" w:ascii="宋体" w:hAnsi="宋体" w:cs="宋体"/>
                <w:szCs w:val="21"/>
              </w:rPr>
              <w:t>26</w:t>
            </w:r>
          </w:p>
        </w:tc>
        <w:tc>
          <w:tcPr>
            <w:tcW w:w="389" w:type="pct"/>
            <w:tcBorders>
              <w:tl2br w:val="nil"/>
              <w:tr2bl w:val="nil"/>
            </w:tcBorders>
            <w:vAlign w:val="center"/>
          </w:tcPr>
          <w:p w14:paraId="3A0F50E4">
            <w:pPr>
              <w:snapToGrid w:val="0"/>
              <w:jc w:val="center"/>
              <w:rPr>
                <w:rFonts w:hint="eastAsia" w:ascii="宋体" w:hAnsi="宋体" w:cs="宋体"/>
                <w:szCs w:val="21"/>
              </w:rPr>
            </w:pPr>
            <w:r>
              <w:rPr>
                <w:rFonts w:hint="eastAsia" w:ascii="宋体" w:hAnsi="宋体" w:cs="宋体"/>
                <w:szCs w:val="21"/>
              </w:rPr>
              <w:t>12</w:t>
            </w:r>
          </w:p>
        </w:tc>
        <w:tc>
          <w:tcPr>
            <w:tcW w:w="393" w:type="pct"/>
            <w:tcBorders>
              <w:tl2br w:val="nil"/>
              <w:tr2bl w:val="nil"/>
            </w:tcBorders>
            <w:vAlign w:val="center"/>
          </w:tcPr>
          <w:p w14:paraId="789F1D35">
            <w:pPr>
              <w:snapToGrid w:val="0"/>
              <w:jc w:val="center"/>
              <w:rPr>
                <w:rFonts w:hint="eastAsia" w:ascii="宋体" w:hAnsi="宋体" w:cs="宋体"/>
                <w:szCs w:val="21"/>
              </w:rPr>
            </w:pPr>
            <w:r>
              <w:rPr>
                <w:rFonts w:hint="eastAsia" w:ascii="宋体" w:hAnsi="宋体" w:cs="宋体"/>
                <w:szCs w:val="21"/>
              </w:rPr>
              <w:t>1.5</w:t>
            </w:r>
          </w:p>
        </w:tc>
        <w:tc>
          <w:tcPr>
            <w:tcW w:w="942" w:type="pct"/>
            <w:tcBorders>
              <w:tl2br w:val="nil"/>
              <w:tr2bl w:val="nil"/>
            </w:tcBorders>
            <w:vAlign w:val="center"/>
          </w:tcPr>
          <w:p w14:paraId="0B30670E">
            <w:pPr>
              <w:snapToGrid w:val="0"/>
              <w:jc w:val="center"/>
              <w:rPr>
                <w:rFonts w:hint="eastAsia" w:ascii="宋体" w:hAnsi="宋体" w:cs="宋体"/>
                <w:szCs w:val="21"/>
              </w:rPr>
            </w:pPr>
            <w:r>
              <w:rPr>
                <w:rFonts w:hint="eastAsia" w:ascii="宋体" w:hAnsi="宋体" w:cs="宋体"/>
                <w:szCs w:val="21"/>
              </w:rPr>
              <w:t>80</w:t>
            </w:r>
          </w:p>
        </w:tc>
        <w:tc>
          <w:tcPr>
            <w:tcW w:w="1036" w:type="pct"/>
            <w:vMerge w:val="restart"/>
            <w:tcBorders>
              <w:tl2br w:val="nil"/>
              <w:tr2bl w:val="nil"/>
            </w:tcBorders>
            <w:vAlign w:val="center"/>
          </w:tcPr>
          <w:p w14:paraId="5AEE2DAB">
            <w:pPr>
              <w:snapToGrid w:val="0"/>
              <w:jc w:val="center"/>
              <w:rPr>
                <w:rFonts w:hint="eastAsia" w:ascii="宋体" w:hAnsi="宋体" w:cs="宋体"/>
                <w:szCs w:val="21"/>
              </w:rPr>
            </w:pPr>
            <w:r>
              <w:rPr>
                <w:rFonts w:hint="eastAsia" w:ascii="宋体" w:hAnsi="宋体" w:cs="宋体"/>
                <w:szCs w:val="21"/>
              </w:rPr>
              <w:t>选用低噪声自卸汽车、吸声、减震</w:t>
            </w:r>
          </w:p>
        </w:tc>
        <w:tc>
          <w:tcPr>
            <w:tcW w:w="635" w:type="pct"/>
            <w:vMerge w:val="restart"/>
            <w:tcBorders>
              <w:tl2br w:val="nil"/>
              <w:tr2bl w:val="nil"/>
            </w:tcBorders>
            <w:vAlign w:val="center"/>
          </w:tcPr>
          <w:p w14:paraId="7E5AF20D">
            <w:pPr>
              <w:snapToGrid w:val="0"/>
              <w:jc w:val="center"/>
              <w:rPr>
                <w:rFonts w:hint="eastAsia" w:ascii="宋体" w:hAnsi="宋体" w:cs="宋体"/>
                <w:szCs w:val="21"/>
              </w:rPr>
            </w:pPr>
            <w:r>
              <w:rPr>
                <w:rFonts w:hint="eastAsia" w:ascii="宋体" w:hAnsi="宋体" w:cs="宋体"/>
                <w:szCs w:val="21"/>
              </w:rPr>
              <w:t>昼间运行</w:t>
            </w:r>
          </w:p>
        </w:tc>
      </w:tr>
      <w:tr w14:paraId="75D3455B">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4" w:space="0"/>
          </w:tblBorders>
          <w:tblCellMar>
            <w:top w:w="0" w:type="dxa"/>
            <w:left w:w="0" w:type="dxa"/>
            <w:bottom w:w="0" w:type="dxa"/>
            <w:right w:w="0" w:type="dxa"/>
          </w:tblCellMar>
        </w:tblPrEx>
        <w:trPr>
          <w:trHeight w:val="426" w:hRule="atLeast"/>
          <w:jc w:val="center"/>
        </w:trPr>
        <w:tc>
          <w:tcPr>
            <w:tcW w:w="377" w:type="pct"/>
            <w:tcBorders>
              <w:tl2br w:val="nil"/>
              <w:tr2bl w:val="nil"/>
            </w:tcBorders>
            <w:vAlign w:val="center"/>
          </w:tcPr>
          <w:p w14:paraId="21A7FA1F">
            <w:pPr>
              <w:snapToGrid w:val="0"/>
              <w:jc w:val="center"/>
              <w:rPr>
                <w:rFonts w:hint="eastAsia" w:ascii="宋体" w:hAnsi="宋体" w:cs="宋体"/>
                <w:szCs w:val="21"/>
                <w:lang w:val="en-US" w:eastAsia="zh-CN"/>
              </w:rPr>
            </w:pPr>
            <w:r>
              <w:rPr>
                <w:rFonts w:hint="eastAsia" w:ascii="宋体" w:hAnsi="宋体" w:cs="宋体"/>
                <w:szCs w:val="21"/>
                <w:lang w:val="en-US" w:eastAsia="zh-CN"/>
              </w:rPr>
              <w:t>2#</w:t>
            </w:r>
            <w:r>
              <w:rPr>
                <w:rFonts w:hint="eastAsia" w:ascii="宋体" w:hAnsi="宋体" w:cs="宋体"/>
                <w:szCs w:val="21"/>
              </w:rPr>
              <w:t>自卸汽车</w:t>
            </w:r>
          </w:p>
        </w:tc>
        <w:tc>
          <w:tcPr>
            <w:tcW w:w="415" w:type="pct"/>
            <w:tcBorders>
              <w:right w:val="single" w:color="auto" w:sz="4" w:space="0"/>
              <w:tl2br w:val="nil"/>
              <w:tr2bl w:val="nil"/>
            </w:tcBorders>
            <w:vAlign w:val="center"/>
          </w:tcPr>
          <w:p w14:paraId="1B9C62FA">
            <w:pPr>
              <w:snapToGrid w:val="0"/>
              <w:jc w:val="center"/>
              <w:rPr>
                <w:rFonts w:hint="eastAsia" w:ascii="宋体" w:hAnsi="宋体" w:cs="宋体"/>
                <w:kern w:val="0"/>
                <w:szCs w:val="21"/>
              </w:rPr>
            </w:pPr>
            <w:r>
              <w:rPr>
                <w:rFonts w:hint="eastAsia" w:ascii="宋体" w:hAnsi="宋体" w:cs="宋体"/>
                <w:kern w:val="0"/>
                <w:szCs w:val="21"/>
                <w:lang w:val="en-US" w:eastAsia="zh-CN"/>
              </w:rPr>
              <w:t>15t</w:t>
            </w:r>
          </w:p>
        </w:tc>
        <w:tc>
          <w:tcPr>
            <w:tcW w:w="426" w:type="pct"/>
            <w:tcBorders>
              <w:left w:val="single" w:color="auto" w:sz="4" w:space="0"/>
              <w:tl2br w:val="nil"/>
              <w:tr2bl w:val="nil"/>
            </w:tcBorders>
            <w:vAlign w:val="center"/>
          </w:tcPr>
          <w:p w14:paraId="55DBAA90">
            <w:pPr>
              <w:snapToGrid w:val="0"/>
              <w:jc w:val="center"/>
              <w:rPr>
                <w:rFonts w:hint="default" w:ascii="宋体" w:hAnsi="宋体" w:cs="宋体"/>
                <w:kern w:val="0"/>
                <w:szCs w:val="21"/>
                <w:lang w:val="en-US" w:eastAsia="zh-CN"/>
              </w:rPr>
            </w:pPr>
            <w:r>
              <w:rPr>
                <w:rFonts w:hint="eastAsia" w:ascii="宋体" w:hAnsi="宋体" w:cs="宋体"/>
                <w:kern w:val="0"/>
                <w:szCs w:val="21"/>
                <w:lang w:val="en-US" w:eastAsia="zh-CN"/>
              </w:rPr>
              <w:t>1</w:t>
            </w:r>
          </w:p>
        </w:tc>
        <w:tc>
          <w:tcPr>
            <w:tcW w:w="383" w:type="pct"/>
            <w:tcBorders>
              <w:tl2br w:val="nil"/>
              <w:tr2bl w:val="nil"/>
            </w:tcBorders>
            <w:shd w:val="clear" w:color="auto" w:fill="auto"/>
            <w:vAlign w:val="center"/>
          </w:tcPr>
          <w:p w14:paraId="0A83EE19">
            <w:pPr>
              <w:snapToGrid w:val="0"/>
              <w:jc w:val="center"/>
              <w:rPr>
                <w:rFonts w:hint="eastAsia" w:ascii="宋体" w:hAnsi="宋体" w:eastAsia="宋体" w:cs="宋体"/>
                <w:kern w:val="2"/>
                <w:sz w:val="21"/>
                <w:szCs w:val="21"/>
                <w:lang w:val="en-US" w:eastAsia="zh-CN" w:bidi="ar-SA"/>
              </w:rPr>
            </w:pPr>
            <w:r>
              <w:rPr>
                <w:rFonts w:hint="eastAsia" w:ascii="宋体" w:hAnsi="宋体" w:cs="宋体"/>
                <w:szCs w:val="21"/>
              </w:rPr>
              <w:t>2</w:t>
            </w:r>
            <w:r>
              <w:rPr>
                <w:rFonts w:hint="eastAsia" w:ascii="宋体" w:hAnsi="宋体" w:cs="宋体"/>
                <w:szCs w:val="21"/>
                <w:lang w:val="en-US" w:eastAsia="zh-CN"/>
              </w:rPr>
              <w:t>8</w:t>
            </w:r>
          </w:p>
        </w:tc>
        <w:tc>
          <w:tcPr>
            <w:tcW w:w="389" w:type="pct"/>
            <w:tcBorders>
              <w:tl2br w:val="nil"/>
              <w:tr2bl w:val="nil"/>
            </w:tcBorders>
            <w:shd w:val="clear" w:color="auto" w:fill="auto"/>
            <w:vAlign w:val="center"/>
          </w:tcPr>
          <w:p w14:paraId="313046F8">
            <w:pPr>
              <w:snapToGrid w:val="0"/>
              <w:jc w:val="center"/>
              <w:rPr>
                <w:rFonts w:hint="eastAsia" w:ascii="宋体" w:hAnsi="宋体" w:eastAsia="宋体" w:cs="宋体"/>
                <w:kern w:val="2"/>
                <w:sz w:val="21"/>
                <w:szCs w:val="21"/>
                <w:lang w:val="en-US" w:eastAsia="zh-CN" w:bidi="ar-SA"/>
              </w:rPr>
            </w:pPr>
            <w:r>
              <w:rPr>
                <w:rFonts w:hint="eastAsia" w:ascii="宋体" w:hAnsi="宋体" w:cs="宋体"/>
                <w:szCs w:val="21"/>
              </w:rPr>
              <w:t>1</w:t>
            </w:r>
            <w:r>
              <w:rPr>
                <w:rFonts w:hint="eastAsia" w:ascii="宋体" w:hAnsi="宋体" w:cs="宋体"/>
                <w:szCs w:val="21"/>
                <w:lang w:val="en-US" w:eastAsia="zh-CN"/>
              </w:rPr>
              <w:t>4</w:t>
            </w:r>
          </w:p>
        </w:tc>
        <w:tc>
          <w:tcPr>
            <w:tcW w:w="393" w:type="pct"/>
            <w:tcBorders>
              <w:tl2br w:val="nil"/>
              <w:tr2bl w:val="nil"/>
            </w:tcBorders>
            <w:shd w:val="clear" w:color="auto" w:fill="auto"/>
            <w:vAlign w:val="center"/>
          </w:tcPr>
          <w:p w14:paraId="5097D5E2">
            <w:pPr>
              <w:snapToGrid w:val="0"/>
              <w:jc w:val="center"/>
              <w:rPr>
                <w:rFonts w:hint="eastAsia" w:ascii="宋体" w:hAnsi="宋体" w:eastAsia="宋体" w:cs="宋体"/>
                <w:kern w:val="2"/>
                <w:sz w:val="21"/>
                <w:szCs w:val="21"/>
                <w:lang w:val="en-US" w:eastAsia="zh-CN" w:bidi="ar-SA"/>
              </w:rPr>
            </w:pPr>
            <w:r>
              <w:rPr>
                <w:rFonts w:hint="eastAsia" w:ascii="宋体" w:hAnsi="宋体" w:cs="宋体"/>
                <w:szCs w:val="21"/>
              </w:rPr>
              <w:t>1.5</w:t>
            </w:r>
          </w:p>
        </w:tc>
        <w:tc>
          <w:tcPr>
            <w:tcW w:w="942" w:type="pct"/>
            <w:tcBorders>
              <w:tl2br w:val="nil"/>
              <w:tr2bl w:val="nil"/>
            </w:tcBorders>
            <w:shd w:val="clear" w:color="auto" w:fill="auto"/>
            <w:vAlign w:val="center"/>
          </w:tcPr>
          <w:p w14:paraId="53DB5C5D">
            <w:pPr>
              <w:snapToGrid w:val="0"/>
              <w:jc w:val="center"/>
              <w:rPr>
                <w:rFonts w:hint="eastAsia" w:ascii="宋体" w:hAnsi="宋体" w:eastAsia="宋体" w:cs="宋体"/>
                <w:kern w:val="2"/>
                <w:sz w:val="21"/>
                <w:szCs w:val="21"/>
                <w:lang w:val="en-US" w:eastAsia="zh-CN" w:bidi="ar-SA"/>
              </w:rPr>
            </w:pPr>
            <w:r>
              <w:rPr>
                <w:rFonts w:hint="eastAsia" w:ascii="宋体" w:hAnsi="宋体" w:cs="宋体"/>
                <w:szCs w:val="21"/>
              </w:rPr>
              <w:t>80</w:t>
            </w:r>
          </w:p>
        </w:tc>
        <w:tc>
          <w:tcPr>
            <w:tcW w:w="1036" w:type="pct"/>
            <w:vMerge w:val="continue"/>
            <w:tcBorders>
              <w:tl2br w:val="nil"/>
              <w:tr2bl w:val="nil"/>
            </w:tcBorders>
            <w:vAlign w:val="center"/>
          </w:tcPr>
          <w:p w14:paraId="21A9E828">
            <w:pPr>
              <w:snapToGrid w:val="0"/>
              <w:jc w:val="center"/>
              <w:rPr>
                <w:rFonts w:hint="eastAsia" w:ascii="宋体" w:hAnsi="宋体" w:cs="宋体"/>
                <w:szCs w:val="21"/>
              </w:rPr>
            </w:pPr>
          </w:p>
        </w:tc>
        <w:tc>
          <w:tcPr>
            <w:tcW w:w="635" w:type="pct"/>
            <w:vMerge w:val="continue"/>
            <w:tcBorders>
              <w:tl2br w:val="nil"/>
              <w:tr2bl w:val="nil"/>
            </w:tcBorders>
            <w:vAlign w:val="center"/>
          </w:tcPr>
          <w:p w14:paraId="7DBF9A41">
            <w:pPr>
              <w:snapToGrid w:val="0"/>
              <w:jc w:val="center"/>
              <w:rPr>
                <w:rFonts w:hint="eastAsia" w:ascii="宋体" w:hAnsi="宋体" w:cs="宋体"/>
                <w:szCs w:val="21"/>
              </w:rPr>
            </w:pPr>
          </w:p>
        </w:tc>
      </w:tr>
      <w:tr w14:paraId="40AFF280">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4" w:space="0"/>
          </w:tblBorders>
          <w:tblCellMar>
            <w:top w:w="0" w:type="dxa"/>
            <w:left w:w="0" w:type="dxa"/>
            <w:bottom w:w="0" w:type="dxa"/>
            <w:right w:w="0" w:type="dxa"/>
          </w:tblCellMar>
        </w:tblPrEx>
        <w:trPr>
          <w:trHeight w:val="843" w:hRule="atLeast"/>
          <w:jc w:val="center"/>
        </w:trPr>
        <w:tc>
          <w:tcPr>
            <w:tcW w:w="377" w:type="pct"/>
            <w:tcBorders>
              <w:tl2br w:val="nil"/>
              <w:tr2bl w:val="nil"/>
            </w:tcBorders>
            <w:vAlign w:val="center"/>
          </w:tcPr>
          <w:p w14:paraId="109376BA">
            <w:pPr>
              <w:snapToGrid w:val="0"/>
              <w:jc w:val="center"/>
              <w:rPr>
                <w:rFonts w:hint="eastAsia" w:ascii="宋体" w:hAnsi="宋体" w:cs="宋体"/>
                <w:szCs w:val="21"/>
              </w:rPr>
            </w:pPr>
            <w:r>
              <w:rPr>
                <w:rFonts w:hint="eastAsia" w:ascii="宋体" w:hAnsi="宋体" w:cs="宋体"/>
                <w:szCs w:val="21"/>
                <w:lang w:val="en-US" w:eastAsia="zh-CN"/>
              </w:rPr>
              <w:t>1#</w:t>
            </w:r>
            <w:r>
              <w:rPr>
                <w:rFonts w:hint="eastAsia" w:ascii="宋体" w:hAnsi="宋体" w:cs="宋体"/>
                <w:szCs w:val="21"/>
              </w:rPr>
              <w:t>风机</w:t>
            </w:r>
          </w:p>
        </w:tc>
        <w:tc>
          <w:tcPr>
            <w:tcW w:w="415" w:type="pct"/>
            <w:tcBorders>
              <w:right w:val="single" w:color="auto" w:sz="4" w:space="0"/>
              <w:tl2br w:val="nil"/>
              <w:tr2bl w:val="nil"/>
            </w:tcBorders>
            <w:vAlign w:val="center"/>
          </w:tcPr>
          <w:p w14:paraId="12F57A5A">
            <w:pPr>
              <w:snapToGrid w:val="0"/>
              <w:jc w:val="center"/>
              <w:rPr>
                <w:rFonts w:hint="default" w:ascii="Times New Roman" w:hAnsi="Times New Roman" w:eastAsia="宋体" w:cs="Times New Roman"/>
                <w:b w:val="0"/>
                <w:bCs/>
                <w:color w:val="auto"/>
                <w:spacing w:val="-2"/>
                <w:sz w:val="21"/>
                <w:szCs w:val="21"/>
                <w:lang w:val="en-US" w:eastAsia="zh-CN"/>
              </w:rPr>
            </w:pPr>
            <w:r>
              <w:rPr>
                <w:rFonts w:hint="default" w:ascii="Times New Roman" w:hAnsi="Times New Roman" w:eastAsia="宋体" w:cs="Times New Roman"/>
                <w:b w:val="0"/>
                <w:bCs/>
                <w:color w:val="auto"/>
                <w:spacing w:val="-2"/>
                <w:sz w:val="21"/>
                <w:szCs w:val="21"/>
                <w:lang w:val="en-US" w:eastAsia="zh-CN"/>
              </w:rPr>
              <w:t>20000</w:t>
            </w:r>
          </w:p>
          <w:p w14:paraId="043E6E6E">
            <w:pPr>
              <w:snapToGrid w:val="0"/>
              <w:jc w:val="center"/>
              <w:rPr>
                <w:rFonts w:hint="eastAsia" w:ascii="宋体" w:hAnsi="宋体" w:cs="宋体"/>
                <w:kern w:val="0"/>
                <w:szCs w:val="21"/>
              </w:rPr>
            </w:pPr>
            <w:r>
              <w:rPr>
                <w:rFonts w:hint="default" w:ascii="Times New Roman" w:hAnsi="Times New Roman" w:eastAsia="宋体" w:cs="Times New Roman"/>
                <w:b w:val="0"/>
                <w:bCs/>
                <w:color w:val="auto"/>
                <w:spacing w:val="-2"/>
                <w:sz w:val="21"/>
                <w:szCs w:val="21"/>
                <w:lang w:val="en-US" w:eastAsia="zh-CN"/>
              </w:rPr>
              <w:t>m</w:t>
            </w:r>
            <w:r>
              <w:rPr>
                <w:rFonts w:hint="default" w:ascii="Times New Roman" w:hAnsi="Times New Roman" w:eastAsia="宋体" w:cs="Times New Roman"/>
                <w:b w:val="0"/>
                <w:bCs/>
                <w:color w:val="auto"/>
                <w:spacing w:val="-2"/>
                <w:sz w:val="21"/>
                <w:szCs w:val="21"/>
                <w:vertAlign w:val="superscript"/>
                <w:lang w:val="en-US" w:eastAsia="zh-CN"/>
              </w:rPr>
              <w:t>3</w:t>
            </w:r>
            <w:r>
              <w:rPr>
                <w:rFonts w:hint="default" w:ascii="Times New Roman" w:hAnsi="Times New Roman" w:eastAsia="宋体" w:cs="Times New Roman"/>
                <w:b w:val="0"/>
                <w:bCs/>
                <w:color w:val="auto"/>
                <w:spacing w:val="-2"/>
                <w:sz w:val="21"/>
                <w:szCs w:val="21"/>
                <w:lang w:val="en-US" w:eastAsia="zh-CN"/>
              </w:rPr>
              <w:t>/h</w:t>
            </w:r>
          </w:p>
        </w:tc>
        <w:tc>
          <w:tcPr>
            <w:tcW w:w="426" w:type="pct"/>
            <w:tcBorders>
              <w:left w:val="single" w:color="auto" w:sz="4" w:space="0"/>
              <w:tl2br w:val="nil"/>
              <w:tr2bl w:val="nil"/>
            </w:tcBorders>
            <w:vAlign w:val="center"/>
          </w:tcPr>
          <w:p w14:paraId="27DF534F">
            <w:pPr>
              <w:snapToGrid w:val="0"/>
              <w:jc w:val="center"/>
              <w:rPr>
                <w:rFonts w:hint="default" w:ascii="Times New Roman" w:hAnsi="Times New Roman" w:eastAsia="宋体" w:cs="Times New Roman"/>
                <w:b w:val="0"/>
                <w:bCs/>
                <w:color w:val="auto"/>
                <w:spacing w:val="-2"/>
                <w:sz w:val="21"/>
                <w:szCs w:val="21"/>
                <w:lang w:val="en-US" w:eastAsia="zh-CN"/>
              </w:rPr>
            </w:pPr>
            <w:r>
              <w:rPr>
                <w:rFonts w:hint="eastAsia" w:ascii="Times New Roman" w:hAnsi="Times New Roman" w:eastAsia="宋体" w:cs="Times New Roman"/>
                <w:b w:val="0"/>
                <w:bCs/>
                <w:color w:val="auto"/>
                <w:spacing w:val="-2"/>
                <w:sz w:val="21"/>
                <w:szCs w:val="21"/>
                <w:lang w:val="en-US" w:eastAsia="zh-CN"/>
              </w:rPr>
              <w:t>1</w:t>
            </w:r>
          </w:p>
        </w:tc>
        <w:tc>
          <w:tcPr>
            <w:tcW w:w="383" w:type="pct"/>
            <w:tcBorders>
              <w:tl2br w:val="nil"/>
              <w:tr2bl w:val="nil"/>
            </w:tcBorders>
            <w:vAlign w:val="center"/>
          </w:tcPr>
          <w:p w14:paraId="6A1F268F">
            <w:pPr>
              <w:snapToGrid w:val="0"/>
              <w:jc w:val="center"/>
              <w:rPr>
                <w:rFonts w:hint="eastAsia" w:ascii="宋体" w:hAnsi="宋体" w:cs="宋体"/>
                <w:szCs w:val="21"/>
              </w:rPr>
            </w:pPr>
            <w:r>
              <w:rPr>
                <w:rFonts w:hint="eastAsia" w:ascii="宋体" w:hAnsi="宋体" w:cs="宋体"/>
                <w:szCs w:val="21"/>
              </w:rPr>
              <w:t>27</w:t>
            </w:r>
          </w:p>
        </w:tc>
        <w:tc>
          <w:tcPr>
            <w:tcW w:w="389" w:type="pct"/>
            <w:tcBorders>
              <w:tl2br w:val="nil"/>
              <w:tr2bl w:val="nil"/>
            </w:tcBorders>
            <w:vAlign w:val="center"/>
          </w:tcPr>
          <w:p w14:paraId="4817296B">
            <w:pPr>
              <w:snapToGrid w:val="0"/>
              <w:jc w:val="center"/>
              <w:rPr>
                <w:rFonts w:hint="eastAsia" w:ascii="宋体" w:hAnsi="宋体" w:cs="宋体"/>
                <w:szCs w:val="21"/>
              </w:rPr>
            </w:pPr>
            <w:r>
              <w:rPr>
                <w:rFonts w:hint="eastAsia" w:ascii="宋体" w:hAnsi="宋体" w:cs="宋体"/>
                <w:szCs w:val="21"/>
              </w:rPr>
              <w:t>9</w:t>
            </w:r>
          </w:p>
        </w:tc>
        <w:tc>
          <w:tcPr>
            <w:tcW w:w="393" w:type="pct"/>
            <w:tcBorders>
              <w:tl2br w:val="nil"/>
              <w:tr2bl w:val="nil"/>
            </w:tcBorders>
            <w:vAlign w:val="center"/>
          </w:tcPr>
          <w:p w14:paraId="3B9CD62C">
            <w:pPr>
              <w:snapToGrid w:val="0"/>
              <w:jc w:val="center"/>
              <w:rPr>
                <w:rFonts w:hint="eastAsia" w:ascii="宋体" w:hAnsi="宋体" w:cs="宋体"/>
                <w:szCs w:val="21"/>
              </w:rPr>
            </w:pPr>
            <w:r>
              <w:rPr>
                <w:rFonts w:hint="eastAsia" w:ascii="宋体" w:hAnsi="宋体" w:cs="宋体"/>
                <w:szCs w:val="21"/>
              </w:rPr>
              <w:t>1.5</w:t>
            </w:r>
          </w:p>
        </w:tc>
        <w:tc>
          <w:tcPr>
            <w:tcW w:w="942" w:type="pct"/>
            <w:tcBorders>
              <w:tl2br w:val="nil"/>
              <w:tr2bl w:val="nil"/>
            </w:tcBorders>
            <w:vAlign w:val="center"/>
          </w:tcPr>
          <w:p w14:paraId="0AD129D5">
            <w:pPr>
              <w:snapToGrid w:val="0"/>
              <w:jc w:val="center"/>
              <w:rPr>
                <w:rFonts w:hint="eastAsia" w:ascii="宋体" w:hAnsi="宋体" w:cs="宋体"/>
                <w:szCs w:val="21"/>
              </w:rPr>
            </w:pPr>
            <w:r>
              <w:rPr>
                <w:rFonts w:hint="eastAsia" w:ascii="宋体" w:hAnsi="宋体" w:cs="宋体"/>
                <w:szCs w:val="21"/>
              </w:rPr>
              <w:t>80</w:t>
            </w:r>
          </w:p>
        </w:tc>
        <w:tc>
          <w:tcPr>
            <w:tcW w:w="1036" w:type="pct"/>
            <w:vMerge w:val="restart"/>
            <w:tcBorders>
              <w:tl2br w:val="nil"/>
              <w:tr2bl w:val="nil"/>
            </w:tcBorders>
            <w:vAlign w:val="center"/>
          </w:tcPr>
          <w:p w14:paraId="153E8DAC">
            <w:pPr>
              <w:snapToGrid w:val="0"/>
              <w:jc w:val="center"/>
              <w:rPr>
                <w:rFonts w:hint="eastAsia" w:ascii="宋体" w:hAnsi="宋体" w:cs="宋体"/>
                <w:szCs w:val="21"/>
              </w:rPr>
            </w:pPr>
            <w:r>
              <w:rPr>
                <w:bCs/>
                <w:color w:val="000000"/>
                <w:szCs w:val="21"/>
              </w:rPr>
              <w:t>选用低噪设备、基础减振、风管接头减振等</w:t>
            </w:r>
          </w:p>
        </w:tc>
        <w:tc>
          <w:tcPr>
            <w:tcW w:w="635" w:type="pct"/>
            <w:vMerge w:val="restart"/>
            <w:tcBorders>
              <w:tl2br w:val="nil"/>
              <w:tr2bl w:val="nil"/>
            </w:tcBorders>
            <w:vAlign w:val="center"/>
          </w:tcPr>
          <w:p w14:paraId="1BCDC94B">
            <w:pPr>
              <w:snapToGrid w:val="0"/>
              <w:jc w:val="center"/>
              <w:rPr>
                <w:rFonts w:hint="eastAsia" w:ascii="宋体" w:hAnsi="宋体" w:cs="宋体"/>
                <w:szCs w:val="21"/>
              </w:rPr>
            </w:pPr>
            <w:r>
              <w:rPr>
                <w:rFonts w:hint="eastAsia" w:ascii="宋体" w:hAnsi="宋体" w:cs="宋体"/>
                <w:szCs w:val="21"/>
              </w:rPr>
              <w:t>连续</w:t>
            </w:r>
          </w:p>
        </w:tc>
      </w:tr>
      <w:tr w14:paraId="3BE319C4">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4" w:space="0"/>
          </w:tblBorders>
          <w:tblCellMar>
            <w:top w:w="0" w:type="dxa"/>
            <w:left w:w="0" w:type="dxa"/>
            <w:bottom w:w="0" w:type="dxa"/>
            <w:right w:w="0" w:type="dxa"/>
          </w:tblCellMar>
        </w:tblPrEx>
        <w:trPr>
          <w:trHeight w:val="843" w:hRule="atLeast"/>
          <w:jc w:val="center"/>
        </w:trPr>
        <w:tc>
          <w:tcPr>
            <w:tcW w:w="377" w:type="pct"/>
            <w:tcBorders>
              <w:tl2br w:val="nil"/>
              <w:tr2bl w:val="nil"/>
            </w:tcBorders>
            <w:vAlign w:val="center"/>
          </w:tcPr>
          <w:p w14:paraId="4275CB79">
            <w:pPr>
              <w:snapToGrid w:val="0"/>
              <w:jc w:val="center"/>
              <w:rPr>
                <w:rFonts w:hint="default" w:ascii="宋体" w:hAnsi="宋体" w:cs="宋体"/>
                <w:szCs w:val="21"/>
                <w:lang w:val="en-US" w:eastAsia="zh-CN"/>
              </w:rPr>
            </w:pPr>
            <w:r>
              <w:rPr>
                <w:rFonts w:hint="eastAsia" w:ascii="宋体" w:hAnsi="宋体" w:cs="宋体"/>
                <w:szCs w:val="21"/>
                <w:lang w:val="en-US" w:eastAsia="zh-CN"/>
              </w:rPr>
              <w:t>2#</w:t>
            </w:r>
            <w:r>
              <w:rPr>
                <w:rFonts w:hint="eastAsia" w:ascii="宋体" w:hAnsi="宋体" w:cs="宋体"/>
                <w:szCs w:val="21"/>
              </w:rPr>
              <w:t>风机</w:t>
            </w:r>
          </w:p>
        </w:tc>
        <w:tc>
          <w:tcPr>
            <w:tcW w:w="415" w:type="pct"/>
            <w:tcBorders>
              <w:right w:val="single" w:color="auto" w:sz="4" w:space="0"/>
              <w:tl2br w:val="nil"/>
              <w:tr2bl w:val="nil"/>
            </w:tcBorders>
            <w:vAlign w:val="center"/>
          </w:tcPr>
          <w:p w14:paraId="2DE1016C">
            <w:pPr>
              <w:snapToGrid w:val="0"/>
              <w:jc w:val="center"/>
              <w:rPr>
                <w:rFonts w:hint="default" w:ascii="Times New Roman" w:hAnsi="Times New Roman" w:eastAsia="宋体" w:cs="Times New Roman"/>
                <w:b w:val="0"/>
                <w:bCs/>
                <w:color w:val="auto"/>
                <w:spacing w:val="-2"/>
                <w:sz w:val="21"/>
                <w:szCs w:val="21"/>
                <w:lang w:val="en-US" w:eastAsia="zh-CN"/>
              </w:rPr>
            </w:pPr>
            <w:r>
              <w:rPr>
                <w:rFonts w:hint="default" w:ascii="Times New Roman" w:hAnsi="Times New Roman" w:eastAsia="宋体" w:cs="Times New Roman"/>
                <w:b w:val="0"/>
                <w:bCs/>
                <w:color w:val="auto"/>
                <w:spacing w:val="-2"/>
                <w:sz w:val="21"/>
                <w:szCs w:val="21"/>
                <w:lang w:val="en-US" w:eastAsia="zh-CN"/>
              </w:rPr>
              <w:t>20000</w:t>
            </w:r>
          </w:p>
          <w:p w14:paraId="75ABE329">
            <w:pPr>
              <w:snapToGrid w:val="0"/>
              <w:jc w:val="center"/>
              <w:rPr>
                <w:rFonts w:hint="eastAsia" w:ascii="宋体" w:hAnsi="宋体" w:eastAsia="宋体" w:cs="宋体"/>
                <w:kern w:val="0"/>
                <w:szCs w:val="21"/>
                <w:lang w:val="en-US" w:eastAsia="zh-CN"/>
              </w:rPr>
            </w:pPr>
            <w:r>
              <w:rPr>
                <w:rFonts w:hint="default" w:ascii="Times New Roman" w:hAnsi="Times New Roman" w:eastAsia="宋体" w:cs="Times New Roman"/>
                <w:b w:val="0"/>
                <w:bCs/>
                <w:color w:val="auto"/>
                <w:spacing w:val="-2"/>
                <w:sz w:val="21"/>
                <w:szCs w:val="21"/>
                <w:lang w:val="en-US" w:eastAsia="zh-CN"/>
              </w:rPr>
              <w:t>m</w:t>
            </w:r>
            <w:r>
              <w:rPr>
                <w:rFonts w:hint="default" w:ascii="Times New Roman" w:hAnsi="Times New Roman" w:eastAsia="宋体" w:cs="Times New Roman"/>
                <w:b w:val="0"/>
                <w:bCs/>
                <w:color w:val="auto"/>
                <w:spacing w:val="-2"/>
                <w:sz w:val="21"/>
                <w:szCs w:val="21"/>
                <w:vertAlign w:val="superscript"/>
                <w:lang w:val="en-US" w:eastAsia="zh-CN"/>
              </w:rPr>
              <w:t>3</w:t>
            </w:r>
            <w:r>
              <w:rPr>
                <w:rFonts w:hint="default" w:ascii="Times New Roman" w:hAnsi="Times New Roman" w:eastAsia="宋体" w:cs="Times New Roman"/>
                <w:b w:val="0"/>
                <w:bCs/>
                <w:color w:val="auto"/>
                <w:spacing w:val="-2"/>
                <w:sz w:val="21"/>
                <w:szCs w:val="21"/>
                <w:lang w:val="en-US" w:eastAsia="zh-CN"/>
              </w:rPr>
              <w:t>/h</w:t>
            </w:r>
          </w:p>
        </w:tc>
        <w:tc>
          <w:tcPr>
            <w:tcW w:w="426" w:type="pct"/>
            <w:tcBorders>
              <w:left w:val="single" w:color="auto" w:sz="4" w:space="0"/>
              <w:tl2br w:val="nil"/>
              <w:tr2bl w:val="nil"/>
            </w:tcBorders>
            <w:vAlign w:val="center"/>
          </w:tcPr>
          <w:p w14:paraId="551CEDE7">
            <w:pPr>
              <w:snapToGrid w:val="0"/>
              <w:jc w:val="center"/>
              <w:rPr>
                <w:rFonts w:hint="default" w:ascii="Times New Roman" w:hAnsi="Times New Roman" w:eastAsia="宋体" w:cs="Times New Roman"/>
                <w:b w:val="0"/>
                <w:bCs/>
                <w:color w:val="auto"/>
                <w:spacing w:val="-2"/>
                <w:sz w:val="21"/>
                <w:szCs w:val="21"/>
                <w:lang w:val="en-US" w:eastAsia="zh-CN"/>
              </w:rPr>
            </w:pPr>
            <w:r>
              <w:rPr>
                <w:rFonts w:hint="eastAsia" w:ascii="Times New Roman" w:hAnsi="Times New Roman" w:eastAsia="宋体" w:cs="Times New Roman"/>
                <w:b w:val="0"/>
                <w:bCs/>
                <w:color w:val="auto"/>
                <w:spacing w:val="-2"/>
                <w:sz w:val="21"/>
                <w:szCs w:val="21"/>
                <w:lang w:val="en-US" w:eastAsia="zh-CN"/>
              </w:rPr>
              <w:t>1</w:t>
            </w:r>
          </w:p>
        </w:tc>
        <w:tc>
          <w:tcPr>
            <w:tcW w:w="383" w:type="pct"/>
            <w:tcBorders>
              <w:tl2br w:val="nil"/>
              <w:tr2bl w:val="nil"/>
            </w:tcBorders>
            <w:vAlign w:val="center"/>
          </w:tcPr>
          <w:p w14:paraId="38FF6CF8">
            <w:pPr>
              <w:snapToGrid w:val="0"/>
              <w:jc w:val="center"/>
              <w:rPr>
                <w:rFonts w:hint="default" w:ascii="宋体" w:hAnsi="宋体" w:eastAsia="宋体" w:cs="宋体"/>
                <w:szCs w:val="21"/>
                <w:lang w:val="en-US" w:eastAsia="zh-CN"/>
              </w:rPr>
            </w:pPr>
            <w:r>
              <w:rPr>
                <w:rFonts w:hint="eastAsia" w:ascii="宋体" w:hAnsi="宋体" w:cs="宋体"/>
                <w:szCs w:val="21"/>
                <w:lang w:val="en-US" w:eastAsia="zh-CN"/>
              </w:rPr>
              <w:t>28</w:t>
            </w:r>
          </w:p>
        </w:tc>
        <w:tc>
          <w:tcPr>
            <w:tcW w:w="389" w:type="pct"/>
            <w:tcBorders>
              <w:tl2br w:val="nil"/>
              <w:tr2bl w:val="nil"/>
            </w:tcBorders>
            <w:vAlign w:val="center"/>
          </w:tcPr>
          <w:p w14:paraId="64DB89D0">
            <w:pPr>
              <w:snapToGrid w:val="0"/>
              <w:jc w:val="center"/>
              <w:rPr>
                <w:rFonts w:hint="default" w:ascii="宋体" w:hAnsi="宋体" w:eastAsia="宋体" w:cs="宋体"/>
                <w:szCs w:val="21"/>
                <w:lang w:val="en-US" w:eastAsia="zh-CN"/>
              </w:rPr>
            </w:pPr>
            <w:r>
              <w:rPr>
                <w:rFonts w:hint="eastAsia" w:ascii="宋体" w:hAnsi="宋体" w:cs="宋体"/>
                <w:szCs w:val="21"/>
                <w:lang w:val="en-US" w:eastAsia="zh-CN"/>
              </w:rPr>
              <w:t>11</w:t>
            </w:r>
          </w:p>
        </w:tc>
        <w:tc>
          <w:tcPr>
            <w:tcW w:w="393" w:type="pct"/>
            <w:tcBorders>
              <w:tl2br w:val="nil"/>
              <w:tr2bl w:val="nil"/>
            </w:tcBorders>
            <w:vAlign w:val="center"/>
          </w:tcPr>
          <w:p w14:paraId="1D0839F2">
            <w:pPr>
              <w:snapToGrid w:val="0"/>
              <w:jc w:val="center"/>
              <w:rPr>
                <w:rFonts w:hint="default" w:ascii="宋体" w:hAnsi="宋体" w:eastAsia="宋体" w:cs="宋体"/>
                <w:szCs w:val="21"/>
                <w:lang w:val="en-US" w:eastAsia="zh-CN"/>
              </w:rPr>
            </w:pPr>
            <w:r>
              <w:rPr>
                <w:rFonts w:hint="eastAsia" w:ascii="宋体" w:hAnsi="宋体" w:cs="宋体"/>
                <w:szCs w:val="21"/>
                <w:lang w:val="en-US" w:eastAsia="zh-CN"/>
              </w:rPr>
              <w:t>1.5</w:t>
            </w:r>
          </w:p>
        </w:tc>
        <w:tc>
          <w:tcPr>
            <w:tcW w:w="942" w:type="pct"/>
            <w:tcBorders>
              <w:tl2br w:val="nil"/>
              <w:tr2bl w:val="nil"/>
            </w:tcBorders>
            <w:vAlign w:val="center"/>
          </w:tcPr>
          <w:p w14:paraId="0F237C7B">
            <w:pPr>
              <w:snapToGrid w:val="0"/>
              <w:jc w:val="center"/>
              <w:rPr>
                <w:rFonts w:hint="default" w:ascii="宋体" w:hAnsi="宋体" w:eastAsia="宋体" w:cs="宋体"/>
                <w:szCs w:val="21"/>
                <w:lang w:val="en-US" w:eastAsia="zh-CN"/>
              </w:rPr>
            </w:pPr>
            <w:r>
              <w:rPr>
                <w:rFonts w:hint="eastAsia" w:ascii="宋体" w:hAnsi="宋体" w:cs="宋体"/>
                <w:szCs w:val="21"/>
                <w:lang w:val="en-US" w:eastAsia="zh-CN"/>
              </w:rPr>
              <w:t>80</w:t>
            </w:r>
          </w:p>
        </w:tc>
        <w:tc>
          <w:tcPr>
            <w:tcW w:w="1036" w:type="pct"/>
            <w:vMerge w:val="continue"/>
            <w:tcBorders>
              <w:tl2br w:val="nil"/>
              <w:tr2bl w:val="nil"/>
            </w:tcBorders>
            <w:vAlign w:val="center"/>
          </w:tcPr>
          <w:p w14:paraId="4196206F">
            <w:pPr>
              <w:snapToGrid w:val="0"/>
              <w:jc w:val="center"/>
              <w:rPr>
                <w:bCs/>
                <w:color w:val="000000"/>
                <w:szCs w:val="21"/>
              </w:rPr>
            </w:pPr>
          </w:p>
        </w:tc>
        <w:tc>
          <w:tcPr>
            <w:tcW w:w="635" w:type="pct"/>
            <w:vMerge w:val="continue"/>
            <w:tcBorders>
              <w:tl2br w:val="nil"/>
              <w:tr2bl w:val="nil"/>
            </w:tcBorders>
            <w:vAlign w:val="center"/>
          </w:tcPr>
          <w:p w14:paraId="5A24127E">
            <w:pPr>
              <w:snapToGrid w:val="0"/>
              <w:jc w:val="center"/>
              <w:rPr>
                <w:rFonts w:hint="eastAsia" w:ascii="宋体" w:hAnsi="宋体" w:cs="宋体"/>
                <w:szCs w:val="21"/>
              </w:rPr>
            </w:pPr>
          </w:p>
        </w:tc>
      </w:tr>
    </w:tbl>
    <w:p w14:paraId="749946D4">
      <w:pPr>
        <w:adjustRightInd w:val="0"/>
        <w:snapToGrid w:val="0"/>
        <w:jc w:val="center"/>
        <w:rPr>
          <w:rFonts w:hint="eastAsia" w:ascii="宋体" w:hAnsi="宋体" w:cs="宋体"/>
          <w:b/>
          <w:bCs/>
          <w:szCs w:val="21"/>
        </w:rPr>
      </w:pPr>
      <w:r>
        <w:rPr>
          <w:rFonts w:hint="eastAsia" w:ascii="宋体" w:hAnsi="宋体" w:cs="宋体"/>
          <w:b/>
          <w:bCs/>
          <w:szCs w:val="21"/>
        </w:rPr>
        <w:t>表3.4-</w:t>
      </w:r>
      <w:r>
        <w:rPr>
          <w:rFonts w:hint="eastAsia" w:ascii="宋体" w:hAnsi="宋体" w:cs="宋体"/>
          <w:b/>
          <w:bCs/>
          <w:szCs w:val="21"/>
          <w:lang w:val="en-US" w:eastAsia="zh-CN"/>
        </w:rPr>
        <w:t xml:space="preserve">5  </w:t>
      </w:r>
      <w:r>
        <w:rPr>
          <w:rFonts w:hint="eastAsia" w:ascii="宋体" w:hAnsi="宋体" w:cs="宋体"/>
          <w:b/>
          <w:bCs/>
          <w:szCs w:val="21"/>
        </w:rPr>
        <w:t xml:space="preserve">  项目室内声源噪声源强调查清单表</w:t>
      </w:r>
    </w:p>
    <w:tbl>
      <w:tblPr>
        <w:tblStyle w:val="243"/>
        <w:tblW w:w="5189" w:type="pct"/>
        <w:jc w:val="center"/>
        <w:tblBorders>
          <w:top w:val="single" w:color="000000" w:sz="12" w:space="0"/>
          <w:left w:val="single" w:color="000000" w:sz="12" w:space="0"/>
          <w:bottom w:val="single" w:color="000000" w:sz="12" w:space="0"/>
          <w:right w:val="single" w:color="000000" w:sz="12" w:space="0"/>
          <w:insideH w:val="single" w:color="000000" w:sz="2" w:space="0"/>
          <w:insideV w:val="single" w:color="000000" w:sz="8" w:space="0"/>
        </w:tblBorders>
        <w:tblLayout w:type="autofit"/>
        <w:tblCellMar>
          <w:top w:w="0" w:type="dxa"/>
          <w:left w:w="0" w:type="dxa"/>
          <w:bottom w:w="0" w:type="dxa"/>
          <w:right w:w="0" w:type="dxa"/>
        </w:tblCellMar>
      </w:tblPr>
      <w:tblGrid>
        <w:gridCol w:w="437"/>
        <w:gridCol w:w="758"/>
        <w:gridCol w:w="876"/>
        <w:gridCol w:w="645"/>
        <w:gridCol w:w="829"/>
        <w:gridCol w:w="545"/>
        <w:gridCol w:w="545"/>
        <w:gridCol w:w="451"/>
        <w:gridCol w:w="699"/>
        <w:gridCol w:w="714"/>
        <w:gridCol w:w="682"/>
        <w:gridCol w:w="763"/>
        <w:gridCol w:w="805"/>
        <w:gridCol w:w="697"/>
      </w:tblGrid>
      <w:tr w14:paraId="71AB07D7">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8" w:space="0"/>
          </w:tblBorders>
          <w:tblCellMar>
            <w:top w:w="0" w:type="dxa"/>
            <w:left w:w="0" w:type="dxa"/>
            <w:bottom w:w="0" w:type="dxa"/>
            <w:right w:w="0" w:type="dxa"/>
          </w:tblCellMar>
        </w:tblPrEx>
        <w:trPr>
          <w:trHeight w:val="454" w:hRule="atLeast"/>
          <w:jc w:val="center"/>
        </w:trPr>
        <w:tc>
          <w:tcPr>
            <w:tcW w:w="234" w:type="pct"/>
            <w:vMerge w:val="restart"/>
            <w:tcBorders>
              <w:tl2br w:val="nil"/>
              <w:tr2bl w:val="nil"/>
            </w:tcBorders>
            <w:vAlign w:val="center"/>
          </w:tcPr>
          <w:p w14:paraId="373F177F">
            <w:pPr>
              <w:adjustRightInd w:val="0"/>
              <w:snapToGrid w:val="0"/>
              <w:jc w:val="center"/>
              <w:rPr>
                <w:rFonts w:hint="eastAsia" w:ascii="宋体" w:hAnsi="宋体" w:cs="宋体"/>
                <w:szCs w:val="21"/>
              </w:rPr>
            </w:pPr>
            <w:r>
              <w:rPr>
                <w:rFonts w:hint="eastAsia" w:ascii="宋体" w:hAnsi="宋体" w:cs="宋体"/>
                <w:szCs w:val="21"/>
              </w:rPr>
              <w:t>建筑物名称</w:t>
            </w:r>
          </w:p>
        </w:tc>
        <w:tc>
          <w:tcPr>
            <w:tcW w:w="404" w:type="pct"/>
            <w:vMerge w:val="restart"/>
            <w:tcBorders>
              <w:tl2br w:val="nil"/>
              <w:tr2bl w:val="nil"/>
            </w:tcBorders>
            <w:vAlign w:val="center"/>
          </w:tcPr>
          <w:p w14:paraId="0A752CF2">
            <w:pPr>
              <w:adjustRightInd w:val="0"/>
              <w:snapToGrid w:val="0"/>
              <w:jc w:val="center"/>
              <w:rPr>
                <w:rFonts w:hint="eastAsia" w:ascii="宋体" w:hAnsi="宋体" w:cs="宋体"/>
                <w:szCs w:val="21"/>
              </w:rPr>
            </w:pPr>
            <w:r>
              <w:rPr>
                <w:rFonts w:hint="eastAsia" w:ascii="宋体" w:hAnsi="宋体" w:cs="宋体"/>
                <w:szCs w:val="21"/>
              </w:rPr>
              <w:t>声源名称</w:t>
            </w:r>
          </w:p>
        </w:tc>
        <w:tc>
          <w:tcPr>
            <w:tcW w:w="466" w:type="pct"/>
            <w:vMerge w:val="restart"/>
            <w:tcBorders>
              <w:right w:val="single" w:color="auto" w:sz="4" w:space="0"/>
              <w:tl2br w:val="nil"/>
              <w:tr2bl w:val="nil"/>
            </w:tcBorders>
            <w:vAlign w:val="center"/>
          </w:tcPr>
          <w:p w14:paraId="4C49F02B">
            <w:pPr>
              <w:adjustRightInd w:val="0"/>
              <w:snapToGrid w:val="0"/>
              <w:jc w:val="center"/>
              <w:rPr>
                <w:rFonts w:hint="eastAsia" w:ascii="宋体" w:hAnsi="宋体" w:cs="宋体"/>
                <w:sz w:val="21"/>
                <w:szCs w:val="21"/>
                <w:lang w:eastAsia="zh-CN"/>
              </w:rPr>
            </w:pPr>
            <w:r>
              <w:rPr>
                <w:rFonts w:hint="eastAsia" w:ascii="宋体" w:hAnsi="宋体" w:cs="宋体"/>
                <w:sz w:val="21"/>
                <w:szCs w:val="21"/>
                <w:lang w:eastAsia="zh-CN"/>
              </w:rPr>
              <w:t>数量</w:t>
            </w:r>
          </w:p>
          <w:p w14:paraId="184B8DCB">
            <w:pPr>
              <w:pStyle w:val="13"/>
              <w:ind w:left="0" w:leftChars="0" w:right="4" w:rightChars="0" w:firstLine="0" w:firstLineChars="0"/>
              <w:rPr>
                <w:rFonts w:hint="eastAsia"/>
                <w:sz w:val="21"/>
                <w:szCs w:val="21"/>
                <w:lang w:eastAsia="zh-CN"/>
              </w:rPr>
            </w:pPr>
            <w:r>
              <w:rPr>
                <w:rFonts w:hint="eastAsia" w:ascii="宋体" w:hAnsi="宋体" w:cs="宋体"/>
                <w:sz w:val="21"/>
                <w:szCs w:val="21"/>
                <w:lang w:eastAsia="zh-CN"/>
              </w:rPr>
              <w:t>（台</w:t>
            </w:r>
            <w:r>
              <w:rPr>
                <w:rFonts w:hint="eastAsia" w:ascii="宋体" w:hAnsi="宋体" w:cs="宋体"/>
                <w:sz w:val="21"/>
                <w:szCs w:val="21"/>
                <w:lang w:val="en-US" w:eastAsia="zh-CN"/>
              </w:rPr>
              <w:t>/</w:t>
            </w:r>
            <w:r>
              <w:rPr>
                <w:rFonts w:hint="eastAsia" w:ascii="宋体" w:hAnsi="宋体"/>
                <w:szCs w:val="21"/>
              </w:rPr>
              <w:t>套</w:t>
            </w:r>
            <w:r>
              <w:rPr>
                <w:rFonts w:hint="eastAsia" w:ascii="宋体" w:hAnsi="宋体" w:cs="宋体"/>
                <w:sz w:val="21"/>
                <w:szCs w:val="21"/>
                <w:lang w:eastAsia="zh-CN"/>
              </w:rPr>
              <w:t>）</w:t>
            </w:r>
          </w:p>
        </w:tc>
        <w:tc>
          <w:tcPr>
            <w:tcW w:w="330" w:type="pct"/>
            <w:vMerge w:val="restart"/>
            <w:tcBorders>
              <w:left w:val="single" w:color="auto" w:sz="4" w:space="0"/>
              <w:tl2br w:val="nil"/>
              <w:tr2bl w:val="nil"/>
            </w:tcBorders>
            <w:vAlign w:val="center"/>
          </w:tcPr>
          <w:p w14:paraId="549886F9">
            <w:pPr>
              <w:adjustRightInd w:val="0"/>
              <w:snapToGrid w:val="0"/>
              <w:jc w:val="center"/>
              <w:rPr>
                <w:rFonts w:hint="eastAsia" w:ascii="Times New Roman" w:hAnsi="Times New Roman" w:eastAsia="宋体" w:cs="Times New Roman"/>
                <w:b w:val="0"/>
                <w:bCs/>
                <w:color w:val="auto"/>
                <w:spacing w:val="-2"/>
                <w:sz w:val="21"/>
                <w:szCs w:val="21"/>
                <w:lang w:val="en-US" w:eastAsia="zh-CN"/>
              </w:rPr>
            </w:pPr>
            <w:r>
              <w:rPr>
                <w:rFonts w:hint="default" w:ascii="Times New Roman" w:hAnsi="Times New Roman" w:eastAsia="宋体" w:cs="Times New Roman"/>
                <w:b w:val="0"/>
                <w:bCs/>
                <w:color w:val="auto"/>
                <w:spacing w:val="-2"/>
                <w:sz w:val="21"/>
                <w:szCs w:val="21"/>
                <w:lang w:val="en-US" w:eastAsia="zh-CN"/>
              </w:rPr>
              <w:t>声功率级</w:t>
            </w:r>
            <w:r>
              <w:rPr>
                <w:rFonts w:hint="eastAsia" w:ascii="宋体" w:hAnsi="宋体" w:cs="宋体"/>
                <w:sz w:val="21"/>
                <w:szCs w:val="21"/>
              </w:rPr>
              <w:t>dB(A</w:t>
            </w:r>
            <w:r>
              <w:rPr>
                <w:rFonts w:hint="eastAsia" w:ascii="宋体" w:hAnsi="宋体" w:cs="宋体"/>
                <w:sz w:val="21"/>
                <w:szCs w:val="21"/>
                <w:lang w:eastAsia="zh-CN"/>
              </w:rPr>
              <w:t>）</w:t>
            </w:r>
          </w:p>
        </w:tc>
        <w:tc>
          <w:tcPr>
            <w:tcW w:w="441" w:type="pct"/>
            <w:vMerge w:val="restart"/>
            <w:tcBorders>
              <w:tl2br w:val="nil"/>
              <w:tr2bl w:val="nil"/>
            </w:tcBorders>
            <w:vAlign w:val="center"/>
          </w:tcPr>
          <w:p w14:paraId="4B8F7A90">
            <w:pPr>
              <w:adjustRightInd w:val="0"/>
              <w:snapToGrid w:val="0"/>
              <w:jc w:val="center"/>
              <w:rPr>
                <w:rFonts w:hint="eastAsia" w:ascii="宋体" w:hAnsi="宋体" w:cs="宋体"/>
                <w:szCs w:val="21"/>
              </w:rPr>
            </w:pPr>
            <w:r>
              <w:rPr>
                <w:rFonts w:hint="eastAsia" w:ascii="宋体" w:hAnsi="宋体" w:cs="宋体"/>
                <w:szCs w:val="21"/>
              </w:rPr>
              <w:t>声源控制措施</w:t>
            </w:r>
          </w:p>
        </w:tc>
        <w:tc>
          <w:tcPr>
            <w:tcW w:w="799" w:type="pct"/>
            <w:gridSpan w:val="3"/>
            <w:tcBorders>
              <w:tl2br w:val="nil"/>
              <w:tr2bl w:val="nil"/>
            </w:tcBorders>
            <w:vAlign w:val="center"/>
          </w:tcPr>
          <w:p w14:paraId="5A5DB117">
            <w:pPr>
              <w:adjustRightInd w:val="0"/>
              <w:snapToGrid w:val="0"/>
              <w:jc w:val="center"/>
              <w:rPr>
                <w:rFonts w:hint="eastAsia" w:ascii="宋体" w:hAnsi="宋体" w:cs="宋体"/>
                <w:szCs w:val="21"/>
              </w:rPr>
            </w:pPr>
            <w:r>
              <w:rPr>
                <w:rFonts w:hint="eastAsia" w:ascii="宋体" w:hAnsi="宋体" w:cs="宋体"/>
                <w:szCs w:val="21"/>
              </w:rPr>
              <w:t>空间相对位置</w:t>
            </w:r>
          </w:p>
        </w:tc>
        <w:tc>
          <w:tcPr>
            <w:tcW w:w="372" w:type="pct"/>
            <w:vMerge w:val="restart"/>
            <w:tcBorders>
              <w:tl2br w:val="nil"/>
              <w:tr2bl w:val="nil"/>
            </w:tcBorders>
            <w:vAlign w:val="center"/>
          </w:tcPr>
          <w:p w14:paraId="575FA3D5">
            <w:pPr>
              <w:adjustRightInd w:val="0"/>
              <w:snapToGrid w:val="0"/>
              <w:jc w:val="center"/>
              <w:rPr>
                <w:rFonts w:hint="eastAsia" w:ascii="宋体" w:hAnsi="宋体" w:cs="宋体"/>
                <w:szCs w:val="21"/>
              </w:rPr>
            </w:pPr>
            <w:r>
              <w:rPr>
                <w:rFonts w:hint="eastAsia" w:ascii="宋体" w:hAnsi="宋体" w:cs="宋体"/>
                <w:szCs w:val="21"/>
              </w:rPr>
              <w:t>距室内边界距离/m</w:t>
            </w:r>
          </w:p>
        </w:tc>
        <w:tc>
          <w:tcPr>
            <w:tcW w:w="380" w:type="pct"/>
            <w:vMerge w:val="restart"/>
            <w:tcBorders>
              <w:tl2br w:val="nil"/>
              <w:tr2bl w:val="nil"/>
            </w:tcBorders>
            <w:vAlign w:val="center"/>
          </w:tcPr>
          <w:p w14:paraId="0B1D127A">
            <w:pPr>
              <w:adjustRightInd w:val="0"/>
              <w:snapToGrid w:val="0"/>
              <w:jc w:val="center"/>
              <w:rPr>
                <w:rFonts w:hint="eastAsia" w:ascii="宋体" w:hAnsi="宋体" w:cs="宋体"/>
                <w:szCs w:val="21"/>
              </w:rPr>
            </w:pPr>
            <w:r>
              <w:rPr>
                <w:rFonts w:hint="eastAsia" w:ascii="宋体" w:hAnsi="宋体" w:cs="宋体"/>
                <w:szCs w:val="21"/>
              </w:rPr>
              <w:t>室内边界声级/dB(A)</w:t>
            </w:r>
          </w:p>
        </w:tc>
        <w:tc>
          <w:tcPr>
            <w:tcW w:w="363" w:type="pct"/>
            <w:vMerge w:val="restart"/>
            <w:tcBorders>
              <w:tl2br w:val="nil"/>
              <w:tr2bl w:val="nil"/>
            </w:tcBorders>
            <w:vAlign w:val="center"/>
          </w:tcPr>
          <w:p w14:paraId="755A7B9A">
            <w:pPr>
              <w:adjustRightInd w:val="0"/>
              <w:snapToGrid w:val="0"/>
              <w:jc w:val="center"/>
              <w:rPr>
                <w:rFonts w:hint="eastAsia" w:ascii="宋体" w:hAnsi="宋体" w:cs="宋体"/>
                <w:szCs w:val="21"/>
              </w:rPr>
            </w:pPr>
            <w:r>
              <w:rPr>
                <w:rFonts w:hint="eastAsia" w:ascii="宋体" w:hAnsi="宋体" w:cs="宋体"/>
                <w:szCs w:val="21"/>
              </w:rPr>
              <w:t>运行</w:t>
            </w:r>
          </w:p>
          <w:p w14:paraId="2B44C65F">
            <w:pPr>
              <w:adjustRightInd w:val="0"/>
              <w:snapToGrid w:val="0"/>
              <w:jc w:val="center"/>
              <w:rPr>
                <w:rFonts w:hint="eastAsia" w:ascii="宋体" w:hAnsi="宋体" w:cs="宋体"/>
                <w:szCs w:val="21"/>
              </w:rPr>
            </w:pPr>
            <w:r>
              <w:rPr>
                <w:rFonts w:hint="eastAsia" w:ascii="宋体" w:hAnsi="宋体" w:cs="宋体"/>
                <w:szCs w:val="21"/>
              </w:rPr>
              <w:t>时段</w:t>
            </w:r>
          </w:p>
        </w:tc>
        <w:tc>
          <w:tcPr>
            <w:tcW w:w="406" w:type="pct"/>
            <w:vMerge w:val="restart"/>
            <w:tcBorders>
              <w:tl2br w:val="nil"/>
              <w:tr2bl w:val="nil"/>
            </w:tcBorders>
            <w:vAlign w:val="center"/>
          </w:tcPr>
          <w:p w14:paraId="087AF512">
            <w:pPr>
              <w:adjustRightInd w:val="0"/>
              <w:snapToGrid w:val="0"/>
              <w:jc w:val="center"/>
              <w:rPr>
                <w:rFonts w:hint="eastAsia" w:ascii="宋体" w:hAnsi="宋体" w:cs="宋体"/>
                <w:szCs w:val="21"/>
              </w:rPr>
            </w:pPr>
            <w:r>
              <w:rPr>
                <w:rFonts w:hint="eastAsia" w:ascii="宋体" w:hAnsi="宋体" w:cs="宋体"/>
                <w:szCs w:val="21"/>
              </w:rPr>
              <w:t>建筑物插入损失/dB(A)</w:t>
            </w:r>
          </w:p>
        </w:tc>
        <w:tc>
          <w:tcPr>
            <w:tcW w:w="799" w:type="pct"/>
            <w:gridSpan w:val="2"/>
            <w:tcBorders>
              <w:tl2br w:val="nil"/>
              <w:tr2bl w:val="nil"/>
            </w:tcBorders>
            <w:vAlign w:val="center"/>
          </w:tcPr>
          <w:p w14:paraId="70185CBF">
            <w:pPr>
              <w:adjustRightInd w:val="0"/>
              <w:snapToGrid w:val="0"/>
              <w:jc w:val="center"/>
              <w:rPr>
                <w:rFonts w:hint="eastAsia" w:ascii="宋体" w:hAnsi="宋体" w:cs="宋体"/>
                <w:szCs w:val="21"/>
              </w:rPr>
            </w:pPr>
            <w:r>
              <w:rPr>
                <w:rFonts w:hint="eastAsia" w:ascii="宋体" w:hAnsi="宋体" w:cs="宋体"/>
                <w:szCs w:val="21"/>
              </w:rPr>
              <w:t>建筑物外噪声</w:t>
            </w:r>
          </w:p>
        </w:tc>
      </w:tr>
      <w:tr w14:paraId="3D68B4FA">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8" w:space="0"/>
          </w:tblBorders>
          <w:tblCellMar>
            <w:top w:w="0" w:type="dxa"/>
            <w:left w:w="0" w:type="dxa"/>
            <w:bottom w:w="0" w:type="dxa"/>
            <w:right w:w="0" w:type="dxa"/>
          </w:tblCellMar>
        </w:tblPrEx>
        <w:trPr>
          <w:trHeight w:val="782" w:hRule="atLeast"/>
          <w:jc w:val="center"/>
        </w:trPr>
        <w:tc>
          <w:tcPr>
            <w:tcW w:w="234" w:type="pct"/>
            <w:vMerge w:val="continue"/>
            <w:tcBorders>
              <w:tl2br w:val="nil"/>
              <w:tr2bl w:val="nil"/>
            </w:tcBorders>
            <w:vAlign w:val="center"/>
          </w:tcPr>
          <w:p w14:paraId="4958B811">
            <w:pPr>
              <w:adjustRightInd w:val="0"/>
              <w:snapToGrid w:val="0"/>
              <w:jc w:val="center"/>
              <w:rPr>
                <w:rFonts w:hint="eastAsia" w:ascii="宋体" w:hAnsi="宋体" w:cs="宋体"/>
                <w:szCs w:val="21"/>
              </w:rPr>
            </w:pPr>
          </w:p>
        </w:tc>
        <w:tc>
          <w:tcPr>
            <w:tcW w:w="404" w:type="pct"/>
            <w:vMerge w:val="continue"/>
            <w:tcBorders>
              <w:tl2br w:val="nil"/>
              <w:tr2bl w:val="nil"/>
            </w:tcBorders>
            <w:vAlign w:val="center"/>
          </w:tcPr>
          <w:p w14:paraId="6B9A52D8">
            <w:pPr>
              <w:adjustRightInd w:val="0"/>
              <w:snapToGrid w:val="0"/>
              <w:jc w:val="center"/>
              <w:rPr>
                <w:rFonts w:hint="eastAsia" w:ascii="宋体" w:hAnsi="宋体" w:cs="宋体"/>
                <w:szCs w:val="21"/>
              </w:rPr>
            </w:pPr>
          </w:p>
        </w:tc>
        <w:tc>
          <w:tcPr>
            <w:tcW w:w="466" w:type="pct"/>
            <w:vMerge w:val="continue"/>
            <w:tcBorders>
              <w:right w:val="single" w:color="auto" w:sz="4" w:space="0"/>
              <w:tl2br w:val="nil"/>
              <w:tr2bl w:val="nil"/>
            </w:tcBorders>
            <w:vAlign w:val="center"/>
          </w:tcPr>
          <w:p w14:paraId="1A690D2D">
            <w:pPr>
              <w:adjustRightInd w:val="0"/>
              <w:snapToGrid w:val="0"/>
              <w:jc w:val="center"/>
              <w:rPr>
                <w:rFonts w:hint="eastAsia" w:ascii="宋体" w:hAnsi="宋体" w:cs="宋体"/>
                <w:szCs w:val="21"/>
              </w:rPr>
            </w:pPr>
          </w:p>
        </w:tc>
        <w:tc>
          <w:tcPr>
            <w:tcW w:w="330" w:type="pct"/>
            <w:vMerge w:val="continue"/>
            <w:tcBorders>
              <w:left w:val="single" w:color="auto" w:sz="4" w:space="0"/>
              <w:tl2br w:val="nil"/>
              <w:tr2bl w:val="nil"/>
            </w:tcBorders>
            <w:vAlign w:val="center"/>
          </w:tcPr>
          <w:p w14:paraId="1E1EE21B">
            <w:pPr>
              <w:adjustRightInd w:val="0"/>
              <w:snapToGrid w:val="0"/>
              <w:jc w:val="center"/>
              <w:rPr>
                <w:rFonts w:hint="eastAsia" w:ascii="宋体" w:hAnsi="宋体" w:cs="宋体"/>
                <w:szCs w:val="21"/>
              </w:rPr>
            </w:pPr>
          </w:p>
        </w:tc>
        <w:tc>
          <w:tcPr>
            <w:tcW w:w="441" w:type="pct"/>
            <w:vMerge w:val="continue"/>
            <w:tcBorders>
              <w:tl2br w:val="nil"/>
              <w:tr2bl w:val="nil"/>
            </w:tcBorders>
            <w:vAlign w:val="center"/>
          </w:tcPr>
          <w:p w14:paraId="0DA795B3">
            <w:pPr>
              <w:adjustRightInd w:val="0"/>
              <w:snapToGrid w:val="0"/>
              <w:jc w:val="center"/>
              <w:rPr>
                <w:rFonts w:hint="eastAsia" w:ascii="宋体" w:hAnsi="宋体" w:cs="宋体"/>
                <w:szCs w:val="21"/>
              </w:rPr>
            </w:pPr>
          </w:p>
        </w:tc>
        <w:tc>
          <w:tcPr>
            <w:tcW w:w="279" w:type="pct"/>
            <w:tcBorders>
              <w:tl2br w:val="nil"/>
              <w:tr2bl w:val="nil"/>
            </w:tcBorders>
            <w:vAlign w:val="center"/>
          </w:tcPr>
          <w:p w14:paraId="52CEAA0C">
            <w:pPr>
              <w:adjustRightInd w:val="0"/>
              <w:snapToGrid w:val="0"/>
              <w:jc w:val="center"/>
              <w:rPr>
                <w:rFonts w:hint="eastAsia" w:ascii="宋体" w:hAnsi="宋体" w:cs="宋体"/>
                <w:szCs w:val="21"/>
              </w:rPr>
            </w:pPr>
            <w:r>
              <w:rPr>
                <w:rFonts w:hint="eastAsia" w:ascii="宋体" w:hAnsi="宋体" w:cs="宋体"/>
                <w:szCs w:val="21"/>
              </w:rPr>
              <w:t>X</w:t>
            </w:r>
          </w:p>
        </w:tc>
        <w:tc>
          <w:tcPr>
            <w:tcW w:w="279" w:type="pct"/>
            <w:tcBorders>
              <w:tl2br w:val="nil"/>
              <w:tr2bl w:val="nil"/>
            </w:tcBorders>
            <w:vAlign w:val="center"/>
          </w:tcPr>
          <w:p w14:paraId="5D5E6C8B">
            <w:pPr>
              <w:adjustRightInd w:val="0"/>
              <w:snapToGrid w:val="0"/>
              <w:jc w:val="center"/>
              <w:rPr>
                <w:rFonts w:hint="eastAsia" w:ascii="宋体" w:hAnsi="宋体" w:cs="宋体"/>
                <w:szCs w:val="21"/>
              </w:rPr>
            </w:pPr>
            <w:r>
              <w:rPr>
                <w:rFonts w:hint="eastAsia" w:ascii="宋体" w:hAnsi="宋体" w:cs="宋体"/>
                <w:szCs w:val="21"/>
              </w:rPr>
              <w:t>Y</w:t>
            </w:r>
          </w:p>
        </w:tc>
        <w:tc>
          <w:tcPr>
            <w:tcW w:w="241" w:type="pct"/>
            <w:tcBorders>
              <w:tl2br w:val="nil"/>
              <w:tr2bl w:val="nil"/>
            </w:tcBorders>
            <w:vAlign w:val="center"/>
          </w:tcPr>
          <w:p w14:paraId="0A76F6B4">
            <w:pPr>
              <w:adjustRightInd w:val="0"/>
              <w:snapToGrid w:val="0"/>
              <w:jc w:val="center"/>
              <w:rPr>
                <w:rFonts w:hint="eastAsia" w:ascii="宋体" w:hAnsi="宋体" w:cs="宋体"/>
                <w:szCs w:val="21"/>
              </w:rPr>
            </w:pPr>
            <w:r>
              <w:rPr>
                <w:rFonts w:hint="eastAsia" w:ascii="宋体" w:hAnsi="宋体" w:cs="宋体"/>
                <w:szCs w:val="21"/>
              </w:rPr>
              <w:t>Z</w:t>
            </w:r>
          </w:p>
        </w:tc>
        <w:tc>
          <w:tcPr>
            <w:tcW w:w="372" w:type="pct"/>
            <w:vMerge w:val="continue"/>
            <w:tcBorders>
              <w:tl2br w:val="nil"/>
              <w:tr2bl w:val="nil"/>
            </w:tcBorders>
            <w:vAlign w:val="center"/>
          </w:tcPr>
          <w:p w14:paraId="10E30194">
            <w:pPr>
              <w:adjustRightInd w:val="0"/>
              <w:snapToGrid w:val="0"/>
              <w:jc w:val="center"/>
              <w:rPr>
                <w:rFonts w:hint="eastAsia" w:ascii="宋体" w:hAnsi="宋体" w:cs="宋体"/>
                <w:szCs w:val="21"/>
              </w:rPr>
            </w:pPr>
          </w:p>
        </w:tc>
        <w:tc>
          <w:tcPr>
            <w:tcW w:w="380" w:type="pct"/>
            <w:vMerge w:val="continue"/>
            <w:tcBorders>
              <w:tl2br w:val="nil"/>
              <w:tr2bl w:val="nil"/>
            </w:tcBorders>
            <w:vAlign w:val="center"/>
          </w:tcPr>
          <w:p w14:paraId="6FC0485B">
            <w:pPr>
              <w:adjustRightInd w:val="0"/>
              <w:snapToGrid w:val="0"/>
              <w:jc w:val="center"/>
              <w:rPr>
                <w:rFonts w:hint="eastAsia" w:ascii="宋体" w:hAnsi="宋体" w:cs="宋体"/>
                <w:szCs w:val="21"/>
              </w:rPr>
            </w:pPr>
          </w:p>
        </w:tc>
        <w:tc>
          <w:tcPr>
            <w:tcW w:w="363" w:type="pct"/>
            <w:vMerge w:val="continue"/>
            <w:tcBorders>
              <w:tl2br w:val="nil"/>
              <w:tr2bl w:val="nil"/>
            </w:tcBorders>
            <w:vAlign w:val="center"/>
          </w:tcPr>
          <w:p w14:paraId="3EA4B0BD">
            <w:pPr>
              <w:adjustRightInd w:val="0"/>
              <w:snapToGrid w:val="0"/>
              <w:jc w:val="center"/>
              <w:rPr>
                <w:rFonts w:hint="eastAsia" w:ascii="宋体" w:hAnsi="宋体" w:cs="宋体"/>
                <w:szCs w:val="21"/>
              </w:rPr>
            </w:pPr>
          </w:p>
        </w:tc>
        <w:tc>
          <w:tcPr>
            <w:tcW w:w="406" w:type="pct"/>
            <w:vMerge w:val="continue"/>
            <w:tcBorders>
              <w:tl2br w:val="nil"/>
              <w:tr2bl w:val="nil"/>
            </w:tcBorders>
            <w:vAlign w:val="center"/>
          </w:tcPr>
          <w:p w14:paraId="4F1D08DE">
            <w:pPr>
              <w:adjustRightInd w:val="0"/>
              <w:snapToGrid w:val="0"/>
              <w:jc w:val="center"/>
              <w:rPr>
                <w:rFonts w:hint="eastAsia" w:ascii="宋体" w:hAnsi="宋体" w:cs="宋体"/>
                <w:szCs w:val="21"/>
              </w:rPr>
            </w:pPr>
          </w:p>
        </w:tc>
        <w:tc>
          <w:tcPr>
            <w:tcW w:w="428" w:type="pct"/>
            <w:tcBorders>
              <w:tl2br w:val="nil"/>
              <w:tr2bl w:val="nil"/>
            </w:tcBorders>
            <w:vAlign w:val="center"/>
          </w:tcPr>
          <w:p w14:paraId="27EA0E0F">
            <w:pPr>
              <w:adjustRightInd w:val="0"/>
              <w:snapToGrid w:val="0"/>
              <w:jc w:val="center"/>
              <w:rPr>
                <w:rFonts w:hint="eastAsia" w:ascii="宋体" w:hAnsi="宋体" w:cs="宋体"/>
                <w:szCs w:val="21"/>
              </w:rPr>
            </w:pPr>
            <w:r>
              <w:rPr>
                <w:rFonts w:hint="eastAsia" w:ascii="宋体" w:hAnsi="宋体" w:cs="宋体"/>
                <w:szCs w:val="21"/>
              </w:rPr>
              <w:t>声压级/dB(A)</w:t>
            </w:r>
          </w:p>
        </w:tc>
        <w:tc>
          <w:tcPr>
            <w:tcW w:w="371" w:type="pct"/>
            <w:tcBorders>
              <w:tl2br w:val="nil"/>
              <w:tr2bl w:val="nil"/>
            </w:tcBorders>
            <w:vAlign w:val="center"/>
          </w:tcPr>
          <w:p w14:paraId="592A0E05">
            <w:pPr>
              <w:adjustRightInd w:val="0"/>
              <w:snapToGrid w:val="0"/>
              <w:jc w:val="center"/>
              <w:rPr>
                <w:rFonts w:hint="eastAsia" w:ascii="宋体" w:hAnsi="宋体" w:cs="宋体"/>
                <w:szCs w:val="21"/>
              </w:rPr>
            </w:pPr>
            <w:r>
              <w:rPr>
                <w:rFonts w:hint="eastAsia" w:ascii="宋体" w:hAnsi="宋体" w:cs="宋体"/>
                <w:szCs w:val="21"/>
              </w:rPr>
              <w:t>建筑物外距离/m</w:t>
            </w:r>
          </w:p>
        </w:tc>
      </w:tr>
      <w:tr w14:paraId="3C98F414">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8" w:space="0"/>
          </w:tblBorders>
          <w:tblCellMar>
            <w:top w:w="0" w:type="dxa"/>
            <w:left w:w="0" w:type="dxa"/>
            <w:bottom w:w="0" w:type="dxa"/>
            <w:right w:w="0" w:type="dxa"/>
          </w:tblCellMar>
        </w:tblPrEx>
        <w:trPr>
          <w:trHeight w:val="329" w:hRule="atLeast"/>
          <w:jc w:val="center"/>
        </w:trPr>
        <w:tc>
          <w:tcPr>
            <w:tcW w:w="234" w:type="pct"/>
            <w:vMerge w:val="restart"/>
            <w:tcBorders>
              <w:tl2br w:val="nil"/>
              <w:tr2bl w:val="nil"/>
            </w:tcBorders>
            <w:vAlign w:val="center"/>
          </w:tcPr>
          <w:p w14:paraId="74F3A885">
            <w:pPr>
              <w:adjustRightInd w:val="0"/>
              <w:snapToGrid w:val="0"/>
              <w:jc w:val="center"/>
              <w:rPr>
                <w:rFonts w:hint="eastAsia" w:ascii="宋体" w:hAnsi="宋体" w:cs="宋体"/>
                <w:szCs w:val="21"/>
              </w:rPr>
            </w:pPr>
            <w:r>
              <w:rPr>
                <w:rFonts w:hint="eastAsia" w:ascii="宋体" w:hAnsi="宋体" w:cs="宋体"/>
                <w:szCs w:val="21"/>
              </w:rPr>
              <w:t>生产车间</w:t>
            </w:r>
          </w:p>
        </w:tc>
        <w:tc>
          <w:tcPr>
            <w:tcW w:w="404" w:type="pct"/>
            <w:tcBorders>
              <w:tl2br w:val="nil"/>
              <w:tr2bl w:val="nil"/>
            </w:tcBorders>
            <w:vAlign w:val="center"/>
          </w:tcPr>
          <w:p w14:paraId="4294DE04">
            <w:pPr>
              <w:snapToGrid w:val="0"/>
              <w:jc w:val="center"/>
              <w:rPr>
                <w:rFonts w:hint="eastAsia" w:ascii="宋体" w:hAnsi="宋体" w:cs="宋体"/>
                <w:szCs w:val="21"/>
              </w:rPr>
            </w:pPr>
            <w:r>
              <w:rPr>
                <w:rFonts w:hint="eastAsia"/>
                <w:color w:val="000000"/>
              </w:rPr>
              <w:t>提料机</w:t>
            </w:r>
          </w:p>
        </w:tc>
        <w:tc>
          <w:tcPr>
            <w:tcW w:w="466" w:type="pct"/>
            <w:tcBorders>
              <w:right w:val="single" w:color="auto" w:sz="4" w:space="0"/>
              <w:tl2br w:val="nil"/>
              <w:tr2bl w:val="nil"/>
            </w:tcBorders>
            <w:vAlign w:val="center"/>
          </w:tcPr>
          <w:p w14:paraId="64162847">
            <w:pPr>
              <w:adjustRightInd w:val="0"/>
              <w:snapToGrid w:val="0"/>
              <w:jc w:val="center"/>
              <w:rPr>
                <w:rFonts w:hint="default" w:ascii="宋体" w:hAnsi="宋体" w:eastAsia="宋体" w:cs="宋体"/>
                <w:szCs w:val="21"/>
                <w:lang w:val="en-US" w:eastAsia="zh-CN"/>
              </w:rPr>
            </w:pPr>
            <w:r>
              <w:rPr>
                <w:rFonts w:hint="eastAsia" w:ascii="宋体" w:hAnsi="宋体" w:cs="宋体"/>
                <w:szCs w:val="21"/>
                <w:lang w:val="en-US" w:eastAsia="zh-CN"/>
              </w:rPr>
              <w:t>1</w:t>
            </w:r>
          </w:p>
        </w:tc>
        <w:tc>
          <w:tcPr>
            <w:tcW w:w="330" w:type="pct"/>
            <w:tcBorders>
              <w:left w:val="single" w:color="auto" w:sz="4" w:space="0"/>
              <w:tl2br w:val="nil"/>
              <w:tr2bl w:val="nil"/>
            </w:tcBorders>
            <w:vAlign w:val="center"/>
          </w:tcPr>
          <w:p w14:paraId="379E1DD3">
            <w:pPr>
              <w:adjustRightInd w:val="0"/>
              <w:snapToGrid w:val="0"/>
              <w:jc w:val="center"/>
              <w:rPr>
                <w:rFonts w:hint="default" w:ascii="宋体" w:hAnsi="宋体" w:cs="宋体"/>
                <w:szCs w:val="21"/>
                <w:lang w:val="en-US" w:eastAsia="zh-CN"/>
              </w:rPr>
            </w:pPr>
            <w:r>
              <w:rPr>
                <w:rFonts w:hint="eastAsia" w:ascii="宋体" w:hAnsi="宋体" w:cs="宋体"/>
                <w:szCs w:val="21"/>
                <w:lang w:val="en-US" w:eastAsia="zh-CN"/>
              </w:rPr>
              <w:t>70</w:t>
            </w:r>
          </w:p>
        </w:tc>
        <w:tc>
          <w:tcPr>
            <w:tcW w:w="441" w:type="pct"/>
            <w:vMerge w:val="restart"/>
            <w:tcBorders>
              <w:tl2br w:val="nil"/>
              <w:tr2bl w:val="nil"/>
            </w:tcBorders>
            <w:vAlign w:val="center"/>
          </w:tcPr>
          <w:p w14:paraId="41140A0E">
            <w:pPr>
              <w:adjustRightInd w:val="0"/>
              <w:snapToGrid w:val="0"/>
              <w:jc w:val="center"/>
              <w:rPr>
                <w:rFonts w:hint="eastAsia" w:ascii="宋体" w:hAnsi="宋体" w:cs="宋体"/>
                <w:szCs w:val="21"/>
              </w:rPr>
            </w:pPr>
            <w:r>
              <w:rPr>
                <w:rFonts w:hint="eastAsia" w:ascii="宋体" w:hAnsi="宋体" w:cs="宋体"/>
                <w:szCs w:val="21"/>
              </w:rPr>
              <w:t>厂房隔声/基础减振</w:t>
            </w:r>
          </w:p>
        </w:tc>
        <w:tc>
          <w:tcPr>
            <w:tcW w:w="279" w:type="pct"/>
            <w:tcBorders>
              <w:tl2br w:val="nil"/>
              <w:tr2bl w:val="nil"/>
            </w:tcBorders>
            <w:vAlign w:val="center"/>
          </w:tcPr>
          <w:p w14:paraId="38D281E5">
            <w:pPr>
              <w:autoSpaceDE w:val="0"/>
              <w:autoSpaceDN w:val="0"/>
              <w:jc w:val="center"/>
              <w:rPr>
                <w:rFonts w:hint="eastAsia" w:ascii="宋体" w:hAnsi="宋体" w:cs="宋体"/>
                <w:szCs w:val="21"/>
              </w:rPr>
            </w:pPr>
            <w:r>
              <w:rPr>
                <w:rFonts w:hint="eastAsia" w:ascii="宋体" w:hAnsi="宋体" w:cs="宋体"/>
                <w:szCs w:val="21"/>
              </w:rPr>
              <w:t>-19.8</w:t>
            </w:r>
          </w:p>
        </w:tc>
        <w:tc>
          <w:tcPr>
            <w:tcW w:w="279" w:type="pct"/>
            <w:tcBorders>
              <w:tl2br w:val="nil"/>
              <w:tr2bl w:val="nil"/>
            </w:tcBorders>
            <w:vAlign w:val="center"/>
          </w:tcPr>
          <w:p w14:paraId="7ECDFA9D">
            <w:pPr>
              <w:autoSpaceDE w:val="0"/>
              <w:autoSpaceDN w:val="0"/>
              <w:jc w:val="center"/>
              <w:rPr>
                <w:rFonts w:hint="eastAsia" w:ascii="宋体" w:hAnsi="宋体" w:cs="宋体"/>
                <w:szCs w:val="21"/>
              </w:rPr>
            </w:pPr>
            <w:r>
              <w:rPr>
                <w:rFonts w:hint="eastAsia" w:ascii="宋体" w:hAnsi="宋体" w:cs="宋体"/>
                <w:szCs w:val="21"/>
              </w:rPr>
              <w:t>-34.3</w:t>
            </w:r>
          </w:p>
        </w:tc>
        <w:tc>
          <w:tcPr>
            <w:tcW w:w="241" w:type="pct"/>
            <w:tcBorders>
              <w:tl2br w:val="nil"/>
              <w:tr2bl w:val="nil"/>
            </w:tcBorders>
            <w:vAlign w:val="center"/>
          </w:tcPr>
          <w:p w14:paraId="3F1463BA">
            <w:pPr>
              <w:autoSpaceDE w:val="0"/>
              <w:autoSpaceDN w:val="0"/>
              <w:jc w:val="center"/>
              <w:rPr>
                <w:rFonts w:hint="eastAsia" w:ascii="宋体" w:hAnsi="宋体" w:cs="宋体"/>
                <w:szCs w:val="21"/>
              </w:rPr>
            </w:pPr>
            <w:r>
              <w:rPr>
                <w:rFonts w:hint="eastAsia" w:ascii="宋体" w:hAnsi="宋体" w:cs="宋体"/>
                <w:szCs w:val="21"/>
              </w:rPr>
              <w:t>1.2</w:t>
            </w:r>
          </w:p>
        </w:tc>
        <w:tc>
          <w:tcPr>
            <w:tcW w:w="372" w:type="pct"/>
            <w:tcBorders>
              <w:tl2br w:val="nil"/>
              <w:tr2bl w:val="nil"/>
            </w:tcBorders>
            <w:vAlign w:val="center"/>
          </w:tcPr>
          <w:p w14:paraId="0C42B8CE">
            <w:pPr>
              <w:adjustRightInd w:val="0"/>
              <w:snapToGrid w:val="0"/>
              <w:jc w:val="center"/>
              <w:rPr>
                <w:rFonts w:hint="default" w:ascii="宋体" w:hAnsi="宋体" w:eastAsia="宋体" w:cs="宋体"/>
                <w:szCs w:val="21"/>
                <w:lang w:val="en-US" w:eastAsia="zh-CN"/>
              </w:rPr>
            </w:pPr>
            <w:r>
              <w:rPr>
                <w:rFonts w:hint="eastAsia" w:ascii="宋体" w:hAnsi="宋体" w:cs="宋体"/>
                <w:szCs w:val="21"/>
                <w:lang w:val="en-US" w:eastAsia="zh-CN"/>
              </w:rPr>
              <w:t>15</w:t>
            </w:r>
          </w:p>
        </w:tc>
        <w:tc>
          <w:tcPr>
            <w:tcW w:w="380" w:type="pct"/>
            <w:tcBorders>
              <w:tl2br w:val="nil"/>
              <w:tr2bl w:val="nil"/>
            </w:tcBorders>
            <w:vAlign w:val="center"/>
          </w:tcPr>
          <w:p w14:paraId="76B86F54">
            <w:pPr>
              <w:adjustRightInd w:val="0"/>
              <w:snapToGrid w:val="0"/>
              <w:jc w:val="center"/>
              <w:rPr>
                <w:rFonts w:hint="eastAsia" w:ascii="宋体" w:hAnsi="宋体" w:cs="宋体"/>
                <w:szCs w:val="21"/>
              </w:rPr>
            </w:pPr>
            <w:r>
              <w:rPr>
                <w:rFonts w:hint="eastAsia" w:ascii="宋体" w:hAnsi="宋体" w:cs="宋体"/>
                <w:szCs w:val="21"/>
              </w:rPr>
              <w:t>70</w:t>
            </w:r>
          </w:p>
        </w:tc>
        <w:tc>
          <w:tcPr>
            <w:tcW w:w="363" w:type="pct"/>
            <w:tcBorders>
              <w:tl2br w:val="nil"/>
              <w:tr2bl w:val="nil"/>
            </w:tcBorders>
            <w:vAlign w:val="center"/>
          </w:tcPr>
          <w:p w14:paraId="1C93E812">
            <w:pPr>
              <w:adjustRightInd w:val="0"/>
              <w:snapToGrid w:val="0"/>
              <w:jc w:val="center"/>
              <w:rPr>
                <w:rFonts w:hint="eastAsia" w:ascii="宋体" w:hAnsi="宋体" w:cs="宋体"/>
                <w:szCs w:val="21"/>
              </w:rPr>
            </w:pPr>
            <w:r>
              <w:rPr>
                <w:rFonts w:hint="eastAsia" w:ascii="宋体" w:hAnsi="宋体" w:cs="宋体"/>
                <w:szCs w:val="21"/>
              </w:rPr>
              <w:t>间断</w:t>
            </w:r>
          </w:p>
        </w:tc>
        <w:tc>
          <w:tcPr>
            <w:tcW w:w="406" w:type="pct"/>
            <w:tcBorders>
              <w:tl2br w:val="nil"/>
              <w:tr2bl w:val="nil"/>
            </w:tcBorders>
            <w:vAlign w:val="center"/>
          </w:tcPr>
          <w:p w14:paraId="713ACC6F">
            <w:pPr>
              <w:adjustRightInd w:val="0"/>
              <w:snapToGrid w:val="0"/>
              <w:jc w:val="center"/>
              <w:rPr>
                <w:rFonts w:hint="eastAsia" w:ascii="宋体" w:hAnsi="宋体" w:cs="宋体"/>
                <w:szCs w:val="21"/>
              </w:rPr>
            </w:pPr>
            <w:r>
              <w:rPr>
                <w:rFonts w:hint="eastAsia" w:ascii="宋体" w:hAnsi="宋体" w:cs="宋体"/>
                <w:szCs w:val="21"/>
              </w:rPr>
              <w:t>15</w:t>
            </w:r>
          </w:p>
        </w:tc>
        <w:tc>
          <w:tcPr>
            <w:tcW w:w="428" w:type="pct"/>
            <w:tcBorders>
              <w:tl2br w:val="nil"/>
              <w:tr2bl w:val="nil"/>
            </w:tcBorders>
            <w:vAlign w:val="center"/>
          </w:tcPr>
          <w:p w14:paraId="77C1AC9E">
            <w:pPr>
              <w:adjustRightInd w:val="0"/>
              <w:snapToGrid w:val="0"/>
              <w:jc w:val="center"/>
              <w:rPr>
                <w:rFonts w:hint="eastAsia" w:ascii="宋体" w:hAnsi="宋体" w:cs="宋体"/>
                <w:szCs w:val="21"/>
              </w:rPr>
            </w:pPr>
            <w:r>
              <w:rPr>
                <w:rFonts w:hint="eastAsia" w:ascii="宋体" w:hAnsi="宋体" w:cs="宋体"/>
                <w:szCs w:val="21"/>
              </w:rPr>
              <w:t>55</w:t>
            </w:r>
          </w:p>
        </w:tc>
        <w:tc>
          <w:tcPr>
            <w:tcW w:w="371" w:type="pct"/>
            <w:tcBorders>
              <w:tl2br w:val="nil"/>
              <w:tr2bl w:val="nil"/>
            </w:tcBorders>
            <w:vAlign w:val="center"/>
          </w:tcPr>
          <w:p w14:paraId="5C08119F">
            <w:pPr>
              <w:adjustRightInd w:val="0"/>
              <w:snapToGrid w:val="0"/>
              <w:jc w:val="center"/>
              <w:rPr>
                <w:rFonts w:hint="eastAsia" w:ascii="宋体" w:hAnsi="宋体" w:cs="宋体"/>
                <w:szCs w:val="21"/>
              </w:rPr>
            </w:pPr>
            <w:r>
              <w:rPr>
                <w:rFonts w:hint="eastAsia" w:ascii="宋体" w:hAnsi="宋体" w:cs="宋体"/>
                <w:szCs w:val="21"/>
              </w:rPr>
              <w:t>1</w:t>
            </w:r>
          </w:p>
        </w:tc>
      </w:tr>
      <w:tr w14:paraId="0249683A">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8" w:space="0"/>
          </w:tblBorders>
          <w:tblCellMar>
            <w:top w:w="0" w:type="dxa"/>
            <w:left w:w="0" w:type="dxa"/>
            <w:bottom w:w="0" w:type="dxa"/>
            <w:right w:w="0" w:type="dxa"/>
          </w:tblCellMar>
        </w:tblPrEx>
        <w:trPr>
          <w:trHeight w:val="522" w:hRule="atLeast"/>
          <w:jc w:val="center"/>
        </w:trPr>
        <w:tc>
          <w:tcPr>
            <w:tcW w:w="234" w:type="pct"/>
            <w:vMerge w:val="continue"/>
            <w:tcBorders>
              <w:tl2br w:val="nil"/>
              <w:tr2bl w:val="nil"/>
            </w:tcBorders>
            <w:vAlign w:val="center"/>
          </w:tcPr>
          <w:p w14:paraId="451B0F85">
            <w:pPr>
              <w:adjustRightInd w:val="0"/>
              <w:snapToGrid w:val="0"/>
              <w:jc w:val="center"/>
              <w:rPr>
                <w:rFonts w:hint="eastAsia" w:ascii="宋体" w:hAnsi="宋体" w:cs="宋体"/>
                <w:szCs w:val="21"/>
              </w:rPr>
            </w:pPr>
          </w:p>
        </w:tc>
        <w:tc>
          <w:tcPr>
            <w:tcW w:w="404" w:type="pct"/>
            <w:tcBorders>
              <w:tl2br w:val="nil"/>
              <w:tr2bl w:val="nil"/>
            </w:tcBorders>
            <w:vAlign w:val="center"/>
          </w:tcPr>
          <w:p w14:paraId="3E09A5DE">
            <w:pPr>
              <w:snapToGrid w:val="0"/>
              <w:jc w:val="center"/>
              <w:rPr>
                <w:rFonts w:hint="eastAsia"/>
                <w:color w:val="000000"/>
              </w:rPr>
            </w:pPr>
            <w:r>
              <w:t>自动上料装置</w:t>
            </w:r>
          </w:p>
        </w:tc>
        <w:tc>
          <w:tcPr>
            <w:tcW w:w="466" w:type="pct"/>
            <w:tcBorders>
              <w:right w:val="single" w:color="auto" w:sz="4" w:space="0"/>
              <w:tl2br w:val="nil"/>
              <w:tr2bl w:val="nil"/>
            </w:tcBorders>
            <w:vAlign w:val="center"/>
          </w:tcPr>
          <w:p w14:paraId="75212B8A">
            <w:pPr>
              <w:adjustRightInd w:val="0"/>
              <w:snapToGrid w:val="0"/>
              <w:jc w:val="center"/>
              <w:rPr>
                <w:rFonts w:hint="default" w:ascii="宋体" w:hAnsi="宋体" w:cs="宋体"/>
                <w:szCs w:val="21"/>
                <w:lang w:val="en-US" w:eastAsia="zh-CN"/>
              </w:rPr>
            </w:pPr>
            <w:r>
              <w:rPr>
                <w:rFonts w:hint="eastAsia" w:ascii="宋体" w:hAnsi="宋体" w:cs="宋体"/>
                <w:szCs w:val="21"/>
                <w:lang w:val="en-US" w:eastAsia="zh-CN"/>
              </w:rPr>
              <w:t>1</w:t>
            </w:r>
          </w:p>
        </w:tc>
        <w:tc>
          <w:tcPr>
            <w:tcW w:w="330" w:type="pct"/>
            <w:tcBorders>
              <w:left w:val="single" w:color="auto" w:sz="4" w:space="0"/>
              <w:tl2br w:val="nil"/>
              <w:tr2bl w:val="nil"/>
            </w:tcBorders>
            <w:vAlign w:val="center"/>
          </w:tcPr>
          <w:p w14:paraId="1A47016E">
            <w:pPr>
              <w:adjustRightInd w:val="0"/>
              <w:snapToGrid w:val="0"/>
              <w:jc w:val="center"/>
              <w:rPr>
                <w:rFonts w:hint="default" w:ascii="宋体" w:hAnsi="宋体" w:cs="宋体"/>
                <w:szCs w:val="21"/>
                <w:lang w:val="en-US" w:eastAsia="zh-CN"/>
              </w:rPr>
            </w:pPr>
            <w:r>
              <w:rPr>
                <w:rFonts w:hint="eastAsia" w:ascii="宋体" w:hAnsi="宋体" w:cs="宋体"/>
                <w:szCs w:val="21"/>
                <w:lang w:val="en-US" w:eastAsia="zh-CN"/>
              </w:rPr>
              <w:t>70</w:t>
            </w:r>
          </w:p>
        </w:tc>
        <w:tc>
          <w:tcPr>
            <w:tcW w:w="441" w:type="pct"/>
            <w:vMerge w:val="continue"/>
            <w:tcBorders>
              <w:tl2br w:val="nil"/>
              <w:tr2bl w:val="nil"/>
            </w:tcBorders>
            <w:vAlign w:val="center"/>
          </w:tcPr>
          <w:p w14:paraId="22953063">
            <w:pPr>
              <w:adjustRightInd w:val="0"/>
              <w:snapToGrid w:val="0"/>
              <w:jc w:val="center"/>
              <w:rPr>
                <w:rFonts w:hint="eastAsia" w:ascii="宋体" w:hAnsi="宋体" w:cs="宋体"/>
                <w:szCs w:val="21"/>
              </w:rPr>
            </w:pPr>
          </w:p>
        </w:tc>
        <w:tc>
          <w:tcPr>
            <w:tcW w:w="279" w:type="pct"/>
            <w:tcBorders>
              <w:tl2br w:val="nil"/>
              <w:tr2bl w:val="nil"/>
            </w:tcBorders>
            <w:shd w:val="clear" w:color="auto" w:fill="auto"/>
            <w:vAlign w:val="center"/>
          </w:tcPr>
          <w:p w14:paraId="6BAE2D12">
            <w:pPr>
              <w:autoSpaceDE w:val="0"/>
              <w:autoSpaceDN w:val="0"/>
              <w:jc w:val="center"/>
              <w:rPr>
                <w:rFonts w:hint="eastAsia" w:ascii="宋体" w:hAnsi="宋体" w:eastAsia="宋体" w:cs="宋体"/>
                <w:kern w:val="2"/>
                <w:sz w:val="21"/>
                <w:szCs w:val="21"/>
                <w:lang w:val="en-US" w:eastAsia="zh-CN" w:bidi="ar-SA"/>
              </w:rPr>
            </w:pPr>
            <w:r>
              <w:rPr>
                <w:rFonts w:hint="eastAsia" w:ascii="宋体" w:hAnsi="宋体" w:cs="宋体"/>
                <w:szCs w:val="21"/>
              </w:rPr>
              <w:t>-9.8</w:t>
            </w:r>
          </w:p>
        </w:tc>
        <w:tc>
          <w:tcPr>
            <w:tcW w:w="279" w:type="pct"/>
            <w:tcBorders>
              <w:tl2br w:val="nil"/>
              <w:tr2bl w:val="nil"/>
            </w:tcBorders>
            <w:shd w:val="clear" w:color="auto" w:fill="auto"/>
            <w:vAlign w:val="center"/>
          </w:tcPr>
          <w:p w14:paraId="540598E3">
            <w:pPr>
              <w:autoSpaceDE w:val="0"/>
              <w:autoSpaceDN w:val="0"/>
              <w:jc w:val="center"/>
              <w:rPr>
                <w:rFonts w:hint="eastAsia" w:ascii="宋体" w:hAnsi="宋体" w:eastAsia="宋体" w:cs="宋体"/>
                <w:kern w:val="2"/>
                <w:sz w:val="21"/>
                <w:szCs w:val="21"/>
                <w:lang w:val="en-US" w:eastAsia="zh-CN" w:bidi="ar-SA"/>
              </w:rPr>
            </w:pPr>
            <w:r>
              <w:rPr>
                <w:rFonts w:hint="eastAsia" w:ascii="宋体" w:hAnsi="宋体" w:cs="宋体"/>
                <w:szCs w:val="21"/>
              </w:rPr>
              <w:t>-</w:t>
            </w:r>
            <w:r>
              <w:rPr>
                <w:rFonts w:hint="eastAsia" w:ascii="宋体" w:hAnsi="宋体" w:cs="宋体"/>
                <w:szCs w:val="21"/>
                <w:lang w:val="en-US" w:eastAsia="zh-CN"/>
              </w:rPr>
              <w:t>1</w:t>
            </w:r>
            <w:r>
              <w:rPr>
                <w:rFonts w:hint="eastAsia" w:ascii="宋体" w:hAnsi="宋体" w:cs="宋体"/>
                <w:szCs w:val="21"/>
              </w:rPr>
              <w:t>4.3</w:t>
            </w:r>
          </w:p>
        </w:tc>
        <w:tc>
          <w:tcPr>
            <w:tcW w:w="241" w:type="pct"/>
            <w:tcBorders>
              <w:tl2br w:val="nil"/>
              <w:tr2bl w:val="nil"/>
            </w:tcBorders>
            <w:shd w:val="clear" w:color="auto" w:fill="auto"/>
            <w:vAlign w:val="center"/>
          </w:tcPr>
          <w:p w14:paraId="1C9FD13B">
            <w:pPr>
              <w:autoSpaceDE w:val="0"/>
              <w:autoSpaceDN w:val="0"/>
              <w:jc w:val="center"/>
              <w:rPr>
                <w:rFonts w:hint="eastAsia" w:ascii="宋体" w:hAnsi="宋体" w:eastAsia="宋体" w:cs="宋体"/>
                <w:kern w:val="2"/>
                <w:sz w:val="21"/>
                <w:szCs w:val="21"/>
                <w:lang w:val="en-US" w:eastAsia="zh-CN" w:bidi="ar-SA"/>
              </w:rPr>
            </w:pPr>
            <w:r>
              <w:rPr>
                <w:rFonts w:hint="eastAsia" w:ascii="宋体" w:hAnsi="宋体" w:cs="宋体"/>
                <w:szCs w:val="21"/>
              </w:rPr>
              <w:t>1.2</w:t>
            </w:r>
          </w:p>
        </w:tc>
        <w:tc>
          <w:tcPr>
            <w:tcW w:w="372" w:type="pct"/>
            <w:tcBorders>
              <w:tl2br w:val="nil"/>
              <w:tr2bl w:val="nil"/>
            </w:tcBorders>
            <w:shd w:val="clear" w:color="auto" w:fill="auto"/>
            <w:vAlign w:val="center"/>
          </w:tcPr>
          <w:p w14:paraId="6AEABB74">
            <w:pPr>
              <w:adjustRightInd w:val="0"/>
              <w:snapToGrid w:val="0"/>
              <w:jc w:val="center"/>
              <w:rPr>
                <w:rFonts w:hint="eastAsia" w:ascii="宋体" w:hAnsi="宋体" w:eastAsia="宋体" w:cs="宋体"/>
                <w:kern w:val="2"/>
                <w:sz w:val="21"/>
                <w:szCs w:val="21"/>
                <w:lang w:val="en-US" w:eastAsia="zh-CN" w:bidi="ar-SA"/>
              </w:rPr>
            </w:pPr>
            <w:r>
              <w:rPr>
                <w:rFonts w:hint="eastAsia" w:ascii="宋体" w:hAnsi="宋体" w:cs="宋体"/>
                <w:szCs w:val="21"/>
                <w:lang w:val="en-US" w:eastAsia="zh-CN"/>
              </w:rPr>
              <w:t>15</w:t>
            </w:r>
          </w:p>
        </w:tc>
        <w:tc>
          <w:tcPr>
            <w:tcW w:w="380" w:type="pct"/>
            <w:tcBorders>
              <w:tl2br w:val="nil"/>
              <w:tr2bl w:val="nil"/>
            </w:tcBorders>
            <w:shd w:val="clear" w:color="auto" w:fill="auto"/>
            <w:vAlign w:val="center"/>
          </w:tcPr>
          <w:p w14:paraId="02997E7D">
            <w:pPr>
              <w:adjustRightInd w:val="0"/>
              <w:snapToGrid w:val="0"/>
              <w:jc w:val="center"/>
              <w:rPr>
                <w:rFonts w:hint="eastAsia" w:ascii="宋体" w:hAnsi="宋体" w:eastAsia="宋体" w:cs="宋体"/>
                <w:kern w:val="2"/>
                <w:sz w:val="21"/>
                <w:szCs w:val="21"/>
                <w:lang w:val="en-US" w:eastAsia="zh-CN" w:bidi="ar-SA"/>
              </w:rPr>
            </w:pPr>
            <w:r>
              <w:rPr>
                <w:rFonts w:hint="eastAsia" w:ascii="宋体" w:hAnsi="宋体" w:cs="宋体"/>
                <w:szCs w:val="21"/>
              </w:rPr>
              <w:t>70</w:t>
            </w:r>
          </w:p>
        </w:tc>
        <w:tc>
          <w:tcPr>
            <w:tcW w:w="363" w:type="pct"/>
            <w:vMerge w:val="restart"/>
            <w:tcBorders>
              <w:tl2br w:val="nil"/>
              <w:tr2bl w:val="nil"/>
            </w:tcBorders>
            <w:shd w:val="clear" w:color="auto" w:fill="auto"/>
            <w:vAlign w:val="center"/>
          </w:tcPr>
          <w:p w14:paraId="39B61770">
            <w:pPr>
              <w:adjustRightInd w:val="0"/>
              <w:snapToGrid w:val="0"/>
              <w:jc w:val="center"/>
              <w:rPr>
                <w:rFonts w:hint="eastAsia" w:ascii="宋体" w:hAnsi="宋体" w:cs="宋体"/>
                <w:szCs w:val="21"/>
              </w:rPr>
            </w:pPr>
            <w:r>
              <w:rPr>
                <w:rFonts w:hint="eastAsia" w:ascii="宋体" w:hAnsi="宋体" w:cs="宋体"/>
                <w:szCs w:val="21"/>
              </w:rPr>
              <w:t>连续</w:t>
            </w:r>
          </w:p>
        </w:tc>
        <w:tc>
          <w:tcPr>
            <w:tcW w:w="406" w:type="pct"/>
            <w:tcBorders>
              <w:tl2br w:val="nil"/>
              <w:tr2bl w:val="nil"/>
            </w:tcBorders>
            <w:shd w:val="clear" w:color="auto" w:fill="auto"/>
            <w:vAlign w:val="center"/>
          </w:tcPr>
          <w:p w14:paraId="0A30F541">
            <w:pPr>
              <w:adjustRightInd w:val="0"/>
              <w:snapToGrid w:val="0"/>
              <w:jc w:val="center"/>
              <w:rPr>
                <w:rFonts w:hint="eastAsia" w:ascii="宋体" w:hAnsi="宋体" w:eastAsia="宋体" w:cs="宋体"/>
                <w:kern w:val="2"/>
                <w:sz w:val="21"/>
                <w:szCs w:val="21"/>
                <w:lang w:val="en-US" w:eastAsia="zh-CN" w:bidi="ar-SA"/>
              </w:rPr>
            </w:pPr>
            <w:r>
              <w:rPr>
                <w:rFonts w:hint="eastAsia" w:ascii="宋体" w:hAnsi="宋体" w:cs="宋体"/>
                <w:szCs w:val="21"/>
              </w:rPr>
              <w:t>15</w:t>
            </w:r>
          </w:p>
        </w:tc>
        <w:tc>
          <w:tcPr>
            <w:tcW w:w="428" w:type="pct"/>
            <w:tcBorders>
              <w:tl2br w:val="nil"/>
              <w:tr2bl w:val="nil"/>
            </w:tcBorders>
            <w:shd w:val="clear" w:color="auto" w:fill="auto"/>
            <w:vAlign w:val="center"/>
          </w:tcPr>
          <w:p w14:paraId="1AB77EE6">
            <w:pPr>
              <w:adjustRightInd w:val="0"/>
              <w:snapToGrid w:val="0"/>
              <w:jc w:val="center"/>
              <w:rPr>
                <w:rFonts w:hint="eastAsia" w:ascii="宋体" w:hAnsi="宋体" w:eastAsia="宋体" w:cs="宋体"/>
                <w:kern w:val="2"/>
                <w:sz w:val="21"/>
                <w:szCs w:val="21"/>
                <w:lang w:val="en-US" w:eastAsia="zh-CN" w:bidi="ar-SA"/>
              </w:rPr>
            </w:pPr>
            <w:r>
              <w:rPr>
                <w:rFonts w:hint="eastAsia" w:ascii="宋体" w:hAnsi="宋体" w:cs="宋体"/>
                <w:szCs w:val="21"/>
              </w:rPr>
              <w:t>55</w:t>
            </w:r>
          </w:p>
        </w:tc>
        <w:tc>
          <w:tcPr>
            <w:tcW w:w="371" w:type="pct"/>
            <w:tcBorders>
              <w:tl2br w:val="nil"/>
              <w:tr2bl w:val="nil"/>
            </w:tcBorders>
            <w:shd w:val="clear" w:color="auto" w:fill="auto"/>
            <w:vAlign w:val="center"/>
          </w:tcPr>
          <w:p w14:paraId="6C556033">
            <w:pPr>
              <w:adjustRightInd w:val="0"/>
              <w:snapToGrid w:val="0"/>
              <w:jc w:val="center"/>
              <w:rPr>
                <w:rFonts w:hint="eastAsia" w:ascii="宋体" w:hAnsi="宋体" w:eastAsia="宋体" w:cs="宋体"/>
                <w:kern w:val="2"/>
                <w:sz w:val="21"/>
                <w:szCs w:val="21"/>
                <w:lang w:val="en-US" w:eastAsia="zh-CN" w:bidi="ar-SA"/>
              </w:rPr>
            </w:pPr>
            <w:r>
              <w:rPr>
                <w:rFonts w:hint="eastAsia" w:ascii="宋体" w:hAnsi="宋体" w:cs="宋体"/>
                <w:szCs w:val="21"/>
              </w:rPr>
              <w:t>1</w:t>
            </w:r>
          </w:p>
        </w:tc>
      </w:tr>
      <w:tr w14:paraId="625FD542">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8" w:space="0"/>
          </w:tblBorders>
          <w:tblCellMar>
            <w:top w:w="0" w:type="dxa"/>
            <w:left w:w="0" w:type="dxa"/>
            <w:bottom w:w="0" w:type="dxa"/>
            <w:right w:w="0" w:type="dxa"/>
          </w:tblCellMar>
        </w:tblPrEx>
        <w:trPr>
          <w:trHeight w:val="782" w:hRule="atLeast"/>
          <w:jc w:val="center"/>
        </w:trPr>
        <w:tc>
          <w:tcPr>
            <w:tcW w:w="234" w:type="pct"/>
            <w:vMerge w:val="continue"/>
            <w:tcBorders>
              <w:tl2br w:val="nil"/>
              <w:tr2bl w:val="nil"/>
            </w:tcBorders>
            <w:vAlign w:val="center"/>
          </w:tcPr>
          <w:p w14:paraId="4D4D30D9">
            <w:pPr>
              <w:adjustRightInd w:val="0"/>
              <w:snapToGrid w:val="0"/>
              <w:jc w:val="center"/>
              <w:rPr>
                <w:rFonts w:hint="eastAsia" w:ascii="宋体" w:hAnsi="宋体" w:cs="宋体"/>
                <w:szCs w:val="21"/>
              </w:rPr>
            </w:pPr>
          </w:p>
        </w:tc>
        <w:tc>
          <w:tcPr>
            <w:tcW w:w="404" w:type="pct"/>
            <w:tcBorders>
              <w:tl2br w:val="nil"/>
              <w:tr2bl w:val="nil"/>
            </w:tcBorders>
            <w:vAlign w:val="center"/>
          </w:tcPr>
          <w:p w14:paraId="2E43C67C">
            <w:pPr>
              <w:snapToGrid w:val="0"/>
              <w:jc w:val="center"/>
            </w:pPr>
            <w:r>
              <w:rPr>
                <w:color w:val="auto"/>
              </w:rPr>
              <w:t>立式混料烘干装置</w:t>
            </w:r>
          </w:p>
        </w:tc>
        <w:tc>
          <w:tcPr>
            <w:tcW w:w="466" w:type="pct"/>
            <w:tcBorders>
              <w:right w:val="single" w:color="auto" w:sz="4" w:space="0"/>
              <w:tl2br w:val="nil"/>
              <w:tr2bl w:val="nil"/>
            </w:tcBorders>
            <w:shd w:val="clear" w:color="auto" w:fill="auto"/>
            <w:vAlign w:val="center"/>
          </w:tcPr>
          <w:p w14:paraId="21124393">
            <w:pPr>
              <w:adjustRightInd w:val="0"/>
              <w:snapToGrid w:val="0"/>
              <w:jc w:val="center"/>
              <w:rPr>
                <w:rFonts w:hint="eastAsia" w:ascii="宋体" w:hAnsi="宋体" w:eastAsia="宋体" w:cs="宋体"/>
                <w:kern w:val="2"/>
                <w:sz w:val="21"/>
                <w:szCs w:val="21"/>
                <w:lang w:val="en-US" w:eastAsia="zh-CN" w:bidi="ar-SA"/>
              </w:rPr>
            </w:pPr>
            <w:r>
              <w:rPr>
                <w:rFonts w:hint="eastAsia" w:ascii="宋体" w:hAnsi="宋体" w:cs="宋体"/>
                <w:szCs w:val="21"/>
                <w:lang w:val="en-US" w:eastAsia="zh-CN"/>
              </w:rPr>
              <w:t>1</w:t>
            </w:r>
          </w:p>
        </w:tc>
        <w:tc>
          <w:tcPr>
            <w:tcW w:w="330" w:type="pct"/>
            <w:tcBorders>
              <w:left w:val="single" w:color="auto" w:sz="4" w:space="0"/>
              <w:tl2br w:val="nil"/>
              <w:tr2bl w:val="nil"/>
            </w:tcBorders>
            <w:shd w:val="clear" w:color="auto" w:fill="auto"/>
            <w:vAlign w:val="center"/>
          </w:tcPr>
          <w:p w14:paraId="225B6109">
            <w:pPr>
              <w:adjustRightInd w:val="0"/>
              <w:snapToGrid w:val="0"/>
              <w:jc w:val="center"/>
              <w:rPr>
                <w:rFonts w:hint="eastAsia" w:ascii="宋体" w:hAnsi="宋体" w:eastAsia="宋体" w:cs="宋体"/>
                <w:kern w:val="2"/>
                <w:sz w:val="21"/>
                <w:szCs w:val="21"/>
                <w:lang w:val="en-US" w:eastAsia="zh-CN" w:bidi="ar-SA"/>
              </w:rPr>
            </w:pPr>
            <w:r>
              <w:rPr>
                <w:rFonts w:hint="eastAsia" w:ascii="宋体" w:hAnsi="宋体" w:cs="宋体"/>
                <w:szCs w:val="21"/>
                <w:lang w:val="en-US" w:eastAsia="zh-CN"/>
              </w:rPr>
              <w:t>70</w:t>
            </w:r>
          </w:p>
        </w:tc>
        <w:tc>
          <w:tcPr>
            <w:tcW w:w="441" w:type="pct"/>
            <w:vMerge w:val="continue"/>
            <w:tcBorders>
              <w:tl2br w:val="nil"/>
              <w:tr2bl w:val="nil"/>
            </w:tcBorders>
            <w:vAlign w:val="center"/>
          </w:tcPr>
          <w:p w14:paraId="1E9156C5">
            <w:pPr>
              <w:adjustRightInd w:val="0"/>
              <w:snapToGrid w:val="0"/>
              <w:jc w:val="center"/>
              <w:rPr>
                <w:rFonts w:hint="eastAsia" w:ascii="宋体" w:hAnsi="宋体" w:cs="宋体"/>
                <w:szCs w:val="21"/>
              </w:rPr>
            </w:pPr>
          </w:p>
        </w:tc>
        <w:tc>
          <w:tcPr>
            <w:tcW w:w="279" w:type="pct"/>
            <w:tcBorders>
              <w:tl2br w:val="nil"/>
              <w:tr2bl w:val="nil"/>
            </w:tcBorders>
            <w:shd w:val="clear" w:color="auto" w:fill="auto"/>
            <w:vAlign w:val="center"/>
          </w:tcPr>
          <w:p w14:paraId="767103CE">
            <w:pPr>
              <w:autoSpaceDE w:val="0"/>
              <w:autoSpaceDN w:val="0"/>
              <w:jc w:val="center"/>
              <w:rPr>
                <w:rFonts w:hint="eastAsia" w:ascii="宋体" w:hAnsi="宋体" w:eastAsia="宋体" w:cs="宋体"/>
                <w:kern w:val="2"/>
                <w:sz w:val="21"/>
                <w:szCs w:val="21"/>
                <w:lang w:val="en-US" w:eastAsia="zh-CN" w:bidi="ar-SA"/>
              </w:rPr>
            </w:pPr>
            <w:r>
              <w:rPr>
                <w:rFonts w:hint="eastAsia" w:ascii="宋体" w:hAnsi="宋体" w:cs="宋体"/>
                <w:bCs/>
                <w:szCs w:val="21"/>
              </w:rPr>
              <w:t>-4.</w:t>
            </w:r>
            <w:r>
              <w:rPr>
                <w:rFonts w:hint="eastAsia" w:ascii="宋体" w:hAnsi="宋体" w:cs="宋体"/>
                <w:bCs/>
                <w:szCs w:val="21"/>
                <w:lang w:val="en-US" w:eastAsia="zh-CN"/>
              </w:rPr>
              <w:t>5</w:t>
            </w:r>
          </w:p>
        </w:tc>
        <w:tc>
          <w:tcPr>
            <w:tcW w:w="279" w:type="pct"/>
            <w:tcBorders>
              <w:tl2br w:val="nil"/>
              <w:tr2bl w:val="nil"/>
            </w:tcBorders>
            <w:shd w:val="clear" w:color="auto" w:fill="auto"/>
            <w:vAlign w:val="center"/>
          </w:tcPr>
          <w:p w14:paraId="7ADB19F6">
            <w:pPr>
              <w:autoSpaceDE w:val="0"/>
              <w:autoSpaceDN w:val="0"/>
              <w:jc w:val="center"/>
              <w:rPr>
                <w:rFonts w:hint="eastAsia" w:ascii="宋体" w:hAnsi="宋体" w:eastAsia="宋体" w:cs="宋体"/>
                <w:kern w:val="2"/>
                <w:sz w:val="21"/>
                <w:szCs w:val="21"/>
                <w:lang w:val="en-US" w:eastAsia="zh-CN" w:bidi="ar-SA"/>
              </w:rPr>
            </w:pPr>
            <w:r>
              <w:rPr>
                <w:rFonts w:hint="eastAsia" w:ascii="宋体" w:hAnsi="宋体" w:cs="宋体"/>
                <w:bCs/>
                <w:szCs w:val="21"/>
              </w:rPr>
              <w:t>1</w:t>
            </w:r>
            <w:r>
              <w:rPr>
                <w:rFonts w:hint="eastAsia" w:ascii="宋体" w:hAnsi="宋体" w:cs="宋体"/>
                <w:bCs/>
                <w:szCs w:val="21"/>
                <w:lang w:val="en-US" w:eastAsia="zh-CN"/>
              </w:rPr>
              <w:t>1</w:t>
            </w:r>
            <w:r>
              <w:rPr>
                <w:rFonts w:hint="eastAsia" w:ascii="宋体" w:hAnsi="宋体" w:cs="宋体"/>
                <w:bCs/>
                <w:szCs w:val="21"/>
              </w:rPr>
              <w:t>.5</w:t>
            </w:r>
          </w:p>
        </w:tc>
        <w:tc>
          <w:tcPr>
            <w:tcW w:w="241" w:type="pct"/>
            <w:tcBorders>
              <w:tl2br w:val="nil"/>
              <w:tr2bl w:val="nil"/>
            </w:tcBorders>
            <w:shd w:val="clear" w:color="auto" w:fill="auto"/>
            <w:vAlign w:val="center"/>
          </w:tcPr>
          <w:p w14:paraId="1F5B243D">
            <w:pPr>
              <w:autoSpaceDE w:val="0"/>
              <w:autoSpaceDN w:val="0"/>
              <w:jc w:val="center"/>
              <w:rPr>
                <w:rFonts w:hint="eastAsia" w:ascii="宋体" w:hAnsi="宋体" w:eastAsia="宋体" w:cs="宋体"/>
                <w:kern w:val="2"/>
                <w:sz w:val="21"/>
                <w:szCs w:val="21"/>
                <w:lang w:val="en-US" w:eastAsia="zh-CN" w:bidi="ar-SA"/>
              </w:rPr>
            </w:pPr>
            <w:r>
              <w:rPr>
                <w:rFonts w:hint="eastAsia" w:ascii="宋体" w:hAnsi="宋体" w:cs="宋体"/>
                <w:bCs/>
                <w:szCs w:val="21"/>
              </w:rPr>
              <w:t>1.2</w:t>
            </w:r>
          </w:p>
        </w:tc>
        <w:tc>
          <w:tcPr>
            <w:tcW w:w="372" w:type="pct"/>
            <w:tcBorders>
              <w:tl2br w:val="nil"/>
              <w:tr2bl w:val="nil"/>
            </w:tcBorders>
            <w:shd w:val="clear" w:color="auto" w:fill="auto"/>
            <w:vAlign w:val="center"/>
          </w:tcPr>
          <w:p w14:paraId="725DDADE">
            <w:pPr>
              <w:adjustRightInd w:val="0"/>
              <w:snapToGrid w:val="0"/>
              <w:jc w:val="center"/>
              <w:rPr>
                <w:rFonts w:hint="eastAsia" w:ascii="宋体" w:hAnsi="宋体" w:eastAsia="宋体" w:cs="宋体"/>
                <w:kern w:val="2"/>
                <w:sz w:val="21"/>
                <w:szCs w:val="21"/>
                <w:lang w:val="en-US" w:eastAsia="zh-CN" w:bidi="ar-SA"/>
              </w:rPr>
            </w:pPr>
            <w:r>
              <w:rPr>
                <w:rFonts w:hint="eastAsia" w:ascii="宋体" w:hAnsi="宋体" w:cs="宋体"/>
                <w:szCs w:val="21"/>
                <w:lang w:val="en-US" w:eastAsia="zh-CN"/>
              </w:rPr>
              <w:t>11</w:t>
            </w:r>
          </w:p>
        </w:tc>
        <w:tc>
          <w:tcPr>
            <w:tcW w:w="380" w:type="pct"/>
            <w:tcBorders>
              <w:tl2br w:val="nil"/>
              <w:tr2bl w:val="nil"/>
            </w:tcBorders>
            <w:shd w:val="clear" w:color="auto" w:fill="auto"/>
            <w:vAlign w:val="center"/>
          </w:tcPr>
          <w:p w14:paraId="3C9C195E">
            <w:pPr>
              <w:adjustRightInd w:val="0"/>
              <w:snapToGrid w:val="0"/>
              <w:jc w:val="center"/>
              <w:rPr>
                <w:rFonts w:hint="eastAsia" w:ascii="宋体" w:hAnsi="宋体" w:eastAsia="宋体" w:cs="宋体"/>
                <w:kern w:val="2"/>
                <w:sz w:val="21"/>
                <w:szCs w:val="21"/>
                <w:lang w:val="en-US" w:eastAsia="zh-CN" w:bidi="ar-SA"/>
              </w:rPr>
            </w:pPr>
            <w:r>
              <w:rPr>
                <w:rFonts w:hint="eastAsia" w:ascii="宋体" w:hAnsi="宋体" w:cs="宋体"/>
                <w:szCs w:val="21"/>
              </w:rPr>
              <w:t>70</w:t>
            </w:r>
          </w:p>
        </w:tc>
        <w:tc>
          <w:tcPr>
            <w:tcW w:w="363" w:type="pct"/>
            <w:vMerge w:val="continue"/>
            <w:tcBorders>
              <w:tl2br w:val="nil"/>
              <w:tr2bl w:val="nil"/>
            </w:tcBorders>
            <w:shd w:val="clear" w:color="auto" w:fill="auto"/>
            <w:vAlign w:val="center"/>
          </w:tcPr>
          <w:p w14:paraId="6120E10A">
            <w:pPr>
              <w:adjustRightInd w:val="0"/>
              <w:snapToGrid w:val="0"/>
              <w:jc w:val="center"/>
              <w:rPr>
                <w:rFonts w:hint="eastAsia" w:ascii="宋体" w:hAnsi="宋体" w:eastAsia="宋体" w:cs="宋体"/>
                <w:kern w:val="2"/>
                <w:sz w:val="21"/>
                <w:szCs w:val="21"/>
                <w:lang w:val="en-US" w:eastAsia="zh-CN" w:bidi="ar-SA"/>
              </w:rPr>
            </w:pPr>
          </w:p>
        </w:tc>
        <w:tc>
          <w:tcPr>
            <w:tcW w:w="406" w:type="pct"/>
            <w:tcBorders>
              <w:tl2br w:val="nil"/>
              <w:tr2bl w:val="nil"/>
            </w:tcBorders>
            <w:shd w:val="clear" w:color="auto" w:fill="auto"/>
            <w:vAlign w:val="center"/>
          </w:tcPr>
          <w:p w14:paraId="400F2225">
            <w:pPr>
              <w:adjustRightInd w:val="0"/>
              <w:snapToGrid w:val="0"/>
              <w:jc w:val="center"/>
              <w:rPr>
                <w:rFonts w:hint="eastAsia" w:ascii="宋体" w:hAnsi="宋体" w:eastAsia="宋体" w:cs="宋体"/>
                <w:kern w:val="2"/>
                <w:sz w:val="21"/>
                <w:szCs w:val="21"/>
                <w:lang w:val="en-US" w:eastAsia="zh-CN" w:bidi="ar-SA"/>
              </w:rPr>
            </w:pPr>
            <w:r>
              <w:rPr>
                <w:rFonts w:hint="eastAsia" w:ascii="宋体" w:hAnsi="宋体" w:cs="宋体"/>
                <w:szCs w:val="21"/>
              </w:rPr>
              <w:t>15</w:t>
            </w:r>
          </w:p>
        </w:tc>
        <w:tc>
          <w:tcPr>
            <w:tcW w:w="428" w:type="pct"/>
            <w:tcBorders>
              <w:tl2br w:val="nil"/>
              <w:tr2bl w:val="nil"/>
            </w:tcBorders>
            <w:shd w:val="clear" w:color="auto" w:fill="auto"/>
            <w:vAlign w:val="center"/>
          </w:tcPr>
          <w:p w14:paraId="497AA2D6">
            <w:pPr>
              <w:adjustRightInd w:val="0"/>
              <w:snapToGrid w:val="0"/>
              <w:jc w:val="center"/>
              <w:rPr>
                <w:rFonts w:hint="eastAsia" w:ascii="宋体" w:hAnsi="宋体" w:eastAsia="宋体" w:cs="宋体"/>
                <w:kern w:val="2"/>
                <w:sz w:val="21"/>
                <w:szCs w:val="21"/>
                <w:lang w:val="en-US" w:eastAsia="zh-CN" w:bidi="ar-SA"/>
              </w:rPr>
            </w:pPr>
            <w:r>
              <w:rPr>
                <w:rFonts w:hint="eastAsia" w:ascii="宋体" w:hAnsi="宋体" w:cs="宋体"/>
                <w:szCs w:val="21"/>
              </w:rPr>
              <w:t>55</w:t>
            </w:r>
          </w:p>
        </w:tc>
        <w:tc>
          <w:tcPr>
            <w:tcW w:w="371" w:type="pct"/>
            <w:tcBorders>
              <w:tl2br w:val="nil"/>
              <w:tr2bl w:val="nil"/>
            </w:tcBorders>
            <w:shd w:val="clear" w:color="auto" w:fill="auto"/>
            <w:vAlign w:val="center"/>
          </w:tcPr>
          <w:p w14:paraId="4AAFF014">
            <w:pPr>
              <w:adjustRightInd w:val="0"/>
              <w:snapToGrid w:val="0"/>
              <w:jc w:val="center"/>
              <w:rPr>
                <w:rFonts w:hint="eastAsia" w:ascii="宋体" w:hAnsi="宋体" w:eastAsia="宋体" w:cs="宋体"/>
                <w:kern w:val="2"/>
                <w:sz w:val="21"/>
                <w:szCs w:val="21"/>
                <w:lang w:val="en-US" w:eastAsia="zh-CN" w:bidi="ar-SA"/>
              </w:rPr>
            </w:pPr>
            <w:r>
              <w:rPr>
                <w:rFonts w:hint="eastAsia" w:ascii="宋体" w:hAnsi="宋体" w:cs="宋体"/>
                <w:szCs w:val="21"/>
              </w:rPr>
              <w:t>1</w:t>
            </w:r>
          </w:p>
        </w:tc>
      </w:tr>
      <w:tr w14:paraId="3D2B9F2D">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8" w:space="0"/>
          </w:tblBorders>
          <w:tblCellMar>
            <w:top w:w="0" w:type="dxa"/>
            <w:left w:w="0" w:type="dxa"/>
            <w:bottom w:w="0" w:type="dxa"/>
            <w:right w:w="0" w:type="dxa"/>
          </w:tblCellMar>
        </w:tblPrEx>
        <w:trPr>
          <w:trHeight w:val="568" w:hRule="atLeast"/>
          <w:jc w:val="center"/>
        </w:trPr>
        <w:tc>
          <w:tcPr>
            <w:tcW w:w="234" w:type="pct"/>
            <w:vMerge w:val="continue"/>
            <w:tcBorders>
              <w:tl2br w:val="nil"/>
              <w:tr2bl w:val="nil"/>
            </w:tcBorders>
            <w:vAlign w:val="center"/>
          </w:tcPr>
          <w:p w14:paraId="37B661F9">
            <w:pPr>
              <w:adjustRightInd w:val="0"/>
              <w:snapToGrid w:val="0"/>
              <w:jc w:val="center"/>
              <w:rPr>
                <w:rFonts w:hint="eastAsia" w:ascii="宋体" w:hAnsi="宋体" w:cs="宋体"/>
                <w:szCs w:val="21"/>
              </w:rPr>
            </w:pPr>
          </w:p>
        </w:tc>
        <w:tc>
          <w:tcPr>
            <w:tcW w:w="404" w:type="pct"/>
            <w:tcBorders>
              <w:tl2br w:val="nil"/>
              <w:tr2bl w:val="nil"/>
            </w:tcBorders>
            <w:vAlign w:val="center"/>
          </w:tcPr>
          <w:p w14:paraId="53A6849D">
            <w:pPr>
              <w:snapToGrid w:val="0"/>
              <w:jc w:val="center"/>
              <w:rPr>
                <w:rFonts w:hint="eastAsia" w:ascii="宋体" w:hAnsi="宋体" w:cs="宋体"/>
                <w:szCs w:val="21"/>
              </w:rPr>
            </w:pPr>
            <w:r>
              <w:rPr>
                <w:rFonts w:hint="eastAsia"/>
                <w:color w:val="000000"/>
                <w:lang w:eastAsia="zh-CN"/>
              </w:rPr>
              <w:t>颗粒</w:t>
            </w:r>
            <w:r>
              <w:rPr>
                <w:rFonts w:hint="eastAsia"/>
                <w:color w:val="000000"/>
              </w:rPr>
              <w:t>挤出机</w:t>
            </w:r>
          </w:p>
        </w:tc>
        <w:tc>
          <w:tcPr>
            <w:tcW w:w="466" w:type="pct"/>
            <w:tcBorders>
              <w:right w:val="single" w:color="auto" w:sz="4" w:space="0"/>
              <w:tl2br w:val="nil"/>
              <w:tr2bl w:val="nil"/>
            </w:tcBorders>
            <w:vAlign w:val="center"/>
          </w:tcPr>
          <w:p w14:paraId="363A558D">
            <w:pPr>
              <w:adjustRightInd w:val="0"/>
              <w:snapToGrid w:val="0"/>
              <w:jc w:val="center"/>
              <w:rPr>
                <w:rFonts w:hint="default" w:ascii="宋体" w:hAnsi="宋体" w:eastAsia="宋体" w:cs="宋体"/>
                <w:szCs w:val="21"/>
                <w:lang w:val="en-US" w:eastAsia="zh-CN"/>
              </w:rPr>
            </w:pPr>
            <w:r>
              <w:rPr>
                <w:rFonts w:hint="eastAsia" w:ascii="宋体" w:hAnsi="宋体" w:cs="宋体"/>
                <w:szCs w:val="21"/>
                <w:lang w:val="en-US" w:eastAsia="zh-CN"/>
              </w:rPr>
              <w:t>1</w:t>
            </w:r>
          </w:p>
        </w:tc>
        <w:tc>
          <w:tcPr>
            <w:tcW w:w="330" w:type="pct"/>
            <w:tcBorders>
              <w:left w:val="single" w:color="auto" w:sz="4" w:space="0"/>
              <w:tl2br w:val="nil"/>
              <w:tr2bl w:val="nil"/>
            </w:tcBorders>
            <w:shd w:val="clear" w:color="auto" w:fill="auto"/>
            <w:vAlign w:val="center"/>
          </w:tcPr>
          <w:p w14:paraId="08956135">
            <w:pPr>
              <w:adjustRightInd w:val="0"/>
              <w:snapToGrid w:val="0"/>
              <w:jc w:val="center"/>
              <w:rPr>
                <w:rFonts w:hint="eastAsia" w:ascii="宋体" w:hAnsi="宋体" w:eastAsia="宋体" w:cs="宋体"/>
                <w:kern w:val="2"/>
                <w:sz w:val="21"/>
                <w:szCs w:val="21"/>
                <w:lang w:val="en-US" w:eastAsia="zh-CN" w:bidi="ar-SA"/>
              </w:rPr>
            </w:pPr>
            <w:r>
              <w:rPr>
                <w:rFonts w:hint="eastAsia" w:ascii="宋体" w:hAnsi="宋体" w:cs="宋体"/>
                <w:szCs w:val="21"/>
                <w:lang w:val="en-US" w:eastAsia="zh-CN"/>
              </w:rPr>
              <w:t>70</w:t>
            </w:r>
          </w:p>
        </w:tc>
        <w:tc>
          <w:tcPr>
            <w:tcW w:w="441" w:type="pct"/>
            <w:vMerge w:val="continue"/>
            <w:tcBorders>
              <w:tl2br w:val="nil"/>
              <w:tr2bl w:val="nil"/>
            </w:tcBorders>
            <w:vAlign w:val="center"/>
          </w:tcPr>
          <w:p w14:paraId="2285D595">
            <w:pPr>
              <w:adjustRightInd w:val="0"/>
              <w:snapToGrid w:val="0"/>
              <w:jc w:val="center"/>
              <w:rPr>
                <w:rFonts w:hint="eastAsia" w:ascii="宋体" w:hAnsi="宋体" w:cs="宋体"/>
                <w:szCs w:val="21"/>
              </w:rPr>
            </w:pPr>
          </w:p>
        </w:tc>
        <w:tc>
          <w:tcPr>
            <w:tcW w:w="279" w:type="pct"/>
            <w:tcBorders>
              <w:tl2br w:val="nil"/>
              <w:tr2bl w:val="nil"/>
            </w:tcBorders>
            <w:vAlign w:val="center"/>
          </w:tcPr>
          <w:p w14:paraId="0DE449C5">
            <w:pPr>
              <w:autoSpaceDE w:val="0"/>
              <w:autoSpaceDN w:val="0"/>
              <w:jc w:val="center"/>
              <w:rPr>
                <w:rFonts w:hint="eastAsia" w:ascii="宋体" w:hAnsi="宋体" w:cs="宋体"/>
                <w:szCs w:val="21"/>
              </w:rPr>
            </w:pPr>
            <w:r>
              <w:rPr>
                <w:rFonts w:hint="eastAsia" w:ascii="宋体" w:hAnsi="宋体" w:cs="宋体"/>
                <w:bCs/>
                <w:szCs w:val="21"/>
              </w:rPr>
              <w:t>-4.9</w:t>
            </w:r>
          </w:p>
        </w:tc>
        <w:tc>
          <w:tcPr>
            <w:tcW w:w="279" w:type="pct"/>
            <w:tcBorders>
              <w:tl2br w:val="nil"/>
              <w:tr2bl w:val="nil"/>
            </w:tcBorders>
            <w:vAlign w:val="center"/>
          </w:tcPr>
          <w:p w14:paraId="09EEB5F4">
            <w:pPr>
              <w:autoSpaceDE w:val="0"/>
              <w:autoSpaceDN w:val="0"/>
              <w:jc w:val="center"/>
              <w:rPr>
                <w:rFonts w:hint="eastAsia" w:ascii="宋体" w:hAnsi="宋体" w:cs="宋体"/>
                <w:szCs w:val="21"/>
              </w:rPr>
            </w:pPr>
            <w:r>
              <w:rPr>
                <w:rFonts w:hint="eastAsia" w:ascii="宋体" w:hAnsi="宋体" w:cs="宋体"/>
                <w:bCs/>
                <w:szCs w:val="21"/>
              </w:rPr>
              <w:t>12.5</w:t>
            </w:r>
          </w:p>
        </w:tc>
        <w:tc>
          <w:tcPr>
            <w:tcW w:w="241" w:type="pct"/>
            <w:tcBorders>
              <w:tl2br w:val="nil"/>
              <w:tr2bl w:val="nil"/>
            </w:tcBorders>
            <w:vAlign w:val="center"/>
          </w:tcPr>
          <w:p w14:paraId="25C70BA3">
            <w:pPr>
              <w:autoSpaceDE w:val="0"/>
              <w:autoSpaceDN w:val="0"/>
              <w:jc w:val="center"/>
              <w:rPr>
                <w:rFonts w:hint="eastAsia" w:ascii="宋体" w:hAnsi="宋体" w:cs="宋体"/>
                <w:szCs w:val="21"/>
              </w:rPr>
            </w:pPr>
            <w:r>
              <w:rPr>
                <w:rFonts w:hint="eastAsia" w:ascii="宋体" w:hAnsi="宋体" w:cs="宋体"/>
                <w:bCs/>
                <w:szCs w:val="21"/>
              </w:rPr>
              <w:t>1.2</w:t>
            </w:r>
          </w:p>
        </w:tc>
        <w:tc>
          <w:tcPr>
            <w:tcW w:w="372" w:type="pct"/>
            <w:tcBorders>
              <w:tl2br w:val="nil"/>
              <w:tr2bl w:val="nil"/>
            </w:tcBorders>
            <w:vAlign w:val="center"/>
          </w:tcPr>
          <w:p w14:paraId="60163651">
            <w:pPr>
              <w:adjustRightInd w:val="0"/>
              <w:snapToGrid w:val="0"/>
              <w:jc w:val="center"/>
              <w:rPr>
                <w:rFonts w:hint="default" w:ascii="宋体" w:hAnsi="宋体" w:eastAsia="宋体" w:cs="宋体"/>
                <w:szCs w:val="21"/>
                <w:lang w:val="en-US" w:eastAsia="zh-CN"/>
              </w:rPr>
            </w:pPr>
            <w:r>
              <w:rPr>
                <w:rFonts w:hint="eastAsia" w:ascii="宋体" w:hAnsi="宋体" w:cs="宋体"/>
                <w:szCs w:val="21"/>
                <w:lang w:val="en-US" w:eastAsia="zh-CN"/>
              </w:rPr>
              <w:t>11</w:t>
            </w:r>
          </w:p>
        </w:tc>
        <w:tc>
          <w:tcPr>
            <w:tcW w:w="380" w:type="pct"/>
            <w:tcBorders>
              <w:tl2br w:val="nil"/>
              <w:tr2bl w:val="nil"/>
            </w:tcBorders>
            <w:vAlign w:val="center"/>
          </w:tcPr>
          <w:p w14:paraId="4F2EB3EA">
            <w:pPr>
              <w:adjustRightInd w:val="0"/>
              <w:snapToGrid w:val="0"/>
              <w:jc w:val="center"/>
              <w:rPr>
                <w:rFonts w:hint="eastAsia" w:ascii="宋体" w:hAnsi="宋体" w:cs="宋体"/>
                <w:szCs w:val="21"/>
              </w:rPr>
            </w:pPr>
            <w:r>
              <w:rPr>
                <w:rFonts w:hint="eastAsia" w:ascii="宋体" w:hAnsi="宋体" w:cs="宋体"/>
                <w:szCs w:val="21"/>
              </w:rPr>
              <w:t>70</w:t>
            </w:r>
          </w:p>
        </w:tc>
        <w:tc>
          <w:tcPr>
            <w:tcW w:w="363" w:type="pct"/>
            <w:vMerge w:val="continue"/>
            <w:tcBorders>
              <w:tl2br w:val="nil"/>
              <w:tr2bl w:val="nil"/>
            </w:tcBorders>
            <w:vAlign w:val="center"/>
          </w:tcPr>
          <w:p w14:paraId="4DB906D4">
            <w:pPr>
              <w:adjustRightInd w:val="0"/>
              <w:snapToGrid w:val="0"/>
              <w:jc w:val="center"/>
              <w:rPr>
                <w:rFonts w:hint="eastAsia" w:ascii="宋体" w:hAnsi="宋体" w:cs="宋体"/>
                <w:szCs w:val="21"/>
              </w:rPr>
            </w:pPr>
          </w:p>
        </w:tc>
        <w:tc>
          <w:tcPr>
            <w:tcW w:w="406" w:type="pct"/>
            <w:tcBorders>
              <w:tl2br w:val="nil"/>
              <w:tr2bl w:val="nil"/>
            </w:tcBorders>
            <w:vAlign w:val="center"/>
          </w:tcPr>
          <w:p w14:paraId="4E47BF4B">
            <w:pPr>
              <w:adjustRightInd w:val="0"/>
              <w:snapToGrid w:val="0"/>
              <w:jc w:val="center"/>
              <w:rPr>
                <w:rFonts w:hint="eastAsia" w:ascii="宋体" w:hAnsi="宋体" w:cs="宋体"/>
                <w:szCs w:val="21"/>
              </w:rPr>
            </w:pPr>
            <w:r>
              <w:rPr>
                <w:rFonts w:hint="eastAsia" w:ascii="宋体" w:hAnsi="宋体" w:cs="宋体"/>
                <w:szCs w:val="21"/>
              </w:rPr>
              <w:t>15</w:t>
            </w:r>
          </w:p>
        </w:tc>
        <w:tc>
          <w:tcPr>
            <w:tcW w:w="428" w:type="pct"/>
            <w:tcBorders>
              <w:tl2br w:val="nil"/>
              <w:tr2bl w:val="nil"/>
            </w:tcBorders>
            <w:vAlign w:val="center"/>
          </w:tcPr>
          <w:p w14:paraId="318276A4">
            <w:pPr>
              <w:adjustRightInd w:val="0"/>
              <w:snapToGrid w:val="0"/>
              <w:jc w:val="center"/>
              <w:rPr>
                <w:rFonts w:hint="eastAsia" w:ascii="宋体" w:hAnsi="宋体" w:cs="宋体"/>
                <w:szCs w:val="21"/>
              </w:rPr>
            </w:pPr>
            <w:r>
              <w:rPr>
                <w:rFonts w:hint="eastAsia" w:ascii="宋体" w:hAnsi="宋体" w:cs="宋体"/>
                <w:szCs w:val="21"/>
              </w:rPr>
              <w:t>55</w:t>
            </w:r>
          </w:p>
        </w:tc>
        <w:tc>
          <w:tcPr>
            <w:tcW w:w="371" w:type="pct"/>
            <w:tcBorders>
              <w:tl2br w:val="nil"/>
              <w:tr2bl w:val="nil"/>
            </w:tcBorders>
            <w:vAlign w:val="center"/>
          </w:tcPr>
          <w:p w14:paraId="750E359C">
            <w:pPr>
              <w:adjustRightInd w:val="0"/>
              <w:snapToGrid w:val="0"/>
              <w:jc w:val="center"/>
              <w:rPr>
                <w:rFonts w:hint="eastAsia" w:ascii="宋体" w:hAnsi="宋体" w:cs="宋体"/>
                <w:szCs w:val="21"/>
              </w:rPr>
            </w:pPr>
            <w:r>
              <w:rPr>
                <w:rFonts w:hint="eastAsia" w:ascii="宋体" w:hAnsi="宋体" w:cs="宋体"/>
                <w:szCs w:val="21"/>
              </w:rPr>
              <w:t>1</w:t>
            </w:r>
          </w:p>
        </w:tc>
      </w:tr>
      <w:tr w14:paraId="2C77FB30">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8" w:space="0"/>
          </w:tblBorders>
          <w:tblCellMar>
            <w:top w:w="0" w:type="dxa"/>
            <w:left w:w="0" w:type="dxa"/>
            <w:bottom w:w="0" w:type="dxa"/>
            <w:right w:w="0" w:type="dxa"/>
          </w:tblCellMar>
        </w:tblPrEx>
        <w:trPr>
          <w:trHeight w:val="522" w:hRule="atLeast"/>
          <w:jc w:val="center"/>
        </w:trPr>
        <w:tc>
          <w:tcPr>
            <w:tcW w:w="234" w:type="pct"/>
            <w:vMerge w:val="continue"/>
            <w:tcBorders>
              <w:tl2br w:val="nil"/>
              <w:tr2bl w:val="nil"/>
            </w:tcBorders>
            <w:vAlign w:val="center"/>
          </w:tcPr>
          <w:p w14:paraId="257CE8D1">
            <w:pPr>
              <w:adjustRightInd w:val="0"/>
              <w:snapToGrid w:val="0"/>
              <w:jc w:val="center"/>
              <w:rPr>
                <w:rFonts w:hint="eastAsia" w:ascii="宋体" w:hAnsi="宋体" w:cs="宋体"/>
                <w:szCs w:val="21"/>
              </w:rPr>
            </w:pPr>
          </w:p>
        </w:tc>
        <w:tc>
          <w:tcPr>
            <w:tcW w:w="404" w:type="pct"/>
            <w:tcBorders>
              <w:tl2br w:val="nil"/>
              <w:tr2bl w:val="nil"/>
            </w:tcBorders>
            <w:vAlign w:val="center"/>
          </w:tcPr>
          <w:p w14:paraId="2F143401">
            <w:pPr>
              <w:snapToGrid w:val="0"/>
              <w:jc w:val="center"/>
              <w:rPr>
                <w:rFonts w:hint="eastAsia"/>
                <w:color w:val="000000"/>
                <w:lang w:eastAsia="zh-CN"/>
              </w:rPr>
            </w:pPr>
            <w:r>
              <w:rPr>
                <w:color w:val="auto"/>
              </w:rPr>
              <w:t>滴灌带挤出机</w:t>
            </w:r>
          </w:p>
        </w:tc>
        <w:tc>
          <w:tcPr>
            <w:tcW w:w="466" w:type="pct"/>
            <w:tcBorders>
              <w:right w:val="single" w:color="auto" w:sz="4" w:space="0"/>
              <w:tl2br w:val="nil"/>
              <w:tr2bl w:val="nil"/>
            </w:tcBorders>
            <w:shd w:val="clear" w:color="auto" w:fill="auto"/>
            <w:vAlign w:val="center"/>
          </w:tcPr>
          <w:p w14:paraId="0874E51A">
            <w:pPr>
              <w:adjustRightInd w:val="0"/>
              <w:snapToGrid w:val="0"/>
              <w:jc w:val="center"/>
              <w:rPr>
                <w:rFonts w:hint="eastAsia" w:ascii="宋体" w:hAnsi="宋体" w:eastAsia="宋体" w:cs="宋体"/>
                <w:kern w:val="2"/>
                <w:sz w:val="21"/>
                <w:szCs w:val="21"/>
                <w:lang w:val="en-US" w:eastAsia="zh-CN" w:bidi="ar-SA"/>
              </w:rPr>
            </w:pPr>
            <w:r>
              <w:rPr>
                <w:rFonts w:hint="eastAsia" w:ascii="宋体" w:hAnsi="宋体" w:cs="宋体"/>
                <w:szCs w:val="21"/>
                <w:lang w:val="en-US" w:eastAsia="zh-CN"/>
              </w:rPr>
              <w:t>1</w:t>
            </w:r>
          </w:p>
        </w:tc>
        <w:tc>
          <w:tcPr>
            <w:tcW w:w="330" w:type="pct"/>
            <w:tcBorders>
              <w:left w:val="single" w:color="auto" w:sz="4" w:space="0"/>
              <w:tl2br w:val="nil"/>
              <w:tr2bl w:val="nil"/>
            </w:tcBorders>
            <w:shd w:val="clear" w:color="auto" w:fill="auto"/>
            <w:vAlign w:val="center"/>
          </w:tcPr>
          <w:p w14:paraId="23903F93">
            <w:pPr>
              <w:adjustRightInd w:val="0"/>
              <w:snapToGrid w:val="0"/>
              <w:jc w:val="center"/>
              <w:rPr>
                <w:rFonts w:hint="eastAsia" w:ascii="宋体" w:hAnsi="宋体" w:eastAsia="宋体" w:cs="宋体"/>
                <w:kern w:val="2"/>
                <w:sz w:val="21"/>
                <w:szCs w:val="21"/>
                <w:lang w:val="en-US" w:eastAsia="zh-CN" w:bidi="ar-SA"/>
              </w:rPr>
            </w:pPr>
            <w:r>
              <w:rPr>
                <w:rFonts w:hint="eastAsia" w:ascii="宋体" w:hAnsi="宋体" w:cs="宋体"/>
                <w:szCs w:val="21"/>
                <w:lang w:val="en-US" w:eastAsia="zh-CN"/>
              </w:rPr>
              <w:t>70</w:t>
            </w:r>
          </w:p>
        </w:tc>
        <w:tc>
          <w:tcPr>
            <w:tcW w:w="441" w:type="pct"/>
            <w:vMerge w:val="continue"/>
            <w:tcBorders>
              <w:tl2br w:val="nil"/>
              <w:tr2bl w:val="nil"/>
            </w:tcBorders>
            <w:vAlign w:val="center"/>
          </w:tcPr>
          <w:p w14:paraId="764A7B50">
            <w:pPr>
              <w:adjustRightInd w:val="0"/>
              <w:snapToGrid w:val="0"/>
              <w:jc w:val="center"/>
              <w:rPr>
                <w:rFonts w:hint="eastAsia" w:ascii="宋体" w:hAnsi="宋体" w:cs="宋体"/>
                <w:szCs w:val="21"/>
              </w:rPr>
            </w:pPr>
          </w:p>
        </w:tc>
        <w:tc>
          <w:tcPr>
            <w:tcW w:w="279" w:type="pct"/>
            <w:tcBorders>
              <w:tl2br w:val="nil"/>
              <w:tr2bl w:val="nil"/>
            </w:tcBorders>
            <w:shd w:val="clear" w:color="auto" w:fill="auto"/>
            <w:vAlign w:val="center"/>
          </w:tcPr>
          <w:p w14:paraId="785AD128">
            <w:pPr>
              <w:autoSpaceDE w:val="0"/>
              <w:autoSpaceDN w:val="0"/>
              <w:jc w:val="center"/>
              <w:rPr>
                <w:rFonts w:hint="eastAsia" w:ascii="宋体" w:hAnsi="宋体" w:eastAsia="宋体" w:cs="宋体"/>
                <w:kern w:val="2"/>
                <w:sz w:val="21"/>
                <w:szCs w:val="21"/>
                <w:lang w:val="en-US" w:eastAsia="zh-CN" w:bidi="ar-SA"/>
              </w:rPr>
            </w:pPr>
            <w:r>
              <w:rPr>
                <w:rFonts w:hint="eastAsia" w:ascii="宋体" w:hAnsi="宋体" w:cs="宋体"/>
                <w:bCs/>
                <w:szCs w:val="21"/>
              </w:rPr>
              <w:t>-</w:t>
            </w:r>
            <w:r>
              <w:rPr>
                <w:rFonts w:hint="eastAsia" w:ascii="宋体" w:hAnsi="宋体" w:cs="宋体"/>
                <w:bCs/>
                <w:szCs w:val="21"/>
                <w:lang w:val="en-US" w:eastAsia="zh-CN"/>
              </w:rPr>
              <w:t>3</w:t>
            </w:r>
            <w:r>
              <w:rPr>
                <w:rFonts w:hint="eastAsia" w:ascii="宋体" w:hAnsi="宋体" w:cs="宋体"/>
                <w:bCs/>
                <w:szCs w:val="21"/>
              </w:rPr>
              <w:t>.9</w:t>
            </w:r>
          </w:p>
        </w:tc>
        <w:tc>
          <w:tcPr>
            <w:tcW w:w="279" w:type="pct"/>
            <w:tcBorders>
              <w:tl2br w:val="nil"/>
              <w:tr2bl w:val="nil"/>
            </w:tcBorders>
            <w:shd w:val="clear" w:color="auto" w:fill="auto"/>
            <w:vAlign w:val="center"/>
          </w:tcPr>
          <w:p w14:paraId="025DF99C">
            <w:pPr>
              <w:autoSpaceDE w:val="0"/>
              <w:autoSpaceDN w:val="0"/>
              <w:jc w:val="center"/>
              <w:rPr>
                <w:rFonts w:hint="eastAsia" w:ascii="宋体" w:hAnsi="宋体" w:eastAsia="宋体" w:cs="宋体"/>
                <w:kern w:val="2"/>
                <w:sz w:val="21"/>
                <w:szCs w:val="21"/>
                <w:lang w:val="en-US" w:eastAsia="zh-CN" w:bidi="ar-SA"/>
              </w:rPr>
            </w:pPr>
            <w:r>
              <w:rPr>
                <w:rFonts w:hint="eastAsia" w:ascii="宋体" w:hAnsi="宋体" w:cs="宋体"/>
                <w:bCs/>
                <w:szCs w:val="21"/>
                <w:lang w:val="en-US" w:eastAsia="zh-CN"/>
              </w:rPr>
              <w:t>8</w:t>
            </w:r>
            <w:r>
              <w:rPr>
                <w:rFonts w:hint="eastAsia" w:ascii="宋体" w:hAnsi="宋体" w:cs="宋体"/>
                <w:bCs/>
                <w:szCs w:val="21"/>
              </w:rPr>
              <w:t>.5</w:t>
            </w:r>
          </w:p>
        </w:tc>
        <w:tc>
          <w:tcPr>
            <w:tcW w:w="241" w:type="pct"/>
            <w:tcBorders>
              <w:tl2br w:val="nil"/>
              <w:tr2bl w:val="nil"/>
            </w:tcBorders>
            <w:shd w:val="clear" w:color="auto" w:fill="auto"/>
            <w:vAlign w:val="center"/>
          </w:tcPr>
          <w:p w14:paraId="6E8945C5">
            <w:pPr>
              <w:autoSpaceDE w:val="0"/>
              <w:autoSpaceDN w:val="0"/>
              <w:jc w:val="center"/>
              <w:rPr>
                <w:rFonts w:hint="eastAsia" w:ascii="宋体" w:hAnsi="宋体" w:eastAsia="宋体" w:cs="宋体"/>
                <w:kern w:val="2"/>
                <w:sz w:val="21"/>
                <w:szCs w:val="21"/>
                <w:lang w:val="en-US" w:eastAsia="zh-CN" w:bidi="ar-SA"/>
              </w:rPr>
            </w:pPr>
            <w:r>
              <w:rPr>
                <w:rFonts w:hint="eastAsia" w:ascii="宋体" w:hAnsi="宋体" w:cs="宋体"/>
                <w:bCs/>
                <w:szCs w:val="21"/>
              </w:rPr>
              <w:t>1.2</w:t>
            </w:r>
          </w:p>
        </w:tc>
        <w:tc>
          <w:tcPr>
            <w:tcW w:w="372" w:type="pct"/>
            <w:tcBorders>
              <w:tl2br w:val="nil"/>
              <w:tr2bl w:val="nil"/>
            </w:tcBorders>
            <w:shd w:val="clear" w:color="auto" w:fill="auto"/>
            <w:vAlign w:val="center"/>
          </w:tcPr>
          <w:p w14:paraId="5A1C8696">
            <w:pPr>
              <w:adjustRightInd w:val="0"/>
              <w:snapToGrid w:val="0"/>
              <w:jc w:val="center"/>
              <w:rPr>
                <w:rFonts w:hint="eastAsia" w:ascii="宋体" w:hAnsi="宋体" w:eastAsia="宋体" w:cs="宋体"/>
                <w:kern w:val="2"/>
                <w:sz w:val="21"/>
                <w:szCs w:val="21"/>
                <w:lang w:val="en-US" w:eastAsia="zh-CN" w:bidi="ar-SA"/>
              </w:rPr>
            </w:pPr>
            <w:r>
              <w:rPr>
                <w:rFonts w:hint="eastAsia" w:ascii="宋体" w:hAnsi="宋体" w:cs="宋体"/>
                <w:szCs w:val="21"/>
                <w:lang w:val="en-US" w:eastAsia="zh-CN"/>
              </w:rPr>
              <w:t>11</w:t>
            </w:r>
          </w:p>
        </w:tc>
        <w:tc>
          <w:tcPr>
            <w:tcW w:w="380" w:type="pct"/>
            <w:tcBorders>
              <w:tl2br w:val="nil"/>
              <w:tr2bl w:val="nil"/>
            </w:tcBorders>
            <w:shd w:val="clear" w:color="auto" w:fill="auto"/>
            <w:vAlign w:val="center"/>
          </w:tcPr>
          <w:p w14:paraId="7E2CF2AC">
            <w:pPr>
              <w:adjustRightInd w:val="0"/>
              <w:snapToGrid w:val="0"/>
              <w:jc w:val="center"/>
              <w:rPr>
                <w:rFonts w:hint="eastAsia" w:ascii="宋体" w:hAnsi="宋体" w:eastAsia="宋体" w:cs="宋体"/>
                <w:kern w:val="2"/>
                <w:sz w:val="21"/>
                <w:szCs w:val="21"/>
                <w:lang w:val="en-US" w:eastAsia="zh-CN" w:bidi="ar-SA"/>
              </w:rPr>
            </w:pPr>
            <w:r>
              <w:rPr>
                <w:rFonts w:hint="eastAsia" w:ascii="宋体" w:hAnsi="宋体" w:cs="宋体"/>
                <w:szCs w:val="21"/>
              </w:rPr>
              <w:t>70</w:t>
            </w:r>
          </w:p>
        </w:tc>
        <w:tc>
          <w:tcPr>
            <w:tcW w:w="363" w:type="pct"/>
            <w:vMerge w:val="continue"/>
            <w:tcBorders>
              <w:tl2br w:val="nil"/>
              <w:tr2bl w:val="nil"/>
            </w:tcBorders>
            <w:vAlign w:val="center"/>
          </w:tcPr>
          <w:p w14:paraId="6FDBDE02">
            <w:pPr>
              <w:adjustRightInd w:val="0"/>
              <w:snapToGrid w:val="0"/>
              <w:jc w:val="center"/>
              <w:rPr>
                <w:rFonts w:hint="eastAsia" w:ascii="宋体" w:hAnsi="宋体" w:cs="宋体"/>
                <w:szCs w:val="21"/>
              </w:rPr>
            </w:pPr>
          </w:p>
        </w:tc>
        <w:tc>
          <w:tcPr>
            <w:tcW w:w="406" w:type="pct"/>
            <w:tcBorders>
              <w:tl2br w:val="nil"/>
              <w:tr2bl w:val="nil"/>
            </w:tcBorders>
            <w:shd w:val="clear" w:color="auto" w:fill="auto"/>
            <w:vAlign w:val="center"/>
          </w:tcPr>
          <w:p w14:paraId="1910EA13">
            <w:pPr>
              <w:adjustRightInd w:val="0"/>
              <w:snapToGrid w:val="0"/>
              <w:jc w:val="center"/>
              <w:rPr>
                <w:rFonts w:hint="eastAsia" w:ascii="宋体" w:hAnsi="宋体" w:eastAsia="宋体" w:cs="宋体"/>
                <w:kern w:val="2"/>
                <w:sz w:val="21"/>
                <w:szCs w:val="21"/>
                <w:lang w:val="en-US" w:eastAsia="zh-CN" w:bidi="ar-SA"/>
              </w:rPr>
            </w:pPr>
            <w:r>
              <w:rPr>
                <w:rFonts w:hint="eastAsia" w:ascii="宋体" w:hAnsi="宋体" w:cs="宋体"/>
                <w:szCs w:val="21"/>
              </w:rPr>
              <w:t>15</w:t>
            </w:r>
          </w:p>
        </w:tc>
        <w:tc>
          <w:tcPr>
            <w:tcW w:w="428" w:type="pct"/>
            <w:tcBorders>
              <w:tl2br w:val="nil"/>
              <w:tr2bl w:val="nil"/>
            </w:tcBorders>
            <w:shd w:val="clear" w:color="auto" w:fill="auto"/>
            <w:vAlign w:val="center"/>
          </w:tcPr>
          <w:p w14:paraId="01F8A132">
            <w:pPr>
              <w:adjustRightInd w:val="0"/>
              <w:snapToGrid w:val="0"/>
              <w:jc w:val="center"/>
              <w:rPr>
                <w:rFonts w:hint="eastAsia" w:ascii="宋体" w:hAnsi="宋体" w:eastAsia="宋体" w:cs="宋体"/>
                <w:kern w:val="2"/>
                <w:sz w:val="21"/>
                <w:szCs w:val="21"/>
                <w:lang w:val="en-US" w:eastAsia="zh-CN" w:bidi="ar-SA"/>
              </w:rPr>
            </w:pPr>
            <w:r>
              <w:rPr>
                <w:rFonts w:hint="eastAsia" w:ascii="宋体" w:hAnsi="宋体" w:cs="宋体"/>
                <w:szCs w:val="21"/>
              </w:rPr>
              <w:t>55</w:t>
            </w:r>
          </w:p>
        </w:tc>
        <w:tc>
          <w:tcPr>
            <w:tcW w:w="371" w:type="pct"/>
            <w:tcBorders>
              <w:tl2br w:val="nil"/>
              <w:tr2bl w:val="nil"/>
            </w:tcBorders>
            <w:shd w:val="clear" w:color="auto" w:fill="auto"/>
            <w:vAlign w:val="center"/>
          </w:tcPr>
          <w:p w14:paraId="0D9679C2">
            <w:pPr>
              <w:adjustRightInd w:val="0"/>
              <w:snapToGrid w:val="0"/>
              <w:jc w:val="center"/>
              <w:rPr>
                <w:rFonts w:hint="eastAsia" w:ascii="宋体" w:hAnsi="宋体" w:eastAsia="宋体" w:cs="宋体"/>
                <w:kern w:val="2"/>
                <w:sz w:val="21"/>
                <w:szCs w:val="21"/>
                <w:lang w:val="en-US" w:eastAsia="zh-CN" w:bidi="ar-SA"/>
              </w:rPr>
            </w:pPr>
            <w:r>
              <w:rPr>
                <w:rFonts w:hint="eastAsia" w:ascii="宋体" w:hAnsi="宋体" w:cs="宋体"/>
                <w:szCs w:val="21"/>
              </w:rPr>
              <w:t>1</w:t>
            </w:r>
          </w:p>
        </w:tc>
      </w:tr>
      <w:tr w14:paraId="605BF7E1">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8" w:space="0"/>
          </w:tblBorders>
          <w:tblCellMar>
            <w:top w:w="0" w:type="dxa"/>
            <w:left w:w="0" w:type="dxa"/>
            <w:bottom w:w="0" w:type="dxa"/>
            <w:right w:w="0" w:type="dxa"/>
          </w:tblCellMar>
        </w:tblPrEx>
        <w:trPr>
          <w:trHeight w:val="413" w:hRule="atLeast"/>
          <w:jc w:val="center"/>
        </w:trPr>
        <w:tc>
          <w:tcPr>
            <w:tcW w:w="234" w:type="pct"/>
            <w:vMerge w:val="continue"/>
            <w:tcBorders>
              <w:tl2br w:val="nil"/>
              <w:tr2bl w:val="nil"/>
            </w:tcBorders>
            <w:vAlign w:val="center"/>
          </w:tcPr>
          <w:p w14:paraId="29C1DBE9">
            <w:pPr>
              <w:adjustRightInd w:val="0"/>
              <w:snapToGrid w:val="0"/>
              <w:jc w:val="center"/>
              <w:rPr>
                <w:rFonts w:hint="eastAsia" w:ascii="宋体" w:hAnsi="宋体" w:cs="宋体"/>
                <w:szCs w:val="21"/>
              </w:rPr>
            </w:pPr>
          </w:p>
        </w:tc>
        <w:tc>
          <w:tcPr>
            <w:tcW w:w="404" w:type="pct"/>
            <w:tcBorders>
              <w:tl2br w:val="nil"/>
              <w:tr2bl w:val="nil"/>
            </w:tcBorders>
            <w:vAlign w:val="center"/>
          </w:tcPr>
          <w:p w14:paraId="37D5018E">
            <w:pPr>
              <w:snapToGrid w:val="0"/>
              <w:jc w:val="center"/>
              <w:rPr>
                <w:color w:val="000000"/>
              </w:rPr>
            </w:pPr>
            <w:r>
              <w:rPr>
                <w:rFonts w:hint="eastAsia"/>
                <w:color w:val="000000"/>
              </w:rPr>
              <w:t>振动筛</w:t>
            </w:r>
          </w:p>
        </w:tc>
        <w:tc>
          <w:tcPr>
            <w:tcW w:w="466" w:type="pct"/>
            <w:tcBorders>
              <w:right w:val="single" w:color="auto" w:sz="4" w:space="0"/>
              <w:tl2br w:val="nil"/>
              <w:tr2bl w:val="nil"/>
            </w:tcBorders>
            <w:vAlign w:val="center"/>
          </w:tcPr>
          <w:p w14:paraId="01A98792">
            <w:pPr>
              <w:adjustRightInd w:val="0"/>
              <w:snapToGrid w:val="0"/>
              <w:jc w:val="center"/>
              <w:rPr>
                <w:rFonts w:hint="default" w:ascii="宋体" w:hAnsi="宋体" w:eastAsia="宋体" w:cs="宋体"/>
                <w:szCs w:val="21"/>
                <w:lang w:val="en-US" w:eastAsia="zh-CN"/>
              </w:rPr>
            </w:pPr>
            <w:r>
              <w:rPr>
                <w:rFonts w:hint="eastAsia" w:ascii="宋体" w:hAnsi="宋体" w:cs="宋体"/>
                <w:szCs w:val="21"/>
                <w:lang w:val="en-US" w:eastAsia="zh-CN"/>
              </w:rPr>
              <w:t>1</w:t>
            </w:r>
          </w:p>
        </w:tc>
        <w:tc>
          <w:tcPr>
            <w:tcW w:w="330" w:type="pct"/>
            <w:tcBorders>
              <w:left w:val="single" w:color="auto" w:sz="4" w:space="0"/>
              <w:tl2br w:val="nil"/>
              <w:tr2bl w:val="nil"/>
            </w:tcBorders>
            <w:shd w:val="clear" w:color="auto" w:fill="auto"/>
            <w:vAlign w:val="center"/>
          </w:tcPr>
          <w:p w14:paraId="27D9DF02">
            <w:pPr>
              <w:adjustRightInd w:val="0"/>
              <w:snapToGrid w:val="0"/>
              <w:jc w:val="center"/>
              <w:rPr>
                <w:rFonts w:hint="eastAsia" w:ascii="宋体" w:hAnsi="宋体" w:eastAsia="宋体" w:cs="宋体"/>
                <w:kern w:val="2"/>
                <w:sz w:val="21"/>
                <w:szCs w:val="21"/>
                <w:lang w:val="en-US" w:eastAsia="zh-CN" w:bidi="ar-SA"/>
              </w:rPr>
            </w:pPr>
            <w:r>
              <w:rPr>
                <w:rFonts w:hint="eastAsia" w:ascii="宋体" w:hAnsi="宋体" w:cs="宋体"/>
                <w:szCs w:val="21"/>
                <w:lang w:val="en-US" w:eastAsia="zh-CN"/>
              </w:rPr>
              <w:t>80</w:t>
            </w:r>
          </w:p>
        </w:tc>
        <w:tc>
          <w:tcPr>
            <w:tcW w:w="441" w:type="pct"/>
            <w:vMerge w:val="continue"/>
            <w:tcBorders>
              <w:tl2br w:val="nil"/>
              <w:tr2bl w:val="nil"/>
            </w:tcBorders>
            <w:vAlign w:val="center"/>
          </w:tcPr>
          <w:p w14:paraId="61C15026">
            <w:pPr>
              <w:adjustRightInd w:val="0"/>
              <w:snapToGrid w:val="0"/>
              <w:jc w:val="center"/>
              <w:rPr>
                <w:rFonts w:hint="eastAsia" w:ascii="宋体" w:hAnsi="宋体" w:cs="宋体"/>
                <w:szCs w:val="21"/>
              </w:rPr>
            </w:pPr>
          </w:p>
        </w:tc>
        <w:tc>
          <w:tcPr>
            <w:tcW w:w="279" w:type="pct"/>
            <w:tcBorders>
              <w:tl2br w:val="nil"/>
              <w:tr2bl w:val="nil"/>
            </w:tcBorders>
            <w:vAlign w:val="center"/>
          </w:tcPr>
          <w:p w14:paraId="4820C01E">
            <w:pPr>
              <w:autoSpaceDE w:val="0"/>
              <w:autoSpaceDN w:val="0"/>
              <w:jc w:val="center"/>
              <w:rPr>
                <w:rFonts w:hint="eastAsia" w:ascii="宋体" w:hAnsi="宋体" w:cs="宋体"/>
                <w:szCs w:val="21"/>
              </w:rPr>
            </w:pPr>
            <w:r>
              <w:rPr>
                <w:rFonts w:hint="eastAsia" w:ascii="宋体" w:hAnsi="宋体" w:cs="宋体"/>
                <w:szCs w:val="21"/>
              </w:rPr>
              <w:t>0</w:t>
            </w:r>
          </w:p>
        </w:tc>
        <w:tc>
          <w:tcPr>
            <w:tcW w:w="279" w:type="pct"/>
            <w:tcBorders>
              <w:tl2br w:val="nil"/>
              <w:tr2bl w:val="nil"/>
            </w:tcBorders>
            <w:vAlign w:val="center"/>
          </w:tcPr>
          <w:p w14:paraId="2B771FEF">
            <w:pPr>
              <w:autoSpaceDE w:val="0"/>
              <w:autoSpaceDN w:val="0"/>
              <w:jc w:val="center"/>
              <w:rPr>
                <w:rFonts w:hint="eastAsia" w:ascii="宋体" w:hAnsi="宋体" w:cs="宋体"/>
                <w:szCs w:val="21"/>
              </w:rPr>
            </w:pPr>
            <w:r>
              <w:rPr>
                <w:rFonts w:hint="eastAsia" w:ascii="宋体" w:hAnsi="宋体" w:cs="宋体"/>
                <w:szCs w:val="21"/>
              </w:rPr>
              <w:t>13.8</w:t>
            </w:r>
          </w:p>
        </w:tc>
        <w:tc>
          <w:tcPr>
            <w:tcW w:w="241" w:type="pct"/>
            <w:tcBorders>
              <w:tl2br w:val="nil"/>
              <w:tr2bl w:val="nil"/>
            </w:tcBorders>
            <w:vAlign w:val="center"/>
          </w:tcPr>
          <w:p w14:paraId="1410CFEB">
            <w:pPr>
              <w:autoSpaceDE w:val="0"/>
              <w:autoSpaceDN w:val="0"/>
              <w:jc w:val="center"/>
              <w:rPr>
                <w:rFonts w:hint="eastAsia" w:ascii="宋体" w:hAnsi="宋体" w:cs="宋体"/>
                <w:szCs w:val="21"/>
              </w:rPr>
            </w:pPr>
            <w:r>
              <w:rPr>
                <w:rFonts w:hint="eastAsia" w:ascii="宋体" w:hAnsi="宋体" w:cs="宋体"/>
                <w:szCs w:val="21"/>
              </w:rPr>
              <w:t>1.2</w:t>
            </w:r>
          </w:p>
        </w:tc>
        <w:tc>
          <w:tcPr>
            <w:tcW w:w="372" w:type="pct"/>
            <w:tcBorders>
              <w:tl2br w:val="nil"/>
              <w:tr2bl w:val="nil"/>
            </w:tcBorders>
            <w:vAlign w:val="center"/>
          </w:tcPr>
          <w:p w14:paraId="640537C5">
            <w:pPr>
              <w:adjustRightInd w:val="0"/>
              <w:snapToGrid w:val="0"/>
              <w:jc w:val="center"/>
              <w:rPr>
                <w:rFonts w:hint="eastAsia" w:ascii="宋体" w:hAnsi="宋体" w:eastAsia="宋体" w:cs="宋体"/>
                <w:szCs w:val="21"/>
                <w:lang w:eastAsia="zh-CN"/>
              </w:rPr>
            </w:pPr>
            <w:r>
              <w:rPr>
                <w:rFonts w:hint="eastAsia" w:ascii="宋体" w:hAnsi="宋体" w:cs="宋体"/>
                <w:szCs w:val="21"/>
                <w:lang w:val="en-US" w:eastAsia="zh-CN"/>
              </w:rPr>
              <w:t>9</w:t>
            </w:r>
          </w:p>
        </w:tc>
        <w:tc>
          <w:tcPr>
            <w:tcW w:w="380" w:type="pct"/>
            <w:tcBorders>
              <w:tl2br w:val="nil"/>
              <w:tr2bl w:val="nil"/>
            </w:tcBorders>
            <w:vAlign w:val="center"/>
          </w:tcPr>
          <w:p w14:paraId="373972C2">
            <w:pPr>
              <w:adjustRightInd w:val="0"/>
              <w:snapToGrid w:val="0"/>
              <w:jc w:val="center"/>
              <w:rPr>
                <w:rFonts w:hint="eastAsia" w:ascii="宋体" w:hAnsi="宋体" w:cs="宋体"/>
                <w:szCs w:val="21"/>
              </w:rPr>
            </w:pPr>
            <w:r>
              <w:rPr>
                <w:rFonts w:hint="eastAsia" w:ascii="宋体" w:hAnsi="宋体" w:cs="宋体"/>
                <w:szCs w:val="21"/>
              </w:rPr>
              <w:t>80</w:t>
            </w:r>
          </w:p>
        </w:tc>
        <w:tc>
          <w:tcPr>
            <w:tcW w:w="363" w:type="pct"/>
            <w:vMerge w:val="continue"/>
            <w:tcBorders>
              <w:tl2br w:val="nil"/>
              <w:tr2bl w:val="nil"/>
            </w:tcBorders>
            <w:vAlign w:val="center"/>
          </w:tcPr>
          <w:p w14:paraId="31F44F6C">
            <w:pPr>
              <w:adjustRightInd w:val="0"/>
              <w:snapToGrid w:val="0"/>
              <w:jc w:val="center"/>
              <w:rPr>
                <w:rFonts w:hint="eastAsia" w:ascii="宋体" w:hAnsi="宋体" w:cs="宋体"/>
                <w:szCs w:val="21"/>
              </w:rPr>
            </w:pPr>
          </w:p>
        </w:tc>
        <w:tc>
          <w:tcPr>
            <w:tcW w:w="406" w:type="pct"/>
            <w:tcBorders>
              <w:tl2br w:val="nil"/>
              <w:tr2bl w:val="nil"/>
            </w:tcBorders>
            <w:vAlign w:val="center"/>
          </w:tcPr>
          <w:p w14:paraId="0497BF00">
            <w:pPr>
              <w:adjustRightInd w:val="0"/>
              <w:snapToGrid w:val="0"/>
              <w:jc w:val="center"/>
              <w:rPr>
                <w:rFonts w:hint="eastAsia" w:ascii="宋体" w:hAnsi="宋体" w:cs="宋体"/>
                <w:szCs w:val="21"/>
              </w:rPr>
            </w:pPr>
            <w:r>
              <w:rPr>
                <w:rFonts w:hint="eastAsia" w:ascii="宋体" w:hAnsi="宋体" w:cs="宋体"/>
                <w:szCs w:val="21"/>
              </w:rPr>
              <w:t>15</w:t>
            </w:r>
          </w:p>
        </w:tc>
        <w:tc>
          <w:tcPr>
            <w:tcW w:w="428" w:type="pct"/>
            <w:tcBorders>
              <w:tl2br w:val="nil"/>
              <w:tr2bl w:val="nil"/>
            </w:tcBorders>
            <w:vAlign w:val="center"/>
          </w:tcPr>
          <w:p w14:paraId="4C871188">
            <w:pPr>
              <w:adjustRightInd w:val="0"/>
              <w:snapToGrid w:val="0"/>
              <w:jc w:val="center"/>
              <w:rPr>
                <w:rFonts w:hint="eastAsia" w:ascii="宋体" w:hAnsi="宋体" w:cs="宋体"/>
                <w:szCs w:val="21"/>
              </w:rPr>
            </w:pPr>
            <w:r>
              <w:rPr>
                <w:rFonts w:hint="eastAsia" w:ascii="宋体" w:hAnsi="宋体" w:cs="宋体"/>
                <w:szCs w:val="21"/>
              </w:rPr>
              <w:t>60</w:t>
            </w:r>
          </w:p>
        </w:tc>
        <w:tc>
          <w:tcPr>
            <w:tcW w:w="371" w:type="pct"/>
            <w:tcBorders>
              <w:tl2br w:val="nil"/>
              <w:tr2bl w:val="nil"/>
            </w:tcBorders>
            <w:vAlign w:val="center"/>
          </w:tcPr>
          <w:p w14:paraId="74B86086">
            <w:pPr>
              <w:adjustRightInd w:val="0"/>
              <w:snapToGrid w:val="0"/>
              <w:jc w:val="center"/>
              <w:rPr>
                <w:rFonts w:hint="eastAsia" w:ascii="宋体" w:hAnsi="宋体" w:eastAsia="宋体" w:cs="宋体"/>
                <w:szCs w:val="21"/>
                <w:lang w:val="en-US" w:eastAsia="zh-CN"/>
              </w:rPr>
            </w:pPr>
            <w:r>
              <w:rPr>
                <w:rFonts w:hint="eastAsia" w:ascii="宋体" w:hAnsi="宋体" w:cs="宋体"/>
                <w:szCs w:val="21"/>
                <w:lang w:val="en-US" w:eastAsia="zh-CN"/>
              </w:rPr>
              <w:t>1</w:t>
            </w:r>
          </w:p>
        </w:tc>
      </w:tr>
      <w:tr w14:paraId="19CCEC82">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8" w:space="0"/>
          </w:tblBorders>
          <w:tblCellMar>
            <w:top w:w="0" w:type="dxa"/>
            <w:left w:w="0" w:type="dxa"/>
            <w:bottom w:w="0" w:type="dxa"/>
            <w:right w:w="0" w:type="dxa"/>
          </w:tblCellMar>
        </w:tblPrEx>
        <w:trPr>
          <w:trHeight w:val="530" w:hRule="atLeast"/>
          <w:jc w:val="center"/>
        </w:trPr>
        <w:tc>
          <w:tcPr>
            <w:tcW w:w="234" w:type="pct"/>
            <w:vMerge w:val="continue"/>
            <w:tcBorders>
              <w:tl2br w:val="nil"/>
              <w:tr2bl w:val="nil"/>
            </w:tcBorders>
            <w:vAlign w:val="center"/>
          </w:tcPr>
          <w:p w14:paraId="43414EAD">
            <w:pPr>
              <w:adjustRightInd w:val="0"/>
              <w:snapToGrid w:val="0"/>
              <w:jc w:val="center"/>
              <w:rPr>
                <w:rFonts w:hint="eastAsia" w:ascii="宋体" w:hAnsi="宋体" w:cs="宋体"/>
                <w:szCs w:val="21"/>
              </w:rPr>
            </w:pPr>
          </w:p>
        </w:tc>
        <w:tc>
          <w:tcPr>
            <w:tcW w:w="404" w:type="pct"/>
            <w:tcBorders>
              <w:tl2br w:val="nil"/>
              <w:tr2bl w:val="nil"/>
            </w:tcBorders>
            <w:vAlign w:val="center"/>
          </w:tcPr>
          <w:p w14:paraId="3B7417D1">
            <w:pPr>
              <w:snapToGrid w:val="0"/>
              <w:jc w:val="center"/>
              <w:rPr>
                <w:color w:val="000000"/>
              </w:rPr>
            </w:pPr>
            <w:r>
              <w:rPr>
                <w:rFonts w:hint="eastAsia"/>
                <w:bCs/>
                <w:color w:val="000000"/>
                <w:szCs w:val="21"/>
              </w:rPr>
              <w:t>自动喂料机</w:t>
            </w:r>
          </w:p>
        </w:tc>
        <w:tc>
          <w:tcPr>
            <w:tcW w:w="466" w:type="pct"/>
            <w:tcBorders>
              <w:right w:val="single" w:color="auto" w:sz="4" w:space="0"/>
              <w:tl2br w:val="nil"/>
              <w:tr2bl w:val="nil"/>
            </w:tcBorders>
            <w:vAlign w:val="center"/>
          </w:tcPr>
          <w:p w14:paraId="6FC28603">
            <w:pPr>
              <w:adjustRightInd w:val="0"/>
              <w:snapToGrid w:val="0"/>
              <w:jc w:val="center"/>
              <w:rPr>
                <w:rFonts w:hint="default" w:ascii="宋体" w:hAnsi="宋体" w:eastAsia="宋体" w:cs="宋体"/>
                <w:szCs w:val="21"/>
                <w:lang w:val="en-US" w:eastAsia="zh-CN"/>
              </w:rPr>
            </w:pPr>
            <w:r>
              <w:rPr>
                <w:rFonts w:hint="eastAsia" w:ascii="宋体" w:hAnsi="宋体" w:cs="宋体"/>
                <w:szCs w:val="21"/>
                <w:lang w:val="en-US" w:eastAsia="zh-CN"/>
              </w:rPr>
              <w:t>1</w:t>
            </w:r>
          </w:p>
        </w:tc>
        <w:tc>
          <w:tcPr>
            <w:tcW w:w="330" w:type="pct"/>
            <w:tcBorders>
              <w:left w:val="single" w:color="auto" w:sz="4" w:space="0"/>
              <w:tl2br w:val="nil"/>
              <w:tr2bl w:val="nil"/>
            </w:tcBorders>
            <w:shd w:val="clear" w:color="auto" w:fill="auto"/>
            <w:vAlign w:val="center"/>
          </w:tcPr>
          <w:p w14:paraId="6CBF6EEE">
            <w:pPr>
              <w:adjustRightInd w:val="0"/>
              <w:snapToGrid w:val="0"/>
              <w:jc w:val="center"/>
              <w:rPr>
                <w:rFonts w:hint="eastAsia" w:ascii="宋体" w:hAnsi="宋体" w:eastAsia="宋体" w:cs="宋体"/>
                <w:kern w:val="2"/>
                <w:sz w:val="21"/>
                <w:szCs w:val="21"/>
                <w:lang w:val="en-US" w:eastAsia="zh-CN" w:bidi="ar-SA"/>
              </w:rPr>
            </w:pPr>
            <w:r>
              <w:rPr>
                <w:rFonts w:hint="eastAsia" w:ascii="宋体" w:hAnsi="宋体" w:cs="宋体"/>
                <w:szCs w:val="21"/>
                <w:lang w:val="en-US" w:eastAsia="zh-CN"/>
              </w:rPr>
              <w:t>70</w:t>
            </w:r>
          </w:p>
        </w:tc>
        <w:tc>
          <w:tcPr>
            <w:tcW w:w="441" w:type="pct"/>
            <w:vMerge w:val="continue"/>
            <w:tcBorders>
              <w:tl2br w:val="nil"/>
              <w:tr2bl w:val="nil"/>
            </w:tcBorders>
            <w:vAlign w:val="center"/>
          </w:tcPr>
          <w:p w14:paraId="53840540">
            <w:pPr>
              <w:adjustRightInd w:val="0"/>
              <w:snapToGrid w:val="0"/>
              <w:jc w:val="center"/>
              <w:rPr>
                <w:rFonts w:hint="eastAsia" w:ascii="宋体" w:hAnsi="宋体" w:cs="宋体"/>
                <w:szCs w:val="21"/>
              </w:rPr>
            </w:pPr>
          </w:p>
        </w:tc>
        <w:tc>
          <w:tcPr>
            <w:tcW w:w="279" w:type="pct"/>
            <w:tcBorders>
              <w:tl2br w:val="nil"/>
              <w:tr2bl w:val="nil"/>
            </w:tcBorders>
            <w:vAlign w:val="center"/>
          </w:tcPr>
          <w:p w14:paraId="448AEDDC">
            <w:pPr>
              <w:autoSpaceDE w:val="0"/>
              <w:autoSpaceDN w:val="0"/>
              <w:jc w:val="center"/>
              <w:rPr>
                <w:rFonts w:hint="eastAsia" w:ascii="宋体" w:hAnsi="宋体" w:cs="宋体"/>
                <w:szCs w:val="21"/>
              </w:rPr>
            </w:pPr>
            <w:r>
              <w:rPr>
                <w:rFonts w:hint="eastAsia" w:ascii="宋体" w:hAnsi="宋体" w:cs="宋体"/>
                <w:bCs/>
                <w:szCs w:val="21"/>
              </w:rPr>
              <w:t>-6.2</w:t>
            </w:r>
          </w:p>
        </w:tc>
        <w:tc>
          <w:tcPr>
            <w:tcW w:w="279" w:type="pct"/>
            <w:tcBorders>
              <w:tl2br w:val="nil"/>
              <w:tr2bl w:val="nil"/>
            </w:tcBorders>
            <w:vAlign w:val="center"/>
          </w:tcPr>
          <w:p w14:paraId="20D3DB67">
            <w:pPr>
              <w:autoSpaceDE w:val="0"/>
              <w:autoSpaceDN w:val="0"/>
              <w:jc w:val="center"/>
              <w:rPr>
                <w:rFonts w:hint="eastAsia" w:ascii="宋体" w:hAnsi="宋体" w:cs="宋体"/>
                <w:szCs w:val="21"/>
              </w:rPr>
            </w:pPr>
            <w:r>
              <w:rPr>
                <w:rFonts w:hint="eastAsia" w:ascii="宋体" w:hAnsi="宋体" w:cs="宋体"/>
                <w:bCs/>
                <w:szCs w:val="21"/>
              </w:rPr>
              <w:t>14.2</w:t>
            </w:r>
          </w:p>
        </w:tc>
        <w:tc>
          <w:tcPr>
            <w:tcW w:w="241" w:type="pct"/>
            <w:tcBorders>
              <w:tl2br w:val="nil"/>
              <w:tr2bl w:val="nil"/>
            </w:tcBorders>
            <w:vAlign w:val="center"/>
          </w:tcPr>
          <w:p w14:paraId="7A94C705">
            <w:pPr>
              <w:autoSpaceDE w:val="0"/>
              <w:autoSpaceDN w:val="0"/>
              <w:jc w:val="center"/>
              <w:rPr>
                <w:rFonts w:hint="eastAsia" w:ascii="宋体" w:hAnsi="宋体" w:cs="宋体"/>
                <w:szCs w:val="21"/>
              </w:rPr>
            </w:pPr>
            <w:r>
              <w:rPr>
                <w:rFonts w:hint="eastAsia" w:ascii="宋体" w:hAnsi="宋体" w:cs="宋体"/>
                <w:bCs/>
                <w:szCs w:val="21"/>
              </w:rPr>
              <w:t>1.2</w:t>
            </w:r>
          </w:p>
        </w:tc>
        <w:tc>
          <w:tcPr>
            <w:tcW w:w="372" w:type="pct"/>
            <w:tcBorders>
              <w:tl2br w:val="nil"/>
              <w:tr2bl w:val="nil"/>
            </w:tcBorders>
            <w:vAlign w:val="center"/>
          </w:tcPr>
          <w:p w14:paraId="38A40B65">
            <w:pPr>
              <w:adjustRightInd w:val="0"/>
              <w:snapToGrid w:val="0"/>
              <w:jc w:val="center"/>
              <w:rPr>
                <w:rFonts w:hint="default" w:ascii="宋体" w:hAnsi="宋体" w:eastAsia="宋体" w:cs="宋体"/>
                <w:szCs w:val="21"/>
                <w:lang w:val="en-US" w:eastAsia="zh-CN"/>
              </w:rPr>
            </w:pPr>
            <w:r>
              <w:rPr>
                <w:rFonts w:hint="eastAsia" w:ascii="宋体" w:hAnsi="宋体" w:cs="宋体"/>
                <w:szCs w:val="21"/>
                <w:lang w:val="en-US" w:eastAsia="zh-CN"/>
              </w:rPr>
              <w:t>12</w:t>
            </w:r>
          </w:p>
        </w:tc>
        <w:tc>
          <w:tcPr>
            <w:tcW w:w="380" w:type="pct"/>
            <w:tcBorders>
              <w:tl2br w:val="nil"/>
              <w:tr2bl w:val="nil"/>
            </w:tcBorders>
            <w:vAlign w:val="center"/>
          </w:tcPr>
          <w:p w14:paraId="0855EFD8">
            <w:pPr>
              <w:adjustRightInd w:val="0"/>
              <w:snapToGrid w:val="0"/>
              <w:jc w:val="center"/>
              <w:rPr>
                <w:rFonts w:hint="eastAsia" w:ascii="宋体" w:hAnsi="宋体" w:cs="宋体"/>
                <w:szCs w:val="21"/>
              </w:rPr>
            </w:pPr>
            <w:r>
              <w:rPr>
                <w:rFonts w:hint="eastAsia" w:ascii="宋体" w:hAnsi="宋体" w:cs="宋体"/>
                <w:szCs w:val="21"/>
              </w:rPr>
              <w:t>70</w:t>
            </w:r>
          </w:p>
        </w:tc>
        <w:tc>
          <w:tcPr>
            <w:tcW w:w="363" w:type="pct"/>
            <w:vMerge w:val="continue"/>
            <w:tcBorders>
              <w:tl2br w:val="nil"/>
              <w:tr2bl w:val="nil"/>
            </w:tcBorders>
            <w:vAlign w:val="center"/>
          </w:tcPr>
          <w:p w14:paraId="63DEF640">
            <w:pPr>
              <w:adjustRightInd w:val="0"/>
              <w:snapToGrid w:val="0"/>
              <w:jc w:val="center"/>
              <w:rPr>
                <w:rFonts w:hint="eastAsia" w:ascii="宋体" w:hAnsi="宋体" w:cs="宋体"/>
                <w:szCs w:val="21"/>
              </w:rPr>
            </w:pPr>
          </w:p>
        </w:tc>
        <w:tc>
          <w:tcPr>
            <w:tcW w:w="406" w:type="pct"/>
            <w:tcBorders>
              <w:tl2br w:val="nil"/>
              <w:tr2bl w:val="nil"/>
            </w:tcBorders>
            <w:vAlign w:val="center"/>
          </w:tcPr>
          <w:p w14:paraId="7B99EBB5">
            <w:pPr>
              <w:adjustRightInd w:val="0"/>
              <w:snapToGrid w:val="0"/>
              <w:jc w:val="center"/>
              <w:rPr>
                <w:rFonts w:hint="eastAsia" w:ascii="宋体" w:hAnsi="宋体" w:cs="宋体"/>
                <w:szCs w:val="21"/>
              </w:rPr>
            </w:pPr>
            <w:r>
              <w:rPr>
                <w:rFonts w:hint="eastAsia" w:ascii="宋体" w:hAnsi="宋体" w:cs="宋体"/>
                <w:szCs w:val="21"/>
              </w:rPr>
              <w:t>15</w:t>
            </w:r>
          </w:p>
        </w:tc>
        <w:tc>
          <w:tcPr>
            <w:tcW w:w="428" w:type="pct"/>
            <w:tcBorders>
              <w:tl2br w:val="nil"/>
              <w:tr2bl w:val="nil"/>
            </w:tcBorders>
            <w:vAlign w:val="center"/>
          </w:tcPr>
          <w:p w14:paraId="5AF485A0">
            <w:pPr>
              <w:adjustRightInd w:val="0"/>
              <w:snapToGrid w:val="0"/>
              <w:jc w:val="center"/>
              <w:rPr>
                <w:rFonts w:hint="eastAsia" w:ascii="宋体" w:hAnsi="宋体" w:cs="宋体"/>
                <w:szCs w:val="21"/>
              </w:rPr>
            </w:pPr>
            <w:r>
              <w:rPr>
                <w:rFonts w:hint="eastAsia" w:ascii="宋体" w:hAnsi="宋体" w:cs="宋体"/>
                <w:szCs w:val="21"/>
              </w:rPr>
              <w:t>55</w:t>
            </w:r>
          </w:p>
        </w:tc>
        <w:tc>
          <w:tcPr>
            <w:tcW w:w="371" w:type="pct"/>
            <w:tcBorders>
              <w:tl2br w:val="nil"/>
              <w:tr2bl w:val="nil"/>
            </w:tcBorders>
            <w:vAlign w:val="center"/>
          </w:tcPr>
          <w:p w14:paraId="71B7232A">
            <w:pPr>
              <w:adjustRightInd w:val="0"/>
              <w:snapToGrid w:val="0"/>
              <w:jc w:val="center"/>
              <w:rPr>
                <w:rFonts w:hint="eastAsia" w:ascii="宋体" w:hAnsi="宋体" w:eastAsia="宋体" w:cs="宋体"/>
                <w:szCs w:val="21"/>
                <w:lang w:val="en-US" w:eastAsia="zh-CN"/>
              </w:rPr>
            </w:pPr>
            <w:r>
              <w:rPr>
                <w:rFonts w:hint="eastAsia" w:ascii="宋体" w:hAnsi="宋体" w:cs="宋体"/>
                <w:szCs w:val="21"/>
                <w:lang w:val="en-US" w:eastAsia="zh-CN"/>
              </w:rPr>
              <w:t>1</w:t>
            </w:r>
          </w:p>
        </w:tc>
      </w:tr>
      <w:tr w14:paraId="5E11C867">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8" w:space="0"/>
          </w:tblBorders>
          <w:tblCellMar>
            <w:top w:w="0" w:type="dxa"/>
            <w:left w:w="0" w:type="dxa"/>
            <w:bottom w:w="0" w:type="dxa"/>
            <w:right w:w="0" w:type="dxa"/>
          </w:tblCellMar>
        </w:tblPrEx>
        <w:trPr>
          <w:trHeight w:val="530" w:hRule="atLeast"/>
          <w:jc w:val="center"/>
        </w:trPr>
        <w:tc>
          <w:tcPr>
            <w:tcW w:w="234" w:type="pct"/>
            <w:vMerge w:val="continue"/>
            <w:tcBorders>
              <w:tl2br w:val="nil"/>
              <w:tr2bl w:val="nil"/>
            </w:tcBorders>
            <w:vAlign w:val="center"/>
          </w:tcPr>
          <w:p w14:paraId="6A7C666D">
            <w:pPr>
              <w:adjustRightInd w:val="0"/>
              <w:snapToGrid w:val="0"/>
              <w:jc w:val="center"/>
              <w:rPr>
                <w:rFonts w:hint="eastAsia" w:ascii="宋体" w:hAnsi="宋体" w:cs="宋体"/>
                <w:szCs w:val="21"/>
              </w:rPr>
            </w:pPr>
          </w:p>
        </w:tc>
        <w:tc>
          <w:tcPr>
            <w:tcW w:w="404" w:type="pct"/>
            <w:tcBorders>
              <w:tl2br w:val="nil"/>
              <w:tr2bl w:val="nil"/>
            </w:tcBorders>
            <w:vAlign w:val="center"/>
          </w:tcPr>
          <w:p w14:paraId="764AAFC3">
            <w:pPr>
              <w:snapToGrid w:val="0"/>
              <w:jc w:val="center"/>
              <w:rPr>
                <w:rFonts w:hint="eastAsia"/>
                <w:bCs/>
                <w:color w:val="000000"/>
                <w:szCs w:val="21"/>
              </w:rPr>
            </w:pPr>
            <w:r>
              <w:t>风冷机</w:t>
            </w:r>
          </w:p>
        </w:tc>
        <w:tc>
          <w:tcPr>
            <w:tcW w:w="466" w:type="pct"/>
            <w:tcBorders>
              <w:right w:val="single" w:color="auto" w:sz="4" w:space="0"/>
              <w:tl2br w:val="nil"/>
              <w:tr2bl w:val="nil"/>
            </w:tcBorders>
            <w:shd w:val="clear" w:color="auto" w:fill="auto"/>
            <w:vAlign w:val="center"/>
          </w:tcPr>
          <w:p w14:paraId="1590AEAE">
            <w:pPr>
              <w:adjustRightInd w:val="0"/>
              <w:snapToGrid w:val="0"/>
              <w:jc w:val="center"/>
              <w:rPr>
                <w:rFonts w:hint="eastAsia" w:ascii="宋体" w:hAnsi="宋体" w:eastAsia="宋体" w:cs="宋体"/>
                <w:kern w:val="2"/>
                <w:sz w:val="21"/>
                <w:szCs w:val="21"/>
                <w:lang w:val="en-US" w:eastAsia="zh-CN" w:bidi="ar-SA"/>
              </w:rPr>
            </w:pPr>
            <w:r>
              <w:rPr>
                <w:rFonts w:hint="eastAsia" w:ascii="宋体" w:hAnsi="宋体" w:cs="宋体"/>
                <w:szCs w:val="21"/>
                <w:lang w:val="en-US" w:eastAsia="zh-CN"/>
              </w:rPr>
              <w:t>1</w:t>
            </w:r>
          </w:p>
        </w:tc>
        <w:tc>
          <w:tcPr>
            <w:tcW w:w="330" w:type="pct"/>
            <w:tcBorders>
              <w:left w:val="single" w:color="auto" w:sz="4" w:space="0"/>
              <w:tl2br w:val="nil"/>
              <w:tr2bl w:val="nil"/>
            </w:tcBorders>
            <w:shd w:val="clear" w:color="auto" w:fill="auto"/>
            <w:vAlign w:val="center"/>
          </w:tcPr>
          <w:p w14:paraId="197321A2">
            <w:pPr>
              <w:adjustRightInd w:val="0"/>
              <w:snapToGrid w:val="0"/>
              <w:jc w:val="center"/>
              <w:rPr>
                <w:rFonts w:hint="eastAsia" w:ascii="宋体" w:hAnsi="宋体" w:eastAsia="宋体" w:cs="宋体"/>
                <w:kern w:val="2"/>
                <w:sz w:val="21"/>
                <w:szCs w:val="21"/>
                <w:lang w:val="en-US" w:eastAsia="zh-CN" w:bidi="ar-SA"/>
              </w:rPr>
            </w:pPr>
            <w:r>
              <w:rPr>
                <w:rFonts w:hint="eastAsia" w:ascii="宋体" w:hAnsi="宋体" w:cs="宋体"/>
                <w:szCs w:val="21"/>
                <w:lang w:val="en-US" w:eastAsia="zh-CN"/>
              </w:rPr>
              <w:t>70</w:t>
            </w:r>
          </w:p>
        </w:tc>
        <w:tc>
          <w:tcPr>
            <w:tcW w:w="441" w:type="pct"/>
            <w:vMerge w:val="continue"/>
            <w:tcBorders>
              <w:tl2br w:val="nil"/>
              <w:tr2bl w:val="nil"/>
            </w:tcBorders>
            <w:vAlign w:val="center"/>
          </w:tcPr>
          <w:p w14:paraId="49587061">
            <w:pPr>
              <w:adjustRightInd w:val="0"/>
              <w:snapToGrid w:val="0"/>
              <w:jc w:val="center"/>
              <w:rPr>
                <w:rFonts w:hint="eastAsia" w:ascii="宋体" w:hAnsi="宋体" w:cs="宋体"/>
                <w:szCs w:val="21"/>
              </w:rPr>
            </w:pPr>
          </w:p>
        </w:tc>
        <w:tc>
          <w:tcPr>
            <w:tcW w:w="279" w:type="pct"/>
            <w:tcBorders>
              <w:tl2br w:val="nil"/>
              <w:tr2bl w:val="nil"/>
            </w:tcBorders>
            <w:shd w:val="clear" w:color="auto" w:fill="auto"/>
            <w:vAlign w:val="center"/>
          </w:tcPr>
          <w:p w14:paraId="60358F5A">
            <w:pPr>
              <w:autoSpaceDE w:val="0"/>
              <w:autoSpaceDN w:val="0"/>
              <w:jc w:val="center"/>
              <w:rPr>
                <w:rFonts w:hint="eastAsia" w:ascii="宋体" w:hAnsi="宋体" w:eastAsia="宋体" w:cs="宋体"/>
                <w:kern w:val="2"/>
                <w:sz w:val="21"/>
                <w:szCs w:val="21"/>
                <w:lang w:val="en-US" w:eastAsia="zh-CN" w:bidi="ar-SA"/>
              </w:rPr>
            </w:pPr>
            <w:r>
              <w:rPr>
                <w:rFonts w:hint="eastAsia" w:ascii="宋体" w:hAnsi="宋体" w:cs="宋体"/>
                <w:bCs/>
                <w:szCs w:val="21"/>
              </w:rPr>
              <w:t>-</w:t>
            </w:r>
            <w:r>
              <w:rPr>
                <w:rFonts w:hint="eastAsia" w:ascii="宋体" w:hAnsi="宋体" w:cs="宋体"/>
                <w:bCs/>
                <w:szCs w:val="21"/>
                <w:lang w:val="en-US" w:eastAsia="zh-CN"/>
              </w:rPr>
              <w:t>8</w:t>
            </w:r>
            <w:r>
              <w:rPr>
                <w:rFonts w:hint="eastAsia" w:ascii="宋体" w:hAnsi="宋体" w:cs="宋体"/>
                <w:bCs/>
                <w:szCs w:val="21"/>
              </w:rPr>
              <w:t>.8</w:t>
            </w:r>
          </w:p>
        </w:tc>
        <w:tc>
          <w:tcPr>
            <w:tcW w:w="279" w:type="pct"/>
            <w:tcBorders>
              <w:tl2br w:val="nil"/>
              <w:tr2bl w:val="nil"/>
            </w:tcBorders>
            <w:shd w:val="clear" w:color="auto" w:fill="auto"/>
            <w:vAlign w:val="center"/>
          </w:tcPr>
          <w:p w14:paraId="4DF40312">
            <w:pPr>
              <w:autoSpaceDE w:val="0"/>
              <w:autoSpaceDN w:val="0"/>
              <w:jc w:val="center"/>
              <w:rPr>
                <w:rFonts w:hint="default" w:ascii="宋体" w:hAnsi="宋体" w:eastAsia="宋体" w:cs="宋体"/>
                <w:kern w:val="2"/>
                <w:sz w:val="21"/>
                <w:szCs w:val="21"/>
                <w:lang w:val="en-US" w:eastAsia="zh-CN" w:bidi="ar-SA"/>
              </w:rPr>
            </w:pPr>
            <w:r>
              <w:rPr>
                <w:rFonts w:hint="eastAsia" w:ascii="宋体" w:hAnsi="宋体" w:cs="宋体"/>
                <w:bCs/>
                <w:szCs w:val="21"/>
              </w:rPr>
              <w:t>1</w:t>
            </w:r>
            <w:r>
              <w:rPr>
                <w:rFonts w:hint="eastAsia" w:ascii="宋体" w:hAnsi="宋体" w:cs="宋体"/>
                <w:bCs/>
                <w:szCs w:val="21"/>
                <w:lang w:val="en-US" w:eastAsia="zh-CN"/>
              </w:rPr>
              <w:t>3.1</w:t>
            </w:r>
          </w:p>
        </w:tc>
        <w:tc>
          <w:tcPr>
            <w:tcW w:w="241" w:type="pct"/>
            <w:tcBorders>
              <w:tl2br w:val="nil"/>
              <w:tr2bl w:val="nil"/>
            </w:tcBorders>
            <w:shd w:val="clear" w:color="auto" w:fill="auto"/>
            <w:vAlign w:val="center"/>
          </w:tcPr>
          <w:p w14:paraId="4A35A216">
            <w:pPr>
              <w:autoSpaceDE w:val="0"/>
              <w:autoSpaceDN w:val="0"/>
              <w:jc w:val="center"/>
              <w:rPr>
                <w:rFonts w:hint="eastAsia" w:ascii="宋体" w:hAnsi="宋体" w:eastAsia="宋体" w:cs="宋体"/>
                <w:kern w:val="2"/>
                <w:sz w:val="21"/>
                <w:szCs w:val="21"/>
                <w:lang w:val="en-US" w:eastAsia="zh-CN" w:bidi="ar-SA"/>
              </w:rPr>
            </w:pPr>
            <w:r>
              <w:rPr>
                <w:rFonts w:hint="eastAsia" w:ascii="宋体" w:hAnsi="宋体" w:cs="宋体"/>
                <w:bCs/>
                <w:szCs w:val="21"/>
              </w:rPr>
              <w:t>1.2</w:t>
            </w:r>
          </w:p>
        </w:tc>
        <w:tc>
          <w:tcPr>
            <w:tcW w:w="372" w:type="pct"/>
            <w:tcBorders>
              <w:tl2br w:val="nil"/>
              <w:tr2bl w:val="nil"/>
            </w:tcBorders>
            <w:shd w:val="clear" w:color="auto" w:fill="auto"/>
            <w:vAlign w:val="center"/>
          </w:tcPr>
          <w:p w14:paraId="6B12C846">
            <w:pPr>
              <w:adjustRightInd w:val="0"/>
              <w:snapToGrid w:val="0"/>
              <w:jc w:val="center"/>
              <w:rPr>
                <w:rFonts w:hint="eastAsia" w:ascii="宋体" w:hAnsi="宋体" w:eastAsia="宋体" w:cs="宋体"/>
                <w:kern w:val="2"/>
                <w:sz w:val="21"/>
                <w:szCs w:val="21"/>
                <w:lang w:val="en-US" w:eastAsia="zh-CN" w:bidi="ar-SA"/>
              </w:rPr>
            </w:pPr>
            <w:r>
              <w:rPr>
                <w:rFonts w:hint="eastAsia" w:ascii="宋体" w:hAnsi="宋体" w:cs="宋体"/>
                <w:szCs w:val="21"/>
                <w:lang w:val="en-US" w:eastAsia="zh-CN"/>
              </w:rPr>
              <w:t>16</w:t>
            </w:r>
          </w:p>
        </w:tc>
        <w:tc>
          <w:tcPr>
            <w:tcW w:w="380" w:type="pct"/>
            <w:tcBorders>
              <w:tl2br w:val="nil"/>
              <w:tr2bl w:val="nil"/>
            </w:tcBorders>
            <w:shd w:val="clear" w:color="auto" w:fill="auto"/>
            <w:vAlign w:val="center"/>
          </w:tcPr>
          <w:p w14:paraId="729EC0E3">
            <w:pPr>
              <w:adjustRightInd w:val="0"/>
              <w:snapToGrid w:val="0"/>
              <w:jc w:val="center"/>
              <w:rPr>
                <w:rFonts w:hint="eastAsia" w:ascii="宋体" w:hAnsi="宋体" w:eastAsia="宋体" w:cs="宋体"/>
                <w:kern w:val="2"/>
                <w:sz w:val="21"/>
                <w:szCs w:val="21"/>
                <w:lang w:val="en-US" w:eastAsia="zh-CN" w:bidi="ar-SA"/>
              </w:rPr>
            </w:pPr>
            <w:r>
              <w:rPr>
                <w:rFonts w:hint="eastAsia" w:ascii="宋体" w:hAnsi="宋体" w:cs="宋体"/>
                <w:szCs w:val="21"/>
              </w:rPr>
              <w:t>70</w:t>
            </w:r>
          </w:p>
        </w:tc>
        <w:tc>
          <w:tcPr>
            <w:tcW w:w="363" w:type="pct"/>
            <w:vMerge w:val="continue"/>
            <w:tcBorders>
              <w:tl2br w:val="nil"/>
              <w:tr2bl w:val="nil"/>
            </w:tcBorders>
            <w:vAlign w:val="center"/>
          </w:tcPr>
          <w:p w14:paraId="3068EC74">
            <w:pPr>
              <w:adjustRightInd w:val="0"/>
              <w:snapToGrid w:val="0"/>
              <w:jc w:val="center"/>
              <w:rPr>
                <w:rFonts w:hint="eastAsia" w:ascii="宋体" w:hAnsi="宋体" w:cs="宋体"/>
                <w:szCs w:val="21"/>
              </w:rPr>
            </w:pPr>
          </w:p>
        </w:tc>
        <w:tc>
          <w:tcPr>
            <w:tcW w:w="406" w:type="pct"/>
            <w:tcBorders>
              <w:tl2br w:val="nil"/>
              <w:tr2bl w:val="nil"/>
            </w:tcBorders>
            <w:shd w:val="clear" w:color="auto" w:fill="auto"/>
            <w:vAlign w:val="center"/>
          </w:tcPr>
          <w:p w14:paraId="6A90CD57">
            <w:pPr>
              <w:adjustRightInd w:val="0"/>
              <w:snapToGrid w:val="0"/>
              <w:jc w:val="center"/>
              <w:rPr>
                <w:rFonts w:hint="eastAsia" w:ascii="宋体" w:hAnsi="宋体" w:eastAsia="宋体" w:cs="宋体"/>
                <w:kern w:val="2"/>
                <w:sz w:val="21"/>
                <w:szCs w:val="21"/>
                <w:lang w:val="en-US" w:eastAsia="zh-CN" w:bidi="ar-SA"/>
              </w:rPr>
            </w:pPr>
            <w:r>
              <w:rPr>
                <w:rFonts w:hint="eastAsia" w:ascii="宋体" w:hAnsi="宋体" w:cs="宋体"/>
                <w:szCs w:val="21"/>
              </w:rPr>
              <w:t>15</w:t>
            </w:r>
          </w:p>
        </w:tc>
        <w:tc>
          <w:tcPr>
            <w:tcW w:w="428" w:type="pct"/>
            <w:tcBorders>
              <w:tl2br w:val="nil"/>
              <w:tr2bl w:val="nil"/>
            </w:tcBorders>
            <w:shd w:val="clear" w:color="auto" w:fill="auto"/>
            <w:vAlign w:val="center"/>
          </w:tcPr>
          <w:p w14:paraId="0B73C57A">
            <w:pPr>
              <w:adjustRightInd w:val="0"/>
              <w:snapToGrid w:val="0"/>
              <w:jc w:val="center"/>
              <w:rPr>
                <w:rFonts w:hint="eastAsia" w:ascii="宋体" w:hAnsi="宋体" w:eastAsia="宋体" w:cs="宋体"/>
                <w:kern w:val="2"/>
                <w:sz w:val="21"/>
                <w:szCs w:val="21"/>
                <w:lang w:val="en-US" w:eastAsia="zh-CN" w:bidi="ar-SA"/>
              </w:rPr>
            </w:pPr>
            <w:r>
              <w:rPr>
                <w:rFonts w:hint="eastAsia" w:ascii="宋体" w:hAnsi="宋体" w:cs="宋体"/>
                <w:szCs w:val="21"/>
              </w:rPr>
              <w:t>55</w:t>
            </w:r>
          </w:p>
        </w:tc>
        <w:tc>
          <w:tcPr>
            <w:tcW w:w="371" w:type="pct"/>
            <w:tcBorders>
              <w:tl2br w:val="nil"/>
              <w:tr2bl w:val="nil"/>
            </w:tcBorders>
            <w:shd w:val="clear" w:color="auto" w:fill="auto"/>
            <w:vAlign w:val="center"/>
          </w:tcPr>
          <w:p w14:paraId="7E85EA33">
            <w:pPr>
              <w:adjustRightInd w:val="0"/>
              <w:snapToGrid w:val="0"/>
              <w:jc w:val="center"/>
              <w:rPr>
                <w:rFonts w:hint="eastAsia" w:ascii="宋体" w:hAnsi="宋体" w:eastAsia="宋体" w:cs="宋体"/>
                <w:kern w:val="2"/>
                <w:sz w:val="21"/>
                <w:szCs w:val="21"/>
                <w:lang w:val="en-US" w:eastAsia="zh-CN" w:bidi="ar-SA"/>
              </w:rPr>
            </w:pPr>
            <w:r>
              <w:rPr>
                <w:rFonts w:hint="eastAsia" w:ascii="宋体" w:hAnsi="宋体" w:cs="宋体"/>
                <w:szCs w:val="21"/>
              </w:rPr>
              <w:t>1</w:t>
            </w:r>
          </w:p>
        </w:tc>
      </w:tr>
      <w:tr w14:paraId="1A899F3C">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8" w:space="0"/>
          </w:tblBorders>
          <w:tblCellMar>
            <w:top w:w="0" w:type="dxa"/>
            <w:left w:w="0" w:type="dxa"/>
            <w:bottom w:w="0" w:type="dxa"/>
            <w:right w:w="0" w:type="dxa"/>
          </w:tblCellMar>
        </w:tblPrEx>
        <w:trPr>
          <w:trHeight w:val="553" w:hRule="atLeast"/>
          <w:jc w:val="center"/>
        </w:trPr>
        <w:tc>
          <w:tcPr>
            <w:tcW w:w="234" w:type="pct"/>
            <w:vMerge w:val="continue"/>
            <w:tcBorders>
              <w:tl2br w:val="nil"/>
              <w:tr2bl w:val="nil"/>
            </w:tcBorders>
            <w:vAlign w:val="center"/>
          </w:tcPr>
          <w:p w14:paraId="687C3A47">
            <w:pPr>
              <w:adjustRightInd w:val="0"/>
              <w:snapToGrid w:val="0"/>
              <w:jc w:val="center"/>
              <w:rPr>
                <w:rFonts w:hint="eastAsia" w:ascii="宋体" w:hAnsi="宋体" w:cs="宋体"/>
                <w:szCs w:val="21"/>
              </w:rPr>
            </w:pPr>
          </w:p>
        </w:tc>
        <w:tc>
          <w:tcPr>
            <w:tcW w:w="404" w:type="pct"/>
            <w:tcBorders>
              <w:tl2br w:val="nil"/>
              <w:tr2bl w:val="nil"/>
            </w:tcBorders>
            <w:vAlign w:val="center"/>
          </w:tcPr>
          <w:p w14:paraId="6015274C">
            <w:pPr>
              <w:snapToGrid w:val="0"/>
              <w:jc w:val="center"/>
              <w:rPr>
                <w:rFonts w:hint="eastAsia" w:ascii="宋体" w:hAnsi="宋体" w:cs="宋体"/>
                <w:kern w:val="0"/>
                <w:szCs w:val="21"/>
              </w:rPr>
            </w:pPr>
            <w:r>
              <w:rPr>
                <w:rFonts w:hint="eastAsia"/>
                <w:bCs/>
                <w:color w:val="000000"/>
                <w:szCs w:val="21"/>
              </w:rPr>
              <w:t>风干吹条机</w:t>
            </w:r>
          </w:p>
        </w:tc>
        <w:tc>
          <w:tcPr>
            <w:tcW w:w="466" w:type="pct"/>
            <w:tcBorders>
              <w:right w:val="single" w:color="auto" w:sz="4" w:space="0"/>
              <w:tl2br w:val="nil"/>
              <w:tr2bl w:val="nil"/>
            </w:tcBorders>
            <w:vAlign w:val="center"/>
          </w:tcPr>
          <w:p w14:paraId="26918047">
            <w:pPr>
              <w:adjustRightInd w:val="0"/>
              <w:snapToGrid w:val="0"/>
              <w:jc w:val="center"/>
              <w:rPr>
                <w:rFonts w:hint="default" w:ascii="宋体" w:hAnsi="宋体" w:eastAsia="宋体" w:cs="宋体"/>
                <w:szCs w:val="21"/>
                <w:lang w:val="en-US" w:eastAsia="zh-CN"/>
              </w:rPr>
            </w:pPr>
            <w:r>
              <w:rPr>
                <w:rFonts w:hint="eastAsia" w:ascii="宋体" w:hAnsi="宋体" w:cs="宋体"/>
                <w:szCs w:val="21"/>
                <w:lang w:val="en-US" w:eastAsia="zh-CN"/>
              </w:rPr>
              <w:t>1</w:t>
            </w:r>
          </w:p>
        </w:tc>
        <w:tc>
          <w:tcPr>
            <w:tcW w:w="330" w:type="pct"/>
            <w:tcBorders>
              <w:left w:val="single" w:color="auto" w:sz="4" w:space="0"/>
              <w:tl2br w:val="nil"/>
              <w:tr2bl w:val="nil"/>
            </w:tcBorders>
            <w:shd w:val="clear" w:color="auto" w:fill="auto"/>
            <w:vAlign w:val="center"/>
          </w:tcPr>
          <w:p w14:paraId="29C24ABD">
            <w:pPr>
              <w:adjustRightInd w:val="0"/>
              <w:snapToGrid w:val="0"/>
              <w:jc w:val="center"/>
              <w:rPr>
                <w:rFonts w:hint="eastAsia" w:ascii="宋体" w:hAnsi="宋体" w:eastAsia="宋体" w:cs="宋体"/>
                <w:kern w:val="2"/>
                <w:sz w:val="21"/>
                <w:szCs w:val="21"/>
                <w:lang w:val="en-US" w:eastAsia="zh-CN" w:bidi="ar-SA"/>
              </w:rPr>
            </w:pPr>
            <w:r>
              <w:rPr>
                <w:rFonts w:hint="eastAsia" w:ascii="宋体" w:hAnsi="宋体" w:cs="宋体"/>
                <w:szCs w:val="21"/>
                <w:lang w:val="en-US" w:eastAsia="zh-CN"/>
              </w:rPr>
              <w:t>70</w:t>
            </w:r>
          </w:p>
        </w:tc>
        <w:tc>
          <w:tcPr>
            <w:tcW w:w="441" w:type="pct"/>
            <w:vMerge w:val="continue"/>
            <w:tcBorders>
              <w:tl2br w:val="nil"/>
              <w:tr2bl w:val="nil"/>
            </w:tcBorders>
            <w:vAlign w:val="center"/>
          </w:tcPr>
          <w:p w14:paraId="132DE846">
            <w:pPr>
              <w:adjustRightInd w:val="0"/>
              <w:snapToGrid w:val="0"/>
              <w:jc w:val="center"/>
              <w:rPr>
                <w:rFonts w:hint="eastAsia" w:ascii="宋体" w:hAnsi="宋体" w:cs="宋体"/>
                <w:szCs w:val="21"/>
              </w:rPr>
            </w:pPr>
          </w:p>
        </w:tc>
        <w:tc>
          <w:tcPr>
            <w:tcW w:w="279" w:type="pct"/>
            <w:tcBorders>
              <w:tl2br w:val="nil"/>
              <w:tr2bl w:val="nil"/>
            </w:tcBorders>
            <w:vAlign w:val="center"/>
          </w:tcPr>
          <w:p w14:paraId="2060FF66">
            <w:pPr>
              <w:autoSpaceDE w:val="0"/>
              <w:autoSpaceDN w:val="0"/>
              <w:jc w:val="center"/>
              <w:rPr>
                <w:rFonts w:hint="eastAsia" w:ascii="宋体" w:hAnsi="宋体" w:cs="宋体"/>
                <w:szCs w:val="21"/>
              </w:rPr>
            </w:pPr>
            <w:r>
              <w:rPr>
                <w:rFonts w:hint="eastAsia" w:ascii="宋体" w:hAnsi="宋体" w:cs="宋体"/>
                <w:bCs/>
                <w:szCs w:val="21"/>
              </w:rPr>
              <w:t>-9.8</w:t>
            </w:r>
          </w:p>
        </w:tc>
        <w:tc>
          <w:tcPr>
            <w:tcW w:w="279" w:type="pct"/>
            <w:tcBorders>
              <w:tl2br w:val="nil"/>
              <w:tr2bl w:val="nil"/>
            </w:tcBorders>
            <w:vAlign w:val="center"/>
          </w:tcPr>
          <w:p w14:paraId="4432BE53">
            <w:pPr>
              <w:autoSpaceDE w:val="0"/>
              <w:autoSpaceDN w:val="0"/>
              <w:jc w:val="center"/>
              <w:rPr>
                <w:rFonts w:hint="eastAsia" w:ascii="宋体" w:hAnsi="宋体" w:cs="宋体"/>
                <w:szCs w:val="21"/>
              </w:rPr>
            </w:pPr>
            <w:r>
              <w:rPr>
                <w:rFonts w:hint="eastAsia" w:ascii="宋体" w:hAnsi="宋体" w:cs="宋体"/>
                <w:bCs/>
                <w:szCs w:val="21"/>
              </w:rPr>
              <w:t>14.7</w:t>
            </w:r>
          </w:p>
        </w:tc>
        <w:tc>
          <w:tcPr>
            <w:tcW w:w="241" w:type="pct"/>
            <w:tcBorders>
              <w:tl2br w:val="nil"/>
              <w:tr2bl w:val="nil"/>
            </w:tcBorders>
            <w:vAlign w:val="center"/>
          </w:tcPr>
          <w:p w14:paraId="69BC60EC">
            <w:pPr>
              <w:autoSpaceDE w:val="0"/>
              <w:autoSpaceDN w:val="0"/>
              <w:jc w:val="center"/>
              <w:rPr>
                <w:rFonts w:hint="eastAsia" w:ascii="宋体" w:hAnsi="宋体" w:cs="宋体"/>
                <w:szCs w:val="21"/>
              </w:rPr>
            </w:pPr>
            <w:r>
              <w:rPr>
                <w:rFonts w:hint="eastAsia" w:ascii="宋体" w:hAnsi="宋体" w:cs="宋体"/>
                <w:bCs/>
                <w:szCs w:val="21"/>
              </w:rPr>
              <w:t>1.2</w:t>
            </w:r>
          </w:p>
        </w:tc>
        <w:tc>
          <w:tcPr>
            <w:tcW w:w="372" w:type="pct"/>
            <w:tcBorders>
              <w:tl2br w:val="nil"/>
              <w:tr2bl w:val="nil"/>
            </w:tcBorders>
            <w:vAlign w:val="center"/>
          </w:tcPr>
          <w:p w14:paraId="7ADF37B7">
            <w:pPr>
              <w:adjustRightInd w:val="0"/>
              <w:snapToGrid w:val="0"/>
              <w:jc w:val="center"/>
              <w:rPr>
                <w:rFonts w:hint="default" w:ascii="宋体" w:hAnsi="宋体" w:eastAsia="宋体" w:cs="宋体"/>
                <w:szCs w:val="21"/>
                <w:lang w:val="en-US" w:eastAsia="zh-CN"/>
              </w:rPr>
            </w:pPr>
            <w:r>
              <w:rPr>
                <w:rFonts w:hint="eastAsia" w:ascii="宋体" w:hAnsi="宋体" w:cs="宋体"/>
                <w:szCs w:val="21"/>
                <w:lang w:val="en-US" w:eastAsia="zh-CN"/>
              </w:rPr>
              <w:t>16</w:t>
            </w:r>
          </w:p>
        </w:tc>
        <w:tc>
          <w:tcPr>
            <w:tcW w:w="380" w:type="pct"/>
            <w:tcBorders>
              <w:tl2br w:val="nil"/>
              <w:tr2bl w:val="nil"/>
            </w:tcBorders>
            <w:vAlign w:val="center"/>
          </w:tcPr>
          <w:p w14:paraId="60695C97">
            <w:pPr>
              <w:adjustRightInd w:val="0"/>
              <w:snapToGrid w:val="0"/>
              <w:jc w:val="center"/>
              <w:rPr>
                <w:rFonts w:hint="eastAsia" w:ascii="宋体" w:hAnsi="宋体" w:cs="宋体"/>
                <w:szCs w:val="21"/>
              </w:rPr>
            </w:pPr>
            <w:r>
              <w:rPr>
                <w:rFonts w:hint="eastAsia" w:ascii="宋体" w:hAnsi="宋体" w:cs="宋体"/>
                <w:szCs w:val="21"/>
              </w:rPr>
              <w:t>70</w:t>
            </w:r>
          </w:p>
        </w:tc>
        <w:tc>
          <w:tcPr>
            <w:tcW w:w="363" w:type="pct"/>
            <w:vMerge w:val="continue"/>
            <w:tcBorders>
              <w:tl2br w:val="nil"/>
              <w:tr2bl w:val="nil"/>
            </w:tcBorders>
            <w:vAlign w:val="center"/>
          </w:tcPr>
          <w:p w14:paraId="45120976">
            <w:pPr>
              <w:adjustRightInd w:val="0"/>
              <w:snapToGrid w:val="0"/>
              <w:jc w:val="center"/>
              <w:rPr>
                <w:rFonts w:hint="eastAsia" w:ascii="宋体" w:hAnsi="宋体" w:cs="宋体"/>
                <w:szCs w:val="21"/>
              </w:rPr>
            </w:pPr>
          </w:p>
        </w:tc>
        <w:tc>
          <w:tcPr>
            <w:tcW w:w="406" w:type="pct"/>
            <w:tcBorders>
              <w:tl2br w:val="nil"/>
              <w:tr2bl w:val="nil"/>
            </w:tcBorders>
            <w:vAlign w:val="center"/>
          </w:tcPr>
          <w:p w14:paraId="6001D054">
            <w:pPr>
              <w:adjustRightInd w:val="0"/>
              <w:snapToGrid w:val="0"/>
              <w:jc w:val="center"/>
              <w:rPr>
                <w:rFonts w:hint="eastAsia" w:ascii="宋体" w:hAnsi="宋体" w:cs="宋体"/>
                <w:szCs w:val="21"/>
              </w:rPr>
            </w:pPr>
            <w:r>
              <w:rPr>
                <w:rFonts w:hint="eastAsia" w:ascii="宋体" w:hAnsi="宋体" w:cs="宋体"/>
                <w:szCs w:val="21"/>
              </w:rPr>
              <w:t>15</w:t>
            </w:r>
          </w:p>
        </w:tc>
        <w:tc>
          <w:tcPr>
            <w:tcW w:w="428" w:type="pct"/>
            <w:tcBorders>
              <w:tl2br w:val="nil"/>
              <w:tr2bl w:val="nil"/>
            </w:tcBorders>
            <w:vAlign w:val="center"/>
          </w:tcPr>
          <w:p w14:paraId="40A205E6">
            <w:pPr>
              <w:adjustRightInd w:val="0"/>
              <w:snapToGrid w:val="0"/>
              <w:jc w:val="center"/>
              <w:rPr>
                <w:rFonts w:hint="eastAsia" w:ascii="宋体" w:hAnsi="宋体" w:cs="宋体"/>
                <w:szCs w:val="21"/>
              </w:rPr>
            </w:pPr>
            <w:r>
              <w:rPr>
                <w:rFonts w:hint="eastAsia" w:ascii="宋体" w:hAnsi="宋体" w:cs="宋体"/>
                <w:szCs w:val="21"/>
              </w:rPr>
              <w:t>55</w:t>
            </w:r>
          </w:p>
        </w:tc>
        <w:tc>
          <w:tcPr>
            <w:tcW w:w="371" w:type="pct"/>
            <w:tcBorders>
              <w:tl2br w:val="nil"/>
              <w:tr2bl w:val="nil"/>
            </w:tcBorders>
            <w:vAlign w:val="center"/>
          </w:tcPr>
          <w:p w14:paraId="22C92B2A">
            <w:pPr>
              <w:adjustRightInd w:val="0"/>
              <w:snapToGrid w:val="0"/>
              <w:jc w:val="center"/>
              <w:rPr>
                <w:rFonts w:hint="eastAsia" w:ascii="宋体" w:hAnsi="宋体" w:cs="宋体"/>
                <w:szCs w:val="21"/>
              </w:rPr>
            </w:pPr>
            <w:r>
              <w:rPr>
                <w:rFonts w:hint="eastAsia" w:ascii="宋体" w:hAnsi="宋体" w:cs="宋体"/>
                <w:szCs w:val="21"/>
              </w:rPr>
              <w:t>1</w:t>
            </w:r>
          </w:p>
        </w:tc>
      </w:tr>
      <w:tr w14:paraId="3E8BE927">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8" w:space="0"/>
          </w:tblBorders>
          <w:tblCellMar>
            <w:top w:w="0" w:type="dxa"/>
            <w:left w:w="0" w:type="dxa"/>
            <w:bottom w:w="0" w:type="dxa"/>
            <w:right w:w="0" w:type="dxa"/>
          </w:tblCellMar>
        </w:tblPrEx>
        <w:trPr>
          <w:trHeight w:val="375" w:hRule="atLeast"/>
          <w:jc w:val="center"/>
        </w:trPr>
        <w:tc>
          <w:tcPr>
            <w:tcW w:w="234" w:type="pct"/>
            <w:vMerge w:val="continue"/>
            <w:tcBorders>
              <w:tl2br w:val="nil"/>
              <w:tr2bl w:val="nil"/>
            </w:tcBorders>
            <w:vAlign w:val="center"/>
          </w:tcPr>
          <w:p w14:paraId="2CAE8462">
            <w:pPr>
              <w:adjustRightInd w:val="0"/>
              <w:snapToGrid w:val="0"/>
              <w:jc w:val="center"/>
              <w:rPr>
                <w:rFonts w:hint="eastAsia" w:ascii="宋体" w:hAnsi="宋体" w:cs="宋体"/>
                <w:szCs w:val="21"/>
              </w:rPr>
            </w:pPr>
          </w:p>
        </w:tc>
        <w:tc>
          <w:tcPr>
            <w:tcW w:w="404" w:type="pct"/>
            <w:tcBorders>
              <w:tl2br w:val="nil"/>
              <w:tr2bl w:val="nil"/>
            </w:tcBorders>
            <w:vAlign w:val="center"/>
          </w:tcPr>
          <w:p w14:paraId="3E19774C">
            <w:pPr>
              <w:snapToGrid w:val="0"/>
              <w:jc w:val="center"/>
              <w:rPr>
                <w:bCs/>
                <w:color w:val="000000"/>
                <w:szCs w:val="21"/>
              </w:rPr>
            </w:pPr>
            <w:r>
              <w:rPr>
                <w:rFonts w:hint="eastAsia"/>
                <w:color w:val="000000"/>
              </w:rPr>
              <w:t>切粒机</w:t>
            </w:r>
          </w:p>
        </w:tc>
        <w:tc>
          <w:tcPr>
            <w:tcW w:w="466" w:type="pct"/>
            <w:tcBorders>
              <w:right w:val="single" w:color="auto" w:sz="4" w:space="0"/>
              <w:tl2br w:val="nil"/>
              <w:tr2bl w:val="nil"/>
            </w:tcBorders>
            <w:vAlign w:val="center"/>
          </w:tcPr>
          <w:p w14:paraId="72027453">
            <w:pPr>
              <w:adjustRightInd w:val="0"/>
              <w:snapToGrid w:val="0"/>
              <w:jc w:val="center"/>
              <w:rPr>
                <w:rFonts w:hint="default" w:ascii="宋体" w:hAnsi="宋体" w:eastAsia="宋体" w:cs="宋体"/>
                <w:szCs w:val="21"/>
                <w:lang w:val="en-US" w:eastAsia="zh-CN"/>
              </w:rPr>
            </w:pPr>
            <w:r>
              <w:rPr>
                <w:rFonts w:hint="eastAsia" w:ascii="宋体" w:hAnsi="宋体" w:cs="宋体"/>
                <w:szCs w:val="21"/>
                <w:lang w:val="en-US" w:eastAsia="zh-CN"/>
              </w:rPr>
              <w:t>1</w:t>
            </w:r>
          </w:p>
        </w:tc>
        <w:tc>
          <w:tcPr>
            <w:tcW w:w="330" w:type="pct"/>
            <w:tcBorders>
              <w:left w:val="single" w:color="auto" w:sz="4" w:space="0"/>
              <w:tl2br w:val="nil"/>
              <w:tr2bl w:val="nil"/>
            </w:tcBorders>
            <w:shd w:val="clear" w:color="auto" w:fill="auto"/>
            <w:vAlign w:val="center"/>
          </w:tcPr>
          <w:p w14:paraId="123F8F84">
            <w:pPr>
              <w:adjustRightInd w:val="0"/>
              <w:snapToGrid w:val="0"/>
              <w:jc w:val="center"/>
              <w:rPr>
                <w:rFonts w:hint="eastAsia" w:ascii="宋体" w:hAnsi="宋体" w:eastAsia="宋体" w:cs="宋体"/>
                <w:kern w:val="2"/>
                <w:sz w:val="21"/>
                <w:szCs w:val="21"/>
                <w:lang w:val="en-US" w:eastAsia="zh-CN" w:bidi="ar-SA"/>
              </w:rPr>
            </w:pPr>
            <w:r>
              <w:rPr>
                <w:rFonts w:hint="eastAsia" w:ascii="宋体" w:hAnsi="宋体" w:cs="宋体"/>
                <w:szCs w:val="21"/>
                <w:lang w:val="en-US" w:eastAsia="zh-CN"/>
              </w:rPr>
              <w:t>70</w:t>
            </w:r>
          </w:p>
        </w:tc>
        <w:tc>
          <w:tcPr>
            <w:tcW w:w="441" w:type="pct"/>
            <w:vMerge w:val="continue"/>
            <w:tcBorders>
              <w:tl2br w:val="nil"/>
              <w:tr2bl w:val="nil"/>
            </w:tcBorders>
            <w:vAlign w:val="center"/>
          </w:tcPr>
          <w:p w14:paraId="7A70E387">
            <w:pPr>
              <w:adjustRightInd w:val="0"/>
              <w:snapToGrid w:val="0"/>
              <w:jc w:val="center"/>
              <w:rPr>
                <w:rFonts w:hint="eastAsia" w:ascii="宋体" w:hAnsi="宋体" w:cs="宋体"/>
                <w:szCs w:val="21"/>
              </w:rPr>
            </w:pPr>
          </w:p>
        </w:tc>
        <w:tc>
          <w:tcPr>
            <w:tcW w:w="279" w:type="pct"/>
            <w:tcBorders>
              <w:tl2br w:val="nil"/>
              <w:tr2bl w:val="nil"/>
            </w:tcBorders>
            <w:vAlign w:val="center"/>
          </w:tcPr>
          <w:p w14:paraId="185E4642">
            <w:pPr>
              <w:autoSpaceDE w:val="0"/>
              <w:autoSpaceDN w:val="0"/>
              <w:jc w:val="center"/>
              <w:rPr>
                <w:rFonts w:hint="eastAsia" w:ascii="宋体" w:hAnsi="宋体" w:cs="宋体"/>
                <w:szCs w:val="21"/>
              </w:rPr>
            </w:pPr>
            <w:r>
              <w:rPr>
                <w:rFonts w:hint="eastAsia" w:ascii="宋体" w:hAnsi="宋体" w:cs="宋体"/>
                <w:bCs/>
                <w:szCs w:val="21"/>
              </w:rPr>
              <w:t>-33.1</w:t>
            </w:r>
          </w:p>
        </w:tc>
        <w:tc>
          <w:tcPr>
            <w:tcW w:w="279" w:type="pct"/>
            <w:tcBorders>
              <w:tl2br w:val="nil"/>
              <w:tr2bl w:val="nil"/>
            </w:tcBorders>
            <w:vAlign w:val="center"/>
          </w:tcPr>
          <w:p w14:paraId="73BA1290">
            <w:pPr>
              <w:autoSpaceDE w:val="0"/>
              <w:autoSpaceDN w:val="0"/>
              <w:jc w:val="center"/>
              <w:rPr>
                <w:rFonts w:hint="eastAsia" w:ascii="宋体" w:hAnsi="宋体" w:cs="宋体"/>
                <w:szCs w:val="21"/>
              </w:rPr>
            </w:pPr>
            <w:r>
              <w:rPr>
                <w:rFonts w:hint="eastAsia" w:ascii="宋体" w:hAnsi="宋体" w:cs="宋体"/>
                <w:bCs/>
                <w:szCs w:val="21"/>
              </w:rPr>
              <w:t>-41.4</w:t>
            </w:r>
          </w:p>
        </w:tc>
        <w:tc>
          <w:tcPr>
            <w:tcW w:w="241" w:type="pct"/>
            <w:tcBorders>
              <w:tl2br w:val="nil"/>
              <w:tr2bl w:val="nil"/>
            </w:tcBorders>
            <w:vAlign w:val="center"/>
          </w:tcPr>
          <w:p w14:paraId="44670E2E">
            <w:pPr>
              <w:autoSpaceDE w:val="0"/>
              <w:autoSpaceDN w:val="0"/>
              <w:jc w:val="center"/>
              <w:rPr>
                <w:rFonts w:hint="eastAsia" w:ascii="宋体" w:hAnsi="宋体" w:cs="宋体"/>
                <w:szCs w:val="21"/>
              </w:rPr>
            </w:pPr>
            <w:r>
              <w:rPr>
                <w:rFonts w:hint="eastAsia" w:ascii="宋体" w:hAnsi="宋体" w:cs="宋体"/>
                <w:bCs/>
                <w:szCs w:val="21"/>
              </w:rPr>
              <w:t>1.2</w:t>
            </w:r>
          </w:p>
        </w:tc>
        <w:tc>
          <w:tcPr>
            <w:tcW w:w="372" w:type="pct"/>
            <w:tcBorders>
              <w:tl2br w:val="nil"/>
              <w:tr2bl w:val="nil"/>
            </w:tcBorders>
            <w:vAlign w:val="center"/>
          </w:tcPr>
          <w:p w14:paraId="4097DBE5">
            <w:pPr>
              <w:adjustRightInd w:val="0"/>
              <w:snapToGrid w:val="0"/>
              <w:jc w:val="center"/>
              <w:rPr>
                <w:rFonts w:hint="default" w:ascii="宋体" w:hAnsi="宋体" w:eastAsia="宋体" w:cs="宋体"/>
                <w:szCs w:val="21"/>
                <w:lang w:val="en-US" w:eastAsia="zh-CN"/>
              </w:rPr>
            </w:pPr>
            <w:r>
              <w:rPr>
                <w:rFonts w:hint="eastAsia" w:ascii="宋体" w:hAnsi="宋体" w:cs="宋体"/>
                <w:szCs w:val="21"/>
                <w:lang w:val="en-US" w:eastAsia="zh-CN"/>
              </w:rPr>
              <w:t>14</w:t>
            </w:r>
          </w:p>
        </w:tc>
        <w:tc>
          <w:tcPr>
            <w:tcW w:w="380" w:type="pct"/>
            <w:tcBorders>
              <w:tl2br w:val="nil"/>
              <w:tr2bl w:val="nil"/>
            </w:tcBorders>
            <w:vAlign w:val="center"/>
          </w:tcPr>
          <w:p w14:paraId="1CDBAA39">
            <w:pPr>
              <w:adjustRightInd w:val="0"/>
              <w:snapToGrid w:val="0"/>
              <w:jc w:val="center"/>
              <w:rPr>
                <w:rFonts w:hint="eastAsia" w:ascii="宋体" w:hAnsi="宋体" w:cs="宋体"/>
                <w:szCs w:val="21"/>
              </w:rPr>
            </w:pPr>
            <w:r>
              <w:rPr>
                <w:rFonts w:hint="eastAsia" w:ascii="宋体" w:hAnsi="宋体" w:cs="宋体"/>
                <w:szCs w:val="21"/>
              </w:rPr>
              <w:t>70</w:t>
            </w:r>
          </w:p>
        </w:tc>
        <w:tc>
          <w:tcPr>
            <w:tcW w:w="363" w:type="pct"/>
            <w:vMerge w:val="continue"/>
            <w:tcBorders>
              <w:tl2br w:val="nil"/>
              <w:tr2bl w:val="nil"/>
            </w:tcBorders>
            <w:vAlign w:val="center"/>
          </w:tcPr>
          <w:p w14:paraId="321E11DE">
            <w:pPr>
              <w:adjustRightInd w:val="0"/>
              <w:snapToGrid w:val="0"/>
              <w:jc w:val="center"/>
              <w:rPr>
                <w:rFonts w:hint="eastAsia" w:ascii="宋体" w:hAnsi="宋体" w:cs="宋体"/>
                <w:szCs w:val="21"/>
              </w:rPr>
            </w:pPr>
          </w:p>
        </w:tc>
        <w:tc>
          <w:tcPr>
            <w:tcW w:w="406" w:type="pct"/>
            <w:tcBorders>
              <w:tl2br w:val="nil"/>
              <w:tr2bl w:val="nil"/>
            </w:tcBorders>
            <w:vAlign w:val="center"/>
          </w:tcPr>
          <w:p w14:paraId="46A03E3A">
            <w:pPr>
              <w:adjustRightInd w:val="0"/>
              <w:snapToGrid w:val="0"/>
              <w:jc w:val="center"/>
              <w:rPr>
                <w:rFonts w:hint="eastAsia" w:ascii="宋体" w:hAnsi="宋体" w:cs="宋体"/>
                <w:szCs w:val="21"/>
              </w:rPr>
            </w:pPr>
            <w:r>
              <w:rPr>
                <w:rFonts w:hint="eastAsia" w:ascii="宋体" w:hAnsi="宋体" w:cs="宋体"/>
                <w:szCs w:val="21"/>
              </w:rPr>
              <w:t>15</w:t>
            </w:r>
          </w:p>
        </w:tc>
        <w:tc>
          <w:tcPr>
            <w:tcW w:w="428" w:type="pct"/>
            <w:tcBorders>
              <w:tl2br w:val="nil"/>
              <w:tr2bl w:val="nil"/>
            </w:tcBorders>
            <w:vAlign w:val="center"/>
          </w:tcPr>
          <w:p w14:paraId="0C8002FA">
            <w:pPr>
              <w:adjustRightInd w:val="0"/>
              <w:snapToGrid w:val="0"/>
              <w:jc w:val="center"/>
              <w:rPr>
                <w:rFonts w:hint="eastAsia" w:ascii="宋体" w:hAnsi="宋体" w:cs="宋体"/>
                <w:szCs w:val="21"/>
              </w:rPr>
            </w:pPr>
            <w:r>
              <w:rPr>
                <w:rFonts w:hint="eastAsia" w:ascii="宋体" w:hAnsi="宋体" w:cs="宋体"/>
                <w:szCs w:val="21"/>
              </w:rPr>
              <w:t>55</w:t>
            </w:r>
          </w:p>
        </w:tc>
        <w:tc>
          <w:tcPr>
            <w:tcW w:w="371" w:type="pct"/>
            <w:tcBorders>
              <w:tl2br w:val="nil"/>
              <w:tr2bl w:val="nil"/>
            </w:tcBorders>
            <w:vAlign w:val="center"/>
          </w:tcPr>
          <w:p w14:paraId="25FEE45F">
            <w:pPr>
              <w:adjustRightInd w:val="0"/>
              <w:snapToGrid w:val="0"/>
              <w:jc w:val="center"/>
              <w:rPr>
                <w:rFonts w:hint="eastAsia" w:ascii="宋体" w:hAnsi="宋体" w:cs="宋体"/>
                <w:szCs w:val="21"/>
              </w:rPr>
            </w:pPr>
            <w:r>
              <w:rPr>
                <w:rFonts w:hint="eastAsia" w:ascii="宋体" w:hAnsi="宋体" w:cs="宋体"/>
                <w:szCs w:val="21"/>
              </w:rPr>
              <w:t>1</w:t>
            </w:r>
          </w:p>
        </w:tc>
      </w:tr>
      <w:tr w14:paraId="09565055">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8" w:space="0"/>
          </w:tblBorders>
          <w:tblCellMar>
            <w:top w:w="0" w:type="dxa"/>
            <w:left w:w="0" w:type="dxa"/>
            <w:bottom w:w="0" w:type="dxa"/>
            <w:right w:w="0" w:type="dxa"/>
          </w:tblCellMar>
        </w:tblPrEx>
        <w:trPr>
          <w:trHeight w:val="360" w:hRule="atLeast"/>
          <w:jc w:val="center"/>
        </w:trPr>
        <w:tc>
          <w:tcPr>
            <w:tcW w:w="234" w:type="pct"/>
            <w:vMerge w:val="continue"/>
            <w:tcBorders>
              <w:tl2br w:val="nil"/>
              <w:tr2bl w:val="nil"/>
            </w:tcBorders>
            <w:vAlign w:val="center"/>
          </w:tcPr>
          <w:p w14:paraId="187C5270">
            <w:pPr>
              <w:adjustRightInd w:val="0"/>
              <w:snapToGrid w:val="0"/>
              <w:jc w:val="center"/>
              <w:rPr>
                <w:rFonts w:hint="eastAsia" w:ascii="宋体" w:hAnsi="宋体" w:cs="宋体"/>
                <w:szCs w:val="21"/>
              </w:rPr>
            </w:pPr>
          </w:p>
        </w:tc>
        <w:tc>
          <w:tcPr>
            <w:tcW w:w="404" w:type="pct"/>
            <w:tcBorders>
              <w:tl2br w:val="nil"/>
              <w:tr2bl w:val="nil"/>
            </w:tcBorders>
            <w:vAlign w:val="center"/>
          </w:tcPr>
          <w:p w14:paraId="74736149">
            <w:pPr>
              <w:snapToGrid w:val="0"/>
              <w:jc w:val="center"/>
              <w:rPr>
                <w:color w:val="000000"/>
              </w:rPr>
            </w:pPr>
            <w:r>
              <w:rPr>
                <w:rFonts w:hint="eastAsia"/>
                <w:color w:val="000000"/>
              </w:rPr>
              <w:t>打包机</w:t>
            </w:r>
          </w:p>
        </w:tc>
        <w:tc>
          <w:tcPr>
            <w:tcW w:w="466" w:type="pct"/>
            <w:tcBorders>
              <w:right w:val="single" w:color="auto" w:sz="4" w:space="0"/>
              <w:tl2br w:val="nil"/>
              <w:tr2bl w:val="nil"/>
            </w:tcBorders>
            <w:vAlign w:val="center"/>
          </w:tcPr>
          <w:p w14:paraId="09681C1E">
            <w:pPr>
              <w:adjustRightInd w:val="0"/>
              <w:snapToGrid w:val="0"/>
              <w:jc w:val="center"/>
              <w:rPr>
                <w:rFonts w:hint="default" w:ascii="宋体" w:hAnsi="宋体" w:eastAsia="宋体" w:cs="宋体"/>
                <w:szCs w:val="21"/>
                <w:lang w:val="en-US" w:eastAsia="zh-CN"/>
              </w:rPr>
            </w:pPr>
            <w:r>
              <w:rPr>
                <w:rFonts w:hint="eastAsia" w:ascii="宋体" w:hAnsi="宋体" w:cs="宋体"/>
                <w:szCs w:val="21"/>
                <w:lang w:val="en-US" w:eastAsia="zh-CN"/>
              </w:rPr>
              <w:t>1</w:t>
            </w:r>
          </w:p>
        </w:tc>
        <w:tc>
          <w:tcPr>
            <w:tcW w:w="330" w:type="pct"/>
            <w:tcBorders>
              <w:left w:val="single" w:color="auto" w:sz="4" w:space="0"/>
              <w:tl2br w:val="nil"/>
              <w:tr2bl w:val="nil"/>
            </w:tcBorders>
            <w:shd w:val="clear" w:color="auto" w:fill="auto"/>
            <w:vAlign w:val="center"/>
          </w:tcPr>
          <w:p w14:paraId="1AF548BF">
            <w:pPr>
              <w:adjustRightInd w:val="0"/>
              <w:snapToGrid w:val="0"/>
              <w:jc w:val="center"/>
              <w:rPr>
                <w:rFonts w:hint="eastAsia" w:ascii="宋体" w:hAnsi="宋体" w:eastAsia="宋体" w:cs="宋体"/>
                <w:kern w:val="2"/>
                <w:sz w:val="21"/>
                <w:szCs w:val="21"/>
                <w:lang w:val="en-US" w:eastAsia="zh-CN" w:bidi="ar-SA"/>
              </w:rPr>
            </w:pPr>
            <w:r>
              <w:rPr>
                <w:rFonts w:hint="eastAsia" w:ascii="宋体" w:hAnsi="宋体" w:cs="宋体"/>
                <w:szCs w:val="21"/>
                <w:lang w:val="en-US" w:eastAsia="zh-CN"/>
              </w:rPr>
              <w:t>65</w:t>
            </w:r>
          </w:p>
        </w:tc>
        <w:tc>
          <w:tcPr>
            <w:tcW w:w="441" w:type="pct"/>
            <w:vMerge w:val="continue"/>
            <w:tcBorders>
              <w:tl2br w:val="nil"/>
              <w:tr2bl w:val="nil"/>
            </w:tcBorders>
            <w:vAlign w:val="center"/>
          </w:tcPr>
          <w:p w14:paraId="021F7B6A">
            <w:pPr>
              <w:adjustRightInd w:val="0"/>
              <w:snapToGrid w:val="0"/>
              <w:jc w:val="center"/>
              <w:rPr>
                <w:rFonts w:hint="eastAsia" w:ascii="宋体" w:hAnsi="宋体" w:cs="宋体"/>
                <w:szCs w:val="21"/>
              </w:rPr>
            </w:pPr>
          </w:p>
        </w:tc>
        <w:tc>
          <w:tcPr>
            <w:tcW w:w="279" w:type="pct"/>
            <w:tcBorders>
              <w:tl2br w:val="nil"/>
              <w:tr2bl w:val="nil"/>
            </w:tcBorders>
            <w:vAlign w:val="center"/>
          </w:tcPr>
          <w:p w14:paraId="21C5D3D3">
            <w:pPr>
              <w:autoSpaceDE w:val="0"/>
              <w:autoSpaceDN w:val="0"/>
              <w:jc w:val="center"/>
              <w:rPr>
                <w:rFonts w:hint="eastAsia" w:ascii="宋体" w:hAnsi="宋体" w:cs="宋体"/>
                <w:szCs w:val="21"/>
              </w:rPr>
            </w:pPr>
            <w:r>
              <w:rPr>
                <w:rFonts w:hint="eastAsia" w:ascii="宋体" w:hAnsi="宋体" w:cs="宋体"/>
                <w:bCs/>
                <w:szCs w:val="21"/>
              </w:rPr>
              <w:t>-16</w:t>
            </w:r>
          </w:p>
        </w:tc>
        <w:tc>
          <w:tcPr>
            <w:tcW w:w="279" w:type="pct"/>
            <w:tcBorders>
              <w:tl2br w:val="nil"/>
              <w:tr2bl w:val="nil"/>
            </w:tcBorders>
            <w:vAlign w:val="center"/>
          </w:tcPr>
          <w:p w14:paraId="3D5C08B7">
            <w:pPr>
              <w:autoSpaceDE w:val="0"/>
              <w:autoSpaceDN w:val="0"/>
              <w:jc w:val="center"/>
              <w:rPr>
                <w:rFonts w:hint="eastAsia" w:ascii="宋体" w:hAnsi="宋体" w:cs="宋体"/>
                <w:szCs w:val="21"/>
              </w:rPr>
            </w:pPr>
            <w:r>
              <w:rPr>
                <w:rFonts w:hint="eastAsia" w:ascii="宋体" w:hAnsi="宋体" w:cs="宋体"/>
                <w:bCs/>
                <w:szCs w:val="21"/>
              </w:rPr>
              <w:t>15.1</w:t>
            </w:r>
          </w:p>
        </w:tc>
        <w:tc>
          <w:tcPr>
            <w:tcW w:w="241" w:type="pct"/>
            <w:tcBorders>
              <w:tl2br w:val="nil"/>
              <w:tr2bl w:val="nil"/>
            </w:tcBorders>
            <w:vAlign w:val="center"/>
          </w:tcPr>
          <w:p w14:paraId="0EC71DC3">
            <w:pPr>
              <w:autoSpaceDE w:val="0"/>
              <w:autoSpaceDN w:val="0"/>
              <w:jc w:val="center"/>
              <w:rPr>
                <w:rFonts w:hint="eastAsia" w:ascii="宋体" w:hAnsi="宋体" w:cs="宋体"/>
                <w:szCs w:val="21"/>
              </w:rPr>
            </w:pPr>
            <w:r>
              <w:rPr>
                <w:rFonts w:hint="eastAsia" w:ascii="宋体" w:hAnsi="宋体" w:cs="宋体"/>
                <w:bCs/>
                <w:szCs w:val="21"/>
              </w:rPr>
              <w:t>1.2</w:t>
            </w:r>
          </w:p>
        </w:tc>
        <w:tc>
          <w:tcPr>
            <w:tcW w:w="372" w:type="pct"/>
            <w:tcBorders>
              <w:tl2br w:val="nil"/>
              <w:tr2bl w:val="nil"/>
            </w:tcBorders>
            <w:vAlign w:val="center"/>
          </w:tcPr>
          <w:p w14:paraId="07CD8E0C">
            <w:pPr>
              <w:adjustRightInd w:val="0"/>
              <w:snapToGrid w:val="0"/>
              <w:jc w:val="center"/>
              <w:rPr>
                <w:rFonts w:hint="default" w:ascii="宋体" w:hAnsi="宋体" w:eastAsia="宋体" w:cs="宋体"/>
                <w:szCs w:val="21"/>
                <w:lang w:val="en-US" w:eastAsia="zh-CN"/>
              </w:rPr>
            </w:pPr>
            <w:r>
              <w:rPr>
                <w:rFonts w:hint="eastAsia" w:ascii="宋体" w:hAnsi="宋体" w:cs="宋体"/>
                <w:szCs w:val="21"/>
                <w:lang w:val="en-US" w:eastAsia="zh-CN"/>
              </w:rPr>
              <w:t>15</w:t>
            </w:r>
          </w:p>
        </w:tc>
        <w:tc>
          <w:tcPr>
            <w:tcW w:w="380" w:type="pct"/>
            <w:tcBorders>
              <w:tl2br w:val="nil"/>
              <w:tr2bl w:val="nil"/>
            </w:tcBorders>
            <w:vAlign w:val="center"/>
          </w:tcPr>
          <w:p w14:paraId="73CF0B6B">
            <w:pPr>
              <w:adjustRightInd w:val="0"/>
              <w:snapToGrid w:val="0"/>
              <w:jc w:val="center"/>
              <w:rPr>
                <w:rFonts w:hint="eastAsia" w:ascii="宋体" w:hAnsi="宋体" w:cs="宋体"/>
                <w:szCs w:val="21"/>
              </w:rPr>
            </w:pPr>
            <w:r>
              <w:rPr>
                <w:rFonts w:hint="eastAsia" w:ascii="宋体" w:hAnsi="宋体" w:cs="宋体"/>
                <w:szCs w:val="21"/>
              </w:rPr>
              <w:t>65</w:t>
            </w:r>
          </w:p>
        </w:tc>
        <w:tc>
          <w:tcPr>
            <w:tcW w:w="363" w:type="pct"/>
            <w:tcBorders>
              <w:tl2br w:val="nil"/>
              <w:tr2bl w:val="nil"/>
            </w:tcBorders>
            <w:vAlign w:val="center"/>
          </w:tcPr>
          <w:p w14:paraId="68F5F663">
            <w:pPr>
              <w:adjustRightInd w:val="0"/>
              <w:snapToGrid w:val="0"/>
              <w:jc w:val="center"/>
              <w:rPr>
                <w:rFonts w:hint="eastAsia" w:ascii="宋体" w:hAnsi="宋体" w:cs="宋体"/>
                <w:szCs w:val="21"/>
              </w:rPr>
            </w:pPr>
            <w:r>
              <w:rPr>
                <w:rFonts w:hint="eastAsia" w:ascii="宋体" w:hAnsi="宋体" w:cs="宋体"/>
                <w:szCs w:val="21"/>
              </w:rPr>
              <w:t>间断</w:t>
            </w:r>
          </w:p>
        </w:tc>
        <w:tc>
          <w:tcPr>
            <w:tcW w:w="406" w:type="pct"/>
            <w:tcBorders>
              <w:tl2br w:val="nil"/>
              <w:tr2bl w:val="nil"/>
            </w:tcBorders>
            <w:vAlign w:val="center"/>
          </w:tcPr>
          <w:p w14:paraId="3EFA312C">
            <w:pPr>
              <w:adjustRightInd w:val="0"/>
              <w:snapToGrid w:val="0"/>
              <w:jc w:val="center"/>
              <w:rPr>
                <w:rFonts w:hint="eastAsia" w:ascii="宋体" w:hAnsi="宋体" w:cs="宋体"/>
                <w:szCs w:val="21"/>
              </w:rPr>
            </w:pPr>
            <w:r>
              <w:rPr>
                <w:rFonts w:hint="eastAsia" w:ascii="宋体" w:hAnsi="宋体" w:cs="宋体"/>
                <w:szCs w:val="21"/>
              </w:rPr>
              <w:t>15</w:t>
            </w:r>
          </w:p>
        </w:tc>
        <w:tc>
          <w:tcPr>
            <w:tcW w:w="428" w:type="pct"/>
            <w:tcBorders>
              <w:tl2br w:val="nil"/>
              <w:tr2bl w:val="nil"/>
            </w:tcBorders>
            <w:vAlign w:val="center"/>
          </w:tcPr>
          <w:p w14:paraId="1F3D2C78">
            <w:pPr>
              <w:adjustRightInd w:val="0"/>
              <w:snapToGrid w:val="0"/>
              <w:jc w:val="center"/>
              <w:rPr>
                <w:rFonts w:hint="eastAsia" w:ascii="宋体" w:hAnsi="宋体" w:cs="宋体"/>
                <w:szCs w:val="21"/>
              </w:rPr>
            </w:pPr>
            <w:r>
              <w:rPr>
                <w:rFonts w:hint="eastAsia" w:ascii="宋体" w:hAnsi="宋体" w:cs="宋体"/>
                <w:szCs w:val="21"/>
              </w:rPr>
              <w:t>50</w:t>
            </w:r>
          </w:p>
        </w:tc>
        <w:tc>
          <w:tcPr>
            <w:tcW w:w="371" w:type="pct"/>
            <w:tcBorders>
              <w:tl2br w:val="nil"/>
              <w:tr2bl w:val="nil"/>
            </w:tcBorders>
            <w:vAlign w:val="center"/>
          </w:tcPr>
          <w:p w14:paraId="08DFB603">
            <w:pPr>
              <w:adjustRightInd w:val="0"/>
              <w:snapToGrid w:val="0"/>
              <w:jc w:val="center"/>
              <w:rPr>
                <w:rFonts w:hint="eastAsia" w:ascii="宋体" w:hAnsi="宋体" w:cs="宋体"/>
                <w:szCs w:val="21"/>
              </w:rPr>
            </w:pPr>
            <w:r>
              <w:rPr>
                <w:rFonts w:hint="eastAsia" w:ascii="宋体" w:hAnsi="宋体" w:cs="宋体"/>
                <w:szCs w:val="21"/>
              </w:rPr>
              <w:t>1</w:t>
            </w:r>
          </w:p>
        </w:tc>
      </w:tr>
    </w:tbl>
    <w:p w14:paraId="4F548C0B">
      <w:pPr>
        <w:pStyle w:val="5"/>
        <w:rPr>
          <w:rFonts w:ascii="Times New Roman" w:hAnsi="Times New Roman"/>
          <w:color w:val="000000"/>
          <w:lang w:val="en-US"/>
        </w:rPr>
      </w:pPr>
      <w:r>
        <w:rPr>
          <w:rFonts w:hint="eastAsia" w:ascii="Times New Roman" w:hAnsi="Times New Roman"/>
          <w:color w:val="000000"/>
          <w:lang w:val="en-US"/>
        </w:rPr>
        <w:t>3.4.2.4固废污染源分析</w:t>
      </w:r>
    </w:p>
    <w:p w14:paraId="798D608D">
      <w:pPr>
        <w:tabs>
          <w:tab w:val="left" w:pos="4691"/>
        </w:tabs>
        <w:spacing w:line="440" w:lineRule="exact"/>
        <w:ind w:firstLine="480" w:firstLineChars="200"/>
        <w:rPr>
          <w:rFonts w:hint="eastAsia" w:ascii="宋体" w:hAnsi="宋体"/>
          <w:color w:val="000000"/>
          <w:sz w:val="24"/>
        </w:rPr>
      </w:pPr>
      <w:r>
        <w:rPr>
          <w:rFonts w:hint="eastAsia" w:ascii="宋体" w:hAnsi="宋体"/>
          <w:color w:val="000000"/>
          <w:sz w:val="24"/>
        </w:rPr>
        <w:t>项目运营期固废分为生活垃圾、一般工业固废和危险固废</w:t>
      </w:r>
      <w:r>
        <w:rPr>
          <w:rFonts w:ascii="宋体" w:hAnsi="宋体"/>
          <w:color w:val="000000"/>
          <w:sz w:val="24"/>
        </w:rPr>
        <w:t>。</w:t>
      </w:r>
    </w:p>
    <w:p w14:paraId="3FBE0A44">
      <w:pPr>
        <w:tabs>
          <w:tab w:val="left" w:pos="4691"/>
        </w:tabs>
        <w:spacing w:line="440" w:lineRule="exact"/>
        <w:ind w:firstLine="482" w:firstLineChars="200"/>
        <w:rPr>
          <w:rFonts w:hint="eastAsia" w:ascii="宋体" w:hAnsi="宋体"/>
          <w:b/>
          <w:sz w:val="24"/>
        </w:rPr>
      </w:pPr>
      <w:r>
        <w:rPr>
          <w:rFonts w:hint="eastAsia" w:ascii="宋体" w:hAnsi="宋体"/>
          <w:b/>
          <w:sz w:val="24"/>
        </w:rPr>
        <w:t>（1）生活垃圾</w:t>
      </w:r>
    </w:p>
    <w:p w14:paraId="789CB515">
      <w:pPr>
        <w:tabs>
          <w:tab w:val="left" w:pos="4691"/>
        </w:tabs>
        <w:spacing w:line="440" w:lineRule="exact"/>
        <w:ind w:firstLine="480" w:firstLineChars="200"/>
        <w:rPr>
          <w:rFonts w:hint="eastAsia" w:ascii="宋体" w:hAnsi="宋体"/>
          <w:bCs/>
          <w:sz w:val="24"/>
        </w:rPr>
      </w:pPr>
      <w:r>
        <w:rPr>
          <w:rFonts w:hint="eastAsia" w:ascii="宋体" w:hAnsi="宋体"/>
          <w:bCs/>
          <w:sz w:val="24"/>
        </w:rPr>
        <w:t>本项目共有员工6人，年工作</w:t>
      </w:r>
      <w:r>
        <w:rPr>
          <w:rFonts w:hint="eastAsia" w:ascii="宋体" w:hAnsi="宋体"/>
          <w:bCs/>
          <w:sz w:val="24"/>
          <w:lang w:val="en-US" w:eastAsia="zh-CN"/>
        </w:rPr>
        <w:t>240</w:t>
      </w:r>
      <w:r>
        <w:rPr>
          <w:rFonts w:hint="eastAsia" w:ascii="宋体" w:hAnsi="宋体"/>
          <w:bCs/>
          <w:sz w:val="24"/>
        </w:rPr>
        <w:t>天，在厂区内吃住，生活垃圾产生量按</w:t>
      </w:r>
      <w:r>
        <w:rPr>
          <w:rFonts w:hint="eastAsia" w:ascii="宋体" w:hAnsi="宋体"/>
          <w:bCs/>
          <w:sz w:val="24"/>
          <w:lang w:val="en-US" w:eastAsia="zh-CN"/>
        </w:rPr>
        <w:t>0.5</w:t>
      </w:r>
      <w:r>
        <w:rPr>
          <w:rFonts w:hint="eastAsia" w:ascii="宋体" w:hAnsi="宋体"/>
          <w:bCs/>
          <w:sz w:val="24"/>
        </w:rPr>
        <w:t>kg/d.人计，则生活垃圾产生量约0.00</w:t>
      </w:r>
      <w:r>
        <w:rPr>
          <w:rFonts w:hint="eastAsia" w:ascii="宋体" w:hAnsi="宋体"/>
          <w:bCs/>
          <w:sz w:val="24"/>
          <w:lang w:val="en-US" w:eastAsia="zh-CN"/>
        </w:rPr>
        <w:t>3</w:t>
      </w:r>
      <w:r>
        <w:rPr>
          <w:rFonts w:hint="eastAsia" w:ascii="宋体" w:hAnsi="宋体"/>
          <w:bCs/>
          <w:sz w:val="24"/>
        </w:rPr>
        <w:t>t/d，即</w:t>
      </w:r>
      <w:r>
        <w:rPr>
          <w:rFonts w:hint="eastAsia" w:ascii="宋体" w:hAnsi="宋体"/>
          <w:bCs/>
          <w:sz w:val="24"/>
          <w:lang w:val="en-US" w:eastAsia="zh-CN"/>
        </w:rPr>
        <w:t>0.72</w:t>
      </w:r>
      <w:r>
        <w:rPr>
          <w:rFonts w:hint="eastAsia" w:ascii="宋体" w:hAnsi="宋体"/>
          <w:bCs/>
          <w:sz w:val="24"/>
        </w:rPr>
        <w:t>t/a。分类收集至垃圾桶、垃圾箱集中收集后定期交由环卫部门统一清运处理。</w:t>
      </w:r>
    </w:p>
    <w:p w14:paraId="2EDBD36D">
      <w:pPr>
        <w:tabs>
          <w:tab w:val="left" w:pos="4691"/>
        </w:tabs>
        <w:spacing w:line="440" w:lineRule="exact"/>
        <w:ind w:firstLine="482" w:firstLineChars="200"/>
        <w:rPr>
          <w:rFonts w:hint="eastAsia" w:ascii="宋体" w:hAnsi="宋体"/>
          <w:b/>
          <w:sz w:val="24"/>
        </w:rPr>
      </w:pPr>
      <w:r>
        <w:rPr>
          <w:rFonts w:hint="eastAsia" w:ascii="宋体" w:hAnsi="宋体"/>
          <w:b/>
          <w:sz w:val="24"/>
        </w:rPr>
        <w:t>（2）一般工业固废</w:t>
      </w:r>
    </w:p>
    <w:p w14:paraId="424ACC8C">
      <w:pPr>
        <w:tabs>
          <w:tab w:val="left" w:pos="4691"/>
        </w:tabs>
        <w:spacing w:line="440" w:lineRule="exact"/>
        <w:ind w:firstLine="480" w:firstLineChars="200"/>
        <w:rPr>
          <w:rFonts w:hint="eastAsia" w:ascii="宋体" w:hAnsi="宋体"/>
          <w:bCs/>
          <w:sz w:val="24"/>
        </w:rPr>
      </w:pPr>
      <w:r>
        <w:rPr>
          <w:rFonts w:hint="eastAsia" w:ascii="宋体" w:hAnsi="宋体"/>
          <w:bCs/>
          <w:sz w:val="24"/>
        </w:rPr>
        <w:t>①废过滤网</w:t>
      </w:r>
    </w:p>
    <w:p w14:paraId="2EF1D8E0">
      <w:pPr>
        <w:tabs>
          <w:tab w:val="left" w:pos="4691"/>
        </w:tabs>
        <w:spacing w:line="440" w:lineRule="exact"/>
        <w:ind w:firstLine="480" w:firstLineChars="200"/>
        <w:rPr>
          <w:rFonts w:hint="eastAsia" w:ascii="宋体" w:hAnsi="宋体"/>
          <w:bCs/>
          <w:sz w:val="24"/>
        </w:rPr>
      </w:pPr>
      <w:r>
        <w:rPr>
          <w:rFonts w:hint="eastAsia" w:ascii="宋体" w:hAnsi="宋体"/>
          <w:bCs/>
          <w:sz w:val="24"/>
        </w:rPr>
        <w:t>本项目塑料造粒、滴灌带生产线在熔融挤出工序中采用60目不锈钢过滤网对熔融状态的塑料进行过滤，使用一段时间后，过滤网将被塑料中的杂质堵塞，需定期更换过滤网，从而产生一定的废过滤网。</w:t>
      </w:r>
    </w:p>
    <w:p w14:paraId="0AF59A18">
      <w:pPr>
        <w:tabs>
          <w:tab w:val="left" w:pos="4691"/>
        </w:tabs>
        <w:spacing w:line="440" w:lineRule="exact"/>
        <w:ind w:firstLine="480" w:firstLineChars="200"/>
        <w:rPr>
          <w:rFonts w:hint="eastAsia" w:ascii="宋体" w:hAnsi="宋体"/>
          <w:bCs/>
          <w:sz w:val="24"/>
        </w:rPr>
      </w:pPr>
      <w:r>
        <w:rPr>
          <w:rFonts w:hint="eastAsia" w:ascii="宋体" w:hAnsi="宋体"/>
          <w:bCs/>
          <w:sz w:val="24"/>
        </w:rPr>
        <w:t>本项目过滤网每季度更换一次，</w:t>
      </w:r>
      <w:r>
        <w:rPr>
          <w:rFonts w:ascii="宋体" w:hAnsi="宋体" w:eastAsia="宋体" w:cs="宋体"/>
          <w:sz w:val="24"/>
          <w:szCs w:val="24"/>
        </w:rPr>
        <w:t>根据该类措施设计运行数据，</w:t>
      </w:r>
      <w:r>
        <w:rPr>
          <w:rFonts w:hint="eastAsia" w:ascii="宋体" w:hAnsi="宋体"/>
          <w:bCs/>
          <w:sz w:val="24"/>
        </w:rPr>
        <w:t>每次更换量约为60kg，则本项目塑料造粒废过滤网产生量约为0.</w:t>
      </w:r>
      <w:r>
        <w:rPr>
          <w:rFonts w:hint="eastAsia" w:ascii="宋体" w:hAnsi="宋体"/>
          <w:bCs/>
          <w:sz w:val="24"/>
          <w:lang w:val="en-US" w:eastAsia="zh-CN"/>
        </w:rPr>
        <w:t>2</w:t>
      </w:r>
      <w:r>
        <w:rPr>
          <w:rFonts w:hint="eastAsia" w:ascii="宋体" w:hAnsi="宋体"/>
          <w:bCs/>
          <w:sz w:val="24"/>
        </w:rPr>
        <w:t>t/a，废过滤网外售废品收购站，不在项目区内加热焚烧。</w:t>
      </w:r>
    </w:p>
    <w:p w14:paraId="4C735757">
      <w:pPr>
        <w:tabs>
          <w:tab w:val="left" w:pos="4691"/>
        </w:tabs>
        <w:spacing w:line="440" w:lineRule="exact"/>
        <w:ind w:firstLine="480" w:firstLineChars="200"/>
        <w:rPr>
          <w:rFonts w:hint="eastAsia" w:ascii="宋体" w:hAnsi="宋体"/>
          <w:bCs/>
          <w:sz w:val="24"/>
        </w:rPr>
      </w:pPr>
      <w:r>
        <w:rPr>
          <w:rFonts w:hint="eastAsia" w:ascii="宋体" w:hAnsi="宋体"/>
          <w:bCs/>
          <w:sz w:val="24"/>
        </w:rPr>
        <w:t>根据《固体废物分类与代码目录》（公告2024年第4号），属于“SW59其他工业固体废物”固废代码为900-009-S59。</w:t>
      </w:r>
    </w:p>
    <w:p w14:paraId="4A95E96E">
      <w:pPr>
        <w:tabs>
          <w:tab w:val="left" w:pos="4691"/>
        </w:tabs>
        <w:spacing w:line="440" w:lineRule="exact"/>
        <w:ind w:firstLine="480" w:firstLineChars="200"/>
        <w:rPr>
          <w:rFonts w:hint="eastAsia" w:ascii="宋体" w:hAnsi="宋体"/>
          <w:bCs/>
          <w:sz w:val="24"/>
        </w:rPr>
      </w:pPr>
      <w:r>
        <w:rPr>
          <w:rFonts w:hint="eastAsia" w:ascii="宋体" w:hAnsi="宋体"/>
          <w:bCs/>
          <w:sz w:val="24"/>
        </w:rPr>
        <w:t>根据《废塑料加工利用污染防治管理规定》（环境保护部、发展改革委、商务部联合公告2012年第55号）“废塑料加工利用单位应当以环境无害化方式处理废塑料加工利用过程产生的残余垃圾、滤网；禁止交不符合环保要求的单位或个人处置。禁止露天焚烧废塑料及加工利用过</w:t>
      </w:r>
      <w:r>
        <w:rPr>
          <w:rFonts w:hint="eastAsia" w:ascii="宋体" w:hAnsi="宋体"/>
          <w:bCs/>
          <w:sz w:val="24"/>
          <w:lang w:eastAsia="zh-CN"/>
        </w:rPr>
        <w:t>程中</w:t>
      </w:r>
      <w:r>
        <w:rPr>
          <w:rFonts w:hint="eastAsia" w:ascii="宋体" w:hAnsi="宋体"/>
          <w:bCs/>
          <w:sz w:val="24"/>
        </w:rPr>
        <w:t>产生的残余垃圾、滤网”。此类废物为废塑料熔融废物，为一般工业废物，外售废品回收站处理。</w:t>
      </w:r>
    </w:p>
    <w:p w14:paraId="7429013E">
      <w:pPr>
        <w:pStyle w:val="38"/>
        <w:spacing w:line="440" w:lineRule="exact"/>
        <w:ind w:left="426" w:leftChars="203" w:firstLine="0"/>
      </w:pPr>
      <w:r>
        <w:rPr>
          <w:rFonts w:hint="eastAsia"/>
        </w:rPr>
        <w:t>②</w:t>
      </w:r>
      <w:r>
        <w:t>熔融废渣</w:t>
      </w:r>
    </w:p>
    <w:p w14:paraId="64219105">
      <w:pPr>
        <w:pStyle w:val="251"/>
        <w:spacing w:line="440" w:lineRule="exact"/>
      </w:pPr>
      <w:r>
        <w:t>本项目熔融过程在密闭的设备中进行，熔融过程产生的废渣粘附在过滤网上，定期从滤网上清理下来，</w:t>
      </w:r>
      <w:r>
        <w:rPr>
          <w:rFonts w:hint="eastAsia"/>
          <w:lang w:eastAsia="zh-CN"/>
        </w:rPr>
        <w:t>根据业主方提供的资料可知，</w:t>
      </w:r>
      <w:r>
        <w:t>产生量约为0.0</w:t>
      </w:r>
      <w:r>
        <w:rPr>
          <w:rFonts w:hint="eastAsia"/>
        </w:rPr>
        <w:t>3</w:t>
      </w:r>
      <w:r>
        <w:t>t/a，</w:t>
      </w:r>
      <w:r>
        <w:rPr>
          <w:rFonts w:hint="eastAsia" w:ascii="宋体" w:hAnsi="宋体"/>
          <w:bCs/>
        </w:rPr>
        <w:t>根据《固体废物分类与代码目录》，废物种类SW59，类别代码为900-003-S17，属于I类一般工业固体废物，</w:t>
      </w:r>
      <w:r>
        <w:t>在厂区暂存，定期外售给注塑厂。</w:t>
      </w:r>
    </w:p>
    <w:p w14:paraId="76C5636D">
      <w:pPr>
        <w:spacing w:line="440" w:lineRule="exact"/>
        <w:ind w:firstLine="480" w:firstLineChars="200"/>
        <w:rPr>
          <w:kern w:val="0"/>
          <w:sz w:val="24"/>
          <w:szCs w:val="24"/>
        </w:rPr>
      </w:pPr>
      <w:r>
        <w:rPr>
          <w:rFonts w:hint="eastAsia"/>
          <w:kern w:val="0"/>
          <w:sz w:val="24"/>
          <w:szCs w:val="24"/>
        </w:rPr>
        <w:t>③废催化剂</w:t>
      </w:r>
    </w:p>
    <w:p w14:paraId="0D843B0C">
      <w:pPr>
        <w:spacing w:line="440" w:lineRule="exact"/>
        <w:ind w:firstLine="480" w:firstLineChars="200"/>
        <w:rPr>
          <w:kern w:val="0"/>
          <w:sz w:val="24"/>
          <w:szCs w:val="24"/>
        </w:rPr>
      </w:pPr>
      <w:r>
        <w:rPr>
          <w:rFonts w:hint="eastAsia"/>
          <w:kern w:val="0"/>
          <w:sz w:val="24"/>
          <w:szCs w:val="24"/>
        </w:rPr>
        <w:t>本项目使用的废气治理设施催化燃烧器中主要使用的催化剂为金属铂和金属钯，装填量为0.15t，每5年需定期更换一次，对照《国家危险废物名录》（2025版），属于危险废物的废催化剂对应的行业来源为：HW50废催化剂-环境治理业-烟气脱硝过程中产生的废催化剂，非特定行业-废液体催化剂及机动车和非道路移动机械尾气净化废催化剂，因此本项目产生的废催化剂不属于危险废物，每年委托设备厂家进行更换，废催化剂由厂家回收后统一处理后再利用。</w:t>
      </w:r>
    </w:p>
    <w:p w14:paraId="24D9E4F2">
      <w:pPr>
        <w:pStyle w:val="38"/>
        <w:keepNext w:val="0"/>
        <w:keepLines w:val="0"/>
        <w:pageBreakBefore w:val="0"/>
        <w:widowControl w:val="0"/>
        <w:kinsoku/>
        <w:wordWrap/>
        <w:overflowPunct/>
        <w:topLinePunct w:val="0"/>
        <w:autoSpaceDE/>
        <w:autoSpaceDN/>
        <w:bidi w:val="0"/>
        <w:snapToGrid/>
        <w:spacing w:line="360" w:lineRule="auto"/>
        <w:ind w:left="426" w:leftChars="203" w:firstLine="0"/>
      </w:pPr>
      <w:r>
        <w:rPr>
          <w:rFonts w:hint="eastAsia"/>
        </w:rPr>
        <w:t>④</w:t>
      </w:r>
      <w:r>
        <w:t>不合格品、残次品及边角料</w:t>
      </w:r>
    </w:p>
    <w:p w14:paraId="5630EA7C">
      <w:pPr>
        <w:keepNext w:val="0"/>
        <w:keepLines w:val="0"/>
        <w:pageBreakBefore w:val="0"/>
        <w:widowControl w:val="0"/>
        <w:tabs>
          <w:tab w:val="left" w:pos="4691"/>
        </w:tabs>
        <w:kinsoku/>
        <w:wordWrap/>
        <w:overflowPunct/>
        <w:topLinePunct w:val="0"/>
        <w:autoSpaceDE/>
        <w:autoSpaceDN/>
        <w:bidi w:val="0"/>
        <w:snapToGrid/>
        <w:spacing w:line="360" w:lineRule="auto"/>
        <w:ind w:firstLine="480" w:firstLineChars="200"/>
        <w:rPr>
          <w:rFonts w:hint="eastAsia" w:ascii="宋体" w:hAnsi="宋体"/>
          <w:bCs/>
          <w:sz w:val="24"/>
        </w:rPr>
      </w:pPr>
      <w:r>
        <w:rPr>
          <w:rFonts w:hint="eastAsia" w:ascii="宋体" w:hAnsi="宋体"/>
          <w:bCs/>
          <w:sz w:val="24"/>
        </w:rPr>
        <w:t>滴灌带生产加工过程中热熔挤出、定型时会产生残次品及边角料，根据《固体废物分类与代码目录》（2024年1月19日实施），废物种类：SW59，废物代码：900-099-S59），全部集中收集后返回残次品及边角料造粒工序造粒工段。</w:t>
      </w:r>
    </w:p>
    <w:p w14:paraId="2DA07755">
      <w:pPr>
        <w:keepNext w:val="0"/>
        <w:keepLines w:val="0"/>
        <w:pageBreakBefore w:val="0"/>
        <w:widowControl w:val="0"/>
        <w:tabs>
          <w:tab w:val="left" w:pos="4691"/>
        </w:tabs>
        <w:kinsoku/>
        <w:wordWrap/>
        <w:overflowPunct/>
        <w:topLinePunct w:val="0"/>
        <w:autoSpaceDE/>
        <w:autoSpaceDN/>
        <w:bidi w:val="0"/>
        <w:snapToGrid/>
        <w:spacing w:line="360" w:lineRule="auto"/>
        <w:ind w:firstLine="480" w:firstLineChars="200"/>
        <w:rPr>
          <w:rFonts w:ascii="宋体" w:hAnsi="宋体"/>
          <w:sz w:val="24"/>
        </w:rPr>
      </w:pPr>
      <w:r>
        <w:rPr>
          <w:rFonts w:ascii="宋体" w:hAnsi="宋体"/>
          <w:bCs/>
          <w:sz w:val="24"/>
        </w:rPr>
        <w:t>生产过程中</w:t>
      </w:r>
      <w:r>
        <w:rPr>
          <w:rFonts w:hint="eastAsia" w:ascii="宋体" w:hAnsi="宋体"/>
          <w:bCs/>
          <w:sz w:val="24"/>
        </w:rPr>
        <w:t>不合格品、残次品及边角料参考“生态环境部发布的《排放源统计调查产排污核算方法和系数手册》（公告2021年第24号）中《292塑料制品行业系数手册》2921塑料薄膜制造行业系数表”，产生系数为3.0kg/吨－产品，本项目产品产量为</w:t>
      </w:r>
      <w:r>
        <w:rPr>
          <w:rFonts w:hint="eastAsia" w:ascii="宋体" w:hAnsi="宋体"/>
          <w:bCs/>
          <w:sz w:val="24"/>
          <w:lang w:eastAsia="zh-CN"/>
        </w:rPr>
        <w:t>滴灌带生产线生产滴灌带</w:t>
      </w:r>
      <w:r>
        <w:rPr>
          <w:rFonts w:hint="eastAsia" w:ascii="宋体" w:hAnsi="宋体"/>
          <w:bCs/>
          <w:sz w:val="24"/>
          <w:lang w:val="en-US" w:eastAsia="zh-CN"/>
        </w:rPr>
        <w:t>9995</w:t>
      </w:r>
      <w:r>
        <w:rPr>
          <w:rFonts w:hint="eastAsia" w:ascii="宋体" w:hAnsi="宋体"/>
          <w:bCs/>
          <w:sz w:val="24"/>
        </w:rPr>
        <w:t>t/a，则不合格品、残次品及边角料的产生量为</w:t>
      </w:r>
      <w:r>
        <w:rPr>
          <w:rFonts w:hint="eastAsia" w:ascii="宋体" w:hAnsi="宋体"/>
          <w:bCs/>
          <w:sz w:val="24"/>
          <w:lang w:val="en-US" w:eastAsia="zh-CN"/>
        </w:rPr>
        <w:t>29.985</w:t>
      </w:r>
      <w:r>
        <w:rPr>
          <w:rFonts w:hint="eastAsia" w:ascii="宋体" w:hAnsi="宋体"/>
          <w:bCs/>
          <w:sz w:val="24"/>
        </w:rPr>
        <w:t>t/a，</w:t>
      </w:r>
      <w:r>
        <w:rPr>
          <w:rFonts w:ascii="宋体" w:hAnsi="宋体"/>
          <w:sz w:val="24"/>
        </w:rPr>
        <w:t>全部回收返回</w:t>
      </w:r>
      <w:r>
        <w:rPr>
          <w:rFonts w:hint="eastAsia" w:ascii="宋体" w:hAnsi="宋体"/>
          <w:sz w:val="24"/>
        </w:rPr>
        <w:t>造粒</w:t>
      </w:r>
      <w:r>
        <w:rPr>
          <w:rFonts w:ascii="宋体" w:hAnsi="宋体"/>
          <w:sz w:val="24"/>
        </w:rPr>
        <w:t>生产线再利用。</w:t>
      </w:r>
    </w:p>
    <w:p w14:paraId="0E15C398">
      <w:pPr>
        <w:pStyle w:val="13"/>
        <w:keepNext w:val="0"/>
        <w:keepLines w:val="0"/>
        <w:pageBreakBefore w:val="0"/>
        <w:widowControl w:val="0"/>
        <w:kinsoku/>
        <w:wordWrap/>
        <w:overflowPunct/>
        <w:topLinePunct w:val="0"/>
        <w:autoSpaceDE/>
        <w:autoSpaceDN/>
        <w:bidi w:val="0"/>
        <w:snapToGrid/>
        <w:spacing w:line="360" w:lineRule="auto"/>
        <w:rPr>
          <w:rFonts w:hint="eastAsia"/>
        </w:rPr>
      </w:pPr>
      <w:r>
        <w:rPr>
          <w:rFonts w:hint="eastAsia"/>
        </w:rPr>
        <w:t>根据《固体废物分类与代码目录》（公告2024年第4号），属于“SW17可再生类废物”，固废代码为900-003-S17。</w:t>
      </w:r>
    </w:p>
    <w:p w14:paraId="000EBB05">
      <w:pPr>
        <w:keepNext w:val="0"/>
        <w:keepLines w:val="0"/>
        <w:pageBreakBefore w:val="0"/>
        <w:widowControl w:val="0"/>
        <w:kinsoku/>
        <w:wordWrap/>
        <w:overflowPunct/>
        <w:topLinePunct w:val="0"/>
        <w:autoSpaceDE/>
        <w:autoSpaceDN/>
        <w:bidi w:val="0"/>
        <w:snapToGrid/>
        <w:spacing w:line="360" w:lineRule="auto"/>
        <w:ind w:firstLine="480" w:firstLineChars="200"/>
        <w:rPr>
          <w:kern w:val="0"/>
          <w:sz w:val="24"/>
          <w:szCs w:val="24"/>
        </w:rPr>
      </w:pPr>
      <w:r>
        <w:rPr>
          <w:rFonts w:hint="eastAsia"/>
          <w:kern w:val="0"/>
          <w:sz w:val="24"/>
          <w:szCs w:val="24"/>
        </w:rPr>
        <w:t>本环评对一般固废提出台账管理要求如下：</w:t>
      </w:r>
    </w:p>
    <w:p w14:paraId="502958B3">
      <w:pPr>
        <w:keepNext w:val="0"/>
        <w:keepLines w:val="0"/>
        <w:pageBreakBefore w:val="0"/>
        <w:widowControl w:val="0"/>
        <w:kinsoku/>
        <w:wordWrap/>
        <w:overflowPunct/>
        <w:topLinePunct w:val="0"/>
        <w:autoSpaceDE/>
        <w:autoSpaceDN/>
        <w:bidi w:val="0"/>
        <w:snapToGrid/>
        <w:spacing w:line="360" w:lineRule="auto"/>
        <w:ind w:firstLine="480" w:firstLineChars="200"/>
        <w:rPr>
          <w:kern w:val="0"/>
          <w:sz w:val="24"/>
          <w:szCs w:val="24"/>
        </w:rPr>
      </w:pPr>
      <w:r>
        <w:rPr>
          <w:rFonts w:hint="eastAsia"/>
          <w:kern w:val="0"/>
          <w:sz w:val="24"/>
          <w:szCs w:val="24"/>
        </w:rPr>
        <w:t>根据《一般工业固体废物管理台账制定指南（试行）》对一般工业固体废物管理台账实施分级管理。主要记录固体废物的基础信息及流向信息按指南填写附表1为一般工业固体废物产生清单（年度），应当结合环境影响评价、排污许可等材料，根据实际生产运营情况记录固体废物产生信息，生产工艺发生重大变动等原因导致固体废物产生种类等发生变化的，应当及时另行填写附表1一般工业固体废物产生清单（年度），附表2为一般工业固体废物流向汇总表，按月填写，记录固体废物的产生、贮存、利用、处置数量和利用、处置方式等信息；附表3为一般工业固体废物出厂环节记录表，按批次填写，每一批次固体废物的出厂以及转移信息均应当如实记录。</w:t>
      </w:r>
    </w:p>
    <w:p w14:paraId="5D3CB979">
      <w:pPr>
        <w:spacing w:line="360" w:lineRule="auto"/>
        <w:ind w:firstLine="480" w:firstLineChars="200"/>
        <w:rPr>
          <w:kern w:val="0"/>
          <w:sz w:val="24"/>
          <w:szCs w:val="24"/>
        </w:rPr>
      </w:pPr>
      <w:r>
        <w:rPr>
          <w:rFonts w:hint="eastAsia"/>
          <w:kern w:val="0"/>
          <w:sz w:val="24"/>
          <w:szCs w:val="24"/>
        </w:rPr>
        <w:t>产废单位填写台账记录表时，应当根据自身固体废物产生情况，从附表8一般工业固体废物分类表中选择对应的固体废物种类和代码，并根据固体废物种类确定固体废物的具体名称。台账记录表各表单的负责人对记录信息的真实性、完整性和规范性负责。</w:t>
      </w:r>
    </w:p>
    <w:p w14:paraId="7DA43464">
      <w:pPr>
        <w:spacing w:line="360" w:lineRule="auto"/>
        <w:ind w:firstLine="480" w:firstLineChars="200"/>
        <w:rPr>
          <w:kern w:val="0"/>
          <w:sz w:val="24"/>
          <w:szCs w:val="24"/>
        </w:rPr>
      </w:pPr>
      <w:r>
        <w:rPr>
          <w:rFonts w:hint="eastAsia"/>
          <w:kern w:val="0"/>
          <w:sz w:val="24"/>
          <w:szCs w:val="24"/>
        </w:rPr>
        <w:t>产废单位应当设立专人负责台账的管理与归档，一般工业固体废物管理台账保存期限不少于5年。鼓励有条件的产废单位在固体废物产生场所、贮存场所及磅秤位置等关键点位设置视频监控，提高台账记录信息的准确性。</w:t>
      </w:r>
    </w:p>
    <w:p w14:paraId="1F7ACD93">
      <w:pPr>
        <w:pStyle w:val="38"/>
        <w:ind w:left="426" w:leftChars="203" w:firstLine="0"/>
        <w:rPr>
          <w:b/>
          <w:bCs/>
        </w:rPr>
      </w:pPr>
      <w:r>
        <w:rPr>
          <w:rFonts w:hint="eastAsia"/>
          <w:b/>
          <w:bCs/>
        </w:rPr>
        <w:t>（3）危险固废</w:t>
      </w:r>
    </w:p>
    <w:p w14:paraId="452D53F3">
      <w:pPr>
        <w:widowControl/>
        <w:spacing w:line="360" w:lineRule="auto"/>
        <w:ind w:firstLine="480" w:firstLineChars="200"/>
        <w:rPr>
          <w:color w:val="000000"/>
          <w:kern w:val="0"/>
          <w:sz w:val="24"/>
          <w:szCs w:val="24"/>
        </w:rPr>
      </w:pPr>
      <w:r>
        <w:rPr>
          <w:color w:val="000000"/>
          <w:kern w:val="0"/>
          <w:sz w:val="24"/>
          <w:szCs w:val="24"/>
        </w:rPr>
        <w:t>①</w:t>
      </w:r>
      <w:r>
        <w:rPr>
          <w:rFonts w:hint="eastAsia"/>
          <w:color w:val="000000"/>
          <w:kern w:val="0"/>
          <w:sz w:val="24"/>
          <w:szCs w:val="24"/>
        </w:rPr>
        <w:t>废润滑油、废油桶</w:t>
      </w:r>
    </w:p>
    <w:p w14:paraId="76FA590E">
      <w:pPr>
        <w:widowControl/>
        <w:spacing w:line="360" w:lineRule="auto"/>
        <w:ind w:firstLine="480" w:firstLineChars="200"/>
        <w:rPr>
          <w:color w:val="000000"/>
          <w:kern w:val="0"/>
          <w:sz w:val="24"/>
          <w:szCs w:val="24"/>
        </w:rPr>
      </w:pPr>
      <w:r>
        <w:rPr>
          <w:color w:val="000000"/>
          <w:kern w:val="0"/>
          <w:sz w:val="24"/>
          <w:szCs w:val="24"/>
        </w:rPr>
        <w:t>本项目生产过程中使用的机械设备需定期更换润滑油以保证设备正常运转，</w:t>
      </w:r>
      <w:r>
        <w:rPr>
          <w:rFonts w:hint="eastAsia"/>
          <w:color w:val="000000"/>
          <w:kern w:val="0"/>
          <w:sz w:val="24"/>
          <w:szCs w:val="24"/>
        </w:rPr>
        <w:t>根据业主方提供的资料可知，</w:t>
      </w:r>
      <w:r>
        <w:rPr>
          <w:color w:val="000000"/>
          <w:kern w:val="0"/>
          <w:sz w:val="24"/>
          <w:szCs w:val="24"/>
        </w:rPr>
        <w:t>每年</w:t>
      </w:r>
      <w:r>
        <w:rPr>
          <w:rFonts w:hint="eastAsia"/>
          <w:color w:val="000000"/>
          <w:kern w:val="0"/>
          <w:sz w:val="24"/>
          <w:szCs w:val="24"/>
        </w:rPr>
        <w:t>预计</w:t>
      </w:r>
      <w:r>
        <w:rPr>
          <w:color w:val="000000"/>
          <w:kern w:val="0"/>
          <w:sz w:val="24"/>
          <w:szCs w:val="24"/>
        </w:rPr>
        <w:t>需更换润滑油0.</w:t>
      </w:r>
      <w:r>
        <w:rPr>
          <w:rFonts w:hint="eastAsia"/>
          <w:color w:val="000000"/>
          <w:kern w:val="0"/>
          <w:sz w:val="24"/>
          <w:szCs w:val="24"/>
        </w:rPr>
        <w:t>12</w:t>
      </w:r>
      <w:r>
        <w:rPr>
          <w:color w:val="000000"/>
          <w:kern w:val="0"/>
          <w:sz w:val="24"/>
          <w:szCs w:val="24"/>
        </w:rPr>
        <w:t>t，产生废润滑油桶约0.</w:t>
      </w:r>
      <w:r>
        <w:rPr>
          <w:rFonts w:hint="eastAsia"/>
          <w:color w:val="000000"/>
          <w:kern w:val="0"/>
          <w:sz w:val="24"/>
          <w:szCs w:val="24"/>
        </w:rPr>
        <w:t>024</w:t>
      </w:r>
      <w:r>
        <w:rPr>
          <w:color w:val="000000"/>
          <w:kern w:val="0"/>
          <w:sz w:val="24"/>
          <w:szCs w:val="24"/>
        </w:rPr>
        <w:t>t/a。根据《国家危险废物名录（202</w:t>
      </w:r>
      <w:r>
        <w:rPr>
          <w:rFonts w:hint="eastAsia"/>
          <w:color w:val="000000"/>
          <w:kern w:val="0"/>
          <w:sz w:val="24"/>
          <w:szCs w:val="24"/>
        </w:rPr>
        <w:t>5</w:t>
      </w:r>
      <w:r>
        <w:rPr>
          <w:color w:val="000000"/>
          <w:kern w:val="0"/>
          <w:sz w:val="24"/>
          <w:szCs w:val="24"/>
        </w:rPr>
        <w:t>年版）》中规定：产生的废润滑油、废润滑油桶属于HW08废矿物油与含矿物油废物，废物代码分别为900-217-08、900-249-08。</w:t>
      </w:r>
      <w:r>
        <w:rPr>
          <w:rFonts w:hint="eastAsia"/>
          <w:color w:val="000000"/>
          <w:kern w:val="0"/>
          <w:sz w:val="24"/>
          <w:szCs w:val="24"/>
        </w:rPr>
        <w:t>进入生产车间东北侧</w:t>
      </w:r>
      <w:r>
        <w:rPr>
          <w:color w:val="000000"/>
          <w:kern w:val="0"/>
          <w:sz w:val="24"/>
          <w:szCs w:val="24"/>
        </w:rPr>
        <w:t>设</w:t>
      </w:r>
      <w:r>
        <w:rPr>
          <w:rFonts w:hint="eastAsia"/>
          <w:color w:val="000000"/>
          <w:kern w:val="0"/>
          <w:sz w:val="24"/>
          <w:szCs w:val="24"/>
        </w:rPr>
        <w:t>的</w:t>
      </w:r>
      <w:r>
        <w:rPr>
          <w:color w:val="000000"/>
          <w:kern w:val="0"/>
          <w:sz w:val="24"/>
          <w:szCs w:val="24"/>
        </w:rPr>
        <w:t>危废贮存点，项目产生的废润滑油采用桶装收集储存，同废润滑油桶分类暂存于危废贮存点，定期委托有资质单位进行处置。</w:t>
      </w:r>
    </w:p>
    <w:p w14:paraId="7D376EBC">
      <w:pPr>
        <w:widowControl/>
        <w:spacing w:line="360" w:lineRule="auto"/>
        <w:ind w:firstLine="480" w:firstLineChars="200"/>
        <w:rPr>
          <w:color w:val="000000"/>
          <w:kern w:val="0"/>
          <w:sz w:val="24"/>
          <w:szCs w:val="24"/>
        </w:rPr>
      </w:pPr>
      <w:r>
        <w:rPr>
          <w:color w:val="000000"/>
          <w:kern w:val="0"/>
          <w:sz w:val="24"/>
          <w:szCs w:val="24"/>
        </w:rPr>
        <w:t>②</w:t>
      </w:r>
      <w:r>
        <w:rPr>
          <w:rFonts w:hint="eastAsia"/>
          <w:color w:val="000000"/>
          <w:kern w:val="0"/>
          <w:sz w:val="24"/>
          <w:szCs w:val="24"/>
        </w:rPr>
        <w:t>废活性炭</w:t>
      </w:r>
    </w:p>
    <w:p w14:paraId="43CBB863">
      <w:pPr>
        <w:widowControl/>
        <w:spacing w:line="360" w:lineRule="auto"/>
        <w:ind w:firstLine="480" w:firstLineChars="200"/>
        <w:rPr>
          <w:rFonts w:hint="eastAsia"/>
          <w:color w:val="000000"/>
          <w:kern w:val="0"/>
          <w:sz w:val="24"/>
          <w:szCs w:val="24"/>
        </w:rPr>
      </w:pPr>
      <w:r>
        <w:rPr>
          <w:rFonts w:hint="eastAsia"/>
          <w:color w:val="000000"/>
          <w:kern w:val="0"/>
          <w:sz w:val="24"/>
          <w:szCs w:val="24"/>
        </w:rPr>
        <w:t>造粒、</w:t>
      </w:r>
      <w:r>
        <w:rPr>
          <w:rFonts w:hint="eastAsia"/>
          <w:color w:val="000000"/>
          <w:kern w:val="0"/>
          <w:sz w:val="24"/>
          <w:szCs w:val="24"/>
          <w:lang w:eastAsia="zh-CN"/>
        </w:rPr>
        <w:t>滴灌带</w:t>
      </w:r>
      <w:r>
        <w:rPr>
          <w:rFonts w:hint="eastAsia"/>
          <w:color w:val="000000"/>
          <w:kern w:val="0"/>
          <w:sz w:val="24"/>
          <w:szCs w:val="24"/>
        </w:rPr>
        <w:t>生产线有机废气采用“活性炭吸附浓缩+催化燃烧装置”处理，会产生废活性炭。</w:t>
      </w:r>
    </w:p>
    <w:p w14:paraId="5EAB0C02">
      <w:pPr>
        <w:widowControl/>
        <w:spacing w:line="360" w:lineRule="auto"/>
        <w:ind w:firstLine="480" w:firstLineChars="200"/>
        <w:rPr>
          <w:rFonts w:hint="eastAsia"/>
          <w:color w:val="000000"/>
          <w:kern w:val="0"/>
          <w:sz w:val="24"/>
          <w:szCs w:val="24"/>
        </w:rPr>
      </w:pPr>
      <w:r>
        <w:rPr>
          <w:rFonts w:hint="eastAsia"/>
          <w:color w:val="000000"/>
          <w:kern w:val="0"/>
          <w:sz w:val="24"/>
          <w:szCs w:val="24"/>
        </w:rPr>
        <w:t>产生量：参考《深圳市工业有机废气治理用活性炭更换技术指引（试行）》，20000m</w:t>
      </w:r>
      <w:r>
        <w:rPr>
          <w:rFonts w:hint="eastAsia"/>
          <w:color w:val="000000"/>
          <w:kern w:val="0"/>
          <w:sz w:val="24"/>
          <w:szCs w:val="24"/>
          <w:vertAlign w:val="superscript"/>
        </w:rPr>
        <w:t>3</w:t>
      </w:r>
      <w:r>
        <w:rPr>
          <w:rFonts w:hint="eastAsia"/>
          <w:color w:val="000000"/>
          <w:kern w:val="0"/>
          <w:sz w:val="24"/>
          <w:szCs w:val="24"/>
        </w:rPr>
        <w:t>/h风量的活性炭吸附床填充量约1.5t，活性炭吸附装置再生次数达到60次后，宜及时更换新活性炭。</w:t>
      </w:r>
    </w:p>
    <w:p w14:paraId="64A3A6A3">
      <w:pPr>
        <w:widowControl/>
        <w:spacing w:line="360" w:lineRule="auto"/>
        <w:ind w:firstLine="480" w:firstLineChars="200"/>
        <w:rPr>
          <w:rFonts w:hint="eastAsia"/>
          <w:color w:val="000000"/>
          <w:kern w:val="0"/>
          <w:sz w:val="24"/>
          <w:szCs w:val="24"/>
        </w:rPr>
      </w:pPr>
      <w:r>
        <w:rPr>
          <w:rFonts w:hint="eastAsia"/>
          <w:color w:val="000000"/>
          <w:kern w:val="0"/>
          <w:sz w:val="24"/>
          <w:szCs w:val="24"/>
        </w:rPr>
        <w:t>本项目设计风量20000m</w:t>
      </w:r>
      <w:r>
        <w:rPr>
          <w:rFonts w:hint="eastAsia"/>
          <w:color w:val="000000"/>
          <w:kern w:val="0"/>
          <w:sz w:val="24"/>
          <w:szCs w:val="24"/>
          <w:vertAlign w:val="superscript"/>
        </w:rPr>
        <w:t>3</w:t>
      </w:r>
      <w:r>
        <w:rPr>
          <w:rFonts w:hint="eastAsia"/>
          <w:color w:val="000000"/>
          <w:kern w:val="0"/>
          <w:sz w:val="24"/>
          <w:szCs w:val="24"/>
        </w:rPr>
        <w:t>/h</w:t>
      </w:r>
      <w:r>
        <w:rPr>
          <w:rFonts w:hint="eastAsia"/>
          <w:color w:val="000000"/>
          <w:kern w:val="0"/>
          <w:sz w:val="24"/>
          <w:szCs w:val="24"/>
          <w:lang w:eastAsia="zh-CN"/>
        </w:rPr>
        <w:t>，</w:t>
      </w:r>
      <w:r>
        <w:rPr>
          <w:rFonts w:hint="eastAsia"/>
          <w:color w:val="000000"/>
          <w:kern w:val="0"/>
          <w:sz w:val="24"/>
          <w:szCs w:val="24"/>
        </w:rPr>
        <w:t>活性炭吸附床填充量约1.5t，活性炭吸附装置再生次数达到60次后，更换活性炭，因此本项目活性炭产生量为1.5t/次。</w:t>
      </w:r>
    </w:p>
    <w:p w14:paraId="1787A88B">
      <w:pPr>
        <w:widowControl/>
        <w:spacing w:line="360" w:lineRule="auto"/>
        <w:ind w:firstLine="480" w:firstLineChars="200"/>
        <w:rPr>
          <w:rFonts w:hint="eastAsia"/>
          <w:color w:val="000000"/>
          <w:kern w:val="0"/>
          <w:sz w:val="24"/>
          <w:szCs w:val="24"/>
        </w:rPr>
      </w:pPr>
      <w:r>
        <w:rPr>
          <w:rFonts w:hint="eastAsia"/>
          <w:color w:val="000000"/>
          <w:kern w:val="0"/>
          <w:sz w:val="24"/>
          <w:szCs w:val="24"/>
        </w:rPr>
        <w:t>更换周期：参考《简明通风设计手册》（孙一坚主编），活性炭的有效吸附量为0.20~0.30kg/kg-活性炭（本次取值0.30kg/kg-活性炭），即1kg活性炭可吸附约0.30kg有机废气，因此，本项目吸附床脱附再生前单次可吸收的有机废气量为0.45t/次，活性炭吸附装置再生次数达到60次，则60次吸收的有机废气量为27.0t。本项目活性炭吸附有机废气量为</w:t>
      </w:r>
      <w:r>
        <w:rPr>
          <w:rFonts w:hint="eastAsia"/>
          <w:color w:val="000000"/>
          <w:kern w:val="0"/>
          <w:sz w:val="24"/>
          <w:szCs w:val="24"/>
          <w:lang w:val="en-US" w:eastAsia="zh-CN"/>
        </w:rPr>
        <w:t>15.2235</w:t>
      </w:r>
      <w:r>
        <w:rPr>
          <w:rFonts w:hint="eastAsia"/>
          <w:color w:val="000000"/>
          <w:kern w:val="0"/>
          <w:sz w:val="24"/>
          <w:szCs w:val="24"/>
        </w:rPr>
        <w:t>t，则每1.</w:t>
      </w:r>
      <w:r>
        <w:rPr>
          <w:rFonts w:hint="eastAsia"/>
          <w:color w:val="000000"/>
          <w:kern w:val="0"/>
          <w:sz w:val="24"/>
          <w:szCs w:val="24"/>
          <w:lang w:val="en-US" w:eastAsia="zh-CN"/>
        </w:rPr>
        <w:t>8</w:t>
      </w:r>
      <w:r>
        <w:rPr>
          <w:rFonts w:hint="eastAsia"/>
          <w:color w:val="000000"/>
          <w:kern w:val="0"/>
          <w:sz w:val="24"/>
          <w:szCs w:val="24"/>
        </w:rPr>
        <w:t>年更换一次吸附床中的活性炭，故每年约产生</w:t>
      </w:r>
      <w:r>
        <w:rPr>
          <w:rFonts w:hint="eastAsia"/>
          <w:color w:val="000000"/>
          <w:kern w:val="0"/>
          <w:sz w:val="24"/>
          <w:szCs w:val="24"/>
          <w:lang w:val="en-US" w:eastAsia="zh-CN"/>
        </w:rPr>
        <w:t>0.88</w:t>
      </w:r>
      <w:r>
        <w:rPr>
          <w:rFonts w:hint="eastAsia"/>
          <w:color w:val="000000"/>
          <w:kern w:val="0"/>
          <w:sz w:val="24"/>
          <w:szCs w:val="24"/>
        </w:rPr>
        <w:t>t。</w:t>
      </w:r>
    </w:p>
    <w:p w14:paraId="52A01DDA">
      <w:pPr>
        <w:widowControl/>
        <w:spacing w:line="360" w:lineRule="auto"/>
        <w:ind w:firstLine="480" w:firstLineChars="200"/>
        <w:rPr>
          <w:color w:val="000000"/>
          <w:kern w:val="0"/>
          <w:sz w:val="24"/>
          <w:szCs w:val="24"/>
        </w:rPr>
      </w:pPr>
      <w:r>
        <w:rPr>
          <w:rFonts w:hint="eastAsia"/>
          <w:color w:val="000000"/>
          <w:kern w:val="0"/>
          <w:sz w:val="24"/>
          <w:szCs w:val="24"/>
        </w:rPr>
        <w:t>属于《国家危险废物名录（2025年版）》中“HW49其他废物/非特定行业，废物代码：900-039-49/烟气、VOCS治理过程（不包括餐饮行业油烟治理过程）产生的废活性炭，化学原料和化学制品脱色（不包括有机合成食品添加剂脱色）、除杂、净化过程产生的废活性炭/T”，暂存于危险</w:t>
      </w:r>
      <w:r>
        <w:rPr>
          <w:rFonts w:hint="eastAsia"/>
          <w:color w:val="000000"/>
          <w:kern w:val="0"/>
          <w:sz w:val="24"/>
          <w:szCs w:val="24"/>
          <w:lang w:eastAsia="zh-CN"/>
        </w:rPr>
        <w:t>贮存点</w:t>
      </w:r>
      <w:r>
        <w:rPr>
          <w:rFonts w:hint="eastAsia"/>
          <w:color w:val="000000"/>
          <w:kern w:val="0"/>
          <w:sz w:val="24"/>
          <w:szCs w:val="24"/>
        </w:rPr>
        <w:t>后委托有危废处理资质的单位安全处置。</w:t>
      </w:r>
    </w:p>
    <w:p w14:paraId="63A62243">
      <w:pPr>
        <w:spacing w:line="360" w:lineRule="auto"/>
        <w:ind w:firstLine="480" w:firstLineChars="200"/>
        <w:rPr>
          <w:color w:val="000000"/>
          <w:sz w:val="24"/>
          <w:szCs w:val="24"/>
        </w:rPr>
      </w:pPr>
      <w:r>
        <w:rPr>
          <w:color w:val="000000"/>
          <w:sz w:val="24"/>
          <w:szCs w:val="24"/>
        </w:rPr>
        <w:t>项目</w:t>
      </w:r>
      <w:r>
        <w:rPr>
          <w:rFonts w:hint="eastAsia"/>
          <w:color w:val="000000"/>
          <w:sz w:val="24"/>
          <w:szCs w:val="24"/>
        </w:rPr>
        <w:t>废物</w:t>
      </w:r>
      <w:r>
        <w:rPr>
          <w:color w:val="000000"/>
          <w:sz w:val="24"/>
          <w:szCs w:val="24"/>
        </w:rPr>
        <w:t>产生及排放情况见表</w:t>
      </w:r>
      <w:r>
        <w:rPr>
          <w:rFonts w:hint="eastAsia"/>
          <w:color w:val="000000"/>
          <w:sz w:val="24"/>
          <w:szCs w:val="24"/>
        </w:rPr>
        <w:t>3</w:t>
      </w:r>
      <w:r>
        <w:rPr>
          <w:color w:val="000000"/>
          <w:sz w:val="24"/>
          <w:szCs w:val="24"/>
        </w:rPr>
        <w:t>.</w:t>
      </w:r>
      <w:r>
        <w:rPr>
          <w:rFonts w:hint="eastAsia"/>
          <w:color w:val="000000"/>
          <w:sz w:val="24"/>
          <w:szCs w:val="24"/>
        </w:rPr>
        <w:t>4-</w:t>
      </w:r>
      <w:r>
        <w:rPr>
          <w:rFonts w:hint="eastAsia"/>
          <w:color w:val="000000"/>
          <w:sz w:val="24"/>
          <w:szCs w:val="24"/>
          <w:lang w:val="en-US" w:eastAsia="zh-CN"/>
        </w:rPr>
        <w:t>6</w:t>
      </w:r>
      <w:r>
        <w:rPr>
          <w:color w:val="000000"/>
          <w:sz w:val="24"/>
          <w:szCs w:val="24"/>
        </w:rPr>
        <w:t>。</w:t>
      </w:r>
    </w:p>
    <w:p w14:paraId="777D5E05">
      <w:pPr>
        <w:widowControl/>
        <w:ind w:firstLine="422" w:firstLineChars="200"/>
        <w:jc w:val="center"/>
        <w:rPr>
          <w:b/>
          <w:color w:val="000000"/>
          <w:kern w:val="0"/>
          <w:szCs w:val="21"/>
        </w:rPr>
      </w:pPr>
      <w:r>
        <w:rPr>
          <w:b/>
          <w:color w:val="000000"/>
          <w:kern w:val="0"/>
          <w:szCs w:val="21"/>
        </w:rPr>
        <w:t>表</w:t>
      </w:r>
      <w:r>
        <w:rPr>
          <w:rFonts w:hint="eastAsia"/>
          <w:b/>
          <w:color w:val="000000"/>
          <w:kern w:val="0"/>
          <w:szCs w:val="21"/>
        </w:rPr>
        <w:t>3</w:t>
      </w:r>
      <w:r>
        <w:rPr>
          <w:b/>
          <w:color w:val="000000"/>
          <w:kern w:val="0"/>
          <w:szCs w:val="21"/>
        </w:rPr>
        <w:t>.</w:t>
      </w:r>
      <w:r>
        <w:rPr>
          <w:rFonts w:hint="eastAsia"/>
          <w:b/>
          <w:color w:val="000000"/>
          <w:kern w:val="0"/>
          <w:szCs w:val="21"/>
        </w:rPr>
        <w:t>4-</w:t>
      </w:r>
      <w:r>
        <w:rPr>
          <w:rFonts w:hint="eastAsia"/>
          <w:b/>
          <w:color w:val="000000"/>
          <w:kern w:val="0"/>
          <w:szCs w:val="21"/>
          <w:lang w:val="en-US" w:eastAsia="zh-CN"/>
        </w:rPr>
        <w:t>6</w:t>
      </w:r>
      <w:r>
        <w:rPr>
          <w:b/>
          <w:color w:val="000000"/>
          <w:kern w:val="0"/>
          <w:szCs w:val="21"/>
        </w:rPr>
        <w:t xml:space="preserve">      </w:t>
      </w:r>
      <w:r>
        <w:rPr>
          <w:rFonts w:hint="eastAsia"/>
          <w:b/>
          <w:color w:val="000000"/>
          <w:kern w:val="0"/>
          <w:szCs w:val="21"/>
        </w:rPr>
        <w:t>项目</w:t>
      </w:r>
      <w:r>
        <w:rPr>
          <w:b/>
          <w:color w:val="000000"/>
          <w:kern w:val="0"/>
          <w:szCs w:val="21"/>
        </w:rPr>
        <w:t>废物产生及处理情况</w:t>
      </w:r>
    </w:p>
    <w:tbl>
      <w:tblPr>
        <w:tblStyle w:val="49"/>
        <w:tblW w:w="4990" w:type="pct"/>
        <w:jc w:val="center"/>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autofit"/>
        <w:tblCellMar>
          <w:top w:w="0" w:type="dxa"/>
          <w:left w:w="0" w:type="dxa"/>
          <w:bottom w:w="0" w:type="dxa"/>
          <w:right w:w="0" w:type="dxa"/>
        </w:tblCellMar>
      </w:tblPr>
      <w:tblGrid>
        <w:gridCol w:w="674"/>
        <w:gridCol w:w="1851"/>
        <w:gridCol w:w="772"/>
        <w:gridCol w:w="2967"/>
        <w:gridCol w:w="1848"/>
        <w:gridCol w:w="972"/>
      </w:tblGrid>
      <w:tr w14:paraId="311C9F9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0" w:type="dxa"/>
            <w:bottom w:w="0" w:type="dxa"/>
            <w:right w:w="0" w:type="dxa"/>
          </w:tblCellMar>
        </w:tblPrEx>
        <w:trPr>
          <w:trHeight w:val="701" w:hRule="atLeast"/>
          <w:jc w:val="center"/>
        </w:trPr>
        <w:tc>
          <w:tcPr>
            <w:tcW w:w="371" w:type="pct"/>
            <w:vAlign w:val="center"/>
          </w:tcPr>
          <w:p w14:paraId="1F8CE56C">
            <w:pPr>
              <w:jc w:val="center"/>
              <w:rPr>
                <w:szCs w:val="21"/>
              </w:rPr>
            </w:pPr>
            <w:r>
              <w:rPr>
                <w:szCs w:val="21"/>
              </w:rPr>
              <w:t>序</w:t>
            </w:r>
          </w:p>
          <w:p w14:paraId="7B4A2098">
            <w:pPr>
              <w:jc w:val="center"/>
              <w:rPr>
                <w:szCs w:val="21"/>
              </w:rPr>
            </w:pPr>
            <w:r>
              <w:rPr>
                <w:szCs w:val="21"/>
              </w:rPr>
              <w:t>号</w:t>
            </w:r>
          </w:p>
        </w:tc>
        <w:tc>
          <w:tcPr>
            <w:tcW w:w="1019" w:type="pct"/>
            <w:vAlign w:val="center"/>
          </w:tcPr>
          <w:p w14:paraId="65D1688B">
            <w:pPr>
              <w:jc w:val="center"/>
              <w:rPr>
                <w:szCs w:val="21"/>
              </w:rPr>
            </w:pPr>
            <w:r>
              <w:rPr>
                <w:szCs w:val="21"/>
              </w:rPr>
              <w:t>名称</w:t>
            </w:r>
          </w:p>
        </w:tc>
        <w:tc>
          <w:tcPr>
            <w:tcW w:w="425" w:type="pct"/>
            <w:vAlign w:val="center"/>
          </w:tcPr>
          <w:p w14:paraId="2DA48A1E">
            <w:pPr>
              <w:jc w:val="center"/>
              <w:rPr>
                <w:szCs w:val="21"/>
              </w:rPr>
            </w:pPr>
            <w:r>
              <w:rPr>
                <w:szCs w:val="21"/>
              </w:rPr>
              <w:t>产生量</w:t>
            </w:r>
          </w:p>
          <w:p w14:paraId="1C5370C6">
            <w:pPr>
              <w:jc w:val="center"/>
              <w:rPr>
                <w:szCs w:val="21"/>
              </w:rPr>
            </w:pPr>
            <w:r>
              <w:rPr>
                <w:rFonts w:hint="eastAsia"/>
                <w:szCs w:val="21"/>
              </w:rPr>
              <w:t>（</w:t>
            </w:r>
            <w:r>
              <w:rPr>
                <w:szCs w:val="21"/>
              </w:rPr>
              <w:t>t/a</w:t>
            </w:r>
            <w:r>
              <w:rPr>
                <w:rFonts w:hint="eastAsia"/>
                <w:szCs w:val="21"/>
              </w:rPr>
              <w:t>）</w:t>
            </w:r>
          </w:p>
        </w:tc>
        <w:tc>
          <w:tcPr>
            <w:tcW w:w="1633" w:type="pct"/>
            <w:vAlign w:val="center"/>
          </w:tcPr>
          <w:p w14:paraId="481A2788">
            <w:pPr>
              <w:jc w:val="center"/>
              <w:rPr>
                <w:rFonts w:ascii="Calibri" w:hAnsi="Calibri"/>
                <w:szCs w:val="21"/>
              </w:rPr>
            </w:pPr>
            <w:r>
              <w:rPr>
                <w:rFonts w:hint="eastAsia" w:ascii="Calibri" w:hAnsi="Calibri"/>
                <w:szCs w:val="21"/>
              </w:rPr>
              <w:t>废物类别</w:t>
            </w:r>
          </w:p>
        </w:tc>
        <w:tc>
          <w:tcPr>
            <w:tcW w:w="1017" w:type="pct"/>
            <w:vAlign w:val="center"/>
          </w:tcPr>
          <w:p w14:paraId="2E6B70D0">
            <w:pPr>
              <w:jc w:val="center"/>
              <w:rPr>
                <w:szCs w:val="21"/>
              </w:rPr>
            </w:pPr>
            <w:r>
              <w:rPr>
                <w:szCs w:val="21"/>
              </w:rPr>
              <w:t>处置措施</w:t>
            </w:r>
          </w:p>
        </w:tc>
        <w:tc>
          <w:tcPr>
            <w:tcW w:w="535" w:type="pct"/>
            <w:vAlign w:val="center"/>
          </w:tcPr>
          <w:p w14:paraId="6AD39E52">
            <w:pPr>
              <w:jc w:val="center"/>
              <w:rPr>
                <w:szCs w:val="21"/>
              </w:rPr>
            </w:pPr>
            <w:r>
              <w:rPr>
                <w:szCs w:val="21"/>
              </w:rPr>
              <w:t>排放量</w:t>
            </w:r>
          </w:p>
          <w:p w14:paraId="536DA9EC">
            <w:pPr>
              <w:jc w:val="center"/>
              <w:rPr>
                <w:szCs w:val="21"/>
              </w:rPr>
            </w:pPr>
            <w:r>
              <w:rPr>
                <w:rFonts w:hint="eastAsia"/>
                <w:szCs w:val="21"/>
              </w:rPr>
              <w:t>（</w:t>
            </w:r>
            <w:r>
              <w:rPr>
                <w:szCs w:val="21"/>
              </w:rPr>
              <w:t>t/a</w:t>
            </w:r>
            <w:r>
              <w:rPr>
                <w:rFonts w:hint="eastAsia"/>
                <w:szCs w:val="21"/>
              </w:rPr>
              <w:t>）</w:t>
            </w:r>
          </w:p>
        </w:tc>
      </w:tr>
      <w:tr w14:paraId="70918EE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0" w:type="dxa"/>
            <w:bottom w:w="0" w:type="dxa"/>
            <w:right w:w="0" w:type="dxa"/>
          </w:tblCellMar>
        </w:tblPrEx>
        <w:trPr>
          <w:trHeight w:val="279" w:hRule="atLeast"/>
          <w:jc w:val="center"/>
        </w:trPr>
        <w:tc>
          <w:tcPr>
            <w:tcW w:w="5000" w:type="pct"/>
            <w:gridSpan w:val="6"/>
            <w:vAlign w:val="center"/>
          </w:tcPr>
          <w:p w14:paraId="32227FE7">
            <w:pPr>
              <w:jc w:val="center"/>
              <w:rPr>
                <w:rFonts w:ascii="Calibri" w:hAnsi="Calibri"/>
                <w:szCs w:val="21"/>
              </w:rPr>
            </w:pPr>
            <w:r>
              <w:rPr>
                <w:rFonts w:hint="eastAsia" w:ascii="Calibri" w:hAnsi="Calibri"/>
                <w:szCs w:val="21"/>
              </w:rPr>
              <w:t>一般固废</w:t>
            </w:r>
          </w:p>
        </w:tc>
      </w:tr>
      <w:tr w14:paraId="564CF48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0" w:type="dxa"/>
            <w:bottom w:w="0" w:type="dxa"/>
            <w:right w:w="0" w:type="dxa"/>
          </w:tblCellMar>
        </w:tblPrEx>
        <w:trPr>
          <w:trHeight w:val="680" w:hRule="atLeast"/>
          <w:jc w:val="center"/>
        </w:trPr>
        <w:tc>
          <w:tcPr>
            <w:tcW w:w="371" w:type="pct"/>
            <w:vAlign w:val="center"/>
          </w:tcPr>
          <w:p w14:paraId="1B24AA96">
            <w:pPr>
              <w:jc w:val="center"/>
              <w:rPr>
                <w:szCs w:val="21"/>
              </w:rPr>
            </w:pPr>
            <w:r>
              <w:rPr>
                <w:rFonts w:hint="eastAsia"/>
                <w:szCs w:val="21"/>
              </w:rPr>
              <w:t>1</w:t>
            </w:r>
          </w:p>
        </w:tc>
        <w:tc>
          <w:tcPr>
            <w:tcW w:w="1019" w:type="pct"/>
            <w:vAlign w:val="center"/>
          </w:tcPr>
          <w:p w14:paraId="68B0EE78">
            <w:pPr>
              <w:jc w:val="center"/>
              <w:rPr>
                <w:szCs w:val="21"/>
              </w:rPr>
            </w:pPr>
            <w:r>
              <w:rPr>
                <w:rFonts w:hint="eastAsia"/>
                <w:szCs w:val="21"/>
              </w:rPr>
              <w:t>不合格品、</w:t>
            </w:r>
            <w:r>
              <w:rPr>
                <w:szCs w:val="21"/>
              </w:rPr>
              <w:t>残次品及边角料</w:t>
            </w:r>
          </w:p>
        </w:tc>
        <w:tc>
          <w:tcPr>
            <w:tcW w:w="425" w:type="pct"/>
            <w:vAlign w:val="center"/>
          </w:tcPr>
          <w:p w14:paraId="66B9515A">
            <w:pPr>
              <w:jc w:val="center"/>
              <w:rPr>
                <w:szCs w:val="21"/>
              </w:rPr>
            </w:pPr>
            <w:r>
              <w:rPr>
                <w:rFonts w:hint="eastAsia"/>
                <w:szCs w:val="21"/>
              </w:rPr>
              <w:t>46.314</w:t>
            </w:r>
          </w:p>
        </w:tc>
        <w:tc>
          <w:tcPr>
            <w:tcW w:w="1633" w:type="pct"/>
            <w:vAlign w:val="center"/>
          </w:tcPr>
          <w:p w14:paraId="6E72C8C7">
            <w:pPr>
              <w:jc w:val="center"/>
              <w:rPr>
                <w:szCs w:val="21"/>
              </w:rPr>
            </w:pPr>
            <w:r>
              <w:rPr>
                <w:rFonts w:hint="eastAsia"/>
                <w:szCs w:val="21"/>
              </w:rPr>
              <w:t>废物种类：SW59，</w:t>
            </w:r>
          </w:p>
          <w:p w14:paraId="448D6763">
            <w:pPr>
              <w:jc w:val="center"/>
              <w:rPr>
                <w:rFonts w:ascii="Calibri" w:hAnsi="Calibri"/>
                <w:szCs w:val="21"/>
              </w:rPr>
            </w:pPr>
            <w:r>
              <w:rPr>
                <w:rFonts w:hint="eastAsia"/>
                <w:szCs w:val="21"/>
              </w:rPr>
              <w:t>废物代码：900-099-S59</w:t>
            </w:r>
          </w:p>
        </w:tc>
        <w:tc>
          <w:tcPr>
            <w:tcW w:w="1017" w:type="pct"/>
            <w:vAlign w:val="center"/>
          </w:tcPr>
          <w:p w14:paraId="7FC42CC8">
            <w:pPr>
              <w:jc w:val="center"/>
              <w:rPr>
                <w:szCs w:val="21"/>
              </w:rPr>
            </w:pPr>
            <w:r>
              <w:rPr>
                <w:szCs w:val="21"/>
              </w:rPr>
              <w:t>收集后</w:t>
            </w:r>
            <w:r>
              <w:rPr>
                <w:rFonts w:hint="eastAsia"/>
                <w:szCs w:val="21"/>
              </w:rPr>
              <w:t>返回造粒工序</w:t>
            </w:r>
          </w:p>
        </w:tc>
        <w:tc>
          <w:tcPr>
            <w:tcW w:w="535" w:type="pct"/>
            <w:vAlign w:val="center"/>
          </w:tcPr>
          <w:p w14:paraId="23F70379">
            <w:pPr>
              <w:jc w:val="center"/>
              <w:rPr>
                <w:szCs w:val="21"/>
              </w:rPr>
            </w:pPr>
            <w:r>
              <w:rPr>
                <w:szCs w:val="21"/>
              </w:rPr>
              <w:t>0</w:t>
            </w:r>
          </w:p>
        </w:tc>
      </w:tr>
      <w:tr w14:paraId="086A4C8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0" w:type="dxa"/>
            <w:bottom w:w="0" w:type="dxa"/>
            <w:right w:w="0" w:type="dxa"/>
          </w:tblCellMar>
        </w:tblPrEx>
        <w:trPr>
          <w:trHeight w:val="680" w:hRule="atLeast"/>
          <w:jc w:val="center"/>
        </w:trPr>
        <w:tc>
          <w:tcPr>
            <w:tcW w:w="371" w:type="pct"/>
            <w:vAlign w:val="center"/>
          </w:tcPr>
          <w:p w14:paraId="614DA207">
            <w:pPr>
              <w:jc w:val="center"/>
              <w:rPr>
                <w:szCs w:val="21"/>
              </w:rPr>
            </w:pPr>
            <w:r>
              <w:rPr>
                <w:rFonts w:hint="eastAsia"/>
                <w:szCs w:val="21"/>
              </w:rPr>
              <w:t>2</w:t>
            </w:r>
          </w:p>
        </w:tc>
        <w:tc>
          <w:tcPr>
            <w:tcW w:w="1019" w:type="pct"/>
            <w:vAlign w:val="center"/>
          </w:tcPr>
          <w:p w14:paraId="7A4DCF37">
            <w:pPr>
              <w:jc w:val="center"/>
              <w:rPr>
                <w:szCs w:val="21"/>
              </w:rPr>
            </w:pPr>
            <w:r>
              <w:rPr>
                <w:rFonts w:hint="eastAsia"/>
                <w:szCs w:val="21"/>
              </w:rPr>
              <w:t>废过滤网</w:t>
            </w:r>
          </w:p>
        </w:tc>
        <w:tc>
          <w:tcPr>
            <w:tcW w:w="425" w:type="pct"/>
            <w:vAlign w:val="center"/>
          </w:tcPr>
          <w:p w14:paraId="161367AB">
            <w:pPr>
              <w:jc w:val="center"/>
              <w:rPr>
                <w:rFonts w:hint="eastAsia" w:eastAsia="宋体"/>
                <w:szCs w:val="21"/>
                <w:lang w:eastAsia="zh-CN"/>
              </w:rPr>
            </w:pPr>
            <w:r>
              <w:rPr>
                <w:rFonts w:hint="eastAsia"/>
                <w:szCs w:val="21"/>
              </w:rPr>
              <w:t>0.</w:t>
            </w:r>
            <w:r>
              <w:rPr>
                <w:rFonts w:hint="eastAsia"/>
                <w:szCs w:val="21"/>
                <w:lang w:val="en-US" w:eastAsia="zh-CN"/>
              </w:rPr>
              <w:t>2</w:t>
            </w:r>
          </w:p>
        </w:tc>
        <w:tc>
          <w:tcPr>
            <w:tcW w:w="1633" w:type="pct"/>
            <w:vAlign w:val="center"/>
          </w:tcPr>
          <w:p w14:paraId="017CDA2D">
            <w:pPr>
              <w:jc w:val="center"/>
              <w:rPr>
                <w:szCs w:val="21"/>
              </w:rPr>
            </w:pPr>
            <w:r>
              <w:rPr>
                <w:rFonts w:hint="eastAsia"/>
                <w:szCs w:val="21"/>
              </w:rPr>
              <w:t>废物种类：SW59，</w:t>
            </w:r>
          </w:p>
          <w:p w14:paraId="2DCA95AA">
            <w:pPr>
              <w:jc w:val="center"/>
              <w:rPr>
                <w:rFonts w:ascii="Calibri" w:hAnsi="Calibri"/>
                <w:szCs w:val="21"/>
              </w:rPr>
            </w:pPr>
            <w:r>
              <w:rPr>
                <w:rFonts w:hint="eastAsia"/>
                <w:szCs w:val="21"/>
              </w:rPr>
              <w:t>废物代码：900-009-S59</w:t>
            </w:r>
          </w:p>
        </w:tc>
        <w:tc>
          <w:tcPr>
            <w:tcW w:w="1017" w:type="pct"/>
            <w:vAlign w:val="center"/>
          </w:tcPr>
          <w:p w14:paraId="4FDC5FC4">
            <w:pPr>
              <w:jc w:val="center"/>
              <w:rPr>
                <w:szCs w:val="21"/>
              </w:rPr>
            </w:pPr>
            <w:r>
              <w:rPr>
                <w:rFonts w:hint="eastAsia"/>
                <w:szCs w:val="21"/>
              </w:rPr>
              <w:t>外售给废品回收站处理</w:t>
            </w:r>
          </w:p>
        </w:tc>
        <w:tc>
          <w:tcPr>
            <w:tcW w:w="535" w:type="pct"/>
            <w:vAlign w:val="center"/>
          </w:tcPr>
          <w:p w14:paraId="5452D2B5">
            <w:pPr>
              <w:jc w:val="center"/>
              <w:rPr>
                <w:szCs w:val="21"/>
              </w:rPr>
            </w:pPr>
            <w:r>
              <w:rPr>
                <w:rFonts w:hint="eastAsia"/>
                <w:szCs w:val="21"/>
              </w:rPr>
              <w:t>0</w:t>
            </w:r>
          </w:p>
        </w:tc>
      </w:tr>
      <w:tr w14:paraId="1CEE58F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0" w:type="dxa"/>
            <w:bottom w:w="0" w:type="dxa"/>
            <w:right w:w="0" w:type="dxa"/>
          </w:tblCellMar>
        </w:tblPrEx>
        <w:trPr>
          <w:trHeight w:val="389" w:hRule="atLeast"/>
          <w:jc w:val="center"/>
        </w:trPr>
        <w:tc>
          <w:tcPr>
            <w:tcW w:w="371" w:type="pct"/>
            <w:vAlign w:val="center"/>
          </w:tcPr>
          <w:p w14:paraId="71060080">
            <w:pPr>
              <w:jc w:val="center"/>
              <w:rPr>
                <w:szCs w:val="21"/>
              </w:rPr>
            </w:pPr>
            <w:r>
              <w:rPr>
                <w:rFonts w:hint="eastAsia"/>
                <w:szCs w:val="21"/>
              </w:rPr>
              <w:t>3</w:t>
            </w:r>
          </w:p>
        </w:tc>
        <w:tc>
          <w:tcPr>
            <w:tcW w:w="1019" w:type="pct"/>
            <w:vAlign w:val="center"/>
          </w:tcPr>
          <w:p w14:paraId="0E4E1036">
            <w:pPr>
              <w:jc w:val="center"/>
              <w:rPr>
                <w:szCs w:val="21"/>
              </w:rPr>
            </w:pPr>
            <w:r>
              <w:rPr>
                <w:szCs w:val="21"/>
              </w:rPr>
              <w:t>熔融废渣</w:t>
            </w:r>
          </w:p>
        </w:tc>
        <w:tc>
          <w:tcPr>
            <w:tcW w:w="425" w:type="pct"/>
            <w:vAlign w:val="center"/>
          </w:tcPr>
          <w:p w14:paraId="63D095B2">
            <w:pPr>
              <w:jc w:val="center"/>
              <w:rPr>
                <w:szCs w:val="21"/>
              </w:rPr>
            </w:pPr>
            <w:r>
              <w:rPr>
                <w:rFonts w:hint="eastAsia"/>
                <w:szCs w:val="21"/>
              </w:rPr>
              <w:t>0.03</w:t>
            </w:r>
          </w:p>
        </w:tc>
        <w:tc>
          <w:tcPr>
            <w:tcW w:w="1633" w:type="pct"/>
            <w:vAlign w:val="center"/>
          </w:tcPr>
          <w:p w14:paraId="540BC2B3">
            <w:pPr>
              <w:jc w:val="center"/>
              <w:rPr>
                <w:szCs w:val="21"/>
              </w:rPr>
            </w:pPr>
            <w:r>
              <w:rPr>
                <w:rFonts w:hint="eastAsia"/>
                <w:szCs w:val="21"/>
              </w:rPr>
              <w:t>废物种类：SW59，</w:t>
            </w:r>
          </w:p>
          <w:p w14:paraId="62394297">
            <w:pPr>
              <w:jc w:val="center"/>
              <w:rPr>
                <w:rFonts w:ascii="Calibri" w:hAnsi="Calibri"/>
                <w:szCs w:val="21"/>
              </w:rPr>
            </w:pPr>
            <w:r>
              <w:rPr>
                <w:rFonts w:ascii="Calibri" w:hAnsi="Calibri"/>
                <w:szCs w:val="21"/>
              </w:rPr>
              <w:t>类别代码为900-003-S17</w:t>
            </w:r>
          </w:p>
        </w:tc>
        <w:tc>
          <w:tcPr>
            <w:tcW w:w="1017" w:type="pct"/>
            <w:vAlign w:val="center"/>
          </w:tcPr>
          <w:p w14:paraId="49BC7478">
            <w:pPr>
              <w:jc w:val="center"/>
              <w:rPr>
                <w:szCs w:val="21"/>
              </w:rPr>
            </w:pPr>
            <w:r>
              <w:rPr>
                <w:szCs w:val="21"/>
              </w:rPr>
              <w:t>外售给注塑厂</w:t>
            </w:r>
          </w:p>
        </w:tc>
        <w:tc>
          <w:tcPr>
            <w:tcW w:w="535" w:type="pct"/>
            <w:vAlign w:val="center"/>
          </w:tcPr>
          <w:p w14:paraId="5DCD02B9">
            <w:pPr>
              <w:jc w:val="center"/>
              <w:rPr>
                <w:szCs w:val="21"/>
              </w:rPr>
            </w:pPr>
            <w:r>
              <w:rPr>
                <w:rFonts w:hint="eastAsia"/>
                <w:szCs w:val="21"/>
              </w:rPr>
              <w:t>0</w:t>
            </w:r>
          </w:p>
        </w:tc>
      </w:tr>
      <w:tr w14:paraId="53FF9A2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0" w:type="dxa"/>
            <w:bottom w:w="0" w:type="dxa"/>
            <w:right w:w="0" w:type="dxa"/>
          </w:tblCellMar>
        </w:tblPrEx>
        <w:trPr>
          <w:trHeight w:val="680" w:hRule="atLeast"/>
          <w:jc w:val="center"/>
        </w:trPr>
        <w:tc>
          <w:tcPr>
            <w:tcW w:w="371" w:type="pct"/>
            <w:vAlign w:val="center"/>
          </w:tcPr>
          <w:p w14:paraId="7ED7A277">
            <w:pPr>
              <w:jc w:val="center"/>
              <w:rPr>
                <w:szCs w:val="21"/>
              </w:rPr>
            </w:pPr>
            <w:r>
              <w:rPr>
                <w:rFonts w:hint="eastAsia"/>
                <w:szCs w:val="21"/>
              </w:rPr>
              <w:t>4</w:t>
            </w:r>
          </w:p>
        </w:tc>
        <w:tc>
          <w:tcPr>
            <w:tcW w:w="1019" w:type="pct"/>
            <w:vAlign w:val="center"/>
          </w:tcPr>
          <w:p w14:paraId="3180ABEA">
            <w:pPr>
              <w:jc w:val="center"/>
              <w:rPr>
                <w:szCs w:val="21"/>
              </w:rPr>
            </w:pPr>
            <w:r>
              <w:rPr>
                <w:rFonts w:hint="eastAsia"/>
                <w:szCs w:val="21"/>
              </w:rPr>
              <w:t>废催化剂</w:t>
            </w:r>
          </w:p>
        </w:tc>
        <w:tc>
          <w:tcPr>
            <w:tcW w:w="425" w:type="pct"/>
            <w:vAlign w:val="center"/>
          </w:tcPr>
          <w:p w14:paraId="304FED13">
            <w:pPr>
              <w:jc w:val="center"/>
              <w:rPr>
                <w:szCs w:val="21"/>
              </w:rPr>
            </w:pPr>
            <w:r>
              <w:rPr>
                <w:rFonts w:hint="eastAsia"/>
                <w:szCs w:val="21"/>
              </w:rPr>
              <w:t>0.15</w:t>
            </w:r>
          </w:p>
        </w:tc>
        <w:tc>
          <w:tcPr>
            <w:tcW w:w="1633" w:type="pct"/>
            <w:vAlign w:val="center"/>
          </w:tcPr>
          <w:p w14:paraId="0546CD2B">
            <w:pPr>
              <w:jc w:val="center"/>
              <w:rPr>
                <w:szCs w:val="21"/>
              </w:rPr>
            </w:pPr>
            <w:r>
              <w:rPr>
                <w:szCs w:val="21"/>
              </w:rPr>
              <w:t>HW50废催化剂-环境治理业-烟气脱硝过程中产生的废催化剂</w:t>
            </w:r>
          </w:p>
        </w:tc>
        <w:tc>
          <w:tcPr>
            <w:tcW w:w="1017" w:type="pct"/>
            <w:vAlign w:val="center"/>
          </w:tcPr>
          <w:p w14:paraId="0839A73E">
            <w:pPr>
              <w:jc w:val="center"/>
              <w:rPr>
                <w:szCs w:val="21"/>
              </w:rPr>
            </w:pPr>
            <w:r>
              <w:rPr>
                <w:szCs w:val="21"/>
              </w:rPr>
              <w:t>厂家回收</w:t>
            </w:r>
          </w:p>
        </w:tc>
        <w:tc>
          <w:tcPr>
            <w:tcW w:w="535" w:type="pct"/>
            <w:vAlign w:val="center"/>
          </w:tcPr>
          <w:p w14:paraId="26D1A6FA">
            <w:pPr>
              <w:jc w:val="center"/>
              <w:rPr>
                <w:szCs w:val="21"/>
              </w:rPr>
            </w:pPr>
            <w:r>
              <w:rPr>
                <w:rFonts w:hint="eastAsia"/>
                <w:szCs w:val="21"/>
              </w:rPr>
              <w:t>0</w:t>
            </w:r>
          </w:p>
        </w:tc>
      </w:tr>
      <w:tr w14:paraId="5641132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0" w:type="dxa"/>
            <w:bottom w:w="0" w:type="dxa"/>
            <w:right w:w="0" w:type="dxa"/>
          </w:tblCellMar>
        </w:tblPrEx>
        <w:trPr>
          <w:trHeight w:val="305" w:hRule="atLeast"/>
          <w:jc w:val="center"/>
        </w:trPr>
        <w:tc>
          <w:tcPr>
            <w:tcW w:w="5000" w:type="pct"/>
            <w:gridSpan w:val="6"/>
            <w:vAlign w:val="center"/>
          </w:tcPr>
          <w:p w14:paraId="0FCA12D4">
            <w:pPr>
              <w:jc w:val="center"/>
              <w:rPr>
                <w:szCs w:val="21"/>
              </w:rPr>
            </w:pPr>
            <w:r>
              <w:rPr>
                <w:rFonts w:hint="eastAsia"/>
                <w:szCs w:val="21"/>
              </w:rPr>
              <w:t>危险废物</w:t>
            </w:r>
          </w:p>
        </w:tc>
      </w:tr>
      <w:tr w14:paraId="20D9471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0" w:type="dxa"/>
            <w:bottom w:w="0" w:type="dxa"/>
            <w:right w:w="0" w:type="dxa"/>
          </w:tblCellMar>
        </w:tblPrEx>
        <w:trPr>
          <w:trHeight w:val="680" w:hRule="atLeast"/>
          <w:jc w:val="center"/>
        </w:trPr>
        <w:tc>
          <w:tcPr>
            <w:tcW w:w="371" w:type="pct"/>
            <w:vAlign w:val="center"/>
          </w:tcPr>
          <w:p w14:paraId="198790BD">
            <w:pPr>
              <w:jc w:val="center"/>
              <w:rPr>
                <w:szCs w:val="21"/>
              </w:rPr>
            </w:pPr>
            <w:r>
              <w:rPr>
                <w:rFonts w:hint="eastAsia"/>
                <w:szCs w:val="21"/>
              </w:rPr>
              <w:t>1</w:t>
            </w:r>
          </w:p>
        </w:tc>
        <w:tc>
          <w:tcPr>
            <w:tcW w:w="1019" w:type="pct"/>
            <w:vAlign w:val="center"/>
          </w:tcPr>
          <w:p w14:paraId="00C85B89">
            <w:pPr>
              <w:jc w:val="center"/>
              <w:rPr>
                <w:szCs w:val="21"/>
              </w:rPr>
            </w:pPr>
            <w:r>
              <w:rPr>
                <w:szCs w:val="21"/>
              </w:rPr>
              <w:t>废活性炭</w:t>
            </w:r>
          </w:p>
        </w:tc>
        <w:tc>
          <w:tcPr>
            <w:tcW w:w="425" w:type="pct"/>
            <w:vAlign w:val="center"/>
          </w:tcPr>
          <w:p w14:paraId="216C4514">
            <w:pPr>
              <w:jc w:val="center"/>
              <w:rPr>
                <w:rFonts w:hint="eastAsia" w:eastAsia="宋体"/>
                <w:szCs w:val="21"/>
                <w:lang w:val="en-US" w:eastAsia="zh-CN"/>
              </w:rPr>
            </w:pPr>
            <w:r>
              <w:rPr>
                <w:rFonts w:hint="eastAsia"/>
                <w:szCs w:val="21"/>
              </w:rPr>
              <w:t>0.8</w:t>
            </w:r>
            <w:r>
              <w:rPr>
                <w:rFonts w:hint="eastAsia"/>
                <w:szCs w:val="21"/>
                <w:lang w:val="en-US" w:eastAsia="zh-CN"/>
              </w:rPr>
              <w:t>8</w:t>
            </w:r>
          </w:p>
        </w:tc>
        <w:tc>
          <w:tcPr>
            <w:tcW w:w="1633" w:type="pct"/>
            <w:vAlign w:val="center"/>
          </w:tcPr>
          <w:p w14:paraId="51A2CD7C">
            <w:pPr>
              <w:jc w:val="center"/>
              <w:rPr>
                <w:szCs w:val="21"/>
              </w:rPr>
            </w:pPr>
            <w:r>
              <w:rPr>
                <w:rFonts w:hint="eastAsia" w:ascii="Calibri" w:hAnsi="Calibri"/>
                <w:szCs w:val="21"/>
              </w:rPr>
              <w:t>HW49其他废物（900-039-49）</w:t>
            </w:r>
          </w:p>
        </w:tc>
        <w:tc>
          <w:tcPr>
            <w:tcW w:w="1017" w:type="pct"/>
            <w:vMerge w:val="restart"/>
            <w:vAlign w:val="center"/>
          </w:tcPr>
          <w:p w14:paraId="6DB1DC62">
            <w:pPr>
              <w:jc w:val="center"/>
              <w:rPr>
                <w:szCs w:val="21"/>
              </w:rPr>
            </w:pPr>
            <w:r>
              <w:rPr>
                <w:szCs w:val="21"/>
              </w:rPr>
              <w:t>收集后暂存于危废</w:t>
            </w:r>
            <w:r>
              <w:rPr>
                <w:rFonts w:hint="eastAsia"/>
                <w:szCs w:val="21"/>
              </w:rPr>
              <w:t>贮存点</w:t>
            </w:r>
            <w:r>
              <w:rPr>
                <w:szCs w:val="21"/>
              </w:rPr>
              <w:t>，定期交由有资质的单位处置</w:t>
            </w:r>
          </w:p>
        </w:tc>
        <w:tc>
          <w:tcPr>
            <w:tcW w:w="535" w:type="pct"/>
            <w:vAlign w:val="center"/>
          </w:tcPr>
          <w:p w14:paraId="5B6084F3">
            <w:pPr>
              <w:jc w:val="center"/>
              <w:rPr>
                <w:szCs w:val="21"/>
              </w:rPr>
            </w:pPr>
            <w:r>
              <w:rPr>
                <w:rFonts w:hint="eastAsia"/>
                <w:szCs w:val="21"/>
              </w:rPr>
              <w:t>0</w:t>
            </w:r>
          </w:p>
        </w:tc>
      </w:tr>
      <w:tr w14:paraId="1552227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0" w:type="dxa"/>
            <w:bottom w:w="0" w:type="dxa"/>
            <w:right w:w="0" w:type="dxa"/>
          </w:tblCellMar>
        </w:tblPrEx>
        <w:trPr>
          <w:trHeight w:val="1015" w:hRule="atLeast"/>
          <w:jc w:val="center"/>
        </w:trPr>
        <w:tc>
          <w:tcPr>
            <w:tcW w:w="371" w:type="pct"/>
            <w:vAlign w:val="center"/>
          </w:tcPr>
          <w:p w14:paraId="4A898EB4">
            <w:pPr>
              <w:jc w:val="center"/>
              <w:rPr>
                <w:szCs w:val="21"/>
              </w:rPr>
            </w:pPr>
            <w:r>
              <w:rPr>
                <w:rFonts w:hint="eastAsia"/>
                <w:szCs w:val="21"/>
              </w:rPr>
              <w:t>2</w:t>
            </w:r>
          </w:p>
        </w:tc>
        <w:tc>
          <w:tcPr>
            <w:tcW w:w="1019" w:type="pct"/>
            <w:vAlign w:val="center"/>
          </w:tcPr>
          <w:p w14:paraId="1A347C90">
            <w:pPr>
              <w:jc w:val="center"/>
              <w:rPr>
                <w:szCs w:val="21"/>
              </w:rPr>
            </w:pPr>
            <w:r>
              <w:rPr>
                <w:szCs w:val="21"/>
              </w:rPr>
              <w:t>废润滑油</w:t>
            </w:r>
          </w:p>
        </w:tc>
        <w:tc>
          <w:tcPr>
            <w:tcW w:w="425" w:type="pct"/>
            <w:vAlign w:val="center"/>
          </w:tcPr>
          <w:p w14:paraId="6A9B6CBD">
            <w:pPr>
              <w:jc w:val="center"/>
              <w:rPr>
                <w:szCs w:val="21"/>
              </w:rPr>
            </w:pPr>
            <w:r>
              <w:rPr>
                <w:szCs w:val="21"/>
              </w:rPr>
              <w:t>0.</w:t>
            </w:r>
            <w:r>
              <w:rPr>
                <w:rFonts w:hint="eastAsia"/>
                <w:szCs w:val="21"/>
              </w:rPr>
              <w:t>12</w:t>
            </w:r>
          </w:p>
        </w:tc>
        <w:tc>
          <w:tcPr>
            <w:tcW w:w="1633" w:type="pct"/>
            <w:vAlign w:val="center"/>
          </w:tcPr>
          <w:p w14:paraId="67A772FD">
            <w:pPr>
              <w:jc w:val="center"/>
              <w:rPr>
                <w:szCs w:val="21"/>
              </w:rPr>
            </w:pPr>
            <w:r>
              <w:rPr>
                <w:szCs w:val="21"/>
              </w:rPr>
              <w:t>危险废物</w:t>
            </w:r>
            <w:r>
              <w:rPr>
                <w:rFonts w:hint="eastAsia"/>
                <w:szCs w:val="21"/>
              </w:rPr>
              <w:t>HW08类危险废物，废物代码为900-217-08</w:t>
            </w:r>
          </w:p>
        </w:tc>
        <w:tc>
          <w:tcPr>
            <w:tcW w:w="1017" w:type="pct"/>
            <w:vMerge w:val="continue"/>
            <w:vAlign w:val="center"/>
          </w:tcPr>
          <w:p w14:paraId="1DF33612">
            <w:pPr>
              <w:jc w:val="center"/>
              <w:rPr>
                <w:szCs w:val="21"/>
              </w:rPr>
            </w:pPr>
          </w:p>
        </w:tc>
        <w:tc>
          <w:tcPr>
            <w:tcW w:w="535" w:type="pct"/>
            <w:vAlign w:val="center"/>
          </w:tcPr>
          <w:p w14:paraId="166E0212">
            <w:pPr>
              <w:jc w:val="center"/>
              <w:rPr>
                <w:szCs w:val="21"/>
              </w:rPr>
            </w:pPr>
            <w:r>
              <w:rPr>
                <w:rFonts w:hint="eastAsia"/>
                <w:szCs w:val="21"/>
              </w:rPr>
              <w:t>0</w:t>
            </w:r>
          </w:p>
        </w:tc>
      </w:tr>
      <w:tr w14:paraId="4493543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0" w:type="dxa"/>
            <w:bottom w:w="0" w:type="dxa"/>
            <w:right w:w="0" w:type="dxa"/>
          </w:tblCellMar>
        </w:tblPrEx>
        <w:trPr>
          <w:trHeight w:val="689" w:hRule="atLeast"/>
          <w:jc w:val="center"/>
        </w:trPr>
        <w:tc>
          <w:tcPr>
            <w:tcW w:w="371" w:type="pct"/>
            <w:vAlign w:val="center"/>
          </w:tcPr>
          <w:p w14:paraId="0B01E6DC">
            <w:pPr>
              <w:jc w:val="center"/>
              <w:rPr>
                <w:szCs w:val="21"/>
              </w:rPr>
            </w:pPr>
            <w:r>
              <w:rPr>
                <w:rFonts w:hint="eastAsia"/>
                <w:szCs w:val="21"/>
              </w:rPr>
              <w:t>3</w:t>
            </w:r>
          </w:p>
        </w:tc>
        <w:tc>
          <w:tcPr>
            <w:tcW w:w="1019" w:type="pct"/>
            <w:vAlign w:val="center"/>
          </w:tcPr>
          <w:p w14:paraId="63024A68">
            <w:pPr>
              <w:jc w:val="center"/>
              <w:rPr>
                <w:szCs w:val="21"/>
              </w:rPr>
            </w:pPr>
            <w:r>
              <w:rPr>
                <w:rFonts w:hint="eastAsia"/>
                <w:szCs w:val="21"/>
              </w:rPr>
              <w:t>废润滑油桶</w:t>
            </w:r>
          </w:p>
        </w:tc>
        <w:tc>
          <w:tcPr>
            <w:tcW w:w="425" w:type="pct"/>
            <w:vAlign w:val="center"/>
          </w:tcPr>
          <w:p w14:paraId="69ED525E">
            <w:pPr>
              <w:jc w:val="center"/>
              <w:rPr>
                <w:szCs w:val="21"/>
              </w:rPr>
            </w:pPr>
            <w:r>
              <w:rPr>
                <w:rFonts w:hint="eastAsia"/>
                <w:szCs w:val="21"/>
              </w:rPr>
              <w:t>0.024</w:t>
            </w:r>
          </w:p>
        </w:tc>
        <w:tc>
          <w:tcPr>
            <w:tcW w:w="1633" w:type="pct"/>
            <w:vAlign w:val="center"/>
          </w:tcPr>
          <w:p w14:paraId="507DD124">
            <w:pPr>
              <w:jc w:val="center"/>
              <w:rPr>
                <w:szCs w:val="21"/>
              </w:rPr>
            </w:pPr>
            <w:r>
              <w:rPr>
                <w:szCs w:val="21"/>
              </w:rPr>
              <w:t>危险废物</w:t>
            </w:r>
            <w:r>
              <w:rPr>
                <w:rFonts w:hint="eastAsia"/>
                <w:szCs w:val="21"/>
              </w:rPr>
              <w:t>HW08类危险废物，废物代码为900-249-08</w:t>
            </w:r>
          </w:p>
        </w:tc>
        <w:tc>
          <w:tcPr>
            <w:tcW w:w="1017" w:type="pct"/>
            <w:vMerge w:val="continue"/>
            <w:vAlign w:val="center"/>
          </w:tcPr>
          <w:p w14:paraId="05CD28A0">
            <w:pPr>
              <w:jc w:val="center"/>
              <w:rPr>
                <w:szCs w:val="21"/>
              </w:rPr>
            </w:pPr>
          </w:p>
        </w:tc>
        <w:tc>
          <w:tcPr>
            <w:tcW w:w="535" w:type="pct"/>
            <w:vAlign w:val="center"/>
          </w:tcPr>
          <w:p w14:paraId="2A9C2DBC">
            <w:pPr>
              <w:jc w:val="center"/>
              <w:rPr>
                <w:szCs w:val="21"/>
              </w:rPr>
            </w:pPr>
            <w:r>
              <w:rPr>
                <w:rFonts w:hint="eastAsia"/>
                <w:szCs w:val="21"/>
              </w:rPr>
              <w:t>0</w:t>
            </w:r>
          </w:p>
        </w:tc>
      </w:tr>
      <w:tr w14:paraId="4038936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0" w:type="dxa"/>
            <w:bottom w:w="0" w:type="dxa"/>
            <w:right w:w="0" w:type="dxa"/>
          </w:tblCellMar>
        </w:tblPrEx>
        <w:trPr>
          <w:trHeight w:val="712" w:hRule="atLeast"/>
          <w:jc w:val="center"/>
        </w:trPr>
        <w:tc>
          <w:tcPr>
            <w:tcW w:w="371" w:type="pct"/>
            <w:vAlign w:val="center"/>
          </w:tcPr>
          <w:p w14:paraId="6311E644">
            <w:pPr>
              <w:jc w:val="center"/>
              <w:rPr>
                <w:rFonts w:hint="eastAsia" w:eastAsia="宋体"/>
                <w:szCs w:val="21"/>
                <w:lang w:eastAsia="zh-CN"/>
              </w:rPr>
            </w:pPr>
            <w:r>
              <w:rPr>
                <w:rFonts w:hint="eastAsia"/>
                <w:szCs w:val="21"/>
                <w:lang w:val="en-US" w:eastAsia="zh-CN"/>
              </w:rPr>
              <w:t>1</w:t>
            </w:r>
          </w:p>
        </w:tc>
        <w:tc>
          <w:tcPr>
            <w:tcW w:w="1019" w:type="pct"/>
            <w:vAlign w:val="center"/>
          </w:tcPr>
          <w:p w14:paraId="40BBB251">
            <w:pPr>
              <w:jc w:val="center"/>
              <w:rPr>
                <w:szCs w:val="21"/>
              </w:rPr>
            </w:pPr>
            <w:r>
              <w:rPr>
                <w:szCs w:val="21"/>
              </w:rPr>
              <w:t>生活垃圾</w:t>
            </w:r>
          </w:p>
        </w:tc>
        <w:tc>
          <w:tcPr>
            <w:tcW w:w="425" w:type="pct"/>
            <w:vAlign w:val="center"/>
          </w:tcPr>
          <w:p w14:paraId="7BB4B1AD">
            <w:pPr>
              <w:jc w:val="center"/>
              <w:rPr>
                <w:rFonts w:hint="default" w:eastAsia="宋体"/>
                <w:szCs w:val="21"/>
                <w:lang w:val="en-US" w:eastAsia="zh-CN"/>
              </w:rPr>
            </w:pPr>
            <w:r>
              <w:rPr>
                <w:rFonts w:hint="eastAsia"/>
                <w:szCs w:val="21"/>
                <w:lang w:val="en-US" w:eastAsia="zh-CN"/>
              </w:rPr>
              <w:t>0.72</w:t>
            </w:r>
          </w:p>
        </w:tc>
        <w:tc>
          <w:tcPr>
            <w:tcW w:w="1633" w:type="pct"/>
            <w:vAlign w:val="center"/>
          </w:tcPr>
          <w:p w14:paraId="5E113B66">
            <w:pPr>
              <w:jc w:val="center"/>
              <w:rPr>
                <w:szCs w:val="21"/>
              </w:rPr>
            </w:pPr>
            <w:r>
              <w:rPr>
                <w:szCs w:val="21"/>
              </w:rPr>
              <w:t>生活垃圾</w:t>
            </w:r>
          </w:p>
        </w:tc>
        <w:tc>
          <w:tcPr>
            <w:tcW w:w="1017" w:type="pct"/>
            <w:vAlign w:val="center"/>
          </w:tcPr>
          <w:p w14:paraId="56209424">
            <w:pPr>
              <w:jc w:val="center"/>
              <w:rPr>
                <w:szCs w:val="21"/>
              </w:rPr>
            </w:pPr>
            <w:r>
              <w:rPr>
                <w:szCs w:val="21"/>
              </w:rPr>
              <w:t>收集</w:t>
            </w:r>
            <w:r>
              <w:rPr>
                <w:rFonts w:hint="eastAsia"/>
                <w:szCs w:val="21"/>
              </w:rPr>
              <w:t>后</w:t>
            </w:r>
            <w:r>
              <w:rPr>
                <w:szCs w:val="21"/>
              </w:rPr>
              <w:t>交由环卫部门清运处置</w:t>
            </w:r>
          </w:p>
        </w:tc>
        <w:tc>
          <w:tcPr>
            <w:tcW w:w="535" w:type="pct"/>
            <w:vAlign w:val="center"/>
          </w:tcPr>
          <w:p w14:paraId="3AE00BFC">
            <w:pPr>
              <w:jc w:val="center"/>
              <w:rPr>
                <w:szCs w:val="21"/>
              </w:rPr>
            </w:pPr>
            <w:r>
              <w:rPr>
                <w:rFonts w:hint="eastAsia"/>
                <w:szCs w:val="21"/>
              </w:rPr>
              <w:t>0</w:t>
            </w:r>
          </w:p>
        </w:tc>
      </w:tr>
    </w:tbl>
    <w:p w14:paraId="545B2292">
      <w:pPr>
        <w:pStyle w:val="3"/>
        <w:keepNext w:val="0"/>
        <w:keepLines w:val="0"/>
        <w:autoSpaceDE w:val="0"/>
        <w:autoSpaceDN w:val="0"/>
        <w:spacing w:before="0" w:after="0" w:line="360" w:lineRule="auto"/>
        <w:jc w:val="left"/>
        <w:rPr>
          <w:rFonts w:ascii="Times New Roman" w:hAnsi="Times New Roman" w:eastAsia="宋体"/>
          <w:kern w:val="0"/>
          <w:sz w:val="24"/>
          <w:szCs w:val="30"/>
          <w:lang w:val="en-US" w:bidi="zh-CN"/>
        </w:rPr>
      </w:pPr>
      <w:bookmarkStart w:id="157" w:name="_Toc14565"/>
      <w:r>
        <w:rPr>
          <w:rFonts w:hint="eastAsia" w:ascii="Times New Roman" w:hAnsi="Times New Roman" w:eastAsia="宋体"/>
          <w:kern w:val="0"/>
          <w:sz w:val="24"/>
          <w:szCs w:val="30"/>
          <w:lang w:val="en-US" w:bidi="zh-CN"/>
        </w:rPr>
        <w:t>3.5营运期污染源汇总</w:t>
      </w:r>
      <w:bookmarkEnd w:id="156"/>
      <w:bookmarkEnd w:id="157"/>
    </w:p>
    <w:p w14:paraId="474A1780">
      <w:pPr>
        <w:autoSpaceDE w:val="0"/>
        <w:autoSpaceDN w:val="0"/>
        <w:adjustRightInd w:val="0"/>
        <w:ind w:firstLine="480"/>
        <w:rPr>
          <w:rFonts w:hint="eastAsia" w:ascii="宋体" w:hAnsi="宋体" w:cs="宋体"/>
          <w:sz w:val="24"/>
          <w:szCs w:val="24"/>
        </w:rPr>
      </w:pPr>
      <w:r>
        <w:rPr>
          <w:rFonts w:hint="eastAsia" w:ascii="宋体" w:hAnsi="宋体" w:cs="宋体"/>
          <w:sz w:val="24"/>
          <w:szCs w:val="24"/>
        </w:rPr>
        <w:t>本项目营运期污染源汇总见表3.5-1。</w:t>
      </w:r>
    </w:p>
    <w:p w14:paraId="73AA6254">
      <w:pPr>
        <w:spacing w:line="440" w:lineRule="exact"/>
        <w:ind w:firstLine="422" w:firstLineChars="200"/>
        <w:jc w:val="center"/>
        <w:rPr>
          <w:rFonts w:hint="eastAsia" w:hAnsi="宋体"/>
          <w:b/>
          <w:color w:val="000000"/>
          <w:kern w:val="0"/>
          <w:szCs w:val="21"/>
        </w:rPr>
      </w:pPr>
      <w:r>
        <w:rPr>
          <w:rFonts w:hint="eastAsia" w:hAnsi="宋体"/>
          <w:b/>
          <w:color w:val="000000"/>
          <w:kern w:val="0"/>
          <w:szCs w:val="21"/>
        </w:rPr>
        <w:t xml:space="preserve">       </w:t>
      </w:r>
    </w:p>
    <w:p w14:paraId="007468E3">
      <w:pPr>
        <w:spacing w:line="440" w:lineRule="exact"/>
        <w:ind w:firstLine="422" w:firstLineChars="200"/>
        <w:jc w:val="center"/>
        <w:rPr>
          <w:rFonts w:hint="eastAsia" w:hAnsi="宋体"/>
          <w:b/>
          <w:color w:val="000000"/>
          <w:kern w:val="0"/>
          <w:szCs w:val="21"/>
        </w:rPr>
      </w:pPr>
      <w:r>
        <w:rPr>
          <w:rFonts w:hint="eastAsia" w:hAnsi="宋体"/>
          <w:b/>
          <w:color w:val="000000"/>
          <w:kern w:val="0"/>
          <w:szCs w:val="21"/>
        </w:rPr>
        <w:t xml:space="preserve">  </w:t>
      </w:r>
      <w:r>
        <w:rPr>
          <w:rFonts w:hAnsi="宋体"/>
          <w:b/>
          <w:color w:val="000000"/>
          <w:kern w:val="0"/>
          <w:szCs w:val="21"/>
        </w:rPr>
        <w:t>表</w:t>
      </w:r>
      <w:r>
        <w:rPr>
          <w:rFonts w:hint="eastAsia" w:hAnsi="宋体"/>
          <w:b/>
          <w:color w:val="000000"/>
          <w:kern w:val="0"/>
          <w:szCs w:val="21"/>
        </w:rPr>
        <w:t>3.5</w:t>
      </w:r>
      <w:r>
        <w:rPr>
          <w:rFonts w:hAnsi="宋体"/>
          <w:b/>
          <w:color w:val="000000"/>
          <w:kern w:val="0"/>
          <w:szCs w:val="21"/>
        </w:rPr>
        <w:t xml:space="preserve">-1     污染物产生及排放统计表     </w:t>
      </w:r>
      <w:r>
        <w:rPr>
          <w:rFonts w:hint="eastAsia" w:hAnsi="宋体"/>
          <w:b/>
          <w:color w:val="000000"/>
          <w:kern w:val="0"/>
          <w:szCs w:val="21"/>
        </w:rPr>
        <w:t xml:space="preserve">      </w:t>
      </w:r>
      <w:r>
        <w:rPr>
          <w:rFonts w:hAnsi="宋体"/>
          <w:b/>
          <w:color w:val="000000"/>
          <w:kern w:val="0"/>
          <w:szCs w:val="21"/>
        </w:rPr>
        <w:t xml:space="preserve"> 单位：t/a</w:t>
      </w:r>
    </w:p>
    <w:tbl>
      <w:tblPr>
        <w:tblStyle w:val="50"/>
        <w:tblW w:w="5000" w:type="pct"/>
        <w:tblInd w:w="0" w:type="dxa"/>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
      <w:tblGrid>
        <w:gridCol w:w="741"/>
        <w:gridCol w:w="470"/>
        <w:gridCol w:w="227"/>
        <w:gridCol w:w="765"/>
        <w:gridCol w:w="1625"/>
        <w:gridCol w:w="1406"/>
        <w:gridCol w:w="1158"/>
        <w:gridCol w:w="1165"/>
        <w:gridCol w:w="1731"/>
      </w:tblGrid>
      <w:tr w14:paraId="52FA03D6">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441" w:hRule="atLeast"/>
          <w:tblHeader/>
        </w:trPr>
        <w:tc>
          <w:tcPr>
            <w:tcW w:w="398" w:type="pct"/>
            <w:tcBorders>
              <w:tl2br w:val="nil"/>
              <w:tr2bl w:val="nil"/>
            </w:tcBorders>
            <w:vAlign w:val="center"/>
          </w:tcPr>
          <w:p w14:paraId="0CE888B6">
            <w:pPr>
              <w:jc w:val="center"/>
              <w:rPr>
                <w:bCs/>
                <w:color w:val="000000"/>
                <w:szCs w:val="21"/>
              </w:rPr>
            </w:pPr>
            <w:r>
              <w:rPr>
                <w:bCs/>
                <w:color w:val="000000"/>
                <w:szCs w:val="21"/>
              </w:rPr>
              <w:t>类别</w:t>
            </w:r>
          </w:p>
        </w:tc>
        <w:tc>
          <w:tcPr>
            <w:tcW w:w="1661" w:type="pct"/>
            <w:gridSpan w:val="4"/>
            <w:tcBorders>
              <w:tl2br w:val="nil"/>
              <w:tr2bl w:val="nil"/>
            </w:tcBorders>
            <w:vAlign w:val="center"/>
          </w:tcPr>
          <w:p w14:paraId="4FD16318">
            <w:pPr>
              <w:jc w:val="center"/>
              <w:rPr>
                <w:bCs/>
                <w:color w:val="000000"/>
                <w:szCs w:val="21"/>
              </w:rPr>
            </w:pPr>
            <w:r>
              <w:rPr>
                <w:rFonts w:hint="eastAsia"/>
                <w:bCs/>
                <w:color w:val="000000"/>
                <w:szCs w:val="21"/>
              </w:rPr>
              <w:t>污染源</w:t>
            </w:r>
          </w:p>
        </w:tc>
        <w:tc>
          <w:tcPr>
            <w:tcW w:w="756" w:type="pct"/>
            <w:tcBorders>
              <w:tl2br w:val="nil"/>
              <w:tr2bl w:val="nil"/>
            </w:tcBorders>
            <w:vAlign w:val="center"/>
          </w:tcPr>
          <w:p w14:paraId="2ED35ECF">
            <w:pPr>
              <w:jc w:val="center"/>
              <w:rPr>
                <w:bCs/>
                <w:color w:val="000000"/>
                <w:szCs w:val="21"/>
              </w:rPr>
            </w:pPr>
            <w:r>
              <w:rPr>
                <w:bCs/>
                <w:color w:val="000000"/>
                <w:szCs w:val="21"/>
              </w:rPr>
              <w:t>污染物</w:t>
            </w:r>
          </w:p>
        </w:tc>
        <w:tc>
          <w:tcPr>
            <w:tcW w:w="623" w:type="pct"/>
            <w:tcBorders>
              <w:tl2br w:val="nil"/>
              <w:tr2bl w:val="nil"/>
            </w:tcBorders>
            <w:vAlign w:val="center"/>
          </w:tcPr>
          <w:p w14:paraId="7DE8E723">
            <w:pPr>
              <w:jc w:val="center"/>
              <w:rPr>
                <w:bCs/>
                <w:color w:val="000000"/>
                <w:szCs w:val="21"/>
              </w:rPr>
            </w:pPr>
            <w:r>
              <w:rPr>
                <w:bCs/>
                <w:color w:val="000000"/>
                <w:szCs w:val="21"/>
              </w:rPr>
              <w:t>产生量</w:t>
            </w:r>
          </w:p>
        </w:tc>
        <w:tc>
          <w:tcPr>
            <w:tcW w:w="627" w:type="pct"/>
            <w:tcBorders>
              <w:tl2br w:val="nil"/>
              <w:tr2bl w:val="nil"/>
            </w:tcBorders>
            <w:vAlign w:val="center"/>
          </w:tcPr>
          <w:p w14:paraId="6AF835E7">
            <w:pPr>
              <w:jc w:val="center"/>
              <w:rPr>
                <w:bCs/>
                <w:color w:val="000000"/>
                <w:szCs w:val="21"/>
              </w:rPr>
            </w:pPr>
            <w:r>
              <w:rPr>
                <w:bCs/>
                <w:color w:val="000000"/>
                <w:szCs w:val="21"/>
              </w:rPr>
              <w:t>排放量</w:t>
            </w:r>
          </w:p>
        </w:tc>
        <w:tc>
          <w:tcPr>
            <w:tcW w:w="931" w:type="pct"/>
            <w:tcBorders>
              <w:tl2br w:val="nil"/>
              <w:tr2bl w:val="nil"/>
            </w:tcBorders>
            <w:vAlign w:val="center"/>
          </w:tcPr>
          <w:p w14:paraId="4F38D96D">
            <w:pPr>
              <w:jc w:val="center"/>
              <w:rPr>
                <w:bCs/>
                <w:color w:val="000000"/>
                <w:szCs w:val="21"/>
              </w:rPr>
            </w:pPr>
            <w:r>
              <w:rPr>
                <w:rFonts w:hint="eastAsia"/>
                <w:bCs/>
                <w:color w:val="000000"/>
                <w:szCs w:val="21"/>
              </w:rPr>
              <w:t>治理措施</w:t>
            </w:r>
          </w:p>
        </w:tc>
      </w:tr>
      <w:tr w14:paraId="690D0573">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933" w:hRule="atLeast"/>
        </w:trPr>
        <w:tc>
          <w:tcPr>
            <w:tcW w:w="398" w:type="pct"/>
            <w:vMerge w:val="restart"/>
            <w:tcBorders>
              <w:tl2br w:val="nil"/>
              <w:tr2bl w:val="nil"/>
            </w:tcBorders>
            <w:vAlign w:val="center"/>
          </w:tcPr>
          <w:p w14:paraId="5C720F64">
            <w:pPr>
              <w:jc w:val="center"/>
              <w:rPr>
                <w:bCs/>
                <w:color w:val="000000"/>
                <w:szCs w:val="21"/>
              </w:rPr>
            </w:pPr>
            <w:r>
              <w:rPr>
                <w:bCs/>
                <w:color w:val="000000"/>
                <w:szCs w:val="21"/>
              </w:rPr>
              <w:t>大气污染物</w:t>
            </w:r>
          </w:p>
        </w:tc>
        <w:tc>
          <w:tcPr>
            <w:tcW w:w="253" w:type="pct"/>
            <w:vMerge w:val="restart"/>
            <w:tcBorders>
              <w:tl2br w:val="nil"/>
              <w:tr2bl w:val="nil"/>
            </w:tcBorders>
            <w:vAlign w:val="center"/>
          </w:tcPr>
          <w:p w14:paraId="1EC569B0">
            <w:pPr>
              <w:jc w:val="center"/>
              <w:rPr>
                <w:bCs/>
                <w:color w:val="000000"/>
                <w:szCs w:val="21"/>
              </w:rPr>
            </w:pPr>
            <w:r>
              <w:rPr>
                <w:rFonts w:hint="eastAsia"/>
                <w:bCs/>
                <w:color w:val="000000"/>
                <w:szCs w:val="21"/>
              </w:rPr>
              <w:t>有组织</w:t>
            </w:r>
          </w:p>
        </w:tc>
        <w:tc>
          <w:tcPr>
            <w:tcW w:w="534" w:type="pct"/>
            <w:gridSpan w:val="2"/>
            <w:vMerge w:val="restart"/>
            <w:tcBorders>
              <w:tl2br w:val="nil"/>
              <w:tr2bl w:val="nil"/>
            </w:tcBorders>
            <w:vAlign w:val="center"/>
          </w:tcPr>
          <w:p w14:paraId="1674502B">
            <w:pPr>
              <w:jc w:val="center"/>
              <w:rPr>
                <w:bCs/>
                <w:color w:val="000000"/>
                <w:szCs w:val="21"/>
              </w:rPr>
            </w:pPr>
            <w:r>
              <w:rPr>
                <w:rFonts w:hint="eastAsia"/>
                <w:bCs/>
                <w:color w:val="000000"/>
                <w:szCs w:val="21"/>
              </w:rPr>
              <w:t>造粒、滴灌带生产车间</w:t>
            </w:r>
          </w:p>
        </w:tc>
        <w:tc>
          <w:tcPr>
            <w:tcW w:w="874" w:type="pct"/>
            <w:vMerge w:val="restart"/>
            <w:tcBorders>
              <w:tl2br w:val="nil"/>
              <w:tr2bl w:val="nil"/>
            </w:tcBorders>
            <w:vAlign w:val="center"/>
          </w:tcPr>
          <w:p w14:paraId="07344330">
            <w:pPr>
              <w:jc w:val="center"/>
              <w:rPr>
                <w:bCs/>
                <w:color w:val="000000"/>
                <w:szCs w:val="21"/>
              </w:rPr>
            </w:pPr>
            <w:r>
              <w:rPr>
                <w:rFonts w:hint="eastAsia"/>
                <w:bCs/>
                <w:color w:val="000000"/>
                <w:szCs w:val="21"/>
              </w:rPr>
              <w:t>造粒、滴灌带生产热熔挤出工序</w:t>
            </w:r>
          </w:p>
        </w:tc>
        <w:tc>
          <w:tcPr>
            <w:tcW w:w="756" w:type="pct"/>
            <w:tcBorders>
              <w:tl2br w:val="nil"/>
              <w:tr2bl w:val="nil"/>
            </w:tcBorders>
            <w:vAlign w:val="center"/>
          </w:tcPr>
          <w:p w14:paraId="7B023970">
            <w:pPr>
              <w:jc w:val="center"/>
              <w:rPr>
                <w:bCs/>
                <w:color w:val="000000"/>
                <w:szCs w:val="21"/>
              </w:rPr>
            </w:pPr>
            <w:r>
              <w:rPr>
                <w:rFonts w:hint="eastAsia"/>
                <w:bCs/>
                <w:color w:val="000000"/>
                <w:szCs w:val="21"/>
              </w:rPr>
              <w:t>非甲烷总烃</w:t>
            </w:r>
          </w:p>
        </w:tc>
        <w:tc>
          <w:tcPr>
            <w:tcW w:w="623" w:type="pct"/>
            <w:tcBorders>
              <w:tl2br w:val="nil"/>
              <w:tr2bl w:val="nil"/>
            </w:tcBorders>
            <w:vAlign w:val="center"/>
          </w:tcPr>
          <w:p w14:paraId="1F6275F3">
            <w:pPr>
              <w:jc w:val="center"/>
              <w:rPr>
                <w:bCs/>
                <w:color w:val="000000"/>
                <w:szCs w:val="21"/>
              </w:rPr>
            </w:pPr>
            <w:r>
              <w:rPr>
                <w:rFonts w:hint="eastAsia"/>
                <w:bCs/>
                <w:szCs w:val="21"/>
                <w:lang w:val="en-US" w:eastAsia="zh-CN"/>
              </w:rPr>
              <w:t>16.9175</w:t>
            </w:r>
          </w:p>
        </w:tc>
        <w:tc>
          <w:tcPr>
            <w:tcW w:w="627" w:type="pct"/>
            <w:tcBorders>
              <w:tl2br w:val="nil"/>
              <w:tr2bl w:val="nil"/>
            </w:tcBorders>
            <w:vAlign w:val="center"/>
          </w:tcPr>
          <w:p w14:paraId="1F53B349">
            <w:pPr>
              <w:jc w:val="center"/>
              <w:rPr>
                <w:bCs/>
                <w:color w:val="000000"/>
                <w:szCs w:val="21"/>
              </w:rPr>
            </w:pPr>
            <w:r>
              <w:rPr>
                <w:rFonts w:hint="eastAsia"/>
                <w:bCs/>
                <w:szCs w:val="21"/>
                <w:lang w:val="en-US" w:eastAsia="zh-CN"/>
              </w:rPr>
              <w:t>2.5376</w:t>
            </w:r>
          </w:p>
        </w:tc>
        <w:tc>
          <w:tcPr>
            <w:tcW w:w="931" w:type="pct"/>
            <w:vMerge w:val="restart"/>
            <w:tcBorders>
              <w:tl2br w:val="nil"/>
              <w:tr2bl w:val="nil"/>
            </w:tcBorders>
            <w:vAlign w:val="center"/>
          </w:tcPr>
          <w:p w14:paraId="6911C059">
            <w:pPr>
              <w:jc w:val="center"/>
              <w:rPr>
                <w:bCs/>
                <w:color w:val="000000"/>
                <w:szCs w:val="21"/>
              </w:rPr>
            </w:pPr>
            <w:r>
              <w:rPr>
                <w:rFonts w:hint="eastAsia"/>
                <w:bCs/>
                <w:color w:val="000000"/>
                <w:szCs w:val="21"/>
              </w:rPr>
              <w:t>每一条生产线设1台集气罩，共用1套</w:t>
            </w:r>
            <w:r>
              <w:rPr>
                <w:rFonts w:hint="eastAsia"/>
                <w:lang w:eastAsia="zh-CN" w:bidi="ar"/>
              </w:rPr>
              <w:t>活性炭浓缩吸附+催化燃烧</w:t>
            </w:r>
            <w:r>
              <w:rPr>
                <w:lang w:bidi="ar"/>
              </w:rPr>
              <w:t>系统</w:t>
            </w:r>
            <w:r>
              <w:rPr>
                <w:rFonts w:hint="eastAsia"/>
                <w:bCs/>
                <w:szCs w:val="21"/>
              </w:rPr>
              <w:t>+15m高排气筒（DA001）排放</w:t>
            </w:r>
          </w:p>
        </w:tc>
      </w:tr>
      <w:tr w14:paraId="2EC4912E">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22" w:hRule="atLeast"/>
        </w:trPr>
        <w:tc>
          <w:tcPr>
            <w:tcW w:w="398" w:type="pct"/>
            <w:vMerge w:val="continue"/>
            <w:tcBorders>
              <w:tl2br w:val="nil"/>
              <w:tr2bl w:val="nil"/>
            </w:tcBorders>
            <w:vAlign w:val="center"/>
          </w:tcPr>
          <w:p w14:paraId="3396F4EE">
            <w:pPr>
              <w:jc w:val="center"/>
              <w:rPr>
                <w:bCs/>
                <w:color w:val="000000"/>
                <w:szCs w:val="21"/>
              </w:rPr>
            </w:pPr>
          </w:p>
        </w:tc>
        <w:tc>
          <w:tcPr>
            <w:tcW w:w="253" w:type="pct"/>
            <w:vMerge w:val="continue"/>
            <w:tcBorders>
              <w:tl2br w:val="nil"/>
              <w:tr2bl w:val="nil"/>
            </w:tcBorders>
            <w:vAlign w:val="center"/>
          </w:tcPr>
          <w:p w14:paraId="413F145F">
            <w:pPr>
              <w:jc w:val="center"/>
              <w:rPr>
                <w:bCs/>
                <w:color w:val="000000"/>
                <w:szCs w:val="21"/>
              </w:rPr>
            </w:pPr>
          </w:p>
        </w:tc>
        <w:tc>
          <w:tcPr>
            <w:tcW w:w="534" w:type="pct"/>
            <w:gridSpan w:val="2"/>
            <w:vMerge w:val="continue"/>
            <w:tcBorders>
              <w:tl2br w:val="nil"/>
              <w:tr2bl w:val="nil"/>
            </w:tcBorders>
            <w:vAlign w:val="center"/>
          </w:tcPr>
          <w:p w14:paraId="2BFD460C">
            <w:pPr>
              <w:jc w:val="center"/>
              <w:rPr>
                <w:bCs/>
                <w:color w:val="000000"/>
                <w:szCs w:val="21"/>
              </w:rPr>
            </w:pPr>
          </w:p>
        </w:tc>
        <w:tc>
          <w:tcPr>
            <w:tcW w:w="874" w:type="pct"/>
            <w:vMerge w:val="continue"/>
            <w:tcBorders>
              <w:tl2br w:val="nil"/>
              <w:tr2bl w:val="nil"/>
            </w:tcBorders>
            <w:vAlign w:val="center"/>
          </w:tcPr>
          <w:p w14:paraId="2E75036A">
            <w:pPr>
              <w:jc w:val="center"/>
              <w:rPr>
                <w:bCs/>
                <w:color w:val="000000"/>
                <w:szCs w:val="21"/>
              </w:rPr>
            </w:pPr>
          </w:p>
        </w:tc>
        <w:tc>
          <w:tcPr>
            <w:tcW w:w="756" w:type="pct"/>
            <w:tcBorders>
              <w:tl2br w:val="nil"/>
              <w:tr2bl w:val="nil"/>
            </w:tcBorders>
            <w:vAlign w:val="center"/>
          </w:tcPr>
          <w:p w14:paraId="5A10D72B">
            <w:pPr>
              <w:jc w:val="center"/>
              <w:rPr>
                <w:bCs/>
                <w:color w:val="000000"/>
                <w:szCs w:val="21"/>
              </w:rPr>
            </w:pPr>
            <w:r>
              <w:rPr>
                <w:rFonts w:hint="eastAsia"/>
                <w:bCs/>
                <w:color w:val="000000"/>
                <w:szCs w:val="21"/>
              </w:rPr>
              <w:t>臭气浓度</w:t>
            </w:r>
          </w:p>
        </w:tc>
        <w:tc>
          <w:tcPr>
            <w:tcW w:w="623" w:type="pct"/>
            <w:tcBorders>
              <w:tl2br w:val="nil"/>
              <w:tr2bl w:val="nil"/>
            </w:tcBorders>
            <w:vAlign w:val="center"/>
          </w:tcPr>
          <w:p w14:paraId="531B6868">
            <w:pPr>
              <w:jc w:val="center"/>
              <w:rPr>
                <w:bCs/>
                <w:color w:val="000000"/>
                <w:szCs w:val="21"/>
              </w:rPr>
            </w:pPr>
            <w:r>
              <w:rPr>
                <w:rFonts w:hint="eastAsia"/>
                <w:bCs/>
                <w:color w:val="000000"/>
                <w:szCs w:val="21"/>
              </w:rPr>
              <w:t>少量</w:t>
            </w:r>
          </w:p>
        </w:tc>
        <w:tc>
          <w:tcPr>
            <w:tcW w:w="627" w:type="pct"/>
            <w:tcBorders>
              <w:tl2br w:val="nil"/>
              <w:tr2bl w:val="nil"/>
            </w:tcBorders>
            <w:vAlign w:val="center"/>
          </w:tcPr>
          <w:p w14:paraId="5D814B2D">
            <w:pPr>
              <w:jc w:val="center"/>
              <w:rPr>
                <w:bCs/>
                <w:color w:val="000000"/>
                <w:szCs w:val="21"/>
              </w:rPr>
            </w:pPr>
            <w:r>
              <w:rPr>
                <w:rFonts w:hint="eastAsia"/>
                <w:bCs/>
                <w:color w:val="000000"/>
                <w:szCs w:val="21"/>
              </w:rPr>
              <w:t>少量</w:t>
            </w:r>
          </w:p>
        </w:tc>
        <w:tc>
          <w:tcPr>
            <w:tcW w:w="931" w:type="pct"/>
            <w:vMerge w:val="continue"/>
            <w:tcBorders>
              <w:tl2br w:val="nil"/>
              <w:tr2bl w:val="nil"/>
            </w:tcBorders>
            <w:vAlign w:val="center"/>
          </w:tcPr>
          <w:p w14:paraId="442DDEAE">
            <w:pPr>
              <w:jc w:val="center"/>
              <w:rPr>
                <w:bCs/>
                <w:color w:val="000000"/>
                <w:szCs w:val="21"/>
              </w:rPr>
            </w:pPr>
          </w:p>
        </w:tc>
      </w:tr>
      <w:tr w14:paraId="26B32499">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626" w:hRule="atLeast"/>
        </w:trPr>
        <w:tc>
          <w:tcPr>
            <w:tcW w:w="398" w:type="pct"/>
            <w:vMerge w:val="continue"/>
            <w:tcBorders>
              <w:tl2br w:val="nil"/>
              <w:tr2bl w:val="nil"/>
            </w:tcBorders>
            <w:vAlign w:val="center"/>
          </w:tcPr>
          <w:p w14:paraId="698D4103">
            <w:pPr>
              <w:jc w:val="center"/>
              <w:rPr>
                <w:bCs/>
                <w:color w:val="000000"/>
                <w:szCs w:val="21"/>
              </w:rPr>
            </w:pPr>
          </w:p>
        </w:tc>
        <w:tc>
          <w:tcPr>
            <w:tcW w:w="253" w:type="pct"/>
            <w:vMerge w:val="restart"/>
            <w:tcBorders>
              <w:tl2br w:val="nil"/>
              <w:tr2bl w:val="nil"/>
            </w:tcBorders>
            <w:vAlign w:val="center"/>
          </w:tcPr>
          <w:p w14:paraId="6B040A4C">
            <w:pPr>
              <w:jc w:val="center"/>
              <w:rPr>
                <w:bCs/>
                <w:color w:val="000000"/>
                <w:szCs w:val="21"/>
              </w:rPr>
            </w:pPr>
            <w:r>
              <w:rPr>
                <w:rFonts w:hint="eastAsia"/>
                <w:bCs/>
                <w:color w:val="000000"/>
                <w:szCs w:val="21"/>
              </w:rPr>
              <w:t>无组织</w:t>
            </w:r>
          </w:p>
        </w:tc>
        <w:tc>
          <w:tcPr>
            <w:tcW w:w="534" w:type="pct"/>
            <w:gridSpan w:val="2"/>
            <w:vMerge w:val="restart"/>
            <w:tcBorders>
              <w:tl2br w:val="nil"/>
              <w:tr2bl w:val="nil"/>
            </w:tcBorders>
            <w:vAlign w:val="center"/>
          </w:tcPr>
          <w:p w14:paraId="150BE944">
            <w:pPr>
              <w:jc w:val="center"/>
              <w:rPr>
                <w:bCs/>
                <w:color w:val="000000"/>
                <w:szCs w:val="21"/>
              </w:rPr>
            </w:pPr>
            <w:r>
              <w:rPr>
                <w:rFonts w:hint="eastAsia"/>
                <w:bCs/>
                <w:color w:val="000000"/>
                <w:szCs w:val="21"/>
              </w:rPr>
              <w:t>造粒、滴灌带生产车间</w:t>
            </w:r>
          </w:p>
        </w:tc>
        <w:tc>
          <w:tcPr>
            <w:tcW w:w="874" w:type="pct"/>
            <w:vMerge w:val="restart"/>
            <w:tcBorders>
              <w:tl2br w:val="nil"/>
              <w:tr2bl w:val="nil"/>
            </w:tcBorders>
            <w:vAlign w:val="center"/>
          </w:tcPr>
          <w:p w14:paraId="05009FA9">
            <w:pPr>
              <w:jc w:val="center"/>
              <w:rPr>
                <w:bCs/>
                <w:color w:val="000000"/>
                <w:szCs w:val="21"/>
              </w:rPr>
            </w:pPr>
            <w:r>
              <w:rPr>
                <w:rFonts w:hint="eastAsia"/>
                <w:bCs/>
                <w:color w:val="000000"/>
                <w:szCs w:val="21"/>
              </w:rPr>
              <w:t>造粒、滴灌带热熔挤出工序</w:t>
            </w:r>
          </w:p>
        </w:tc>
        <w:tc>
          <w:tcPr>
            <w:tcW w:w="756" w:type="pct"/>
            <w:tcBorders>
              <w:tl2br w:val="nil"/>
              <w:tr2bl w:val="nil"/>
            </w:tcBorders>
            <w:vAlign w:val="center"/>
          </w:tcPr>
          <w:p w14:paraId="03F9D497">
            <w:pPr>
              <w:jc w:val="center"/>
              <w:rPr>
                <w:bCs/>
                <w:color w:val="000000"/>
                <w:szCs w:val="21"/>
              </w:rPr>
            </w:pPr>
            <w:r>
              <w:rPr>
                <w:bCs/>
                <w:color w:val="000000"/>
                <w:szCs w:val="21"/>
              </w:rPr>
              <w:t>非甲烷总烃</w:t>
            </w:r>
          </w:p>
        </w:tc>
        <w:tc>
          <w:tcPr>
            <w:tcW w:w="623" w:type="pct"/>
            <w:tcBorders>
              <w:tl2br w:val="nil"/>
              <w:tr2bl w:val="nil"/>
            </w:tcBorders>
            <w:vAlign w:val="center"/>
          </w:tcPr>
          <w:p w14:paraId="225D4F31">
            <w:pPr>
              <w:jc w:val="center"/>
              <w:rPr>
                <w:bCs/>
                <w:color w:val="000000"/>
                <w:szCs w:val="21"/>
              </w:rPr>
            </w:pPr>
            <w:r>
              <w:rPr>
                <w:rFonts w:hint="eastAsia"/>
                <w:bCs/>
                <w:szCs w:val="21"/>
                <w:lang w:val="en-US" w:eastAsia="zh-CN"/>
              </w:rPr>
              <w:t>1.6918</w:t>
            </w:r>
          </w:p>
        </w:tc>
        <w:tc>
          <w:tcPr>
            <w:tcW w:w="627" w:type="pct"/>
            <w:tcBorders>
              <w:tl2br w:val="nil"/>
              <w:tr2bl w:val="nil"/>
            </w:tcBorders>
            <w:vAlign w:val="center"/>
          </w:tcPr>
          <w:p w14:paraId="70B3D653">
            <w:pPr>
              <w:jc w:val="center"/>
              <w:rPr>
                <w:bCs/>
                <w:color w:val="000000"/>
                <w:szCs w:val="21"/>
              </w:rPr>
            </w:pPr>
            <w:r>
              <w:rPr>
                <w:rFonts w:hint="eastAsia"/>
                <w:bCs/>
                <w:szCs w:val="21"/>
                <w:lang w:val="en-US" w:eastAsia="zh-CN"/>
              </w:rPr>
              <w:t>1.6918</w:t>
            </w:r>
          </w:p>
        </w:tc>
        <w:tc>
          <w:tcPr>
            <w:tcW w:w="931" w:type="pct"/>
            <w:vMerge w:val="restart"/>
            <w:tcBorders>
              <w:tl2br w:val="nil"/>
              <w:tr2bl w:val="nil"/>
            </w:tcBorders>
            <w:vAlign w:val="center"/>
          </w:tcPr>
          <w:p w14:paraId="3E3231F4">
            <w:pPr>
              <w:jc w:val="center"/>
              <w:rPr>
                <w:bCs/>
                <w:color w:val="000000"/>
                <w:szCs w:val="21"/>
              </w:rPr>
            </w:pPr>
            <w:r>
              <w:rPr>
                <w:rFonts w:hint="eastAsia"/>
                <w:bCs/>
                <w:color w:val="000000"/>
                <w:szCs w:val="21"/>
              </w:rPr>
              <w:t>设置排风扇，生产过程均在厂房内进行</w:t>
            </w:r>
          </w:p>
        </w:tc>
      </w:tr>
      <w:tr w14:paraId="502E285D">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415" w:hRule="atLeast"/>
        </w:trPr>
        <w:tc>
          <w:tcPr>
            <w:tcW w:w="398" w:type="pct"/>
            <w:vMerge w:val="continue"/>
            <w:tcBorders>
              <w:tl2br w:val="nil"/>
              <w:tr2bl w:val="nil"/>
            </w:tcBorders>
            <w:vAlign w:val="center"/>
          </w:tcPr>
          <w:p w14:paraId="418FDBF2">
            <w:pPr>
              <w:jc w:val="center"/>
              <w:rPr>
                <w:bCs/>
                <w:color w:val="000000"/>
                <w:szCs w:val="21"/>
              </w:rPr>
            </w:pPr>
          </w:p>
        </w:tc>
        <w:tc>
          <w:tcPr>
            <w:tcW w:w="253" w:type="pct"/>
            <w:vMerge w:val="continue"/>
            <w:tcBorders>
              <w:tl2br w:val="nil"/>
              <w:tr2bl w:val="nil"/>
            </w:tcBorders>
            <w:vAlign w:val="center"/>
          </w:tcPr>
          <w:p w14:paraId="46F5AF00">
            <w:pPr>
              <w:jc w:val="center"/>
              <w:rPr>
                <w:bCs/>
                <w:color w:val="000000"/>
                <w:szCs w:val="21"/>
              </w:rPr>
            </w:pPr>
          </w:p>
        </w:tc>
        <w:tc>
          <w:tcPr>
            <w:tcW w:w="534" w:type="pct"/>
            <w:gridSpan w:val="2"/>
            <w:vMerge w:val="continue"/>
            <w:tcBorders>
              <w:tl2br w:val="nil"/>
              <w:tr2bl w:val="nil"/>
            </w:tcBorders>
            <w:vAlign w:val="center"/>
          </w:tcPr>
          <w:p w14:paraId="5A4775E7">
            <w:pPr>
              <w:jc w:val="center"/>
              <w:rPr>
                <w:bCs/>
                <w:color w:val="000000"/>
                <w:szCs w:val="21"/>
              </w:rPr>
            </w:pPr>
          </w:p>
        </w:tc>
        <w:tc>
          <w:tcPr>
            <w:tcW w:w="874" w:type="pct"/>
            <w:vMerge w:val="continue"/>
            <w:tcBorders>
              <w:tl2br w:val="nil"/>
              <w:tr2bl w:val="nil"/>
            </w:tcBorders>
            <w:vAlign w:val="center"/>
          </w:tcPr>
          <w:p w14:paraId="02831622">
            <w:pPr>
              <w:jc w:val="center"/>
              <w:rPr>
                <w:bCs/>
                <w:color w:val="000000"/>
                <w:szCs w:val="21"/>
              </w:rPr>
            </w:pPr>
          </w:p>
        </w:tc>
        <w:tc>
          <w:tcPr>
            <w:tcW w:w="756" w:type="pct"/>
            <w:tcBorders>
              <w:tl2br w:val="nil"/>
              <w:tr2bl w:val="nil"/>
            </w:tcBorders>
            <w:vAlign w:val="center"/>
          </w:tcPr>
          <w:p w14:paraId="79F4C973">
            <w:pPr>
              <w:jc w:val="center"/>
              <w:rPr>
                <w:bCs/>
                <w:color w:val="000000"/>
                <w:szCs w:val="21"/>
              </w:rPr>
            </w:pPr>
            <w:r>
              <w:rPr>
                <w:rFonts w:hint="eastAsia"/>
                <w:bCs/>
                <w:color w:val="000000"/>
                <w:szCs w:val="21"/>
              </w:rPr>
              <w:t>臭气浓度</w:t>
            </w:r>
          </w:p>
        </w:tc>
        <w:tc>
          <w:tcPr>
            <w:tcW w:w="623" w:type="pct"/>
            <w:tcBorders>
              <w:tl2br w:val="nil"/>
              <w:tr2bl w:val="nil"/>
            </w:tcBorders>
            <w:vAlign w:val="center"/>
          </w:tcPr>
          <w:p w14:paraId="3EE13C56">
            <w:pPr>
              <w:jc w:val="center"/>
              <w:rPr>
                <w:bCs/>
                <w:color w:val="000000"/>
                <w:szCs w:val="21"/>
              </w:rPr>
            </w:pPr>
            <w:r>
              <w:rPr>
                <w:rFonts w:hint="eastAsia"/>
                <w:bCs/>
                <w:color w:val="000000"/>
                <w:szCs w:val="21"/>
              </w:rPr>
              <w:t>少量</w:t>
            </w:r>
          </w:p>
        </w:tc>
        <w:tc>
          <w:tcPr>
            <w:tcW w:w="627" w:type="pct"/>
            <w:tcBorders>
              <w:tl2br w:val="nil"/>
              <w:tr2bl w:val="nil"/>
            </w:tcBorders>
            <w:vAlign w:val="center"/>
          </w:tcPr>
          <w:p w14:paraId="61D48DE0">
            <w:pPr>
              <w:jc w:val="center"/>
              <w:rPr>
                <w:bCs/>
                <w:color w:val="000000"/>
                <w:szCs w:val="21"/>
              </w:rPr>
            </w:pPr>
            <w:r>
              <w:rPr>
                <w:rFonts w:hint="eastAsia"/>
                <w:bCs/>
                <w:color w:val="000000"/>
                <w:szCs w:val="21"/>
              </w:rPr>
              <w:t>少量</w:t>
            </w:r>
          </w:p>
        </w:tc>
        <w:tc>
          <w:tcPr>
            <w:tcW w:w="931" w:type="pct"/>
            <w:vMerge w:val="continue"/>
            <w:tcBorders>
              <w:tl2br w:val="nil"/>
              <w:tr2bl w:val="nil"/>
            </w:tcBorders>
            <w:vAlign w:val="center"/>
          </w:tcPr>
          <w:p w14:paraId="3253B406">
            <w:pPr>
              <w:jc w:val="center"/>
              <w:rPr>
                <w:bCs/>
                <w:color w:val="000000"/>
                <w:szCs w:val="21"/>
              </w:rPr>
            </w:pPr>
          </w:p>
        </w:tc>
      </w:tr>
      <w:tr w14:paraId="6F3CB3D7">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415" w:hRule="atLeast"/>
        </w:trPr>
        <w:tc>
          <w:tcPr>
            <w:tcW w:w="398" w:type="pct"/>
            <w:vMerge w:val="continue"/>
            <w:tcBorders>
              <w:tl2br w:val="nil"/>
              <w:tr2bl w:val="nil"/>
            </w:tcBorders>
            <w:vAlign w:val="center"/>
          </w:tcPr>
          <w:p w14:paraId="15CF5DFE">
            <w:pPr>
              <w:jc w:val="center"/>
              <w:rPr>
                <w:bCs/>
                <w:color w:val="000000"/>
                <w:szCs w:val="21"/>
              </w:rPr>
            </w:pPr>
          </w:p>
        </w:tc>
        <w:tc>
          <w:tcPr>
            <w:tcW w:w="253" w:type="pct"/>
            <w:vMerge w:val="continue"/>
            <w:tcBorders>
              <w:tl2br w:val="nil"/>
              <w:tr2bl w:val="nil"/>
            </w:tcBorders>
            <w:vAlign w:val="center"/>
          </w:tcPr>
          <w:p w14:paraId="4F558375">
            <w:pPr>
              <w:jc w:val="center"/>
              <w:rPr>
                <w:bCs/>
                <w:color w:val="000000"/>
                <w:szCs w:val="21"/>
              </w:rPr>
            </w:pPr>
          </w:p>
        </w:tc>
        <w:tc>
          <w:tcPr>
            <w:tcW w:w="1408" w:type="pct"/>
            <w:gridSpan w:val="3"/>
            <w:vMerge w:val="restart"/>
            <w:tcBorders>
              <w:tl2br w:val="nil"/>
              <w:tr2bl w:val="nil"/>
            </w:tcBorders>
            <w:vAlign w:val="center"/>
          </w:tcPr>
          <w:p w14:paraId="1EA10376">
            <w:pPr>
              <w:jc w:val="center"/>
              <w:rPr>
                <w:bCs/>
                <w:color w:val="000000"/>
                <w:szCs w:val="21"/>
              </w:rPr>
            </w:pPr>
            <w:r>
              <w:rPr>
                <w:rFonts w:hint="eastAsia"/>
                <w:bCs/>
                <w:color w:val="000000"/>
                <w:szCs w:val="21"/>
              </w:rPr>
              <w:t>厂内运输移动源</w:t>
            </w:r>
          </w:p>
        </w:tc>
        <w:tc>
          <w:tcPr>
            <w:tcW w:w="756" w:type="pct"/>
            <w:tcBorders>
              <w:tl2br w:val="nil"/>
              <w:tr2bl w:val="nil"/>
            </w:tcBorders>
            <w:vAlign w:val="center"/>
          </w:tcPr>
          <w:p w14:paraId="220E852F">
            <w:pPr>
              <w:jc w:val="center"/>
              <w:rPr>
                <w:bCs/>
                <w:color w:val="000000"/>
                <w:szCs w:val="21"/>
              </w:rPr>
            </w:pPr>
            <w:r>
              <w:rPr>
                <w:rFonts w:hint="eastAsia"/>
                <w:bCs/>
                <w:color w:val="000000"/>
                <w:szCs w:val="21"/>
              </w:rPr>
              <w:t>CO</w:t>
            </w:r>
          </w:p>
        </w:tc>
        <w:tc>
          <w:tcPr>
            <w:tcW w:w="623" w:type="pct"/>
            <w:tcBorders>
              <w:tl2br w:val="nil"/>
              <w:tr2bl w:val="nil"/>
            </w:tcBorders>
            <w:vAlign w:val="center"/>
          </w:tcPr>
          <w:p w14:paraId="22182236">
            <w:pPr>
              <w:jc w:val="center"/>
              <w:rPr>
                <w:bCs/>
                <w:color w:val="000000"/>
                <w:szCs w:val="21"/>
              </w:rPr>
            </w:pPr>
            <w:r>
              <w:rPr>
                <w:rFonts w:hint="eastAsia"/>
                <w:bCs/>
                <w:color w:val="000000"/>
                <w:szCs w:val="21"/>
              </w:rPr>
              <w:t>0.0135</w:t>
            </w:r>
          </w:p>
        </w:tc>
        <w:tc>
          <w:tcPr>
            <w:tcW w:w="627" w:type="pct"/>
            <w:tcBorders>
              <w:tl2br w:val="nil"/>
              <w:tr2bl w:val="nil"/>
            </w:tcBorders>
            <w:vAlign w:val="center"/>
          </w:tcPr>
          <w:p w14:paraId="12E525B2">
            <w:pPr>
              <w:jc w:val="center"/>
              <w:rPr>
                <w:bCs/>
                <w:color w:val="000000"/>
                <w:szCs w:val="21"/>
              </w:rPr>
            </w:pPr>
            <w:r>
              <w:rPr>
                <w:rFonts w:hint="eastAsia"/>
                <w:bCs/>
                <w:color w:val="000000"/>
                <w:szCs w:val="21"/>
              </w:rPr>
              <w:t>0.0135</w:t>
            </w:r>
          </w:p>
        </w:tc>
        <w:tc>
          <w:tcPr>
            <w:tcW w:w="931" w:type="pct"/>
            <w:vMerge w:val="restart"/>
            <w:tcBorders>
              <w:tl2br w:val="nil"/>
              <w:tr2bl w:val="nil"/>
            </w:tcBorders>
            <w:vAlign w:val="center"/>
          </w:tcPr>
          <w:p w14:paraId="7BE3DA5A">
            <w:pPr>
              <w:jc w:val="center"/>
              <w:rPr>
                <w:bCs/>
                <w:color w:val="000000"/>
                <w:szCs w:val="21"/>
              </w:rPr>
            </w:pPr>
            <w:r>
              <w:rPr>
                <w:rFonts w:hint="eastAsia"/>
                <w:bCs/>
                <w:color w:val="000000"/>
                <w:szCs w:val="21"/>
              </w:rPr>
              <w:t>厂区已有绿化树木</w:t>
            </w:r>
          </w:p>
        </w:tc>
      </w:tr>
      <w:tr w14:paraId="4CD47ECE">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415" w:hRule="atLeast"/>
        </w:trPr>
        <w:tc>
          <w:tcPr>
            <w:tcW w:w="398" w:type="pct"/>
            <w:vMerge w:val="continue"/>
            <w:tcBorders>
              <w:tl2br w:val="nil"/>
              <w:tr2bl w:val="nil"/>
            </w:tcBorders>
            <w:vAlign w:val="center"/>
          </w:tcPr>
          <w:p w14:paraId="06CC36C5">
            <w:pPr>
              <w:jc w:val="center"/>
              <w:rPr>
                <w:bCs/>
                <w:color w:val="000000"/>
                <w:szCs w:val="21"/>
              </w:rPr>
            </w:pPr>
          </w:p>
        </w:tc>
        <w:tc>
          <w:tcPr>
            <w:tcW w:w="253" w:type="pct"/>
            <w:vMerge w:val="continue"/>
            <w:tcBorders>
              <w:tl2br w:val="nil"/>
              <w:tr2bl w:val="nil"/>
            </w:tcBorders>
            <w:vAlign w:val="center"/>
          </w:tcPr>
          <w:p w14:paraId="635DDA30">
            <w:pPr>
              <w:jc w:val="center"/>
              <w:rPr>
                <w:bCs/>
                <w:color w:val="000000"/>
                <w:szCs w:val="21"/>
              </w:rPr>
            </w:pPr>
          </w:p>
        </w:tc>
        <w:tc>
          <w:tcPr>
            <w:tcW w:w="1408" w:type="pct"/>
            <w:gridSpan w:val="3"/>
            <w:vMerge w:val="continue"/>
            <w:tcBorders>
              <w:tl2br w:val="nil"/>
              <w:tr2bl w:val="nil"/>
            </w:tcBorders>
            <w:vAlign w:val="center"/>
          </w:tcPr>
          <w:p w14:paraId="22884D3D">
            <w:pPr>
              <w:jc w:val="center"/>
              <w:rPr>
                <w:bCs/>
                <w:color w:val="000000"/>
                <w:szCs w:val="21"/>
              </w:rPr>
            </w:pPr>
          </w:p>
        </w:tc>
        <w:tc>
          <w:tcPr>
            <w:tcW w:w="756" w:type="pct"/>
            <w:tcBorders>
              <w:tl2br w:val="nil"/>
              <w:tr2bl w:val="nil"/>
            </w:tcBorders>
            <w:vAlign w:val="center"/>
          </w:tcPr>
          <w:p w14:paraId="6207E2EB">
            <w:pPr>
              <w:jc w:val="center"/>
              <w:rPr>
                <w:bCs/>
                <w:color w:val="000000"/>
                <w:szCs w:val="21"/>
              </w:rPr>
            </w:pPr>
            <w:r>
              <w:rPr>
                <w:rFonts w:hint="eastAsia"/>
                <w:bCs/>
                <w:color w:val="000000"/>
                <w:szCs w:val="21"/>
              </w:rPr>
              <w:t>THC</w:t>
            </w:r>
          </w:p>
        </w:tc>
        <w:tc>
          <w:tcPr>
            <w:tcW w:w="623" w:type="pct"/>
            <w:tcBorders>
              <w:tl2br w:val="nil"/>
              <w:tr2bl w:val="nil"/>
            </w:tcBorders>
            <w:vAlign w:val="center"/>
          </w:tcPr>
          <w:p w14:paraId="63992F54">
            <w:pPr>
              <w:jc w:val="center"/>
              <w:rPr>
                <w:bCs/>
                <w:color w:val="000000"/>
                <w:szCs w:val="21"/>
              </w:rPr>
            </w:pPr>
            <w:r>
              <w:rPr>
                <w:rFonts w:hint="eastAsia"/>
                <w:bCs/>
                <w:color w:val="000000"/>
                <w:szCs w:val="21"/>
              </w:rPr>
              <w:t>0.004</w:t>
            </w:r>
          </w:p>
        </w:tc>
        <w:tc>
          <w:tcPr>
            <w:tcW w:w="627" w:type="pct"/>
            <w:tcBorders>
              <w:tl2br w:val="nil"/>
              <w:tr2bl w:val="nil"/>
            </w:tcBorders>
            <w:vAlign w:val="center"/>
          </w:tcPr>
          <w:p w14:paraId="06B9A12E">
            <w:pPr>
              <w:jc w:val="center"/>
              <w:rPr>
                <w:bCs/>
                <w:color w:val="000000"/>
                <w:szCs w:val="21"/>
              </w:rPr>
            </w:pPr>
            <w:r>
              <w:rPr>
                <w:rFonts w:hint="eastAsia"/>
                <w:bCs/>
                <w:color w:val="000000"/>
                <w:szCs w:val="21"/>
              </w:rPr>
              <w:t>0.004</w:t>
            </w:r>
          </w:p>
        </w:tc>
        <w:tc>
          <w:tcPr>
            <w:tcW w:w="931" w:type="pct"/>
            <w:vMerge w:val="continue"/>
            <w:tcBorders>
              <w:tl2br w:val="nil"/>
              <w:tr2bl w:val="nil"/>
            </w:tcBorders>
            <w:vAlign w:val="center"/>
          </w:tcPr>
          <w:p w14:paraId="1A691843">
            <w:pPr>
              <w:jc w:val="center"/>
              <w:rPr>
                <w:bCs/>
                <w:color w:val="000000"/>
                <w:szCs w:val="21"/>
              </w:rPr>
            </w:pPr>
          </w:p>
        </w:tc>
      </w:tr>
      <w:tr w14:paraId="3345EC9B">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415" w:hRule="atLeast"/>
        </w:trPr>
        <w:tc>
          <w:tcPr>
            <w:tcW w:w="398" w:type="pct"/>
            <w:vMerge w:val="continue"/>
            <w:tcBorders>
              <w:bottom w:val="single" w:color="auto" w:sz="4" w:space="0"/>
              <w:tl2br w:val="nil"/>
              <w:tr2bl w:val="nil"/>
            </w:tcBorders>
            <w:vAlign w:val="center"/>
          </w:tcPr>
          <w:p w14:paraId="0F119515">
            <w:pPr>
              <w:jc w:val="center"/>
              <w:rPr>
                <w:bCs/>
                <w:color w:val="000000"/>
                <w:szCs w:val="21"/>
              </w:rPr>
            </w:pPr>
          </w:p>
        </w:tc>
        <w:tc>
          <w:tcPr>
            <w:tcW w:w="253" w:type="pct"/>
            <w:vMerge w:val="continue"/>
            <w:tcBorders>
              <w:bottom w:val="single" w:color="auto" w:sz="4" w:space="0"/>
              <w:tl2br w:val="nil"/>
              <w:tr2bl w:val="nil"/>
            </w:tcBorders>
            <w:vAlign w:val="center"/>
          </w:tcPr>
          <w:p w14:paraId="3090FDDA">
            <w:pPr>
              <w:jc w:val="center"/>
              <w:rPr>
                <w:bCs/>
                <w:color w:val="000000"/>
                <w:szCs w:val="21"/>
              </w:rPr>
            </w:pPr>
          </w:p>
        </w:tc>
        <w:tc>
          <w:tcPr>
            <w:tcW w:w="1408" w:type="pct"/>
            <w:gridSpan w:val="3"/>
            <w:vMerge w:val="continue"/>
            <w:tcBorders>
              <w:tl2br w:val="nil"/>
              <w:tr2bl w:val="nil"/>
            </w:tcBorders>
            <w:vAlign w:val="center"/>
          </w:tcPr>
          <w:p w14:paraId="45676904">
            <w:pPr>
              <w:jc w:val="center"/>
              <w:rPr>
                <w:bCs/>
                <w:color w:val="000000"/>
                <w:szCs w:val="21"/>
              </w:rPr>
            </w:pPr>
          </w:p>
        </w:tc>
        <w:tc>
          <w:tcPr>
            <w:tcW w:w="756" w:type="pct"/>
            <w:tcBorders>
              <w:tl2br w:val="nil"/>
              <w:tr2bl w:val="nil"/>
            </w:tcBorders>
            <w:vAlign w:val="center"/>
          </w:tcPr>
          <w:p w14:paraId="2B34899C">
            <w:pPr>
              <w:jc w:val="center"/>
              <w:rPr>
                <w:bCs/>
                <w:color w:val="000000"/>
                <w:szCs w:val="21"/>
              </w:rPr>
            </w:pPr>
            <w:r>
              <w:rPr>
                <w:rFonts w:hint="eastAsia"/>
                <w:bCs/>
                <w:color w:val="000000"/>
                <w:szCs w:val="21"/>
              </w:rPr>
              <w:t>NOx</w:t>
            </w:r>
          </w:p>
        </w:tc>
        <w:tc>
          <w:tcPr>
            <w:tcW w:w="623" w:type="pct"/>
            <w:tcBorders>
              <w:tl2br w:val="nil"/>
              <w:tr2bl w:val="nil"/>
            </w:tcBorders>
            <w:vAlign w:val="center"/>
          </w:tcPr>
          <w:p w14:paraId="198FE045">
            <w:pPr>
              <w:jc w:val="center"/>
              <w:rPr>
                <w:bCs/>
                <w:color w:val="000000"/>
                <w:szCs w:val="21"/>
              </w:rPr>
            </w:pPr>
            <w:r>
              <w:rPr>
                <w:rFonts w:hint="eastAsia"/>
                <w:bCs/>
                <w:color w:val="000000"/>
                <w:szCs w:val="21"/>
              </w:rPr>
              <w:t>0.041</w:t>
            </w:r>
          </w:p>
        </w:tc>
        <w:tc>
          <w:tcPr>
            <w:tcW w:w="627" w:type="pct"/>
            <w:tcBorders>
              <w:bottom w:val="single" w:color="auto" w:sz="4" w:space="0"/>
              <w:tl2br w:val="nil"/>
              <w:tr2bl w:val="nil"/>
            </w:tcBorders>
            <w:vAlign w:val="center"/>
          </w:tcPr>
          <w:p w14:paraId="3F9B6C31">
            <w:pPr>
              <w:jc w:val="center"/>
              <w:rPr>
                <w:bCs/>
                <w:color w:val="000000"/>
                <w:szCs w:val="21"/>
              </w:rPr>
            </w:pPr>
            <w:r>
              <w:rPr>
                <w:rFonts w:hint="eastAsia"/>
                <w:bCs/>
                <w:color w:val="000000"/>
                <w:szCs w:val="21"/>
              </w:rPr>
              <w:t>0.041</w:t>
            </w:r>
          </w:p>
        </w:tc>
        <w:tc>
          <w:tcPr>
            <w:tcW w:w="931" w:type="pct"/>
            <w:vMerge w:val="continue"/>
            <w:tcBorders>
              <w:bottom w:val="single" w:color="auto" w:sz="4" w:space="0"/>
              <w:tl2br w:val="nil"/>
              <w:tr2bl w:val="nil"/>
            </w:tcBorders>
            <w:vAlign w:val="center"/>
          </w:tcPr>
          <w:p w14:paraId="48926553">
            <w:pPr>
              <w:jc w:val="center"/>
              <w:rPr>
                <w:bCs/>
                <w:color w:val="000000"/>
                <w:szCs w:val="21"/>
              </w:rPr>
            </w:pPr>
          </w:p>
        </w:tc>
      </w:tr>
      <w:tr w14:paraId="08607502">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415" w:hRule="atLeast"/>
        </w:trPr>
        <w:tc>
          <w:tcPr>
            <w:tcW w:w="398" w:type="pct"/>
            <w:vMerge w:val="restart"/>
            <w:tcBorders>
              <w:tl2br w:val="nil"/>
              <w:tr2bl w:val="nil"/>
            </w:tcBorders>
            <w:vAlign w:val="center"/>
          </w:tcPr>
          <w:p w14:paraId="1C92CCC7">
            <w:pPr>
              <w:jc w:val="center"/>
              <w:rPr>
                <w:bCs/>
                <w:color w:val="000000"/>
                <w:szCs w:val="21"/>
              </w:rPr>
            </w:pPr>
            <w:r>
              <w:rPr>
                <w:bCs/>
                <w:color w:val="000000"/>
                <w:szCs w:val="21"/>
              </w:rPr>
              <w:t>废水污染物</w:t>
            </w:r>
          </w:p>
        </w:tc>
        <w:tc>
          <w:tcPr>
            <w:tcW w:w="1661" w:type="pct"/>
            <w:gridSpan w:val="4"/>
            <w:vMerge w:val="restart"/>
            <w:tcBorders>
              <w:tl2br w:val="nil"/>
              <w:tr2bl w:val="nil"/>
            </w:tcBorders>
            <w:vAlign w:val="center"/>
          </w:tcPr>
          <w:p w14:paraId="46C6B94C">
            <w:pPr>
              <w:jc w:val="center"/>
              <w:rPr>
                <w:bCs/>
                <w:color w:val="000000"/>
                <w:szCs w:val="21"/>
              </w:rPr>
            </w:pPr>
            <w:r>
              <w:rPr>
                <w:rFonts w:hint="eastAsia"/>
                <w:bCs/>
                <w:color w:val="000000"/>
                <w:szCs w:val="21"/>
              </w:rPr>
              <w:t>生活污水</w:t>
            </w:r>
          </w:p>
        </w:tc>
        <w:tc>
          <w:tcPr>
            <w:tcW w:w="756" w:type="pct"/>
            <w:tcBorders>
              <w:bottom w:val="single" w:color="auto" w:sz="4" w:space="0"/>
              <w:tl2br w:val="nil"/>
              <w:tr2bl w:val="nil"/>
            </w:tcBorders>
            <w:vAlign w:val="center"/>
          </w:tcPr>
          <w:p w14:paraId="50BF6BA1">
            <w:pPr>
              <w:jc w:val="center"/>
              <w:rPr>
                <w:bCs/>
                <w:color w:val="000000"/>
                <w:szCs w:val="21"/>
              </w:rPr>
            </w:pPr>
            <w:r>
              <w:rPr>
                <w:rFonts w:hint="eastAsia"/>
                <w:bCs/>
                <w:color w:val="000000"/>
                <w:szCs w:val="21"/>
              </w:rPr>
              <w:t>废水量</w:t>
            </w:r>
          </w:p>
        </w:tc>
        <w:tc>
          <w:tcPr>
            <w:tcW w:w="623" w:type="pct"/>
            <w:tcBorders>
              <w:bottom w:val="single" w:color="auto" w:sz="4" w:space="0"/>
              <w:tl2br w:val="nil"/>
              <w:tr2bl w:val="nil"/>
            </w:tcBorders>
            <w:vAlign w:val="center"/>
          </w:tcPr>
          <w:p w14:paraId="5A90E337">
            <w:pPr>
              <w:jc w:val="center"/>
              <w:rPr>
                <w:rFonts w:hint="default" w:eastAsia="宋体"/>
                <w:bCs/>
                <w:color w:val="000000"/>
                <w:szCs w:val="21"/>
                <w:lang w:val="en-US" w:eastAsia="zh-CN"/>
              </w:rPr>
            </w:pPr>
            <w:r>
              <w:rPr>
                <w:rFonts w:hint="eastAsia"/>
                <w:bCs/>
                <w:color w:val="000000"/>
                <w:szCs w:val="21"/>
                <w:lang w:val="en-US" w:eastAsia="zh-CN"/>
              </w:rPr>
              <w:t>92.16</w:t>
            </w:r>
          </w:p>
        </w:tc>
        <w:tc>
          <w:tcPr>
            <w:tcW w:w="627" w:type="pct"/>
            <w:tcBorders>
              <w:top w:val="single" w:color="auto" w:sz="4" w:space="0"/>
              <w:bottom w:val="single" w:color="auto" w:sz="4" w:space="0"/>
              <w:tl2br w:val="nil"/>
              <w:tr2bl w:val="nil"/>
            </w:tcBorders>
            <w:vAlign w:val="center"/>
          </w:tcPr>
          <w:p w14:paraId="0369AC1F">
            <w:pPr>
              <w:jc w:val="center"/>
              <w:rPr>
                <w:rFonts w:hint="default" w:eastAsia="宋体"/>
                <w:bCs/>
                <w:color w:val="000000"/>
                <w:szCs w:val="21"/>
                <w:lang w:val="en-US" w:eastAsia="zh-CN"/>
              </w:rPr>
            </w:pPr>
            <w:r>
              <w:rPr>
                <w:rFonts w:hint="eastAsia"/>
                <w:bCs/>
                <w:color w:val="000000"/>
                <w:szCs w:val="21"/>
                <w:lang w:val="en-US" w:eastAsia="zh-CN"/>
              </w:rPr>
              <w:t>92.16</w:t>
            </w:r>
          </w:p>
        </w:tc>
        <w:tc>
          <w:tcPr>
            <w:tcW w:w="931" w:type="pct"/>
            <w:vMerge w:val="restart"/>
            <w:tcBorders>
              <w:top w:val="single" w:color="auto" w:sz="4" w:space="0"/>
              <w:tl2br w:val="nil"/>
              <w:tr2bl w:val="nil"/>
            </w:tcBorders>
            <w:vAlign w:val="center"/>
          </w:tcPr>
          <w:p w14:paraId="07FCCD66">
            <w:pPr>
              <w:jc w:val="center"/>
              <w:rPr>
                <w:bCs/>
                <w:color w:val="000000"/>
                <w:szCs w:val="21"/>
              </w:rPr>
            </w:pPr>
            <w:r>
              <w:rPr>
                <w:rFonts w:hint="eastAsia" w:ascii="宋体" w:hAnsi="宋体"/>
                <w:szCs w:val="21"/>
              </w:rPr>
              <w:t>生活污水排入</w:t>
            </w:r>
            <w:r>
              <w:rPr>
                <w:rFonts w:hint="eastAsia" w:ascii="宋体" w:hAnsi="宋体"/>
                <w:szCs w:val="21"/>
                <w:lang w:val="en-US" w:eastAsia="zh-CN"/>
              </w:rPr>
              <w:t>10</w:t>
            </w:r>
            <w:r>
              <w:rPr>
                <w:rFonts w:ascii="宋体" w:hAnsi="宋体"/>
                <w:szCs w:val="21"/>
              </w:rPr>
              <w:t>m</w:t>
            </w:r>
            <w:r>
              <w:rPr>
                <w:rFonts w:ascii="宋体" w:hAnsi="宋体"/>
                <w:szCs w:val="21"/>
                <w:vertAlign w:val="superscript"/>
              </w:rPr>
              <w:t>3</w:t>
            </w:r>
            <w:r>
              <w:rPr>
                <w:rFonts w:hint="eastAsia" w:ascii="宋体" w:hAnsi="宋体"/>
                <w:szCs w:val="21"/>
                <w:lang w:val="en-US" w:eastAsia="zh-CN"/>
              </w:rPr>
              <w:t>防渗化粪池</w:t>
            </w:r>
            <w:r>
              <w:rPr>
                <w:rFonts w:hint="eastAsia" w:ascii="宋体" w:hAnsi="宋体"/>
                <w:szCs w:val="21"/>
                <w:lang w:eastAsia="zh-CN"/>
              </w:rPr>
              <w:t>，定期由库尔勒龙润水处理有限公司采用罐车拉运至库尔勒南市区污水处理厂</w:t>
            </w:r>
            <w:r>
              <w:rPr>
                <w:rFonts w:hint="eastAsia"/>
                <w:bCs/>
                <w:color w:val="000000"/>
                <w:szCs w:val="21"/>
              </w:rPr>
              <w:t>。</w:t>
            </w:r>
          </w:p>
        </w:tc>
      </w:tr>
      <w:tr w14:paraId="6D98C507">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415" w:hRule="atLeast"/>
        </w:trPr>
        <w:tc>
          <w:tcPr>
            <w:tcW w:w="398" w:type="pct"/>
            <w:vMerge w:val="continue"/>
            <w:tcBorders>
              <w:tl2br w:val="nil"/>
              <w:tr2bl w:val="nil"/>
            </w:tcBorders>
            <w:vAlign w:val="center"/>
          </w:tcPr>
          <w:p w14:paraId="69C56AB8">
            <w:pPr>
              <w:jc w:val="center"/>
              <w:rPr>
                <w:bCs/>
                <w:color w:val="000000"/>
                <w:szCs w:val="21"/>
              </w:rPr>
            </w:pPr>
          </w:p>
        </w:tc>
        <w:tc>
          <w:tcPr>
            <w:tcW w:w="1661" w:type="pct"/>
            <w:gridSpan w:val="4"/>
            <w:vMerge w:val="continue"/>
            <w:tcBorders>
              <w:tl2br w:val="nil"/>
              <w:tr2bl w:val="nil"/>
            </w:tcBorders>
            <w:vAlign w:val="center"/>
          </w:tcPr>
          <w:p w14:paraId="4EBB7EE5">
            <w:pPr>
              <w:jc w:val="center"/>
              <w:rPr>
                <w:rFonts w:hint="eastAsia"/>
                <w:bCs/>
                <w:color w:val="000000"/>
                <w:szCs w:val="21"/>
              </w:rPr>
            </w:pPr>
          </w:p>
        </w:tc>
        <w:tc>
          <w:tcPr>
            <w:tcW w:w="756" w:type="pct"/>
            <w:tcBorders>
              <w:bottom w:val="single" w:color="auto" w:sz="4" w:space="0"/>
              <w:tl2br w:val="nil"/>
              <w:tr2bl w:val="nil"/>
            </w:tcBorders>
            <w:shd w:val="clear" w:color="auto" w:fill="auto"/>
            <w:vAlign w:val="center"/>
          </w:tcPr>
          <w:p w14:paraId="3EC292F4">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eastAsia" w:ascii="Times New Roman" w:hAnsi="Times New Roman" w:eastAsia="宋体" w:cs="Times New Roman"/>
                <w:color w:val="auto"/>
                <w:kern w:val="0"/>
                <w:sz w:val="21"/>
                <w:szCs w:val="21"/>
                <w:lang w:val="en-US" w:eastAsia="zh-CN" w:bidi="zh-CN"/>
              </w:rPr>
            </w:pPr>
            <w:r>
              <w:rPr>
                <w:rFonts w:hint="default" w:eastAsia="宋体"/>
                <w:color w:val="auto"/>
                <w:kern w:val="0"/>
                <w:sz w:val="21"/>
                <w:szCs w:val="21"/>
                <w:lang w:val="zh-CN" w:bidi="zh-CN"/>
              </w:rPr>
              <w:t>COD</w:t>
            </w:r>
            <w:r>
              <w:rPr>
                <w:rFonts w:hint="eastAsia" w:eastAsia="宋体"/>
                <w:color w:val="auto"/>
                <w:kern w:val="0"/>
                <w:sz w:val="21"/>
                <w:szCs w:val="21"/>
                <w:lang w:val="en-US" w:eastAsia="zh-CN" w:bidi="zh-CN"/>
              </w:rPr>
              <w:t>cr</w:t>
            </w:r>
          </w:p>
        </w:tc>
        <w:tc>
          <w:tcPr>
            <w:tcW w:w="623" w:type="pct"/>
            <w:tcBorders>
              <w:bottom w:val="single" w:color="auto" w:sz="4" w:space="0"/>
              <w:tl2br w:val="nil"/>
              <w:tr2bl w:val="nil"/>
            </w:tcBorders>
            <w:shd w:val="clear" w:color="auto" w:fill="auto"/>
            <w:vAlign w:val="center"/>
          </w:tcPr>
          <w:p w14:paraId="1D05A1B3">
            <w:pPr>
              <w:widowControl w:val="0"/>
              <w:kinsoku w:val="0"/>
              <w:overflowPunct w:val="0"/>
              <w:autoSpaceDE w:val="0"/>
              <w:autoSpaceDN w:val="0"/>
              <w:spacing w:line="240" w:lineRule="auto"/>
              <w:ind w:firstLine="0" w:firstLineChars="0"/>
              <w:jc w:val="center"/>
              <w:rPr>
                <w:rFonts w:hint="eastAsia" w:ascii="Times New Roman" w:hAnsi="Times New Roman" w:eastAsia="宋体" w:cs="Times New Roman"/>
                <w:color w:val="auto"/>
                <w:kern w:val="2"/>
                <w:sz w:val="21"/>
                <w:szCs w:val="21"/>
                <w:lang w:val="en-US" w:eastAsia="zh-CN" w:bidi="zh-CN"/>
              </w:rPr>
            </w:pPr>
            <w:r>
              <w:rPr>
                <w:rFonts w:hint="eastAsia" w:ascii="Times New Roman" w:hAnsi="Times New Roman" w:eastAsia="宋体" w:cs="Times New Roman"/>
                <w:color w:val="auto"/>
                <w:sz w:val="21"/>
                <w:szCs w:val="21"/>
                <w:lang w:val="en-US" w:eastAsia="zh-CN" w:bidi="zh-CN"/>
              </w:rPr>
              <w:t>0.032</w:t>
            </w:r>
          </w:p>
        </w:tc>
        <w:tc>
          <w:tcPr>
            <w:tcW w:w="627" w:type="pct"/>
            <w:tcBorders>
              <w:top w:val="single" w:color="auto" w:sz="4" w:space="0"/>
              <w:bottom w:val="single" w:color="auto" w:sz="4" w:space="0"/>
              <w:tl2br w:val="nil"/>
              <w:tr2bl w:val="nil"/>
            </w:tcBorders>
            <w:shd w:val="clear" w:color="auto" w:fill="auto"/>
            <w:vAlign w:val="center"/>
          </w:tcPr>
          <w:p w14:paraId="48E0C65B">
            <w:pPr>
              <w:widowControl w:val="0"/>
              <w:kinsoku w:val="0"/>
              <w:overflowPunct w:val="0"/>
              <w:autoSpaceDE w:val="0"/>
              <w:autoSpaceDN w:val="0"/>
              <w:spacing w:line="240" w:lineRule="auto"/>
              <w:ind w:firstLine="0" w:firstLineChars="0"/>
              <w:jc w:val="center"/>
              <w:rPr>
                <w:rFonts w:hint="eastAsia" w:ascii="Times New Roman" w:hAnsi="Times New Roman" w:eastAsia="宋体" w:cs="Times New Roman"/>
                <w:color w:val="auto"/>
                <w:kern w:val="2"/>
                <w:sz w:val="21"/>
                <w:szCs w:val="21"/>
                <w:lang w:val="en-US" w:eastAsia="zh-CN" w:bidi="zh-CN"/>
              </w:rPr>
            </w:pPr>
            <w:r>
              <w:rPr>
                <w:rFonts w:hint="eastAsia" w:ascii="Times New Roman" w:hAnsi="Times New Roman" w:eastAsia="宋体" w:cs="Times New Roman"/>
                <w:color w:val="auto"/>
                <w:sz w:val="21"/>
                <w:szCs w:val="21"/>
                <w:lang w:val="en-US" w:eastAsia="zh-CN" w:bidi="zh-CN"/>
              </w:rPr>
              <w:t>0.032</w:t>
            </w:r>
          </w:p>
        </w:tc>
        <w:tc>
          <w:tcPr>
            <w:tcW w:w="931" w:type="pct"/>
            <w:vMerge w:val="continue"/>
            <w:tcBorders>
              <w:tl2br w:val="nil"/>
              <w:tr2bl w:val="nil"/>
            </w:tcBorders>
            <w:vAlign w:val="center"/>
          </w:tcPr>
          <w:p w14:paraId="71AA2D57">
            <w:pPr>
              <w:jc w:val="center"/>
              <w:rPr>
                <w:rFonts w:hint="eastAsia"/>
                <w:bCs/>
                <w:color w:val="000000"/>
                <w:szCs w:val="21"/>
              </w:rPr>
            </w:pPr>
          </w:p>
        </w:tc>
      </w:tr>
      <w:tr w14:paraId="49211EE6">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415" w:hRule="atLeast"/>
        </w:trPr>
        <w:tc>
          <w:tcPr>
            <w:tcW w:w="398" w:type="pct"/>
            <w:vMerge w:val="continue"/>
            <w:tcBorders>
              <w:tl2br w:val="nil"/>
              <w:tr2bl w:val="nil"/>
            </w:tcBorders>
            <w:vAlign w:val="center"/>
          </w:tcPr>
          <w:p w14:paraId="5EABB5EA">
            <w:pPr>
              <w:jc w:val="center"/>
              <w:rPr>
                <w:bCs/>
                <w:color w:val="000000"/>
                <w:szCs w:val="21"/>
              </w:rPr>
            </w:pPr>
          </w:p>
        </w:tc>
        <w:tc>
          <w:tcPr>
            <w:tcW w:w="1661" w:type="pct"/>
            <w:gridSpan w:val="4"/>
            <w:vMerge w:val="continue"/>
            <w:tcBorders>
              <w:tl2br w:val="nil"/>
              <w:tr2bl w:val="nil"/>
            </w:tcBorders>
            <w:vAlign w:val="center"/>
          </w:tcPr>
          <w:p w14:paraId="0ED94A5B">
            <w:pPr>
              <w:jc w:val="center"/>
              <w:rPr>
                <w:rFonts w:hint="eastAsia"/>
                <w:bCs/>
                <w:color w:val="000000"/>
                <w:szCs w:val="21"/>
              </w:rPr>
            </w:pPr>
          </w:p>
        </w:tc>
        <w:tc>
          <w:tcPr>
            <w:tcW w:w="756" w:type="pct"/>
            <w:tcBorders>
              <w:bottom w:val="single" w:color="auto" w:sz="4" w:space="0"/>
              <w:tl2br w:val="nil"/>
              <w:tr2bl w:val="nil"/>
            </w:tcBorders>
            <w:shd w:val="clear" w:color="auto" w:fill="auto"/>
            <w:vAlign w:val="center"/>
          </w:tcPr>
          <w:p w14:paraId="0812E381">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eastAsia" w:ascii="Times New Roman" w:hAnsi="Times New Roman" w:eastAsia="宋体" w:cs="Times New Roman"/>
                <w:color w:val="auto"/>
                <w:kern w:val="0"/>
                <w:sz w:val="21"/>
                <w:szCs w:val="21"/>
                <w:lang w:val="zh-CN" w:eastAsia="zh-CN" w:bidi="zh-CN"/>
              </w:rPr>
            </w:pPr>
            <w:r>
              <w:rPr>
                <w:rFonts w:hint="default" w:eastAsia="宋体"/>
                <w:color w:val="auto"/>
                <w:kern w:val="0"/>
                <w:sz w:val="21"/>
                <w:szCs w:val="21"/>
                <w:lang w:val="zh-CN" w:bidi="zh-CN"/>
              </w:rPr>
              <w:t>BOD</w:t>
            </w:r>
            <w:r>
              <w:rPr>
                <w:rFonts w:eastAsia="宋体"/>
                <w:color w:val="auto"/>
                <w:kern w:val="0"/>
                <w:sz w:val="21"/>
                <w:szCs w:val="21"/>
                <w:vertAlign w:val="subscript"/>
                <w:lang w:val="zh-CN" w:bidi="zh-CN"/>
              </w:rPr>
              <w:t>5</w:t>
            </w:r>
          </w:p>
        </w:tc>
        <w:tc>
          <w:tcPr>
            <w:tcW w:w="623" w:type="pct"/>
            <w:tcBorders>
              <w:bottom w:val="single" w:color="auto" w:sz="4" w:space="0"/>
              <w:tl2br w:val="nil"/>
              <w:tr2bl w:val="nil"/>
            </w:tcBorders>
            <w:shd w:val="clear" w:color="auto" w:fill="auto"/>
            <w:vAlign w:val="center"/>
          </w:tcPr>
          <w:p w14:paraId="3231FD77">
            <w:pPr>
              <w:widowControl w:val="0"/>
              <w:kinsoku w:val="0"/>
              <w:overflowPunct w:val="0"/>
              <w:autoSpaceDE w:val="0"/>
              <w:autoSpaceDN w:val="0"/>
              <w:spacing w:line="240" w:lineRule="auto"/>
              <w:ind w:firstLine="0" w:firstLineChars="0"/>
              <w:jc w:val="center"/>
              <w:rPr>
                <w:rFonts w:hint="eastAsia" w:ascii="Times New Roman" w:hAnsi="Times New Roman" w:eastAsia="宋体" w:cs="Times New Roman"/>
                <w:color w:val="auto"/>
                <w:kern w:val="2"/>
                <w:sz w:val="21"/>
                <w:szCs w:val="21"/>
                <w:lang w:val="en-US" w:eastAsia="zh-CN" w:bidi="zh-CN"/>
              </w:rPr>
            </w:pPr>
            <w:r>
              <w:rPr>
                <w:rFonts w:hint="eastAsia" w:ascii="Times New Roman" w:hAnsi="Times New Roman" w:eastAsia="宋体" w:cs="Times New Roman"/>
                <w:color w:val="auto"/>
                <w:sz w:val="21"/>
                <w:szCs w:val="21"/>
                <w:lang w:val="en-US" w:eastAsia="zh-CN" w:bidi="zh-CN"/>
              </w:rPr>
              <w:t>0.023</w:t>
            </w:r>
          </w:p>
        </w:tc>
        <w:tc>
          <w:tcPr>
            <w:tcW w:w="627" w:type="pct"/>
            <w:tcBorders>
              <w:top w:val="single" w:color="auto" w:sz="4" w:space="0"/>
              <w:bottom w:val="single" w:color="auto" w:sz="4" w:space="0"/>
              <w:tl2br w:val="nil"/>
              <w:tr2bl w:val="nil"/>
            </w:tcBorders>
            <w:shd w:val="clear" w:color="auto" w:fill="auto"/>
            <w:vAlign w:val="center"/>
          </w:tcPr>
          <w:p w14:paraId="339917D2">
            <w:pPr>
              <w:widowControl w:val="0"/>
              <w:kinsoku w:val="0"/>
              <w:overflowPunct w:val="0"/>
              <w:autoSpaceDE w:val="0"/>
              <w:autoSpaceDN w:val="0"/>
              <w:spacing w:line="240" w:lineRule="auto"/>
              <w:ind w:firstLine="0" w:firstLineChars="0"/>
              <w:jc w:val="center"/>
              <w:rPr>
                <w:rFonts w:hint="eastAsia" w:ascii="Times New Roman" w:hAnsi="Times New Roman" w:eastAsia="宋体" w:cs="Times New Roman"/>
                <w:color w:val="auto"/>
                <w:kern w:val="2"/>
                <w:sz w:val="21"/>
                <w:szCs w:val="21"/>
                <w:lang w:val="en-US" w:eastAsia="zh-CN" w:bidi="zh-CN"/>
              </w:rPr>
            </w:pPr>
            <w:r>
              <w:rPr>
                <w:rFonts w:hint="eastAsia" w:ascii="Times New Roman" w:hAnsi="Times New Roman" w:eastAsia="宋体" w:cs="Times New Roman"/>
                <w:color w:val="auto"/>
                <w:sz w:val="21"/>
                <w:szCs w:val="21"/>
                <w:lang w:val="en-US" w:eastAsia="zh-CN" w:bidi="zh-CN"/>
              </w:rPr>
              <w:t>0.023</w:t>
            </w:r>
          </w:p>
        </w:tc>
        <w:tc>
          <w:tcPr>
            <w:tcW w:w="931" w:type="pct"/>
            <w:vMerge w:val="continue"/>
            <w:tcBorders>
              <w:tl2br w:val="nil"/>
              <w:tr2bl w:val="nil"/>
            </w:tcBorders>
            <w:vAlign w:val="center"/>
          </w:tcPr>
          <w:p w14:paraId="38855CC0">
            <w:pPr>
              <w:jc w:val="center"/>
              <w:rPr>
                <w:rFonts w:hint="eastAsia"/>
                <w:bCs/>
                <w:color w:val="000000"/>
                <w:szCs w:val="21"/>
              </w:rPr>
            </w:pPr>
          </w:p>
        </w:tc>
      </w:tr>
      <w:tr w14:paraId="58EE233E">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415" w:hRule="atLeast"/>
        </w:trPr>
        <w:tc>
          <w:tcPr>
            <w:tcW w:w="398" w:type="pct"/>
            <w:vMerge w:val="continue"/>
            <w:tcBorders>
              <w:tl2br w:val="nil"/>
              <w:tr2bl w:val="nil"/>
            </w:tcBorders>
            <w:vAlign w:val="center"/>
          </w:tcPr>
          <w:p w14:paraId="1E8F7F06">
            <w:pPr>
              <w:jc w:val="center"/>
              <w:rPr>
                <w:bCs/>
                <w:color w:val="000000"/>
                <w:szCs w:val="21"/>
              </w:rPr>
            </w:pPr>
          </w:p>
        </w:tc>
        <w:tc>
          <w:tcPr>
            <w:tcW w:w="1661" w:type="pct"/>
            <w:gridSpan w:val="4"/>
            <w:vMerge w:val="continue"/>
            <w:tcBorders>
              <w:tl2br w:val="nil"/>
              <w:tr2bl w:val="nil"/>
            </w:tcBorders>
            <w:vAlign w:val="center"/>
          </w:tcPr>
          <w:p w14:paraId="67C8BDB8">
            <w:pPr>
              <w:jc w:val="center"/>
              <w:rPr>
                <w:rFonts w:hint="eastAsia"/>
                <w:bCs/>
                <w:color w:val="000000"/>
                <w:szCs w:val="21"/>
              </w:rPr>
            </w:pPr>
          </w:p>
        </w:tc>
        <w:tc>
          <w:tcPr>
            <w:tcW w:w="756" w:type="pct"/>
            <w:tcBorders>
              <w:bottom w:val="single" w:color="auto" w:sz="4" w:space="0"/>
              <w:tl2br w:val="nil"/>
              <w:tr2bl w:val="nil"/>
            </w:tcBorders>
            <w:shd w:val="clear" w:color="auto" w:fill="auto"/>
            <w:vAlign w:val="center"/>
          </w:tcPr>
          <w:p w14:paraId="2FDF3B0B">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eastAsia" w:ascii="Times New Roman" w:hAnsi="Times New Roman" w:eastAsia="宋体" w:cs="Times New Roman"/>
                <w:color w:val="auto"/>
                <w:kern w:val="0"/>
                <w:sz w:val="21"/>
                <w:szCs w:val="21"/>
                <w:lang w:val="zh-CN" w:eastAsia="zh-CN" w:bidi="zh-CN"/>
              </w:rPr>
            </w:pPr>
            <w:r>
              <w:rPr>
                <w:rFonts w:hint="default" w:eastAsia="宋体"/>
                <w:color w:val="auto"/>
                <w:kern w:val="0"/>
                <w:sz w:val="21"/>
                <w:szCs w:val="21"/>
                <w:lang w:val="zh-CN" w:bidi="zh-CN"/>
              </w:rPr>
              <w:t>SS</w:t>
            </w:r>
          </w:p>
        </w:tc>
        <w:tc>
          <w:tcPr>
            <w:tcW w:w="623" w:type="pct"/>
            <w:tcBorders>
              <w:bottom w:val="single" w:color="auto" w:sz="4" w:space="0"/>
              <w:tl2br w:val="nil"/>
              <w:tr2bl w:val="nil"/>
            </w:tcBorders>
            <w:shd w:val="clear" w:color="auto" w:fill="auto"/>
            <w:vAlign w:val="center"/>
          </w:tcPr>
          <w:p w14:paraId="019CE4C0">
            <w:pPr>
              <w:widowControl w:val="0"/>
              <w:kinsoku w:val="0"/>
              <w:overflowPunct w:val="0"/>
              <w:autoSpaceDE w:val="0"/>
              <w:autoSpaceDN w:val="0"/>
              <w:spacing w:line="240" w:lineRule="auto"/>
              <w:ind w:firstLine="0" w:firstLineChars="0"/>
              <w:jc w:val="center"/>
              <w:rPr>
                <w:rFonts w:hint="eastAsia" w:ascii="Times New Roman" w:hAnsi="Times New Roman" w:eastAsia="宋体" w:cs="Times New Roman"/>
                <w:color w:val="auto"/>
                <w:kern w:val="2"/>
                <w:sz w:val="21"/>
                <w:szCs w:val="21"/>
                <w:lang w:val="en-US" w:eastAsia="zh-CN" w:bidi="zh-CN"/>
              </w:rPr>
            </w:pPr>
            <w:r>
              <w:rPr>
                <w:rFonts w:hint="eastAsia" w:ascii="Times New Roman" w:hAnsi="Times New Roman" w:eastAsia="宋体" w:cs="Times New Roman"/>
                <w:color w:val="auto"/>
                <w:sz w:val="21"/>
                <w:szCs w:val="21"/>
                <w:lang w:val="en-US" w:eastAsia="zh-CN" w:bidi="zh-CN"/>
              </w:rPr>
              <w:t>0.018</w:t>
            </w:r>
          </w:p>
        </w:tc>
        <w:tc>
          <w:tcPr>
            <w:tcW w:w="627" w:type="pct"/>
            <w:tcBorders>
              <w:top w:val="single" w:color="auto" w:sz="4" w:space="0"/>
              <w:bottom w:val="single" w:color="auto" w:sz="4" w:space="0"/>
              <w:tl2br w:val="nil"/>
              <w:tr2bl w:val="nil"/>
            </w:tcBorders>
            <w:shd w:val="clear" w:color="auto" w:fill="auto"/>
            <w:vAlign w:val="center"/>
          </w:tcPr>
          <w:p w14:paraId="19E5FF85">
            <w:pPr>
              <w:widowControl w:val="0"/>
              <w:kinsoku w:val="0"/>
              <w:overflowPunct w:val="0"/>
              <w:autoSpaceDE w:val="0"/>
              <w:autoSpaceDN w:val="0"/>
              <w:spacing w:line="240" w:lineRule="auto"/>
              <w:ind w:firstLine="0" w:firstLineChars="0"/>
              <w:jc w:val="center"/>
              <w:rPr>
                <w:rFonts w:hint="eastAsia" w:ascii="Times New Roman" w:hAnsi="Times New Roman" w:eastAsia="宋体" w:cs="Times New Roman"/>
                <w:color w:val="auto"/>
                <w:kern w:val="2"/>
                <w:sz w:val="21"/>
                <w:szCs w:val="21"/>
                <w:lang w:val="en-US" w:eastAsia="zh-CN" w:bidi="zh-CN"/>
              </w:rPr>
            </w:pPr>
            <w:r>
              <w:rPr>
                <w:rFonts w:hint="eastAsia" w:ascii="Times New Roman" w:hAnsi="Times New Roman" w:eastAsia="宋体" w:cs="Times New Roman"/>
                <w:color w:val="auto"/>
                <w:sz w:val="21"/>
                <w:szCs w:val="21"/>
                <w:lang w:val="en-US" w:eastAsia="zh-CN" w:bidi="zh-CN"/>
              </w:rPr>
              <w:t>0.018</w:t>
            </w:r>
          </w:p>
        </w:tc>
        <w:tc>
          <w:tcPr>
            <w:tcW w:w="931" w:type="pct"/>
            <w:vMerge w:val="continue"/>
            <w:tcBorders>
              <w:tl2br w:val="nil"/>
              <w:tr2bl w:val="nil"/>
            </w:tcBorders>
            <w:vAlign w:val="center"/>
          </w:tcPr>
          <w:p w14:paraId="4F53E6F1">
            <w:pPr>
              <w:jc w:val="center"/>
              <w:rPr>
                <w:rFonts w:hint="eastAsia"/>
                <w:bCs/>
                <w:color w:val="000000"/>
                <w:szCs w:val="21"/>
              </w:rPr>
            </w:pPr>
          </w:p>
        </w:tc>
      </w:tr>
      <w:tr w14:paraId="721875B5">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415" w:hRule="atLeast"/>
        </w:trPr>
        <w:tc>
          <w:tcPr>
            <w:tcW w:w="398" w:type="pct"/>
            <w:vMerge w:val="continue"/>
            <w:tcBorders>
              <w:tl2br w:val="nil"/>
              <w:tr2bl w:val="nil"/>
            </w:tcBorders>
            <w:vAlign w:val="center"/>
          </w:tcPr>
          <w:p w14:paraId="693B11C6">
            <w:pPr>
              <w:jc w:val="center"/>
              <w:rPr>
                <w:bCs/>
                <w:color w:val="000000"/>
                <w:szCs w:val="21"/>
              </w:rPr>
            </w:pPr>
          </w:p>
        </w:tc>
        <w:tc>
          <w:tcPr>
            <w:tcW w:w="1661" w:type="pct"/>
            <w:gridSpan w:val="4"/>
            <w:vMerge w:val="continue"/>
            <w:tcBorders>
              <w:bottom w:val="single" w:color="auto" w:sz="4" w:space="0"/>
              <w:tl2br w:val="nil"/>
              <w:tr2bl w:val="nil"/>
            </w:tcBorders>
            <w:vAlign w:val="center"/>
          </w:tcPr>
          <w:p w14:paraId="58141736">
            <w:pPr>
              <w:jc w:val="center"/>
              <w:rPr>
                <w:rFonts w:hint="eastAsia"/>
                <w:bCs/>
                <w:color w:val="000000"/>
                <w:szCs w:val="21"/>
              </w:rPr>
            </w:pPr>
          </w:p>
        </w:tc>
        <w:tc>
          <w:tcPr>
            <w:tcW w:w="756" w:type="pct"/>
            <w:tcBorders>
              <w:bottom w:val="single" w:color="auto" w:sz="4" w:space="0"/>
              <w:tl2br w:val="nil"/>
              <w:tr2bl w:val="nil"/>
            </w:tcBorders>
            <w:shd w:val="clear" w:color="auto" w:fill="auto"/>
            <w:vAlign w:val="center"/>
          </w:tcPr>
          <w:p w14:paraId="2675A59C">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eastAsia" w:ascii="Times New Roman" w:hAnsi="Times New Roman" w:eastAsia="宋体" w:cs="Times New Roman"/>
                <w:color w:val="auto"/>
                <w:kern w:val="0"/>
                <w:sz w:val="21"/>
                <w:szCs w:val="21"/>
                <w:lang w:val="zh-CN" w:eastAsia="zh-CN" w:bidi="zh-CN"/>
              </w:rPr>
            </w:pPr>
            <w:r>
              <w:rPr>
                <w:rFonts w:hint="default" w:eastAsia="宋体"/>
                <w:color w:val="auto"/>
                <w:kern w:val="0"/>
                <w:sz w:val="21"/>
                <w:szCs w:val="21"/>
                <w:lang w:val="zh-CN" w:bidi="zh-CN"/>
              </w:rPr>
              <w:t>NH</w:t>
            </w:r>
            <w:r>
              <w:rPr>
                <w:rFonts w:hint="default" w:eastAsia="宋体"/>
                <w:color w:val="auto"/>
                <w:kern w:val="0"/>
                <w:sz w:val="21"/>
                <w:szCs w:val="21"/>
                <w:vertAlign w:val="subscript"/>
                <w:lang w:val="zh-CN" w:bidi="zh-CN"/>
              </w:rPr>
              <w:t>3</w:t>
            </w:r>
            <w:r>
              <w:rPr>
                <w:rFonts w:hint="default" w:eastAsia="宋体"/>
                <w:color w:val="auto"/>
                <w:kern w:val="0"/>
                <w:sz w:val="21"/>
                <w:szCs w:val="21"/>
                <w:lang w:val="zh-CN" w:bidi="zh-CN"/>
              </w:rPr>
              <w:t>-N</w:t>
            </w:r>
          </w:p>
        </w:tc>
        <w:tc>
          <w:tcPr>
            <w:tcW w:w="623" w:type="pct"/>
            <w:tcBorders>
              <w:bottom w:val="single" w:color="auto" w:sz="4" w:space="0"/>
              <w:tl2br w:val="nil"/>
              <w:tr2bl w:val="nil"/>
            </w:tcBorders>
            <w:shd w:val="clear" w:color="auto" w:fill="auto"/>
            <w:vAlign w:val="center"/>
          </w:tcPr>
          <w:p w14:paraId="7D90B253">
            <w:pPr>
              <w:widowControl w:val="0"/>
              <w:kinsoku w:val="0"/>
              <w:overflowPunct w:val="0"/>
              <w:autoSpaceDE w:val="0"/>
              <w:autoSpaceDN w:val="0"/>
              <w:spacing w:line="240" w:lineRule="auto"/>
              <w:ind w:firstLine="0" w:firstLineChars="0"/>
              <w:jc w:val="center"/>
              <w:rPr>
                <w:rFonts w:hint="eastAsia" w:ascii="Times New Roman" w:hAnsi="Times New Roman" w:eastAsia="宋体" w:cs="Times New Roman"/>
                <w:color w:val="auto"/>
                <w:kern w:val="2"/>
                <w:sz w:val="21"/>
                <w:szCs w:val="21"/>
                <w:lang w:val="en-US" w:eastAsia="zh-CN" w:bidi="zh-CN"/>
              </w:rPr>
            </w:pPr>
            <w:r>
              <w:rPr>
                <w:rFonts w:hint="eastAsia" w:ascii="Times New Roman" w:hAnsi="Times New Roman" w:eastAsia="宋体" w:cs="Times New Roman"/>
                <w:color w:val="auto"/>
                <w:sz w:val="21"/>
                <w:szCs w:val="21"/>
                <w:lang w:val="en-US" w:eastAsia="zh-CN" w:bidi="zh-CN"/>
              </w:rPr>
              <w:t>0.0028</w:t>
            </w:r>
          </w:p>
        </w:tc>
        <w:tc>
          <w:tcPr>
            <w:tcW w:w="627" w:type="pct"/>
            <w:tcBorders>
              <w:top w:val="single" w:color="auto" w:sz="4" w:space="0"/>
              <w:bottom w:val="single" w:color="auto" w:sz="4" w:space="0"/>
              <w:tl2br w:val="nil"/>
              <w:tr2bl w:val="nil"/>
            </w:tcBorders>
            <w:shd w:val="clear" w:color="auto" w:fill="auto"/>
            <w:vAlign w:val="center"/>
          </w:tcPr>
          <w:p w14:paraId="76D9CDF4">
            <w:pPr>
              <w:widowControl w:val="0"/>
              <w:kinsoku w:val="0"/>
              <w:overflowPunct w:val="0"/>
              <w:autoSpaceDE w:val="0"/>
              <w:autoSpaceDN w:val="0"/>
              <w:spacing w:line="240" w:lineRule="auto"/>
              <w:ind w:firstLine="0" w:firstLineChars="0"/>
              <w:jc w:val="center"/>
              <w:rPr>
                <w:rFonts w:hint="eastAsia" w:ascii="Times New Roman" w:hAnsi="Times New Roman" w:eastAsia="宋体" w:cs="Times New Roman"/>
                <w:color w:val="auto"/>
                <w:kern w:val="2"/>
                <w:sz w:val="21"/>
                <w:szCs w:val="21"/>
                <w:lang w:val="en-US" w:eastAsia="zh-CN" w:bidi="zh-CN"/>
              </w:rPr>
            </w:pPr>
            <w:r>
              <w:rPr>
                <w:rFonts w:hint="eastAsia" w:ascii="Times New Roman" w:hAnsi="Times New Roman" w:eastAsia="宋体" w:cs="Times New Roman"/>
                <w:color w:val="auto"/>
                <w:sz w:val="21"/>
                <w:szCs w:val="21"/>
                <w:lang w:val="en-US" w:eastAsia="zh-CN" w:bidi="zh-CN"/>
              </w:rPr>
              <w:t>0.0028</w:t>
            </w:r>
          </w:p>
        </w:tc>
        <w:tc>
          <w:tcPr>
            <w:tcW w:w="931" w:type="pct"/>
            <w:vMerge w:val="continue"/>
            <w:tcBorders>
              <w:tl2br w:val="nil"/>
              <w:tr2bl w:val="nil"/>
            </w:tcBorders>
            <w:vAlign w:val="center"/>
          </w:tcPr>
          <w:p w14:paraId="3D1FB28D">
            <w:pPr>
              <w:jc w:val="center"/>
              <w:rPr>
                <w:rFonts w:hint="eastAsia"/>
                <w:bCs/>
                <w:color w:val="000000"/>
                <w:szCs w:val="21"/>
              </w:rPr>
            </w:pPr>
          </w:p>
        </w:tc>
      </w:tr>
      <w:tr w14:paraId="5CBE9152">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1410" w:hRule="atLeast"/>
        </w:trPr>
        <w:tc>
          <w:tcPr>
            <w:tcW w:w="398" w:type="pct"/>
            <w:tcBorders>
              <w:tl2br w:val="nil"/>
              <w:tr2bl w:val="nil"/>
            </w:tcBorders>
            <w:vAlign w:val="center"/>
          </w:tcPr>
          <w:p w14:paraId="6660498A">
            <w:pPr>
              <w:jc w:val="center"/>
              <w:rPr>
                <w:bCs/>
                <w:color w:val="000000"/>
                <w:szCs w:val="21"/>
              </w:rPr>
            </w:pPr>
            <w:r>
              <w:rPr>
                <w:rFonts w:hint="eastAsia"/>
                <w:bCs/>
                <w:color w:val="000000"/>
                <w:szCs w:val="21"/>
              </w:rPr>
              <w:t>噪声</w:t>
            </w:r>
          </w:p>
        </w:tc>
        <w:tc>
          <w:tcPr>
            <w:tcW w:w="2418" w:type="pct"/>
            <w:gridSpan w:val="5"/>
            <w:tcBorders>
              <w:tl2br w:val="nil"/>
              <w:tr2bl w:val="nil"/>
            </w:tcBorders>
            <w:vAlign w:val="center"/>
          </w:tcPr>
          <w:p w14:paraId="16F21D75">
            <w:pPr>
              <w:jc w:val="center"/>
              <w:rPr>
                <w:bCs/>
                <w:color w:val="000000"/>
                <w:szCs w:val="21"/>
              </w:rPr>
            </w:pPr>
            <w:r>
              <w:rPr>
                <w:rFonts w:hint="eastAsia"/>
                <w:bCs/>
                <w:color w:val="000000"/>
                <w:szCs w:val="21"/>
              </w:rPr>
              <w:t>设备运行噪声，声级在65-80dB（A）之间</w:t>
            </w:r>
          </w:p>
        </w:tc>
        <w:tc>
          <w:tcPr>
            <w:tcW w:w="2182" w:type="pct"/>
            <w:gridSpan w:val="3"/>
            <w:tcBorders>
              <w:tl2br w:val="nil"/>
              <w:tr2bl w:val="nil"/>
            </w:tcBorders>
            <w:vAlign w:val="center"/>
          </w:tcPr>
          <w:p w14:paraId="6160E1AD">
            <w:pPr>
              <w:jc w:val="center"/>
              <w:rPr>
                <w:bCs/>
                <w:color w:val="000000"/>
                <w:szCs w:val="21"/>
              </w:rPr>
            </w:pPr>
            <w:r>
              <w:rPr>
                <w:rFonts w:hint="eastAsia"/>
                <w:bCs/>
                <w:color w:val="000000"/>
                <w:szCs w:val="21"/>
              </w:rPr>
              <w:t>设备选用低噪声设备，在安装时采取降噪</w:t>
            </w:r>
            <w:r>
              <w:rPr>
                <w:rFonts w:hint="eastAsia"/>
                <w:bCs/>
                <w:color w:val="000000"/>
                <w:szCs w:val="21"/>
                <w:lang w:eastAsia="zh-CN"/>
              </w:rPr>
              <w:t>减振措施</w:t>
            </w:r>
            <w:r>
              <w:rPr>
                <w:rFonts w:hint="eastAsia"/>
                <w:bCs/>
                <w:color w:val="000000"/>
                <w:szCs w:val="21"/>
              </w:rPr>
              <w:t>，全部安装于室内，使用时定期检修，做好设备保养，落实工作间防噪声劳动保护和管理，完善厂区绿化建设</w:t>
            </w:r>
          </w:p>
        </w:tc>
      </w:tr>
      <w:tr w14:paraId="6EA5ED9C">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490" w:hRule="atLeast"/>
        </w:trPr>
        <w:tc>
          <w:tcPr>
            <w:tcW w:w="398" w:type="pct"/>
            <w:vMerge w:val="restart"/>
            <w:tcBorders>
              <w:tl2br w:val="nil"/>
              <w:tr2bl w:val="nil"/>
            </w:tcBorders>
            <w:vAlign w:val="center"/>
          </w:tcPr>
          <w:p w14:paraId="15D9F113">
            <w:pPr>
              <w:jc w:val="center"/>
              <w:rPr>
                <w:bCs/>
                <w:color w:val="000000"/>
                <w:szCs w:val="21"/>
              </w:rPr>
            </w:pPr>
            <w:r>
              <w:rPr>
                <w:bCs/>
                <w:color w:val="000000"/>
                <w:szCs w:val="21"/>
              </w:rPr>
              <w:t>固体废弃物</w:t>
            </w:r>
          </w:p>
        </w:tc>
        <w:tc>
          <w:tcPr>
            <w:tcW w:w="375" w:type="pct"/>
            <w:gridSpan w:val="2"/>
            <w:vMerge w:val="restart"/>
            <w:tcBorders>
              <w:tl2br w:val="nil"/>
              <w:tr2bl w:val="nil"/>
            </w:tcBorders>
            <w:vAlign w:val="center"/>
          </w:tcPr>
          <w:p w14:paraId="65022A29">
            <w:pPr>
              <w:jc w:val="center"/>
              <w:rPr>
                <w:bCs/>
                <w:color w:val="000000"/>
                <w:szCs w:val="21"/>
              </w:rPr>
            </w:pPr>
            <w:r>
              <w:rPr>
                <w:rFonts w:hint="eastAsia"/>
                <w:bCs/>
                <w:color w:val="000000"/>
                <w:szCs w:val="21"/>
              </w:rPr>
              <w:t>一工业般固废</w:t>
            </w:r>
          </w:p>
        </w:tc>
        <w:tc>
          <w:tcPr>
            <w:tcW w:w="411" w:type="pct"/>
            <w:vMerge w:val="restart"/>
            <w:tcBorders>
              <w:tl2br w:val="nil"/>
              <w:tr2bl w:val="nil"/>
            </w:tcBorders>
            <w:vAlign w:val="center"/>
          </w:tcPr>
          <w:p w14:paraId="1F1852F2">
            <w:pPr>
              <w:jc w:val="center"/>
              <w:rPr>
                <w:bCs/>
                <w:color w:val="000000"/>
                <w:szCs w:val="21"/>
              </w:rPr>
            </w:pPr>
            <w:r>
              <w:rPr>
                <w:rFonts w:hint="eastAsia"/>
                <w:bCs/>
                <w:color w:val="000000"/>
                <w:szCs w:val="21"/>
              </w:rPr>
              <w:t>生产线</w:t>
            </w:r>
          </w:p>
        </w:tc>
        <w:tc>
          <w:tcPr>
            <w:tcW w:w="1631" w:type="pct"/>
            <w:gridSpan w:val="2"/>
            <w:tcBorders>
              <w:tl2br w:val="nil"/>
              <w:tr2bl w:val="nil"/>
            </w:tcBorders>
            <w:vAlign w:val="center"/>
          </w:tcPr>
          <w:p w14:paraId="0332BE8C">
            <w:pPr>
              <w:jc w:val="center"/>
              <w:rPr>
                <w:bCs/>
                <w:color w:val="000000"/>
                <w:szCs w:val="21"/>
              </w:rPr>
            </w:pPr>
            <w:r>
              <w:rPr>
                <w:rFonts w:hint="eastAsia"/>
                <w:bCs/>
                <w:color w:val="000000"/>
                <w:szCs w:val="21"/>
              </w:rPr>
              <w:t>废滤网</w:t>
            </w:r>
          </w:p>
        </w:tc>
        <w:tc>
          <w:tcPr>
            <w:tcW w:w="623" w:type="pct"/>
            <w:tcBorders>
              <w:tl2br w:val="nil"/>
              <w:tr2bl w:val="nil"/>
            </w:tcBorders>
            <w:vAlign w:val="center"/>
          </w:tcPr>
          <w:p w14:paraId="4CC4AFEA">
            <w:pPr>
              <w:jc w:val="center"/>
              <w:rPr>
                <w:rFonts w:hint="default" w:eastAsia="宋体"/>
                <w:bCs/>
                <w:color w:val="000000"/>
                <w:szCs w:val="21"/>
                <w:lang w:val="en-US" w:eastAsia="zh-CN"/>
              </w:rPr>
            </w:pPr>
            <w:r>
              <w:rPr>
                <w:rFonts w:hint="eastAsia"/>
                <w:bCs/>
                <w:color w:val="000000"/>
                <w:szCs w:val="21"/>
                <w:lang w:val="en-US" w:eastAsia="zh-CN"/>
              </w:rPr>
              <w:t>0.2</w:t>
            </w:r>
          </w:p>
        </w:tc>
        <w:tc>
          <w:tcPr>
            <w:tcW w:w="627" w:type="pct"/>
            <w:tcBorders>
              <w:tl2br w:val="nil"/>
              <w:tr2bl w:val="nil"/>
            </w:tcBorders>
            <w:vAlign w:val="center"/>
          </w:tcPr>
          <w:p w14:paraId="309D808C">
            <w:pPr>
              <w:jc w:val="center"/>
              <w:rPr>
                <w:bCs/>
                <w:color w:val="000000"/>
                <w:szCs w:val="21"/>
              </w:rPr>
            </w:pPr>
            <w:r>
              <w:rPr>
                <w:rFonts w:hint="eastAsia"/>
                <w:bCs/>
                <w:color w:val="000000"/>
                <w:szCs w:val="21"/>
              </w:rPr>
              <w:t>0</w:t>
            </w:r>
          </w:p>
        </w:tc>
        <w:tc>
          <w:tcPr>
            <w:tcW w:w="931" w:type="pct"/>
            <w:tcBorders>
              <w:bottom w:val="single" w:color="auto" w:sz="4" w:space="0"/>
              <w:tl2br w:val="nil"/>
              <w:tr2bl w:val="nil"/>
            </w:tcBorders>
            <w:vAlign w:val="center"/>
          </w:tcPr>
          <w:p w14:paraId="255951DA">
            <w:pPr>
              <w:jc w:val="center"/>
              <w:rPr>
                <w:bCs/>
                <w:color w:val="000000"/>
                <w:szCs w:val="21"/>
              </w:rPr>
            </w:pPr>
            <w:r>
              <w:rPr>
                <w:rFonts w:hint="eastAsia"/>
                <w:bCs/>
                <w:color w:val="000000"/>
                <w:szCs w:val="21"/>
              </w:rPr>
              <w:t>集中收集后外售给废品回收站</w:t>
            </w:r>
          </w:p>
        </w:tc>
      </w:tr>
      <w:tr w14:paraId="6AD2A112">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490" w:hRule="atLeast"/>
        </w:trPr>
        <w:tc>
          <w:tcPr>
            <w:tcW w:w="398" w:type="pct"/>
            <w:vMerge w:val="continue"/>
            <w:tcBorders>
              <w:tl2br w:val="nil"/>
              <w:tr2bl w:val="nil"/>
            </w:tcBorders>
            <w:vAlign w:val="center"/>
          </w:tcPr>
          <w:p w14:paraId="6E997C92">
            <w:pPr>
              <w:jc w:val="center"/>
              <w:rPr>
                <w:bCs/>
                <w:color w:val="000000"/>
                <w:szCs w:val="21"/>
              </w:rPr>
            </w:pPr>
          </w:p>
        </w:tc>
        <w:tc>
          <w:tcPr>
            <w:tcW w:w="375" w:type="pct"/>
            <w:gridSpan w:val="2"/>
            <w:vMerge w:val="continue"/>
            <w:tcBorders>
              <w:tl2br w:val="nil"/>
              <w:tr2bl w:val="nil"/>
            </w:tcBorders>
            <w:vAlign w:val="center"/>
          </w:tcPr>
          <w:p w14:paraId="114CD378">
            <w:pPr>
              <w:jc w:val="center"/>
              <w:rPr>
                <w:bCs/>
                <w:color w:val="000000"/>
                <w:szCs w:val="21"/>
              </w:rPr>
            </w:pPr>
          </w:p>
        </w:tc>
        <w:tc>
          <w:tcPr>
            <w:tcW w:w="411" w:type="pct"/>
            <w:vMerge w:val="continue"/>
            <w:tcBorders>
              <w:tl2br w:val="nil"/>
              <w:tr2bl w:val="nil"/>
            </w:tcBorders>
            <w:vAlign w:val="center"/>
          </w:tcPr>
          <w:p w14:paraId="4B5961C2">
            <w:pPr>
              <w:jc w:val="center"/>
              <w:rPr>
                <w:bCs/>
                <w:color w:val="000000"/>
                <w:szCs w:val="21"/>
              </w:rPr>
            </w:pPr>
          </w:p>
        </w:tc>
        <w:tc>
          <w:tcPr>
            <w:tcW w:w="1631" w:type="pct"/>
            <w:gridSpan w:val="2"/>
            <w:tcBorders>
              <w:tl2br w:val="nil"/>
              <w:tr2bl w:val="nil"/>
            </w:tcBorders>
            <w:vAlign w:val="center"/>
          </w:tcPr>
          <w:p w14:paraId="3F082E09">
            <w:pPr>
              <w:jc w:val="center"/>
              <w:rPr>
                <w:bCs/>
                <w:color w:val="000000"/>
                <w:szCs w:val="21"/>
              </w:rPr>
            </w:pPr>
            <w:r>
              <w:rPr>
                <w:szCs w:val="21"/>
              </w:rPr>
              <w:t>熔融废渣</w:t>
            </w:r>
          </w:p>
        </w:tc>
        <w:tc>
          <w:tcPr>
            <w:tcW w:w="623" w:type="pct"/>
            <w:tcBorders>
              <w:tl2br w:val="nil"/>
              <w:tr2bl w:val="nil"/>
            </w:tcBorders>
            <w:vAlign w:val="center"/>
          </w:tcPr>
          <w:p w14:paraId="37DAF1F3">
            <w:pPr>
              <w:jc w:val="center"/>
              <w:rPr>
                <w:bCs/>
                <w:color w:val="000000"/>
                <w:szCs w:val="21"/>
              </w:rPr>
            </w:pPr>
            <w:r>
              <w:rPr>
                <w:rFonts w:hint="eastAsia"/>
                <w:bCs/>
                <w:color w:val="000000"/>
                <w:szCs w:val="21"/>
              </w:rPr>
              <w:t>0.03</w:t>
            </w:r>
          </w:p>
        </w:tc>
        <w:tc>
          <w:tcPr>
            <w:tcW w:w="627" w:type="pct"/>
            <w:tcBorders>
              <w:tl2br w:val="nil"/>
              <w:tr2bl w:val="nil"/>
            </w:tcBorders>
            <w:vAlign w:val="center"/>
          </w:tcPr>
          <w:p w14:paraId="6580D995">
            <w:pPr>
              <w:jc w:val="center"/>
              <w:rPr>
                <w:bCs/>
                <w:color w:val="000000"/>
                <w:szCs w:val="21"/>
              </w:rPr>
            </w:pPr>
            <w:r>
              <w:rPr>
                <w:rFonts w:hint="eastAsia"/>
                <w:bCs/>
                <w:color w:val="000000"/>
                <w:szCs w:val="21"/>
              </w:rPr>
              <w:t>0</w:t>
            </w:r>
          </w:p>
        </w:tc>
        <w:tc>
          <w:tcPr>
            <w:tcW w:w="931" w:type="pct"/>
            <w:tcBorders>
              <w:bottom w:val="single" w:color="auto" w:sz="4" w:space="0"/>
              <w:tl2br w:val="nil"/>
              <w:tr2bl w:val="nil"/>
            </w:tcBorders>
            <w:vAlign w:val="center"/>
          </w:tcPr>
          <w:p w14:paraId="1B280EF6">
            <w:pPr>
              <w:jc w:val="center"/>
              <w:rPr>
                <w:bCs/>
                <w:color w:val="000000"/>
                <w:szCs w:val="21"/>
              </w:rPr>
            </w:pPr>
            <w:r>
              <w:rPr>
                <w:szCs w:val="21"/>
              </w:rPr>
              <w:t>外售给注塑厂</w:t>
            </w:r>
          </w:p>
        </w:tc>
      </w:tr>
      <w:tr w14:paraId="298A73DD">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490" w:hRule="atLeast"/>
        </w:trPr>
        <w:tc>
          <w:tcPr>
            <w:tcW w:w="398" w:type="pct"/>
            <w:vMerge w:val="continue"/>
            <w:tcBorders>
              <w:tl2br w:val="nil"/>
              <w:tr2bl w:val="nil"/>
            </w:tcBorders>
            <w:vAlign w:val="center"/>
          </w:tcPr>
          <w:p w14:paraId="2D7A281A">
            <w:pPr>
              <w:jc w:val="center"/>
              <w:rPr>
                <w:bCs/>
                <w:color w:val="000000"/>
                <w:szCs w:val="21"/>
              </w:rPr>
            </w:pPr>
          </w:p>
        </w:tc>
        <w:tc>
          <w:tcPr>
            <w:tcW w:w="375" w:type="pct"/>
            <w:gridSpan w:val="2"/>
            <w:vMerge w:val="continue"/>
            <w:tcBorders>
              <w:tl2br w:val="nil"/>
              <w:tr2bl w:val="nil"/>
            </w:tcBorders>
            <w:vAlign w:val="center"/>
          </w:tcPr>
          <w:p w14:paraId="42612AF6">
            <w:pPr>
              <w:jc w:val="center"/>
              <w:rPr>
                <w:bCs/>
                <w:color w:val="000000"/>
                <w:szCs w:val="21"/>
              </w:rPr>
            </w:pPr>
          </w:p>
        </w:tc>
        <w:tc>
          <w:tcPr>
            <w:tcW w:w="411" w:type="pct"/>
            <w:vMerge w:val="continue"/>
            <w:tcBorders>
              <w:tl2br w:val="nil"/>
              <w:tr2bl w:val="nil"/>
            </w:tcBorders>
            <w:vAlign w:val="center"/>
          </w:tcPr>
          <w:p w14:paraId="24B9FE14">
            <w:pPr>
              <w:jc w:val="center"/>
              <w:rPr>
                <w:bCs/>
                <w:color w:val="000000"/>
                <w:szCs w:val="21"/>
              </w:rPr>
            </w:pPr>
          </w:p>
        </w:tc>
        <w:tc>
          <w:tcPr>
            <w:tcW w:w="1631" w:type="pct"/>
            <w:gridSpan w:val="2"/>
            <w:tcBorders>
              <w:tl2br w:val="nil"/>
              <w:tr2bl w:val="nil"/>
            </w:tcBorders>
            <w:vAlign w:val="center"/>
          </w:tcPr>
          <w:p w14:paraId="0E550F86">
            <w:pPr>
              <w:jc w:val="center"/>
              <w:rPr>
                <w:szCs w:val="21"/>
              </w:rPr>
            </w:pPr>
            <w:r>
              <w:rPr>
                <w:rFonts w:hint="eastAsia"/>
                <w:szCs w:val="21"/>
              </w:rPr>
              <w:t>废催化剂</w:t>
            </w:r>
          </w:p>
        </w:tc>
        <w:tc>
          <w:tcPr>
            <w:tcW w:w="623" w:type="pct"/>
            <w:tcBorders>
              <w:tl2br w:val="nil"/>
              <w:tr2bl w:val="nil"/>
            </w:tcBorders>
            <w:vAlign w:val="center"/>
          </w:tcPr>
          <w:p w14:paraId="70413B61">
            <w:pPr>
              <w:jc w:val="center"/>
              <w:rPr>
                <w:bCs/>
                <w:color w:val="000000"/>
                <w:szCs w:val="21"/>
              </w:rPr>
            </w:pPr>
            <w:r>
              <w:rPr>
                <w:rFonts w:hint="eastAsia"/>
                <w:bCs/>
                <w:color w:val="000000"/>
                <w:szCs w:val="21"/>
              </w:rPr>
              <w:t>0.15</w:t>
            </w:r>
          </w:p>
        </w:tc>
        <w:tc>
          <w:tcPr>
            <w:tcW w:w="627" w:type="pct"/>
            <w:tcBorders>
              <w:tl2br w:val="nil"/>
              <w:tr2bl w:val="nil"/>
            </w:tcBorders>
            <w:vAlign w:val="center"/>
          </w:tcPr>
          <w:p w14:paraId="118FDED1">
            <w:pPr>
              <w:jc w:val="center"/>
              <w:rPr>
                <w:bCs/>
                <w:color w:val="000000"/>
                <w:szCs w:val="21"/>
              </w:rPr>
            </w:pPr>
            <w:r>
              <w:rPr>
                <w:rFonts w:hint="eastAsia"/>
                <w:bCs/>
                <w:color w:val="000000"/>
                <w:szCs w:val="21"/>
              </w:rPr>
              <w:t>0</w:t>
            </w:r>
          </w:p>
        </w:tc>
        <w:tc>
          <w:tcPr>
            <w:tcW w:w="931" w:type="pct"/>
            <w:tcBorders>
              <w:bottom w:val="single" w:color="auto" w:sz="4" w:space="0"/>
              <w:tl2br w:val="nil"/>
              <w:tr2bl w:val="nil"/>
            </w:tcBorders>
            <w:vAlign w:val="center"/>
          </w:tcPr>
          <w:p w14:paraId="5763C507">
            <w:pPr>
              <w:jc w:val="center"/>
              <w:rPr>
                <w:szCs w:val="21"/>
              </w:rPr>
            </w:pPr>
            <w:r>
              <w:rPr>
                <w:szCs w:val="21"/>
              </w:rPr>
              <w:t>厂家回收</w:t>
            </w:r>
          </w:p>
        </w:tc>
      </w:tr>
      <w:tr w14:paraId="4F7F2FED">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470" w:hRule="atLeast"/>
        </w:trPr>
        <w:tc>
          <w:tcPr>
            <w:tcW w:w="398" w:type="pct"/>
            <w:vMerge w:val="continue"/>
            <w:tcBorders>
              <w:tl2br w:val="nil"/>
              <w:tr2bl w:val="nil"/>
            </w:tcBorders>
            <w:vAlign w:val="center"/>
          </w:tcPr>
          <w:p w14:paraId="3F8BA25A">
            <w:pPr>
              <w:jc w:val="center"/>
              <w:rPr>
                <w:bCs/>
                <w:color w:val="000000"/>
                <w:szCs w:val="21"/>
              </w:rPr>
            </w:pPr>
          </w:p>
        </w:tc>
        <w:tc>
          <w:tcPr>
            <w:tcW w:w="375" w:type="pct"/>
            <w:gridSpan w:val="2"/>
            <w:vMerge w:val="continue"/>
            <w:tcBorders>
              <w:tl2br w:val="nil"/>
              <w:tr2bl w:val="nil"/>
            </w:tcBorders>
            <w:vAlign w:val="center"/>
          </w:tcPr>
          <w:p w14:paraId="6AE031F5">
            <w:pPr>
              <w:jc w:val="center"/>
              <w:rPr>
                <w:bCs/>
                <w:color w:val="000000"/>
                <w:szCs w:val="21"/>
              </w:rPr>
            </w:pPr>
          </w:p>
        </w:tc>
        <w:tc>
          <w:tcPr>
            <w:tcW w:w="411" w:type="pct"/>
            <w:vMerge w:val="continue"/>
            <w:tcBorders>
              <w:tl2br w:val="nil"/>
              <w:tr2bl w:val="nil"/>
            </w:tcBorders>
            <w:vAlign w:val="center"/>
          </w:tcPr>
          <w:p w14:paraId="35E966FC">
            <w:pPr>
              <w:jc w:val="center"/>
              <w:rPr>
                <w:bCs/>
                <w:color w:val="000000"/>
                <w:szCs w:val="21"/>
              </w:rPr>
            </w:pPr>
          </w:p>
        </w:tc>
        <w:tc>
          <w:tcPr>
            <w:tcW w:w="1631" w:type="pct"/>
            <w:gridSpan w:val="2"/>
            <w:tcBorders>
              <w:tl2br w:val="nil"/>
              <w:tr2bl w:val="nil"/>
            </w:tcBorders>
            <w:vAlign w:val="center"/>
          </w:tcPr>
          <w:p w14:paraId="5620A970">
            <w:pPr>
              <w:jc w:val="center"/>
              <w:rPr>
                <w:bCs/>
                <w:color w:val="000000"/>
                <w:szCs w:val="21"/>
              </w:rPr>
            </w:pPr>
            <w:bookmarkStart w:id="158" w:name="_Hlk210032303"/>
            <w:r>
              <w:rPr>
                <w:rFonts w:hint="eastAsia"/>
                <w:szCs w:val="21"/>
              </w:rPr>
              <w:t>不合格品、</w:t>
            </w:r>
            <w:r>
              <w:rPr>
                <w:szCs w:val="21"/>
              </w:rPr>
              <w:t>残次品及边角料</w:t>
            </w:r>
            <w:bookmarkEnd w:id="158"/>
          </w:p>
        </w:tc>
        <w:tc>
          <w:tcPr>
            <w:tcW w:w="623" w:type="pct"/>
            <w:tcBorders>
              <w:tl2br w:val="nil"/>
              <w:tr2bl w:val="nil"/>
            </w:tcBorders>
            <w:vAlign w:val="center"/>
          </w:tcPr>
          <w:p w14:paraId="3E110A00">
            <w:pPr>
              <w:jc w:val="center"/>
              <w:rPr>
                <w:rFonts w:hint="default" w:eastAsia="宋体"/>
                <w:bCs/>
                <w:color w:val="000000"/>
                <w:szCs w:val="21"/>
                <w:lang w:val="en-US" w:eastAsia="zh-CN"/>
              </w:rPr>
            </w:pPr>
            <w:r>
              <w:rPr>
                <w:rFonts w:hint="eastAsia"/>
                <w:bCs/>
                <w:color w:val="000000"/>
                <w:szCs w:val="21"/>
                <w:lang w:val="en-US" w:eastAsia="zh-CN"/>
              </w:rPr>
              <w:t>29.985</w:t>
            </w:r>
          </w:p>
        </w:tc>
        <w:tc>
          <w:tcPr>
            <w:tcW w:w="627" w:type="pct"/>
            <w:tcBorders>
              <w:tl2br w:val="nil"/>
              <w:tr2bl w:val="nil"/>
            </w:tcBorders>
            <w:vAlign w:val="center"/>
          </w:tcPr>
          <w:p w14:paraId="2EB97373">
            <w:pPr>
              <w:jc w:val="center"/>
              <w:rPr>
                <w:bCs/>
                <w:color w:val="000000"/>
                <w:szCs w:val="21"/>
              </w:rPr>
            </w:pPr>
            <w:r>
              <w:rPr>
                <w:rFonts w:hint="eastAsia"/>
                <w:bCs/>
                <w:color w:val="000000"/>
                <w:szCs w:val="21"/>
              </w:rPr>
              <w:t>0</w:t>
            </w:r>
          </w:p>
        </w:tc>
        <w:tc>
          <w:tcPr>
            <w:tcW w:w="931" w:type="pct"/>
            <w:tcBorders>
              <w:top w:val="single" w:color="auto" w:sz="4" w:space="0"/>
              <w:bottom w:val="single" w:color="auto" w:sz="4" w:space="0"/>
              <w:tl2br w:val="nil"/>
              <w:tr2bl w:val="nil"/>
            </w:tcBorders>
            <w:vAlign w:val="center"/>
          </w:tcPr>
          <w:p w14:paraId="1B8EC744">
            <w:pPr>
              <w:jc w:val="center"/>
              <w:rPr>
                <w:bCs/>
                <w:color w:val="000000"/>
                <w:szCs w:val="21"/>
              </w:rPr>
            </w:pPr>
            <w:r>
              <w:rPr>
                <w:rFonts w:hint="eastAsia"/>
                <w:color w:val="000000"/>
              </w:rPr>
              <w:t>返回造粒工艺</w:t>
            </w:r>
          </w:p>
        </w:tc>
      </w:tr>
      <w:tr w14:paraId="2CC18A89">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849" w:hRule="atLeast"/>
        </w:trPr>
        <w:tc>
          <w:tcPr>
            <w:tcW w:w="398" w:type="pct"/>
            <w:vMerge w:val="restart"/>
            <w:tcBorders>
              <w:tl2br w:val="nil"/>
              <w:tr2bl w:val="nil"/>
            </w:tcBorders>
            <w:vAlign w:val="center"/>
          </w:tcPr>
          <w:p w14:paraId="5D5E8817">
            <w:pPr>
              <w:jc w:val="center"/>
              <w:rPr>
                <w:bCs/>
                <w:color w:val="000000"/>
                <w:szCs w:val="21"/>
              </w:rPr>
            </w:pPr>
            <w:r>
              <w:rPr>
                <w:rFonts w:hint="eastAsia"/>
                <w:bCs/>
                <w:color w:val="000000"/>
                <w:szCs w:val="21"/>
              </w:rPr>
              <w:t>工业</w:t>
            </w:r>
          </w:p>
        </w:tc>
        <w:tc>
          <w:tcPr>
            <w:tcW w:w="375" w:type="pct"/>
            <w:gridSpan w:val="2"/>
            <w:vMerge w:val="restart"/>
            <w:tcBorders>
              <w:tl2br w:val="nil"/>
              <w:tr2bl w:val="nil"/>
            </w:tcBorders>
            <w:vAlign w:val="center"/>
          </w:tcPr>
          <w:p w14:paraId="0E97B0E7">
            <w:pPr>
              <w:jc w:val="center"/>
              <w:rPr>
                <w:bCs/>
                <w:color w:val="000000"/>
                <w:szCs w:val="21"/>
              </w:rPr>
            </w:pPr>
            <w:r>
              <w:rPr>
                <w:rFonts w:hint="eastAsia"/>
                <w:bCs/>
                <w:color w:val="000000"/>
                <w:szCs w:val="21"/>
              </w:rPr>
              <w:t>危险固废</w:t>
            </w:r>
          </w:p>
        </w:tc>
        <w:tc>
          <w:tcPr>
            <w:tcW w:w="411" w:type="pct"/>
            <w:tcBorders>
              <w:tl2br w:val="nil"/>
              <w:tr2bl w:val="nil"/>
            </w:tcBorders>
            <w:vAlign w:val="center"/>
          </w:tcPr>
          <w:p w14:paraId="6C6A3986">
            <w:pPr>
              <w:jc w:val="center"/>
              <w:rPr>
                <w:bCs/>
                <w:color w:val="000000"/>
                <w:szCs w:val="21"/>
              </w:rPr>
            </w:pPr>
            <w:r>
              <w:rPr>
                <w:rFonts w:hint="eastAsia"/>
                <w:bCs/>
                <w:color w:val="000000"/>
                <w:szCs w:val="21"/>
              </w:rPr>
              <w:t>废气处理设施</w:t>
            </w:r>
          </w:p>
        </w:tc>
        <w:tc>
          <w:tcPr>
            <w:tcW w:w="1631" w:type="pct"/>
            <w:gridSpan w:val="2"/>
            <w:tcBorders>
              <w:tl2br w:val="nil"/>
              <w:tr2bl w:val="nil"/>
            </w:tcBorders>
            <w:vAlign w:val="center"/>
          </w:tcPr>
          <w:p w14:paraId="422DBEF1">
            <w:pPr>
              <w:jc w:val="center"/>
              <w:rPr>
                <w:bCs/>
                <w:color w:val="000000"/>
                <w:szCs w:val="21"/>
              </w:rPr>
            </w:pPr>
            <w:r>
              <w:rPr>
                <w:rFonts w:hint="eastAsia"/>
                <w:bCs/>
                <w:color w:val="000000"/>
                <w:szCs w:val="21"/>
              </w:rPr>
              <w:t>废活性炭</w:t>
            </w:r>
          </w:p>
        </w:tc>
        <w:tc>
          <w:tcPr>
            <w:tcW w:w="623" w:type="pct"/>
            <w:tcBorders>
              <w:tl2br w:val="nil"/>
              <w:tr2bl w:val="nil"/>
            </w:tcBorders>
            <w:vAlign w:val="center"/>
          </w:tcPr>
          <w:p w14:paraId="700307BA">
            <w:pPr>
              <w:jc w:val="center"/>
              <w:rPr>
                <w:rFonts w:hint="eastAsia" w:eastAsia="宋体"/>
                <w:bCs/>
                <w:color w:val="000000"/>
                <w:szCs w:val="21"/>
                <w:lang w:val="en-US" w:eastAsia="zh-CN"/>
              </w:rPr>
            </w:pPr>
            <w:r>
              <w:rPr>
                <w:rFonts w:hint="eastAsia"/>
                <w:bCs/>
                <w:color w:val="000000"/>
                <w:szCs w:val="21"/>
              </w:rPr>
              <w:t>0.8</w:t>
            </w:r>
            <w:r>
              <w:rPr>
                <w:rFonts w:hint="eastAsia"/>
                <w:bCs/>
                <w:color w:val="000000"/>
                <w:szCs w:val="21"/>
                <w:lang w:val="en-US" w:eastAsia="zh-CN"/>
              </w:rPr>
              <w:t>8</w:t>
            </w:r>
          </w:p>
        </w:tc>
        <w:tc>
          <w:tcPr>
            <w:tcW w:w="627" w:type="pct"/>
            <w:tcBorders>
              <w:tl2br w:val="nil"/>
              <w:tr2bl w:val="nil"/>
            </w:tcBorders>
            <w:vAlign w:val="center"/>
          </w:tcPr>
          <w:p w14:paraId="3F4C6527">
            <w:pPr>
              <w:jc w:val="center"/>
              <w:rPr>
                <w:bCs/>
                <w:color w:val="000000"/>
                <w:szCs w:val="21"/>
              </w:rPr>
            </w:pPr>
            <w:r>
              <w:rPr>
                <w:rFonts w:hint="eastAsia"/>
                <w:bCs/>
                <w:color w:val="000000"/>
                <w:szCs w:val="21"/>
              </w:rPr>
              <w:t>0</w:t>
            </w:r>
          </w:p>
        </w:tc>
        <w:tc>
          <w:tcPr>
            <w:tcW w:w="931" w:type="pct"/>
            <w:vMerge w:val="restart"/>
            <w:tcBorders>
              <w:top w:val="single" w:color="auto" w:sz="4" w:space="0"/>
              <w:tl2br w:val="nil"/>
              <w:tr2bl w:val="nil"/>
            </w:tcBorders>
            <w:vAlign w:val="center"/>
          </w:tcPr>
          <w:p w14:paraId="70D1694C">
            <w:pPr>
              <w:jc w:val="center"/>
              <w:rPr>
                <w:bCs/>
                <w:color w:val="000000"/>
                <w:szCs w:val="21"/>
              </w:rPr>
            </w:pPr>
            <w:r>
              <w:rPr>
                <w:szCs w:val="21"/>
              </w:rPr>
              <w:t>收集后暂存于危废</w:t>
            </w:r>
            <w:r>
              <w:rPr>
                <w:rFonts w:hint="eastAsia"/>
                <w:szCs w:val="21"/>
              </w:rPr>
              <w:t>贮存点</w:t>
            </w:r>
            <w:r>
              <w:rPr>
                <w:szCs w:val="21"/>
              </w:rPr>
              <w:t>，定期交由有资质的单位处置</w:t>
            </w:r>
          </w:p>
        </w:tc>
      </w:tr>
      <w:tr w14:paraId="65F94E6E">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415" w:hRule="atLeast"/>
        </w:trPr>
        <w:tc>
          <w:tcPr>
            <w:tcW w:w="398" w:type="pct"/>
            <w:vMerge w:val="continue"/>
            <w:tcBorders>
              <w:tl2br w:val="nil"/>
              <w:tr2bl w:val="nil"/>
            </w:tcBorders>
            <w:vAlign w:val="center"/>
          </w:tcPr>
          <w:p w14:paraId="17EC826A">
            <w:pPr>
              <w:jc w:val="center"/>
              <w:rPr>
                <w:bCs/>
                <w:color w:val="000000"/>
                <w:szCs w:val="21"/>
              </w:rPr>
            </w:pPr>
          </w:p>
        </w:tc>
        <w:tc>
          <w:tcPr>
            <w:tcW w:w="375" w:type="pct"/>
            <w:gridSpan w:val="2"/>
            <w:vMerge w:val="continue"/>
            <w:tcBorders>
              <w:tl2br w:val="nil"/>
              <w:tr2bl w:val="nil"/>
            </w:tcBorders>
            <w:vAlign w:val="center"/>
          </w:tcPr>
          <w:p w14:paraId="6753CB69">
            <w:pPr>
              <w:jc w:val="center"/>
              <w:rPr>
                <w:bCs/>
                <w:color w:val="000000"/>
                <w:szCs w:val="21"/>
              </w:rPr>
            </w:pPr>
          </w:p>
        </w:tc>
        <w:tc>
          <w:tcPr>
            <w:tcW w:w="411" w:type="pct"/>
            <w:vMerge w:val="restart"/>
            <w:tcBorders>
              <w:tl2br w:val="nil"/>
              <w:tr2bl w:val="nil"/>
            </w:tcBorders>
            <w:vAlign w:val="center"/>
          </w:tcPr>
          <w:p w14:paraId="14AF701C">
            <w:pPr>
              <w:jc w:val="center"/>
              <w:rPr>
                <w:bCs/>
                <w:color w:val="000000"/>
                <w:szCs w:val="21"/>
              </w:rPr>
            </w:pPr>
            <w:r>
              <w:rPr>
                <w:rFonts w:hint="eastAsia"/>
                <w:bCs/>
                <w:color w:val="000000"/>
                <w:szCs w:val="21"/>
              </w:rPr>
              <w:t>生产设备</w:t>
            </w:r>
          </w:p>
        </w:tc>
        <w:tc>
          <w:tcPr>
            <w:tcW w:w="1631" w:type="pct"/>
            <w:gridSpan w:val="2"/>
            <w:tcBorders>
              <w:tl2br w:val="nil"/>
              <w:tr2bl w:val="nil"/>
            </w:tcBorders>
            <w:vAlign w:val="center"/>
          </w:tcPr>
          <w:p w14:paraId="296CAA68">
            <w:pPr>
              <w:jc w:val="center"/>
              <w:rPr>
                <w:bCs/>
                <w:color w:val="000000"/>
                <w:szCs w:val="21"/>
              </w:rPr>
            </w:pPr>
            <w:r>
              <w:rPr>
                <w:rFonts w:hint="eastAsia"/>
                <w:bCs/>
                <w:color w:val="000000"/>
                <w:szCs w:val="21"/>
              </w:rPr>
              <w:t>废润滑油</w:t>
            </w:r>
          </w:p>
        </w:tc>
        <w:tc>
          <w:tcPr>
            <w:tcW w:w="623" w:type="pct"/>
            <w:tcBorders>
              <w:tl2br w:val="nil"/>
              <w:tr2bl w:val="nil"/>
            </w:tcBorders>
            <w:vAlign w:val="center"/>
          </w:tcPr>
          <w:p w14:paraId="48D20F27">
            <w:pPr>
              <w:jc w:val="center"/>
              <w:rPr>
                <w:bCs/>
                <w:color w:val="000000"/>
                <w:szCs w:val="21"/>
              </w:rPr>
            </w:pPr>
            <w:r>
              <w:rPr>
                <w:rFonts w:hint="eastAsia"/>
                <w:bCs/>
                <w:color w:val="000000"/>
                <w:szCs w:val="21"/>
              </w:rPr>
              <w:t>0.12</w:t>
            </w:r>
          </w:p>
        </w:tc>
        <w:tc>
          <w:tcPr>
            <w:tcW w:w="627" w:type="pct"/>
            <w:tcBorders>
              <w:tl2br w:val="nil"/>
              <w:tr2bl w:val="nil"/>
            </w:tcBorders>
            <w:vAlign w:val="center"/>
          </w:tcPr>
          <w:p w14:paraId="3D9C2DED">
            <w:pPr>
              <w:jc w:val="center"/>
              <w:rPr>
                <w:bCs/>
                <w:color w:val="000000"/>
                <w:szCs w:val="21"/>
              </w:rPr>
            </w:pPr>
            <w:r>
              <w:rPr>
                <w:rFonts w:hint="eastAsia"/>
                <w:bCs/>
                <w:color w:val="000000"/>
                <w:szCs w:val="21"/>
              </w:rPr>
              <w:t>0</w:t>
            </w:r>
          </w:p>
        </w:tc>
        <w:tc>
          <w:tcPr>
            <w:tcW w:w="931" w:type="pct"/>
            <w:vMerge w:val="continue"/>
            <w:tcBorders>
              <w:tl2br w:val="nil"/>
              <w:tr2bl w:val="nil"/>
            </w:tcBorders>
            <w:vAlign w:val="center"/>
          </w:tcPr>
          <w:p w14:paraId="2B9AA003">
            <w:pPr>
              <w:jc w:val="center"/>
              <w:rPr>
                <w:bCs/>
                <w:color w:val="000000"/>
                <w:szCs w:val="21"/>
              </w:rPr>
            </w:pPr>
          </w:p>
        </w:tc>
      </w:tr>
      <w:tr w14:paraId="78DDBE62">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433" w:hRule="atLeast"/>
        </w:trPr>
        <w:tc>
          <w:tcPr>
            <w:tcW w:w="398" w:type="pct"/>
            <w:vMerge w:val="continue"/>
            <w:tcBorders>
              <w:tl2br w:val="nil"/>
              <w:tr2bl w:val="nil"/>
            </w:tcBorders>
            <w:vAlign w:val="center"/>
          </w:tcPr>
          <w:p w14:paraId="2842CCC5">
            <w:pPr>
              <w:jc w:val="center"/>
              <w:rPr>
                <w:bCs/>
                <w:color w:val="000000"/>
                <w:szCs w:val="21"/>
              </w:rPr>
            </w:pPr>
          </w:p>
        </w:tc>
        <w:tc>
          <w:tcPr>
            <w:tcW w:w="375" w:type="pct"/>
            <w:gridSpan w:val="2"/>
            <w:vMerge w:val="continue"/>
            <w:tcBorders>
              <w:tl2br w:val="nil"/>
              <w:tr2bl w:val="nil"/>
            </w:tcBorders>
            <w:vAlign w:val="center"/>
          </w:tcPr>
          <w:p w14:paraId="25B6703E">
            <w:pPr>
              <w:jc w:val="center"/>
              <w:rPr>
                <w:bCs/>
                <w:color w:val="000000"/>
                <w:szCs w:val="21"/>
              </w:rPr>
            </w:pPr>
          </w:p>
        </w:tc>
        <w:tc>
          <w:tcPr>
            <w:tcW w:w="411" w:type="pct"/>
            <w:vMerge w:val="continue"/>
            <w:tcBorders>
              <w:tl2br w:val="nil"/>
              <w:tr2bl w:val="nil"/>
            </w:tcBorders>
            <w:vAlign w:val="center"/>
          </w:tcPr>
          <w:p w14:paraId="62FCC9B9">
            <w:pPr>
              <w:jc w:val="center"/>
              <w:rPr>
                <w:bCs/>
                <w:color w:val="000000"/>
                <w:szCs w:val="21"/>
              </w:rPr>
            </w:pPr>
          </w:p>
        </w:tc>
        <w:tc>
          <w:tcPr>
            <w:tcW w:w="1631" w:type="pct"/>
            <w:gridSpan w:val="2"/>
            <w:tcBorders>
              <w:tl2br w:val="nil"/>
              <w:tr2bl w:val="nil"/>
            </w:tcBorders>
            <w:vAlign w:val="center"/>
          </w:tcPr>
          <w:p w14:paraId="16D397D3">
            <w:pPr>
              <w:jc w:val="center"/>
              <w:rPr>
                <w:bCs/>
                <w:color w:val="000000"/>
                <w:szCs w:val="21"/>
              </w:rPr>
            </w:pPr>
            <w:r>
              <w:rPr>
                <w:rFonts w:hint="eastAsia"/>
                <w:bCs/>
                <w:color w:val="000000"/>
                <w:szCs w:val="21"/>
              </w:rPr>
              <w:t>废油桶</w:t>
            </w:r>
          </w:p>
        </w:tc>
        <w:tc>
          <w:tcPr>
            <w:tcW w:w="623" w:type="pct"/>
            <w:tcBorders>
              <w:tl2br w:val="nil"/>
              <w:tr2bl w:val="nil"/>
            </w:tcBorders>
            <w:vAlign w:val="center"/>
          </w:tcPr>
          <w:p w14:paraId="4E74366B">
            <w:pPr>
              <w:jc w:val="center"/>
              <w:rPr>
                <w:bCs/>
                <w:color w:val="000000"/>
                <w:szCs w:val="21"/>
              </w:rPr>
            </w:pPr>
            <w:r>
              <w:rPr>
                <w:rFonts w:hint="eastAsia"/>
                <w:bCs/>
                <w:color w:val="000000"/>
                <w:szCs w:val="21"/>
              </w:rPr>
              <w:t>0.024</w:t>
            </w:r>
          </w:p>
        </w:tc>
        <w:tc>
          <w:tcPr>
            <w:tcW w:w="627" w:type="pct"/>
            <w:tcBorders>
              <w:tl2br w:val="nil"/>
              <w:tr2bl w:val="nil"/>
            </w:tcBorders>
            <w:vAlign w:val="center"/>
          </w:tcPr>
          <w:p w14:paraId="5B588C9F">
            <w:pPr>
              <w:jc w:val="center"/>
              <w:rPr>
                <w:bCs/>
                <w:color w:val="000000"/>
                <w:szCs w:val="21"/>
              </w:rPr>
            </w:pPr>
            <w:r>
              <w:rPr>
                <w:rFonts w:hint="eastAsia"/>
                <w:bCs/>
                <w:color w:val="000000"/>
                <w:szCs w:val="21"/>
              </w:rPr>
              <w:t>0</w:t>
            </w:r>
          </w:p>
        </w:tc>
        <w:tc>
          <w:tcPr>
            <w:tcW w:w="931" w:type="pct"/>
            <w:vMerge w:val="continue"/>
            <w:tcBorders>
              <w:tl2br w:val="nil"/>
              <w:tr2bl w:val="nil"/>
            </w:tcBorders>
            <w:vAlign w:val="center"/>
          </w:tcPr>
          <w:p w14:paraId="6F17A339">
            <w:pPr>
              <w:jc w:val="center"/>
              <w:rPr>
                <w:bCs/>
                <w:color w:val="000000"/>
                <w:szCs w:val="21"/>
              </w:rPr>
            </w:pPr>
          </w:p>
        </w:tc>
      </w:tr>
      <w:tr w14:paraId="02EAA79E">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88" w:hRule="atLeast"/>
        </w:trPr>
        <w:tc>
          <w:tcPr>
            <w:tcW w:w="398" w:type="pct"/>
            <w:vMerge w:val="continue"/>
            <w:tcBorders>
              <w:tl2br w:val="nil"/>
              <w:tr2bl w:val="nil"/>
            </w:tcBorders>
            <w:vAlign w:val="center"/>
          </w:tcPr>
          <w:p w14:paraId="6DDDBF64">
            <w:pPr>
              <w:jc w:val="center"/>
              <w:rPr>
                <w:bCs/>
                <w:color w:val="000000"/>
                <w:szCs w:val="21"/>
              </w:rPr>
            </w:pPr>
          </w:p>
        </w:tc>
        <w:tc>
          <w:tcPr>
            <w:tcW w:w="787" w:type="pct"/>
            <w:gridSpan w:val="3"/>
            <w:tcBorders>
              <w:tl2br w:val="nil"/>
              <w:tr2bl w:val="nil"/>
            </w:tcBorders>
            <w:vAlign w:val="center"/>
          </w:tcPr>
          <w:p w14:paraId="6F046107">
            <w:pPr>
              <w:jc w:val="center"/>
              <w:rPr>
                <w:bCs/>
                <w:color w:val="000000"/>
                <w:szCs w:val="21"/>
              </w:rPr>
            </w:pPr>
            <w:r>
              <w:rPr>
                <w:bCs/>
                <w:color w:val="000000"/>
                <w:szCs w:val="21"/>
              </w:rPr>
              <w:t>生活区</w:t>
            </w:r>
          </w:p>
        </w:tc>
        <w:tc>
          <w:tcPr>
            <w:tcW w:w="1631" w:type="pct"/>
            <w:gridSpan w:val="2"/>
            <w:tcBorders>
              <w:tl2br w:val="nil"/>
              <w:tr2bl w:val="nil"/>
            </w:tcBorders>
            <w:vAlign w:val="center"/>
          </w:tcPr>
          <w:p w14:paraId="160B3392">
            <w:pPr>
              <w:jc w:val="center"/>
              <w:rPr>
                <w:bCs/>
                <w:color w:val="000000"/>
                <w:szCs w:val="21"/>
              </w:rPr>
            </w:pPr>
            <w:r>
              <w:rPr>
                <w:bCs/>
                <w:color w:val="000000"/>
                <w:szCs w:val="21"/>
              </w:rPr>
              <w:t>生活垃圾</w:t>
            </w:r>
          </w:p>
        </w:tc>
        <w:tc>
          <w:tcPr>
            <w:tcW w:w="623" w:type="pct"/>
            <w:tcBorders>
              <w:tl2br w:val="nil"/>
              <w:tr2bl w:val="nil"/>
            </w:tcBorders>
            <w:vAlign w:val="center"/>
          </w:tcPr>
          <w:p w14:paraId="46C61C6A">
            <w:pPr>
              <w:jc w:val="center"/>
              <w:rPr>
                <w:rFonts w:hint="default" w:eastAsia="宋体"/>
                <w:bCs/>
                <w:color w:val="000000"/>
                <w:szCs w:val="21"/>
                <w:lang w:val="en-US" w:eastAsia="zh-CN"/>
              </w:rPr>
            </w:pPr>
            <w:r>
              <w:rPr>
                <w:rFonts w:hint="eastAsia"/>
                <w:bCs/>
                <w:color w:val="000000"/>
                <w:szCs w:val="21"/>
                <w:lang w:val="en-US" w:eastAsia="zh-CN"/>
              </w:rPr>
              <w:t>0.72</w:t>
            </w:r>
          </w:p>
        </w:tc>
        <w:tc>
          <w:tcPr>
            <w:tcW w:w="627" w:type="pct"/>
            <w:tcBorders>
              <w:tl2br w:val="nil"/>
              <w:tr2bl w:val="nil"/>
            </w:tcBorders>
            <w:vAlign w:val="center"/>
          </w:tcPr>
          <w:p w14:paraId="393CE713">
            <w:pPr>
              <w:jc w:val="center"/>
              <w:rPr>
                <w:bCs/>
                <w:color w:val="000000"/>
                <w:szCs w:val="21"/>
              </w:rPr>
            </w:pPr>
            <w:r>
              <w:rPr>
                <w:rFonts w:hint="eastAsia"/>
                <w:bCs/>
                <w:color w:val="000000"/>
                <w:szCs w:val="21"/>
              </w:rPr>
              <w:t>0</w:t>
            </w:r>
          </w:p>
        </w:tc>
        <w:tc>
          <w:tcPr>
            <w:tcW w:w="931" w:type="pct"/>
            <w:tcBorders>
              <w:tl2br w:val="nil"/>
              <w:tr2bl w:val="nil"/>
            </w:tcBorders>
            <w:vAlign w:val="center"/>
          </w:tcPr>
          <w:p w14:paraId="70799233">
            <w:pPr>
              <w:jc w:val="center"/>
              <w:rPr>
                <w:bCs/>
                <w:color w:val="000000"/>
                <w:szCs w:val="21"/>
              </w:rPr>
            </w:pPr>
            <w:r>
              <w:rPr>
                <w:rFonts w:hint="eastAsia"/>
                <w:bCs/>
                <w:color w:val="000000"/>
                <w:szCs w:val="21"/>
              </w:rPr>
              <w:t>分类收集，</w:t>
            </w:r>
            <w:r>
              <w:rPr>
                <w:bCs/>
                <w:color w:val="000000"/>
                <w:szCs w:val="21"/>
              </w:rPr>
              <w:t>定期</w:t>
            </w:r>
            <w:r>
              <w:rPr>
                <w:rFonts w:hint="eastAsia"/>
                <w:bCs/>
                <w:color w:val="000000"/>
                <w:szCs w:val="21"/>
              </w:rPr>
              <w:t>交由环卫处理</w:t>
            </w:r>
          </w:p>
        </w:tc>
      </w:tr>
    </w:tbl>
    <w:p w14:paraId="56EA8F66">
      <w:pPr>
        <w:pStyle w:val="3"/>
        <w:keepNext w:val="0"/>
        <w:keepLines w:val="0"/>
        <w:autoSpaceDE w:val="0"/>
        <w:autoSpaceDN w:val="0"/>
        <w:spacing w:before="0" w:after="0" w:line="360" w:lineRule="auto"/>
        <w:jc w:val="left"/>
        <w:rPr>
          <w:rFonts w:ascii="Times New Roman" w:hAnsi="Times New Roman" w:eastAsia="宋体"/>
          <w:kern w:val="0"/>
          <w:sz w:val="24"/>
          <w:szCs w:val="30"/>
          <w:lang w:val="en-US" w:bidi="zh-CN"/>
        </w:rPr>
      </w:pPr>
      <w:bookmarkStart w:id="159" w:name="_Toc12490"/>
      <w:bookmarkStart w:id="160" w:name="_Toc32045"/>
      <w:bookmarkStart w:id="161" w:name="_Toc4455_WPSOffice_Level2"/>
      <w:bookmarkStart w:id="162" w:name="_Toc13053"/>
      <w:bookmarkStart w:id="163" w:name="_Toc524431449"/>
      <w:bookmarkStart w:id="164" w:name="_Toc10549"/>
      <w:bookmarkStart w:id="165" w:name="_Toc15609"/>
      <w:bookmarkStart w:id="166" w:name="_Toc14501"/>
      <w:bookmarkStart w:id="167" w:name="_Toc29944"/>
      <w:bookmarkStart w:id="168" w:name="_Toc15899"/>
      <w:bookmarkStart w:id="169" w:name="_Toc290977541"/>
      <w:bookmarkStart w:id="170" w:name="_Toc320786821"/>
      <w:bookmarkStart w:id="171" w:name="_Toc314145628"/>
      <w:bookmarkStart w:id="172" w:name="_Toc150266368"/>
      <w:bookmarkStart w:id="173" w:name="_Toc151272193"/>
      <w:bookmarkStart w:id="174" w:name="_Toc150266524"/>
      <w:bookmarkStart w:id="175" w:name="_Toc327921178"/>
      <w:bookmarkStart w:id="176" w:name="_Toc314144910"/>
      <w:bookmarkStart w:id="177" w:name="_Toc332727834"/>
      <w:bookmarkStart w:id="178" w:name="_Toc150588426"/>
      <w:bookmarkStart w:id="179" w:name="_Toc307226161"/>
      <w:bookmarkStart w:id="180" w:name="_Toc151378091"/>
      <w:bookmarkStart w:id="181" w:name="_Toc150591286"/>
      <w:bookmarkStart w:id="182" w:name="_Toc363049965"/>
      <w:bookmarkStart w:id="183" w:name="_Toc166641024"/>
      <w:bookmarkStart w:id="184" w:name="_Toc150608654"/>
      <w:bookmarkStart w:id="185" w:name="_Toc150771786"/>
      <w:bookmarkStart w:id="186" w:name="_Toc269231202"/>
      <w:bookmarkStart w:id="187" w:name="_Toc271976809"/>
      <w:bookmarkStart w:id="188" w:name="_Toc265063325"/>
      <w:bookmarkStart w:id="189" w:name="_Toc296030706"/>
      <w:r>
        <w:rPr>
          <w:rFonts w:hint="eastAsia" w:ascii="Times New Roman" w:hAnsi="Times New Roman" w:eastAsia="宋体"/>
          <w:kern w:val="0"/>
          <w:sz w:val="24"/>
          <w:szCs w:val="30"/>
          <w:lang w:val="en-US" w:bidi="zh-CN"/>
        </w:rPr>
        <w:t>3.6非正常工况分析</w:t>
      </w:r>
      <w:bookmarkEnd w:id="159"/>
    </w:p>
    <w:p w14:paraId="29D5D01D">
      <w:pPr>
        <w:widowControl/>
        <w:spacing w:line="360" w:lineRule="auto"/>
        <w:ind w:firstLine="480" w:firstLineChars="200"/>
        <w:rPr>
          <w:rFonts w:hint="eastAsia" w:ascii="宋体" w:hAnsi="宋体" w:cs="宋体"/>
          <w:color w:val="000000"/>
          <w:kern w:val="0"/>
          <w:sz w:val="24"/>
          <w:szCs w:val="24"/>
          <w:lang w:bidi="ar"/>
        </w:rPr>
      </w:pPr>
      <w:r>
        <w:rPr>
          <w:rFonts w:hint="eastAsia" w:ascii="宋体" w:hAnsi="宋体" w:cs="宋体"/>
          <w:color w:val="000000"/>
          <w:kern w:val="0"/>
          <w:sz w:val="24"/>
          <w:szCs w:val="24"/>
          <w:lang w:bidi="ar"/>
        </w:rPr>
        <w:t>非正常工况排污主要包括生产设备的正常开、停车和设备检修时，以及环保设施达不到设计要求时排放的污染物。本项目所采用的生产设备均为用电设备，设备正常开、停车和检修时不会有污染物排放，因此非正常工况排污主要指环保设施达不到设计要求时排放的污染物。</w:t>
      </w:r>
    </w:p>
    <w:p w14:paraId="6EF07662">
      <w:pPr>
        <w:widowControl/>
        <w:spacing w:line="360" w:lineRule="auto"/>
        <w:ind w:firstLine="480" w:firstLineChars="200"/>
      </w:pPr>
      <w:r>
        <w:rPr>
          <w:rFonts w:hint="eastAsia" w:ascii="宋体" w:hAnsi="宋体" w:cs="宋体"/>
          <w:color w:val="000000"/>
          <w:kern w:val="0"/>
          <w:sz w:val="24"/>
          <w:szCs w:val="24"/>
          <w:lang w:bidi="ar"/>
        </w:rPr>
        <w:t>废气处理设施事故停运对周围大气环境影响主要为恶臭，事故状态下，按最不利情况，</w:t>
      </w:r>
      <w:r>
        <w:rPr>
          <w:rFonts w:hint="eastAsia" w:ascii="宋体" w:hAnsi="宋体" w:cs="宋体"/>
          <w:color w:val="000000"/>
          <w:kern w:val="0"/>
          <w:sz w:val="24"/>
          <w:szCs w:val="24"/>
          <w:lang w:eastAsia="zh-CN" w:bidi="ar"/>
        </w:rPr>
        <w:t>活性炭浓缩吸附+催化燃烧</w:t>
      </w:r>
      <w:r>
        <w:rPr>
          <w:rFonts w:hint="eastAsia" w:ascii="宋体" w:hAnsi="宋体" w:cs="宋体"/>
          <w:color w:val="000000"/>
          <w:kern w:val="0"/>
          <w:sz w:val="24"/>
          <w:szCs w:val="24"/>
          <w:lang w:bidi="ar"/>
        </w:rPr>
        <w:t xml:space="preserve">系统故障，处理效率为0。 </w:t>
      </w:r>
    </w:p>
    <w:p w14:paraId="19FA91A1">
      <w:pPr>
        <w:spacing w:line="360" w:lineRule="auto"/>
        <w:ind w:firstLine="480"/>
        <w:rPr>
          <w:rFonts w:hint="eastAsia" w:ascii="宋体" w:hAnsi="宋体" w:cs="宋体"/>
          <w:sz w:val="24"/>
          <w:szCs w:val="24"/>
        </w:rPr>
      </w:pPr>
      <w:r>
        <w:rPr>
          <w:rFonts w:hint="eastAsia" w:ascii="宋体" w:hAnsi="宋体" w:cs="宋体"/>
          <w:sz w:val="24"/>
          <w:szCs w:val="24"/>
        </w:rPr>
        <w:t>非正常工况排放状态下废气排放情况如表3.6-1。</w:t>
      </w:r>
    </w:p>
    <w:p w14:paraId="3BC622B7">
      <w:pPr>
        <w:widowControl/>
        <w:jc w:val="center"/>
        <w:rPr>
          <w:b/>
          <w:bCs/>
          <w:szCs w:val="21"/>
        </w:rPr>
      </w:pPr>
      <w:r>
        <w:rPr>
          <w:rFonts w:hint="eastAsia" w:ascii="宋体" w:hAnsi="宋体" w:cs="宋体"/>
          <w:b/>
          <w:bCs/>
          <w:kern w:val="0"/>
          <w:szCs w:val="21"/>
        </w:rPr>
        <w:t>表3.6-1    非正常工况下废气污染物参数</w:t>
      </w:r>
    </w:p>
    <w:tbl>
      <w:tblPr>
        <w:tblStyle w:val="50"/>
        <w:tblW w:w="4929"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690"/>
        <w:gridCol w:w="1613"/>
        <w:gridCol w:w="1010"/>
        <w:gridCol w:w="1197"/>
        <w:gridCol w:w="1109"/>
        <w:gridCol w:w="916"/>
        <w:gridCol w:w="918"/>
        <w:gridCol w:w="703"/>
      </w:tblGrid>
      <w:tr w14:paraId="3926BF6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356" w:hRule="atLeast"/>
        </w:trPr>
        <w:tc>
          <w:tcPr>
            <w:tcW w:w="923" w:type="pct"/>
            <w:tcBorders>
              <w:tl2br w:val="nil"/>
              <w:tr2bl w:val="nil"/>
            </w:tcBorders>
            <w:vAlign w:val="center"/>
          </w:tcPr>
          <w:p w14:paraId="3B2E9A7A">
            <w:pPr>
              <w:pStyle w:val="63"/>
              <w:keepNext/>
              <w:spacing w:line="320" w:lineRule="exact"/>
              <w:jc w:val="center"/>
              <w:textAlignment w:val="auto"/>
              <w:rPr>
                <w:rFonts w:hint="eastAsia" w:hAnsi="宋体"/>
                <w:b w:val="0"/>
                <w:bCs/>
                <w:color w:val="auto"/>
                <w:sz w:val="21"/>
                <w:szCs w:val="21"/>
              </w:rPr>
            </w:pPr>
            <w:r>
              <w:rPr>
                <w:rFonts w:hint="eastAsia" w:hAnsi="宋体"/>
                <w:b w:val="0"/>
                <w:bCs/>
                <w:color w:val="auto"/>
                <w:sz w:val="21"/>
                <w:szCs w:val="21"/>
              </w:rPr>
              <w:t>非正常污染源</w:t>
            </w:r>
          </w:p>
        </w:tc>
        <w:tc>
          <w:tcPr>
            <w:tcW w:w="881" w:type="pct"/>
            <w:tcBorders>
              <w:tl2br w:val="nil"/>
              <w:tr2bl w:val="nil"/>
            </w:tcBorders>
            <w:vAlign w:val="center"/>
          </w:tcPr>
          <w:p w14:paraId="05E9058D">
            <w:pPr>
              <w:pStyle w:val="63"/>
              <w:keepNext/>
              <w:spacing w:line="320" w:lineRule="exact"/>
              <w:jc w:val="center"/>
              <w:textAlignment w:val="auto"/>
              <w:rPr>
                <w:rFonts w:hint="eastAsia" w:hAnsi="宋体"/>
                <w:b w:val="0"/>
                <w:bCs/>
                <w:color w:val="auto"/>
                <w:sz w:val="21"/>
                <w:szCs w:val="21"/>
              </w:rPr>
            </w:pPr>
            <w:r>
              <w:rPr>
                <w:rFonts w:hint="eastAsia" w:hAnsi="宋体"/>
                <w:b w:val="0"/>
                <w:bCs/>
                <w:color w:val="auto"/>
                <w:sz w:val="21"/>
                <w:szCs w:val="21"/>
              </w:rPr>
              <w:t>非正常排放</w:t>
            </w:r>
          </w:p>
          <w:p w14:paraId="5786B3C9">
            <w:pPr>
              <w:pStyle w:val="63"/>
              <w:keepNext/>
              <w:spacing w:line="320" w:lineRule="exact"/>
              <w:jc w:val="center"/>
              <w:textAlignment w:val="auto"/>
              <w:rPr>
                <w:rFonts w:hint="eastAsia" w:hAnsi="宋体"/>
                <w:b w:val="0"/>
                <w:bCs/>
                <w:color w:val="auto"/>
                <w:sz w:val="21"/>
                <w:szCs w:val="21"/>
              </w:rPr>
            </w:pPr>
            <w:r>
              <w:rPr>
                <w:rFonts w:hint="eastAsia" w:hAnsi="宋体"/>
                <w:b w:val="0"/>
                <w:bCs/>
                <w:color w:val="auto"/>
                <w:sz w:val="21"/>
                <w:szCs w:val="21"/>
              </w:rPr>
              <w:t>原因</w:t>
            </w:r>
          </w:p>
        </w:tc>
        <w:tc>
          <w:tcPr>
            <w:tcW w:w="552" w:type="pct"/>
            <w:tcBorders>
              <w:tl2br w:val="nil"/>
              <w:tr2bl w:val="nil"/>
            </w:tcBorders>
            <w:vAlign w:val="center"/>
          </w:tcPr>
          <w:p w14:paraId="65ABFD62">
            <w:pPr>
              <w:pStyle w:val="63"/>
              <w:keepNext/>
              <w:spacing w:line="320" w:lineRule="exact"/>
              <w:jc w:val="center"/>
              <w:textAlignment w:val="auto"/>
              <w:rPr>
                <w:rFonts w:hint="eastAsia" w:hAnsi="宋体"/>
                <w:b w:val="0"/>
                <w:bCs/>
                <w:color w:val="auto"/>
                <w:sz w:val="21"/>
                <w:szCs w:val="21"/>
              </w:rPr>
            </w:pPr>
            <w:r>
              <w:rPr>
                <w:rFonts w:hint="eastAsia" w:hAnsi="宋体"/>
                <w:b w:val="0"/>
                <w:bCs/>
                <w:color w:val="auto"/>
                <w:sz w:val="21"/>
                <w:szCs w:val="21"/>
              </w:rPr>
              <w:t>污染物</w:t>
            </w:r>
          </w:p>
        </w:tc>
        <w:tc>
          <w:tcPr>
            <w:tcW w:w="654" w:type="pct"/>
            <w:tcBorders>
              <w:tl2br w:val="nil"/>
              <w:tr2bl w:val="nil"/>
            </w:tcBorders>
            <w:vAlign w:val="center"/>
          </w:tcPr>
          <w:p w14:paraId="122490DD">
            <w:pPr>
              <w:spacing w:line="320" w:lineRule="exact"/>
              <w:jc w:val="center"/>
              <w:rPr>
                <w:rFonts w:hint="eastAsia" w:ascii="宋体" w:hAnsi="宋体" w:cs="宋体"/>
                <w:szCs w:val="21"/>
              </w:rPr>
            </w:pPr>
            <w:r>
              <w:rPr>
                <w:rFonts w:hint="eastAsia" w:ascii="宋体" w:hAnsi="宋体" w:cs="宋体"/>
                <w:szCs w:val="21"/>
              </w:rPr>
              <w:t>非正常排放速率（kg/h）</w:t>
            </w:r>
          </w:p>
        </w:tc>
        <w:tc>
          <w:tcPr>
            <w:tcW w:w="598" w:type="pct"/>
            <w:tcBorders>
              <w:tl2br w:val="nil"/>
              <w:tr2bl w:val="nil"/>
            </w:tcBorders>
            <w:vAlign w:val="center"/>
          </w:tcPr>
          <w:p w14:paraId="1FD63638">
            <w:pPr>
              <w:spacing w:line="320" w:lineRule="exact"/>
              <w:jc w:val="center"/>
              <w:rPr>
                <w:rFonts w:hint="eastAsia" w:ascii="宋体" w:hAnsi="宋体" w:cs="宋体"/>
                <w:szCs w:val="21"/>
              </w:rPr>
            </w:pPr>
            <w:r>
              <w:rPr>
                <w:rFonts w:hint="eastAsia" w:ascii="宋体" w:hAnsi="宋体" w:cs="宋体"/>
                <w:szCs w:val="21"/>
              </w:rPr>
              <w:t>非正常排放浓度（mg/m</w:t>
            </w:r>
            <w:r>
              <w:rPr>
                <w:rFonts w:hint="eastAsia" w:ascii="宋体" w:hAnsi="宋体" w:cs="宋体"/>
                <w:szCs w:val="21"/>
                <w:vertAlign w:val="superscript"/>
              </w:rPr>
              <w:t>3</w:t>
            </w:r>
            <w:r>
              <w:rPr>
                <w:rFonts w:hint="eastAsia" w:ascii="宋体" w:hAnsi="宋体" w:cs="宋体"/>
                <w:szCs w:val="21"/>
              </w:rPr>
              <w:t>）</w:t>
            </w:r>
          </w:p>
        </w:tc>
        <w:tc>
          <w:tcPr>
            <w:tcW w:w="501" w:type="pct"/>
            <w:tcBorders>
              <w:tl2br w:val="nil"/>
              <w:tr2bl w:val="nil"/>
            </w:tcBorders>
            <w:vAlign w:val="center"/>
          </w:tcPr>
          <w:p w14:paraId="77EAC434">
            <w:pPr>
              <w:spacing w:line="320" w:lineRule="exact"/>
              <w:jc w:val="center"/>
              <w:rPr>
                <w:rFonts w:hint="eastAsia" w:ascii="宋体" w:hAnsi="宋体" w:cs="宋体"/>
                <w:szCs w:val="21"/>
              </w:rPr>
            </w:pPr>
            <w:r>
              <w:rPr>
                <w:rFonts w:hint="eastAsia" w:ascii="宋体" w:hAnsi="宋体" w:cs="宋体"/>
                <w:szCs w:val="21"/>
              </w:rPr>
              <w:t>单次持续时间（h）</w:t>
            </w:r>
          </w:p>
        </w:tc>
        <w:tc>
          <w:tcPr>
            <w:tcW w:w="502" w:type="pct"/>
            <w:tcBorders>
              <w:tl2br w:val="nil"/>
              <w:tr2bl w:val="nil"/>
            </w:tcBorders>
            <w:vAlign w:val="center"/>
          </w:tcPr>
          <w:p w14:paraId="0475F222">
            <w:pPr>
              <w:spacing w:line="320" w:lineRule="exact"/>
              <w:jc w:val="center"/>
              <w:rPr>
                <w:rFonts w:hint="eastAsia" w:ascii="宋体" w:hAnsi="宋体" w:cs="宋体"/>
                <w:szCs w:val="21"/>
              </w:rPr>
            </w:pPr>
            <w:r>
              <w:rPr>
                <w:rFonts w:hint="eastAsia" w:ascii="宋体" w:hAnsi="宋体" w:cs="宋体"/>
                <w:szCs w:val="21"/>
              </w:rPr>
              <w:t>年发生频次（次）</w:t>
            </w:r>
          </w:p>
        </w:tc>
        <w:tc>
          <w:tcPr>
            <w:tcW w:w="384" w:type="pct"/>
            <w:tcBorders>
              <w:tl2br w:val="nil"/>
              <w:tr2bl w:val="nil"/>
            </w:tcBorders>
            <w:vAlign w:val="center"/>
          </w:tcPr>
          <w:p w14:paraId="3BD6C3EA">
            <w:pPr>
              <w:spacing w:line="320" w:lineRule="exact"/>
              <w:jc w:val="center"/>
              <w:rPr>
                <w:rFonts w:hint="eastAsia" w:ascii="宋体" w:hAnsi="宋体" w:cs="宋体"/>
                <w:szCs w:val="21"/>
              </w:rPr>
            </w:pPr>
            <w:r>
              <w:rPr>
                <w:rFonts w:hint="eastAsia" w:ascii="宋体" w:hAnsi="宋体" w:cs="宋体"/>
                <w:szCs w:val="21"/>
              </w:rPr>
              <w:t>应对措施</w:t>
            </w:r>
          </w:p>
        </w:tc>
      </w:tr>
      <w:tr w14:paraId="4A47BAD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622" w:hRule="atLeast"/>
        </w:trPr>
        <w:tc>
          <w:tcPr>
            <w:tcW w:w="923" w:type="pct"/>
            <w:tcBorders>
              <w:tl2br w:val="nil"/>
              <w:tr2bl w:val="nil"/>
            </w:tcBorders>
            <w:vAlign w:val="center"/>
          </w:tcPr>
          <w:p w14:paraId="1E8897C6">
            <w:pPr>
              <w:pStyle w:val="63"/>
              <w:keepNext/>
              <w:spacing w:line="320" w:lineRule="exact"/>
              <w:jc w:val="center"/>
              <w:textAlignment w:val="auto"/>
              <w:rPr>
                <w:rFonts w:hint="eastAsia" w:hAnsi="宋体"/>
                <w:b w:val="0"/>
                <w:bCs/>
                <w:color w:val="auto"/>
                <w:sz w:val="21"/>
                <w:szCs w:val="21"/>
              </w:rPr>
            </w:pPr>
            <w:r>
              <w:rPr>
                <w:rFonts w:hint="eastAsia" w:hAnsi="宋体"/>
                <w:b w:val="0"/>
                <w:bCs/>
                <w:color w:val="auto"/>
                <w:sz w:val="21"/>
                <w:szCs w:val="21"/>
              </w:rPr>
              <w:t>生产车间挤塑环节排气筒DA001</w:t>
            </w:r>
          </w:p>
        </w:tc>
        <w:tc>
          <w:tcPr>
            <w:tcW w:w="881" w:type="pct"/>
            <w:tcBorders>
              <w:tl2br w:val="nil"/>
              <w:tr2bl w:val="nil"/>
            </w:tcBorders>
            <w:vAlign w:val="center"/>
          </w:tcPr>
          <w:p w14:paraId="79334EDC">
            <w:pPr>
              <w:pStyle w:val="63"/>
              <w:keepNext/>
              <w:spacing w:line="320" w:lineRule="exact"/>
              <w:jc w:val="center"/>
              <w:textAlignment w:val="auto"/>
              <w:rPr>
                <w:rFonts w:hint="eastAsia" w:hAnsi="宋体"/>
                <w:b w:val="0"/>
                <w:bCs/>
                <w:color w:val="auto"/>
                <w:sz w:val="21"/>
                <w:szCs w:val="21"/>
              </w:rPr>
            </w:pPr>
            <w:r>
              <w:rPr>
                <w:rFonts w:hint="eastAsia" w:hAnsi="宋体"/>
                <w:b w:val="0"/>
                <w:bCs/>
                <w:color w:val="auto"/>
                <w:sz w:val="21"/>
                <w:szCs w:val="21"/>
              </w:rPr>
              <w:t>集气罩+</w:t>
            </w:r>
            <w:r>
              <w:rPr>
                <w:rFonts w:hint="eastAsia" w:hAnsi="宋体"/>
                <w:b w:val="0"/>
                <w:bCs/>
                <w:color w:val="auto"/>
                <w:sz w:val="21"/>
                <w:szCs w:val="21"/>
                <w:lang w:eastAsia="zh-CN"/>
              </w:rPr>
              <w:t>活性炭浓缩吸附+催化燃烧</w:t>
            </w:r>
            <w:r>
              <w:rPr>
                <w:rFonts w:hint="eastAsia" w:hAnsi="宋体"/>
                <w:b w:val="0"/>
                <w:bCs/>
                <w:color w:val="auto"/>
                <w:sz w:val="21"/>
                <w:szCs w:val="21"/>
              </w:rPr>
              <w:t>系统发生故障，处理效率0%</w:t>
            </w:r>
          </w:p>
        </w:tc>
        <w:tc>
          <w:tcPr>
            <w:tcW w:w="552" w:type="pct"/>
            <w:tcBorders>
              <w:tl2br w:val="nil"/>
              <w:tr2bl w:val="nil"/>
            </w:tcBorders>
            <w:vAlign w:val="center"/>
          </w:tcPr>
          <w:p w14:paraId="40653626">
            <w:pPr>
              <w:pStyle w:val="63"/>
              <w:keepNext/>
              <w:spacing w:line="320" w:lineRule="exact"/>
              <w:jc w:val="center"/>
              <w:textAlignment w:val="auto"/>
              <w:rPr>
                <w:rFonts w:hint="eastAsia" w:hAnsi="宋体"/>
                <w:b w:val="0"/>
                <w:bCs/>
                <w:color w:val="auto"/>
                <w:sz w:val="21"/>
                <w:szCs w:val="21"/>
              </w:rPr>
            </w:pPr>
            <w:r>
              <w:rPr>
                <w:rFonts w:hint="eastAsia" w:hAnsi="宋体"/>
                <w:b w:val="0"/>
                <w:bCs/>
                <w:color w:val="auto"/>
                <w:sz w:val="21"/>
                <w:szCs w:val="21"/>
              </w:rPr>
              <w:t>非甲烷总烃</w:t>
            </w:r>
          </w:p>
        </w:tc>
        <w:tc>
          <w:tcPr>
            <w:tcW w:w="654" w:type="pct"/>
            <w:tcBorders>
              <w:tl2br w:val="nil"/>
              <w:tr2bl w:val="nil"/>
            </w:tcBorders>
            <w:vAlign w:val="center"/>
          </w:tcPr>
          <w:p w14:paraId="05DB1CC3">
            <w:pPr>
              <w:pStyle w:val="63"/>
              <w:keepNext/>
              <w:spacing w:line="320" w:lineRule="exact"/>
              <w:jc w:val="center"/>
              <w:textAlignment w:val="auto"/>
              <w:rPr>
                <w:rFonts w:hint="default" w:hAnsi="宋体" w:eastAsia="宋体"/>
                <w:b w:val="0"/>
                <w:bCs/>
                <w:color w:val="auto"/>
                <w:sz w:val="21"/>
                <w:szCs w:val="21"/>
                <w:lang w:val="en-US" w:eastAsia="zh-CN"/>
              </w:rPr>
            </w:pPr>
            <w:r>
              <w:rPr>
                <w:rFonts w:hint="eastAsia" w:hAnsi="宋体"/>
                <w:b w:val="0"/>
                <w:bCs/>
                <w:color w:val="auto"/>
                <w:sz w:val="21"/>
                <w:szCs w:val="21"/>
                <w:lang w:val="en-US" w:eastAsia="zh-CN"/>
              </w:rPr>
              <w:t>2.94</w:t>
            </w:r>
          </w:p>
        </w:tc>
        <w:tc>
          <w:tcPr>
            <w:tcW w:w="598" w:type="pct"/>
            <w:tcBorders>
              <w:tl2br w:val="nil"/>
              <w:tr2bl w:val="nil"/>
            </w:tcBorders>
            <w:vAlign w:val="center"/>
          </w:tcPr>
          <w:p w14:paraId="41EB06DC">
            <w:pPr>
              <w:pStyle w:val="63"/>
              <w:keepNext/>
              <w:spacing w:line="320" w:lineRule="exact"/>
              <w:jc w:val="center"/>
              <w:textAlignment w:val="auto"/>
              <w:rPr>
                <w:rFonts w:hint="default" w:hAnsi="宋体" w:eastAsia="宋体"/>
                <w:b w:val="0"/>
                <w:bCs/>
                <w:color w:val="auto"/>
                <w:sz w:val="21"/>
                <w:szCs w:val="21"/>
                <w:lang w:val="en-US" w:eastAsia="zh-CN"/>
              </w:rPr>
            </w:pPr>
            <w:r>
              <w:rPr>
                <w:rFonts w:hint="eastAsia" w:hAnsi="宋体"/>
                <w:b w:val="0"/>
                <w:bCs/>
                <w:color w:val="auto"/>
                <w:sz w:val="21"/>
                <w:szCs w:val="21"/>
                <w:lang w:val="en-US" w:eastAsia="zh-CN"/>
              </w:rPr>
              <w:t>147</w:t>
            </w:r>
          </w:p>
        </w:tc>
        <w:tc>
          <w:tcPr>
            <w:tcW w:w="501" w:type="pct"/>
            <w:tcBorders>
              <w:tl2br w:val="nil"/>
              <w:tr2bl w:val="nil"/>
            </w:tcBorders>
            <w:vAlign w:val="center"/>
          </w:tcPr>
          <w:p w14:paraId="7072EB3A">
            <w:pPr>
              <w:pStyle w:val="63"/>
              <w:keepNext/>
              <w:spacing w:line="320" w:lineRule="exact"/>
              <w:jc w:val="center"/>
              <w:textAlignment w:val="auto"/>
              <w:rPr>
                <w:rFonts w:hint="eastAsia" w:hAnsi="宋体"/>
                <w:b w:val="0"/>
                <w:bCs/>
                <w:color w:val="auto"/>
                <w:sz w:val="21"/>
                <w:szCs w:val="21"/>
              </w:rPr>
            </w:pPr>
            <w:r>
              <w:rPr>
                <w:rFonts w:hint="eastAsia" w:hAnsi="宋体"/>
                <w:b w:val="0"/>
                <w:bCs/>
                <w:color w:val="auto"/>
                <w:sz w:val="21"/>
                <w:szCs w:val="21"/>
              </w:rPr>
              <w:t>1</w:t>
            </w:r>
          </w:p>
        </w:tc>
        <w:tc>
          <w:tcPr>
            <w:tcW w:w="502" w:type="pct"/>
            <w:tcBorders>
              <w:tl2br w:val="nil"/>
              <w:tr2bl w:val="nil"/>
            </w:tcBorders>
            <w:vAlign w:val="center"/>
          </w:tcPr>
          <w:p w14:paraId="03B710F3">
            <w:pPr>
              <w:pStyle w:val="63"/>
              <w:keepNext/>
              <w:spacing w:line="320" w:lineRule="exact"/>
              <w:jc w:val="center"/>
              <w:textAlignment w:val="auto"/>
              <w:rPr>
                <w:rFonts w:hint="eastAsia" w:hAnsi="宋体"/>
                <w:b w:val="0"/>
                <w:bCs/>
                <w:color w:val="auto"/>
                <w:sz w:val="21"/>
                <w:szCs w:val="21"/>
              </w:rPr>
            </w:pPr>
            <w:r>
              <w:rPr>
                <w:rFonts w:hint="eastAsia" w:hAnsi="宋体"/>
                <w:b w:val="0"/>
                <w:bCs/>
                <w:color w:val="auto"/>
                <w:sz w:val="21"/>
                <w:szCs w:val="21"/>
              </w:rPr>
              <w:t>1</w:t>
            </w:r>
          </w:p>
        </w:tc>
        <w:tc>
          <w:tcPr>
            <w:tcW w:w="384" w:type="pct"/>
            <w:tcBorders>
              <w:tl2br w:val="nil"/>
              <w:tr2bl w:val="nil"/>
            </w:tcBorders>
            <w:vAlign w:val="center"/>
          </w:tcPr>
          <w:p w14:paraId="2111FDF1">
            <w:pPr>
              <w:pStyle w:val="63"/>
              <w:keepNext/>
              <w:spacing w:line="320" w:lineRule="exact"/>
              <w:jc w:val="center"/>
              <w:textAlignment w:val="auto"/>
              <w:rPr>
                <w:rFonts w:hint="eastAsia" w:hAnsi="宋体"/>
                <w:b w:val="0"/>
                <w:bCs/>
                <w:color w:val="auto"/>
                <w:sz w:val="21"/>
                <w:szCs w:val="21"/>
              </w:rPr>
            </w:pPr>
            <w:r>
              <w:rPr>
                <w:rFonts w:hint="eastAsia" w:hAnsi="宋体"/>
                <w:b w:val="0"/>
                <w:bCs/>
                <w:color w:val="auto"/>
                <w:sz w:val="21"/>
                <w:szCs w:val="21"/>
              </w:rPr>
              <w:t>及时检修</w:t>
            </w:r>
          </w:p>
        </w:tc>
      </w:tr>
    </w:tbl>
    <w:p w14:paraId="3CD80ECB">
      <w:pPr>
        <w:pStyle w:val="3"/>
        <w:keepNext w:val="0"/>
        <w:keepLines w:val="0"/>
        <w:autoSpaceDE w:val="0"/>
        <w:autoSpaceDN w:val="0"/>
        <w:spacing w:before="0" w:after="0" w:line="360" w:lineRule="auto"/>
        <w:jc w:val="left"/>
        <w:rPr>
          <w:rFonts w:ascii="Times New Roman" w:hAnsi="Times New Roman" w:eastAsia="宋体"/>
          <w:kern w:val="0"/>
          <w:sz w:val="24"/>
          <w:szCs w:val="30"/>
          <w:lang w:val="en-US" w:bidi="zh-CN"/>
        </w:rPr>
      </w:pPr>
      <w:bookmarkStart w:id="190" w:name="_Toc18981"/>
      <w:r>
        <w:rPr>
          <w:rFonts w:hint="eastAsia" w:ascii="Times New Roman" w:hAnsi="Times New Roman" w:eastAsia="宋体"/>
          <w:kern w:val="0"/>
          <w:sz w:val="24"/>
          <w:szCs w:val="30"/>
          <w:lang w:val="en-US" w:bidi="zh-CN"/>
        </w:rPr>
        <w:t>3.7清洁生产</w:t>
      </w:r>
      <w:bookmarkEnd w:id="160"/>
      <w:bookmarkEnd w:id="161"/>
      <w:bookmarkEnd w:id="162"/>
      <w:bookmarkEnd w:id="163"/>
      <w:bookmarkEnd w:id="164"/>
      <w:bookmarkEnd w:id="165"/>
      <w:bookmarkEnd w:id="166"/>
      <w:bookmarkEnd w:id="167"/>
      <w:r>
        <w:rPr>
          <w:rFonts w:hint="eastAsia" w:ascii="Times New Roman" w:hAnsi="Times New Roman" w:eastAsia="宋体"/>
          <w:kern w:val="0"/>
          <w:sz w:val="24"/>
          <w:szCs w:val="30"/>
          <w:lang w:val="en-US" w:bidi="zh-CN"/>
        </w:rPr>
        <w:t>概述</w:t>
      </w:r>
      <w:bookmarkEnd w:id="168"/>
      <w:bookmarkEnd w:id="190"/>
    </w:p>
    <w:p w14:paraId="47BC542B">
      <w:pPr>
        <w:pStyle w:val="4"/>
        <w:autoSpaceDE w:val="0"/>
        <w:autoSpaceDN w:val="0"/>
        <w:spacing w:before="0" w:after="0" w:line="360" w:lineRule="auto"/>
        <w:jc w:val="left"/>
        <w:rPr>
          <w:kern w:val="0"/>
          <w:sz w:val="24"/>
          <w:lang w:val="en-US" w:bidi="zh-CN"/>
        </w:rPr>
      </w:pPr>
      <w:bookmarkStart w:id="191" w:name="_Toc25441"/>
      <w:r>
        <w:rPr>
          <w:rFonts w:hint="eastAsia"/>
          <w:kern w:val="0"/>
          <w:sz w:val="24"/>
          <w:lang w:val="en-US" w:bidi="zh-CN"/>
        </w:rPr>
        <w:t>3.7.1清洁生产水平分析</w:t>
      </w:r>
      <w:bookmarkEnd w:id="191"/>
    </w:p>
    <w:p w14:paraId="1EF5C7F8">
      <w:pPr>
        <w:spacing w:line="360" w:lineRule="auto"/>
        <w:ind w:firstLine="480" w:firstLineChars="200"/>
        <w:rPr>
          <w:color w:val="000000"/>
          <w:sz w:val="24"/>
        </w:rPr>
      </w:pPr>
      <w:r>
        <w:rPr>
          <w:rFonts w:hint="eastAsia"/>
          <w:color w:val="000000"/>
          <w:sz w:val="24"/>
        </w:rPr>
        <w:t>清洁生产是指将整体预防的环境战略持续应用于生产过程、产品和服务中，以期增加生态效率并减少对人类和环境的风险。清洁生产的目的就是通过采用先进的生产技术、工艺设备以及清洁原料，在生产过程中实现节省能源，降低原材料消耗，从源头控制污染物产生量并降低末端污染控制投资和运行费用，实现污染物排放的全过程控制，有效地减少污染物排放量。</w:t>
      </w:r>
    </w:p>
    <w:p w14:paraId="56054078">
      <w:pPr>
        <w:spacing w:line="360" w:lineRule="auto"/>
        <w:ind w:firstLine="480" w:firstLineChars="200"/>
        <w:rPr>
          <w:rFonts w:hint="eastAsia"/>
          <w:color w:val="000000"/>
          <w:sz w:val="24"/>
        </w:rPr>
      </w:pPr>
      <w:r>
        <w:rPr>
          <w:rFonts w:hint="eastAsia"/>
          <w:color w:val="000000"/>
          <w:sz w:val="24"/>
        </w:rPr>
        <w:t>本项目采用现有国内成熟可靠的生产工艺技术，通过引进先进的设备、优化生产工艺流程，符合</w:t>
      </w:r>
      <w:r>
        <w:rPr>
          <w:rFonts w:hint="eastAsia"/>
          <w:color w:val="000000"/>
          <w:sz w:val="24"/>
          <w:lang w:eastAsia="zh-CN"/>
        </w:rPr>
        <w:t>当前</w:t>
      </w:r>
      <w:r>
        <w:rPr>
          <w:rFonts w:hint="eastAsia"/>
          <w:color w:val="000000"/>
          <w:sz w:val="24"/>
        </w:rPr>
        <w:t>国家有关产业政策。根据国内外有关文献资料以及本项目的实际情况，清洁生产分析主要从以下几个方面进行：</w:t>
      </w:r>
    </w:p>
    <w:p w14:paraId="560D09B7">
      <w:pPr>
        <w:adjustRightInd w:val="0"/>
        <w:snapToGrid w:val="0"/>
        <w:spacing w:line="440" w:lineRule="exact"/>
        <w:ind w:firstLine="480" w:firstLineChars="200"/>
        <w:rPr>
          <w:rFonts w:hint="default" w:ascii="Times New Roman" w:hAnsi="Times New Roman" w:eastAsia="宋体" w:cs="Times New Roman"/>
          <w:color w:val="auto"/>
          <w:sz w:val="24"/>
          <w:szCs w:val="24"/>
          <w:lang w:val="en-US" w:eastAsia="zh-CN"/>
        </w:rPr>
      </w:pPr>
      <w:bookmarkStart w:id="192" w:name="_Toc11621"/>
      <w:r>
        <w:rPr>
          <w:rFonts w:hint="default" w:ascii="Times New Roman" w:hAnsi="Times New Roman" w:eastAsia="宋体" w:cs="Times New Roman"/>
          <w:color w:val="auto"/>
          <w:sz w:val="24"/>
          <w:szCs w:val="24"/>
          <w:lang w:val="en-US" w:eastAsia="zh-CN"/>
        </w:rPr>
        <w:t>1、生产规模</w:t>
      </w:r>
    </w:p>
    <w:p w14:paraId="5AD499E2">
      <w:pPr>
        <w:adjustRightInd w:val="0"/>
        <w:snapToGrid w:val="0"/>
        <w:spacing w:line="440" w:lineRule="exact"/>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本项目年处理废</w:t>
      </w:r>
      <w:r>
        <w:rPr>
          <w:rFonts w:hint="eastAsia" w:cs="Times New Roman"/>
          <w:color w:val="auto"/>
          <w:sz w:val="24"/>
          <w:szCs w:val="24"/>
          <w:lang w:val="en-US" w:eastAsia="zh-CN"/>
        </w:rPr>
        <w:t>地膜</w:t>
      </w:r>
      <w:r>
        <w:rPr>
          <w:rFonts w:hint="eastAsia" w:ascii="Times New Roman" w:hAnsi="Times New Roman" w:eastAsia="宋体" w:cs="Times New Roman"/>
          <w:color w:val="auto"/>
          <w:sz w:val="24"/>
          <w:szCs w:val="24"/>
          <w:lang w:val="en-US" w:eastAsia="zh-CN"/>
        </w:rPr>
        <w:t>5500</w:t>
      </w:r>
      <w:r>
        <w:rPr>
          <w:rFonts w:hint="default" w:ascii="Times New Roman" w:hAnsi="Times New Roman" w:eastAsia="宋体" w:cs="Times New Roman"/>
          <w:color w:val="auto"/>
          <w:sz w:val="24"/>
          <w:szCs w:val="24"/>
          <w:lang w:val="en-US" w:eastAsia="zh-CN"/>
        </w:rPr>
        <w:t>吨，</w:t>
      </w:r>
      <w:r>
        <w:rPr>
          <w:rFonts w:hint="default" w:ascii="Times New Roman" w:hAnsi="Times New Roman" w:eastAsia="宋体" w:cs="Times New Roman"/>
          <w:color w:val="auto"/>
          <w:sz w:val="24"/>
          <w:szCs w:val="24"/>
          <w:lang w:val="en-US"/>
        </w:rPr>
        <w:t>符合《废塑料综合利用行业规范条件》（工信部公告2015年第81号）中规定的：</w:t>
      </w:r>
      <w:r>
        <w:rPr>
          <w:rFonts w:hint="eastAsia" w:cs="Times New Roman"/>
          <w:color w:val="auto"/>
          <w:sz w:val="24"/>
          <w:szCs w:val="24"/>
          <w:lang w:val="en-US" w:eastAsia="zh-CN"/>
        </w:rPr>
        <w:t>“</w:t>
      </w:r>
      <w:r>
        <w:rPr>
          <w:rFonts w:hint="default" w:ascii="Times New Roman" w:hAnsi="Times New Roman" w:eastAsia="宋体" w:cs="Times New Roman"/>
          <w:color w:val="auto"/>
          <w:sz w:val="24"/>
          <w:szCs w:val="24"/>
          <w:lang w:val="en-US"/>
        </w:rPr>
        <w:t>塑料再生造粒类企业废料处理能力不低于5000吨，已建企业年废塑料处理能力不低于3000吨</w:t>
      </w:r>
      <w:r>
        <w:rPr>
          <w:rFonts w:hint="eastAsia" w:cs="Times New Roman"/>
          <w:color w:val="auto"/>
          <w:sz w:val="24"/>
          <w:szCs w:val="24"/>
          <w:lang w:val="en-US" w:eastAsia="zh-CN"/>
        </w:rPr>
        <w:t>”</w:t>
      </w:r>
      <w:r>
        <w:rPr>
          <w:rFonts w:hint="default" w:ascii="Times New Roman" w:hAnsi="Times New Roman" w:eastAsia="宋体" w:cs="Times New Roman"/>
          <w:color w:val="auto"/>
          <w:sz w:val="24"/>
          <w:szCs w:val="24"/>
          <w:lang w:val="en-US"/>
        </w:rPr>
        <w:t>要求。</w:t>
      </w:r>
    </w:p>
    <w:bookmarkEnd w:id="192"/>
    <w:p w14:paraId="12745539">
      <w:pPr>
        <w:adjustRightInd w:val="0"/>
        <w:snapToGrid w:val="0"/>
        <w:spacing w:line="440" w:lineRule="exact"/>
        <w:ind w:firstLine="480" w:firstLineChars="200"/>
        <w:rPr>
          <w:rFonts w:hint="default" w:ascii="Times New Roman" w:hAnsi="Times New Roman" w:eastAsia="宋体" w:cs="Times New Roman"/>
          <w:color w:val="auto"/>
          <w:sz w:val="24"/>
          <w:szCs w:val="24"/>
          <w:lang w:val="en-US" w:eastAsia="zh-CN"/>
        </w:rPr>
      </w:pPr>
      <w:bookmarkStart w:id="193" w:name="3.5.1.2 资源能源利用指标"/>
      <w:bookmarkEnd w:id="193"/>
      <w:bookmarkStart w:id="194" w:name="_Toc3202"/>
      <w:r>
        <w:rPr>
          <w:rFonts w:hint="eastAsia" w:ascii="Times New Roman" w:hAnsi="Times New Roman" w:eastAsia="宋体" w:cs="Times New Roman"/>
          <w:color w:val="auto"/>
          <w:sz w:val="24"/>
          <w:szCs w:val="24"/>
          <w:lang w:val="en-US" w:eastAsia="zh-CN"/>
        </w:rPr>
        <w:t>2</w:t>
      </w:r>
      <w:r>
        <w:rPr>
          <w:rFonts w:hint="default" w:ascii="Times New Roman" w:hAnsi="Times New Roman" w:eastAsia="宋体" w:cs="Times New Roman"/>
          <w:color w:val="auto"/>
          <w:sz w:val="24"/>
          <w:szCs w:val="24"/>
          <w:lang w:val="en-US" w:eastAsia="zh-CN"/>
        </w:rPr>
        <w:t>、</w:t>
      </w:r>
      <w:bookmarkEnd w:id="194"/>
      <w:r>
        <w:rPr>
          <w:rFonts w:hint="default" w:ascii="Times New Roman" w:hAnsi="Times New Roman" w:eastAsia="宋体" w:cs="Times New Roman"/>
          <w:color w:val="auto"/>
          <w:sz w:val="24"/>
          <w:szCs w:val="24"/>
          <w:lang w:val="en-US" w:eastAsia="zh-CN"/>
        </w:rPr>
        <w:t>资源综合利用与能耗</w:t>
      </w:r>
    </w:p>
    <w:p w14:paraId="1EE612AE">
      <w:pPr>
        <w:adjustRightInd w:val="0"/>
        <w:snapToGrid w:val="0"/>
        <w:spacing w:line="440" w:lineRule="exact"/>
        <w:ind w:firstLine="480" w:firstLineChars="200"/>
        <w:rPr>
          <w:rFonts w:hint="default" w:ascii="Times New Roman" w:hAnsi="Times New Roman" w:eastAsia="宋体" w:cs="Times New Roman"/>
          <w:color w:val="auto"/>
          <w:sz w:val="24"/>
          <w:szCs w:val="24"/>
          <w:lang w:val="en-US" w:eastAsia="zh-CN"/>
        </w:rPr>
      </w:pPr>
      <w:bookmarkStart w:id="195" w:name="_Toc9715"/>
      <w:r>
        <w:rPr>
          <w:rFonts w:hint="default" w:ascii="Times New Roman" w:hAnsi="Times New Roman" w:eastAsia="宋体" w:cs="Times New Roman"/>
          <w:color w:val="auto"/>
          <w:sz w:val="24"/>
          <w:szCs w:val="24"/>
          <w:lang w:val="en-US" w:eastAsia="zh-CN"/>
        </w:rPr>
        <w:t>本项目</w:t>
      </w:r>
      <w:r>
        <w:rPr>
          <w:rFonts w:hint="eastAsia" w:ascii="Times New Roman" w:hAnsi="Times New Roman" w:eastAsia="宋体" w:cs="Times New Roman"/>
          <w:color w:val="auto"/>
          <w:sz w:val="24"/>
          <w:szCs w:val="24"/>
          <w:lang w:val="en-US" w:eastAsia="zh-CN"/>
        </w:rPr>
        <w:t>利用</w:t>
      </w:r>
      <w:r>
        <w:rPr>
          <w:rFonts w:hint="eastAsia" w:ascii="宋体" w:hAnsi="宋体" w:cs="宋体"/>
          <w:kern w:val="0"/>
          <w:sz w:val="24"/>
          <w:szCs w:val="24"/>
          <w:lang w:bidi="zh-CN"/>
        </w:rPr>
        <w:t>回收分拣、破碎清选后的废旧地膜</w:t>
      </w:r>
      <w:r>
        <w:rPr>
          <w:rFonts w:hint="default" w:ascii="Times New Roman" w:hAnsi="Times New Roman" w:eastAsia="宋体" w:cs="Times New Roman"/>
          <w:color w:val="auto"/>
          <w:sz w:val="24"/>
          <w:szCs w:val="24"/>
          <w:lang w:val="en-US" w:eastAsia="zh-CN"/>
        </w:rPr>
        <w:t>进行再生</w:t>
      </w:r>
      <w:r>
        <w:rPr>
          <w:rFonts w:hint="eastAsia" w:cs="Times New Roman"/>
          <w:color w:val="auto"/>
          <w:sz w:val="24"/>
          <w:szCs w:val="24"/>
          <w:lang w:val="en-US" w:eastAsia="zh-CN"/>
        </w:rPr>
        <w:t>颗粒生产滴灌带</w:t>
      </w:r>
      <w:r>
        <w:rPr>
          <w:rFonts w:hint="default" w:ascii="Times New Roman" w:hAnsi="Times New Roman" w:eastAsia="宋体" w:cs="Times New Roman"/>
          <w:color w:val="auto"/>
          <w:sz w:val="24"/>
          <w:szCs w:val="24"/>
          <w:lang w:val="en-US" w:eastAsia="zh-CN"/>
        </w:rPr>
        <w:t>，促进了资源的利用，减少了废旧塑料对环境的污染。</w:t>
      </w:r>
    </w:p>
    <w:p w14:paraId="4D99E4FF">
      <w:pPr>
        <w:adjustRightInd w:val="0"/>
        <w:snapToGrid w:val="0"/>
        <w:spacing w:line="440" w:lineRule="exact"/>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电耗：</w:t>
      </w:r>
      <w:r>
        <w:rPr>
          <w:rFonts w:hint="default" w:ascii="Times New Roman" w:hAnsi="Times New Roman" w:eastAsia="宋体" w:cs="Times New Roman"/>
          <w:color w:val="auto"/>
          <w:sz w:val="24"/>
          <w:szCs w:val="24"/>
          <w:lang w:val="en-US"/>
        </w:rPr>
        <w:t>本项目再生造粒与</w:t>
      </w:r>
      <w:r>
        <w:rPr>
          <w:rFonts w:hint="default" w:ascii="Times New Roman" w:hAnsi="Times New Roman" w:eastAsia="宋体" w:cs="Times New Roman"/>
          <w:color w:val="auto"/>
          <w:sz w:val="24"/>
          <w:szCs w:val="24"/>
          <w:lang w:val="en-US" w:eastAsia="zh-CN"/>
        </w:rPr>
        <w:t>塑料制品</w:t>
      </w:r>
      <w:r>
        <w:rPr>
          <w:rFonts w:hint="default" w:ascii="Times New Roman" w:hAnsi="Times New Roman" w:eastAsia="宋体" w:cs="Times New Roman"/>
          <w:color w:val="auto"/>
          <w:sz w:val="24"/>
          <w:szCs w:val="24"/>
          <w:lang w:val="en-US"/>
        </w:rPr>
        <w:t>生产工序用电量约为</w:t>
      </w:r>
      <w:r>
        <w:rPr>
          <w:rFonts w:hint="eastAsia" w:cs="Times New Roman"/>
          <w:color w:val="auto"/>
          <w:sz w:val="24"/>
          <w:szCs w:val="24"/>
          <w:lang w:val="en-US" w:eastAsia="zh-CN"/>
        </w:rPr>
        <w:t>168.54</w:t>
      </w:r>
      <w:r>
        <w:rPr>
          <w:rFonts w:hint="default" w:ascii="Times New Roman" w:hAnsi="Times New Roman" w:eastAsia="宋体" w:cs="Times New Roman"/>
          <w:color w:val="auto"/>
          <w:sz w:val="24"/>
          <w:szCs w:val="24"/>
          <w:lang w:val="en-US"/>
        </w:rPr>
        <w:t>万kWh/a，经核算项目综合电耗</w:t>
      </w:r>
      <w:r>
        <w:rPr>
          <w:rFonts w:hint="default" w:ascii="Times New Roman" w:hAnsi="Times New Roman" w:eastAsia="宋体" w:cs="Times New Roman"/>
          <w:color w:val="auto"/>
          <w:sz w:val="24"/>
          <w:szCs w:val="24"/>
          <w:lang w:val="en-US" w:eastAsia="zh-CN"/>
        </w:rPr>
        <w:t>约</w:t>
      </w:r>
      <w:r>
        <w:rPr>
          <w:rFonts w:hint="default" w:ascii="Times New Roman" w:hAnsi="Times New Roman" w:eastAsia="宋体" w:cs="Times New Roman"/>
          <w:color w:val="auto"/>
          <w:sz w:val="24"/>
          <w:szCs w:val="24"/>
          <w:lang w:val="en-US"/>
        </w:rPr>
        <w:t>为</w:t>
      </w:r>
      <w:r>
        <w:rPr>
          <w:rFonts w:hint="eastAsia" w:cs="Times New Roman"/>
          <w:color w:val="auto"/>
          <w:sz w:val="24"/>
          <w:szCs w:val="24"/>
          <w:lang w:val="en-US" w:eastAsia="zh-CN"/>
        </w:rPr>
        <w:t>106</w:t>
      </w:r>
      <w:r>
        <w:rPr>
          <w:rFonts w:hint="default" w:ascii="Times New Roman" w:hAnsi="Times New Roman" w:eastAsia="宋体" w:cs="Times New Roman"/>
          <w:color w:val="auto"/>
          <w:sz w:val="24"/>
          <w:szCs w:val="24"/>
          <w:lang w:val="en-US"/>
        </w:rPr>
        <w:t>kWh/t废塑料，符合《废塑料综合利用行业规范条件》（工信部公告2015年第81号）中规定的：“塑料再生加工相关生产环节的综合电耗低于500kWh/t废塑料”</w:t>
      </w:r>
      <w:r>
        <w:rPr>
          <w:rFonts w:hint="default" w:ascii="Times New Roman" w:hAnsi="Times New Roman" w:eastAsia="宋体" w:cs="Times New Roman"/>
          <w:color w:val="auto"/>
          <w:sz w:val="24"/>
          <w:szCs w:val="24"/>
          <w:lang w:val="en-US" w:eastAsia="zh-CN"/>
        </w:rPr>
        <w:t>。</w:t>
      </w:r>
    </w:p>
    <w:p w14:paraId="667DE9AF">
      <w:pPr>
        <w:adjustRightInd w:val="0"/>
        <w:snapToGrid w:val="0"/>
        <w:spacing w:line="440" w:lineRule="exact"/>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水耗：《废塑料综合利用行业规范条件》（工信部公告2015年第81号）中规定的：“废塑料破碎、清洗、分选类企业的综合新水消耗低于1.5吨/吨废塑料”要求。</w:t>
      </w:r>
      <w:r>
        <w:rPr>
          <w:rFonts w:hint="eastAsia" w:ascii="Times New Roman" w:hAnsi="Times New Roman" w:eastAsia="宋体" w:cs="Times New Roman"/>
          <w:color w:val="auto"/>
          <w:sz w:val="24"/>
          <w:szCs w:val="24"/>
          <w:lang w:val="en-US" w:eastAsia="zh-CN"/>
        </w:rPr>
        <w:t>本项目利用</w:t>
      </w:r>
      <w:r>
        <w:rPr>
          <w:rFonts w:hint="eastAsia" w:ascii="宋体" w:hAnsi="宋体" w:cs="宋体"/>
          <w:kern w:val="0"/>
          <w:sz w:val="24"/>
          <w:szCs w:val="24"/>
          <w:lang w:bidi="zh-CN"/>
        </w:rPr>
        <w:t>回收分拣、破碎清选后的废旧地膜</w:t>
      </w:r>
      <w:r>
        <w:rPr>
          <w:rFonts w:hint="default" w:ascii="Times New Roman" w:hAnsi="Times New Roman" w:eastAsia="宋体" w:cs="Times New Roman"/>
          <w:color w:val="auto"/>
          <w:sz w:val="24"/>
          <w:szCs w:val="24"/>
          <w:lang w:val="en-US" w:eastAsia="zh-CN"/>
        </w:rPr>
        <w:t>进行再生利用</w:t>
      </w:r>
      <w:r>
        <w:rPr>
          <w:rFonts w:hint="eastAsia" w:ascii="Times New Roman" w:hAnsi="Times New Roman" w:eastAsia="宋体" w:cs="Times New Roman"/>
          <w:color w:val="auto"/>
          <w:sz w:val="24"/>
          <w:szCs w:val="24"/>
          <w:lang w:val="en-US" w:eastAsia="zh-CN"/>
        </w:rPr>
        <w:t>，生产过程无新水消</w:t>
      </w:r>
      <w:r>
        <w:rPr>
          <w:rFonts w:hint="default" w:ascii="Times New Roman" w:hAnsi="Times New Roman" w:eastAsia="宋体" w:cs="Times New Roman"/>
          <w:color w:val="auto"/>
          <w:sz w:val="24"/>
          <w:szCs w:val="24"/>
          <w:lang w:val="en-US" w:eastAsia="zh-CN"/>
        </w:rPr>
        <w:t>耗</w:t>
      </w:r>
      <w:r>
        <w:rPr>
          <w:rFonts w:hint="eastAsia" w:ascii="Times New Roman" w:hAnsi="Times New Roman" w:eastAsia="宋体" w:cs="Times New Roman"/>
          <w:color w:val="auto"/>
          <w:sz w:val="24"/>
          <w:szCs w:val="24"/>
          <w:lang w:val="en-US" w:eastAsia="zh-CN"/>
        </w:rPr>
        <w:t>。</w:t>
      </w:r>
    </w:p>
    <w:bookmarkEnd w:id="195"/>
    <w:p w14:paraId="5E368079">
      <w:pPr>
        <w:adjustRightInd w:val="0"/>
        <w:snapToGrid w:val="0"/>
        <w:spacing w:line="440" w:lineRule="exact"/>
        <w:ind w:firstLine="480" w:firstLineChars="200"/>
        <w:rPr>
          <w:rFonts w:hint="default" w:ascii="Times New Roman" w:hAnsi="Times New Roman" w:eastAsia="宋体" w:cs="Times New Roman"/>
          <w:color w:val="auto"/>
          <w:sz w:val="24"/>
          <w:szCs w:val="24"/>
          <w:lang w:val="en-US" w:eastAsia="zh-CN"/>
        </w:rPr>
      </w:pPr>
      <w:bookmarkStart w:id="196" w:name="3.5.1.3 产品指标"/>
      <w:bookmarkEnd w:id="196"/>
      <w:bookmarkStart w:id="197" w:name="_Toc22299"/>
      <w:r>
        <w:rPr>
          <w:rFonts w:hint="eastAsia" w:ascii="Times New Roman" w:hAnsi="Times New Roman" w:eastAsia="宋体" w:cs="Times New Roman"/>
          <w:color w:val="auto"/>
          <w:sz w:val="24"/>
          <w:szCs w:val="24"/>
          <w:lang w:val="en-US" w:eastAsia="zh-CN"/>
        </w:rPr>
        <w:t>3</w:t>
      </w:r>
      <w:r>
        <w:rPr>
          <w:rFonts w:hint="default" w:ascii="Times New Roman" w:hAnsi="Times New Roman" w:eastAsia="宋体" w:cs="Times New Roman"/>
          <w:color w:val="auto"/>
          <w:sz w:val="24"/>
          <w:szCs w:val="24"/>
          <w:lang w:val="en-US" w:eastAsia="zh-CN"/>
        </w:rPr>
        <w:t>、产品指标</w:t>
      </w:r>
      <w:bookmarkEnd w:id="197"/>
    </w:p>
    <w:p w14:paraId="200588D3">
      <w:pPr>
        <w:adjustRightInd w:val="0"/>
        <w:snapToGrid w:val="0"/>
        <w:spacing w:line="440" w:lineRule="exact"/>
        <w:ind w:firstLine="480" w:firstLineChars="200"/>
        <w:rPr>
          <w:rFonts w:hint="default" w:ascii="Times New Roman" w:hAnsi="Times New Roman" w:eastAsia="宋体" w:cs="Times New Roman"/>
          <w:color w:val="auto"/>
          <w:sz w:val="24"/>
          <w:szCs w:val="24"/>
          <w:lang w:val="en-US"/>
        </w:rPr>
      </w:pPr>
      <w:r>
        <w:rPr>
          <w:rFonts w:hint="default" w:ascii="Times New Roman" w:hAnsi="Times New Roman" w:eastAsia="宋体" w:cs="Times New Roman"/>
          <w:color w:val="auto"/>
          <w:sz w:val="24"/>
          <w:szCs w:val="24"/>
          <w:lang w:val="en-US"/>
        </w:rPr>
        <w:t>项目生产的再生塑料颗粒</w:t>
      </w:r>
      <w:r>
        <w:rPr>
          <w:rFonts w:hint="eastAsia" w:cs="Times New Roman"/>
          <w:color w:val="auto"/>
          <w:sz w:val="24"/>
          <w:szCs w:val="24"/>
          <w:lang w:val="en-US" w:eastAsia="zh-CN"/>
        </w:rPr>
        <w:t>和滴灌带</w:t>
      </w:r>
      <w:r>
        <w:rPr>
          <w:rFonts w:hint="default" w:ascii="Times New Roman" w:hAnsi="Times New Roman" w:eastAsia="宋体" w:cs="Times New Roman"/>
          <w:color w:val="auto"/>
          <w:sz w:val="24"/>
          <w:szCs w:val="24"/>
          <w:lang w:val="en-US"/>
        </w:rPr>
        <w:t>主要成分是PE，产品指标符合塑料注塑要求，成型加工性好，</w:t>
      </w:r>
      <w:r>
        <w:rPr>
          <w:rFonts w:hint="default" w:ascii="Times New Roman" w:hAnsi="Times New Roman" w:eastAsia="宋体" w:cs="Times New Roman"/>
          <w:color w:val="auto"/>
          <w:sz w:val="24"/>
          <w:szCs w:val="24"/>
          <w:lang w:val="en-US" w:eastAsia="zh-CN"/>
        </w:rPr>
        <w:t>属于</w:t>
      </w:r>
      <w:r>
        <w:rPr>
          <w:rFonts w:hint="default" w:ascii="Times New Roman" w:hAnsi="Times New Roman" w:eastAsia="宋体" w:cs="Times New Roman"/>
          <w:color w:val="auto"/>
          <w:sz w:val="24"/>
          <w:szCs w:val="24"/>
          <w:lang w:val="en-US"/>
        </w:rPr>
        <w:t>无毒无害产品。</w:t>
      </w:r>
    </w:p>
    <w:p w14:paraId="4DA636BB">
      <w:pPr>
        <w:adjustRightInd w:val="0"/>
        <w:snapToGrid w:val="0"/>
        <w:spacing w:line="440" w:lineRule="exact"/>
        <w:ind w:firstLine="480" w:firstLineChars="200"/>
        <w:rPr>
          <w:rFonts w:hint="default" w:ascii="Times New Roman" w:hAnsi="Times New Roman" w:eastAsia="宋体" w:cs="Times New Roman"/>
          <w:color w:val="auto"/>
          <w:sz w:val="24"/>
          <w:szCs w:val="24"/>
          <w:lang w:val="en-US"/>
        </w:rPr>
      </w:pPr>
      <w:r>
        <w:rPr>
          <w:rFonts w:hint="default" w:ascii="Times New Roman" w:hAnsi="Times New Roman" w:eastAsia="宋体" w:cs="Times New Roman"/>
          <w:color w:val="auto"/>
          <w:sz w:val="24"/>
          <w:szCs w:val="24"/>
          <w:lang w:val="en-US"/>
        </w:rPr>
        <w:t>本项目使用的原料为</w:t>
      </w:r>
      <w:r>
        <w:rPr>
          <w:rFonts w:hint="default" w:ascii="Times New Roman" w:hAnsi="Times New Roman" w:eastAsia="宋体" w:cs="Times New Roman"/>
          <w:color w:val="auto"/>
          <w:sz w:val="24"/>
          <w:szCs w:val="24"/>
          <w:lang w:val="en-US" w:eastAsia="zh-CN"/>
        </w:rPr>
        <w:t>废</w:t>
      </w:r>
      <w:r>
        <w:rPr>
          <w:rFonts w:hint="eastAsia" w:ascii="Times New Roman" w:hAnsi="Times New Roman" w:eastAsia="宋体" w:cs="Times New Roman"/>
          <w:color w:val="auto"/>
          <w:sz w:val="24"/>
          <w:szCs w:val="24"/>
          <w:lang w:val="en-US" w:eastAsia="zh-CN"/>
        </w:rPr>
        <w:t>农膜</w:t>
      </w:r>
      <w:r>
        <w:rPr>
          <w:rFonts w:hint="default" w:ascii="Times New Roman" w:hAnsi="Times New Roman" w:eastAsia="宋体" w:cs="Times New Roman"/>
          <w:color w:val="auto"/>
          <w:sz w:val="24"/>
          <w:szCs w:val="24"/>
          <w:lang w:val="en-US"/>
        </w:rPr>
        <w:t>，不能够被自然分解，丢弃在田间地头不但造成视觉污染，同时影响农业生产。本项目将废物再利用，加工成再生塑料颗粒及产品滴灌带重复使用，对环境有良好影响。</w:t>
      </w:r>
    </w:p>
    <w:p w14:paraId="4166E62B">
      <w:pPr>
        <w:adjustRightInd w:val="0"/>
        <w:snapToGrid w:val="0"/>
        <w:spacing w:line="440" w:lineRule="exact"/>
        <w:ind w:firstLine="480" w:firstLineChars="200"/>
        <w:rPr>
          <w:rFonts w:hint="default" w:ascii="Times New Roman" w:hAnsi="Times New Roman" w:eastAsia="宋体" w:cs="Times New Roman"/>
          <w:color w:val="auto"/>
          <w:sz w:val="24"/>
          <w:szCs w:val="24"/>
          <w:lang w:val="en-US"/>
        </w:rPr>
      </w:pPr>
      <w:bookmarkStart w:id="198" w:name="3.5.1.4污染物产生指标分析"/>
      <w:bookmarkEnd w:id="198"/>
      <w:bookmarkStart w:id="199" w:name="_Toc20248"/>
      <w:r>
        <w:rPr>
          <w:rFonts w:hint="eastAsia" w:ascii="Times New Roman" w:hAnsi="Times New Roman" w:eastAsia="宋体" w:cs="Times New Roman"/>
          <w:color w:val="auto"/>
          <w:sz w:val="24"/>
          <w:szCs w:val="24"/>
          <w:lang w:val="en-US" w:eastAsia="zh-CN"/>
        </w:rPr>
        <w:t>4</w:t>
      </w:r>
      <w:r>
        <w:rPr>
          <w:rFonts w:hint="default" w:ascii="Times New Roman" w:hAnsi="Times New Roman" w:eastAsia="宋体" w:cs="Times New Roman"/>
          <w:color w:val="auto"/>
          <w:sz w:val="24"/>
          <w:szCs w:val="24"/>
          <w:lang w:val="en-US" w:eastAsia="zh-CN"/>
        </w:rPr>
        <w:t>、</w:t>
      </w:r>
      <w:bookmarkEnd w:id="199"/>
      <w:r>
        <w:rPr>
          <w:rFonts w:hint="default" w:ascii="Times New Roman" w:hAnsi="Times New Roman" w:eastAsia="宋体" w:cs="Times New Roman"/>
          <w:color w:val="auto"/>
          <w:sz w:val="24"/>
          <w:szCs w:val="24"/>
          <w:lang w:val="en-US" w:eastAsia="zh-CN"/>
        </w:rPr>
        <w:t>环境保护</w:t>
      </w:r>
    </w:p>
    <w:p w14:paraId="62C8F73A">
      <w:pPr>
        <w:adjustRightInd w:val="0"/>
        <w:snapToGrid w:val="0"/>
        <w:spacing w:line="440" w:lineRule="exact"/>
        <w:ind w:firstLine="480" w:firstLineChars="200"/>
        <w:rPr>
          <w:rFonts w:hint="default" w:ascii="Times New Roman" w:hAnsi="Times New Roman" w:eastAsia="宋体" w:cs="Times New Roman"/>
          <w:color w:val="auto"/>
          <w:sz w:val="24"/>
          <w:szCs w:val="24"/>
          <w:lang w:val="en-US"/>
        </w:rPr>
      </w:pPr>
      <w:bookmarkStart w:id="200" w:name="_Toc22914"/>
      <w:r>
        <w:rPr>
          <w:rFonts w:hint="default" w:ascii="Times New Roman" w:hAnsi="Times New Roman" w:eastAsia="宋体" w:cs="Times New Roman"/>
          <w:color w:val="auto"/>
          <w:sz w:val="24"/>
          <w:szCs w:val="24"/>
          <w:lang w:val="en-US"/>
        </w:rPr>
        <w:t>（1）废气</w:t>
      </w:r>
      <w:bookmarkEnd w:id="200"/>
    </w:p>
    <w:p w14:paraId="153E8A5E">
      <w:pPr>
        <w:adjustRightInd w:val="0"/>
        <w:snapToGrid w:val="0"/>
        <w:spacing w:line="440" w:lineRule="exact"/>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rPr>
        <w:t>本项目</w:t>
      </w:r>
      <w:r>
        <w:rPr>
          <w:rFonts w:hint="default" w:ascii="Times New Roman" w:hAnsi="Times New Roman" w:eastAsia="宋体" w:cs="Times New Roman"/>
          <w:color w:val="auto"/>
          <w:sz w:val="24"/>
          <w:szCs w:val="24"/>
          <w:lang w:val="en-US" w:eastAsia="zh-CN"/>
        </w:rPr>
        <w:t>废</w:t>
      </w:r>
      <w:r>
        <w:rPr>
          <w:rFonts w:hint="eastAsia" w:cs="Times New Roman"/>
          <w:color w:val="auto"/>
          <w:sz w:val="24"/>
          <w:szCs w:val="24"/>
          <w:lang w:val="en-US" w:eastAsia="zh-CN"/>
        </w:rPr>
        <w:t>地</w:t>
      </w:r>
      <w:r>
        <w:rPr>
          <w:rFonts w:hint="eastAsia" w:ascii="Times New Roman" w:hAnsi="Times New Roman" w:eastAsia="宋体" w:cs="Times New Roman"/>
          <w:color w:val="auto"/>
          <w:sz w:val="24"/>
          <w:szCs w:val="24"/>
          <w:lang w:val="en-US" w:eastAsia="zh-CN"/>
        </w:rPr>
        <w:t>膜造粒、滴灌带生产线产生的有机废气经“集气罩+活性炭吸附活性炭浓缩吸附+催化燃烧系统”处理后通过一根15m排气筒（DA001）排放。</w:t>
      </w:r>
    </w:p>
    <w:p w14:paraId="16EB8041">
      <w:pPr>
        <w:adjustRightInd w:val="0"/>
        <w:snapToGrid w:val="0"/>
        <w:spacing w:line="440" w:lineRule="exact"/>
        <w:ind w:firstLine="480" w:firstLineChars="200"/>
        <w:rPr>
          <w:rFonts w:hint="default" w:ascii="Times New Roman" w:hAnsi="Times New Roman" w:eastAsia="宋体" w:cs="Times New Roman"/>
          <w:color w:val="auto"/>
          <w:sz w:val="24"/>
          <w:szCs w:val="24"/>
          <w:lang w:val="en-US"/>
        </w:rPr>
      </w:pPr>
      <w:r>
        <w:rPr>
          <w:rFonts w:hint="default" w:ascii="Times New Roman" w:hAnsi="Times New Roman" w:eastAsia="宋体" w:cs="Times New Roman"/>
          <w:color w:val="auto"/>
          <w:sz w:val="24"/>
          <w:szCs w:val="24"/>
          <w:lang w:val="en-US" w:eastAsia="zh-CN"/>
        </w:rPr>
        <w:t>经处理后</w:t>
      </w:r>
      <w:r>
        <w:rPr>
          <w:rFonts w:hint="default" w:ascii="Times New Roman" w:hAnsi="Times New Roman" w:eastAsia="宋体" w:cs="Times New Roman"/>
          <w:color w:val="auto"/>
          <w:sz w:val="24"/>
          <w:szCs w:val="24"/>
          <w:lang w:val="en-US"/>
        </w:rPr>
        <w:t>非甲烷总烃排放浓度均满足</w:t>
      </w:r>
      <w:r>
        <w:rPr>
          <w:rFonts w:hint="default" w:ascii="Times New Roman" w:hAnsi="Times New Roman" w:eastAsia="宋体" w:cs="Times New Roman"/>
          <w:color w:val="auto"/>
          <w:sz w:val="24"/>
          <w:szCs w:val="24"/>
          <w:lang w:val="en-US" w:eastAsia="zh-CN"/>
        </w:rPr>
        <w:t>《合成树脂工业污染物排放标准》（GB 31572-2015，含2024年修改单）排放限值要求</w:t>
      </w:r>
      <w:r>
        <w:rPr>
          <w:rFonts w:hint="default" w:ascii="Times New Roman" w:hAnsi="Times New Roman" w:eastAsia="宋体" w:cs="Times New Roman"/>
          <w:color w:val="auto"/>
          <w:sz w:val="24"/>
          <w:szCs w:val="24"/>
          <w:lang w:val="en-US"/>
        </w:rPr>
        <w:t>。</w:t>
      </w:r>
    </w:p>
    <w:p w14:paraId="7DB9AF1E">
      <w:pPr>
        <w:adjustRightInd w:val="0"/>
        <w:snapToGrid w:val="0"/>
        <w:spacing w:line="440" w:lineRule="exact"/>
        <w:ind w:firstLine="480" w:firstLineChars="200"/>
        <w:rPr>
          <w:rFonts w:hint="default" w:ascii="Times New Roman" w:hAnsi="Times New Roman" w:eastAsia="宋体" w:cs="Times New Roman"/>
          <w:color w:val="auto"/>
          <w:sz w:val="24"/>
          <w:szCs w:val="24"/>
          <w:lang w:val="en-US"/>
        </w:rPr>
      </w:pPr>
      <w:bookmarkStart w:id="201" w:name="_Toc14677"/>
      <w:r>
        <w:rPr>
          <w:rFonts w:hint="default" w:ascii="Times New Roman" w:hAnsi="Times New Roman" w:eastAsia="宋体" w:cs="Times New Roman"/>
          <w:color w:val="auto"/>
          <w:sz w:val="24"/>
          <w:szCs w:val="24"/>
          <w:lang w:val="en-US"/>
        </w:rPr>
        <w:t>（2）废水</w:t>
      </w:r>
      <w:bookmarkEnd w:id="201"/>
    </w:p>
    <w:p w14:paraId="1275828C">
      <w:pPr>
        <w:adjustRightInd w:val="0"/>
        <w:snapToGrid w:val="0"/>
        <w:spacing w:line="440" w:lineRule="exact"/>
        <w:ind w:firstLine="480" w:firstLineChars="200"/>
        <w:rPr>
          <w:rFonts w:hint="default" w:ascii="Times New Roman" w:hAnsi="Times New Roman" w:eastAsia="宋体" w:cs="Times New Roman"/>
          <w:color w:val="auto"/>
          <w:sz w:val="24"/>
          <w:szCs w:val="24"/>
          <w:lang w:val="en-US"/>
        </w:rPr>
      </w:pPr>
      <w:r>
        <w:rPr>
          <w:rFonts w:hint="default" w:ascii="Times New Roman" w:hAnsi="Times New Roman" w:eastAsia="宋体" w:cs="Times New Roman"/>
          <w:color w:val="auto"/>
          <w:sz w:val="24"/>
          <w:szCs w:val="24"/>
          <w:lang w:val="en-US"/>
        </w:rPr>
        <w:t>本项目</w:t>
      </w:r>
      <w:r>
        <w:rPr>
          <w:rFonts w:hint="eastAsia" w:ascii="Times New Roman" w:hAnsi="Times New Roman" w:eastAsia="宋体" w:cs="Times New Roman"/>
          <w:color w:val="auto"/>
          <w:sz w:val="24"/>
          <w:szCs w:val="24"/>
          <w:lang w:val="en-US" w:eastAsia="zh-CN"/>
        </w:rPr>
        <w:t>无</w:t>
      </w:r>
      <w:r>
        <w:rPr>
          <w:rFonts w:hint="default" w:ascii="Times New Roman" w:hAnsi="Times New Roman" w:eastAsia="宋体" w:cs="Times New Roman"/>
          <w:color w:val="auto"/>
          <w:sz w:val="24"/>
          <w:szCs w:val="24"/>
          <w:lang w:val="en-US"/>
        </w:rPr>
        <w:t>生产废水</w:t>
      </w:r>
      <w:r>
        <w:rPr>
          <w:rFonts w:hint="default" w:ascii="Times New Roman" w:hAnsi="Times New Roman" w:eastAsia="宋体" w:cs="Times New Roman"/>
          <w:color w:val="auto"/>
          <w:sz w:val="24"/>
          <w:szCs w:val="24"/>
          <w:lang w:val="en-US" w:eastAsia="zh-CN"/>
        </w:rPr>
        <w:t>，</w:t>
      </w:r>
      <w:r>
        <w:rPr>
          <w:rFonts w:hint="eastAsia" w:ascii="宋体" w:hAnsi="宋体"/>
          <w:sz w:val="24"/>
          <w:szCs w:val="24"/>
        </w:rPr>
        <w:t>生活污水排入</w:t>
      </w:r>
      <w:r>
        <w:rPr>
          <w:rFonts w:hint="eastAsia" w:ascii="宋体" w:hAnsi="宋体"/>
          <w:sz w:val="24"/>
          <w:szCs w:val="24"/>
          <w:lang w:val="en-US" w:eastAsia="zh-CN"/>
        </w:rPr>
        <w:t>10</w:t>
      </w:r>
      <w:r>
        <w:rPr>
          <w:rFonts w:ascii="宋体" w:hAnsi="宋体"/>
          <w:sz w:val="24"/>
          <w:szCs w:val="24"/>
        </w:rPr>
        <w:t>m</w:t>
      </w:r>
      <w:r>
        <w:rPr>
          <w:rFonts w:ascii="宋体" w:hAnsi="宋体"/>
          <w:sz w:val="24"/>
          <w:szCs w:val="24"/>
          <w:vertAlign w:val="superscript"/>
        </w:rPr>
        <w:t>3</w:t>
      </w:r>
      <w:r>
        <w:rPr>
          <w:rFonts w:hint="eastAsia" w:ascii="宋体" w:hAnsi="宋体"/>
          <w:sz w:val="24"/>
          <w:szCs w:val="24"/>
          <w:lang w:val="en-US" w:eastAsia="zh-CN"/>
        </w:rPr>
        <w:t>防渗化粪池</w:t>
      </w:r>
      <w:r>
        <w:rPr>
          <w:rFonts w:hint="eastAsia" w:ascii="宋体" w:hAnsi="宋体"/>
          <w:sz w:val="24"/>
          <w:szCs w:val="24"/>
          <w:lang w:eastAsia="zh-CN"/>
        </w:rPr>
        <w:t>，定期由库尔勒龙润水处理有限公司采用罐车拉运至库尔勒南市区污水处理厂</w:t>
      </w:r>
      <w:r>
        <w:rPr>
          <w:rFonts w:hint="default" w:ascii="Times New Roman" w:hAnsi="Times New Roman" w:eastAsia="宋体" w:cs="Times New Roman"/>
          <w:color w:val="auto"/>
          <w:sz w:val="24"/>
          <w:szCs w:val="24"/>
          <w:lang w:val="en-US"/>
        </w:rPr>
        <w:t>。</w:t>
      </w:r>
    </w:p>
    <w:p w14:paraId="63CCC57F">
      <w:pPr>
        <w:adjustRightInd w:val="0"/>
        <w:snapToGrid w:val="0"/>
        <w:spacing w:line="440" w:lineRule="exact"/>
        <w:ind w:firstLine="480" w:firstLineChars="200"/>
        <w:rPr>
          <w:rFonts w:hint="default" w:ascii="Times New Roman" w:hAnsi="Times New Roman" w:eastAsia="宋体" w:cs="Times New Roman"/>
          <w:color w:val="auto"/>
          <w:sz w:val="24"/>
          <w:szCs w:val="24"/>
          <w:lang w:val="en-US"/>
        </w:rPr>
      </w:pPr>
      <w:bookmarkStart w:id="202" w:name="_Toc23067"/>
      <w:r>
        <w:rPr>
          <w:rFonts w:hint="default" w:ascii="Times New Roman" w:hAnsi="Times New Roman" w:eastAsia="宋体" w:cs="Times New Roman"/>
          <w:color w:val="auto"/>
          <w:sz w:val="24"/>
          <w:szCs w:val="24"/>
          <w:lang w:val="en-US"/>
        </w:rPr>
        <w:t>（3）噪声</w:t>
      </w:r>
      <w:bookmarkEnd w:id="202"/>
    </w:p>
    <w:p w14:paraId="1E088480">
      <w:pPr>
        <w:adjustRightInd w:val="0"/>
        <w:snapToGrid w:val="0"/>
        <w:spacing w:line="440" w:lineRule="exact"/>
        <w:ind w:firstLine="480" w:firstLineChars="200"/>
        <w:rPr>
          <w:rFonts w:hint="default" w:ascii="Times New Roman" w:hAnsi="Times New Roman" w:eastAsia="宋体" w:cs="Times New Roman"/>
          <w:color w:val="auto"/>
          <w:sz w:val="24"/>
          <w:szCs w:val="24"/>
          <w:lang w:val="en-US"/>
        </w:rPr>
      </w:pPr>
      <w:r>
        <w:rPr>
          <w:rFonts w:hint="default" w:ascii="Times New Roman" w:hAnsi="Times New Roman" w:eastAsia="宋体" w:cs="Times New Roman"/>
          <w:color w:val="auto"/>
          <w:sz w:val="24"/>
          <w:szCs w:val="24"/>
          <w:lang w:val="en-US"/>
        </w:rPr>
        <w:t>项目噪声选用低噪声设备，并采取基础减振、厂房隔声等措施降噪，经预测项目运营期厂界噪声符合《工业企业厂界环境噪声排放标准》（GB12348-2008）中</w:t>
      </w:r>
      <w:r>
        <w:rPr>
          <w:rFonts w:hint="eastAsia" w:ascii="Times New Roman" w:hAnsi="Times New Roman" w:eastAsia="宋体" w:cs="Times New Roman"/>
          <w:color w:val="auto"/>
          <w:sz w:val="24"/>
          <w:szCs w:val="24"/>
          <w:lang w:val="en-US" w:eastAsia="zh-CN"/>
        </w:rPr>
        <w:t>2</w:t>
      </w:r>
      <w:r>
        <w:rPr>
          <w:rFonts w:hint="default" w:ascii="Times New Roman" w:hAnsi="Times New Roman" w:eastAsia="宋体" w:cs="Times New Roman"/>
          <w:color w:val="auto"/>
          <w:sz w:val="24"/>
          <w:szCs w:val="24"/>
          <w:lang w:val="en-US"/>
        </w:rPr>
        <w:t>类声环境功能区噪声排放限值。</w:t>
      </w:r>
    </w:p>
    <w:p w14:paraId="69F2E179">
      <w:pPr>
        <w:adjustRightInd w:val="0"/>
        <w:snapToGrid w:val="0"/>
        <w:spacing w:line="440" w:lineRule="exact"/>
        <w:ind w:firstLine="480" w:firstLineChars="200"/>
        <w:rPr>
          <w:rFonts w:hint="default" w:ascii="Times New Roman" w:hAnsi="Times New Roman" w:eastAsia="宋体" w:cs="Times New Roman"/>
          <w:color w:val="auto"/>
          <w:sz w:val="24"/>
          <w:szCs w:val="24"/>
          <w:lang w:val="en-US"/>
        </w:rPr>
      </w:pPr>
      <w:bookmarkStart w:id="203" w:name="_Toc16062"/>
      <w:r>
        <w:rPr>
          <w:rFonts w:hint="default" w:ascii="Times New Roman" w:hAnsi="Times New Roman" w:eastAsia="宋体" w:cs="Times New Roman"/>
          <w:color w:val="auto"/>
          <w:sz w:val="24"/>
          <w:szCs w:val="24"/>
          <w:lang w:val="en-US"/>
        </w:rPr>
        <w:t>（4）固体废物</w:t>
      </w:r>
      <w:bookmarkEnd w:id="203"/>
    </w:p>
    <w:p w14:paraId="7E6CFD36">
      <w:pPr>
        <w:adjustRightInd w:val="0"/>
        <w:snapToGrid w:val="0"/>
        <w:spacing w:line="440" w:lineRule="exact"/>
        <w:ind w:firstLine="480" w:firstLineChars="200"/>
        <w:rPr>
          <w:rFonts w:hint="default" w:ascii="Times New Roman" w:hAnsi="Times New Roman" w:eastAsia="宋体" w:cs="Times New Roman"/>
          <w:color w:val="auto"/>
          <w:sz w:val="24"/>
          <w:szCs w:val="24"/>
          <w:lang w:val="en-US"/>
        </w:rPr>
      </w:pPr>
      <w:r>
        <w:rPr>
          <w:rFonts w:hint="default" w:ascii="Times New Roman" w:hAnsi="Times New Roman" w:eastAsia="宋体" w:cs="Times New Roman"/>
          <w:color w:val="auto"/>
          <w:sz w:val="24"/>
          <w:szCs w:val="24"/>
          <w:lang w:val="en-US"/>
        </w:rPr>
        <w:t>项目产生的生活垃圾</w:t>
      </w:r>
      <w:r>
        <w:rPr>
          <w:rFonts w:hint="eastAsia" w:ascii="Times New Roman" w:hAnsi="Times New Roman" w:eastAsia="宋体" w:cs="Times New Roman"/>
          <w:color w:val="auto"/>
          <w:sz w:val="24"/>
          <w:szCs w:val="24"/>
          <w:lang w:val="en-US" w:eastAsia="zh-CN"/>
        </w:rPr>
        <w:t>和</w:t>
      </w:r>
      <w:r>
        <w:rPr>
          <w:rFonts w:hint="default" w:ascii="Times New Roman" w:hAnsi="Times New Roman" w:eastAsia="宋体" w:cs="Times New Roman"/>
          <w:color w:val="auto"/>
          <w:sz w:val="24"/>
          <w:szCs w:val="24"/>
          <w:lang w:val="en-US"/>
        </w:rPr>
        <w:t>分拣废物交由当地环卫部门清运处置；</w:t>
      </w:r>
      <w:r>
        <w:rPr>
          <w:rFonts w:hint="default" w:ascii="Times New Roman" w:hAnsi="Times New Roman" w:eastAsia="宋体" w:cs="Times New Roman"/>
          <w:color w:val="auto"/>
          <w:sz w:val="24"/>
          <w:szCs w:val="24"/>
          <w:lang w:val="en-US" w:eastAsia="zh-CN"/>
        </w:rPr>
        <w:t>废过滤网外售废品收购站</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滴灌带生产线不合格产品及边角料全部回用于造粒工序</w:t>
      </w:r>
      <w:r>
        <w:rPr>
          <w:rFonts w:hint="eastAsia" w:ascii="Times New Roman" w:hAnsi="Times New Roman" w:eastAsia="宋体" w:cs="Times New Roman"/>
          <w:color w:val="auto"/>
          <w:sz w:val="24"/>
          <w:szCs w:val="24"/>
          <w:lang w:val="en-US" w:eastAsia="zh-CN"/>
        </w:rPr>
        <w:t>；</w:t>
      </w:r>
    </w:p>
    <w:p w14:paraId="317E3DA4">
      <w:pPr>
        <w:adjustRightInd w:val="0"/>
        <w:snapToGrid w:val="0"/>
        <w:spacing w:line="440" w:lineRule="exact"/>
        <w:ind w:firstLine="480" w:firstLineChars="200"/>
        <w:rPr>
          <w:rFonts w:hint="default" w:ascii="Times New Roman" w:hAnsi="Times New Roman" w:eastAsia="宋体" w:cs="Times New Roman"/>
          <w:color w:val="auto"/>
          <w:sz w:val="24"/>
          <w:szCs w:val="24"/>
          <w:lang w:val="en-US"/>
        </w:rPr>
      </w:pPr>
      <w:r>
        <w:rPr>
          <w:rFonts w:hint="default" w:ascii="Times New Roman" w:hAnsi="Times New Roman" w:eastAsia="宋体" w:cs="Times New Roman"/>
          <w:color w:val="auto"/>
          <w:sz w:val="24"/>
          <w:szCs w:val="24"/>
          <w:lang w:val="en-US" w:eastAsia="zh-CN"/>
        </w:rPr>
        <w:t>危险废物</w:t>
      </w:r>
      <w:r>
        <w:rPr>
          <w:rFonts w:hint="default" w:ascii="Times New Roman" w:hAnsi="Times New Roman" w:eastAsia="宋体" w:cs="Times New Roman"/>
          <w:color w:val="auto"/>
          <w:sz w:val="24"/>
          <w:szCs w:val="24"/>
          <w:lang w:val="en-US"/>
        </w:rPr>
        <w:t>暂存于</w:t>
      </w:r>
      <w:r>
        <w:rPr>
          <w:rFonts w:hint="default" w:ascii="Times New Roman" w:hAnsi="Times New Roman" w:eastAsia="宋体" w:cs="Times New Roman"/>
          <w:color w:val="auto"/>
          <w:sz w:val="24"/>
          <w:szCs w:val="24"/>
          <w:lang w:val="en-US" w:eastAsia="zh-CN"/>
        </w:rPr>
        <w:t>危废贮存</w:t>
      </w:r>
      <w:r>
        <w:rPr>
          <w:rFonts w:hint="eastAsia" w:ascii="Times New Roman" w:hAnsi="Times New Roman" w:eastAsia="宋体" w:cs="Times New Roman"/>
          <w:color w:val="auto"/>
          <w:sz w:val="24"/>
          <w:szCs w:val="24"/>
          <w:lang w:val="en-US" w:eastAsia="zh-CN"/>
        </w:rPr>
        <w:t>点</w:t>
      </w:r>
      <w:r>
        <w:rPr>
          <w:rFonts w:hint="default" w:ascii="Times New Roman" w:hAnsi="Times New Roman" w:eastAsia="宋体" w:cs="Times New Roman"/>
          <w:color w:val="auto"/>
          <w:sz w:val="24"/>
          <w:szCs w:val="24"/>
          <w:lang w:val="en-US"/>
        </w:rPr>
        <w:t>，定期交由有资质的单位处置。</w:t>
      </w:r>
    </w:p>
    <w:p w14:paraId="22B9C0C6">
      <w:pPr>
        <w:adjustRightInd w:val="0"/>
        <w:snapToGrid w:val="0"/>
        <w:spacing w:line="440" w:lineRule="exact"/>
        <w:ind w:firstLine="480" w:firstLineChars="200"/>
        <w:rPr>
          <w:rFonts w:hint="default" w:ascii="Times New Roman" w:hAnsi="Times New Roman" w:eastAsia="宋体" w:cs="Times New Roman"/>
          <w:color w:val="auto"/>
          <w:sz w:val="24"/>
          <w:szCs w:val="24"/>
          <w:lang w:val="en-US"/>
        </w:rPr>
      </w:pPr>
      <w:r>
        <w:rPr>
          <w:rFonts w:hint="default" w:ascii="Times New Roman" w:hAnsi="Times New Roman" w:eastAsia="宋体" w:cs="Times New Roman"/>
          <w:color w:val="auto"/>
          <w:sz w:val="24"/>
          <w:szCs w:val="24"/>
          <w:lang w:val="en-US"/>
        </w:rPr>
        <w:t>通过采取上述污染治理措施后，项目废气、废水、噪声、固废等污染物能够做到达标排放，项目在环境管理方面能够满足清洁生产的要求。</w:t>
      </w:r>
    </w:p>
    <w:p w14:paraId="7EF32B83">
      <w:pPr>
        <w:adjustRightInd w:val="0"/>
        <w:snapToGrid w:val="0"/>
        <w:spacing w:line="440" w:lineRule="exact"/>
        <w:ind w:firstLine="480" w:firstLineChars="200"/>
        <w:rPr>
          <w:rFonts w:hint="default" w:ascii="Times New Roman" w:hAnsi="Times New Roman" w:eastAsia="宋体" w:cs="Times New Roman"/>
          <w:color w:val="auto"/>
          <w:sz w:val="24"/>
          <w:szCs w:val="24"/>
          <w:lang w:val="en-US" w:eastAsia="zh-CN"/>
        </w:rPr>
      </w:pPr>
      <w:bookmarkStart w:id="204" w:name="3.5.1.5 废物回收利用指标分析"/>
      <w:bookmarkEnd w:id="204"/>
      <w:bookmarkStart w:id="205" w:name="_Toc25827"/>
      <w:r>
        <w:rPr>
          <w:rFonts w:hint="eastAsia" w:ascii="Times New Roman" w:hAnsi="Times New Roman" w:eastAsia="宋体" w:cs="Times New Roman"/>
          <w:color w:val="auto"/>
          <w:sz w:val="24"/>
          <w:szCs w:val="24"/>
          <w:lang w:val="en-US" w:eastAsia="zh-CN"/>
        </w:rPr>
        <w:t>5</w:t>
      </w:r>
      <w:r>
        <w:rPr>
          <w:rFonts w:hint="default" w:ascii="Times New Roman" w:hAnsi="Times New Roman" w:eastAsia="宋体" w:cs="Times New Roman"/>
          <w:color w:val="auto"/>
          <w:sz w:val="24"/>
          <w:szCs w:val="24"/>
          <w:lang w:val="en-US" w:eastAsia="zh-CN"/>
        </w:rPr>
        <w:t>、废物回收利用指标分析</w:t>
      </w:r>
      <w:bookmarkEnd w:id="205"/>
    </w:p>
    <w:p w14:paraId="39E0D818">
      <w:pPr>
        <w:adjustRightInd w:val="0"/>
        <w:snapToGrid w:val="0"/>
        <w:spacing w:line="440" w:lineRule="exact"/>
        <w:ind w:firstLine="480" w:firstLineChars="200"/>
        <w:rPr>
          <w:rFonts w:hint="default" w:ascii="Times New Roman" w:hAnsi="Times New Roman" w:eastAsia="宋体" w:cs="Times New Roman"/>
          <w:color w:val="auto"/>
          <w:sz w:val="24"/>
          <w:szCs w:val="24"/>
          <w:lang w:val="en-US"/>
        </w:rPr>
      </w:pPr>
      <w:r>
        <w:rPr>
          <w:rFonts w:hint="default" w:ascii="Times New Roman" w:hAnsi="Times New Roman" w:eastAsia="宋体" w:cs="Times New Roman"/>
          <w:color w:val="auto"/>
          <w:sz w:val="24"/>
          <w:szCs w:val="24"/>
          <w:lang w:val="en-US"/>
        </w:rPr>
        <w:t>本项目对废塑料加以利用，生产</w:t>
      </w:r>
      <w:r>
        <w:rPr>
          <w:rFonts w:hint="default" w:ascii="Times New Roman" w:hAnsi="Times New Roman" w:eastAsia="宋体" w:cs="Times New Roman"/>
          <w:color w:val="auto"/>
          <w:sz w:val="24"/>
          <w:szCs w:val="24"/>
          <w:lang w:val="en-US" w:eastAsia="zh-CN"/>
        </w:rPr>
        <w:t>新的塑料制品</w:t>
      </w:r>
      <w:r>
        <w:rPr>
          <w:rFonts w:hint="default" w:ascii="Times New Roman" w:hAnsi="Times New Roman" w:eastAsia="宋体" w:cs="Times New Roman"/>
          <w:color w:val="auto"/>
          <w:sz w:val="24"/>
          <w:szCs w:val="24"/>
          <w:lang w:val="en-US"/>
        </w:rPr>
        <w:t>，既减少了废塑料的排放，又制造了塑料产品，使资源循环利用的同时减轻了对环境的影响。同时本项目在生产过程中，采用雨污分流排水系统，对可回收的生产用水全部回收利用，有效节约水资源。总之，本项目利用废塑料生产</w:t>
      </w:r>
      <w:r>
        <w:rPr>
          <w:rFonts w:hint="default" w:ascii="Times New Roman" w:hAnsi="Times New Roman" w:eastAsia="宋体" w:cs="Times New Roman"/>
          <w:color w:val="auto"/>
          <w:sz w:val="24"/>
          <w:szCs w:val="24"/>
          <w:lang w:val="en-US" w:eastAsia="zh-CN"/>
        </w:rPr>
        <w:t>新的塑料制品</w:t>
      </w:r>
      <w:r>
        <w:rPr>
          <w:rFonts w:hint="default" w:ascii="Times New Roman" w:hAnsi="Times New Roman" w:eastAsia="宋体" w:cs="Times New Roman"/>
          <w:color w:val="auto"/>
          <w:sz w:val="24"/>
          <w:szCs w:val="24"/>
          <w:lang w:val="en-US"/>
        </w:rPr>
        <w:t>，符合废物回收利用的相关要求。</w:t>
      </w:r>
      <w:bookmarkStart w:id="206" w:name="3.5.1.6 环境管理相关要求"/>
      <w:bookmarkEnd w:id="206"/>
    </w:p>
    <w:p w14:paraId="78F4B3D9">
      <w:pPr>
        <w:pStyle w:val="4"/>
        <w:autoSpaceDE w:val="0"/>
        <w:autoSpaceDN w:val="0"/>
        <w:spacing w:before="0" w:after="0" w:line="360" w:lineRule="auto"/>
        <w:jc w:val="left"/>
        <w:rPr>
          <w:rFonts w:hint="eastAsia" w:ascii="Times New Roman" w:hAnsi="Times New Roman" w:eastAsia="宋体" w:cs="Times New Roman"/>
          <w:kern w:val="0"/>
          <w:sz w:val="24"/>
          <w:lang w:val="en-US" w:bidi="zh-CN"/>
        </w:rPr>
      </w:pPr>
      <w:r>
        <w:rPr>
          <w:rFonts w:hint="eastAsia" w:ascii="Times New Roman" w:hAnsi="Times New Roman" w:eastAsia="宋体" w:cs="Times New Roman"/>
          <w:kern w:val="0"/>
          <w:sz w:val="24"/>
          <w:lang w:val="en-US" w:bidi="zh-CN"/>
        </w:rPr>
        <w:t>3.7.2清洁生产水平判定</w:t>
      </w:r>
    </w:p>
    <w:p w14:paraId="2AAD01E6">
      <w:pPr>
        <w:spacing w:line="360" w:lineRule="auto"/>
        <w:ind w:firstLine="480" w:firstLineChars="200"/>
        <w:rPr>
          <w:rFonts w:hint="eastAsia"/>
          <w:color w:val="000000"/>
          <w:sz w:val="24"/>
          <w:szCs w:val="24"/>
        </w:rPr>
      </w:pPr>
      <w:r>
        <w:rPr>
          <w:rFonts w:hint="eastAsia"/>
          <w:color w:val="000000"/>
          <w:sz w:val="24"/>
          <w:szCs w:val="24"/>
        </w:rPr>
        <w:t>本项目充分考虑生产工艺过程中的废水、固废等资源能源的回收利用，使生产过程中的节能、减排成为可能，能最大程度地把生产过程中产生的污染和残留降到最低水平。</w:t>
      </w:r>
    </w:p>
    <w:p w14:paraId="4BF007BA">
      <w:pPr>
        <w:spacing w:line="360" w:lineRule="auto"/>
        <w:ind w:firstLine="480" w:firstLineChars="200"/>
        <w:rPr>
          <w:rFonts w:hint="eastAsia"/>
          <w:color w:val="000000"/>
          <w:sz w:val="24"/>
          <w:szCs w:val="24"/>
        </w:rPr>
      </w:pPr>
      <w:r>
        <w:rPr>
          <w:rFonts w:hint="eastAsia"/>
          <w:color w:val="000000"/>
          <w:sz w:val="24"/>
          <w:szCs w:val="24"/>
        </w:rPr>
        <w:t>本项目在生产工艺和设备，资源能源利用指标，污染物产生指标，废物回收利用指标，产品指标等方面达到了同行业同规模企业较高水平。</w:t>
      </w:r>
    </w:p>
    <w:p w14:paraId="6A6A18D2">
      <w:pPr>
        <w:pStyle w:val="4"/>
        <w:autoSpaceDE w:val="0"/>
        <w:autoSpaceDN w:val="0"/>
        <w:spacing w:before="0" w:after="0" w:line="360" w:lineRule="auto"/>
        <w:jc w:val="left"/>
        <w:rPr>
          <w:rFonts w:hint="eastAsia" w:ascii="Times New Roman" w:hAnsi="Times New Roman" w:eastAsia="宋体" w:cs="Times New Roman"/>
          <w:kern w:val="0"/>
          <w:sz w:val="24"/>
          <w:lang w:val="en-US" w:bidi="zh-CN"/>
        </w:rPr>
      </w:pPr>
      <w:r>
        <w:rPr>
          <w:rFonts w:hint="eastAsia" w:ascii="Times New Roman" w:hAnsi="Times New Roman" w:eastAsia="宋体" w:cs="Times New Roman"/>
          <w:kern w:val="0"/>
          <w:sz w:val="24"/>
          <w:lang w:val="en-US" w:bidi="zh-CN"/>
        </w:rPr>
        <w:t>3.7.3循环经济</w:t>
      </w:r>
    </w:p>
    <w:p w14:paraId="563639E5">
      <w:pPr>
        <w:spacing w:line="360" w:lineRule="auto"/>
        <w:ind w:firstLine="480" w:firstLineChars="200"/>
        <w:rPr>
          <w:rFonts w:hint="eastAsia"/>
          <w:color w:val="000000"/>
          <w:sz w:val="24"/>
          <w:szCs w:val="24"/>
        </w:rPr>
      </w:pPr>
      <w:r>
        <w:rPr>
          <w:rFonts w:hint="eastAsia"/>
          <w:color w:val="000000"/>
          <w:sz w:val="24"/>
          <w:szCs w:val="24"/>
        </w:rPr>
        <w:t>循环经济是根据资源的减量化，产品的反复使用和废物的资源化原则，组成一个“资源产品再生资源再生产品”的闭环反馈式经济循环过程，使得整个过程不产生或少产生废物，最大限度地减少末端处理，达到物质、能量利用最大化，废物排放最小的目的。</w:t>
      </w:r>
    </w:p>
    <w:p w14:paraId="199972AF">
      <w:pPr>
        <w:spacing w:line="360" w:lineRule="auto"/>
        <w:ind w:firstLine="480" w:firstLineChars="200"/>
        <w:rPr>
          <w:rFonts w:hint="eastAsia"/>
          <w:color w:val="000000"/>
          <w:sz w:val="24"/>
          <w:szCs w:val="24"/>
        </w:rPr>
      </w:pPr>
      <w:r>
        <w:rPr>
          <w:rFonts w:hint="eastAsia"/>
          <w:color w:val="000000"/>
          <w:sz w:val="24"/>
          <w:szCs w:val="24"/>
        </w:rPr>
        <w:t>本项目属于废旧资源回收再生利用项目，项目本身就是对废物的循环综合利用，实现形式是利用废物中的物质和能量，实现了废物减量化和再使用。在本项目工艺流程设计和生产管理中，还体现了资源能源的小循环。</w:t>
      </w:r>
    </w:p>
    <w:p w14:paraId="651A9313">
      <w:pPr>
        <w:pStyle w:val="4"/>
        <w:autoSpaceDE w:val="0"/>
        <w:autoSpaceDN w:val="0"/>
        <w:spacing w:before="0" w:after="0" w:line="360" w:lineRule="auto"/>
        <w:jc w:val="left"/>
        <w:rPr>
          <w:rFonts w:hint="eastAsia" w:ascii="Times New Roman" w:hAnsi="Times New Roman" w:eastAsia="宋体" w:cs="Times New Roman"/>
          <w:kern w:val="0"/>
          <w:sz w:val="24"/>
          <w:lang w:val="en-US" w:bidi="zh-CN"/>
        </w:rPr>
      </w:pPr>
      <w:r>
        <w:rPr>
          <w:rFonts w:hint="eastAsia" w:ascii="Times New Roman" w:hAnsi="Times New Roman" w:eastAsia="宋体" w:cs="Times New Roman"/>
          <w:kern w:val="0"/>
          <w:sz w:val="24"/>
          <w:lang w:val="en-US" w:bidi="zh-CN"/>
        </w:rPr>
        <w:t>3.7.4清洁生产结论</w:t>
      </w:r>
    </w:p>
    <w:p w14:paraId="01CFEBF8">
      <w:pPr>
        <w:spacing w:line="360" w:lineRule="auto"/>
        <w:ind w:firstLine="480" w:firstLineChars="200"/>
        <w:rPr>
          <w:color w:val="000000"/>
          <w:sz w:val="24"/>
          <w:szCs w:val="24"/>
        </w:rPr>
      </w:pPr>
      <w:r>
        <w:rPr>
          <w:rFonts w:hint="eastAsia"/>
          <w:color w:val="000000"/>
          <w:sz w:val="24"/>
          <w:szCs w:val="24"/>
        </w:rPr>
        <w:t>本工程在采取了相应的防范措施后，可保证生产安全和环境安全；项目所用动力清洁，符合我国的能源政策要求；单位产品综合物耗、能耗水平较低；所选用的生产工艺具有国内先进水平，所选用设备具有国内先进水平，污染物排放浓度和排放量，满足相应的标准要求，满足清洁生产要求。</w:t>
      </w:r>
    </w:p>
    <w:p w14:paraId="147C2F0B">
      <w:pPr>
        <w:spacing w:line="360" w:lineRule="auto"/>
        <w:ind w:firstLine="480" w:firstLineChars="200"/>
        <w:rPr>
          <w:color w:val="000000"/>
          <w:sz w:val="24"/>
          <w:szCs w:val="24"/>
        </w:rPr>
        <w:sectPr>
          <w:footerReference r:id="rId11" w:type="default"/>
          <w:pgSz w:w="11906" w:h="16838"/>
          <w:pgMar w:top="1440" w:right="1417" w:bottom="1440" w:left="1417" w:header="851" w:footer="992" w:gutter="0"/>
          <w:pgBorders>
            <w:top w:val="none" w:sz="0" w:space="0"/>
            <w:left w:val="none" w:sz="0" w:space="0"/>
            <w:bottom w:val="none" w:sz="0" w:space="0"/>
            <w:right w:val="none" w:sz="0" w:space="0"/>
          </w:pgBorders>
          <w:cols w:space="720" w:num="1"/>
          <w:docGrid w:type="lines" w:linePitch="312" w:charSpace="0"/>
        </w:sectPr>
      </w:pPr>
    </w:p>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p w14:paraId="7B258425">
      <w:pPr>
        <w:pStyle w:val="2"/>
        <w:keepNext w:val="0"/>
        <w:keepLines w:val="0"/>
        <w:autoSpaceDE w:val="0"/>
        <w:autoSpaceDN w:val="0"/>
        <w:spacing w:before="0" w:beforeAutospacing="0" w:after="0" w:afterAutospacing="0" w:line="360" w:lineRule="auto"/>
        <w:jc w:val="left"/>
        <w:rPr>
          <w:kern w:val="0"/>
          <w:sz w:val="28"/>
          <w:szCs w:val="28"/>
          <w:lang w:bidi="zh-CN"/>
        </w:rPr>
      </w:pPr>
      <w:bookmarkStart w:id="207" w:name="_Toc9633"/>
      <w:r>
        <w:rPr>
          <w:rFonts w:hint="eastAsia"/>
          <w:kern w:val="0"/>
          <w:sz w:val="28"/>
          <w:szCs w:val="28"/>
          <w:lang w:val="en-US" w:bidi="zh-CN"/>
        </w:rPr>
        <w:t>4</w:t>
      </w:r>
      <w:r>
        <w:rPr>
          <w:kern w:val="0"/>
          <w:sz w:val="28"/>
          <w:szCs w:val="28"/>
          <w:lang w:bidi="zh-CN"/>
        </w:rPr>
        <w:t>环境现状调查与评价</w:t>
      </w:r>
      <w:bookmarkEnd w:id="207"/>
    </w:p>
    <w:p w14:paraId="694B86C2">
      <w:pPr>
        <w:pStyle w:val="3"/>
        <w:keepNext w:val="0"/>
        <w:keepLines w:val="0"/>
        <w:autoSpaceDE w:val="0"/>
        <w:autoSpaceDN w:val="0"/>
        <w:spacing w:before="0" w:after="0" w:line="360" w:lineRule="auto"/>
        <w:jc w:val="left"/>
        <w:rPr>
          <w:rFonts w:ascii="Times New Roman" w:hAnsi="Times New Roman" w:eastAsia="宋体"/>
          <w:kern w:val="0"/>
          <w:sz w:val="24"/>
          <w:szCs w:val="30"/>
          <w:lang w:val="en-US" w:bidi="zh-CN"/>
        </w:rPr>
      </w:pPr>
      <w:bookmarkStart w:id="208" w:name="_Toc363049966"/>
      <w:bookmarkStart w:id="209" w:name="_Toc314144911"/>
      <w:bookmarkStart w:id="210" w:name="_Toc314145629"/>
      <w:bookmarkStart w:id="211" w:name="_Toc332727835"/>
      <w:bookmarkStart w:id="212" w:name="_Toc327921179"/>
      <w:bookmarkStart w:id="213" w:name="_Toc320786822"/>
      <w:bookmarkStart w:id="214" w:name="_Toc23664"/>
      <w:r>
        <w:rPr>
          <w:rFonts w:hint="eastAsia" w:ascii="Times New Roman" w:hAnsi="Times New Roman" w:eastAsia="宋体"/>
          <w:kern w:val="0"/>
          <w:sz w:val="24"/>
          <w:szCs w:val="30"/>
          <w:lang w:val="en-US" w:bidi="zh-CN"/>
        </w:rPr>
        <w:t>4.1自然环境</w:t>
      </w:r>
      <w:bookmarkEnd w:id="208"/>
      <w:bookmarkEnd w:id="209"/>
      <w:bookmarkEnd w:id="210"/>
      <w:bookmarkEnd w:id="211"/>
      <w:bookmarkEnd w:id="212"/>
      <w:bookmarkEnd w:id="213"/>
      <w:r>
        <w:rPr>
          <w:rFonts w:hint="eastAsia" w:ascii="Times New Roman" w:hAnsi="Times New Roman" w:eastAsia="宋体"/>
          <w:kern w:val="0"/>
          <w:sz w:val="24"/>
          <w:szCs w:val="30"/>
          <w:lang w:val="en-US" w:bidi="zh-CN"/>
        </w:rPr>
        <w:t>现状调查与评价</w:t>
      </w:r>
      <w:bookmarkEnd w:id="214"/>
    </w:p>
    <w:p w14:paraId="117DC27B">
      <w:pPr>
        <w:pStyle w:val="4"/>
        <w:autoSpaceDE w:val="0"/>
        <w:autoSpaceDN w:val="0"/>
        <w:spacing w:before="0" w:after="0" w:line="360" w:lineRule="auto"/>
        <w:jc w:val="left"/>
        <w:rPr>
          <w:kern w:val="0"/>
          <w:sz w:val="24"/>
          <w:lang w:val="en-US" w:bidi="zh-CN"/>
        </w:rPr>
      </w:pPr>
      <w:r>
        <w:rPr>
          <w:rFonts w:hint="eastAsia"/>
          <w:kern w:val="0"/>
          <w:sz w:val="24"/>
          <w:lang w:val="en-US" w:bidi="zh-CN"/>
        </w:rPr>
        <w:t>4.1.1地理</w:t>
      </w:r>
      <w:bookmarkEnd w:id="186"/>
      <w:bookmarkEnd w:id="187"/>
      <w:bookmarkEnd w:id="188"/>
      <w:bookmarkEnd w:id="189"/>
      <w:r>
        <w:rPr>
          <w:rFonts w:hint="eastAsia"/>
          <w:kern w:val="0"/>
          <w:sz w:val="24"/>
          <w:lang w:val="en-US" w:bidi="zh-CN"/>
        </w:rPr>
        <w:t>位置</w:t>
      </w:r>
    </w:p>
    <w:p w14:paraId="209AA1C8">
      <w:pPr>
        <w:spacing w:line="360" w:lineRule="auto"/>
        <w:ind w:firstLine="480" w:firstLineChars="200"/>
        <w:rPr>
          <w:rFonts w:hint="eastAsia" w:ascii="宋体" w:hAnsi="宋体"/>
          <w:sz w:val="24"/>
        </w:rPr>
      </w:pPr>
      <w:r>
        <w:rPr>
          <w:rFonts w:hint="eastAsia" w:ascii="宋体" w:hAnsi="宋体"/>
          <w:sz w:val="24"/>
        </w:rPr>
        <w:t xml:space="preserve">库尔勒市位于新疆维吾尔自治区腹心地带，天山南麓，塔里木盆地东北边缘，孔雀河冲洪积平原上，地处东经85°12′-86°27′，北纬41°11′-42°14′。市区东邻博湖县，西部与轮台县交界，北部与焉耆回族自治县毗邻，南部与尉犁县接壤，是巴音郭楞蒙古自治州的首府。库尔勒市距乌鲁木齐市公路里程471km。   </w:t>
      </w:r>
    </w:p>
    <w:p w14:paraId="673D38DD">
      <w:pPr>
        <w:spacing w:line="360" w:lineRule="auto"/>
        <w:ind w:firstLine="480" w:firstLineChars="200"/>
        <w:rPr>
          <w:rFonts w:hint="eastAsia" w:ascii="宋体" w:hAnsi="宋体"/>
          <w:snapToGrid w:val="0"/>
          <w:color w:val="3333FF"/>
          <w:kern w:val="0"/>
          <w:sz w:val="24"/>
        </w:rPr>
      </w:pPr>
      <w:r>
        <w:rPr>
          <w:rFonts w:hint="eastAsia" w:ascii="宋体" w:hAnsi="宋体"/>
          <w:sz w:val="24"/>
        </w:rPr>
        <w:t>本项目中心地理位置坐标：</w:t>
      </w:r>
      <w:r>
        <w:rPr>
          <w:rFonts w:ascii="宋体" w:hAnsi="宋体"/>
          <w:color w:val="000000"/>
          <w:sz w:val="24"/>
          <w:szCs w:val="24"/>
        </w:rPr>
        <w:t>N</w:t>
      </w:r>
      <w:r>
        <w:rPr>
          <w:rFonts w:hint="eastAsia" w:ascii="宋体" w:hAnsi="宋体"/>
          <w:color w:val="000000"/>
          <w:sz w:val="24"/>
          <w:szCs w:val="24"/>
        </w:rPr>
        <w:t>41°25′3.496″</w:t>
      </w:r>
      <w:r>
        <w:rPr>
          <w:rFonts w:ascii="宋体" w:hAnsi="宋体"/>
          <w:color w:val="000000"/>
          <w:sz w:val="24"/>
          <w:szCs w:val="24"/>
        </w:rPr>
        <w:t>，E</w:t>
      </w:r>
      <w:r>
        <w:rPr>
          <w:rFonts w:hint="eastAsia" w:ascii="宋体" w:hAnsi="宋体"/>
          <w:color w:val="000000"/>
          <w:sz w:val="24"/>
          <w:szCs w:val="24"/>
        </w:rPr>
        <w:t>85°50′11.947″</w:t>
      </w:r>
      <w:r>
        <w:rPr>
          <w:rFonts w:ascii="宋体" w:hAnsi="宋体"/>
          <w:color w:val="000000"/>
          <w:sz w:val="24"/>
          <w:szCs w:val="24"/>
        </w:rPr>
        <w:t>。</w:t>
      </w:r>
      <w:r>
        <w:rPr>
          <w:rFonts w:ascii="宋体" w:hAnsi="宋体"/>
          <w:sz w:val="24"/>
          <w:szCs w:val="24"/>
        </w:rPr>
        <w:t>项目周边</w:t>
      </w:r>
      <w:r>
        <w:rPr>
          <w:rFonts w:hint="eastAsia" w:ascii="宋体" w:hAnsi="宋体"/>
          <w:sz w:val="24"/>
          <w:szCs w:val="24"/>
          <w:lang w:eastAsia="zh-CN"/>
        </w:rPr>
        <w:t>现状</w:t>
      </w:r>
      <w:r>
        <w:rPr>
          <w:rFonts w:hint="eastAsia" w:ascii="宋体" w:hAnsi="宋体"/>
          <w:sz w:val="24"/>
          <w:szCs w:val="24"/>
        </w:rPr>
        <w:t>北侧紧邻乡村道路；南侧隔防风林为农田；西北侧为空地，西南侧为农田；东侧为空地和农田</w:t>
      </w:r>
      <w:r>
        <w:rPr>
          <w:rFonts w:ascii="宋体" w:hAnsi="宋体"/>
          <w:sz w:val="24"/>
          <w:szCs w:val="24"/>
        </w:rPr>
        <w:t>。</w:t>
      </w:r>
    </w:p>
    <w:p w14:paraId="32BB73DE">
      <w:pPr>
        <w:pStyle w:val="4"/>
        <w:autoSpaceDE w:val="0"/>
        <w:autoSpaceDN w:val="0"/>
        <w:spacing w:before="0" w:after="0" w:line="360" w:lineRule="auto"/>
        <w:jc w:val="left"/>
        <w:rPr>
          <w:kern w:val="0"/>
          <w:sz w:val="24"/>
          <w:lang w:val="en-US" w:bidi="zh-CN"/>
        </w:rPr>
      </w:pPr>
      <w:r>
        <w:rPr>
          <w:rFonts w:hint="eastAsia"/>
          <w:kern w:val="0"/>
          <w:sz w:val="24"/>
          <w:lang w:val="en-US" w:bidi="zh-CN"/>
        </w:rPr>
        <w:t>4.1.2地形、地貌</w:t>
      </w:r>
    </w:p>
    <w:p w14:paraId="5C58CF9B">
      <w:pPr>
        <w:spacing w:line="360" w:lineRule="auto"/>
        <w:ind w:firstLine="480" w:firstLineChars="200"/>
        <w:rPr>
          <w:rFonts w:hint="eastAsia" w:ascii="宋体" w:hAnsi="宋体"/>
          <w:sz w:val="24"/>
        </w:rPr>
      </w:pPr>
      <w:r>
        <w:rPr>
          <w:rFonts w:hint="eastAsia" w:ascii="宋体" w:hAnsi="宋体"/>
          <w:sz w:val="24"/>
        </w:rPr>
        <w:t>库尔勒市地势北高南低，最高海拔2700m，向东逐渐过渡到1300m。北面山体宽度4-6km。山体两侧普遍发育有山前倾斜戈壁平原，宽度1.5-8km，坡度千分之二至八。西南部有群尔库姆沙漠、塔克拉玛干沙漠。除以上地区外，其它地区海拔在890m-950m之间，由孔雀河三角洲、塔里木河冲积平原以及霍拉山、库鲁克山山前冲积洪积平原组成的库尔勒绿洲平原，地形坡度由北到南由2.3‰逐渐缓至0.5‰。本项目位于距市区（库尔勒市政府）约41km，交通便利，工程区地形以平原为主，地形较为平坦，地面坡度3‰-4‰，地基承载力</w:t>
      </w:r>
      <w:r>
        <w:rPr>
          <w:rFonts w:hint="eastAsia" w:ascii="宋体" w:hAnsi="宋体"/>
          <w:sz w:val="24"/>
          <w:lang w:eastAsia="zh-CN"/>
        </w:rPr>
        <w:t>200千—500千</w:t>
      </w:r>
      <w:r>
        <w:rPr>
          <w:rFonts w:hint="eastAsia" w:ascii="宋体" w:hAnsi="宋体"/>
          <w:sz w:val="24"/>
        </w:rPr>
        <w:t>帕</w:t>
      </w:r>
      <w:r>
        <w:rPr>
          <w:rFonts w:ascii="宋体" w:hAnsi="宋体"/>
          <w:sz w:val="24"/>
        </w:rPr>
        <w:t>。</w:t>
      </w:r>
    </w:p>
    <w:p w14:paraId="562163D8">
      <w:pPr>
        <w:pStyle w:val="4"/>
        <w:autoSpaceDE w:val="0"/>
        <w:autoSpaceDN w:val="0"/>
        <w:spacing w:before="0" w:after="0" w:line="360" w:lineRule="auto"/>
        <w:jc w:val="left"/>
        <w:rPr>
          <w:kern w:val="0"/>
          <w:sz w:val="24"/>
          <w:lang w:val="en-US" w:bidi="zh-CN"/>
        </w:rPr>
      </w:pPr>
      <w:r>
        <w:rPr>
          <w:rFonts w:hint="eastAsia"/>
          <w:kern w:val="0"/>
          <w:sz w:val="24"/>
          <w:lang w:val="en-US" w:bidi="zh-CN"/>
        </w:rPr>
        <w:t xml:space="preserve">4.1.3动物、土壤与植被 </w:t>
      </w:r>
    </w:p>
    <w:p w14:paraId="5A003CF2">
      <w:pPr>
        <w:pStyle w:val="45"/>
        <w:spacing w:before="0" w:beforeAutospacing="0" w:after="0" w:afterAutospacing="0" w:line="360" w:lineRule="auto"/>
        <w:ind w:firstLine="480" w:firstLineChars="200"/>
        <w:jc w:val="both"/>
        <w:rPr>
          <w:rFonts w:ascii="sans-serif" w:hAnsi="sans-serif" w:eastAsia="sans-serif" w:cs="sans-serif"/>
          <w:szCs w:val="24"/>
          <w:shd w:val="clear" w:color="auto" w:fill="FFFFFF"/>
        </w:rPr>
      </w:pPr>
      <w:r>
        <w:rPr>
          <w:rFonts w:ascii="sans-serif" w:hAnsi="sans-serif" w:eastAsia="sans-serif" w:cs="sans-serif"/>
          <w:szCs w:val="24"/>
          <w:shd w:val="clear" w:color="auto" w:fill="FFFFFF"/>
        </w:rPr>
        <w:t>根据</w:t>
      </w:r>
      <w:r>
        <w:rPr>
          <w:rFonts w:hint="eastAsia" w:ascii="sans-serif" w:hAnsi="sans-serif" w:eastAsia="宋体" w:cs="sans-serif"/>
          <w:szCs w:val="24"/>
          <w:shd w:val="clear" w:color="auto" w:fill="FFFFFF"/>
          <w:lang w:eastAsia="zh-CN"/>
        </w:rPr>
        <w:t>现场勘查</w:t>
      </w:r>
      <w:r>
        <w:rPr>
          <w:rFonts w:ascii="sans-serif" w:hAnsi="sans-serif" w:eastAsia="sans-serif" w:cs="sans-serif"/>
          <w:szCs w:val="24"/>
          <w:shd w:val="clear" w:color="auto" w:fill="FFFFFF"/>
        </w:rPr>
        <w:t>，由于受人为活动的干扰，导致区内野生动物稀少，仅有老鼠、麻雀、黑雀、喜鹊、乌鸦和燕子等活动。</w:t>
      </w:r>
    </w:p>
    <w:p w14:paraId="562EE3D5">
      <w:pPr>
        <w:pStyle w:val="45"/>
        <w:spacing w:before="0" w:beforeAutospacing="0" w:after="0" w:afterAutospacing="0" w:line="360" w:lineRule="auto"/>
        <w:ind w:firstLine="480" w:firstLineChars="200"/>
        <w:jc w:val="both"/>
        <w:rPr>
          <w:rFonts w:ascii="sans-serif" w:hAnsi="sans-serif" w:eastAsia="sans-serif" w:cs="sans-serif"/>
          <w:szCs w:val="24"/>
          <w:shd w:val="clear" w:color="auto" w:fill="FFFFFF"/>
        </w:rPr>
      </w:pPr>
      <w:r>
        <w:rPr>
          <w:rFonts w:ascii="sans-serif" w:hAnsi="sans-serif" w:eastAsia="sans-serif" w:cs="sans-serif"/>
          <w:szCs w:val="24"/>
          <w:shd w:val="clear" w:color="auto" w:fill="FFFFFF"/>
        </w:rPr>
        <w:t>评价区土壤发育较差，类型较为简单，区域地面平坦，土地利用方式主要是疏林地、灌木林地和耕地。根据野外实地调查及新疆生物土壤沙漠研究所调查资料，评价区的土壤主要为氯化物典型盐土、半固定风沙土。</w:t>
      </w:r>
    </w:p>
    <w:p w14:paraId="5FE74D00">
      <w:pPr>
        <w:pStyle w:val="45"/>
        <w:spacing w:before="0" w:beforeAutospacing="0" w:after="0" w:afterAutospacing="0" w:line="360" w:lineRule="auto"/>
        <w:ind w:firstLine="480" w:firstLineChars="200"/>
        <w:jc w:val="both"/>
        <w:rPr>
          <w:rFonts w:hint="eastAsia" w:cs="Times New Roman"/>
          <w:snapToGrid w:val="0"/>
        </w:rPr>
      </w:pPr>
      <w:r>
        <w:rPr>
          <w:rFonts w:ascii="sans-serif" w:hAnsi="sans-serif" w:eastAsia="sans-serif" w:cs="sans-serif"/>
          <w:szCs w:val="24"/>
          <w:shd w:val="clear" w:color="auto" w:fill="FFFFFF"/>
        </w:rPr>
        <w:t>项目开发区域植被以人工植被为主，包括粮食、经济作物和人工林。粮食作物以小麦和玉米为主，经济作物以</w:t>
      </w:r>
      <w:r>
        <w:rPr>
          <w:rFonts w:hint="eastAsia" w:ascii="sans-serif" w:hAnsi="sans-serif" w:cs="sans-serif"/>
          <w:szCs w:val="24"/>
          <w:shd w:val="clear" w:color="auto" w:fill="FFFFFF"/>
        </w:rPr>
        <w:t>棉花</w:t>
      </w:r>
      <w:r>
        <w:rPr>
          <w:rFonts w:ascii="sans-serif" w:hAnsi="sans-serif" w:eastAsia="sans-serif" w:cs="sans-serif"/>
          <w:szCs w:val="24"/>
          <w:shd w:val="clear" w:color="auto" w:fill="FFFFFF"/>
        </w:rPr>
        <w:t>为主，人工林以杨树为主。在农田周围有芦苇、疏叶骆驼刺、苦豆子、花花柴等自然植物生长。评价区域没有国家及自治区级野生保护动植物分布。</w:t>
      </w:r>
    </w:p>
    <w:p w14:paraId="4781E50C">
      <w:pPr>
        <w:pStyle w:val="4"/>
        <w:autoSpaceDE w:val="0"/>
        <w:autoSpaceDN w:val="0"/>
        <w:spacing w:before="0" w:after="0" w:line="360" w:lineRule="auto"/>
        <w:jc w:val="left"/>
        <w:rPr>
          <w:kern w:val="0"/>
          <w:sz w:val="24"/>
          <w:lang w:val="en-US" w:bidi="zh-CN"/>
        </w:rPr>
      </w:pPr>
      <w:r>
        <w:rPr>
          <w:rFonts w:hint="eastAsia"/>
          <w:kern w:val="0"/>
          <w:sz w:val="24"/>
          <w:lang w:val="en-US" w:bidi="zh-CN"/>
        </w:rPr>
        <w:t>4.1.4气候与气象特征</w:t>
      </w:r>
    </w:p>
    <w:p w14:paraId="5D3CD45A">
      <w:pPr>
        <w:wordWrap w:val="0"/>
        <w:topLinePunct/>
        <w:spacing w:line="360" w:lineRule="auto"/>
        <w:ind w:firstLine="480" w:firstLineChars="200"/>
        <w:rPr>
          <w:rFonts w:hint="eastAsia" w:ascii="宋体" w:hAnsi="宋体"/>
          <w:bCs/>
          <w:kern w:val="0"/>
          <w:sz w:val="24"/>
          <w:lang w:val="zh-CN"/>
        </w:rPr>
      </w:pPr>
      <w:r>
        <w:rPr>
          <w:rFonts w:hint="eastAsia" w:ascii="宋体" w:hAnsi="宋体"/>
          <w:kern w:val="0"/>
          <w:sz w:val="24"/>
        </w:rPr>
        <w:t>库尔勒市地处亚欧大陆腹心地带，位于世界第二大沙漠—塔里木盆地塔克拉玛干沙漠东北边缘，属暖温带大陆性干燥气候。光照资源和热量资源比较丰富，冷热悬殊，降水稀少，蒸发强烈，空气干燥，大风较多，春季升温快而不稳，常有冷空气入侵，风多风大；夏季受南部高压及北部副热带风的影响，降水比较集中，占年降水量的</w:t>
      </w:r>
      <w:r>
        <w:rPr>
          <w:rFonts w:hint="eastAsia" w:ascii="宋体" w:hAnsi="宋体"/>
          <w:kern w:val="0"/>
          <w:sz w:val="24"/>
          <w:lang w:eastAsia="zh-CN"/>
        </w:rPr>
        <w:t>50%—60%</w:t>
      </w:r>
      <w:r>
        <w:rPr>
          <w:rFonts w:hint="eastAsia" w:ascii="宋体" w:hAnsi="宋体"/>
          <w:kern w:val="0"/>
          <w:sz w:val="24"/>
        </w:rPr>
        <w:t>；秋季天高气爽，降雨骤减，降温迅速，季节短；冬季受蒙古冷高压控制，山区严寒，稳定积雪少。年平均气温为11.8°C，最热月平均气温为32.5°C，最冷月平均气温为-6.3°C；年平均降雨量为71.9mm，最大降雨量为101.0mm；年平均蒸发量为2540.3mm；平均风速2.3m/s。</w:t>
      </w:r>
    </w:p>
    <w:p w14:paraId="01AB561E">
      <w:pPr>
        <w:pStyle w:val="4"/>
        <w:autoSpaceDE w:val="0"/>
        <w:autoSpaceDN w:val="0"/>
        <w:spacing w:before="0" w:after="0" w:line="360" w:lineRule="auto"/>
        <w:jc w:val="left"/>
        <w:rPr>
          <w:kern w:val="0"/>
          <w:sz w:val="24"/>
          <w:lang w:val="en-US" w:bidi="zh-CN"/>
        </w:rPr>
      </w:pPr>
      <w:r>
        <w:rPr>
          <w:rFonts w:hint="eastAsia"/>
          <w:kern w:val="0"/>
          <w:sz w:val="24"/>
          <w:lang w:val="en-US" w:bidi="zh-CN"/>
        </w:rPr>
        <w:t>4.1.5水文及水文地质</w:t>
      </w:r>
    </w:p>
    <w:p w14:paraId="25137313">
      <w:pPr>
        <w:spacing w:line="360" w:lineRule="auto"/>
        <w:ind w:firstLine="482" w:firstLineChars="200"/>
        <w:rPr>
          <w:b/>
          <w:bCs/>
          <w:sz w:val="24"/>
          <w:szCs w:val="24"/>
        </w:rPr>
      </w:pPr>
      <w:bookmarkStart w:id="215" w:name="_Toc332727836"/>
      <w:bookmarkStart w:id="216" w:name="_Toc327921180"/>
      <w:bookmarkStart w:id="217" w:name="_Toc314144912"/>
      <w:bookmarkStart w:id="218" w:name="_Toc314145630"/>
      <w:bookmarkStart w:id="219" w:name="_Toc320786823"/>
      <w:bookmarkStart w:id="220" w:name="_Toc363049967"/>
      <w:r>
        <w:rPr>
          <w:rFonts w:hint="eastAsia"/>
          <w:b/>
          <w:bCs/>
          <w:sz w:val="24"/>
          <w:szCs w:val="24"/>
        </w:rPr>
        <w:t>1、水文</w:t>
      </w:r>
    </w:p>
    <w:p w14:paraId="76325FE4">
      <w:pPr>
        <w:spacing w:line="360" w:lineRule="auto"/>
        <w:ind w:firstLine="480" w:firstLineChars="200"/>
        <w:rPr>
          <w:sz w:val="24"/>
          <w:szCs w:val="24"/>
        </w:rPr>
      </w:pPr>
      <w:r>
        <w:rPr>
          <w:rFonts w:hint="eastAsia"/>
          <w:sz w:val="24"/>
          <w:szCs w:val="24"/>
        </w:rPr>
        <w:t>库尔勒市地表径流包括孔雀河和塔里木河2条过境河流及4条自产流地表水，目前可利用的只有孔雀河和发源于天山水系的库尔楚河。</w:t>
      </w:r>
    </w:p>
    <w:p w14:paraId="0595A352">
      <w:pPr>
        <w:spacing w:line="360" w:lineRule="auto"/>
        <w:ind w:firstLine="480" w:firstLineChars="200"/>
        <w:rPr>
          <w:sz w:val="24"/>
          <w:szCs w:val="24"/>
        </w:rPr>
      </w:pPr>
      <w:r>
        <w:rPr>
          <w:rFonts w:hint="eastAsia"/>
          <w:sz w:val="24"/>
          <w:szCs w:val="24"/>
        </w:rPr>
        <w:t>（1）过境河流</w:t>
      </w:r>
    </w:p>
    <w:p w14:paraId="58A72D12">
      <w:pPr>
        <w:spacing w:line="360" w:lineRule="auto"/>
        <w:ind w:firstLine="480" w:firstLineChars="200"/>
        <w:rPr>
          <w:sz w:val="24"/>
          <w:szCs w:val="24"/>
        </w:rPr>
      </w:pPr>
      <w:r>
        <w:rPr>
          <w:rFonts w:hint="eastAsia"/>
          <w:sz w:val="24"/>
          <w:szCs w:val="24"/>
        </w:rPr>
        <w:t>①</w:t>
      </w:r>
      <w:r>
        <w:rPr>
          <w:rFonts w:hint="eastAsia"/>
          <w:sz w:val="24"/>
          <w:szCs w:val="24"/>
          <w:lang w:eastAsia="zh-CN"/>
        </w:rPr>
        <w:t>孔雀河</w:t>
      </w:r>
      <w:r>
        <w:rPr>
          <w:rFonts w:hint="eastAsia"/>
          <w:sz w:val="24"/>
          <w:szCs w:val="24"/>
        </w:rPr>
        <w:t>是库尔勒市唯一持续的地表水源，也是库尔勒市的母亲河。孔雀河源自博斯腾湖，穿过阿克塔格山的铁门关峡谷，经库尔勒市区，向西经和什力克、普惠折向东南，最后向东蜿蜒曲折，经塔里木盆地东北部注入罗布泊，全长785km，但近百年来因受人为影响，河流下泄水量的减少，河道短缩300km，河道在市境长271km，其中市平原区长205.37km。</w:t>
      </w:r>
    </w:p>
    <w:p w14:paraId="2078F2CB">
      <w:pPr>
        <w:spacing w:line="360" w:lineRule="auto"/>
        <w:ind w:firstLine="480" w:firstLineChars="200"/>
        <w:rPr>
          <w:sz w:val="24"/>
          <w:szCs w:val="24"/>
        </w:rPr>
      </w:pPr>
      <w:r>
        <w:rPr>
          <w:rFonts w:hint="eastAsia"/>
          <w:sz w:val="24"/>
          <w:szCs w:val="24"/>
        </w:rPr>
        <w:t>②</w:t>
      </w:r>
      <w:r>
        <w:rPr>
          <w:rFonts w:hint="eastAsia"/>
          <w:sz w:val="24"/>
          <w:szCs w:val="24"/>
          <w:lang w:eastAsia="zh-CN"/>
        </w:rPr>
        <w:t>塔里木河</w:t>
      </w:r>
      <w:r>
        <w:rPr>
          <w:rFonts w:hint="eastAsia"/>
          <w:sz w:val="24"/>
          <w:szCs w:val="24"/>
        </w:rPr>
        <w:t>是我国最大的内陆河，其中游由西而东从库尔勒市境南侧流过。据《塔里木河工程与非工程措施五年实施方案》，英巴扎站的多年平均径流量为28.76亿m</w:t>
      </w:r>
      <w:r>
        <w:rPr>
          <w:rFonts w:hint="eastAsia"/>
          <w:sz w:val="24"/>
          <w:szCs w:val="24"/>
          <w:vertAlign w:val="superscript"/>
        </w:rPr>
        <w:t>3</w:t>
      </w:r>
      <w:r>
        <w:rPr>
          <w:rFonts w:hint="eastAsia"/>
          <w:sz w:val="24"/>
          <w:szCs w:val="24"/>
        </w:rPr>
        <w:t>。库尔勒市普惠一带有1万亩耕地从中引水灌溉，还有40万亩生态植被依靠其漫溢洪水维持生命。自80年代之后，下游水量锐减，现主要作为生态用水，近几年，每年引水</w:t>
      </w:r>
      <w:r>
        <w:rPr>
          <w:rFonts w:hint="eastAsia"/>
          <w:sz w:val="24"/>
          <w:szCs w:val="24"/>
          <w:lang w:eastAsia="zh-CN"/>
        </w:rPr>
        <w:t>3000万～4000万</w:t>
      </w:r>
      <w:r>
        <w:rPr>
          <w:rFonts w:hint="eastAsia"/>
          <w:sz w:val="24"/>
          <w:szCs w:val="24"/>
        </w:rPr>
        <w:t>m</w:t>
      </w:r>
      <w:r>
        <w:rPr>
          <w:rFonts w:hint="eastAsia"/>
          <w:sz w:val="24"/>
          <w:szCs w:val="24"/>
          <w:vertAlign w:val="superscript"/>
        </w:rPr>
        <w:t>3</w:t>
      </w:r>
      <w:r>
        <w:rPr>
          <w:rFonts w:hint="eastAsia"/>
          <w:sz w:val="24"/>
          <w:szCs w:val="24"/>
        </w:rPr>
        <w:t>，占塔里木河总水量的1％左右。</w:t>
      </w:r>
    </w:p>
    <w:p w14:paraId="5B0714C2">
      <w:pPr>
        <w:spacing w:line="360" w:lineRule="auto"/>
        <w:ind w:firstLine="480" w:firstLineChars="200"/>
        <w:rPr>
          <w:sz w:val="24"/>
          <w:szCs w:val="24"/>
        </w:rPr>
      </w:pPr>
      <w:r>
        <w:rPr>
          <w:rFonts w:hint="eastAsia"/>
          <w:sz w:val="24"/>
          <w:szCs w:val="24"/>
        </w:rPr>
        <w:t>（2）产流地表水</w:t>
      </w:r>
    </w:p>
    <w:p w14:paraId="39B44D77">
      <w:pPr>
        <w:spacing w:line="360" w:lineRule="auto"/>
        <w:ind w:firstLine="480" w:firstLineChars="200"/>
        <w:rPr>
          <w:sz w:val="24"/>
          <w:szCs w:val="24"/>
        </w:rPr>
      </w:pPr>
      <w:r>
        <w:rPr>
          <w:rFonts w:hint="eastAsia"/>
          <w:sz w:val="24"/>
          <w:szCs w:val="24"/>
        </w:rPr>
        <w:t>①</w:t>
      </w:r>
      <w:r>
        <w:rPr>
          <w:rFonts w:hint="eastAsia"/>
          <w:sz w:val="24"/>
          <w:szCs w:val="24"/>
          <w:lang w:eastAsia="zh-CN"/>
        </w:rPr>
        <w:t>库尔楚河</w:t>
      </w:r>
      <w:r>
        <w:rPr>
          <w:rFonts w:hint="eastAsia"/>
          <w:sz w:val="24"/>
          <w:szCs w:val="24"/>
        </w:rPr>
        <w:t>（麻扎沟）源于库尔楚以北霍拉山南坡的中低山带。主要由中山带的常年降水、融雪水、低山带暴雨以及泉水的补给而形成。集水面积361km</w:t>
      </w:r>
      <w:r>
        <w:rPr>
          <w:rFonts w:hint="eastAsia"/>
          <w:sz w:val="24"/>
          <w:szCs w:val="24"/>
          <w:vertAlign w:val="superscript"/>
        </w:rPr>
        <w:t>2</w:t>
      </w:r>
      <w:r>
        <w:rPr>
          <w:rFonts w:hint="eastAsia"/>
          <w:sz w:val="24"/>
          <w:szCs w:val="24"/>
        </w:rPr>
        <w:t>，河长47.2km；巴州水文水资源勘测队测得多年平均径流量为3143.74万m</w:t>
      </w:r>
      <w:r>
        <w:rPr>
          <w:rFonts w:hint="eastAsia"/>
          <w:sz w:val="24"/>
          <w:szCs w:val="24"/>
          <w:vertAlign w:val="superscript"/>
        </w:rPr>
        <w:t>3</w:t>
      </w:r>
      <w:r>
        <w:rPr>
          <w:rFonts w:hint="eastAsia"/>
          <w:sz w:val="24"/>
          <w:szCs w:val="24"/>
        </w:rPr>
        <w:t>（巴州水文水资源勘测大队，1991年），其最大流量65m</w:t>
      </w:r>
      <w:r>
        <w:rPr>
          <w:rFonts w:hint="eastAsia"/>
          <w:sz w:val="24"/>
          <w:szCs w:val="24"/>
          <w:vertAlign w:val="superscript"/>
        </w:rPr>
        <w:t>3</w:t>
      </w:r>
      <w:r>
        <w:rPr>
          <w:rFonts w:hint="eastAsia"/>
          <w:sz w:val="24"/>
          <w:szCs w:val="24"/>
        </w:rPr>
        <w:t>/s、最小流量0.12m</w:t>
      </w:r>
      <w:r>
        <w:rPr>
          <w:rFonts w:hint="eastAsia"/>
          <w:sz w:val="24"/>
          <w:szCs w:val="24"/>
          <w:vertAlign w:val="superscript"/>
        </w:rPr>
        <w:t>3</w:t>
      </w:r>
      <w:r>
        <w:rPr>
          <w:rFonts w:hint="eastAsia"/>
          <w:sz w:val="24"/>
          <w:szCs w:val="24"/>
        </w:rPr>
        <w:t>/s，最大洪峰流量423m</w:t>
      </w:r>
      <w:r>
        <w:rPr>
          <w:rFonts w:hint="eastAsia"/>
          <w:sz w:val="24"/>
          <w:szCs w:val="24"/>
          <w:vertAlign w:val="superscript"/>
        </w:rPr>
        <w:t>3</w:t>
      </w:r>
      <w:r>
        <w:rPr>
          <w:rFonts w:hint="eastAsia"/>
          <w:sz w:val="24"/>
          <w:szCs w:val="24"/>
        </w:rPr>
        <w:t>/s（1989年6月）。②</w:t>
      </w:r>
      <w:r>
        <w:rPr>
          <w:rFonts w:hint="eastAsia"/>
          <w:sz w:val="24"/>
          <w:szCs w:val="24"/>
          <w:lang w:eastAsia="zh-CN"/>
        </w:rPr>
        <w:t>哈满沟</w:t>
      </w:r>
      <w:r>
        <w:rPr>
          <w:rFonts w:hint="eastAsia"/>
          <w:sz w:val="24"/>
          <w:szCs w:val="24"/>
        </w:rPr>
        <w:t>集水面积283km</w:t>
      </w:r>
      <w:r>
        <w:rPr>
          <w:rFonts w:hint="eastAsia"/>
          <w:sz w:val="24"/>
          <w:szCs w:val="24"/>
          <w:vertAlign w:val="superscript"/>
        </w:rPr>
        <w:t>2</w:t>
      </w:r>
      <w:r>
        <w:rPr>
          <w:rFonts w:hint="eastAsia"/>
          <w:sz w:val="24"/>
          <w:szCs w:val="24"/>
        </w:rPr>
        <w:t>，河长34.8km，平时无水，在集水面上降暴雨时，形成洪流汇入孔雀河，是孔雀河洪水的主要来源，多年平均年汇入孔雀河的洪水约453万m</w:t>
      </w:r>
      <w:r>
        <w:rPr>
          <w:rFonts w:hint="eastAsia"/>
          <w:sz w:val="24"/>
          <w:szCs w:val="24"/>
          <w:vertAlign w:val="superscript"/>
        </w:rPr>
        <w:t>3</w:t>
      </w:r>
      <w:r>
        <w:rPr>
          <w:rFonts w:hint="eastAsia"/>
          <w:sz w:val="24"/>
          <w:szCs w:val="24"/>
        </w:rPr>
        <w:t>。每年7~8月发生洪水1~2次，根据水文分析，暴雨洪峰流量P=0.02时为250m</w:t>
      </w:r>
      <w:r>
        <w:rPr>
          <w:rFonts w:hint="eastAsia"/>
          <w:sz w:val="24"/>
          <w:szCs w:val="24"/>
          <w:vertAlign w:val="superscript"/>
        </w:rPr>
        <w:t>3</w:t>
      </w:r>
      <w:r>
        <w:rPr>
          <w:rFonts w:hint="eastAsia"/>
          <w:sz w:val="24"/>
          <w:szCs w:val="24"/>
        </w:rPr>
        <w:t>/s，P=0.01时为290m</w:t>
      </w:r>
      <w:r>
        <w:rPr>
          <w:rFonts w:hint="eastAsia"/>
          <w:sz w:val="24"/>
          <w:szCs w:val="24"/>
          <w:vertAlign w:val="superscript"/>
        </w:rPr>
        <w:t>3</w:t>
      </w:r>
      <w:r>
        <w:rPr>
          <w:rFonts w:hint="eastAsia"/>
          <w:sz w:val="24"/>
          <w:szCs w:val="24"/>
        </w:rPr>
        <w:t>/s，多年平均年径流量约290万m</w:t>
      </w:r>
      <w:r>
        <w:rPr>
          <w:rFonts w:hint="eastAsia"/>
          <w:sz w:val="24"/>
          <w:szCs w:val="24"/>
          <w:vertAlign w:val="superscript"/>
        </w:rPr>
        <w:t>3</w:t>
      </w:r>
      <w:r>
        <w:rPr>
          <w:rFonts w:hint="eastAsia"/>
          <w:sz w:val="24"/>
          <w:szCs w:val="24"/>
        </w:rPr>
        <w:t>。</w:t>
      </w:r>
    </w:p>
    <w:p w14:paraId="550C92CA">
      <w:pPr>
        <w:spacing w:line="360" w:lineRule="auto"/>
        <w:ind w:firstLine="480" w:firstLineChars="200"/>
        <w:rPr>
          <w:sz w:val="24"/>
          <w:szCs w:val="24"/>
        </w:rPr>
      </w:pPr>
      <w:r>
        <w:rPr>
          <w:rFonts w:hint="eastAsia"/>
          <w:sz w:val="24"/>
          <w:szCs w:val="24"/>
        </w:rPr>
        <w:t>③撒特曼库鲁尔沟位于铁门关山口以西，库尔勒市的正北方。由霍拉山南坡低中山带的洪流形成。常年无水，山里降暴雨时形成洪流，每年一度的夏洪很集中，有痕迹根据的洪峰曾达到43.1m</w:t>
      </w:r>
      <w:r>
        <w:rPr>
          <w:rFonts w:hint="eastAsia"/>
          <w:sz w:val="24"/>
          <w:szCs w:val="24"/>
          <w:vertAlign w:val="superscript"/>
        </w:rPr>
        <w:t>3</w:t>
      </w:r>
      <w:r>
        <w:rPr>
          <w:rFonts w:hint="eastAsia"/>
          <w:sz w:val="24"/>
          <w:szCs w:val="24"/>
        </w:rPr>
        <w:t>/s，历时短，约2~5h，年径流量约为60万m</w:t>
      </w:r>
      <w:r>
        <w:rPr>
          <w:rFonts w:hint="eastAsia"/>
          <w:sz w:val="24"/>
          <w:szCs w:val="24"/>
          <w:vertAlign w:val="superscript"/>
        </w:rPr>
        <w:t>3</w:t>
      </w:r>
      <w:r>
        <w:rPr>
          <w:rFonts w:hint="eastAsia"/>
          <w:sz w:val="24"/>
          <w:szCs w:val="24"/>
        </w:rPr>
        <w:t>，其洪水对城市危害较大。</w:t>
      </w:r>
    </w:p>
    <w:p w14:paraId="5E6830F0">
      <w:pPr>
        <w:spacing w:line="360" w:lineRule="auto"/>
        <w:ind w:firstLine="480" w:firstLineChars="200"/>
        <w:rPr>
          <w:sz w:val="24"/>
          <w:szCs w:val="24"/>
        </w:rPr>
      </w:pPr>
      <w:r>
        <w:rPr>
          <w:rFonts w:hint="eastAsia"/>
          <w:sz w:val="24"/>
          <w:szCs w:val="24"/>
        </w:rPr>
        <w:t>④五龙沟位于库尔楚河以西15km处，五龙沟是山涧季节性溪流，洪水期水量较大，洪峰可达100m</w:t>
      </w:r>
      <w:r>
        <w:rPr>
          <w:rFonts w:hint="eastAsia"/>
          <w:sz w:val="24"/>
          <w:szCs w:val="24"/>
          <w:vertAlign w:val="superscript"/>
        </w:rPr>
        <w:t>3</w:t>
      </w:r>
      <w:r>
        <w:rPr>
          <w:rFonts w:hint="eastAsia"/>
          <w:sz w:val="24"/>
          <w:szCs w:val="24"/>
        </w:rPr>
        <w:t>/s，平时只有细小水流，流至山口处已渗尽，年径流量约270万m</w:t>
      </w:r>
      <w:r>
        <w:rPr>
          <w:rFonts w:hint="eastAsia"/>
          <w:sz w:val="24"/>
          <w:szCs w:val="24"/>
          <w:vertAlign w:val="superscript"/>
        </w:rPr>
        <w:t>3</w:t>
      </w:r>
      <w:r>
        <w:rPr>
          <w:rFonts w:hint="eastAsia"/>
          <w:sz w:val="24"/>
          <w:szCs w:val="24"/>
        </w:rPr>
        <w:t>，此水尚未利用。以上自产流河沟合计年径流量近4000万m</w:t>
      </w:r>
      <w:r>
        <w:rPr>
          <w:rFonts w:hint="eastAsia"/>
          <w:sz w:val="24"/>
          <w:szCs w:val="24"/>
          <w:vertAlign w:val="superscript"/>
        </w:rPr>
        <w:t>3</w:t>
      </w:r>
      <w:r>
        <w:rPr>
          <w:rFonts w:hint="eastAsia"/>
          <w:sz w:val="24"/>
          <w:szCs w:val="24"/>
        </w:rPr>
        <w:t>，可利用量为1200万m</w:t>
      </w:r>
      <w:r>
        <w:rPr>
          <w:rFonts w:hint="eastAsia"/>
          <w:sz w:val="24"/>
          <w:szCs w:val="24"/>
          <w:vertAlign w:val="superscript"/>
        </w:rPr>
        <w:t>3</w:t>
      </w:r>
      <w:r>
        <w:rPr>
          <w:rFonts w:hint="eastAsia"/>
          <w:sz w:val="24"/>
          <w:szCs w:val="24"/>
        </w:rPr>
        <w:t>，只有库尔楚河已开发利用。</w:t>
      </w:r>
    </w:p>
    <w:p w14:paraId="5E2A540F">
      <w:pPr>
        <w:spacing w:line="360" w:lineRule="auto"/>
        <w:ind w:firstLine="480" w:firstLineChars="200"/>
        <w:rPr>
          <w:sz w:val="24"/>
          <w:szCs w:val="24"/>
        </w:rPr>
      </w:pPr>
      <w:r>
        <w:rPr>
          <w:rFonts w:hint="eastAsia"/>
          <w:sz w:val="24"/>
          <w:szCs w:val="24"/>
        </w:rPr>
        <w:t>（3）地下水赋存与含水岩组的富水性</w:t>
      </w:r>
    </w:p>
    <w:p w14:paraId="18E79A5E">
      <w:pPr>
        <w:spacing w:line="360" w:lineRule="auto"/>
        <w:ind w:firstLine="480" w:firstLineChars="200"/>
        <w:rPr>
          <w:sz w:val="24"/>
          <w:szCs w:val="24"/>
        </w:rPr>
      </w:pPr>
      <w:r>
        <w:rPr>
          <w:rFonts w:hint="eastAsia"/>
          <w:sz w:val="24"/>
          <w:szCs w:val="24"/>
        </w:rPr>
        <w:t>①潜水水量丰富区（1000~3000m</w:t>
      </w:r>
      <w:r>
        <w:rPr>
          <w:rFonts w:hint="eastAsia"/>
          <w:sz w:val="24"/>
          <w:szCs w:val="24"/>
          <w:vertAlign w:val="superscript"/>
        </w:rPr>
        <w:t>3</w:t>
      </w:r>
      <w:r>
        <w:rPr>
          <w:rFonts w:hint="eastAsia"/>
          <w:sz w:val="24"/>
          <w:szCs w:val="24"/>
        </w:rPr>
        <w:t>/d）潜水水量丰富区位于孔雀河分水闸地区及以西的上户地段，含水层为单一的卵砾石，厚50~70m，由孔雀河水、渠系水入渗补给，渗透性好，渗透系数（k）可达30~50m/d，潜水埋深5~12m，含水层富水性好，单井涌水量可达1000~3000m</w:t>
      </w:r>
      <w:r>
        <w:rPr>
          <w:rFonts w:hint="eastAsia"/>
          <w:sz w:val="24"/>
          <w:szCs w:val="24"/>
          <w:vertAlign w:val="superscript"/>
        </w:rPr>
        <w:t>3</w:t>
      </w:r>
      <w:r>
        <w:rPr>
          <w:rFonts w:hint="eastAsia"/>
          <w:sz w:val="24"/>
          <w:szCs w:val="24"/>
        </w:rPr>
        <w:t>/d，水质较好，矿化度为0.5~1g/L，属于HCO</w:t>
      </w:r>
      <w:r>
        <w:rPr>
          <w:rFonts w:hint="eastAsia"/>
          <w:sz w:val="24"/>
          <w:szCs w:val="24"/>
          <w:vertAlign w:val="subscript"/>
        </w:rPr>
        <w:t>3</w:t>
      </w:r>
      <w:r>
        <w:rPr>
          <w:rFonts w:hint="eastAsia"/>
          <w:sz w:val="24"/>
          <w:szCs w:val="24"/>
        </w:rPr>
        <w:t>·SO</w:t>
      </w:r>
      <w:r>
        <w:rPr>
          <w:rFonts w:hint="eastAsia"/>
          <w:sz w:val="24"/>
          <w:szCs w:val="24"/>
          <w:vertAlign w:val="subscript"/>
        </w:rPr>
        <w:t>4</w:t>
      </w:r>
      <w:r>
        <w:rPr>
          <w:rFonts w:hint="eastAsia"/>
          <w:sz w:val="24"/>
          <w:szCs w:val="24"/>
        </w:rPr>
        <w:t>·C1-Na·Ca·Mg型的多元混合水。</w:t>
      </w:r>
    </w:p>
    <w:p w14:paraId="0819D69A">
      <w:pPr>
        <w:spacing w:line="360" w:lineRule="auto"/>
        <w:ind w:firstLine="480" w:firstLineChars="200"/>
        <w:rPr>
          <w:sz w:val="24"/>
          <w:szCs w:val="24"/>
        </w:rPr>
      </w:pPr>
      <w:r>
        <w:rPr>
          <w:rFonts w:hint="eastAsia"/>
          <w:sz w:val="24"/>
          <w:szCs w:val="24"/>
        </w:rPr>
        <w:t>②潜水与承压水水量丰富区（1000~3000m</w:t>
      </w:r>
      <w:r>
        <w:rPr>
          <w:rFonts w:hint="eastAsia"/>
          <w:sz w:val="24"/>
          <w:szCs w:val="24"/>
          <w:vertAlign w:val="superscript"/>
        </w:rPr>
        <w:t>3</w:t>
      </w:r>
      <w:r>
        <w:rPr>
          <w:rFonts w:hint="eastAsia"/>
          <w:sz w:val="24"/>
          <w:szCs w:val="24"/>
        </w:rPr>
        <w:t>/d）潜水与承压水水量丰富区分布于铁克其、托布里其及兰干地区。含水层在规划深度内基本为二元结构，地下水以潜水和承压水两种形式赋存。</w:t>
      </w:r>
    </w:p>
    <w:p w14:paraId="624A8C3D">
      <w:pPr>
        <w:spacing w:line="360" w:lineRule="auto"/>
        <w:ind w:firstLine="480" w:firstLineChars="200"/>
        <w:rPr>
          <w:sz w:val="24"/>
          <w:szCs w:val="24"/>
        </w:rPr>
      </w:pPr>
      <w:r>
        <w:rPr>
          <w:rFonts w:hint="eastAsia"/>
          <w:sz w:val="24"/>
          <w:szCs w:val="24"/>
        </w:rPr>
        <w:t>潜水：含水层</w:t>
      </w:r>
      <w:r>
        <w:rPr>
          <w:rFonts w:hint="eastAsia"/>
          <w:sz w:val="24"/>
          <w:szCs w:val="24"/>
          <w:lang w:eastAsia="zh-CN"/>
        </w:rPr>
        <w:t>基本</w:t>
      </w:r>
      <w:r>
        <w:rPr>
          <w:rFonts w:hint="eastAsia"/>
          <w:sz w:val="24"/>
          <w:szCs w:val="24"/>
        </w:rPr>
        <w:t>为上更新统的砂砾石夹中细砂或卵砾石，厚30~75m。潜水埋深1~3.5m，水质尚好，多为HCO</w:t>
      </w:r>
      <w:r>
        <w:rPr>
          <w:rFonts w:hint="eastAsia"/>
          <w:sz w:val="24"/>
          <w:szCs w:val="24"/>
          <w:vertAlign w:val="subscript"/>
        </w:rPr>
        <w:t>3</w:t>
      </w:r>
      <w:r>
        <w:rPr>
          <w:rFonts w:hint="eastAsia"/>
          <w:sz w:val="24"/>
          <w:szCs w:val="24"/>
        </w:rPr>
        <w:t>·SO</w:t>
      </w:r>
      <w:r>
        <w:rPr>
          <w:rFonts w:hint="eastAsia"/>
          <w:sz w:val="24"/>
          <w:szCs w:val="24"/>
          <w:vertAlign w:val="subscript"/>
        </w:rPr>
        <w:t>4</w:t>
      </w:r>
      <w:r>
        <w:rPr>
          <w:rFonts w:hint="eastAsia"/>
          <w:sz w:val="24"/>
          <w:szCs w:val="24"/>
        </w:rPr>
        <w:t>-Na·Ca型水，并亦有HCO</w:t>
      </w:r>
      <w:r>
        <w:rPr>
          <w:rFonts w:hint="eastAsia"/>
          <w:sz w:val="24"/>
          <w:szCs w:val="24"/>
          <w:vertAlign w:val="subscript"/>
        </w:rPr>
        <w:t>3</w:t>
      </w:r>
      <w:r>
        <w:rPr>
          <w:rFonts w:hint="eastAsia"/>
          <w:sz w:val="24"/>
          <w:szCs w:val="24"/>
        </w:rPr>
        <w:t>·SO</w:t>
      </w:r>
      <w:r>
        <w:rPr>
          <w:rFonts w:hint="eastAsia"/>
          <w:sz w:val="24"/>
          <w:szCs w:val="24"/>
          <w:vertAlign w:val="subscript"/>
        </w:rPr>
        <w:t>4</w:t>
      </w:r>
      <w:r>
        <w:rPr>
          <w:rFonts w:hint="eastAsia"/>
          <w:sz w:val="24"/>
          <w:szCs w:val="24"/>
        </w:rPr>
        <w:t>-Na·Ca·Mg的混合型多元水存在，矿化度＜1g/L，</w:t>
      </w:r>
      <w:r>
        <w:rPr>
          <w:rFonts w:hint="eastAsia"/>
          <w:sz w:val="24"/>
          <w:szCs w:val="24"/>
          <w:lang w:eastAsia="zh-CN"/>
        </w:rPr>
        <w:t>单位涌水量</w:t>
      </w:r>
      <w:r>
        <w:rPr>
          <w:rFonts w:hint="eastAsia"/>
          <w:sz w:val="24"/>
          <w:szCs w:val="24"/>
        </w:rPr>
        <w:t>一般都在1000~3000m</w:t>
      </w:r>
      <w:r>
        <w:rPr>
          <w:rFonts w:hint="eastAsia"/>
          <w:sz w:val="24"/>
          <w:szCs w:val="24"/>
          <w:vertAlign w:val="superscript"/>
        </w:rPr>
        <w:t>3</w:t>
      </w:r>
      <w:r>
        <w:rPr>
          <w:rFonts w:hint="eastAsia"/>
          <w:sz w:val="24"/>
          <w:szCs w:val="24"/>
        </w:rPr>
        <w:t>/d，最大可达到3205m</w:t>
      </w:r>
      <w:r>
        <w:rPr>
          <w:rFonts w:hint="eastAsia"/>
          <w:sz w:val="24"/>
          <w:szCs w:val="24"/>
          <w:vertAlign w:val="superscript"/>
        </w:rPr>
        <w:t>3</w:t>
      </w:r>
      <w:r>
        <w:rPr>
          <w:rFonts w:hint="eastAsia"/>
          <w:sz w:val="24"/>
          <w:szCs w:val="24"/>
        </w:rPr>
        <w:t>/d。</w:t>
      </w:r>
    </w:p>
    <w:p w14:paraId="60F2E623">
      <w:pPr>
        <w:spacing w:line="360" w:lineRule="auto"/>
        <w:ind w:firstLine="480" w:firstLineChars="200"/>
        <w:rPr>
          <w:sz w:val="24"/>
          <w:szCs w:val="24"/>
        </w:rPr>
      </w:pPr>
      <w:r>
        <w:rPr>
          <w:rFonts w:hint="eastAsia"/>
          <w:sz w:val="24"/>
          <w:szCs w:val="24"/>
        </w:rPr>
        <w:t>承压水：顶板埋深</w:t>
      </w:r>
      <w:r>
        <w:rPr>
          <w:rFonts w:hint="eastAsia"/>
          <w:sz w:val="24"/>
          <w:szCs w:val="24"/>
          <w:lang w:eastAsia="zh-CN"/>
        </w:rPr>
        <w:t>基本</w:t>
      </w:r>
      <w:r>
        <w:rPr>
          <w:rFonts w:hint="eastAsia"/>
          <w:sz w:val="24"/>
          <w:szCs w:val="24"/>
        </w:rPr>
        <w:t>＜50m，</w:t>
      </w:r>
      <w:r>
        <w:rPr>
          <w:rFonts w:hint="eastAsia"/>
          <w:sz w:val="24"/>
          <w:szCs w:val="24"/>
          <w:lang w:eastAsia="zh-CN"/>
        </w:rPr>
        <w:t>含水层系</w:t>
      </w:r>
      <w:r>
        <w:rPr>
          <w:rFonts w:hint="eastAsia"/>
          <w:sz w:val="24"/>
          <w:szCs w:val="24"/>
        </w:rPr>
        <w:t>亦基本为上更新统的砂砾石夹中细砂，但比潜水含水层的岩性要稍细一些，厚20~100m不等。同时，单</w:t>
      </w:r>
      <w:r>
        <w:rPr>
          <w:rFonts w:hint="eastAsia"/>
          <w:sz w:val="24"/>
          <w:szCs w:val="24"/>
          <w:lang w:eastAsia="zh-CN"/>
        </w:rPr>
        <w:t>井涌水量</w:t>
      </w:r>
      <w:r>
        <w:rPr>
          <w:rFonts w:hint="eastAsia"/>
          <w:sz w:val="24"/>
          <w:szCs w:val="24"/>
        </w:rPr>
        <w:t>亦基本为1000~3000m</w:t>
      </w:r>
      <w:r>
        <w:rPr>
          <w:rFonts w:hint="eastAsia"/>
          <w:sz w:val="24"/>
          <w:szCs w:val="24"/>
          <w:vertAlign w:val="superscript"/>
        </w:rPr>
        <w:t>3</w:t>
      </w:r>
      <w:r>
        <w:rPr>
          <w:rFonts w:hint="eastAsia"/>
          <w:sz w:val="24"/>
          <w:szCs w:val="24"/>
        </w:rPr>
        <w:t>/d，但亦比其潜水单井涌水量稍低一些。水质却比其潜水水质稍佳，为矿化度基本＜0.5g/L的HCO</w:t>
      </w:r>
      <w:r>
        <w:rPr>
          <w:rFonts w:hint="eastAsia"/>
          <w:sz w:val="24"/>
          <w:szCs w:val="24"/>
          <w:vertAlign w:val="subscript"/>
        </w:rPr>
        <w:t>3</w:t>
      </w:r>
      <w:r>
        <w:rPr>
          <w:rFonts w:hint="eastAsia"/>
          <w:sz w:val="24"/>
          <w:szCs w:val="24"/>
        </w:rPr>
        <w:t>-Ca·Mg型或HCO</w:t>
      </w:r>
      <w:r>
        <w:rPr>
          <w:rFonts w:hint="eastAsia"/>
          <w:sz w:val="24"/>
          <w:szCs w:val="24"/>
          <w:vertAlign w:val="subscript"/>
        </w:rPr>
        <w:t>3</w:t>
      </w:r>
      <w:r>
        <w:rPr>
          <w:rFonts w:hint="eastAsia"/>
          <w:sz w:val="24"/>
          <w:szCs w:val="24"/>
        </w:rPr>
        <w:t>-Ca·Mg型水。</w:t>
      </w:r>
    </w:p>
    <w:p w14:paraId="6173AEB8">
      <w:pPr>
        <w:spacing w:line="360" w:lineRule="auto"/>
        <w:ind w:firstLine="480" w:firstLineChars="200"/>
        <w:rPr>
          <w:sz w:val="24"/>
          <w:szCs w:val="24"/>
        </w:rPr>
      </w:pPr>
      <w:r>
        <w:rPr>
          <w:rFonts w:hint="eastAsia"/>
          <w:sz w:val="24"/>
          <w:szCs w:val="24"/>
        </w:rPr>
        <w:t>③潜水水量丰富（1000~3000m</w:t>
      </w:r>
      <w:r>
        <w:rPr>
          <w:rFonts w:hint="eastAsia"/>
          <w:sz w:val="24"/>
          <w:szCs w:val="24"/>
          <w:vertAlign w:val="superscript"/>
        </w:rPr>
        <w:t>3</w:t>
      </w:r>
      <w:r>
        <w:rPr>
          <w:rFonts w:hint="eastAsia"/>
          <w:sz w:val="24"/>
          <w:szCs w:val="24"/>
        </w:rPr>
        <w:t>/d）、承压水水量贫乏（100~500m</w:t>
      </w:r>
      <w:r>
        <w:rPr>
          <w:rFonts w:hint="eastAsia"/>
          <w:sz w:val="24"/>
          <w:szCs w:val="24"/>
          <w:vertAlign w:val="superscript"/>
        </w:rPr>
        <w:t>3</w:t>
      </w:r>
      <w:r>
        <w:rPr>
          <w:rFonts w:hint="eastAsia"/>
          <w:sz w:val="24"/>
          <w:szCs w:val="24"/>
        </w:rPr>
        <w:t>/d）区潜水水量丰富（1000~3000m</w:t>
      </w:r>
      <w:r>
        <w:rPr>
          <w:rFonts w:hint="eastAsia"/>
          <w:sz w:val="24"/>
          <w:szCs w:val="24"/>
          <w:vertAlign w:val="superscript"/>
        </w:rPr>
        <w:t>3</w:t>
      </w:r>
      <w:r>
        <w:rPr>
          <w:rFonts w:hint="eastAsia"/>
          <w:sz w:val="24"/>
          <w:szCs w:val="24"/>
        </w:rPr>
        <w:t>/d）、承压水水量贫乏（100~500m</w:t>
      </w:r>
      <w:r>
        <w:rPr>
          <w:rFonts w:hint="eastAsia"/>
          <w:sz w:val="24"/>
          <w:szCs w:val="24"/>
          <w:vertAlign w:val="superscript"/>
        </w:rPr>
        <w:t>3</w:t>
      </w:r>
      <w:r>
        <w:rPr>
          <w:rFonts w:hint="eastAsia"/>
          <w:sz w:val="24"/>
          <w:szCs w:val="24"/>
        </w:rPr>
        <w:t xml:space="preserve">/d）区分布于阿瓦提、琼库勒及红光地区。规划深度内的深部，虽弱透水的粘土层极不稳定，未能形成区域性隔水层，但其基本仍呈二元结构，地下水亦以潜水、承压水形式赋存。 </w:t>
      </w:r>
    </w:p>
    <w:p w14:paraId="2E02B92A">
      <w:pPr>
        <w:spacing w:line="360" w:lineRule="auto"/>
        <w:ind w:firstLine="480" w:firstLineChars="200"/>
        <w:rPr>
          <w:sz w:val="24"/>
          <w:szCs w:val="24"/>
        </w:rPr>
      </w:pPr>
      <w:r>
        <w:rPr>
          <w:rFonts w:hint="eastAsia"/>
          <w:sz w:val="24"/>
          <w:szCs w:val="24"/>
        </w:rPr>
        <w:t>潜水：含水层岩性基本以巨厚的中更新统（上更新统及全新统亦有局部沉积）砂砾石、中粗砂为主体；含水层厚20~70m，水位埋深多为10~15m，最深可达30m；并多以矿化度＜lg/L的多元混合水存在。单井涌水量一般都在1000~3000m</w:t>
      </w:r>
      <w:r>
        <w:rPr>
          <w:rFonts w:hint="eastAsia"/>
          <w:sz w:val="24"/>
          <w:szCs w:val="24"/>
          <w:vertAlign w:val="superscript"/>
        </w:rPr>
        <w:t>3</w:t>
      </w:r>
      <w:r>
        <w:rPr>
          <w:rFonts w:hint="eastAsia"/>
          <w:sz w:val="24"/>
          <w:szCs w:val="24"/>
        </w:rPr>
        <w:t>/d的水量丰富区范围内；甚至达到5000m</w:t>
      </w:r>
      <w:r>
        <w:rPr>
          <w:rFonts w:hint="eastAsia"/>
          <w:sz w:val="24"/>
          <w:szCs w:val="24"/>
          <w:vertAlign w:val="superscript"/>
        </w:rPr>
        <w:t>3</w:t>
      </w:r>
      <w:r>
        <w:rPr>
          <w:rFonts w:hint="eastAsia"/>
          <w:sz w:val="24"/>
          <w:szCs w:val="24"/>
        </w:rPr>
        <w:t>/d。</w:t>
      </w:r>
    </w:p>
    <w:p w14:paraId="39863E73">
      <w:pPr>
        <w:spacing w:line="360" w:lineRule="auto"/>
        <w:ind w:firstLine="480" w:firstLineChars="200"/>
        <w:rPr>
          <w:sz w:val="24"/>
          <w:szCs w:val="24"/>
        </w:rPr>
      </w:pPr>
      <w:r>
        <w:rPr>
          <w:rFonts w:hint="eastAsia"/>
          <w:sz w:val="24"/>
          <w:szCs w:val="24"/>
        </w:rPr>
        <w:t>承压水：含水层岩性渐变为中粗砂或中粗砂含砾，比潜水含水层的岩性要细得多，厚12~42m。使其富水程度降低，单井涌水量基本为100~500m</w:t>
      </w:r>
      <w:r>
        <w:rPr>
          <w:rFonts w:hint="eastAsia"/>
          <w:sz w:val="24"/>
          <w:szCs w:val="24"/>
          <w:vertAlign w:val="superscript"/>
        </w:rPr>
        <w:t>3</w:t>
      </w:r>
      <w:r>
        <w:rPr>
          <w:rFonts w:hint="eastAsia"/>
          <w:sz w:val="24"/>
          <w:szCs w:val="24"/>
        </w:rPr>
        <w:t>/d，接近500m</w:t>
      </w:r>
      <w:r>
        <w:rPr>
          <w:rFonts w:hint="eastAsia"/>
          <w:sz w:val="24"/>
          <w:szCs w:val="24"/>
          <w:vertAlign w:val="superscript"/>
        </w:rPr>
        <w:t>3</w:t>
      </w:r>
      <w:r>
        <w:rPr>
          <w:rFonts w:hint="eastAsia"/>
          <w:sz w:val="24"/>
          <w:szCs w:val="24"/>
        </w:rPr>
        <w:t>/d，水量贫乏；但局部地段单井涌水量仍可高达2000m</w:t>
      </w:r>
      <w:r>
        <w:rPr>
          <w:rFonts w:hint="eastAsia"/>
          <w:sz w:val="24"/>
          <w:szCs w:val="24"/>
          <w:vertAlign w:val="superscript"/>
        </w:rPr>
        <w:t>3</w:t>
      </w:r>
      <w:r>
        <w:rPr>
          <w:rFonts w:hint="eastAsia"/>
          <w:sz w:val="24"/>
          <w:szCs w:val="24"/>
        </w:rPr>
        <w:t>/d。</w:t>
      </w:r>
    </w:p>
    <w:p w14:paraId="6E169279">
      <w:pPr>
        <w:spacing w:line="360" w:lineRule="auto"/>
        <w:ind w:firstLine="482" w:firstLineChars="200"/>
        <w:rPr>
          <w:b/>
          <w:bCs/>
          <w:sz w:val="24"/>
          <w:szCs w:val="24"/>
        </w:rPr>
      </w:pPr>
      <w:r>
        <w:rPr>
          <w:rFonts w:hint="eastAsia"/>
          <w:b/>
          <w:bCs/>
          <w:sz w:val="24"/>
          <w:szCs w:val="24"/>
        </w:rPr>
        <w:t>2、水文地质</w:t>
      </w:r>
    </w:p>
    <w:p w14:paraId="72FE1DD8">
      <w:pPr>
        <w:spacing w:line="360" w:lineRule="auto"/>
        <w:ind w:firstLine="480" w:firstLineChars="200"/>
        <w:rPr>
          <w:sz w:val="24"/>
          <w:szCs w:val="24"/>
        </w:rPr>
      </w:pPr>
      <w:r>
        <w:rPr>
          <w:rFonts w:hint="eastAsia"/>
          <w:sz w:val="24"/>
          <w:szCs w:val="24"/>
        </w:rPr>
        <w:t>（1）地下水补给、径流与排泄</w:t>
      </w:r>
    </w:p>
    <w:p w14:paraId="19CBEB45">
      <w:pPr>
        <w:spacing w:line="360" w:lineRule="auto"/>
        <w:ind w:firstLine="480" w:firstLineChars="200"/>
        <w:rPr>
          <w:sz w:val="24"/>
          <w:szCs w:val="24"/>
        </w:rPr>
      </w:pPr>
      <w:r>
        <w:rPr>
          <w:rFonts w:hint="eastAsia"/>
          <w:sz w:val="24"/>
          <w:szCs w:val="24"/>
        </w:rPr>
        <w:t>库尔勒市地下水年总补给量4×10</w:t>
      </w:r>
      <w:r>
        <w:rPr>
          <w:rFonts w:hint="eastAsia"/>
          <w:sz w:val="24"/>
          <w:szCs w:val="24"/>
          <w:vertAlign w:val="superscript"/>
        </w:rPr>
        <w:t>8</w:t>
      </w:r>
      <w:r>
        <w:rPr>
          <w:rFonts w:hint="eastAsia"/>
          <w:sz w:val="24"/>
          <w:szCs w:val="24"/>
        </w:rPr>
        <w:t>m</w:t>
      </w:r>
      <w:r>
        <w:rPr>
          <w:rFonts w:hint="eastAsia"/>
          <w:sz w:val="24"/>
          <w:szCs w:val="24"/>
          <w:vertAlign w:val="superscript"/>
        </w:rPr>
        <w:t>3</w:t>
      </w:r>
      <w:r>
        <w:rPr>
          <w:rFonts w:hint="eastAsia"/>
          <w:sz w:val="24"/>
          <w:szCs w:val="24"/>
        </w:rPr>
        <w:t>，年可利用量近3×10</w:t>
      </w:r>
      <w:r>
        <w:rPr>
          <w:rFonts w:hint="eastAsia"/>
          <w:sz w:val="24"/>
          <w:szCs w:val="24"/>
          <w:vertAlign w:val="superscript"/>
        </w:rPr>
        <w:t>8</w:t>
      </w:r>
      <w:r>
        <w:rPr>
          <w:rFonts w:hint="eastAsia"/>
          <w:sz w:val="24"/>
          <w:szCs w:val="24"/>
        </w:rPr>
        <w:t>m</w:t>
      </w:r>
      <w:r>
        <w:rPr>
          <w:rFonts w:hint="eastAsia"/>
          <w:sz w:val="24"/>
          <w:szCs w:val="24"/>
          <w:vertAlign w:val="superscript"/>
        </w:rPr>
        <w:t>3</w:t>
      </w:r>
      <w:r>
        <w:rPr>
          <w:rFonts w:hint="eastAsia"/>
          <w:sz w:val="24"/>
          <w:szCs w:val="24"/>
        </w:rPr>
        <w:t>，其补给来源主要有孔雀河、渠道、农田渗漏、大气降水和松散岩系网状、脉状裂隙水，花岗岩块状裂隙水，碎屑岩、沉积岩裂隙水，断层裂隙水，第四系松散岩系孔隙水。其中以第四系松散岩系孔隙水为全市地下水主要储水空间。同时以潜水蒸发、蒸腾及侧向流出等形式排泄。</w:t>
      </w:r>
    </w:p>
    <w:p w14:paraId="3F0D7D06">
      <w:pPr>
        <w:spacing w:line="360" w:lineRule="auto"/>
        <w:ind w:firstLine="480" w:firstLineChars="200"/>
        <w:rPr>
          <w:sz w:val="24"/>
          <w:szCs w:val="24"/>
        </w:rPr>
      </w:pPr>
      <w:r>
        <w:rPr>
          <w:rFonts w:hint="eastAsia"/>
          <w:sz w:val="24"/>
          <w:szCs w:val="24"/>
        </w:rPr>
        <w:t>（2）地下水赋存与含水岩组的富水性</w:t>
      </w:r>
    </w:p>
    <w:p w14:paraId="0382298C">
      <w:pPr>
        <w:spacing w:line="360" w:lineRule="auto"/>
        <w:ind w:firstLine="480" w:firstLineChars="200"/>
        <w:rPr>
          <w:sz w:val="24"/>
          <w:szCs w:val="24"/>
        </w:rPr>
      </w:pPr>
      <w:r>
        <w:rPr>
          <w:rFonts w:hint="eastAsia"/>
          <w:sz w:val="24"/>
          <w:szCs w:val="24"/>
        </w:rPr>
        <w:t>①潜水水量丰富区（1000~3000m</w:t>
      </w:r>
      <w:r>
        <w:rPr>
          <w:rFonts w:hint="eastAsia"/>
          <w:sz w:val="24"/>
          <w:szCs w:val="24"/>
          <w:vertAlign w:val="superscript"/>
        </w:rPr>
        <w:t>3</w:t>
      </w:r>
      <w:r>
        <w:rPr>
          <w:rFonts w:hint="eastAsia"/>
          <w:sz w:val="24"/>
          <w:szCs w:val="24"/>
        </w:rPr>
        <w:t>/d）</w:t>
      </w:r>
    </w:p>
    <w:p w14:paraId="33809596">
      <w:pPr>
        <w:spacing w:line="360" w:lineRule="auto"/>
        <w:ind w:firstLine="480" w:firstLineChars="200"/>
        <w:rPr>
          <w:sz w:val="24"/>
          <w:szCs w:val="24"/>
        </w:rPr>
      </w:pPr>
      <w:r>
        <w:rPr>
          <w:rFonts w:hint="eastAsia"/>
          <w:sz w:val="24"/>
          <w:szCs w:val="24"/>
        </w:rPr>
        <w:t>潜水水量丰富区位于孔雀河分水闸地区及以西的上户地段，含水层为单一的卵砾石，厚50~70m，由孔雀河水、渠系水入渗补给，渗透性好，渗透系数（k）可达30~50m/d，潜水埋深5~12m，含水层富水性好，单井涌水量可达1000~3000m</w:t>
      </w:r>
      <w:r>
        <w:rPr>
          <w:rFonts w:hint="eastAsia"/>
          <w:sz w:val="24"/>
          <w:szCs w:val="24"/>
          <w:vertAlign w:val="superscript"/>
        </w:rPr>
        <w:t>3</w:t>
      </w:r>
      <w:r>
        <w:rPr>
          <w:rFonts w:hint="eastAsia"/>
          <w:sz w:val="24"/>
          <w:szCs w:val="24"/>
        </w:rPr>
        <w:t>/d，水质较好，矿化度为0.5~1g/L，属于HCO</w:t>
      </w:r>
      <w:r>
        <w:rPr>
          <w:rFonts w:hint="eastAsia"/>
          <w:sz w:val="24"/>
          <w:szCs w:val="24"/>
          <w:vertAlign w:val="subscript"/>
        </w:rPr>
        <w:t>3</w:t>
      </w:r>
      <w:r>
        <w:rPr>
          <w:rFonts w:hint="eastAsia"/>
          <w:sz w:val="24"/>
          <w:szCs w:val="24"/>
        </w:rPr>
        <w:t>·SO</w:t>
      </w:r>
      <w:r>
        <w:rPr>
          <w:rFonts w:hint="eastAsia"/>
          <w:sz w:val="24"/>
          <w:szCs w:val="24"/>
          <w:vertAlign w:val="subscript"/>
        </w:rPr>
        <w:t>4</w:t>
      </w:r>
      <w:r>
        <w:rPr>
          <w:rFonts w:hint="eastAsia"/>
          <w:sz w:val="24"/>
          <w:szCs w:val="24"/>
        </w:rPr>
        <w:t>·C1-Na·Ca·Mg型的多元混合水。</w:t>
      </w:r>
    </w:p>
    <w:p w14:paraId="66F75808">
      <w:pPr>
        <w:spacing w:line="360" w:lineRule="auto"/>
        <w:ind w:firstLine="480" w:firstLineChars="200"/>
        <w:rPr>
          <w:sz w:val="24"/>
          <w:szCs w:val="24"/>
        </w:rPr>
      </w:pPr>
      <w:r>
        <w:rPr>
          <w:rFonts w:hint="eastAsia"/>
          <w:sz w:val="24"/>
          <w:szCs w:val="24"/>
        </w:rPr>
        <w:t>②潜水与承压水水量丰富区（1000~3000m</w:t>
      </w:r>
      <w:r>
        <w:rPr>
          <w:rFonts w:hint="eastAsia"/>
          <w:sz w:val="24"/>
          <w:szCs w:val="24"/>
          <w:vertAlign w:val="superscript"/>
        </w:rPr>
        <w:t>3</w:t>
      </w:r>
      <w:r>
        <w:rPr>
          <w:rFonts w:hint="eastAsia"/>
          <w:sz w:val="24"/>
          <w:szCs w:val="24"/>
        </w:rPr>
        <w:t>/d）</w:t>
      </w:r>
    </w:p>
    <w:p w14:paraId="39F9221E">
      <w:pPr>
        <w:spacing w:line="360" w:lineRule="auto"/>
        <w:ind w:firstLine="480" w:firstLineChars="200"/>
        <w:rPr>
          <w:sz w:val="24"/>
          <w:szCs w:val="24"/>
        </w:rPr>
      </w:pPr>
      <w:r>
        <w:rPr>
          <w:rFonts w:hint="eastAsia"/>
          <w:sz w:val="24"/>
          <w:szCs w:val="24"/>
        </w:rPr>
        <w:t>潜水与承压水水量丰富区分布于铁克其、托布里其及兰干地区。含水层在规划深度内基本为二元结构，地下水以潜水和承压水两种形式赋存。潜水：含水层</w:t>
      </w:r>
      <w:r>
        <w:rPr>
          <w:rFonts w:hint="eastAsia"/>
          <w:sz w:val="24"/>
          <w:szCs w:val="24"/>
          <w:lang w:eastAsia="zh-CN"/>
        </w:rPr>
        <w:t>基本</w:t>
      </w:r>
      <w:r>
        <w:rPr>
          <w:rFonts w:hint="eastAsia"/>
          <w:sz w:val="24"/>
          <w:szCs w:val="24"/>
        </w:rPr>
        <w:t>为上更新统的砂砾石夹中细砂或卵砾石，厚30~75m。潜水埋深1~3.5m，水质尚好，多为 HCO</w:t>
      </w:r>
      <w:r>
        <w:rPr>
          <w:rFonts w:hint="eastAsia"/>
          <w:sz w:val="24"/>
          <w:szCs w:val="24"/>
          <w:vertAlign w:val="subscript"/>
        </w:rPr>
        <w:t>3</w:t>
      </w:r>
      <w:r>
        <w:rPr>
          <w:rFonts w:hint="eastAsia"/>
          <w:sz w:val="24"/>
          <w:szCs w:val="24"/>
        </w:rPr>
        <w:t>·SO</w:t>
      </w:r>
      <w:r>
        <w:rPr>
          <w:rFonts w:hint="eastAsia"/>
          <w:sz w:val="24"/>
          <w:szCs w:val="24"/>
          <w:vertAlign w:val="subscript"/>
        </w:rPr>
        <w:t>4-</w:t>
      </w:r>
      <w:r>
        <w:rPr>
          <w:rFonts w:hint="eastAsia"/>
          <w:sz w:val="24"/>
          <w:szCs w:val="24"/>
        </w:rPr>
        <w:t>Na·Ca 型水，并亦有HCO</w:t>
      </w:r>
      <w:r>
        <w:rPr>
          <w:rFonts w:hint="eastAsia"/>
          <w:sz w:val="24"/>
          <w:szCs w:val="24"/>
          <w:vertAlign w:val="subscript"/>
        </w:rPr>
        <w:t>3</w:t>
      </w:r>
      <w:r>
        <w:rPr>
          <w:rFonts w:hint="eastAsia"/>
          <w:sz w:val="24"/>
          <w:szCs w:val="24"/>
        </w:rPr>
        <w:t>·SO</w:t>
      </w:r>
      <w:r>
        <w:rPr>
          <w:rFonts w:hint="eastAsia"/>
          <w:sz w:val="24"/>
          <w:szCs w:val="24"/>
          <w:vertAlign w:val="subscript"/>
        </w:rPr>
        <w:t>4</w:t>
      </w:r>
      <w:r>
        <w:rPr>
          <w:rFonts w:hint="eastAsia"/>
          <w:sz w:val="24"/>
          <w:szCs w:val="24"/>
        </w:rPr>
        <w:t>-Na·Ca·Mg的混合型多元水存在，矿化度＜1g/L，</w:t>
      </w:r>
      <w:r>
        <w:rPr>
          <w:rFonts w:hint="eastAsia"/>
          <w:sz w:val="24"/>
          <w:szCs w:val="24"/>
          <w:lang w:eastAsia="zh-CN"/>
        </w:rPr>
        <w:t>单位涌水量</w:t>
      </w:r>
      <w:r>
        <w:rPr>
          <w:rFonts w:hint="eastAsia"/>
          <w:sz w:val="24"/>
          <w:szCs w:val="24"/>
        </w:rPr>
        <w:t>一般都在1000~3000m</w:t>
      </w:r>
      <w:r>
        <w:rPr>
          <w:rFonts w:hint="eastAsia"/>
          <w:sz w:val="24"/>
          <w:szCs w:val="24"/>
          <w:vertAlign w:val="superscript"/>
        </w:rPr>
        <w:t>3</w:t>
      </w:r>
      <w:r>
        <w:rPr>
          <w:rFonts w:hint="eastAsia"/>
          <w:sz w:val="24"/>
          <w:szCs w:val="24"/>
        </w:rPr>
        <w:t>/d，最大可达到3205m</w:t>
      </w:r>
      <w:r>
        <w:rPr>
          <w:rFonts w:hint="eastAsia"/>
          <w:sz w:val="24"/>
          <w:szCs w:val="24"/>
          <w:vertAlign w:val="superscript"/>
        </w:rPr>
        <w:t>3</w:t>
      </w:r>
      <w:r>
        <w:rPr>
          <w:rFonts w:hint="eastAsia"/>
          <w:sz w:val="24"/>
          <w:szCs w:val="24"/>
        </w:rPr>
        <w:t>/d。</w:t>
      </w:r>
    </w:p>
    <w:p w14:paraId="259EB25D">
      <w:pPr>
        <w:spacing w:line="360" w:lineRule="auto"/>
        <w:ind w:firstLine="480" w:firstLineChars="200"/>
        <w:rPr>
          <w:sz w:val="24"/>
          <w:szCs w:val="24"/>
        </w:rPr>
      </w:pPr>
      <w:r>
        <w:rPr>
          <w:rFonts w:hint="eastAsia"/>
          <w:sz w:val="24"/>
          <w:szCs w:val="24"/>
        </w:rPr>
        <w:t>承压水：顶板埋深</w:t>
      </w:r>
      <w:r>
        <w:rPr>
          <w:rFonts w:hint="eastAsia"/>
          <w:sz w:val="24"/>
          <w:szCs w:val="24"/>
          <w:lang w:eastAsia="zh-CN"/>
        </w:rPr>
        <w:t>基本</w:t>
      </w:r>
      <w:r>
        <w:rPr>
          <w:rFonts w:hint="eastAsia"/>
          <w:sz w:val="24"/>
          <w:szCs w:val="24"/>
        </w:rPr>
        <w:t>＜50m，</w:t>
      </w:r>
      <w:r>
        <w:rPr>
          <w:rFonts w:hint="eastAsia"/>
          <w:sz w:val="24"/>
          <w:szCs w:val="24"/>
          <w:lang w:eastAsia="zh-CN"/>
        </w:rPr>
        <w:t>含水层系</w:t>
      </w:r>
      <w:r>
        <w:rPr>
          <w:rFonts w:hint="eastAsia"/>
          <w:sz w:val="24"/>
          <w:szCs w:val="24"/>
        </w:rPr>
        <w:t>亦基本为上更新统的砂砾石夹中细砂，但比潜水含水层的岩性要稍细一些，厚20~100m 不等。同时，单</w:t>
      </w:r>
      <w:r>
        <w:rPr>
          <w:rFonts w:hint="eastAsia"/>
          <w:sz w:val="24"/>
          <w:szCs w:val="24"/>
          <w:lang w:eastAsia="zh-CN"/>
        </w:rPr>
        <w:t>井涌水量</w:t>
      </w:r>
      <w:r>
        <w:rPr>
          <w:rFonts w:hint="eastAsia"/>
          <w:sz w:val="24"/>
          <w:szCs w:val="24"/>
        </w:rPr>
        <w:t>亦基本为 1000~3000m</w:t>
      </w:r>
      <w:r>
        <w:rPr>
          <w:rFonts w:hint="eastAsia"/>
          <w:sz w:val="24"/>
          <w:szCs w:val="24"/>
          <w:vertAlign w:val="superscript"/>
        </w:rPr>
        <w:t>3</w:t>
      </w:r>
      <w:r>
        <w:rPr>
          <w:rFonts w:hint="eastAsia"/>
          <w:sz w:val="24"/>
          <w:szCs w:val="24"/>
        </w:rPr>
        <w:t>/d，但亦比其潜水单井涌水量稍低一些。水质却比其潜水水质稍佳，为矿化度基本＜0.5g/L的HCO</w:t>
      </w:r>
      <w:r>
        <w:rPr>
          <w:rFonts w:hint="eastAsia"/>
          <w:sz w:val="24"/>
          <w:szCs w:val="24"/>
          <w:vertAlign w:val="subscript"/>
        </w:rPr>
        <w:t>3</w:t>
      </w:r>
      <w:r>
        <w:rPr>
          <w:rFonts w:hint="eastAsia"/>
          <w:sz w:val="24"/>
          <w:szCs w:val="24"/>
        </w:rPr>
        <w:t>-Ca·Mg型或HCO</w:t>
      </w:r>
      <w:r>
        <w:rPr>
          <w:rFonts w:hint="eastAsia"/>
          <w:sz w:val="24"/>
          <w:szCs w:val="24"/>
          <w:vertAlign w:val="subscript"/>
        </w:rPr>
        <w:t>3</w:t>
      </w:r>
      <w:r>
        <w:rPr>
          <w:rFonts w:hint="eastAsia"/>
          <w:sz w:val="24"/>
          <w:szCs w:val="24"/>
        </w:rPr>
        <w:t>-Ca·Mg型水。③潜水水量丰富（1000~3000m3/d）、承压水水量贫乏（100~500m</w:t>
      </w:r>
      <w:r>
        <w:rPr>
          <w:rFonts w:hint="eastAsia"/>
          <w:sz w:val="24"/>
          <w:szCs w:val="24"/>
          <w:vertAlign w:val="superscript"/>
        </w:rPr>
        <w:t>3</w:t>
      </w:r>
      <w:r>
        <w:rPr>
          <w:rFonts w:hint="eastAsia"/>
          <w:sz w:val="24"/>
          <w:szCs w:val="24"/>
        </w:rPr>
        <w:t>/d）区潜水水量丰富（1000~3000m</w:t>
      </w:r>
      <w:r>
        <w:rPr>
          <w:rFonts w:hint="eastAsia"/>
          <w:sz w:val="24"/>
          <w:szCs w:val="24"/>
          <w:vertAlign w:val="superscript"/>
        </w:rPr>
        <w:t>3</w:t>
      </w:r>
      <w:r>
        <w:rPr>
          <w:rFonts w:hint="eastAsia"/>
          <w:sz w:val="24"/>
          <w:szCs w:val="24"/>
        </w:rPr>
        <w:t>/d）、承压水水量贫乏（100~500m</w:t>
      </w:r>
      <w:r>
        <w:rPr>
          <w:rFonts w:hint="eastAsia"/>
          <w:sz w:val="24"/>
          <w:szCs w:val="24"/>
          <w:vertAlign w:val="superscript"/>
        </w:rPr>
        <w:t>3</w:t>
      </w:r>
      <w:r>
        <w:rPr>
          <w:rFonts w:hint="eastAsia"/>
          <w:sz w:val="24"/>
          <w:szCs w:val="24"/>
        </w:rPr>
        <w:t>/d）区分布于阿瓦提、琼库勒及红光地区。规划深度内的深部，虽弱透水的粘土层极不稳定，未能形成区域性隔水层，但其基本仍呈二元结构，地下水亦以潜水、承压水形式赋存。</w:t>
      </w:r>
    </w:p>
    <w:p w14:paraId="542D6EFA">
      <w:pPr>
        <w:spacing w:line="360" w:lineRule="auto"/>
        <w:ind w:firstLine="480" w:firstLineChars="200"/>
        <w:rPr>
          <w:sz w:val="24"/>
          <w:szCs w:val="24"/>
        </w:rPr>
      </w:pPr>
      <w:r>
        <w:rPr>
          <w:rFonts w:hint="eastAsia"/>
          <w:sz w:val="24"/>
          <w:szCs w:val="24"/>
        </w:rPr>
        <w:t>潜水：含水层岩性基本以巨厚的中更新统（上更新统及全新统亦有局部沉积）砂砾石、中粗砂为主体；含水层厚20~70m，水位埋深多为10~15m，最深可达30m；并多以矿化度＜lg/L的多元混合水存在。单井涌水量一般都在1000~3000m</w:t>
      </w:r>
      <w:r>
        <w:rPr>
          <w:rFonts w:hint="eastAsia"/>
          <w:sz w:val="24"/>
          <w:szCs w:val="24"/>
          <w:vertAlign w:val="superscript"/>
        </w:rPr>
        <w:t>3</w:t>
      </w:r>
      <w:r>
        <w:rPr>
          <w:rFonts w:hint="eastAsia"/>
          <w:sz w:val="24"/>
          <w:szCs w:val="24"/>
        </w:rPr>
        <w:t>/d的水量丰富区范围内；甚至达到5000m</w:t>
      </w:r>
      <w:r>
        <w:rPr>
          <w:rFonts w:hint="eastAsia"/>
          <w:sz w:val="24"/>
          <w:szCs w:val="24"/>
          <w:vertAlign w:val="superscript"/>
        </w:rPr>
        <w:t>3</w:t>
      </w:r>
      <w:r>
        <w:rPr>
          <w:rFonts w:hint="eastAsia"/>
          <w:sz w:val="24"/>
          <w:szCs w:val="24"/>
        </w:rPr>
        <w:t>/d。</w:t>
      </w:r>
    </w:p>
    <w:p w14:paraId="6E075AD0">
      <w:pPr>
        <w:spacing w:line="360" w:lineRule="auto"/>
        <w:ind w:firstLine="480" w:firstLineChars="200"/>
        <w:rPr>
          <w:sz w:val="24"/>
          <w:szCs w:val="24"/>
        </w:rPr>
      </w:pPr>
      <w:r>
        <w:rPr>
          <w:rFonts w:hint="eastAsia"/>
          <w:sz w:val="24"/>
          <w:szCs w:val="24"/>
        </w:rPr>
        <w:t>承压水：含水层岩性渐变为中粗砂或中粗砂含砾，比潜水含水层的岩性要细得多，厚12~42m。使其富水程度降低，单井涌水量基本为100~500m</w:t>
      </w:r>
      <w:r>
        <w:rPr>
          <w:rFonts w:hint="eastAsia"/>
          <w:sz w:val="24"/>
          <w:szCs w:val="24"/>
          <w:vertAlign w:val="superscript"/>
        </w:rPr>
        <w:t>3</w:t>
      </w:r>
      <w:r>
        <w:rPr>
          <w:rFonts w:hint="eastAsia"/>
          <w:sz w:val="24"/>
          <w:szCs w:val="24"/>
        </w:rPr>
        <w:t>/d，接近500m</w:t>
      </w:r>
      <w:r>
        <w:rPr>
          <w:rFonts w:hint="eastAsia"/>
          <w:sz w:val="24"/>
          <w:szCs w:val="24"/>
          <w:vertAlign w:val="superscript"/>
        </w:rPr>
        <w:t>3</w:t>
      </w:r>
      <w:r>
        <w:rPr>
          <w:rFonts w:hint="eastAsia"/>
          <w:sz w:val="24"/>
          <w:szCs w:val="24"/>
        </w:rPr>
        <w:t>/d，水量贫乏；但局部地段单井涌水量仍可高达2000m</w:t>
      </w:r>
      <w:r>
        <w:rPr>
          <w:rFonts w:hint="eastAsia"/>
          <w:sz w:val="24"/>
          <w:szCs w:val="24"/>
          <w:vertAlign w:val="superscript"/>
        </w:rPr>
        <w:t>3</w:t>
      </w:r>
      <w:r>
        <w:rPr>
          <w:rFonts w:hint="eastAsia"/>
          <w:sz w:val="24"/>
          <w:szCs w:val="24"/>
        </w:rPr>
        <w:t>/d。</w:t>
      </w:r>
    </w:p>
    <w:bookmarkEnd w:id="215"/>
    <w:bookmarkEnd w:id="216"/>
    <w:bookmarkEnd w:id="217"/>
    <w:bookmarkEnd w:id="218"/>
    <w:bookmarkEnd w:id="219"/>
    <w:bookmarkEnd w:id="220"/>
    <w:p w14:paraId="2B33D048">
      <w:pPr>
        <w:pStyle w:val="3"/>
        <w:spacing w:before="0" w:after="0" w:line="360" w:lineRule="auto"/>
        <w:rPr>
          <w:rFonts w:ascii="Times New Roman" w:hAnsi="Times New Roman" w:eastAsia="宋体"/>
          <w:kern w:val="0"/>
          <w:sz w:val="24"/>
          <w:szCs w:val="24"/>
          <w:lang w:val="en-US" w:bidi="zh-CN"/>
        </w:rPr>
      </w:pPr>
      <w:bookmarkStart w:id="221" w:name="_Toc23662"/>
      <w:bookmarkStart w:id="222" w:name="_Toc363049970"/>
      <w:bookmarkStart w:id="223" w:name="_Toc322425127"/>
      <w:bookmarkStart w:id="224" w:name="_Toc332727837"/>
      <w:bookmarkStart w:id="225" w:name="_Toc321840284"/>
      <w:bookmarkStart w:id="226" w:name="_Toc327921184"/>
      <w:bookmarkStart w:id="227" w:name="_Toc320282399"/>
      <w:r>
        <w:rPr>
          <w:rFonts w:hint="eastAsia" w:ascii="Times New Roman" w:hAnsi="Times New Roman" w:eastAsia="宋体"/>
          <w:kern w:val="0"/>
          <w:sz w:val="24"/>
          <w:szCs w:val="24"/>
          <w:lang w:val="en-US" w:bidi="zh-CN"/>
        </w:rPr>
        <w:t>4.2</w:t>
      </w:r>
      <w:bookmarkStart w:id="228" w:name="_Toc26907"/>
      <w:bookmarkStart w:id="229" w:name="_Toc13887"/>
      <w:bookmarkStart w:id="230" w:name="_Toc30587"/>
      <w:bookmarkStart w:id="231" w:name="_Toc8338"/>
      <w:bookmarkStart w:id="232" w:name="_Toc28686"/>
      <w:bookmarkStart w:id="233" w:name="_Toc12027"/>
      <w:bookmarkStart w:id="234" w:name="_Toc1423_WPSOffice_Level2"/>
      <w:bookmarkStart w:id="235" w:name="_Toc28393"/>
      <w:r>
        <w:rPr>
          <w:rFonts w:hint="eastAsia" w:ascii="Times New Roman" w:hAnsi="Times New Roman" w:eastAsia="宋体"/>
          <w:kern w:val="0"/>
          <w:sz w:val="24"/>
          <w:szCs w:val="24"/>
          <w:lang w:val="en-US" w:bidi="zh-CN"/>
        </w:rPr>
        <w:t>环境保护目标调查</w:t>
      </w:r>
      <w:bookmarkEnd w:id="221"/>
      <w:bookmarkEnd w:id="228"/>
      <w:bookmarkEnd w:id="229"/>
      <w:bookmarkEnd w:id="230"/>
      <w:bookmarkEnd w:id="231"/>
      <w:bookmarkEnd w:id="232"/>
      <w:bookmarkEnd w:id="233"/>
      <w:bookmarkEnd w:id="234"/>
      <w:bookmarkEnd w:id="235"/>
    </w:p>
    <w:p w14:paraId="7DCA113A">
      <w:pPr>
        <w:tabs>
          <w:tab w:val="left" w:leader="dot" w:pos="8770"/>
        </w:tabs>
        <w:spacing w:line="360" w:lineRule="auto"/>
        <w:ind w:firstLine="482"/>
        <w:rPr>
          <w:color w:val="000000"/>
          <w:sz w:val="24"/>
          <w:szCs w:val="24"/>
        </w:rPr>
      </w:pPr>
      <w:r>
        <w:rPr>
          <w:color w:val="000000"/>
          <w:sz w:val="24"/>
          <w:szCs w:val="24"/>
        </w:rPr>
        <w:t>本项目位于</w:t>
      </w:r>
      <w:r>
        <w:rPr>
          <w:rFonts w:hint="eastAsia" w:ascii="宋体" w:hAnsi="宋体" w:cs="宋体"/>
          <w:kern w:val="0"/>
          <w:sz w:val="24"/>
          <w:szCs w:val="24"/>
          <w:lang w:val="zh-CN" w:bidi="zh-CN"/>
        </w:rPr>
        <w:t>新疆库尔勒市普惠乡润疆社区四分场库尔勒惠泉工贸有限公司厂区内</w:t>
      </w:r>
      <w:r>
        <w:rPr>
          <w:rFonts w:hint="eastAsia"/>
          <w:color w:val="000000"/>
          <w:sz w:val="24"/>
          <w:szCs w:val="24"/>
        </w:rPr>
        <w:t>，用地性质为工业用地。根据调查，评价区域</w:t>
      </w:r>
      <w:r>
        <w:rPr>
          <w:color w:val="000000"/>
          <w:sz w:val="24"/>
          <w:szCs w:val="24"/>
        </w:rPr>
        <w:t>内无</w:t>
      </w:r>
      <w:r>
        <w:rPr>
          <w:rFonts w:hint="eastAsia"/>
          <w:color w:val="000000"/>
          <w:sz w:val="24"/>
          <w:szCs w:val="24"/>
        </w:rPr>
        <w:t>饮用水水源保护区、</w:t>
      </w:r>
      <w:r>
        <w:rPr>
          <w:color w:val="000000"/>
          <w:sz w:val="24"/>
          <w:szCs w:val="24"/>
        </w:rPr>
        <w:t>自然保护区</w:t>
      </w:r>
      <w:r>
        <w:rPr>
          <w:rFonts w:hint="eastAsia"/>
          <w:color w:val="000000"/>
          <w:sz w:val="24"/>
          <w:szCs w:val="24"/>
        </w:rPr>
        <w:t>、</w:t>
      </w:r>
      <w:r>
        <w:rPr>
          <w:color w:val="000000"/>
          <w:sz w:val="24"/>
          <w:szCs w:val="24"/>
        </w:rPr>
        <w:t>风景名胜区</w:t>
      </w:r>
      <w:r>
        <w:rPr>
          <w:rFonts w:hint="eastAsia"/>
          <w:color w:val="000000"/>
          <w:sz w:val="24"/>
          <w:szCs w:val="24"/>
        </w:rPr>
        <w:t>、地表文物、珍稀动植物等环境敏感区。</w:t>
      </w:r>
      <w:r>
        <w:rPr>
          <w:color w:val="000000"/>
          <w:sz w:val="24"/>
          <w:szCs w:val="24"/>
        </w:rPr>
        <w:t>根据</w:t>
      </w:r>
      <w:r>
        <w:rPr>
          <w:rFonts w:hint="eastAsia"/>
          <w:color w:val="000000"/>
          <w:sz w:val="24"/>
          <w:szCs w:val="24"/>
        </w:rPr>
        <w:t>工程性质及周围环境特征，</w:t>
      </w:r>
      <w:r>
        <w:rPr>
          <w:rFonts w:hint="eastAsia"/>
          <w:color w:val="000000"/>
          <w:kern w:val="0"/>
          <w:sz w:val="24"/>
          <w:szCs w:val="24"/>
        </w:rPr>
        <w:t>评价范围内主要环境保护目标</w:t>
      </w:r>
      <w:r>
        <w:rPr>
          <w:color w:val="000000"/>
          <w:sz w:val="24"/>
          <w:szCs w:val="24"/>
        </w:rPr>
        <w:t>具体</w:t>
      </w:r>
      <w:r>
        <w:rPr>
          <w:rFonts w:hint="eastAsia"/>
          <w:color w:val="000000"/>
          <w:sz w:val="24"/>
          <w:szCs w:val="24"/>
        </w:rPr>
        <w:t>情况</w:t>
      </w:r>
      <w:r>
        <w:rPr>
          <w:color w:val="000000"/>
          <w:sz w:val="24"/>
          <w:szCs w:val="24"/>
        </w:rPr>
        <w:t>见表</w:t>
      </w:r>
      <w:r>
        <w:rPr>
          <w:rFonts w:hint="eastAsia"/>
          <w:color w:val="000000"/>
          <w:sz w:val="24"/>
          <w:szCs w:val="24"/>
        </w:rPr>
        <w:t>4.2</w:t>
      </w:r>
      <w:r>
        <w:rPr>
          <w:color w:val="000000"/>
          <w:sz w:val="24"/>
          <w:szCs w:val="24"/>
        </w:rPr>
        <w:t>-1。</w:t>
      </w:r>
    </w:p>
    <w:p w14:paraId="4C03CB51">
      <w:pPr>
        <w:jc w:val="center"/>
        <w:rPr>
          <w:rFonts w:hint="eastAsia" w:hAnsi="宋体"/>
          <w:b/>
          <w:color w:val="000000"/>
          <w:szCs w:val="21"/>
        </w:rPr>
      </w:pPr>
      <w:r>
        <w:rPr>
          <w:rFonts w:hAnsi="宋体"/>
          <w:b/>
          <w:color w:val="000000"/>
          <w:szCs w:val="21"/>
        </w:rPr>
        <w:t>表</w:t>
      </w:r>
      <w:r>
        <w:rPr>
          <w:rFonts w:hint="eastAsia" w:hAnsi="宋体"/>
          <w:b/>
          <w:color w:val="000000"/>
          <w:szCs w:val="21"/>
        </w:rPr>
        <w:t>4.2</w:t>
      </w:r>
      <w:r>
        <w:rPr>
          <w:rFonts w:hAnsi="宋体"/>
          <w:b/>
          <w:color w:val="000000"/>
          <w:szCs w:val="21"/>
        </w:rPr>
        <w:t xml:space="preserve">-1 </w:t>
      </w:r>
      <w:r>
        <w:rPr>
          <w:rFonts w:hint="eastAsia" w:hAnsi="宋体"/>
          <w:b/>
          <w:color w:val="000000"/>
          <w:szCs w:val="21"/>
        </w:rPr>
        <w:t xml:space="preserve">    </w:t>
      </w:r>
      <w:r>
        <w:rPr>
          <w:rFonts w:hAnsi="宋体"/>
          <w:b/>
          <w:color w:val="000000"/>
          <w:szCs w:val="21"/>
        </w:rPr>
        <w:t xml:space="preserve"> 项目</w:t>
      </w:r>
      <w:r>
        <w:rPr>
          <w:rFonts w:hint="eastAsia" w:hAnsi="宋体"/>
          <w:b/>
          <w:color w:val="000000"/>
          <w:szCs w:val="21"/>
        </w:rPr>
        <w:t>区</w:t>
      </w:r>
      <w:r>
        <w:rPr>
          <w:rFonts w:hAnsi="宋体"/>
          <w:b/>
          <w:color w:val="000000"/>
          <w:szCs w:val="21"/>
        </w:rPr>
        <w:t>周围</w:t>
      </w:r>
      <w:r>
        <w:rPr>
          <w:rFonts w:hint="eastAsia" w:hAnsi="宋体"/>
          <w:b/>
          <w:color w:val="000000"/>
          <w:szCs w:val="21"/>
        </w:rPr>
        <w:t>主要</w:t>
      </w:r>
      <w:r>
        <w:rPr>
          <w:rFonts w:hAnsi="宋体"/>
          <w:b/>
          <w:color w:val="000000"/>
          <w:szCs w:val="21"/>
        </w:rPr>
        <w:t>环境保护目标</w:t>
      </w:r>
    </w:p>
    <w:tbl>
      <w:tblPr>
        <w:tblStyle w:val="49"/>
        <w:tblW w:w="5088" w:type="pct"/>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
      <w:tblGrid>
        <w:gridCol w:w="879"/>
        <w:gridCol w:w="1157"/>
        <w:gridCol w:w="1381"/>
        <w:gridCol w:w="1328"/>
        <w:gridCol w:w="868"/>
        <w:gridCol w:w="1082"/>
        <w:gridCol w:w="944"/>
        <w:gridCol w:w="1638"/>
      </w:tblGrid>
      <w:tr w14:paraId="42B09D42">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85" w:hRule="atLeast"/>
          <w:jc w:val="center"/>
        </w:trPr>
        <w:tc>
          <w:tcPr>
            <w:tcW w:w="473" w:type="pct"/>
            <w:vMerge w:val="restart"/>
            <w:tcBorders>
              <w:tl2br w:val="nil"/>
              <w:tr2bl w:val="nil"/>
            </w:tcBorders>
            <w:vAlign w:val="center"/>
          </w:tcPr>
          <w:p w14:paraId="489BB5F8">
            <w:pPr>
              <w:pStyle w:val="240"/>
              <w:rPr>
                <w:rFonts w:hint="default"/>
              </w:rPr>
            </w:pPr>
            <w:r>
              <w:t>环境要素</w:t>
            </w:r>
          </w:p>
        </w:tc>
        <w:tc>
          <w:tcPr>
            <w:tcW w:w="623" w:type="pct"/>
            <w:vMerge w:val="restart"/>
            <w:tcBorders>
              <w:tl2br w:val="nil"/>
              <w:tr2bl w:val="nil"/>
            </w:tcBorders>
            <w:vAlign w:val="center"/>
          </w:tcPr>
          <w:p w14:paraId="18A0D93E">
            <w:pPr>
              <w:pStyle w:val="240"/>
              <w:rPr>
                <w:rFonts w:hint="default"/>
              </w:rPr>
            </w:pPr>
            <w:r>
              <w:rPr>
                <w:rFonts w:hint="default"/>
              </w:rPr>
              <w:t>保护目标</w:t>
            </w:r>
          </w:p>
        </w:tc>
        <w:tc>
          <w:tcPr>
            <w:tcW w:w="1460" w:type="pct"/>
            <w:gridSpan w:val="2"/>
            <w:tcBorders>
              <w:tl2br w:val="nil"/>
              <w:tr2bl w:val="nil"/>
            </w:tcBorders>
            <w:vAlign w:val="center"/>
          </w:tcPr>
          <w:p w14:paraId="6DBAD372">
            <w:pPr>
              <w:pStyle w:val="240"/>
              <w:rPr>
                <w:rFonts w:hint="default"/>
              </w:rPr>
            </w:pPr>
            <w:r>
              <w:rPr>
                <w:rFonts w:hint="default"/>
              </w:rPr>
              <w:t>坐标</w:t>
            </w:r>
          </w:p>
        </w:tc>
        <w:tc>
          <w:tcPr>
            <w:tcW w:w="467" w:type="pct"/>
            <w:vMerge w:val="restart"/>
            <w:tcBorders>
              <w:tl2br w:val="nil"/>
              <w:tr2bl w:val="nil"/>
            </w:tcBorders>
            <w:vAlign w:val="center"/>
          </w:tcPr>
          <w:p w14:paraId="334EB7E6">
            <w:pPr>
              <w:pStyle w:val="240"/>
              <w:rPr>
                <w:rFonts w:hint="default"/>
              </w:rPr>
            </w:pPr>
            <w:r>
              <w:rPr>
                <w:rFonts w:hint="default"/>
              </w:rPr>
              <w:t>相对厂址方位</w:t>
            </w:r>
          </w:p>
        </w:tc>
        <w:tc>
          <w:tcPr>
            <w:tcW w:w="583" w:type="pct"/>
            <w:vMerge w:val="restart"/>
            <w:tcBorders>
              <w:tl2br w:val="nil"/>
              <w:tr2bl w:val="nil"/>
            </w:tcBorders>
            <w:vAlign w:val="center"/>
          </w:tcPr>
          <w:p w14:paraId="6DF1B337">
            <w:pPr>
              <w:pStyle w:val="240"/>
              <w:rPr>
                <w:rFonts w:hint="default"/>
              </w:rPr>
            </w:pPr>
            <w:r>
              <w:rPr>
                <w:rFonts w:hint="default"/>
              </w:rPr>
              <w:t>相对厂界距离（m）</w:t>
            </w:r>
          </w:p>
        </w:tc>
        <w:tc>
          <w:tcPr>
            <w:tcW w:w="508" w:type="pct"/>
            <w:vMerge w:val="restart"/>
            <w:tcBorders>
              <w:tl2br w:val="nil"/>
              <w:tr2bl w:val="nil"/>
            </w:tcBorders>
            <w:vAlign w:val="center"/>
          </w:tcPr>
          <w:p w14:paraId="6C753BD0">
            <w:pPr>
              <w:pStyle w:val="240"/>
              <w:rPr>
                <w:rFonts w:hint="default"/>
              </w:rPr>
            </w:pPr>
            <w:r>
              <w:t>规模</w:t>
            </w:r>
          </w:p>
        </w:tc>
        <w:tc>
          <w:tcPr>
            <w:tcW w:w="882" w:type="pct"/>
            <w:vMerge w:val="restart"/>
            <w:tcBorders>
              <w:tl2br w:val="nil"/>
              <w:tr2bl w:val="nil"/>
            </w:tcBorders>
            <w:vAlign w:val="center"/>
          </w:tcPr>
          <w:p w14:paraId="68849E0F">
            <w:pPr>
              <w:pStyle w:val="240"/>
              <w:rPr>
                <w:rFonts w:hint="default"/>
              </w:rPr>
            </w:pPr>
            <w:r>
              <w:rPr>
                <w:rFonts w:hint="default"/>
              </w:rPr>
              <w:t>环境功能区</w:t>
            </w:r>
          </w:p>
        </w:tc>
      </w:tr>
      <w:tr w14:paraId="019698C0">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85" w:hRule="atLeast"/>
          <w:jc w:val="center"/>
        </w:trPr>
        <w:tc>
          <w:tcPr>
            <w:tcW w:w="473" w:type="pct"/>
            <w:vMerge w:val="continue"/>
            <w:tcBorders>
              <w:tl2br w:val="nil"/>
              <w:tr2bl w:val="nil"/>
            </w:tcBorders>
            <w:vAlign w:val="center"/>
          </w:tcPr>
          <w:p w14:paraId="0C8DD7D4">
            <w:pPr>
              <w:pStyle w:val="240"/>
              <w:rPr>
                <w:rFonts w:hint="default"/>
              </w:rPr>
            </w:pPr>
          </w:p>
        </w:tc>
        <w:tc>
          <w:tcPr>
            <w:tcW w:w="623" w:type="pct"/>
            <w:vMerge w:val="continue"/>
            <w:tcBorders>
              <w:tl2br w:val="nil"/>
              <w:tr2bl w:val="nil"/>
            </w:tcBorders>
            <w:vAlign w:val="center"/>
          </w:tcPr>
          <w:p w14:paraId="389D943E">
            <w:pPr>
              <w:pStyle w:val="240"/>
              <w:rPr>
                <w:rFonts w:hint="default"/>
              </w:rPr>
            </w:pPr>
          </w:p>
        </w:tc>
        <w:tc>
          <w:tcPr>
            <w:tcW w:w="744" w:type="pct"/>
            <w:tcBorders>
              <w:tl2br w:val="nil"/>
              <w:tr2bl w:val="nil"/>
            </w:tcBorders>
            <w:vAlign w:val="center"/>
          </w:tcPr>
          <w:p w14:paraId="104CD928">
            <w:pPr>
              <w:pStyle w:val="240"/>
              <w:rPr>
                <w:rFonts w:hint="default"/>
              </w:rPr>
            </w:pPr>
            <w:r>
              <w:rPr>
                <w:rFonts w:hint="default"/>
              </w:rPr>
              <w:t>经度</w:t>
            </w:r>
          </w:p>
        </w:tc>
        <w:tc>
          <w:tcPr>
            <w:tcW w:w="715" w:type="pct"/>
            <w:tcBorders>
              <w:tl2br w:val="nil"/>
              <w:tr2bl w:val="nil"/>
            </w:tcBorders>
            <w:vAlign w:val="center"/>
          </w:tcPr>
          <w:p w14:paraId="6F3383B5">
            <w:pPr>
              <w:pStyle w:val="240"/>
              <w:rPr>
                <w:rFonts w:hint="default"/>
              </w:rPr>
            </w:pPr>
            <w:r>
              <w:rPr>
                <w:rFonts w:hint="default"/>
              </w:rPr>
              <w:t>纬度</w:t>
            </w:r>
          </w:p>
        </w:tc>
        <w:tc>
          <w:tcPr>
            <w:tcW w:w="467" w:type="pct"/>
            <w:vMerge w:val="continue"/>
            <w:tcBorders>
              <w:tl2br w:val="nil"/>
              <w:tr2bl w:val="nil"/>
            </w:tcBorders>
            <w:vAlign w:val="center"/>
          </w:tcPr>
          <w:p w14:paraId="2650AF17">
            <w:pPr>
              <w:pStyle w:val="240"/>
              <w:rPr>
                <w:rFonts w:hint="default"/>
              </w:rPr>
            </w:pPr>
          </w:p>
        </w:tc>
        <w:tc>
          <w:tcPr>
            <w:tcW w:w="583" w:type="pct"/>
            <w:vMerge w:val="continue"/>
            <w:tcBorders>
              <w:tl2br w:val="nil"/>
              <w:tr2bl w:val="nil"/>
            </w:tcBorders>
            <w:vAlign w:val="center"/>
          </w:tcPr>
          <w:p w14:paraId="0059D469">
            <w:pPr>
              <w:pStyle w:val="240"/>
              <w:rPr>
                <w:rFonts w:hint="default"/>
              </w:rPr>
            </w:pPr>
          </w:p>
        </w:tc>
        <w:tc>
          <w:tcPr>
            <w:tcW w:w="508" w:type="pct"/>
            <w:vMerge w:val="continue"/>
            <w:tcBorders>
              <w:tl2br w:val="nil"/>
              <w:tr2bl w:val="nil"/>
            </w:tcBorders>
            <w:vAlign w:val="center"/>
          </w:tcPr>
          <w:p w14:paraId="11366576">
            <w:pPr>
              <w:pStyle w:val="240"/>
              <w:rPr>
                <w:rFonts w:hint="default"/>
              </w:rPr>
            </w:pPr>
          </w:p>
        </w:tc>
        <w:tc>
          <w:tcPr>
            <w:tcW w:w="882" w:type="pct"/>
            <w:vMerge w:val="continue"/>
            <w:tcBorders>
              <w:tl2br w:val="nil"/>
              <w:tr2bl w:val="nil"/>
            </w:tcBorders>
            <w:vAlign w:val="center"/>
          </w:tcPr>
          <w:p w14:paraId="6EDF24E0">
            <w:pPr>
              <w:pStyle w:val="240"/>
              <w:rPr>
                <w:rFonts w:hint="default"/>
              </w:rPr>
            </w:pPr>
          </w:p>
        </w:tc>
      </w:tr>
      <w:tr w14:paraId="2CB775C3">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cantSplit/>
          <w:trHeight w:val="532" w:hRule="atLeast"/>
          <w:jc w:val="center"/>
        </w:trPr>
        <w:tc>
          <w:tcPr>
            <w:tcW w:w="473" w:type="pct"/>
            <w:vMerge w:val="restart"/>
            <w:tcBorders>
              <w:tl2br w:val="nil"/>
              <w:tr2bl w:val="nil"/>
            </w:tcBorders>
            <w:vAlign w:val="center"/>
          </w:tcPr>
          <w:p w14:paraId="096EAEAF">
            <w:pPr>
              <w:pStyle w:val="240"/>
              <w:rPr>
                <w:rFonts w:hint="default"/>
              </w:rPr>
            </w:pPr>
            <w:r>
              <w:rPr>
                <w:rFonts w:hint="default"/>
              </w:rPr>
              <w:t>大气环境</w:t>
            </w:r>
          </w:p>
        </w:tc>
        <w:tc>
          <w:tcPr>
            <w:tcW w:w="623" w:type="pct"/>
            <w:tcBorders>
              <w:tl2br w:val="nil"/>
              <w:tr2bl w:val="nil"/>
            </w:tcBorders>
            <w:vAlign w:val="center"/>
          </w:tcPr>
          <w:p w14:paraId="76301423">
            <w:pPr>
              <w:adjustRightInd w:val="0"/>
              <w:snapToGrid w:val="0"/>
              <w:spacing w:line="320" w:lineRule="exact"/>
              <w:jc w:val="center"/>
              <w:rPr>
                <w:szCs w:val="21"/>
              </w:rPr>
            </w:pPr>
            <w:r>
              <w:rPr>
                <w:rFonts w:hint="eastAsia"/>
                <w:szCs w:val="21"/>
              </w:rPr>
              <w:t>普惠农场三队</w:t>
            </w:r>
          </w:p>
        </w:tc>
        <w:tc>
          <w:tcPr>
            <w:tcW w:w="744" w:type="pct"/>
            <w:tcBorders>
              <w:tl2br w:val="nil"/>
              <w:tr2bl w:val="nil"/>
            </w:tcBorders>
            <w:vAlign w:val="center"/>
          </w:tcPr>
          <w:p w14:paraId="2D8180A2">
            <w:pPr>
              <w:adjustRightInd w:val="0"/>
              <w:snapToGrid w:val="0"/>
              <w:spacing w:line="320" w:lineRule="exact"/>
              <w:jc w:val="center"/>
              <w:rPr>
                <w:bCs/>
                <w:szCs w:val="21"/>
              </w:rPr>
            </w:pPr>
            <w:r>
              <w:rPr>
                <w:rFonts w:hint="eastAsia"/>
                <w:bCs/>
                <w:szCs w:val="21"/>
              </w:rPr>
              <w:t>85.85348</w:t>
            </w:r>
          </w:p>
        </w:tc>
        <w:tc>
          <w:tcPr>
            <w:tcW w:w="715" w:type="pct"/>
            <w:tcBorders>
              <w:tl2br w:val="nil"/>
              <w:tr2bl w:val="nil"/>
            </w:tcBorders>
            <w:vAlign w:val="center"/>
          </w:tcPr>
          <w:p w14:paraId="5C309719">
            <w:pPr>
              <w:adjustRightInd w:val="0"/>
              <w:snapToGrid w:val="0"/>
              <w:spacing w:line="320" w:lineRule="exact"/>
              <w:jc w:val="center"/>
              <w:rPr>
                <w:bCs/>
                <w:szCs w:val="21"/>
              </w:rPr>
            </w:pPr>
            <w:r>
              <w:rPr>
                <w:rFonts w:hint="eastAsia"/>
                <w:bCs/>
                <w:szCs w:val="21"/>
              </w:rPr>
              <w:t>41.41325</w:t>
            </w:r>
          </w:p>
        </w:tc>
        <w:tc>
          <w:tcPr>
            <w:tcW w:w="467" w:type="pct"/>
            <w:tcBorders>
              <w:tl2br w:val="nil"/>
              <w:tr2bl w:val="nil"/>
            </w:tcBorders>
            <w:vAlign w:val="center"/>
          </w:tcPr>
          <w:p w14:paraId="4F218887">
            <w:pPr>
              <w:adjustRightInd w:val="0"/>
              <w:snapToGrid w:val="0"/>
              <w:spacing w:line="320" w:lineRule="exact"/>
              <w:jc w:val="center"/>
              <w:rPr>
                <w:bCs/>
                <w:color w:val="000000"/>
                <w:szCs w:val="21"/>
              </w:rPr>
            </w:pPr>
            <w:r>
              <w:rPr>
                <w:rFonts w:hint="eastAsia"/>
                <w:szCs w:val="21"/>
              </w:rPr>
              <w:t>东</w:t>
            </w:r>
            <w:r>
              <w:rPr>
                <w:szCs w:val="21"/>
              </w:rPr>
              <w:t>侧</w:t>
            </w:r>
          </w:p>
        </w:tc>
        <w:tc>
          <w:tcPr>
            <w:tcW w:w="583" w:type="pct"/>
            <w:tcBorders>
              <w:tl2br w:val="nil"/>
              <w:tr2bl w:val="nil"/>
            </w:tcBorders>
            <w:vAlign w:val="center"/>
          </w:tcPr>
          <w:p w14:paraId="547F72D7">
            <w:pPr>
              <w:pStyle w:val="240"/>
              <w:rPr>
                <w:rFonts w:hint="default"/>
              </w:rPr>
            </w:pPr>
            <w:r>
              <w:t>1030</w:t>
            </w:r>
          </w:p>
        </w:tc>
        <w:tc>
          <w:tcPr>
            <w:tcW w:w="508" w:type="pct"/>
            <w:tcBorders>
              <w:tl2br w:val="nil"/>
              <w:tr2bl w:val="nil"/>
            </w:tcBorders>
            <w:vAlign w:val="center"/>
          </w:tcPr>
          <w:p w14:paraId="38658D1B">
            <w:pPr>
              <w:adjustRightInd w:val="0"/>
              <w:snapToGrid w:val="0"/>
              <w:spacing w:line="320" w:lineRule="exact"/>
              <w:jc w:val="center"/>
              <w:rPr>
                <w:rFonts w:hint="default"/>
              </w:rPr>
            </w:pPr>
            <w:r>
              <w:rPr>
                <w:rFonts w:hint="eastAsia"/>
                <w:szCs w:val="21"/>
              </w:rPr>
              <w:t>约64户201</w:t>
            </w:r>
            <w:r>
              <w:rPr>
                <w:szCs w:val="21"/>
              </w:rPr>
              <w:t>人</w:t>
            </w:r>
          </w:p>
        </w:tc>
        <w:tc>
          <w:tcPr>
            <w:tcW w:w="882" w:type="pct"/>
            <w:vMerge w:val="restart"/>
            <w:tcBorders>
              <w:tl2br w:val="nil"/>
              <w:tr2bl w:val="nil"/>
            </w:tcBorders>
            <w:vAlign w:val="center"/>
          </w:tcPr>
          <w:p w14:paraId="2AE306F9">
            <w:pPr>
              <w:pStyle w:val="240"/>
              <w:rPr>
                <w:rFonts w:hint="default"/>
              </w:rPr>
            </w:pPr>
            <w:r>
              <w:rPr>
                <w:rFonts w:hint="default"/>
              </w:rPr>
              <w:t>《环境空气质量标准》（GB3095-</w:t>
            </w:r>
          </w:p>
          <w:p w14:paraId="628F40D7">
            <w:pPr>
              <w:pStyle w:val="240"/>
              <w:rPr>
                <w:rFonts w:hint="default"/>
              </w:rPr>
            </w:pPr>
            <w:r>
              <w:rPr>
                <w:rFonts w:hint="default"/>
              </w:rPr>
              <w:t>1996）中及其修改单中的二级标准</w:t>
            </w:r>
          </w:p>
        </w:tc>
      </w:tr>
      <w:tr w14:paraId="3437AA75">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cantSplit/>
          <w:trHeight w:val="532" w:hRule="atLeast"/>
          <w:jc w:val="center"/>
        </w:trPr>
        <w:tc>
          <w:tcPr>
            <w:tcW w:w="473" w:type="pct"/>
            <w:vMerge w:val="continue"/>
            <w:tcBorders>
              <w:tl2br w:val="nil"/>
              <w:tr2bl w:val="nil"/>
            </w:tcBorders>
            <w:vAlign w:val="center"/>
          </w:tcPr>
          <w:p w14:paraId="152D84C5">
            <w:pPr>
              <w:pStyle w:val="240"/>
              <w:rPr>
                <w:rFonts w:hint="default"/>
              </w:rPr>
            </w:pPr>
          </w:p>
        </w:tc>
        <w:tc>
          <w:tcPr>
            <w:tcW w:w="623" w:type="pct"/>
            <w:tcBorders>
              <w:tl2br w:val="nil"/>
              <w:tr2bl w:val="nil"/>
            </w:tcBorders>
            <w:vAlign w:val="center"/>
          </w:tcPr>
          <w:p w14:paraId="310D4959">
            <w:pPr>
              <w:adjustRightInd w:val="0"/>
              <w:snapToGrid w:val="0"/>
              <w:spacing w:line="320" w:lineRule="exact"/>
              <w:jc w:val="center"/>
            </w:pPr>
            <w:r>
              <w:rPr>
                <w:rFonts w:hint="eastAsia"/>
                <w:szCs w:val="21"/>
              </w:rPr>
              <w:t>普惠农场二队居民区</w:t>
            </w:r>
          </w:p>
        </w:tc>
        <w:tc>
          <w:tcPr>
            <w:tcW w:w="744" w:type="pct"/>
            <w:tcBorders>
              <w:tl2br w:val="nil"/>
              <w:tr2bl w:val="nil"/>
            </w:tcBorders>
            <w:vAlign w:val="center"/>
          </w:tcPr>
          <w:p w14:paraId="78BAA63F">
            <w:pPr>
              <w:adjustRightInd w:val="0"/>
              <w:snapToGrid w:val="0"/>
              <w:spacing w:line="320" w:lineRule="exact"/>
              <w:jc w:val="center"/>
              <w:rPr>
                <w:szCs w:val="21"/>
              </w:rPr>
            </w:pPr>
            <w:r>
              <w:rPr>
                <w:rFonts w:hint="eastAsia"/>
                <w:szCs w:val="21"/>
              </w:rPr>
              <w:t>85.86495</w:t>
            </w:r>
          </w:p>
        </w:tc>
        <w:tc>
          <w:tcPr>
            <w:tcW w:w="715" w:type="pct"/>
            <w:tcBorders>
              <w:tl2br w:val="nil"/>
              <w:tr2bl w:val="nil"/>
            </w:tcBorders>
            <w:vAlign w:val="center"/>
          </w:tcPr>
          <w:p w14:paraId="2B88B5A6">
            <w:pPr>
              <w:adjustRightInd w:val="0"/>
              <w:snapToGrid w:val="0"/>
              <w:spacing w:line="320" w:lineRule="exact"/>
              <w:jc w:val="center"/>
              <w:rPr>
                <w:szCs w:val="21"/>
              </w:rPr>
            </w:pPr>
            <w:r>
              <w:rPr>
                <w:rFonts w:hint="eastAsia"/>
                <w:szCs w:val="21"/>
              </w:rPr>
              <w:t>41.42520</w:t>
            </w:r>
          </w:p>
        </w:tc>
        <w:tc>
          <w:tcPr>
            <w:tcW w:w="467" w:type="pct"/>
            <w:tcBorders>
              <w:tl2br w:val="nil"/>
              <w:tr2bl w:val="nil"/>
            </w:tcBorders>
            <w:vAlign w:val="center"/>
          </w:tcPr>
          <w:p w14:paraId="36AD7766">
            <w:pPr>
              <w:adjustRightInd w:val="0"/>
              <w:snapToGrid w:val="0"/>
              <w:spacing w:line="320" w:lineRule="exact"/>
              <w:jc w:val="center"/>
              <w:rPr>
                <w:color w:val="000000"/>
              </w:rPr>
            </w:pPr>
            <w:r>
              <w:rPr>
                <w:rFonts w:hint="eastAsia"/>
                <w:szCs w:val="21"/>
                <w:lang w:eastAsia="zh-CN"/>
              </w:rPr>
              <w:t>东</w:t>
            </w:r>
            <w:r>
              <w:rPr>
                <w:rFonts w:hint="eastAsia"/>
                <w:szCs w:val="21"/>
              </w:rPr>
              <w:t>北侧</w:t>
            </w:r>
          </w:p>
        </w:tc>
        <w:tc>
          <w:tcPr>
            <w:tcW w:w="583" w:type="pct"/>
            <w:tcBorders>
              <w:tl2br w:val="nil"/>
              <w:tr2bl w:val="nil"/>
            </w:tcBorders>
            <w:vAlign w:val="center"/>
          </w:tcPr>
          <w:p w14:paraId="37CA5295">
            <w:pPr>
              <w:pStyle w:val="240"/>
              <w:rPr>
                <w:rFonts w:hint="default" w:eastAsia="宋体"/>
                <w:lang w:val="en-US" w:eastAsia="zh-CN"/>
              </w:rPr>
            </w:pPr>
            <w:r>
              <w:rPr>
                <w:rFonts w:hint="eastAsia"/>
                <w:lang w:val="en-US" w:eastAsia="zh-CN"/>
              </w:rPr>
              <w:t>2240</w:t>
            </w:r>
          </w:p>
        </w:tc>
        <w:tc>
          <w:tcPr>
            <w:tcW w:w="508" w:type="pct"/>
            <w:tcBorders>
              <w:tl2br w:val="nil"/>
              <w:tr2bl w:val="nil"/>
            </w:tcBorders>
            <w:vAlign w:val="center"/>
          </w:tcPr>
          <w:p w14:paraId="67CEDF64">
            <w:pPr>
              <w:adjustRightInd w:val="0"/>
              <w:snapToGrid w:val="0"/>
              <w:spacing w:line="320" w:lineRule="exact"/>
              <w:jc w:val="center"/>
              <w:rPr>
                <w:rFonts w:hint="default"/>
              </w:rPr>
            </w:pPr>
            <w:r>
              <w:rPr>
                <w:rFonts w:hint="eastAsia"/>
                <w:szCs w:val="21"/>
              </w:rPr>
              <w:t>约24户97</w:t>
            </w:r>
            <w:r>
              <w:rPr>
                <w:szCs w:val="21"/>
              </w:rPr>
              <w:t>人</w:t>
            </w:r>
          </w:p>
        </w:tc>
        <w:tc>
          <w:tcPr>
            <w:tcW w:w="882" w:type="pct"/>
            <w:vMerge w:val="continue"/>
            <w:tcBorders>
              <w:tl2br w:val="nil"/>
              <w:tr2bl w:val="nil"/>
            </w:tcBorders>
            <w:vAlign w:val="center"/>
          </w:tcPr>
          <w:p w14:paraId="065CE130">
            <w:pPr>
              <w:pStyle w:val="240"/>
              <w:rPr>
                <w:rFonts w:hint="default"/>
              </w:rPr>
            </w:pPr>
          </w:p>
        </w:tc>
      </w:tr>
      <w:tr w14:paraId="1CDD8E47">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cantSplit/>
          <w:trHeight w:val="532" w:hRule="atLeast"/>
          <w:jc w:val="center"/>
        </w:trPr>
        <w:tc>
          <w:tcPr>
            <w:tcW w:w="473" w:type="pct"/>
            <w:vMerge w:val="continue"/>
            <w:tcBorders>
              <w:tl2br w:val="nil"/>
              <w:tr2bl w:val="nil"/>
            </w:tcBorders>
            <w:vAlign w:val="center"/>
          </w:tcPr>
          <w:p w14:paraId="45836E8E">
            <w:pPr>
              <w:pStyle w:val="240"/>
              <w:rPr>
                <w:rFonts w:hint="default"/>
              </w:rPr>
            </w:pPr>
          </w:p>
        </w:tc>
        <w:tc>
          <w:tcPr>
            <w:tcW w:w="623" w:type="pct"/>
            <w:tcBorders>
              <w:tl2br w:val="nil"/>
              <w:tr2bl w:val="nil"/>
            </w:tcBorders>
            <w:vAlign w:val="center"/>
          </w:tcPr>
          <w:p w14:paraId="2E6DDFD7">
            <w:pPr>
              <w:adjustRightInd w:val="0"/>
              <w:snapToGrid w:val="0"/>
              <w:spacing w:line="320" w:lineRule="exact"/>
              <w:jc w:val="center"/>
            </w:pPr>
            <w:r>
              <w:rPr>
                <w:rFonts w:hint="eastAsia"/>
                <w:szCs w:val="21"/>
              </w:rPr>
              <w:t>普惠农场八队居民区</w:t>
            </w:r>
          </w:p>
        </w:tc>
        <w:tc>
          <w:tcPr>
            <w:tcW w:w="744" w:type="pct"/>
            <w:tcBorders>
              <w:tl2br w:val="nil"/>
              <w:tr2bl w:val="nil"/>
            </w:tcBorders>
            <w:vAlign w:val="center"/>
          </w:tcPr>
          <w:p w14:paraId="6830D7C7">
            <w:pPr>
              <w:adjustRightInd w:val="0"/>
              <w:snapToGrid w:val="0"/>
              <w:spacing w:line="320" w:lineRule="exact"/>
              <w:jc w:val="center"/>
              <w:rPr>
                <w:rFonts w:hint="eastAsia"/>
                <w:szCs w:val="21"/>
              </w:rPr>
            </w:pPr>
            <w:r>
              <w:rPr>
                <w:rFonts w:hint="eastAsia"/>
                <w:szCs w:val="21"/>
              </w:rPr>
              <w:t>85.83181</w:t>
            </w:r>
          </w:p>
        </w:tc>
        <w:tc>
          <w:tcPr>
            <w:tcW w:w="715" w:type="pct"/>
            <w:tcBorders>
              <w:tl2br w:val="nil"/>
              <w:tr2bl w:val="nil"/>
            </w:tcBorders>
            <w:vAlign w:val="center"/>
          </w:tcPr>
          <w:p w14:paraId="35E7B2FF">
            <w:pPr>
              <w:adjustRightInd w:val="0"/>
              <w:snapToGrid w:val="0"/>
              <w:spacing w:line="320" w:lineRule="exact"/>
              <w:jc w:val="center"/>
              <w:rPr>
                <w:rFonts w:hint="eastAsia"/>
                <w:szCs w:val="21"/>
              </w:rPr>
            </w:pPr>
            <w:r>
              <w:rPr>
                <w:rFonts w:hint="eastAsia"/>
                <w:szCs w:val="21"/>
              </w:rPr>
              <w:t>41.42323</w:t>
            </w:r>
          </w:p>
        </w:tc>
        <w:tc>
          <w:tcPr>
            <w:tcW w:w="467" w:type="pct"/>
            <w:tcBorders>
              <w:tl2br w:val="nil"/>
              <w:tr2bl w:val="nil"/>
            </w:tcBorders>
            <w:vAlign w:val="center"/>
          </w:tcPr>
          <w:p w14:paraId="3FB50D2D">
            <w:pPr>
              <w:adjustRightInd w:val="0"/>
              <w:snapToGrid w:val="0"/>
              <w:spacing w:line="320" w:lineRule="exact"/>
              <w:jc w:val="center"/>
              <w:rPr>
                <w:rFonts w:hint="eastAsia"/>
                <w:szCs w:val="21"/>
              </w:rPr>
            </w:pPr>
            <w:r>
              <w:rPr>
                <w:rFonts w:hint="eastAsia"/>
                <w:szCs w:val="21"/>
              </w:rPr>
              <w:t>西北侧</w:t>
            </w:r>
          </w:p>
        </w:tc>
        <w:tc>
          <w:tcPr>
            <w:tcW w:w="583" w:type="pct"/>
            <w:tcBorders>
              <w:tl2br w:val="nil"/>
              <w:tr2bl w:val="nil"/>
            </w:tcBorders>
            <w:vAlign w:val="center"/>
          </w:tcPr>
          <w:p w14:paraId="23926148">
            <w:pPr>
              <w:pStyle w:val="240"/>
              <w:rPr>
                <w:rFonts w:hint="default" w:eastAsia="宋体"/>
                <w:lang w:val="en-US" w:eastAsia="zh-CN"/>
              </w:rPr>
            </w:pPr>
            <w:r>
              <w:rPr>
                <w:rFonts w:hint="eastAsia"/>
                <w:lang w:val="en-US" w:eastAsia="zh-CN"/>
              </w:rPr>
              <w:t>650</w:t>
            </w:r>
          </w:p>
        </w:tc>
        <w:tc>
          <w:tcPr>
            <w:tcW w:w="508" w:type="pct"/>
            <w:tcBorders>
              <w:tl2br w:val="nil"/>
              <w:tr2bl w:val="nil"/>
            </w:tcBorders>
            <w:vAlign w:val="center"/>
          </w:tcPr>
          <w:p w14:paraId="2A545A6D">
            <w:pPr>
              <w:adjustRightInd w:val="0"/>
              <w:snapToGrid w:val="0"/>
              <w:spacing w:line="320" w:lineRule="exact"/>
              <w:jc w:val="center"/>
              <w:rPr>
                <w:szCs w:val="21"/>
              </w:rPr>
            </w:pPr>
            <w:r>
              <w:rPr>
                <w:rFonts w:hint="eastAsia"/>
                <w:szCs w:val="21"/>
              </w:rPr>
              <w:t>约16户</w:t>
            </w:r>
          </w:p>
          <w:p w14:paraId="673AC275">
            <w:pPr>
              <w:adjustRightInd w:val="0"/>
              <w:snapToGrid w:val="0"/>
              <w:spacing w:line="320" w:lineRule="exact"/>
              <w:jc w:val="center"/>
            </w:pPr>
            <w:r>
              <w:rPr>
                <w:rFonts w:hint="eastAsia"/>
                <w:szCs w:val="21"/>
              </w:rPr>
              <w:t>50人</w:t>
            </w:r>
          </w:p>
        </w:tc>
        <w:tc>
          <w:tcPr>
            <w:tcW w:w="882" w:type="pct"/>
            <w:vMerge w:val="continue"/>
            <w:tcBorders>
              <w:tl2br w:val="nil"/>
              <w:tr2bl w:val="nil"/>
            </w:tcBorders>
            <w:vAlign w:val="center"/>
          </w:tcPr>
          <w:p w14:paraId="66B37973">
            <w:pPr>
              <w:pStyle w:val="240"/>
              <w:rPr>
                <w:rFonts w:hint="default"/>
              </w:rPr>
            </w:pPr>
          </w:p>
        </w:tc>
      </w:tr>
      <w:tr w14:paraId="5E9F89B4">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cantSplit/>
          <w:trHeight w:val="532" w:hRule="atLeast"/>
          <w:jc w:val="center"/>
        </w:trPr>
        <w:tc>
          <w:tcPr>
            <w:tcW w:w="473" w:type="pct"/>
            <w:tcBorders>
              <w:tl2br w:val="nil"/>
              <w:tr2bl w:val="nil"/>
            </w:tcBorders>
            <w:vAlign w:val="center"/>
          </w:tcPr>
          <w:p w14:paraId="569310EF">
            <w:pPr>
              <w:pStyle w:val="240"/>
              <w:rPr>
                <w:rFonts w:hint="default"/>
              </w:rPr>
            </w:pPr>
            <w:r>
              <w:rPr>
                <w:rFonts w:hint="default"/>
              </w:rPr>
              <w:t>地下水水环境</w:t>
            </w:r>
          </w:p>
        </w:tc>
        <w:tc>
          <w:tcPr>
            <w:tcW w:w="3134" w:type="pct"/>
            <w:gridSpan w:val="5"/>
            <w:tcBorders>
              <w:tl2br w:val="nil"/>
              <w:tr2bl w:val="nil"/>
            </w:tcBorders>
            <w:vAlign w:val="center"/>
          </w:tcPr>
          <w:p w14:paraId="62FD9722">
            <w:pPr>
              <w:pStyle w:val="240"/>
              <w:rPr>
                <w:rFonts w:hint="default"/>
              </w:rPr>
            </w:pPr>
            <w:r>
              <w:rPr>
                <w:rFonts w:hint="eastAsia" w:ascii="宋体" w:hAnsi="宋体" w:cs="宋体"/>
                <w:kern w:val="13"/>
              </w:rPr>
              <w:t>项目区上游1km，下游2km，两侧各1km范围</w:t>
            </w:r>
          </w:p>
        </w:tc>
        <w:tc>
          <w:tcPr>
            <w:tcW w:w="508" w:type="pct"/>
            <w:tcBorders>
              <w:tl2br w:val="nil"/>
              <w:tr2bl w:val="nil"/>
            </w:tcBorders>
            <w:vAlign w:val="center"/>
          </w:tcPr>
          <w:p w14:paraId="359BEC49">
            <w:pPr>
              <w:pStyle w:val="240"/>
              <w:rPr>
                <w:rFonts w:hint="default"/>
              </w:rPr>
            </w:pPr>
            <w:r>
              <w:rPr>
                <w:rFonts w:hint="eastAsia" w:ascii="宋体" w:hAnsi="宋体" w:cs="宋体"/>
                <w:kern w:val="13"/>
              </w:rPr>
              <w:t>地下水潜水含水层</w:t>
            </w:r>
          </w:p>
        </w:tc>
        <w:tc>
          <w:tcPr>
            <w:tcW w:w="882" w:type="pct"/>
            <w:tcBorders>
              <w:tl2br w:val="nil"/>
              <w:tr2bl w:val="nil"/>
            </w:tcBorders>
            <w:vAlign w:val="center"/>
          </w:tcPr>
          <w:p w14:paraId="39C48CCE">
            <w:pPr>
              <w:pStyle w:val="240"/>
              <w:rPr>
                <w:rFonts w:hint="default"/>
              </w:rPr>
            </w:pPr>
            <w:r>
              <w:rPr>
                <w:rFonts w:hint="default"/>
              </w:rPr>
              <w:t>满足《地下水质量标准》（GB/T14848</w:t>
            </w:r>
          </w:p>
          <w:p w14:paraId="445A7DF9">
            <w:pPr>
              <w:pStyle w:val="240"/>
              <w:rPr>
                <w:rFonts w:hint="default"/>
              </w:rPr>
            </w:pPr>
            <w:r>
              <w:rPr>
                <w:rFonts w:hint="default"/>
              </w:rPr>
              <w:t>-2017）Ⅲ类标准</w:t>
            </w:r>
          </w:p>
        </w:tc>
      </w:tr>
      <w:tr w14:paraId="6A68DBE4">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cantSplit/>
          <w:trHeight w:val="532" w:hRule="atLeast"/>
          <w:jc w:val="center"/>
        </w:trPr>
        <w:tc>
          <w:tcPr>
            <w:tcW w:w="473" w:type="pct"/>
            <w:tcBorders>
              <w:tl2br w:val="nil"/>
              <w:tr2bl w:val="nil"/>
            </w:tcBorders>
            <w:shd w:val="clear" w:color="auto" w:fill="auto"/>
            <w:vAlign w:val="center"/>
          </w:tcPr>
          <w:p w14:paraId="6150EC86">
            <w:pPr>
              <w:spacing w:line="320" w:lineRule="exact"/>
              <w:jc w:val="center"/>
              <w:textAlignment w:val="baseline"/>
              <w:rPr>
                <w:rFonts w:hint="default" w:ascii="宋体" w:hAnsi="宋体" w:eastAsia="宋体" w:cs="宋体"/>
                <w:kern w:val="13"/>
                <w:sz w:val="21"/>
                <w:lang w:val="en-US" w:eastAsia="zh-CN" w:bidi="ar-SA"/>
              </w:rPr>
            </w:pPr>
            <w:r>
              <w:rPr>
                <w:rFonts w:hint="eastAsia" w:ascii="宋体" w:hAnsi="宋体" w:cs="宋体"/>
                <w:kern w:val="13"/>
              </w:rPr>
              <w:t>声环境</w:t>
            </w:r>
          </w:p>
        </w:tc>
        <w:tc>
          <w:tcPr>
            <w:tcW w:w="3134" w:type="pct"/>
            <w:gridSpan w:val="5"/>
            <w:tcBorders>
              <w:tl2br w:val="nil"/>
              <w:tr2bl w:val="nil"/>
            </w:tcBorders>
            <w:shd w:val="clear" w:color="auto" w:fill="auto"/>
            <w:vAlign w:val="center"/>
          </w:tcPr>
          <w:p w14:paraId="79CE5F86">
            <w:pPr>
              <w:spacing w:line="320" w:lineRule="exact"/>
              <w:jc w:val="center"/>
              <w:textAlignment w:val="baseline"/>
              <w:rPr>
                <w:rFonts w:hint="eastAsia" w:ascii="宋体" w:hAnsi="宋体" w:eastAsia="宋体" w:cs="宋体"/>
                <w:kern w:val="13"/>
                <w:sz w:val="21"/>
                <w:lang w:val="en-US" w:eastAsia="zh-CN" w:bidi="ar-SA"/>
              </w:rPr>
            </w:pPr>
            <w:r>
              <w:rPr>
                <w:rFonts w:hint="eastAsia" w:ascii="宋体" w:hAnsi="宋体" w:cs="宋体"/>
                <w:kern w:val="13"/>
              </w:rPr>
              <w:t>四周200m范围内</w:t>
            </w:r>
          </w:p>
        </w:tc>
        <w:tc>
          <w:tcPr>
            <w:tcW w:w="508" w:type="pct"/>
            <w:tcBorders>
              <w:tl2br w:val="nil"/>
              <w:tr2bl w:val="nil"/>
            </w:tcBorders>
            <w:vAlign w:val="center"/>
          </w:tcPr>
          <w:p w14:paraId="201862F2">
            <w:pPr>
              <w:pStyle w:val="240"/>
              <w:rPr>
                <w:rFonts w:hint="eastAsia" w:ascii="宋体" w:hAnsi="宋体" w:cs="宋体"/>
                <w:kern w:val="13"/>
              </w:rPr>
            </w:pPr>
            <w:r>
              <w:rPr>
                <w:rFonts w:hint="eastAsia" w:ascii="宋体" w:hAnsi="宋体" w:cs="宋体"/>
                <w:kern w:val="13"/>
              </w:rPr>
              <w:t>声环境</w:t>
            </w:r>
          </w:p>
        </w:tc>
        <w:tc>
          <w:tcPr>
            <w:tcW w:w="882" w:type="pct"/>
            <w:tcBorders>
              <w:tl2br w:val="nil"/>
              <w:tr2bl w:val="nil"/>
            </w:tcBorders>
            <w:vAlign w:val="center"/>
          </w:tcPr>
          <w:p w14:paraId="2FF46353">
            <w:pPr>
              <w:pStyle w:val="240"/>
              <w:rPr>
                <w:rFonts w:hint="default"/>
              </w:rPr>
            </w:pPr>
            <w:r>
              <w:rPr>
                <w:rFonts w:hint="eastAsia" w:ascii="宋体" w:hAnsi="宋体" w:cs="宋体"/>
                <w:kern w:val="13"/>
              </w:rPr>
              <w:t>《声环境质量标准》（GB3096—2008）2类功能区标准</w:t>
            </w:r>
          </w:p>
        </w:tc>
      </w:tr>
      <w:tr w14:paraId="1D32170D">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cantSplit/>
          <w:trHeight w:val="532" w:hRule="atLeast"/>
          <w:jc w:val="center"/>
        </w:trPr>
        <w:tc>
          <w:tcPr>
            <w:tcW w:w="473" w:type="pct"/>
            <w:tcBorders>
              <w:tl2br w:val="nil"/>
              <w:tr2bl w:val="nil"/>
            </w:tcBorders>
            <w:vAlign w:val="center"/>
          </w:tcPr>
          <w:p w14:paraId="2972ACD6">
            <w:pPr>
              <w:spacing w:line="320" w:lineRule="exact"/>
              <w:jc w:val="center"/>
              <w:textAlignment w:val="baseline"/>
              <w:rPr>
                <w:rFonts w:hint="eastAsia" w:ascii="宋体" w:hAnsi="宋体" w:cs="宋体"/>
                <w:kern w:val="13"/>
              </w:rPr>
            </w:pPr>
            <w:r>
              <w:rPr>
                <w:rFonts w:hint="eastAsia" w:ascii="宋体" w:hAnsi="宋体" w:cs="宋体"/>
                <w:kern w:val="13"/>
              </w:rPr>
              <w:t>土壤</w:t>
            </w:r>
          </w:p>
          <w:p w14:paraId="2F5D5D8B">
            <w:pPr>
              <w:pStyle w:val="240"/>
              <w:rPr>
                <w:rFonts w:hint="default"/>
              </w:rPr>
            </w:pPr>
            <w:r>
              <w:rPr>
                <w:rFonts w:ascii="宋体" w:hAnsi="宋体" w:cs="宋体"/>
                <w:kern w:val="13"/>
                <w:szCs w:val="20"/>
              </w:rPr>
              <w:t>环境</w:t>
            </w:r>
          </w:p>
        </w:tc>
        <w:tc>
          <w:tcPr>
            <w:tcW w:w="3134" w:type="pct"/>
            <w:gridSpan w:val="5"/>
            <w:tcBorders>
              <w:tl2br w:val="nil"/>
              <w:tr2bl w:val="nil"/>
            </w:tcBorders>
            <w:vAlign w:val="center"/>
          </w:tcPr>
          <w:p w14:paraId="2BDA6222">
            <w:pPr>
              <w:pStyle w:val="240"/>
              <w:rPr>
                <w:rFonts w:hint="default"/>
              </w:rPr>
            </w:pPr>
            <w:r>
              <w:rPr>
                <w:rFonts w:hint="eastAsia"/>
                <w:szCs w:val="21"/>
              </w:rPr>
              <w:t>厂界外延50m范围内耕地</w:t>
            </w:r>
          </w:p>
        </w:tc>
        <w:tc>
          <w:tcPr>
            <w:tcW w:w="508" w:type="pct"/>
            <w:tcBorders>
              <w:tl2br w:val="nil"/>
              <w:tr2bl w:val="nil"/>
            </w:tcBorders>
            <w:vAlign w:val="center"/>
          </w:tcPr>
          <w:p w14:paraId="73F37483">
            <w:pPr>
              <w:pStyle w:val="240"/>
              <w:rPr>
                <w:rFonts w:hint="default"/>
              </w:rPr>
            </w:pPr>
            <w:r>
              <w:t>/</w:t>
            </w:r>
          </w:p>
        </w:tc>
        <w:tc>
          <w:tcPr>
            <w:tcW w:w="882" w:type="pct"/>
            <w:tcBorders>
              <w:tl2br w:val="nil"/>
              <w:tr2bl w:val="nil"/>
            </w:tcBorders>
            <w:vAlign w:val="center"/>
          </w:tcPr>
          <w:p w14:paraId="5DC9AE57">
            <w:pPr>
              <w:pStyle w:val="240"/>
              <w:rPr>
                <w:rFonts w:hint="default"/>
              </w:rPr>
            </w:pPr>
            <w:r>
              <w:rPr>
                <w:rFonts w:hint="eastAsia"/>
                <w:szCs w:val="21"/>
              </w:rPr>
              <w:t>满足《土壤环境质量农用地土壤污染风险管控标准（试行）》（GB15618-2018）相关要求</w:t>
            </w:r>
          </w:p>
        </w:tc>
      </w:tr>
    </w:tbl>
    <w:p w14:paraId="2C3474E2">
      <w:pPr>
        <w:pStyle w:val="3"/>
        <w:keepNext w:val="0"/>
        <w:keepLines w:val="0"/>
        <w:autoSpaceDE w:val="0"/>
        <w:autoSpaceDN w:val="0"/>
        <w:spacing w:before="0" w:after="0" w:line="360" w:lineRule="auto"/>
        <w:jc w:val="left"/>
        <w:rPr>
          <w:rFonts w:ascii="Times New Roman" w:hAnsi="Times New Roman" w:eastAsia="宋体"/>
          <w:kern w:val="0"/>
          <w:sz w:val="24"/>
          <w:szCs w:val="30"/>
          <w:lang w:val="en-US" w:bidi="zh-CN"/>
        </w:rPr>
      </w:pPr>
      <w:bookmarkStart w:id="236" w:name="_Toc11945"/>
      <w:r>
        <w:rPr>
          <w:rFonts w:hint="eastAsia" w:ascii="Times New Roman" w:hAnsi="Times New Roman" w:eastAsia="宋体"/>
          <w:kern w:val="0"/>
          <w:sz w:val="24"/>
          <w:szCs w:val="30"/>
          <w:lang w:val="en-US" w:bidi="zh-CN"/>
        </w:rPr>
        <w:t>4.3环境质量现状调查与评价</w:t>
      </w:r>
      <w:bookmarkEnd w:id="222"/>
      <w:bookmarkEnd w:id="223"/>
      <w:bookmarkEnd w:id="224"/>
      <w:bookmarkEnd w:id="225"/>
      <w:bookmarkEnd w:id="226"/>
      <w:bookmarkEnd w:id="227"/>
      <w:bookmarkEnd w:id="236"/>
    </w:p>
    <w:p w14:paraId="7374C456">
      <w:pPr>
        <w:pStyle w:val="4"/>
        <w:autoSpaceDE w:val="0"/>
        <w:autoSpaceDN w:val="0"/>
        <w:spacing w:before="0" w:after="0" w:line="360" w:lineRule="auto"/>
        <w:jc w:val="left"/>
        <w:rPr>
          <w:kern w:val="0"/>
          <w:sz w:val="24"/>
          <w:lang w:val="en-US" w:bidi="zh-CN"/>
        </w:rPr>
      </w:pPr>
      <w:bookmarkStart w:id="237" w:name="_Toc332727841"/>
      <w:bookmarkStart w:id="238" w:name="_Toc363049974"/>
      <w:bookmarkStart w:id="239" w:name="_Toc329880334"/>
      <w:r>
        <w:rPr>
          <w:rFonts w:hint="eastAsia"/>
          <w:kern w:val="0"/>
          <w:sz w:val="24"/>
          <w:lang w:val="en-US" w:bidi="zh-CN"/>
        </w:rPr>
        <w:t>4.3.1大气环境质量现状调查与评价</w:t>
      </w:r>
    </w:p>
    <w:p w14:paraId="619D06F5">
      <w:pPr>
        <w:spacing w:line="360" w:lineRule="auto"/>
        <w:ind w:firstLine="480"/>
        <w:jc w:val="left"/>
        <w:rPr>
          <w:rFonts w:hint="eastAsia" w:ascii="宋体" w:hAnsi="宋体" w:cs="宋体"/>
          <w:sz w:val="24"/>
          <w:szCs w:val="24"/>
        </w:rPr>
      </w:pPr>
      <w:r>
        <w:rPr>
          <w:rFonts w:hint="eastAsia" w:ascii="宋体" w:hAnsi="宋体" w:cs="宋体"/>
          <w:sz w:val="24"/>
          <w:szCs w:val="24"/>
        </w:rPr>
        <w:t>根据《环境影响评价技术导则  大气环境》(HJ2.2-2018)中对环境质量现状数据的要求规定，通过导则中推荐的估算模型AERSCREEN计算出对污染源的最大环境影响，按照评价工作分级判据判定为二级评价。二级评价调查内容包括：A、调查项目所在区域环境空气质量达标情况；B、调查评价范围内有环境空气质量标准的评价因子的环境空气质量监测数据或进行补充监测，用于评价项目所在区域污染物环境质量现状。特征因子非甲烷总烃、TSP采用现场监测的方式进行调查。</w:t>
      </w:r>
    </w:p>
    <w:p w14:paraId="6020DE9C">
      <w:pPr>
        <w:pStyle w:val="5"/>
        <w:rPr>
          <w:rFonts w:ascii="Times New Roman" w:hAnsi="Times New Roman"/>
          <w:color w:val="000000"/>
          <w:lang w:val="en-US"/>
        </w:rPr>
      </w:pPr>
      <w:r>
        <w:rPr>
          <w:rFonts w:hint="eastAsia" w:ascii="Times New Roman" w:hAnsi="Times New Roman"/>
          <w:color w:val="000000"/>
          <w:lang w:val="en-US"/>
        </w:rPr>
        <w:t>4.3.1.1区域达标判定</w:t>
      </w:r>
    </w:p>
    <w:p w14:paraId="6808FF4E">
      <w:pPr>
        <w:spacing w:line="360" w:lineRule="auto"/>
        <w:ind w:firstLine="480"/>
        <w:jc w:val="left"/>
        <w:rPr>
          <w:rFonts w:hint="eastAsia" w:ascii="宋体" w:hAnsi="宋体" w:cs="宋体"/>
          <w:b/>
          <w:bCs/>
          <w:sz w:val="24"/>
          <w:szCs w:val="24"/>
        </w:rPr>
      </w:pPr>
      <w:r>
        <w:rPr>
          <w:rFonts w:hint="eastAsia" w:ascii="宋体" w:hAnsi="宋体" w:cs="宋体"/>
          <w:b/>
          <w:bCs/>
          <w:sz w:val="24"/>
          <w:szCs w:val="24"/>
        </w:rPr>
        <w:t>（1）评价数据来源</w:t>
      </w:r>
    </w:p>
    <w:p w14:paraId="3C373E1C">
      <w:pPr>
        <w:spacing w:line="360" w:lineRule="auto"/>
        <w:ind w:firstLine="482"/>
        <w:rPr>
          <w:rFonts w:hint="eastAsia" w:ascii="宋体" w:hAnsi="宋体" w:cs="宋体"/>
          <w:sz w:val="24"/>
          <w:szCs w:val="24"/>
          <w:lang w:val="zh-CN"/>
        </w:rPr>
      </w:pPr>
      <w:r>
        <w:rPr>
          <w:rFonts w:hint="eastAsia" w:ascii="宋体" w:hAnsi="宋体" w:cs="宋体"/>
          <w:sz w:val="24"/>
          <w:szCs w:val="24"/>
        </w:rPr>
        <w:t>项目区地处巴州库尔勒市，根据《环境影响评价技术导则 大气环境》（H.J 2.2-2018），基本污染物SO</w:t>
      </w:r>
      <w:r>
        <w:rPr>
          <w:rFonts w:hint="eastAsia" w:ascii="宋体" w:hAnsi="宋体" w:cs="宋体"/>
          <w:sz w:val="24"/>
          <w:szCs w:val="24"/>
          <w:vertAlign w:val="subscript"/>
        </w:rPr>
        <w:t>2</w:t>
      </w:r>
      <w:r>
        <w:rPr>
          <w:rFonts w:hint="eastAsia" w:ascii="宋体" w:hAnsi="宋体" w:cs="宋体"/>
          <w:sz w:val="24"/>
          <w:szCs w:val="24"/>
        </w:rPr>
        <w:t>、NO</w:t>
      </w:r>
      <w:r>
        <w:rPr>
          <w:rFonts w:hint="eastAsia" w:ascii="宋体" w:hAnsi="宋体" w:cs="宋体"/>
          <w:sz w:val="24"/>
          <w:szCs w:val="24"/>
          <w:vertAlign w:val="subscript"/>
        </w:rPr>
        <w:t>2</w:t>
      </w:r>
      <w:r>
        <w:rPr>
          <w:rFonts w:hint="eastAsia" w:ascii="宋体" w:hAnsi="宋体" w:cs="宋体"/>
          <w:sz w:val="24"/>
          <w:szCs w:val="24"/>
        </w:rPr>
        <w:t>、PM</w:t>
      </w:r>
      <w:r>
        <w:rPr>
          <w:rFonts w:hint="eastAsia" w:ascii="宋体" w:hAnsi="宋体" w:cs="宋体"/>
          <w:sz w:val="24"/>
          <w:szCs w:val="24"/>
          <w:vertAlign w:val="subscript"/>
        </w:rPr>
        <w:t>10</w:t>
      </w:r>
      <w:r>
        <w:rPr>
          <w:rFonts w:hint="eastAsia" w:ascii="宋体" w:hAnsi="宋体" w:cs="宋体"/>
          <w:sz w:val="24"/>
          <w:szCs w:val="24"/>
        </w:rPr>
        <w:t>、PM</w:t>
      </w:r>
      <w:r>
        <w:rPr>
          <w:rFonts w:hint="eastAsia" w:ascii="宋体" w:hAnsi="宋体" w:cs="宋体"/>
          <w:sz w:val="24"/>
          <w:szCs w:val="24"/>
          <w:vertAlign w:val="subscript"/>
        </w:rPr>
        <w:t>2.5</w:t>
      </w:r>
      <w:r>
        <w:rPr>
          <w:rFonts w:hint="eastAsia" w:ascii="宋体" w:hAnsi="宋体" w:cs="宋体"/>
          <w:sz w:val="24"/>
          <w:szCs w:val="24"/>
        </w:rPr>
        <w:t>、CO和O</w:t>
      </w:r>
      <w:r>
        <w:rPr>
          <w:rFonts w:hint="eastAsia" w:ascii="宋体" w:hAnsi="宋体" w:cs="宋体"/>
          <w:sz w:val="24"/>
          <w:szCs w:val="24"/>
          <w:vertAlign w:val="subscript"/>
        </w:rPr>
        <w:t>3</w:t>
      </w:r>
      <w:r>
        <w:rPr>
          <w:rFonts w:hint="eastAsia" w:ascii="宋体" w:hAnsi="宋体" w:cs="宋体"/>
          <w:sz w:val="24"/>
          <w:szCs w:val="24"/>
        </w:rPr>
        <w:t>等采用自治区生态环境厅公布的《2024年12月和1-12月全区环境空气质量状况及排名》中2024年库尔勒市的环境空气质量数据。</w:t>
      </w:r>
    </w:p>
    <w:p w14:paraId="2E568BCB">
      <w:pPr>
        <w:spacing w:line="360" w:lineRule="auto"/>
        <w:ind w:firstLine="480"/>
        <w:jc w:val="left"/>
        <w:rPr>
          <w:rFonts w:hint="eastAsia" w:ascii="宋体" w:hAnsi="宋体" w:cs="宋体"/>
          <w:sz w:val="24"/>
          <w:szCs w:val="24"/>
        </w:rPr>
      </w:pPr>
      <w:r>
        <w:rPr>
          <w:rFonts w:hint="eastAsia" w:ascii="宋体" w:hAnsi="宋体" w:cs="宋体"/>
          <w:sz w:val="24"/>
          <w:szCs w:val="24"/>
        </w:rPr>
        <w:t>（2）空气质量达标区判定</w:t>
      </w:r>
    </w:p>
    <w:p w14:paraId="493DB97F">
      <w:pPr>
        <w:spacing w:line="360" w:lineRule="auto"/>
        <w:ind w:firstLine="482"/>
        <w:rPr>
          <w:rFonts w:hint="eastAsia" w:ascii="宋体" w:hAnsi="宋体" w:cs="宋体"/>
          <w:sz w:val="24"/>
          <w:szCs w:val="24"/>
        </w:rPr>
      </w:pPr>
      <w:r>
        <w:rPr>
          <w:rFonts w:hint="eastAsia" w:ascii="宋体" w:hAnsi="宋体" w:cs="宋体"/>
          <w:sz w:val="24"/>
          <w:szCs w:val="24"/>
        </w:rPr>
        <w:t>库尔勒市2024年空气质量现状评价结果见表4.3-1。</w:t>
      </w:r>
    </w:p>
    <w:p w14:paraId="6002134D">
      <w:pPr>
        <w:pStyle w:val="64"/>
        <w:rPr>
          <w:rFonts w:hint="eastAsia" w:ascii="宋体" w:hAnsi="宋体" w:cs="宋体"/>
        </w:rPr>
      </w:pPr>
      <w:r>
        <w:rPr>
          <w:rFonts w:hint="eastAsia" w:ascii="宋体" w:hAnsi="宋体" w:cs="宋体"/>
          <w:bCs/>
          <w:color w:val="auto"/>
        </w:rPr>
        <w:t>表4.3-1   库尔勒空气质量现状监测数据统计表</w:t>
      </w:r>
    </w:p>
    <w:tbl>
      <w:tblPr>
        <w:tblStyle w:val="49"/>
        <w:tblW w:w="4956"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347"/>
        <w:gridCol w:w="2560"/>
        <w:gridCol w:w="1441"/>
        <w:gridCol w:w="1700"/>
        <w:gridCol w:w="1027"/>
        <w:gridCol w:w="961"/>
      </w:tblGrid>
      <w:tr w14:paraId="51F3D97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745" w:type="pct"/>
            <w:tcBorders>
              <w:tl2br w:val="nil"/>
              <w:tr2bl w:val="nil"/>
            </w:tcBorders>
            <w:vAlign w:val="center"/>
          </w:tcPr>
          <w:p w14:paraId="4AAB6CD4">
            <w:pPr>
              <w:adjustRightInd w:val="0"/>
              <w:jc w:val="center"/>
              <w:rPr>
                <w:rFonts w:hint="eastAsia" w:ascii="宋体" w:hAnsi="宋体" w:cs="宋体"/>
                <w:szCs w:val="21"/>
                <w:lang w:eastAsia="en-US"/>
              </w:rPr>
            </w:pPr>
            <w:r>
              <w:rPr>
                <w:rFonts w:hint="eastAsia" w:ascii="宋体" w:hAnsi="宋体" w:cs="宋体"/>
                <w:szCs w:val="21"/>
                <w:lang w:eastAsia="en-US"/>
              </w:rPr>
              <w:t>污染物</w:t>
            </w:r>
          </w:p>
        </w:tc>
        <w:tc>
          <w:tcPr>
            <w:tcW w:w="1416" w:type="pct"/>
            <w:tcBorders>
              <w:tl2br w:val="nil"/>
              <w:tr2bl w:val="nil"/>
            </w:tcBorders>
            <w:vAlign w:val="center"/>
          </w:tcPr>
          <w:p w14:paraId="2D7AE486">
            <w:pPr>
              <w:adjustRightInd w:val="0"/>
              <w:jc w:val="center"/>
              <w:rPr>
                <w:rFonts w:hint="eastAsia" w:ascii="宋体" w:hAnsi="宋体" w:cs="宋体"/>
                <w:szCs w:val="21"/>
                <w:lang w:eastAsia="en-US"/>
              </w:rPr>
            </w:pPr>
            <w:r>
              <w:rPr>
                <w:rFonts w:hint="eastAsia" w:ascii="宋体" w:hAnsi="宋体" w:cs="宋体"/>
                <w:szCs w:val="21"/>
                <w:lang w:eastAsia="en-US"/>
              </w:rPr>
              <w:t>评价项目</w:t>
            </w:r>
          </w:p>
        </w:tc>
        <w:tc>
          <w:tcPr>
            <w:tcW w:w="797" w:type="pct"/>
            <w:tcBorders>
              <w:tl2br w:val="nil"/>
              <w:tr2bl w:val="nil"/>
            </w:tcBorders>
            <w:vAlign w:val="center"/>
          </w:tcPr>
          <w:p w14:paraId="5E9DA48C">
            <w:pPr>
              <w:keepNext w:val="0"/>
              <w:keepLines w:val="0"/>
              <w:pageBreakBefore w:val="0"/>
              <w:widowControl w:val="0"/>
              <w:kinsoku/>
              <w:wordWrap/>
              <w:overflowPunct/>
              <w:topLinePunct w:val="0"/>
              <w:autoSpaceDE/>
              <w:autoSpaceDN/>
              <w:bidi w:val="0"/>
              <w:adjustRightInd w:val="0"/>
              <w:snapToGrid/>
              <w:spacing w:line="240" w:lineRule="exact"/>
              <w:jc w:val="center"/>
              <w:textAlignment w:val="auto"/>
              <w:rPr>
                <w:rFonts w:hint="eastAsia" w:ascii="宋体" w:hAnsi="宋体" w:cs="宋体"/>
                <w:szCs w:val="21"/>
                <w:lang w:eastAsia="en-US"/>
              </w:rPr>
            </w:pPr>
            <w:r>
              <w:rPr>
                <w:rFonts w:hint="eastAsia" w:ascii="宋体" w:hAnsi="宋体" w:cs="宋体"/>
                <w:szCs w:val="21"/>
              </w:rPr>
              <w:t>现状</w:t>
            </w:r>
            <w:r>
              <w:rPr>
                <w:rFonts w:hint="eastAsia" w:ascii="宋体" w:hAnsi="宋体" w:cs="宋体"/>
                <w:szCs w:val="21"/>
                <w:lang w:eastAsia="en-US"/>
              </w:rPr>
              <w:t>浓度</w:t>
            </w:r>
          </w:p>
          <w:p w14:paraId="60BE6DB8">
            <w:pPr>
              <w:keepNext w:val="0"/>
              <w:keepLines w:val="0"/>
              <w:pageBreakBefore w:val="0"/>
              <w:widowControl w:val="0"/>
              <w:kinsoku/>
              <w:wordWrap/>
              <w:overflowPunct/>
              <w:topLinePunct w:val="0"/>
              <w:autoSpaceDE/>
              <w:autoSpaceDN/>
              <w:bidi w:val="0"/>
              <w:adjustRightInd w:val="0"/>
              <w:snapToGrid/>
              <w:spacing w:line="240" w:lineRule="exact"/>
              <w:jc w:val="center"/>
              <w:textAlignment w:val="auto"/>
              <w:rPr>
                <w:rFonts w:hint="eastAsia" w:ascii="宋体" w:hAnsi="宋体" w:cs="宋体"/>
                <w:szCs w:val="21"/>
                <w:lang w:eastAsia="en-US"/>
              </w:rPr>
            </w:pPr>
            <w:r>
              <w:rPr>
                <w:rFonts w:hint="eastAsia" w:ascii="宋体" w:hAnsi="宋体" w:cs="宋体"/>
                <w:szCs w:val="21"/>
                <w:lang w:eastAsia="en-US"/>
              </w:rPr>
              <w:t>（μg/m</w:t>
            </w:r>
            <w:r>
              <w:rPr>
                <w:rFonts w:hint="eastAsia" w:ascii="宋体" w:hAnsi="宋体" w:cs="宋体"/>
                <w:szCs w:val="21"/>
                <w:vertAlign w:val="superscript"/>
                <w:lang w:eastAsia="en-US"/>
              </w:rPr>
              <w:t>3</w:t>
            </w:r>
            <w:r>
              <w:rPr>
                <w:rFonts w:hint="eastAsia" w:ascii="宋体" w:hAnsi="宋体" w:cs="宋体"/>
                <w:szCs w:val="21"/>
                <w:lang w:eastAsia="en-US"/>
              </w:rPr>
              <w:t>）</w:t>
            </w:r>
          </w:p>
        </w:tc>
        <w:tc>
          <w:tcPr>
            <w:tcW w:w="940" w:type="pct"/>
            <w:tcBorders>
              <w:tl2br w:val="nil"/>
              <w:tr2bl w:val="nil"/>
            </w:tcBorders>
            <w:vAlign w:val="center"/>
          </w:tcPr>
          <w:p w14:paraId="0484040A">
            <w:pPr>
              <w:keepNext w:val="0"/>
              <w:keepLines w:val="0"/>
              <w:pageBreakBefore w:val="0"/>
              <w:widowControl w:val="0"/>
              <w:kinsoku/>
              <w:wordWrap/>
              <w:overflowPunct/>
              <w:topLinePunct w:val="0"/>
              <w:autoSpaceDE/>
              <w:autoSpaceDN/>
              <w:bidi w:val="0"/>
              <w:adjustRightInd w:val="0"/>
              <w:snapToGrid/>
              <w:spacing w:line="240" w:lineRule="exact"/>
              <w:jc w:val="center"/>
              <w:textAlignment w:val="auto"/>
              <w:rPr>
                <w:rFonts w:hint="eastAsia" w:ascii="宋体" w:hAnsi="宋体" w:cs="宋体"/>
                <w:szCs w:val="21"/>
              </w:rPr>
            </w:pPr>
            <w:r>
              <w:rPr>
                <w:rFonts w:hint="eastAsia" w:ascii="宋体" w:hAnsi="宋体" w:cs="宋体"/>
                <w:szCs w:val="21"/>
              </w:rPr>
              <w:t>标准（二级）</w:t>
            </w:r>
          </w:p>
          <w:p w14:paraId="579B9F17">
            <w:pPr>
              <w:keepNext w:val="0"/>
              <w:keepLines w:val="0"/>
              <w:pageBreakBefore w:val="0"/>
              <w:widowControl w:val="0"/>
              <w:kinsoku/>
              <w:wordWrap/>
              <w:overflowPunct/>
              <w:topLinePunct w:val="0"/>
              <w:autoSpaceDE/>
              <w:autoSpaceDN/>
              <w:bidi w:val="0"/>
              <w:adjustRightInd w:val="0"/>
              <w:snapToGrid/>
              <w:spacing w:line="240" w:lineRule="exact"/>
              <w:jc w:val="center"/>
              <w:textAlignment w:val="auto"/>
              <w:rPr>
                <w:rFonts w:hint="eastAsia" w:ascii="宋体" w:hAnsi="宋体" w:cs="宋体"/>
                <w:szCs w:val="21"/>
              </w:rPr>
            </w:pPr>
            <w:r>
              <w:rPr>
                <w:rFonts w:hint="eastAsia" w:ascii="宋体" w:hAnsi="宋体" w:cs="宋体"/>
                <w:szCs w:val="21"/>
              </w:rPr>
              <w:t>（</w:t>
            </w:r>
            <w:r>
              <w:rPr>
                <w:rFonts w:hint="eastAsia" w:ascii="宋体" w:hAnsi="宋体" w:cs="宋体"/>
                <w:szCs w:val="21"/>
                <w:lang w:eastAsia="en-US"/>
              </w:rPr>
              <w:t>μ</w:t>
            </w:r>
            <w:r>
              <w:rPr>
                <w:rFonts w:hint="eastAsia" w:ascii="宋体" w:hAnsi="宋体" w:cs="宋体"/>
                <w:szCs w:val="21"/>
              </w:rPr>
              <w:t>g/m</w:t>
            </w:r>
            <w:r>
              <w:rPr>
                <w:rFonts w:hint="eastAsia" w:ascii="宋体" w:hAnsi="宋体" w:cs="宋体"/>
                <w:szCs w:val="21"/>
                <w:vertAlign w:val="superscript"/>
              </w:rPr>
              <w:t>3</w:t>
            </w:r>
            <w:r>
              <w:rPr>
                <w:rFonts w:hint="eastAsia" w:ascii="宋体" w:hAnsi="宋体" w:cs="宋体"/>
                <w:szCs w:val="21"/>
              </w:rPr>
              <w:t>）</w:t>
            </w:r>
          </w:p>
        </w:tc>
        <w:tc>
          <w:tcPr>
            <w:tcW w:w="568" w:type="pct"/>
            <w:tcBorders>
              <w:tl2br w:val="nil"/>
              <w:tr2bl w:val="nil"/>
            </w:tcBorders>
            <w:vAlign w:val="center"/>
          </w:tcPr>
          <w:p w14:paraId="08331CAF">
            <w:pPr>
              <w:keepNext w:val="0"/>
              <w:keepLines w:val="0"/>
              <w:pageBreakBefore w:val="0"/>
              <w:widowControl w:val="0"/>
              <w:kinsoku/>
              <w:wordWrap/>
              <w:overflowPunct/>
              <w:topLinePunct w:val="0"/>
              <w:autoSpaceDE/>
              <w:autoSpaceDN/>
              <w:bidi w:val="0"/>
              <w:adjustRightInd w:val="0"/>
              <w:snapToGrid/>
              <w:spacing w:line="240" w:lineRule="exact"/>
              <w:jc w:val="center"/>
              <w:textAlignment w:val="auto"/>
              <w:rPr>
                <w:rFonts w:hint="eastAsia" w:ascii="宋体" w:hAnsi="宋体" w:cs="宋体"/>
                <w:szCs w:val="21"/>
                <w:lang w:eastAsia="en-US"/>
              </w:rPr>
            </w:pPr>
            <w:r>
              <w:rPr>
                <w:rFonts w:hint="eastAsia" w:ascii="宋体" w:hAnsi="宋体" w:cs="宋体"/>
                <w:szCs w:val="21"/>
                <w:lang w:eastAsia="en-US"/>
              </w:rPr>
              <w:t>占标率%</w:t>
            </w:r>
          </w:p>
        </w:tc>
        <w:tc>
          <w:tcPr>
            <w:tcW w:w="531" w:type="pct"/>
            <w:tcBorders>
              <w:tl2br w:val="nil"/>
              <w:tr2bl w:val="nil"/>
            </w:tcBorders>
            <w:vAlign w:val="center"/>
          </w:tcPr>
          <w:p w14:paraId="2BE02B8F">
            <w:pPr>
              <w:keepNext w:val="0"/>
              <w:keepLines w:val="0"/>
              <w:pageBreakBefore w:val="0"/>
              <w:widowControl w:val="0"/>
              <w:kinsoku/>
              <w:wordWrap/>
              <w:overflowPunct/>
              <w:topLinePunct w:val="0"/>
              <w:autoSpaceDE/>
              <w:autoSpaceDN/>
              <w:bidi w:val="0"/>
              <w:adjustRightInd w:val="0"/>
              <w:snapToGrid/>
              <w:spacing w:line="240" w:lineRule="exact"/>
              <w:jc w:val="center"/>
              <w:textAlignment w:val="auto"/>
              <w:rPr>
                <w:rFonts w:hint="eastAsia" w:ascii="宋体" w:hAnsi="宋体" w:cs="宋体"/>
                <w:szCs w:val="21"/>
                <w:lang w:eastAsia="en-US"/>
              </w:rPr>
            </w:pPr>
            <w:r>
              <w:rPr>
                <w:rFonts w:hint="eastAsia" w:ascii="宋体" w:hAnsi="宋体" w:cs="宋体"/>
                <w:szCs w:val="21"/>
                <w:lang w:eastAsia="en-US"/>
              </w:rPr>
              <w:t>达标情况</w:t>
            </w:r>
          </w:p>
        </w:tc>
      </w:tr>
      <w:tr w14:paraId="654435A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1" w:hRule="atLeast"/>
        </w:trPr>
        <w:tc>
          <w:tcPr>
            <w:tcW w:w="745" w:type="pct"/>
            <w:tcBorders>
              <w:tl2br w:val="nil"/>
              <w:tr2bl w:val="nil"/>
            </w:tcBorders>
            <w:vAlign w:val="center"/>
          </w:tcPr>
          <w:p w14:paraId="12E9FC14">
            <w:pPr>
              <w:adjustRightInd w:val="0"/>
              <w:jc w:val="center"/>
              <w:rPr>
                <w:rFonts w:hint="eastAsia" w:ascii="宋体" w:hAnsi="宋体" w:cs="宋体"/>
                <w:szCs w:val="21"/>
                <w:lang w:eastAsia="en-US"/>
              </w:rPr>
            </w:pPr>
            <w:r>
              <w:rPr>
                <w:rFonts w:hint="eastAsia" w:ascii="宋体" w:hAnsi="宋体" w:cs="宋体"/>
                <w:szCs w:val="21"/>
                <w:lang w:eastAsia="en-US"/>
              </w:rPr>
              <w:t>SO</w:t>
            </w:r>
            <w:r>
              <w:rPr>
                <w:rFonts w:hint="eastAsia" w:ascii="宋体" w:hAnsi="宋体" w:cs="宋体"/>
                <w:szCs w:val="21"/>
                <w:vertAlign w:val="subscript"/>
                <w:lang w:eastAsia="en-US"/>
              </w:rPr>
              <w:t>2</w:t>
            </w:r>
          </w:p>
        </w:tc>
        <w:tc>
          <w:tcPr>
            <w:tcW w:w="1416" w:type="pct"/>
            <w:tcBorders>
              <w:tl2br w:val="nil"/>
              <w:tr2bl w:val="nil"/>
            </w:tcBorders>
            <w:vAlign w:val="center"/>
          </w:tcPr>
          <w:p w14:paraId="357842F0">
            <w:pPr>
              <w:adjustRightInd w:val="0"/>
              <w:jc w:val="center"/>
              <w:rPr>
                <w:rFonts w:hint="eastAsia" w:ascii="宋体" w:hAnsi="宋体" w:cs="宋体"/>
                <w:szCs w:val="21"/>
                <w:lang w:eastAsia="en-US"/>
              </w:rPr>
            </w:pPr>
            <w:r>
              <w:rPr>
                <w:rFonts w:hint="eastAsia" w:ascii="宋体" w:hAnsi="宋体" w:cs="宋体"/>
                <w:szCs w:val="21"/>
                <w:lang w:eastAsia="en-US"/>
              </w:rPr>
              <w:t>年平均</w:t>
            </w:r>
          </w:p>
        </w:tc>
        <w:tc>
          <w:tcPr>
            <w:tcW w:w="797" w:type="pct"/>
            <w:tcBorders>
              <w:tl2br w:val="nil"/>
              <w:tr2bl w:val="nil"/>
            </w:tcBorders>
            <w:vAlign w:val="center"/>
          </w:tcPr>
          <w:p w14:paraId="61ACC974">
            <w:pPr>
              <w:adjustRightInd w:val="0"/>
              <w:jc w:val="center"/>
              <w:rPr>
                <w:rFonts w:hint="eastAsia" w:ascii="宋体" w:hAnsi="宋体" w:cs="宋体"/>
                <w:szCs w:val="21"/>
              </w:rPr>
            </w:pPr>
            <w:r>
              <w:rPr>
                <w:rFonts w:hint="eastAsia" w:ascii="宋体" w:hAnsi="宋体" w:cs="宋体"/>
                <w:szCs w:val="21"/>
              </w:rPr>
              <w:t>5</w:t>
            </w:r>
          </w:p>
        </w:tc>
        <w:tc>
          <w:tcPr>
            <w:tcW w:w="940" w:type="pct"/>
            <w:tcBorders>
              <w:tl2br w:val="nil"/>
              <w:tr2bl w:val="nil"/>
            </w:tcBorders>
            <w:vAlign w:val="center"/>
          </w:tcPr>
          <w:p w14:paraId="3CB93FEE">
            <w:pPr>
              <w:adjustRightInd w:val="0"/>
              <w:jc w:val="center"/>
              <w:rPr>
                <w:rFonts w:hint="eastAsia" w:ascii="宋体" w:hAnsi="宋体" w:cs="宋体"/>
                <w:szCs w:val="21"/>
                <w:lang w:eastAsia="en-US"/>
              </w:rPr>
            </w:pPr>
            <w:r>
              <w:rPr>
                <w:rFonts w:hint="eastAsia" w:ascii="宋体" w:hAnsi="宋体" w:cs="宋体"/>
                <w:szCs w:val="21"/>
                <w:lang w:eastAsia="en-US"/>
              </w:rPr>
              <w:t>60</w:t>
            </w:r>
          </w:p>
        </w:tc>
        <w:tc>
          <w:tcPr>
            <w:tcW w:w="568" w:type="pct"/>
            <w:tcBorders>
              <w:tl2br w:val="nil"/>
              <w:tr2bl w:val="nil"/>
            </w:tcBorders>
            <w:vAlign w:val="center"/>
          </w:tcPr>
          <w:p w14:paraId="29D670AB">
            <w:pPr>
              <w:adjustRightInd w:val="0"/>
              <w:jc w:val="center"/>
              <w:rPr>
                <w:rFonts w:hint="eastAsia" w:ascii="宋体" w:hAnsi="宋体" w:cs="宋体"/>
                <w:szCs w:val="21"/>
              </w:rPr>
            </w:pPr>
            <w:r>
              <w:rPr>
                <w:rFonts w:hint="eastAsia" w:ascii="宋体" w:hAnsi="宋体" w:cs="宋体"/>
                <w:szCs w:val="21"/>
              </w:rPr>
              <w:t>8.32</w:t>
            </w:r>
          </w:p>
        </w:tc>
        <w:tc>
          <w:tcPr>
            <w:tcW w:w="531" w:type="pct"/>
            <w:tcBorders>
              <w:tl2br w:val="nil"/>
              <w:tr2bl w:val="nil"/>
            </w:tcBorders>
            <w:vAlign w:val="center"/>
          </w:tcPr>
          <w:p w14:paraId="22AD167B">
            <w:pPr>
              <w:adjustRightInd w:val="0"/>
              <w:jc w:val="center"/>
              <w:rPr>
                <w:rFonts w:hint="eastAsia" w:ascii="宋体" w:hAnsi="宋体" w:cs="宋体"/>
                <w:szCs w:val="21"/>
                <w:lang w:eastAsia="en-US"/>
              </w:rPr>
            </w:pPr>
            <w:r>
              <w:rPr>
                <w:rFonts w:hint="eastAsia" w:ascii="宋体" w:hAnsi="宋体" w:cs="宋体"/>
                <w:szCs w:val="21"/>
                <w:lang w:eastAsia="en-US"/>
              </w:rPr>
              <w:t>达标</w:t>
            </w:r>
          </w:p>
        </w:tc>
      </w:tr>
      <w:tr w14:paraId="7A8654B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18" w:hRule="atLeast"/>
        </w:trPr>
        <w:tc>
          <w:tcPr>
            <w:tcW w:w="745" w:type="pct"/>
            <w:tcBorders>
              <w:tl2br w:val="nil"/>
              <w:tr2bl w:val="nil"/>
            </w:tcBorders>
            <w:vAlign w:val="center"/>
          </w:tcPr>
          <w:p w14:paraId="04CB9174">
            <w:pPr>
              <w:adjustRightInd w:val="0"/>
              <w:jc w:val="center"/>
              <w:rPr>
                <w:rFonts w:hint="eastAsia" w:ascii="宋体" w:hAnsi="宋体" w:cs="宋体"/>
                <w:szCs w:val="21"/>
                <w:lang w:eastAsia="en-US"/>
              </w:rPr>
            </w:pPr>
            <w:r>
              <w:rPr>
                <w:rFonts w:hint="eastAsia" w:ascii="宋体" w:hAnsi="宋体" w:cs="宋体"/>
                <w:szCs w:val="21"/>
                <w:lang w:eastAsia="en-US"/>
              </w:rPr>
              <w:t>NO</w:t>
            </w:r>
            <w:r>
              <w:rPr>
                <w:rFonts w:hint="eastAsia" w:ascii="宋体" w:hAnsi="宋体" w:cs="宋体"/>
                <w:szCs w:val="21"/>
                <w:vertAlign w:val="subscript"/>
                <w:lang w:eastAsia="en-US"/>
              </w:rPr>
              <w:t>2</w:t>
            </w:r>
          </w:p>
        </w:tc>
        <w:tc>
          <w:tcPr>
            <w:tcW w:w="1416" w:type="pct"/>
            <w:tcBorders>
              <w:tl2br w:val="nil"/>
              <w:tr2bl w:val="nil"/>
            </w:tcBorders>
            <w:vAlign w:val="center"/>
          </w:tcPr>
          <w:p w14:paraId="1097C8B0">
            <w:pPr>
              <w:adjustRightInd w:val="0"/>
              <w:jc w:val="center"/>
              <w:rPr>
                <w:rFonts w:hint="eastAsia" w:ascii="宋体" w:hAnsi="宋体" w:cs="宋体"/>
                <w:szCs w:val="21"/>
                <w:lang w:eastAsia="en-US"/>
              </w:rPr>
            </w:pPr>
            <w:r>
              <w:rPr>
                <w:rFonts w:hint="eastAsia" w:ascii="宋体" w:hAnsi="宋体" w:cs="宋体"/>
                <w:szCs w:val="21"/>
                <w:lang w:eastAsia="en-US"/>
              </w:rPr>
              <w:t>年平均</w:t>
            </w:r>
          </w:p>
        </w:tc>
        <w:tc>
          <w:tcPr>
            <w:tcW w:w="797" w:type="pct"/>
            <w:tcBorders>
              <w:tl2br w:val="nil"/>
              <w:tr2bl w:val="nil"/>
            </w:tcBorders>
            <w:vAlign w:val="center"/>
          </w:tcPr>
          <w:p w14:paraId="29FACE99">
            <w:pPr>
              <w:adjustRightInd w:val="0"/>
              <w:jc w:val="center"/>
              <w:rPr>
                <w:rFonts w:hint="eastAsia" w:ascii="宋体" w:hAnsi="宋体" w:cs="宋体"/>
                <w:szCs w:val="21"/>
              </w:rPr>
            </w:pPr>
            <w:r>
              <w:rPr>
                <w:rFonts w:hint="eastAsia" w:ascii="宋体" w:hAnsi="宋体" w:cs="宋体"/>
                <w:szCs w:val="21"/>
              </w:rPr>
              <w:t>23</w:t>
            </w:r>
          </w:p>
        </w:tc>
        <w:tc>
          <w:tcPr>
            <w:tcW w:w="940" w:type="pct"/>
            <w:tcBorders>
              <w:tl2br w:val="nil"/>
              <w:tr2bl w:val="nil"/>
            </w:tcBorders>
            <w:vAlign w:val="center"/>
          </w:tcPr>
          <w:p w14:paraId="15D48213">
            <w:pPr>
              <w:adjustRightInd w:val="0"/>
              <w:jc w:val="center"/>
              <w:rPr>
                <w:rFonts w:hint="eastAsia" w:ascii="宋体" w:hAnsi="宋体" w:cs="宋体"/>
                <w:szCs w:val="21"/>
                <w:lang w:eastAsia="en-US"/>
              </w:rPr>
            </w:pPr>
            <w:r>
              <w:rPr>
                <w:rFonts w:hint="eastAsia" w:ascii="宋体" w:hAnsi="宋体" w:cs="宋体"/>
                <w:szCs w:val="21"/>
                <w:lang w:eastAsia="en-US"/>
              </w:rPr>
              <w:t>40</w:t>
            </w:r>
          </w:p>
        </w:tc>
        <w:tc>
          <w:tcPr>
            <w:tcW w:w="568" w:type="pct"/>
            <w:tcBorders>
              <w:tl2br w:val="nil"/>
              <w:tr2bl w:val="nil"/>
            </w:tcBorders>
            <w:vAlign w:val="center"/>
          </w:tcPr>
          <w:p w14:paraId="148ED91D">
            <w:pPr>
              <w:adjustRightInd w:val="0"/>
              <w:jc w:val="center"/>
              <w:rPr>
                <w:rFonts w:hint="eastAsia" w:ascii="宋体" w:hAnsi="宋体" w:cs="宋体"/>
                <w:szCs w:val="21"/>
              </w:rPr>
            </w:pPr>
            <w:r>
              <w:rPr>
                <w:rFonts w:hint="eastAsia" w:ascii="宋体" w:hAnsi="宋体" w:cs="宋体"/>
                <w:szCs w:val="21"/>
              </w:rPr>
              <w:t>57.5</w:t>
            </w:r>
          </w:p>
        </w:tc>
        <w:tc>
          <w:tcPr>
            <w:tcW w:w="531" w:type="pct"/>
            <w:tcBorders>
              <w:tl2br w:val="nil"/>
              <w:tr2bl w:val="nil"/>
            </w:tcBorders>
            <w:vAlign w:val="center"/>
          </w:tcPr>
          <w:p w14:paraId="472BE894">
            <w:pPr>
              <w:adjustRightInd w:val="0"/>
              <w:jc w:val="center"/>
              <w:rPr>
                <w:rFonts w:hint="eastAsia" w:ascii="宋体" w:hAnsi="宋体" w:cs="宋体"/>
                <w:szCs w:val="21"/>
                <w:lang w:eastAsia="en-US"/>
              </w:rPr>
            </w:pPr>
            <w:r>
              <w:rPr>
                <w:rFonts w:hint="eastAsia" w:ascii="宋体" w:hAnsi="宋体" w:cs="宋体"/>
                <w:szCs w:val="21"/>
                <w:lang w:eastAsia="en-US"/>
              </w:rPr>
              <w:t>达标</w:t>
            </w:r>
          </w:p>
        </w:tc>
      </w:tr>
      <w:tr w14:paraId="7AFBFEB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18" w:hRule="atLeast"/>
        </w:trPr>
        <w:tc>
          <w:tcPr>
            <w:tcW w:w="745" w:type="pct"/>
            <w:tcBorders>
              <w:tl2br w:val="nil"/>
              <w:tr2bl w:val="nil"/>
            </w:tcBorders>
            <w:vAlign w:val="center"/>
          </w:tcPr>
          <w:p w14:paraId="0E6C3631">
            <w:pPr>
              <w:adjustRightInd w:val="0"/>
              <w:jc w:val="center"/>
              <w:rPr>
                <w:rFonts w:hint="eastAsia" w:ascii="宋体" w:hAnsi="宋体" w:cs="宋体"/>
                <w:szCs w:val="21"/>
                <w:lang w:eastAsia="en-US"/>
              </w:rPr>
            </w:pPr>
            <w:r>
              <w:rPr>
                <w:rFonts w:hint="eastAsia" w:ascii="宋体" w:hAnsi="宋体" w:cs="宋体"/>
                <w:szCs w:val="21"/>
                <w:lang w:eastAsia="en-US"/>
              </w:rPr>
              <w:t>CO</w:t>
            </w:r>
          </w:p>
        </w:tc>
        <w:tc>
          <w:tcPr>
            <w:tcW w:w="1416" w:type="pct"/>
            <w:tcBorders>
              <w:tl2br w:val="nil"/>
              <w:tr2bl w:val="nil"/>
            </w:tcBorders>
            <w:vAlign w:val="center"/>
          </w:tcPr>
          <w:p w14:paraId="68679D49">
            <w:pPr>
              <w:adjustRightInd w:val="0"/>
              <w:jc w:val="center"/>
              <w:rPr>
                <w:rFonts w:hint="eastAsia" w:ascii="宋体" w:hAnsi="宋体" w:cs="宋体"/>
                <w:szCs w:val="21"/>
                <w:lang w:eastAsia="en-US"/>
              </w:rPr>
            </w:pPr>
            <w:r>
              <w:rPr>
                <w:rFonts w:hint="eastAsia" w:ascii="宋体" w:hAnsi="宋体" w:cs="宋体"/>
                <w:szCs w:val="21"/>
                <w:lang w:eastAsia="en-US"/>
              </w:rPr>
              <w:t>24h平均第95百分位数</w:t>
            </w:r>
          </w:p>
        </w:tc>
        <w:tc>
          <w:tcPr>
            <w:tcW w:w="797" w:type="pct"/>
            <w:tcBorders>
              <w:tl2br w:val="nil"/>
              <w:tr2bl w:val="nil"/>
            </w:tcBorders>
            <w:vAlign w:val="center"/>
          </w:tcPr>
          <w:p w14:paraId="6A09EF28">
            <w:pPr>
              <w:adjustRightInd w:val="0"/>
              <w:jc w:val="center"/>
              <w:rPr>
                <w:rFonts w:hint="eastAsia" w:ascii="宋体" w:hAnsi="宋体" w:cs="宋体"/>
                <w:szCs w:val="21"/>
              </w:rPr>
            </w:pPr>
            <w:r>
              <w:rPr>
                <w:rFonts w:hint="eastAsia" w:ascii="宋体" w:hAnsi="宋体" w:cs="宋体"/>
                <w:szCs w:val="21"/>
              </w:rPr>
              <w:t>400</w:t>
            </w:r>
          </w:p>
        </w:tc>
        <w:tc>
          <w:tcPr>
            <w:tcW w:w="940" w:type="pct"/>
            <w:tcBorders>
              <w:tl2br w:val="nil"/>
              <w:tr2bl w:val="nil"/>
            </w:tcBorders>
            <w:vAlign w:val="center"/>
          </w:tcPr>
          <w:p w14:paraId="1A28B21E">
            <w:pPr>
              <w:adjustRightInd w:val="0"/>
              <w:jc w:val="center"/>
              <w:rPr>
                <w:rFonts w:hint="eastAsia" w:ascii="宋体" w:hAnsi="宋体" w:cs="宋体"/>
                <w:szCs w:val="21"/>
                <w:lang w:eastAsia="en-US"/>
              </w:rPr>
            </w:pPr>
            <w:r>
              <w:rPr>
                <w:rFonts w:hint="eastAsia" w:ascii="宋体" w:hAnsi="宋体" w:cs="宋体"/>
                <w:szCs w:val="21"/>
                <w:lang w:eastAsia="en-US"/>
              </w:rPr>
              <w:t>4</w:t>
            </w:r>
          </w:p>
        </w:tc>
        <w:tc>
          <w:tcPr>
            <w:tcW w:w="568" w:type="pct"/>
            <w:tcBorders>
              <w:tl2br w:val="nil"/>
              <w:tr2bl w:val="nil"/>
            </w:tcBorders>
            <w:vAlign w:val="center"/>
          </w:tcPr>
          <w:p w14:paraId="2645E18C">
            <w:pPr>
              <w:adjustRightInd w:val="0"/>
              <w:jc w:val="center"/>
              <w:rPr>
                <w:rFonts w:hint="eastAsia" w:ascii="宋体" w:hAnsi="宋体" w:cs="宋体"/>
                <w:szCs w:val="21"/>
              </w:rPr>
            </w:pPr>
            <w:r>
              <w:rPr>
                <w:rFonts w:hint="eastAsia" w:ascii="宋体" w:hAnsi="宋体" w:cs="宋体"/>
                <w:szCs w:val="21"/>
              </w:rPr>
              <w:t>10.00</w:t>
            </w:r>
          </w:p>
        </w:tc>
        <w:tc>
          <w:tcPr>
            <w:tcW w:w="531" w:type="pct"/>
            <w:tcBorders>
              <w:tl2br w:val="nil"/>
              <w:tr2bl w:val="nil"/>
            </w:tcBorders>
            <w:vAlign w:val="center"/>
          </w:tcPr>
          <w:p w14:paraId="61EA779F">
            <w:pPr>
              <w:adjustRightInd w:val="0"/>
              <w:jc w:val="center"/>
              <w:rPr>
                <w:rFonts w:hint="eastAsia" w:ascii="宋体" w:hAnsi="宋体" w:cs="宋体"/>
                <w:szCs w:val="21"/>
                <w:lang w:eastAsia="en-US"/>
              </w:rPr>
            </w:pPr>
            <w:r>
              <w:rPr>
                <w:rFonts w:hint="eastAsia" w:ascii="宋体" w:hAnsi="宋体" w:cs="宋体"/>
                <w:szCs w:val="21"/>
                <w:lang w:eastAsia="en-US"/>
              </w:rPr>
              <w:t>达标</w:t>
            </w:r>
          </w:p>
        </w:tc>
      </w:tr>
      <w:tr w14:paraId="20A7BA4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0" w:hRule="atLeast"/>
        </w:trPr>
        <w:tc>
          <w:tcPr>
            <w:tcW w:w="745" w:type="pct"/>
            <w:tcBorders>
              <w:tl2br w:val="nil"/>
              <w:tr2bl w:val="nil"/>
            </w:tcBorders>
            <w:vAlign w:val="center"/>
          </w:tcPr>
          <w:p w14:paraId="30672778">
            <w:pPr>
              <w:adjustRightInd w:val="0"/>
              <w:jc w:val="center"/>
              <w:rPr>
                <w:rFonts w:hint="eastAsia" w:ascii="宋体" w:hAnsi="宋体" w:cs="宋体"/>
                <w:szCs w:val="21"/>
                <w:lang w:eastAsia="en-US"/>
              </w:rPr>
            </w:pPr>
            <w:r>
              <w:rPr>
                <w:rFonts w:hint="eastAsia" w:ascii="宋体" w:hAnsi="宋体" w:cs="宋体"/>
                <w:szCs w:val="21"/>
                <w:lang w:eastAsia="en-US"/>
              </w:rPr>
              <w:t>O</w:t>
            </w:r>
            <w:r>
              <w:rPr>
                <w:rFonts w:hint="eastAsia" w:ascii="宋体" w:hAnsi="宋体" w:cs="宋体"/>
                <w:szCs w:val="21"/>
                <w:vertAlign w:val="subscript"/>
                <w:lang w:eastAsia="en-US"/>
              </w:rPr>
              <w:t>3</w:t>
            </w:r>
          </w:p>
        </w:tc>
        <w:tc>
          <w:tcPr>
            <w:tcW w:w="1416" w:type="pct"/>
            <w:tcBorders>
              <w:tl2br w:val="nil"/>
              <w:tr2bl w:val="nil"/>
            </w:tcBorders>
            <w:vAlign w:val="center"/>
          </w:tcPr>
          <w:p w14:paraId="0061E59D">
            <w:pPr>
              <w:adjustRightInd w:val="0"/>
              <w:jc w:val="center"/>
              <w:rPr>
                <w:rFonts w:hint="eastAsia" w:ascii="宋体" w:hAnsi="宋体" w:cs="宋体"/>
                <w:szCs w:val="21"/>
              </w:rPr>
            </w:pPr>
            <w:r>
              <w:rPr>
                <w:rFonts w:hint="eastAsia" w:ascii="宋体" w:hAnsi="宋体" w:cs="宋体"/>
                <w:szCs w:val="21"/>
              </w:rPr>
              <w:t>最大8小时滑动平均值的第90百分位数</w:t>
            </w:r>
          </w:p>
        </w:tc>
        <w:tc>
          <w:tcPr>
            <w:tcW w:w="797" w:type="pct"/>
            <w:tcBorders>
              <w:tl2br w:val="nil"/>
              <w:tr2bl w:val="nil"/>
            </w:tcBorders>
            <w:vAlign w:val="center"/>
          </w:tcPr>
          <w:p w14:paraId="46B2624B">
            <w:pPr>
              <w:adjustRightInd w:val="0"/>
              <w:jc w:val="center"/>
              <w:rPr>
                <w:rFonts w:hint="eastAsia" w:ascii="宋体" w:hAnsi="宋体" w:cs="宋体"/>
                <w:szCs w:val="21"/>
              </w:rPr>
            </w:pPr>
            <w:r>
              <w:rPr>
                <w:rFonts w:hint="eastAsia" w:ascii="宋体" w:hAnsi="宋体" w:cs="宋体"/>
                <w:szCs w:val="21"/>
              </w:rPr>
              <w:t>95</w:t>
            </w:r>
          </w:p>
        </w:tc>
        <w:tc>
          <w:tcPr>
            <w:tcW w:w="940" w:type="pct"/>
            <w:tcBorders>
              <w:tl2br w:val="nil"/>
              <w:tr2bl w:val="nil"/>
            </w:tcBorders>
            <w:vAlign w:val="center"/>
          </w:tcPr>
          <w:p w14:paraId="4471C22C">
            <w:pPr>
              <w:adjustRightInd w:val="0"/>
              <w:jc w:val="center"/>
              <w:rPr>
                <w:rFonts w:hint="eastAsia" w:ascii="宋体" w:hAnsi="宋体" w:cs="宋体"/>
                <w:szCs w:val="21"/>
                <w:lang w:eastAsia="en-US"/>
              </w:rPr>
            </w:pPr>
            <w:r>
              <w:rPr>
                <w:rFonts w:hint="eastAsia" w:ascii="宋体" w:hAnsi="宋体" w:cs="宋体"/>
                <w:szCs w:val="21"/>
                <w:lang w:eastAsia="en-US"/>
              </w:rPr>
              <w:t>160</w:t>
            </w:r>
          </w:p>
        </w:tc>
        <w:tc>
          <w:tcPr>
            <w:tcW w:w="568" w:type="pct"/>
            <w:tcBorders>
              <w:tl2br w:val="nil"/>
              <w:tr2bl w:val="nil"/>
            </w:tcBorders>
            <w:vAlign w:val="center"/>
          </w:tcPr>
          <w:p w14:paraId="5B32DB90">
            <w:pPr>
              <w:adjustRightInd w:val="0"/>
              <w:jc w:val="center"/>
              <w:rPr>
                <w:rFonts w:hint="eastAsia" w:ascii="宋体" w:hAnsi="宋体" w:cs="宋体"/>
                <w:szCs w:val="21"/>
              </w:rPr>
            </w:pPr>
            <w:r>
              <w:rPr>
                <w:rFonts w:hint="eastAsia" w:ascii="宋体" w:hAnsi="宋体" w:cs="宋体"/>
                <w:szCs w:val="21"/>
              </w:rPr>
              <w:t>59.38</w:t>
            </w:r>
          </w:p>
        </w:tc>
        <w:tc>
          <w:tcPr>
            <w:tcW w:w="531" w:type="pct"/>
            <w:tcBorders>
              <w:tl2br w:val="nil"/>
              <w:tr2bl w:val="nil"/>
            </w:tcBorders>
            <w:vAlign w:val="center"/>
          </w:tcPr>
          <w:p w14:paraId="491E0B63">
            <w:pPr>
              <w:adjustRightInd w:val="0"/>
              <w:jc w:val="center"/>
              <w:rPr>
                <w:rFonts w:hint="eastAsia" w:ascii="宋体" w:hAnsi="宋体" w:cs="宋体"/>
                <w:szCs w:val="21"/>
                <w:lang w:eastAsia="en-US"/>
              </w:rPr>
            </w:pPr>
            <w:r>
              <w:rPr>
                <w:rFonts w:hint="eastAsia" w:ascii="宋体" w:hAnsi="宋体" w:cs="宋体"/>
                <w:szCs w:val="21"/>
                <w:lang w:eastAsia="en-US"/>
              </w:rPr>
              <w:t>达标</w:t>
            </w:r>
          </w:p>
        </w:tc>
      </w:tr>
      <w:tr w14:paraId="08016F8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4" w:hRule="atLeast"/>
        </w:trPr>
        <w:tc>
          <w:tcPr>
            <w:tcW w:w="745" w:type="pct"/>
            <w:tcBorders>
              <w:tl2br w:val="nil"/>
              <w:tr2bl w:val="nil"/>
            </w:tcBorders>
            <w:vAlign w:val="center"/>
          </w:tcPr>
          <w:p w14:paraId="5DA1B2B8">
            <w:pPr>
              <w:adjustRightInd w:val="0"/>
              <w:jc w:val="center"/>
              <w:rPr>
                <w:rFonts w:hint="eastAsia" w:ascii="宋体" w:hAnsi="宋体" w:cs="宋体"/>
                <w:szCs w:val="21"/>
                <w:lang w:eastAsia="en-US"/>
              </w:rPr>
            </w:pPr>
            <w:r>
              <w:rPr>
                <w:rFonts w:hint="eastAsia" w:ascii="宋体" w:hAnsi="宋体" w:cs="宋体"/>
                <w:szCs w:val="21"/>
                <w:lang w:eastAsia="en-US"/>
              </w:rPr>
              <w:t>PM</w:t>
            </w:r>
            <w:r>
              <w:rPr>
                <w:rFonts w:hint="eastAsia" w:ascii="宋体" w:hAnsi="宋体" w:cs="宋体"/>
                <w:szCs w:val="21"/>
                <w:vertAlign w:val="subscript"/>
                <w:lang w:eastAsia="en-US"/>
              </w:rPr>
              <w:t>10</w:t>
            </w:r>
          </w:p>
        </w:tc>
        <w:tc>
          <w:tcPr>
            <w:tcW w:w="1416" w:type="pct"/>
            <w:tcBorders>
              <w:tl2br w:val="nil"/>
              <w:tr2bl w:val="nil"/>
            </w:tcBorders>
            <w:vAlign w:val="center"/>
          </w:tcPr>
          <w:p w14:paraId="1F522BE4">
            <w:pPr>
              <w:adjustRightInd w:val="0"/>
              <w:jc w:val="center"/>
              <w:rPr>
                <w:rFonts w:hint="eastAsia" w:ascii="宋体" w:hAnsi="宋体" w:cs="宋体"/>
                <w:szCs w:val="21"/>
                <w:lang w:eastAsia="en-US"/>
              </w:rPr>
            </w:pPr>
            <w:r>
              <w:rPr>
                <w:rFonts w:hint="eastAsia" w:ascii="宋体" w:hAnsi="宋体" w:cs="宋体"/>
                <w:szCs w:val="21"/>
                <w:lang w:eastAsia="en-US"/>
              </w:rPr>
              <w:t>年平均</w:t>
            </w:r>
          </w:p>
        </w:tc>
        <w:tc>
          <w:tcPr>
            <w:tcW w:w="797" w:type="pct"/>
            <w:tcBorders>
              <w:tl2br w:val="nil"/>
              <w:tr2bl w:val="nil"/>
            </w:tcBorders>
            <w:vAlign w:val="center"/>
          </w:tcPr>
          <w:p w14:paraId="2E6A84A6">
            <w:pPr>
              <w:adjustRightInd w:val="0"/>
              <w:jc w:val="center"/>
              <w:rPr>
                <w:rFonts w:hint="eastAsia" w:ascii="宋体" w:hAnsi="宋体" w:cs="宋体"/>
                <w:szCs w:val="21"/>
              </w:rPr>
            </w:pPr>
            <w:r>
              <w:rPr>
                <w:rFonts w:hint="eastAsia" w:ascii="宋体" w:hAnsi="宋体" w:cs="宋体"/>
                <w:szCs w:val="21"/>
              </w:rPr>
              <w:t>138</w:t>
            </w:r>
          </w:p>
        </w:tc>
        <w:tc>
          <w:tcPr>
            <w:tcW w:w="940" w:type="pct"/>
            <w:tcBorders>
              <w:tl2br w:val="nil"/>
              <w:tr2bl w:val="nil"/>
            </w:tcBorders>
            <w:vAlign w:val="center"/>
          </w:tcPr>
          <w:p w14:paraId="476F9E55">
            <w:pPr>
              <w:adjustRightInd w:val="0"/>
              <w:jc w:val="center"/>
              <w:rPr>
                <w:rFonts w:hint="eastAsia" w:ascii="宋体" w:hAnsi="宋体" w:cs="宋体"/>
                <w:szCs w:val="21"/>
                <w:lang w:eastAsia="en-US"/>
              </w:rPr>
            </w:pPr>
            <w:r>
              <w:rPr>
                <w:rFonts w:hint="eastAsia" w:ascii="宋体" w:hAnsi="宋体" w:cs="宋体"/>
                <w:szCs w:val="21"/>
                <w:lang w:eastAsia="en-US"/>
              </w:rPr>
              <w:t>70</w:t>
            </w:r>
          </w:p>
        </w:tc>
        <w:tc>
          <w:tcPr>
            <w:tcW w:w="568" w:type="pct"/>
            <w:tcBorders>
              <w:tl2br w:val="nil"/>
              <w:tr2bl w:val="nil"/>
            </w:tcBorders>
            <w:vAlign w:val="center"/>
          </w:tcPr>
          <w:p w14:paraId="201A0E67">
            <w:pPr>
              <w:adjustRightInd w:val="0"/>
              <w:jc w:val="center"/>
              <w:rPr>
                <w:rFonts w:hint="eastAsia" w:ascii="宋体" w:hAnsi="宋体" w:cs="宋体"/>
                <w:szCs w:val="21"/>
              </w:rPr>
            </w:pPr>
            <w:r>
              <w:rPr>
                <w:rFonts w:hint="eastAsia" w:ascii="宋体" w:hAnsi="宋体" w:cs="宋体"/>
                <w:szCs w:val="21"/>
              </w:rPr>
              <w:t>197.14</w:t>
            </w:r>
          </w:p>
        </w:tc>
        <w:tc>
          <w:tcPr>
            <w:tcW w:w="531" w:type="pct"/>
            <w:tcBorders>
              <w:tl2br w:val="nil"/>
              <w:tr2bl w:val="nil"/>
            </w:tcBorders>
            <w:vAlign w:val="center"/>
          </w:tcPr>
          <w:p w14:paraId="22A751FF">
            <w:pPr>
              <w:adjustRightInd w:val="0"/>
              <w:jc w:val="center"/>
              <w:rPr>
                <w:rFonts w:hint="eastAsia" w:ascii="宋体" w:hAnsi="宋体" w:cs="宋体"/>
                <w:szCs w:val="21"/>
                <w:lang w:eastAsia="en-US"/>
              </w:rPr>
            </w:pPr>
            <w:r>
              <w:rPr>
                <w:rFonts w:hint="eastAsia" w:ascii="宋体" w:hAnsi="宋体" w:cs="宋体"/>
                <w:szCs w:val="21"/>
                <w:lang w:eastAsia="en-US"/>
              </w:rPr>
              <w:t>不达标</w:t>
            </w:r>
          </w:p>
        </w:tc>
      </w:tr>
      <w:tr w14:paraId="35647AB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47" w:hRule="atLeast"/>
        </w:trPr>
        <w:tc>
          <w:tcPr>
            <w:tcW w:w="745" w:type="pct"/>
            <w:tcBorders>
              <w:tl2br w:val="nil"/>
              <w:tr2bl w:val="nil"/>
            </w:tcBorders>
            <w:vAlign w:val="center"/>
          </w:tcPr>
          <w:p w14:paraId="3A20DB0C">
            <w:pPr>
              <w:adjustRightInd w:val="0"/>
              <w:jc w:val="center"/>
              <w:rPr>
                <w:rFonts w:hint="eastAsia" w:ascii="宋体" w:hAnsi="宋体" w:cs="宋体"/>
                <w:szCs w:val="21"/>
                <w:lang w:eastAsia="en-US"/>
              </w:rPr>
            </w:pPr>
            <w:r>
              <w:rPr>
                <w:rFonts w:hint="eastAsia" w:ascii="宋体" w:hAnsi="宋体" w:cs="宋体"/>
                <w:szCs w:val="21"/>
                <w:lang w:eastAsia="en-US"/>
              </w:rPr>
              <w:t>PM</w:t>
            </w:r>
            <w:r>
              <w:rPr>
                <w:rFonts w:hint="eastAsia" w:ascii="宋体" w:hAnsi="宋体" w:cs="宋体"/>
                <w:szCs w:val="21"/>
                <w:vertAlign w:val="subscript"/>
                <w:lang w:eastAsia="en-US"/>
              </w:rPr>
              <w:t>2.5</w:t>
            </w:r>
          </w:p>
        </w:tc>
        <w:tc>
          <w:tcPr>
            <w:tcW w:w="1416" w:type="pct"/>
            <w:tcBorders>
              <w:tl2br w:val="nil"/>
              <w:tr2bl w:val="nil"/>
            </w:tcBorders>
            <w:vAlign w:val="center"/>
          </w:tcPr>
          <w:p w14:paraId="19803401">
            <w:pPr>
              <w:adjustRightInd w:val="0"/>
              <w:jc w:val="center"/>
              <w:rPr>
                <w:rFonts w:hint="eastAsia" w:ascii="宋体" w:hAnsi="宋体" w:cs="宋体"/>
                <w:szCs w:val="21"/>
                <w:lang w:eastAsia="en-US"/>
              </w:rPr>
            </w:pPr>
            <w:r>
              <w:rPr>
                <w:rFonts w:hint="eastAsia" w:ascii="宋体" w:hAnsi="宋体" w:cs="宋体"/>
                <w:szCs w:val="21"/>
                <w:lang w:eastAsia="en-US"/>
              </w:rPr>
              <w:t>年平均</w:t>
            </w:r>
          </w:p>
        </w:tc>
        <w:tc>
          <w:tcPr>
            <w:tcW w:w="797" w:type="pct"/>
            <w:tcBorders>
              <w:tl2br w:val="nil"/>
              <w:tr2bl w:val="nil"/>
            </w:tcBorders>
            <w:vAlign w:val="center"/>
          </w:tcPr>
          <w:p w14:paraId="6657B944">
            <w:pPr>
              <w:adjustRightInd w:val="0"/>
              <w:jc w:val="center"/>
              <w:rPr>
                <w:rFonts w:hint="eastAsia" w:ascii="宋体" w:hAnsi="宋体" w:cs="宋体"/>
                <w:szCs w:val="21"/>
              </w:rPr>
            </w:pPr>
            <w:r>
              <w:rPr>
                <w:rFonts w:hint="eastAsia" w:ascii="宋体" w:hAnsi="宋体" w:cs="宋体"/>
                <w:szCs w:val="21"/>
              </w:rPr>
              <w:t>36</w:t>
            </w:r>
          </w:p>
        </w:tc>
        <w:tc>
          <w:tcPr>
            <w:tcW w:w="940" w:type="pct"/>
            <w:tcBorders>
              <w:tl2br w:val="nil"/>
              <w:tr2bl w:val="nil"/>
            </w:tcBorders>
            <w:vAlign w:val="center"/>
          </w:tcPr>
          <w:p w14:paraId="4E6B5AAA">
            <w:pPr>
              <w:adjustRightInd w:val="0"/>
              <w:jc w:val="center"/>
              <w:rPr>
                <w:rFonts w:hint="eastAsia" w:ascii="宋体" w:hAnsi="宋体" w:cs="宋体"/>
                <w:szCs w:val="21"/>
                <w:lang w:eastAsia="en-US"/>
              </w:rPr>
            </w:pPr>
            <w:r>
              <w:rPr>
                <w:rFonts w:hint="eastAsia" w:ascii="宋体" w:hAnsi="宋体" w:cs="宋体"/>
                <w:szCs w:val="21"/>
                <w:lang w:eastAsia="en-US"/>
              </w:rPr>
              <w:t>35</w:t>
            </w:r>
          </w:p>
        </w:tc>
        <w:tc>
          <w:tcPr>
            <w:tcW w:w="568" w:type="pct"/>
            <w:tcBorders>
              <w:tl2br w:val="nil"/>
              <w:tr2bl w:val="nil"/>
            </w:tcBorders>
            <w:vAlign w:val="center"/>
          </w:tcPr>
          <w:p w14:paraId="07821A5B">
            <w:pPr>
              <w:adjustRightInd w:val="0"/>
              <w:jc w:val="center"/>
              <w:rPr>
                <w:rFonts w:hint="eastAsia" w:ascii="宋体" w:hAnsi="宋体" w:cs="宋体"/>
                <w:szCs w:val="21"/>
              </w:rPr>
            </w:pPr>
            <w:r>
              <w:rPr>
                <w:rFonts w:hint="eastAsia" w:ascii="宋体" w:hAnsi="宋体" w:cs="宋体"/>
                <w:szCs w:val="21"/>
              </w:rPr>
              <w:t>102.86</w:t>
            </w:r>
          </w:p>
        </w:tc>
        <w:tc>
          <w:tcPr>
            <w:tcW w:w="531" w:type="pct"/>
            <w:tcBorders>
              <w:tl2br w:val="nil"/>
              <w:tr2bl w:val="nil"/>
            </w:tcBorders>
            <w:vAlign w:val="center"/>
          </w:tcPr>
          <w:p w14:paraId="2539CC6F">
            <w:pPr>
              <w:adjustRightInd w:val="0"/>
              <w:jc w:val="center"/>
              <w:rPr>
                <w:rFonts w:hint="eastAsia" w:ascii="宋体" w:hAnsi="宋体" w:cs="宋体"/>
                <w:szCs w:val="21"/>
                <w:lang w:eastAsia="en-US"/>
              </w:rPr>
            </w:pPr>
            <w:r>
              <w:rPr>
                <w:rFonts w:hint="eastAsia" w:ascii="宋体" w:hAnsi="宋体" w:cs="宋体"/>
                <w:szCs w:val="21"/>
                <w:lang w:eastAsia="en-US"/>
              </w:rPr>
              <w:t>不达标</w:t>
            </w:r>
          </w:p>
        </w:tc>
      </w:tr>
    </w:tbl>
    <w:p w14:paraId="6AC4A7C1">
      <w:pPr>
        <w:adjustRightInd w:val="0"/>
        <w:spacing w:line="360" w:lineRule="auto"/>
        <w:ind w:firstLine="482"/>
        <w:rPr>
          <w:rFonts w:hint="eastAsia" w:ascii="宋体" w:hAnsi="宋体" w:cs="宋体"/>
          <w:sz w:val="24"/>
          <w:szCs w:val="24"/>
        </w:rPr>
      </w:pPr>
      <w:r>
        <w:rPr>
          <w:rFonts w:hint="eastAsia" w:ascii="宋体" w:hAnsi="宋体" w:cs="宋体"/>
          <w:sz w:val="24"/>
          <w:szCs w:val="24"/>
        </w:rPr>
        <w:t>由上表可知，库尔勒市PM</w:t>
      </w:r>
      <w:r>
        <w:rPr>
          <w:rFonts w:hint="eastAsia" w:ascii="宋体" w:hAnsi="宋体" w:cs="宋体"/>
          <w:sz w:val="24"/>
          <w:szCs w:val="24"/>
          <w:vertAlign w:val="subscript"/>
        </w:rPr>
        <w:t>10</w:t>
      </w:r>
      <w:r>
        <w:rPr>
          <w:rFonts w:hint="eastAsia" w:ascii="宋体" w:hAnsi="宋体" w:cs="宋体"/>
          <w:sz w:val="24"/>
          <w:szCs w:val="24"/>
        </w:rPr>
        <w:t>和PM</w:t>
      </w:r>
      <w:r>
        <w:rPr>
          <w:rFonts w:hint="eastAsia" w:ascii="宋体" w:hAnsi="宋体" w:cs="宋体"/>
          <w:sz w:val="24"/>
          <w:szCs w:val="24"/>
          <w:vertAlign w:val="subscript"/>
        </w:rPr>
        <w:t>2.5</w:t>
      </w:r>
      <w:r>
        <w:rPr>
          <w:rFonts w:hint="eastAsia" w:ascii="宋体" w:hAnsi="宋体" w:cs="宋体"/>
          <w:sz w:val="24"/>
          <w:szCs w:val="24"/>
        </w:rPr>
        <w:t>的年平均浓度超过《环境空气质量标准》（GB3095-2012）二级标准要求。因此，项目所在区域为不达标区。PM</w:t>
      </w:r>
      <w:r>
        <w:rPr>
          <w:rFonts w:hint="eastAsia" w:ascii="宋体" w:hAnsi="宋体" w:cs="宋体"/>
          <w:sz w:val="24"/>
          <w:szCs w:val="24"/>
          <w:vertAlign w:val="subscript"/>
        </w:rPr>
        <w:t>10</w:t>
      </w:r>
      <w:r>
        <w:rPr>
          <w:rFonts w:hint="eastAsia" w:ascii="宋体" w:hAnsi="宋体" w:cs="宋体"/>
          <w:sz w:val="24"/>
          <w:szCs w:val="24"/>
        </w:rPr>
        <w:t>和PM</w:t>
      </w:r>
      <w:r>
        <w:rPr>
          <w:rFonts w:hint="eastAsia" w:ascii="宋体" w:hAnsi="宋体" w:cs="宋体"/>
          <w:sz w:val="24"/>
          <w:szCs w:val="24"/>
          <w:vertAlign w:val="subscript"/>
        </w:rPr>
        <w:t>2.5</w:t>
      </w:r>
      <w:r>
        <w:rPr>
          <w:rFonts w:hint="eastAsia" w:ascii="宋体" w:hAnsi="宋体" w:cs="宋体"/>
          <w:sz w:val="24"/>
          <w:szCs w:val="24"/>
        </w:rPr>
        <w:t>超标原因为季节性沙尘天气对环境空气质量影响很大，是造成空气质量不达标的主要因素。</w:t>
      </w:r>
    </w:p>
    <w:p w14:paraId="156478D3">
      <w:pPr>
        <w:spacing w:line="360" w:lineRule="auto"/>
        <w:ind w:firstLine="480" w:firstLineChars="200"/>
        <w:rPr>
          <w:color w:val="000000"/>
          <w:kern w:val="0"/>
          <w:sz w:val="24"/>
          <w:lang w:val="zh-CN" w:bidi="zh-CN"/>
        </w:rPr>
      </w:pPr>
      <w:r>
        <w:rPr>
          <w:rFonts w:hint="eastAsia"/>
          <w:color w:val="000000"/>
          <w:kern w:val="0"/>
          <w:sz w:val="24"/>
          <w:lang w:val="zh-CN" w:bidi="zh-CN"/>
        </w:rPr>
        <w:t>对于环境空气质量不达标区域需提交《大气环境不达标区域削减方案》，根据“关于将巴音郭楞蒙古自治州、吐鲁番市、哈密市纳入执行《环境影响评价技术导则</w:t>
      </w:r>
      <w:r>
        <w:rPr>
          <w:rFonts w:hint="eastAsia"/>
          <w:color w:val="000000"/>
          <w:kern w:val="0"/>
          <w:sz w:val="24"/>
          <w:lang w:bidi="zh-CN"/>
        </w:rPr>
        <w:t xml:space="preserve">  </w:t>
      </w:r>
      <w:r>
        <w:rPr>
          <w:rFonts w:hint="eastAsia"/>
          <w:color w:val="000000"/>
          <w:kern w:val="0"/>
          <w:sz w:val="24"/>
          <w:lang w:val="zh-CN" w:bidi="zh-CN"/>
        </w:rPr>
        <w:t>大气环境（HJ2.2-2018）》差别化政策范围的复函”（环办环评函〔2020〕341号），新建项目可不提供颗粒物区域削减方案。</w:t>
      </w:r>
    </w:p>
    <w:p w14:paraId="4A7BE4BC">
      <w:pPr>
        <w:pStyle w:val="5"/>
        <w:rPr>
          <w:rFonts w:ascii="Times New Roman" w:hAnsi="Times New Roman"/>
          <w:color w:val="000000"/>
          <w:lang w:val="en-US"/>
        </w:rPr>
      </w:pPr>
      <w:bookmarkStart w:id="240" w:name="_Toc2279423"/>
      <w:r>
        <w:rPr>
          <w:rFonts w:hint="eastAsia" w:ascii="Times New Roman" w:hAnsi="Times New Roman"/>
          <w:color w:val="000000"/>
          <w:lang w:val="en-US"/>
        </w:rPr>
        <w:t>4.3.1.2其他污染物环境空气质量现状评价</w:t>
      </w:r>
    </w:p>
    <w:bookmarkEnd w:id="240"/>
    <w:p w14:paraId="0E02CEFA">
      <w:pPr>
        <w:widowControl/>
        <w:wordWrap w:val="0"/>
        <w:topLinePunct/>
        <w:autoSpaceDN w:val="0"/>
        <w:spacing w:line="360" w:lineRule="auto"/>
        <w:ind w:firstLine="480" w:firstLineChars="200"/>
        <w:jc w:val="left"/>
        <w:rPr>
          <w:color w:val="000000"/>
          <w:kern w:val="0"/>
          <w:sz w:val="24"/>
          <w:szCs w:val="24"/>
        </w:rPr>
      </w:pPr>
      <w:bookmarkStart w:id="241" w:name="_Toc7469"/>
      <w:bookmarkStart w:id="242" w:name="_Toc5897"/>
      <w:r>
        <w:rPr>
          <w:rFonts w:hint="eastAsia"/>
          <w:color w:val="000000"/>
          <w:kern w:val="0"/>
          <w:sz w:val="24"/>
          <w:szCs w:val="24"/>
        </w:rPr>
        <w:t>根据工程分析，特征污染物为非甲烷总烃、TSP。项目采用</w:t>
      </w:r>
      <w:r>
        <w:rPr>
          <w:rFonts w:hint="eastAsia" w:hAnsi="宋体"/>
          <w:color w:val="000000"/>
          <w:kern w:val="0"/>
          <w:sz w:val="24"/>
          <w:szCs w:val="24"/>
        </w:rPr>
        <w:t>现场监测的方式进行调查。</w:t>
      </w:r>
      <w:r>
        <w:rPr>
          <w:rFonts w:hint="eastAsia"/>
          <w:color w:val="000000"/>
          <w:kern w:val="0"/>
          <w:sz w:val="24"/>
          <w:szCs w:val="24"/>
        </w:rPr>
        <w:t>新疆中测测试有限责任公司于2025年6月5日~6月11日对项目区及项目区下风向非甲烷总烃、TSP开展了监测。</w:t>
      </w:r>
    </w:p>
    <w:p w14:paraId="1CCAF5A9">
      <w:pPr>
        <w:widowControl/>
        <w:spacing w:line="360" w:lineRule="auto"/>
        <w:ind w:firstLine="480" w:firstLineChars="200"/>
        <w:rPr>
          <w:rFonts w:hint="eastAsia" w:hAnsi="宋体"/>
          <w:color w:val="000000"/>
          <w:kern w:val="0"/>
          <w:sz w:val="24"/>
          <w:szCs w:val="24"/>
        </w:rPr>
      </w:pPr>
      <w:r>
        <w:rPr>
          <w:rFonts w:hint="eastAsia" w:hAnsi="宋体"/>
          <w:color w:val="000000"/>
          <w:kern w:val="0"/>
          <w:sz w:val="24"/>
          <w:szCs w:val="24"/>
        </w:rPr>
        <w:t>①监测因子、监测布点</w:t>
      </w:r>
    </w:p>
    <w:p w14:paraId="313F07A6">
      <w:pPr>
        <w:widowControl/>
        <w:spacing w:line="360" w:lineRule="auto"/>
        <w:ind w:firstLine="480" w:firstLineChars="200"/>
        <w:jc w:val="left"/>
        <w:rPr>
          <w:color w:val="000000"/>
          <w:kern w:val="0"/>
          <w:sz w:val="24"/>
          <w:szCs w:val="24"/>
        </w:rPr>
      </w:pPr>
      <w:r>
        <w:rPr>
          <w:rFonts w:hint="eastAsia" w:hAnsi="宋体"/>
          <w:color w:val="000000"/>
          <w:kern w:val="0"/>
          <w:sz w:val="24"/>
          <w:szCs w:val="24"/>
        </w:rPr>
        <w:t>根据工程分析，并结合评价区域的地形特征、环境空气保护目标和区域环境源情况，本次环评</w:t>
      </w:r>
      <w:r>
        <w:rPr>
          <w:rFonts w:hint="eastAsia"/>
          <w:color w:val="000000"/>
          <w:kern w:val="0"/>
          <w:sz w:val="24"/>
          <w:szCs w:val="24"/>
        </w:rPr>
        <w:t>对项目区及项目区下风向非甲烷总烃、TSP进行监测，共设置2个监测点，监测点位布设情况见表4</w:t>
      </w:r>
      <w:r>
        <w:rPr>
          <w:color w:val="000000"/>
          <w:kern w:val="0"/>
          <w:sz w:val="24"/>
          <w:szCs w:val="24"/>
        </w:rPr>
        <w:t>.</w:t>
      </w:r>
      <w:r>
        <w:rPr>
          <w:rFonts w:hint="eastAsia"/>
          <w:color w:val="000000"/>
          <w:kern w:val="0"/>
          <w:sz w:val="24"/>
          <w:szCs w:val="24"/>
        </w:rPr>
        <w:t>3</w:t>
      </w:r>
      <w:r>
        <w:rPr>
          <w:color w:val="000000"/>
          <w:kern w:val="0"/>
          <w:sz w:val="24"/>
          <w:szCs w:val="24"/>
        </w:rPr>
        <w:t>-</w:t>
      </w:r>
      <w:r>
        <w:rPr>
          <w:rFonts w:hint="eastAsia"/>
          <w:color w:val="000000"/>
          <w:kern w:val="0"/>
          <w:sz w:val="24"/>
          <w:szCs w:val="24"/>
        </w:rPr>
        <w:t>2，见图4</w:t>
      </w:r>
      <w:r>
        <w:rPr>
          <w:color w:val="000000"/>
          <w:kern w:val="0"/>
          <w:sz w:val="24"/>
          <w:szCs w:val="24"/>
        </w:rPr>
        <w:t>.</w:t>
      </w:r>
      <w:r>
        <w:rPr>
          <w:rFonts w:hint="eastAsia"/>
          <w:color w:val="000000"/>
          <w:kern w:val="0"/>
          <w:sz w:val="24"/>
          <w:szCs w:val="24"/>
        </w:rPr>
        <w:t>3</w:t>
      </w:r>
      <w:r>
        <w:rPr>
          <w:color w:val="000000"/>
          <w:kern w:val="0"/>
          <w:sz w:val="24"/>
          <w:szCs w:val="24"/>
        </w:rPr>
        <w:t>-1</w:t>
      </w:r>
      <w:r>
        <w:rPr>
          <w:rFonts w:hint="eastAsia"/>
          <w:color w:val="000000"/>
          <w:kern w:val="0"/>
          <w:sz w:val="24"/>
          <w:szCs w:val="24"/>
        </w:rPr>
        <w:t>建设项目监测点位示意图。</w:t>
      </w:r>
    </w:p>
    <w:p w14:paraId="5A152812">
      <w:pPr>
        <w:widowControl/>
        <w:ind w:firstLine="422" w:firstLineChars="200"/>
        <w:jc w:val="center"/>
        <w:rPr>
          <w:b/>
          <w:bCs/>
          <w:color w:val="000000"/>
          <w:kern w:val="0"/>
          <w:szCs w:val="21"/>
        </w:rPr>
      </w:pPr>
      <w:r>
        <w:rPr>
          <w:rFonts w:hint="eastAsia"/>
          <w:b/>
          <w:bCs/>
          <w:color w:val="000000"/>
          <w:kern w:val="0"/>
          <w:szCs w:val="21"/>
        </w:rPr>
        <w:t>表4</w:t>
      </w:r>
      <w:r>
        <w:rPr>
          <w:b/>
          <w:bCs/>
          <w:color w:val="000000"/>
          <w:kern w:val="0"/>
          <w:szCs w:val="21"/>
        </w:rPr>
        <w:t>.</w:t>
      </w:r>
      <w:r>
        <w:rPr>
          <w:rFonts w:hint="eastAsia"/>
          <w:b/>
          <w:bCs/>
          <w:color w:val="000000"/>
          <w:kern w:val="0"/>
          <w:szCs w:val="21"/>
        </w:rPr>
        <w:t>3</w:t>
      </w:r>
      <w:r>
        <w:rPr>
          <w:b/>
          <w:bCs/>
          <w:color w:val="000000"/>
          <w:kern w:val="0"/>
          <w:szCs w:val="21"/>
        </w:rPr>
        <w:t>-</w:t>
      </w:r>
      <w:r>
        <w:rPr>
          <w:rFonts w:hint="eastAsia"/>
          <w:b/>
          <w:bCs/>
          <w:color w:val="000000"/>
          <w:kern w:val="0"/>
          <w:szCs w:val="21"/>
        </w:rPr>
        <w:t>2</w:t>
      </w:r>
      <w:r>
        <w:rPr>
          <w:b/>
          <w:bCs/>
          <w:color w:val="000000"/>
          <w:kern w:val="0"/>
          <w:szCs w:val="21"/>
        </w:rPr>
        <w:t xml:space="preserve">    </w:t>
      </w:r>
      <w:r>
        <w:rPr>
          <w:rFonts w:hint="eastAsia"/>
          <w:b/>
          <w:bCs/>
          <w:color w:val="000000"/>
          <w:kern w:val="0"/>
          <w:szCs w:val="21"/>
        </w:rPr>
        <w:t>大气环境现状监测点位位置</w:t>
      </w:r>
    </w:p>
    <w:tbl>
      <w:tblPr>
        <w:tblStyle w:val="49"/>
        <w:tblW w:w="4907" w:type="pct"/>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autofit"/>
        <w:tblCellMar>
          <w:top w:w="0" w:type="dxa"/>
          <w:left w:w="108" w:type="dxa"/>
          <w:bottom w:w="0" w:type="dxa"/>
          <w:right w:w="108" w:type="dxa"/>
        </w:tblCellMar>
      </w:tblPr>
      <w:tblGrid>
        <w:gridCol w:w="689"/>
        <w:gridCol w:w="1131"/>
        <w:gridCol w:w="2038"/>
        <w:gridCol w:w="1272"/>
        <w:gridCol w:w="1272"/>
        <w:gridCol w:w="1272"/>
        <w:gridCol w:w="1272"/>
      </w:tblGrid>
      <w:tr w14:paraId="7226999D">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643" w:hRule="atLeast"/>
          <w:jc w:val="center"/>
        </w:trPr>
        <w:tc>
          <w:tcPr>
            <w:tcW w:w="385" w:type="pct"/>
            <w:tcBorders>
              <w:tl2br w:val="nil"/>
              <w:tr2bl w:val="nil"/>
            </w:tcBorders>
            <w:vAlign w:val="center"/>
          </w:tcPr>
          <w:p w14:paraId="78AF204A">
            <w:pPr>
              <w:jc w:val="center"/>
              <w:rPr>
                <w:bCs/>
                <w:color w:val="000000"/>
                <w:szCs w:val="21"/>
              </w:rPr>
            </w:pPr>
            <w:r>
              <w:rPr>
                <w:rFonts w:hint="eastAsia"/>
                <w:bCs/>
                <w:color w:val="000000"/>
                <w:szCs w:val="21"/>
              </w:rPr>
              <w:t>序号</w:t>
            </w:r>
          </w:p>
        </w:tc>
        <w:tc>
          <w:tcPr>
            <w:tcW w:w="632" w:type="pct"/>
            <w:tcBorders>
              <w:tl2br w:val="nil"/>
              <w:tr2bl w:val="nil"/>
            </w:tcBorders>
            <w:vAlign w:val="center"/>
          </w:tcPr>
          <w:p w14:paraId="7176AA58">
            <w:pPr>
              <w:jc w:val="center"/>
              <w:rPr>
                <w:bCs/>
                <w:color w:val="000000"/>
                <w:szCs w:val="21"/>
              </w:rPr>
            </w:pPr>
            <w:r>
              <w:rPr>
                <w:rFonts w:hint="eastAsia"/>
                <w:bCs/>
                <w:color w:val="000000"/>
                <w:szCs w:val="21"/>
              </w:rPr>
              <w:t>监测点位</w:t>
            </w:r>
          </w:p>
        </w:tc>
        <w:tc>
          <w:tcPr>
            <w:tcW w:w="1138" w:type="pct"/>
            <w:tcBorders>
              <w:tl2br w:val="nil"/>
              <w:tr2bl w:val="nil"/>
            </w:tcBorders>
            <w:vAlign w:val="center"/>
          </w:tcPr>
          <w:p w14:paraId="7071EEB9">
            <w:pPr>
              <w:jc w:val="center"/>
              <w:rPr>
                <w:bCs/>
                <w:color w:val="000000"/>
                <w:szCs w:val="21"/>
              </w:rPr>
            </w:pPr>
            <w:r>
              <w:rPr>
                <w:rFonts w:hint="eastAsia"/>
                <w:bCs/>
                <w:color w:val="000000"/>
                <w:szCs w:val="21"/>
              </w:rPr>
              <w:t>坐标</w:t>
            </w:r>
          </w:p>
        </w:tc>
        <w:tc>
          <w:tcPr>
            <w:tcW w:w="710" w:type="pct"/>
            <w:tcBorders>
              <w:tl2br w:val="nil"/>
              <w:tr2bl w:val="nil"/>
            </w:tcBorders>
            <w:vAlign w:val="center"/>
          </w:tcPr>
          <w:p w14:paraId="5DE019AE">
            <w:pPr>
              <w:jc w:val="center"/>
              <w:rPr>
                <w:bCs/>
                <w:color w:val="000000"/>
                <w:szCs w:val="21"/>
              </w:rPr>
            </w:pPr>
            <w:r>
              <w:rPr>
                <w:rFonts w:hint="eastAsia"/>
                <w:bCs/>
                <w:color w:val="000000"/>
                <w:szCs w:val="21"/>
              </w:rPr>
              <w:t>监测项目</w:t>
            </w:r>
          </w:p>
        </w:tc>
        <w:tc>
          <w:tcPr>
            <w:tcW w:w="710" w:type="pct"/>
            <w:tcBorders>
              <w:tl2br w:val="nil"/>
              <w:tr2bl w:val="nil"/>
            </w:tcBorders>
            <w:vAlign w:val="center"/>
          </w:tcPr>
          <w:p w14:paraId="79460665">
            <w:pPr>
              <w:jc w:val="center"/>
              <w:rPr>
                <w:bCs/>
                <w:color w:val="000000"/>
                <w:szCs w:val="21"/>
              </w:rPr>
            </w:pPr>
            <w:r>
              <w:rPr>
                <w:rFonts w:hint="eastAsia"/>
                <w:bCs/>
                <w:color w:val="000000"/>
                <w:szCs w:val="21"/>
              </w:rPr>
              <w:t>监测时段</w:t>
            </w:r>
          </w:p>
        </w:tc>
        <w:tc>
          <w:tcPr>
            <w:tcW w:w="710" w:type="pct"/>
            <w:tcBorders>
              <w:tl2br w:val="nil"/>
              <w:tr2bl w:val="nil"/>
            </w:tcBorders>
            <w:vAlign w:val="center"/>
          </w:tcPr>
          <w:p w14:paraId="0E7036E6">
            <w:pPr>
              <w:jc w:val="center"/>
              <w:rPr>
                <w:bCs/>
                <w:color w:val="000000"/>
                <w:szCs w:val="21"/>
              </w:rPr>
            </w:pPr>
            <w:r>
              <w:rPr>
                <w:rFonts w:hint="eastAsia"/>
                <w:bCs/>
                <w:color w:val="000000"/>
                <w:szCs w:val="21"/>
              </w:rPr>
              <w:t>相对厂址方位</w:t>
            </w:r>
          </w:p>
        </w:tc>
        <w:tc>
          <w:tcPr>
            <w:tcW w:w="710" w:type="pct"/>
            <w:tcBorders>
              <w:tl2br w:val="nil"/>
              <w:tr2bl w:val="nil"/>
            </w:tcBorders>
            <w:vAlign w:val="center"/>
          </w:tcPr>
          <w:p w14:paraId="01F6BFBE">
            <w:pPr>
              <w:jc w:val="center"/>
              <w:rPr>
                <w:bCs/>
                <w:color w:val="000000"/>
                <w:szCs w:val="21"/>
              </w:rPr>
            </w:pPr>
            <w:r>
              <w:rPr>
                <w:rFonts w:hint="eastAsia"/>
                <w:bCs/>
                <w:color w:val="000000"/>
                <w:szCs w:val="21"/>
              </w:rPr>
              <w:t>相对厂界距离</w:t>
            </w:r>
          </w:p>
        </w:tc>
      </w:tr>
      <w:tr w14:paraId="075B99C1">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643" w:hRule="atLeast"/>
          <w:jc w:val="center"/>
        </w:trPr>
        <w:tc>
          <w:tcPr>
            <w:tcW w:w="385" w:type="pct"/>
            <w:tcBorders>
              <w:tl2br w:val="nil"/>
              <w:tr2bl w:val="nil"/>
            </w:tcBorders>
            <w:vAlign w:val="center"/>
          </w:tcPr>
          <w:p w14:paraId="4DE001B7">
            <w:pPr>
              <w:jc w:val="center"/>
              <w:rPr>
                <w:bCs/>
                <w:color w:val="000000"/>
                <w:szCs w:val="21"/>
              </w:rPr>
            </w:pPr>
            <w:r>
              <w:rPr>
                <w:rFonts w:hint="eastAsia"/>
                <w:bCs/>
                <w:color w:val="000000"/>
                <w:szCs w:val="21"/>
              </w:rPr>
              <w:t>1</w:t>
            </w:r>
          </w:p>
        </w:tc>
        <w:tc>
          <w:tcPr>
            <w:tcW w:w="632" w:type="pct"/>
            <w:tcBorders>
              <w:tl2br w:val="nil"/>
              <w:tr2bl w:val="nil"/>
            </w:tcBorders>
            <w:vAlign w:val="center"/>
          </w:tcPr>
          <w:p w14:paraId="25AEA69E">
            <w:pPr>
              <w:jc w:val="center"/>
              <w:rPr>
                <w:bCs/>
                <w:color w:val="000000"/>
                <w:szCs w:val="21"/>
              </w:rPr>
            </w:pPr>
            <w:r>
              <w:rPr>
                <w:rFonts w:hint="eastAsia"/>
                <w:bCs/>
                <w:color w:val="000000"/>
                <w:szCs w:val="21"/>
              </w:rPr>
              <w:t>项目区</w:t>
            </w:r>
          </w:p>
        </w:tc>
        <w:tc>
          <w:tcPr>
            <w:tcW w:w="1138" w:type="pct"/>
            <w:tcBorders>
              <w:tl2br w:val="nil"/>
              <w:tr2bl w:val="nil"/>
            </w:tcBorders>
            <w:vAlign w:val="center"/>
          </w:tcPr>
          <w:p w14:paraId="383ACCC5">
            <w:pPr>
              <w:jc w:val="center"/>
              <w:rPr>
                <w:bCs/>
                <w:color w:val="000000"/>
                <w:szCs w:val="21"/>
              </w:rPr>
            </w:pPr>
            <w:r>
              <w:rPr>
                <w:bCs/>
                <w:color w:val="000000"/>
                <w:szCs w:val="21"/>
              </w:rPr>
              <w:t>经</w:t>
            </w:r>
            <w:r>
              <w:rPr>
                <w:rFonts w:hint="eastAsia"/>
                <w:bCs/>
                <w:color w:val="000000"/>
                <w:szCs w:val="21"/>
              </w:rPr>
              <w:t>度85.837185</w:t>
            </w:r>
          </w:p>
          <w:p w14:paraId="42CE8572">
            <w:pPr>
              <w:jc w:val="center"/>
              <w:rPr>
                <w:bCs/>
                <w:color w:val="000000"/>
                <w:szCs w:val="21"/>
              </w:rPr>
            </w:pPr>
            <w:r>
              <w:rPr>
                <w:rFonts w:hint="eastAsia"/>
                <w:bCs/>
                <w:color w:val="000000"/>
                <w:szCs w:val="21"/>
              </w:rPr>
              <w:t>纬度41.417329</w:t>
            </w:r>
          </w:p>
        </w:tc>
        <w:tc>
          <w:tcPr>
            <w:tcW w:w="710" w:type="pct"/>
            <w:vMerge w:val="restart"/>
            <w:tcBorders>
              <w:tl2br w:val="nil"/>
              <w:tr2bl w:val="nil"/>
            </w:tcBorders>
            <w:vAlign w:val="center"/>
          </w:tcPr>
          <w:p w14:paraId="07E24521">
            <w:pPr>
              <w:jc w:val="center"/>
              <w:rPr>
                <w:bCs/>
                <w:color w:val="000000"/>
                <w:szCs w:val="21"/>
              </w:rPr>
            </w:pPr>
            <w:r>
              <w:rPr>
                <w:rFonts w:hint="eastAsia"/>
                <w:bCs/>
                <w:color w:val="000000"/>
                <w:szCs w:val="21"/>
              </w:rPr>
              <w:t>非甲烷总烃、TSP</w:t>
            </w:r>
          </w:p>
        </w:tc>
        <w:tc>
          <w:tcPr>
            <w:tcW w:w="710" w:type="pct"/>
            <w:vMerge w:val="restart"/>
            <w:tcBorders>
              <w:tl2br w:val="nil"/>
              <w:tr2bl w:val="nil"/>
            </w:tcBorders>
            <w:vAlign w:val="center"/>
          </w:tcPr>
          <w:p w14:paraId="0E82A6E2">
            <w:pPr>
              <w:jc w:val="center"/>
              <w:rPr>
                <w:bCs/>
                <w:color w:val="000000"/>
                <w:szCs w:val="21"/>
              </w:rPr>
            </w:pPr>
            <w:r>
              <w:rPr>
                <w:rFonts w:hint="eastAsia"/>
                <w:bCs/>
                <w:color w:val="000000"/>
                <w:szCs w:val="21"/>
              </w:rPr>
              <w:t>2025年6月5日~6月11日，连续7天</w:t>
            </w:r>
          </w:p>
        </w:tc>
        <w:tc>
          <w:tcPr>
            <w:tcW w:w="710" w:type="pct"/>
            <w:tcBorders>
              <w:tl2br w:val="nil"/>
              <w:tr2bl w:val="nil"/>
            </w:tcBorders>
            <w:vAlign w:val="center"/>
          </w:tcPr>
          <w:p w14:paraId="4548DFCD">
            <w:pPr>
              <w:jc w:val="center"/>
              <w:rPr>
                <w:bCs/>
                <w:color w:val="000000"/>
                <w:szCs w:val="21"/>
              </w:rPr>
            </w:pPr>
            <w:r>
              <w:rPr>
                <w:rFonts w:hint="eastAsia"/>
                <w:bCs/>
                <w:color w:val="000000"/>
                <w:szCs w:val="21"/>
              </w:rPr>
              <w:t>项目区</w:t>
            </w:r>
          </w:p>
        </w:tc>
        <w:tc>
          <w:tcPr>
            <w:tcW w:w="710" w:type="pct"/>
            <w:tcBorders>
              <w:tl2br w:val="nil"/>
              <w:tr2bl w:val="nil"/>
            </w:tcBorders>
            <w:vAlign w:val="center"/>
          </w:tcPr>
          <w:p w14:paraId="17BEA20D">
            <w:pPr>
              <w:jc w:val="center"/>
              <w:rPr>
                <w:bCs/>
                <w:color w:val="000000"/>
                <w:szCs w:val="21"/>
              </w:rPr>
            </w:pPr>
            <w:r>
              <w:rPr>
                <w:rFonts w:hint="eastAsia"/>
                <w:bCs/>
                <w:color w:val="000000"/>
                <w:szCs w:val="21"/>
              </w:rPr>
              <w:t>/</w:t>
            </w:r>
          </w:p>
        </w:tc>
      </w:tr>
      <w:tr w14:paraId="612573A3">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658" w:hRule="atLeast"/>
          <w:jc w:val="center"/>
        </w:trPr>
        <w:tc>
          <w:tcPr>
            <w:tcW w:w="385" w:type="pct"/>
            <w:tcBorders>
              <w:tl2br w:val="nil"/>
              <w:tr2bl w:val="nil"/>
            </w:tcBorders>
            <w:vAlign w:val="center"/>
          </w:tcPr>
          <w:p w14:paraId="60262A19">
            <w:pPr>
              <w:jc w:val="center"/>
              <w:rPr>
                <w:bCs/>
                <w:color w:val="000000"/>
                <w:szCs w:val="21"/>
              </w:rPr>
            </w:pPr>
            <w:r>
              <w:rPr>
                <w:rFonts w:hint="eastAsia"/>
                <w:bCs/>
                <w:color w:val="000000"/>
                <w:szCs w:val="21"/>
              </w:rPr>
              <w:t>2</w:t>
            </w:r>
          </w:p>
        </w:tc>
        <w:tc>
          <w:tcPr>
            <w:tcW w:w="632" w:type="pct"/>
            <w:tcBorders>
              <w:tl2br w:val="nil"/>
              <w:tr2bl w:val="nil"/>
            </w:tcBorders>
            <w:vAlign w:val="center"/>
          </w:tcPr>
          <w:p w14:paraId="3329E8A2">
            <w:pPr>
              <w:jc w:val="center"/>
              <w:rPr>
                <w:bCs/>
                <w:color w:val="000000"/>
                <w:szCs w:val="21"/>
              </w:rPr>
            </w:pPr>
            <w:r>
              <w:rPr>
                <w:rFonts w:hint="eastAsia"/>
                <w:bCs/>
                <w:color w:val="000000"/>
                <w:szCs w:val="21"/>
              </w:rPr>
              <w:t>下风向</w:t>
            </w:r>
          </w:p>
        </w:tc>
        <w:tc>
          <w:tcPr>
            <w:tcW w:w="1138" w:type="pct"/>
            <w:tcBorders>
              <w:tl2br w:val="nil"/>
              <w:tr2bl w:val="nil"/>
            </w:tcBorders>
            <w:vAlign w:val="center"/>
          </w:tcPr>
          <w:p w14:paraId="3571352B">
            <w:pPr>
              <w:jc w:val="center"/>
              <w:rPr>
                <w:bCs/>
                <w:color w:val="000000"/>
                <w:szCs w:val="21"/>
              </w:rPr>
            </w:pPr>
            <w:r>
              <w:rPr>
                <w:bCs/>
                <w:color w:val="000000"/>
                <w:szCs w:val="21"/>
              </w:rPr>
              <w:t>经</w:t>
            </w:r>
            <w:r>
              <w:rPr>
                <w:rFonts w:hint="eastAsia"/>
                <w:bCs/>
                <w:color w:val="000000"/>
                <w:szCs w:val="21"/>
              </w:rPr>
              <w:t>度</w:t>
            </w:r>
            <w:r>
              <w:rPr>
                <w:bCs/>
                <w:color w:val="000000"/>
                <w:szCs w:val="21"/>
              </w:rPr>
              <w:t>85.836414</w:t>
            </w:r>
          </w:p>
          <w:p w14:paraId="2EBB5E2A">
            <w:pPr>
              <w:jc w:val="center"/>
              <w:rPr>
                <w:bCs/>
                <w:color w:val="000000"/>
                <w:szCs w:val="21"/>
              </w:rPr>
            </w:pPr>
            <w:r>
              <w:rPr>
                <w:rFonts w:hint="eastAsia"/>
                <w:bCs/>
                <w:color w:val="000000"/>
                <w:szCs w:val="21"/>
              </w:rPr>
              <w:t>纬度</w:t>
            </w:r>
            <w:r>
              <w:rPr>
                <w:bCs/>
                <w:color w:val="000000"/>
                <w:szCs w:val="21"/>
              </w:rPr>
              <w:t>41.415100</w:t>
            </w:r>
          </w:p>
        </w:tc>
        <w:tc>
          <w:tcPr>
            <w:tcW w:w="710" w:type="pct"/>
            <w:vMerge w:val="continue"/>
            <w:tcBorders>
              <w:tl2br w:val="nil"/>
              <w:tr2bl w:val="nil"/>
            </w:tcBorders>
            <w:vAlign w:val="center"/>
          </w:tcPr>
          <w:p w14:paraId="65183750">
            <w:pPr>
              <w:jc w:val="center"/>
              <w:rPr>
                <w:bCs/>
                <w:color w:val="000000"/>
                <w:szCs w:val="21"/>
              </w:rPr>
            </w:pPr>
          </w:p>
        </w:tc>
        <w:tc>
          <w:tcPr>
            <w:tcW w:w="710" w:type="pct"/>
            <w:vMerge w:val="continue"/>
            <w:tcBorders>
              <w:tl2br w:val="nil"/>
              <w:tr2bl w:val="nil"/>
            </w:tcBorders>
            <w:vAlign w:val="center"/>
          </w:tcPr>
          <w:p w14:paraId="6D0EF1E5">
            <w:pPr>
              <w:jc w:val="center"/>
              <w:rPr>
                <w:bCs/>
                <w:color w:val="000000"/>
                <w:szCs w:val="21"/>
              </w:rPr>
            </w:pPr>
          </w:p>
        </w:tc>
        <w:tc>
          <w:tcPr>
            <w:tcW w:w="710" w:type="pct"/>
            <w:tcBorders>
              <w:tl2br w:val="nil"/>
              <w:tr2bl w:val="nil"/>
            </w:tcBorders>
            <w:vAlign w:val="center"/>
          </w:tcPr>
          <w:p w14:paraId="7162C55D">
            <w:pPr>
              <w:jc w:val="center"/>
              <w:rPr>
                <w:bCs/>
                <w:color w:val="000000"/>
                <w:szCs w:val="21"/>
              </w:rPr>
            </w:pPr>
            <w:r>
              <w:rPr>
                <w:rFonts w:hint="eastAsia"/>
                <w:bCs/>
                <w:color w:val="000000"/>
                <w:szCs w:val="21"/>
              </w:rPr>
              <w:t>西南</w:t>
            </w:r>
          </w:p>
        </w:tc>
        <w:tc>
          <w:tcPr>
            <w:tcW w:w="710" w:type="pct"/>
            <w:tcBorders>
              <w:tl2br w:val="nil"/>
              <w:tr2bl w:val="nil"/>
            </w:tcBorders>
            <w:vAlign w:val="center"/>
          </w:tcPr>
          <w:p w14:paraId="753A85A1">
            <w:pPr>
              <w:jc w:val="center"/>
              <w:rPr>
                <w:bCs/>
                <w:color w:val="000000"/>
                <w:szCs w:val="21"/>
              </w:rPr>
            </w:pPr>
            <w:r>
              <w:rPr>
                <w:rFonts w:hint="eastAsia"/>
                <w:bCs/>
                <w:color w:val="000000"/>
                <w:szCs w:val="21"/>
              </w:rPr>
              <w:t>300m</w:t>
            </w:r>
          </w:p>
        </w:tc>
      </w:tr>
    </w:tbl>
    <w:p w14:paraId="74D221AF">
      <w:pPr>
        <w:widowControl/>
        <w:spacing w:line="360" w:lineRule="auto"/>
        <w:ind w:firstLine="480" w:firstLineChars="200"/>
        <w:jc w:val="left"/>
        <w:rPr>
          <w:color w:val="000000"/>
          <w:kern w:val="0"/>
          <w:sz w:val="24"/>
          <w:szCs w:val="24"/>
        </w:rPr>
      </w:pPr>
      <w:r>
        <w:rPr>
          <w:rFonts w:hint="eastAsia"/>
          <w:color w:val="000000"/>
          <w:kern w:val="0"/>
          <w:sz w:val="24"/>
          <w:szCs w:val="24"/>
        </w:rPr>
        <w:t>②采样及分析方法</w:t>
      </w:r>
    </w:p>
    <w:p w14:paraId="3C631EE0">
      <w:pPr>
        <w:widowControl/>
        <w:spacing w:line="360" w:lineRule="auto"/>
        <w:ind w:firstLine="480" w:firstLineChars="200"/>
        <w:rPr>
          <w:color w:val="000000"/>
          <w:kern w:val="0"/>
          <w:sz w:val="24"/>
          <w:szCs w:val="24"/>
        </w:rPr>
      </w:pPr>
      <w:r>
        <w:rPr>
          <w:rFonts w:hint="eastAsia"/>
          <w:color w:val="000000"/>
          <w:kern w:val="0"/>
          <w:sz w:val="24"/>
          <w:szCs w:val="24"/>
        </w:rPr>
        <w:t>采样方法和分析方法均执行《空气和废气监测分析方法》和《环境监测技术规范》（大气部分）中有关规定。</w:t>
      </w:r>
    </w:p>
    <w:p w14:paraId="41A44B38">
      <w:pPr>
        <w:widowControl/>
        <w:spacing w:line="360" w:lineRule="auto"/>
        <w:ind w:firstLine="480" w:firstLineChars="200"/>
        <w:jc w:val="left"/>
        <w:rPr>
          <w:color w:val="000000"/>
          <w:kern w:val="0"/>
          <w:sz w:val="24"/>
          <w:szCs w:val="24"/>
        </w:rPr>
      </w:pPr>
      <w:r>
        <w:rPr>
          <w:rFonts w:hint="eastAsia"/>
          <w:color w:val="000000"/>
          <w:kern w:val="0"/>
          <w:sz w:val="24"/>
          <w:szCs w:val="24"/>
        </w:rPr>
        <w:t>③监测时间及频率</w:t>
      </w:r>
    </w:p>
    <w:p w14:paraId="56E686FF">
      <w:pPr>
        <w:widowControl/>
        <w:spacing w:line="360" w:lineRule="auto"/>
        <w:ind w:firstLine="480" w:firstLineChars="200"/>
        <w:rPr>
          <w:color w:val="000000"/>
          <w:kern w:val="0"/>
          <w:sz w:val="24"/>
          <w:szCs w:val="24"/>
        </w:rPr>
      </w:pPr>
      <w:r>
        <w:rPr>
          <w:rFonts w:hint="eastAsia"/>
          <w:color w:val="000000"/>
          <w:kern w:val="0"/>
          <w:sz w:val="24"/>
          <w:szCs w:val="24"/>
          <w:lang w:val="de-DE"/>
        </w:rPr>
        <w:t>非甲烷总烃</w:t>
      </w:r>
      <w:r>
        <w:rPr>
          <w:rFonts w:hint="eastAsia"/>
          <w:color w:val="000000"/>
          <w:kern w:val="0"/>
          <w:sz w:val="24"/>
          <w:szCs w:val="24"/>
        </w:rPr>
        <w:t>监测</w:t>
      </w:r>
      <w:r>
        <w:rPr>
          <w:color w:val="000000"/>
          <w:kern w:val="0"/>
          <w:sz w:val="24"/>
          <w:szCs w:val="24"/>
        </w:rPr>
        <w:t>7</w:t>
      </w:r>
      <w:r>
        <w:rPr>
          <w:rFonts w:hint="eastAsia"/>
          <w:color w:val="000000"/>
          <w:kern w:val="0"/>
          <w:sz w:val="24"/>
          <w:szCs w:val="24"/>
        </w:rPr>
        <w:t>天，</w:t>
      </w:r>
      <w:r>
        <w:rPr>
          <w:color w:val="000000"/>
          <w:kern w:val="0"/>
          <w:sz w:val="24"/>
          <w:szCs w:val="24"/>
        </w:rPr>
        <w:t>2:00</w:t>
      </w:r>
      <w:r>
        <w:rPr>
          <w:rFonts w:hint="eastAsia"/>
          <w:color w:val="000000"/>
          <w:kern w:val="0"/>
          <w:sz w:val="24"/>
          <w:szCs w:val="24"/>
        </w:rPr>
        <w:t>、</w:t>
      </w:r>
      <w:r>
        <w:rPr>
          <w:color w:val="000000"/>
          <w:kern w:val="0"/>
          <w:sz w:val="24"/>
          <w:szCs w:val="24"/>
        </w:rPr>
        <w:t>8:00</w:t>
      </w:r>
      <w:r>
        <w:rPr>
          <w:rFonts w:hint="eastAsia"/>
          <w:color w:val="000000"/>
          <w:kern w:val="0"/>
          <w:sz w:val="24"/>
          <w:szCs w:val="24"/>
        </w:rPr>
        <w:t>、</w:t>
      </w:r>
      <w:r>
        <w:rPr>
          <w:color w:val="000000"/>
          <w:kern w:val="0"/>
          <w:sz w:val="24"/>
          <w:szCs w:val="24"/>
        </w:rPr>
        <w:t>14:00</w:t>
      </w:r>
      <w:r>
        <w:rPr>
          <w:rFonts w:hint="eastAsia"/>
          <w:color w:val="000000"/>
          <w:kern w:val="0"/>
          <w:sz w:val="24"/>
          <w:szCs w:val="24"/>
        </w:rPr>
        <w:t>、</w:t>
      </w:r>
      <w:r>
        <w:rPr>
          <w:color w:val="000000"/>
          <w:kern w:val="0"/>
          <w:sz w:val="24"/>
          <w:szCs w:val="24"/>
        </w:rPr>
        <w:t>20:00</w:t>
      </w:r>
      <w:r>
        <w:rPr>
          <w:rFonts w:hint="eastAsia"/>
          <w:color w:val="000000"/>
          <w:kern w:val="0"/>
          <w:sz w:val="24"/>
          <w:szCs w:val="24"/>
        </w:rPr>
        <w:t>时的一次值，采样时间为2025年6月1日~6月8日，连续7天；TSP每天监测一次，采样时间为2025年6月5日~6月11日，连续7天。采样同步进行风向、风速、气温、气压等气象要素的观测。</w:t>
      </w:r>
    </w:p>
    <w:p w14:paraId="64D5D4CD">
      <w:pPr>
        <w:widowControl/>
        <w:spacing w:line="360" w:lineRule="auto"/>
        <w:ind w:firstLine="480" w:firstLineChars="200"/>
        <w:jc w:val="left"/>
        <w:rPr>
          <w:color w:val="000000"/>
          <w:kern w:val="0"/>
          <w:sz w:val="24"/>
          <w:szCs w:val="24"/>
        </w:rPr>
      </w:pPr>
      <w:r>
        <w:rPr>
          <w:rFonts w:hint="eastAsia"/>
          <w:color w:val="000000"/>
          <w:kern w:val="0"/>
          <w:sz w:val="24"/>
          <w:szCs w:val="24"/>
        </w:rPr>
        <w:t>④评价标准</w:t>
      </w:r>
    </w:p>
    <w:p w14:paraId="7A51B973">
      <w:pPr>
        <w:widowControl/>
        <w:spacing w:line="360" w:lineRule="auto"/>
        <w:ind w:firstLine="480" w:firstLineChars="200"/>
        <w:rPr>
          <w:color w:val="000000"/>
          <w:kern w:val="0"/>
          <w:sz w:val="24"/>
          <w:szCs w:val="24"/>
        </w:rPr>
      </w:pPr>
      <w:r>
        <w:rPr>
          <w:rFonts w:hint="eastAsia"/>
          <w:color w:val="000000"/>
          <w:kern w:val="0"/>
          <w:sz w:val="24"/>
          <w:szCs w:val="24"/>
        </w:rPr>
        <w:t>根据项目区所在区域的环境功能区划，TSP执行《环境空气质量标准》（GB3095－2012）中的二级标准；非甲烷总烃参照执行《大气污染物综合排放标准详解》（GB3095-1996）中的推荐值。评价标准值见表4</w:t>
      </w:r>
      <w:r>
        <w:rPr>
          <w:color w:val="000000"/>
          <w:kern w:val="0"/>
          <w:sz w:val="24"/>
          <w:szCs w:val="24"/>
        </w:rPr>
        <w:t>.</w:t>
      </w:r>
      <w:r>
        <w:rPr>
          <w:rFonts w:hint="eastAsia"/>
          <w:color w:val="000000"/>
          <w:kern w:val="0"/>
          <w:sz w:val="24"/>
          <w:szCs w:val="24"/>
        </w:rPr>
        <w:t>3</w:t>
      </w:r>
      <w:r>
        <w:rPr>
          <w:color w:val="000000"/>
          <w:kern w:val="0"/>
          <w:sz w:val="24"/>
          <w:szCs w:val="24"/>
        </w:rPr>
        <w:t>-</w:t>
      </w:r>
      <w:r>
        <w:rPr>
          <w:rFonts w:hint="eastAsia"/>
          <w:color w:val="000000"/>
          <w:kern w:val="0"/>
          <w:sz w:val="24"/>
          <w:szCs w:val="24"/>
        </w:rPr>
        <w:t>3。</w:t>
      </w:r>
    </w:p>
    <w:p w14:paraId="2C447015">
      <w:pPr>
        <w:widowControl/>
        <w:ind w:firstLine="422" w:firstLineChars="200"/>
        <w:jc w:val="center"/>
        <w:rPr>
          <w:b/>
          <w:bCs/>
          <w:color w:val="000000"/>
          <w:kern w:val="24"/>
          <w:sz w:val="24"/>
          <w:szCs w:val="21"/>
          <w:vertAlign w:val="superscript"/>
        </w:rPr>
      </w:pPr>
      <w:r>
        <w:rPr>
          <w:rFonts w:hint="eastAsia"/>
          <w:b/>
          <w:bCs/>
          <w:color w:val="000000"/>
          <w:kern w:val="24"/>
          <w:szCs w:val="21"/>
        </w:rPr>
        <w:t>表4</w:t>
      </w:r>
      <w:r>
        <w:rPr>
          <w:b/>
          <w:bCs/>
          <w:color w:val="000000"/>
          <w:kern w:val="24"/>
          <w:szCs w:val="21"/>
        </w:rPr>
        <w:t>.</w:t>
      </w:r>
      <w:r>
        <w:rPr>
          <w:rFonts w:hint="eastAsia"/>
          <w:b/>
          <w:bCs/>
          <w:color w:val="000000"/>
          <w:kern w:val="24"/>
          <w:szCs w:val="21"/>
        </w:rPr>
        <w:t>3</w:t>
      </w:r>
      <w:r>
        <w:rPr>
          <w:b/>
          <w:bCs/>
          <w:color w:val="000000"/>
          <w:kern w:val="24"/>
          <w:szCs w:val="21"/>
        </w:rPr>
        <w:t>-</w:t>
      </w:r>
      <w:r>
        <w:rPr>
          <w:rFonts w:hint="eastAsia"/>
          <w:b/>
          <w:bCs/>
          <w:color w:val="000000"/>
          <w:kern w:val="24"/>
          <w:szCs w:val="21"/>
        </w:rPr>
        <w:t>3</w:t>
      </w:r>
      <w:r>
        <w:rPr>
          <w:b/>
          <w:bCs/>
          <w:color w:val="000000"/>
          <w:kern w:val="24"/>
          <w:szCs w:val="21"/>
        </w:rPr>
        <w:t xml:space="preserve">    </w:t>
      </w:r>
      <w:r>
        <w:rPr>
          <w:rFonts w:hint="eastAsia"/>
          <w:b/>
          <w:bCs/>
          <w:color w:val="000000"/>
          <w:kern w:val="24"/>
          <w:szCs w:val="21"/>
        </w:rPr>
        <w:t>其他污染物环境空气质量评价标准</w:t>
      </w:r>
      <w:r>
        <w:rPr>
          <w:b/>
          <w:bCs/>
          <w:color w:val="000000"/>
          <w:kern w:val="24"/>
          <w:szCs w:val="21"/>
        </w:rPr>
        <w:t xml:space="preserve">    </w:t>
      </w:r>
      <w:r>
        <w:rPr>
          <w:rFonts w:hint="eastAsia"/>
          <w:b/>
          <w:bCs/>
          <w:color w:val="000000"/>
          <w:kern w:val="24"/>
          <w:szCs w:val="21"/>
        </w:rPr>
        <w:t>单位：</w:t>
      </w:r>
      <w:r>
        <w:rPr>
          <w:rFonts w:hint="eastAsia"/>
          <w:b/>
          <w:bCs/>
          <w:color w:val="000000"/>
          <w:kern w:val="0"/>
          <w:szCs w:val="21"/>
        </w:rPr>
        <w:t>（</w:t>
      </w:r>
      <w:r>
        <w:rPr>
          <w:b/>
          <w:bCs/>
          <w:color w:val="000000"/>
          <w:kern w:val="0"/>
          <w:szCs w:val="21"/>
        </w:rPr>
        <w:t>mg/m</w:t>
      </w:r>
      <w:r>
        <w:rPr>
          <w:b/>
          <w:bCs/>
          <w:color w:val="000000"/>
          <w:kern w:val="0"/>
          <w:szCs w:val="21"/>
          <w:vertAlign w:val="superscript"/>
        </w:rPr>
        <w:t>3</w:t>
      </w:r>
      <w:r>
        <w:rPr>
          <w:rFonts w:hint="eastAsia"/>
          <w:b/>
          <w:bCs/>
          <w:color w:val="000000"/>
          <w:kern w:val="0"/>
          <w:szCs w:val="21"/>
        </w:rPr>
        <w:t>）</w:t>
      </w:r>
    </w:p>
    <w:tbl>
      <w:tblPr>
        <w:tblStyle w:val="49"/>
        <w:tblW w:w="5000" w:type="pct"/>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autofit"/>
        <w:tblCellMar>
          <w:top w:w="0" w:type="dxa"/>
          <w:left w:w="108" w:type="dxa"/>
          <w:bottom w:w="0" w:type="dxa"/>
          <w:right w:w="108" w:type="dxa"/>
        </w:tblCellMar>
      </w:tblPr>
      <w:tblGrid>
        <w:gridCol w:w="1959"/>
        <w:gridCol w:w="1985"/>
        <w:gridCol w:w="1766"/>
        <w:gridCol w:w="3406"/>
      </w:tblGrid>
      <w:tr w14:paraId="432095DE">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33" w:hRule="atLeast"/>
          <w:jc w:val="center"/>
        </w:trPr>
        <w:tc>
          <w:tcPr>
            <w:tcW w:w="1074" w:type="pct"/>
            <w:tcBorders>
              <w:tl2br w:val="nil"/>
              <w:tr2bl w:val="nil"/>
            </w:tcBorders>
            <w:vAlign w:val="center"/>
          </w:tcPr>
          <w:p w14:paraId="588CA07B">
            <w:pPr>
              <w:jc w:val="center"/>
              <w:rPr>
                <w:b/>
                <w:color w:val="000000"/>
                <w:szCs w:val="21"/>
              </w:rPr>
            </w:pPr>
            <w:r>
              <w:rPr>
                <w:rFonts w:hint="eastAsia"/>
                <w:b/>
                <w:color w:val="000000"/>
                <w:szCs w:val="21"/>
              </w:rPr>
              <w:t>污染物名称</w:t>
            </w:r>
          </w:p>
        </w:tc>
        <w:tc>
          <w:tcPr>
            <w:tcW w:w="1088" w:type="pct"/>
            <w:tcBorders>
              <w:tl2br w:val="nil"/>
              <w:tr2bl w:val="nil"/>
            </w:tcBorders>
            <w:vAlign w:val="center"/>
          </w:tcPr>
          <w:p w14:paraId="25F57A22">
            <w:pPr>
              <w:jc w:val="center"/>
              <w:rPr>
                <w:b/>
                <w:color w:val="000000"/>
                <w:szCs w:val="21"/>
              </w:rPr>
            </w:pPr>
            <w:r>
              <w:rPr>
                <w:rFonts w:hint="eastAsia"/>
                <w:b/>
                <w:color w:val="000000"/>
                <w:szCs w:val="21"/>
              </w:rPr>
              <w:t>取值时间</w:t>
            </w:r>
          </w:p>
        </w:tc>
        <w:tc>
          <w:tcPr>
            <w:tcW w:w="968" w:type="pct"/>
            <w:tcBorders>
              <w:tl2br w:val="nil"/>
              <w:tr2bl w:val="nil"/>
            </w:tcBorders>
            <w:vAlign w:val="center"/>
          </w:tcPr>
          <w:p w14:paraId="555B2FF5">
            <w:pPr>
              <w:jc w:val="center"/>
              <w:rPr>
                <w:b/>
                <w:color w:val="000000"/>
                <w:szCs w:val="21"/>
              </w:rPr>
            </w:pPr>
            <w:r>
              <w:rPr>
                <w:rFonts w:hint="eastAsia"/>
                <w:b/>
                <w:color w:val="000000"/>
                <w:szCs w:val="21"/>
              </w:rPr>
              <w:t>浓度限值</w:t>
            </w:r>
          </w:p>
        </w:tc>
        <w:tc>
          <w:tcPr>
            <w:tcW w:w="1867" w:type="pct"/>
            <w:tcBorders>
              <w:tl2br w:val="nil"/>
              <w:tr2bl w:val="nil"/>
            </w:tcBorders>
            <w:vAlign w:val="center"/>
          </w:tcPr>
          <w:p w14:paraId="264BC064">
            <w:pPr>
              <w:jc w:val="center"/>
              <w:rPr>
                <w:b/>
                <w:color w:val="000000"/>
                <w:szCs w:val="21"/>
              </w:rPr>
            </w:pPr>
            <w:r>
              <w:rPr>
                <w:rFonts w:hint="eastAsia"/>
                <w:b/>
                <w:color w:val="000000"/>
                <w:szCs w:val="21"/>
              </w:rPr>
              <w:t>标准来源</w:t>
            </w:r>
          </w:p>
        </w:tc>
      </w:tr>
      <w:tr w14:paraId="4B6F8330">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cantSplit/>
          <w:trHeight w:val="433" w:hRule="atLeast"/>
          <w:jc w:val="center"/>
        </w:trPr>
        <w:tc>
          <w:tcPr>
            <w:tcW w:w="1074" w:type="pct"/>
            <w:tcBorders>
              <w:tl2br w:val="nil"/>
              <w:tr2bl w:val="nil"/>
            </w:tcBorders>
            <w:vAlign w:val="center"/>
          </w:tcPr>
          <w:p w14:paraId="542241CF">
            <w:pPr>
              <w:jc w:val="center"/>
              <w:rPr>
                <w:bCs/>
                <w:color w:val="000000"/>
                <w:szCs w:val="21"/>
              </w:rPr>
            </w:pPr>
            <w:r>
              <w:rPr>
                <w:rFonts w:hint="eastAsia"/>
                <w:bCs/>
                <w:color w:val="000000"/>
                <w:szCs w:val="21"/>
              </w:rPr>
              <w:t>TSP</w:t>
            </w:r>
          </w:p>
        </w:tc>
        <w:tc>
          <w:tcPr>
            <w:tcW w:w="1088" w:type="pct"/>
            <w:tcBorders>
              <w:tl2br w:val="nil"/>
              <w:tr2bl w:val="nil"/>
            </w:tcBorders>
            <w:vAlign w:val="center"/>
          </w:tcPr>
          <w:p w14:paraId="41438C13">
            <w:pPr>
              <w:jc w:val="center"/>
              <w:rPr>
                <w:bCs/>
                <w:color w:val="000000"/>
                <w:szCs w:val="21"/>
              </w:rPr>
            </w:pPr>
            <w:r>
              <w:rPr>
                <w:rFonts w:hint="eastAsia"/>
                <w:bCs/>
                <w:color w:val="000000"/>
                <w:szCs w:val="21"/>
              </w:rPr>
              <w:t>日平均</w:t>
            </w:r>
          </w:p>
        </w:tc>
        <w:tc>
          <w:tcPr>
            <w:tcW w:w="968" w:type="pct"/>
            <w:tcBorders>
              <w:tl2br w:val="nil"/>
              <w:tr2bl w:val="nil"/>
            </w:tcBorders>
            <w:vAlign w:val="center"/>
          </w:tcPr>
          <w:p w14:paraId="576181A1">
            <w:pPr>
              <w:jc w:val="center"/>
              <w:rPr>
                <w:bCs/>
                <w:color w:val="000000"/>
                <w:szCs w:val="21"/>
              </w:rPr>
            </w:pPr>
            <w:r>
              <w:rPr>
                <w:rFonts w:hint="eastAsia"/>
                <w:bCs/>
                <w:color w:val="000000"/>
                <w:szCs w:val="21"/>
              </w:rPr>
              <w:t>0.30</w:t>
            </w:r>
          </w:p>
        </w:tc>
        <w:tc>
          <w:tcPr>
            <w:tcW w:w="1867" w:type="pct"/>
            <w:tcBorders>
              <w:tl2br w:val="nil"/>
              <w:tr2bl w:val="nil"/>
            </w:tcBorders>
            <w:vAlign w:val="center"/>
          </w:tcPr>
          <w:p w14:paraId="52B6D754">
            <w:pPr>
              <w:jc w:val="center"/>
              <w:rPr>
                <w:bCs/>
                <w:color w:val="000000"/>
                <w:szCs w:val="21"/>
              </w:rPr>
            </w:pPr>
            <w:r>
              <w:rPr>
                <w:rFonts w:hint="eastAsia"/>
                <w:bCs/>
                <w:color w:val="000000"/>
                <w:szCs w:val="21"/>
              </w:rPr>
              <w:t>《环境空气质量标准》（GB3095-2012）二级标准</w:t>
            </w:r>
          </w:p>
        </w:tc>
      </w:tr>
      <w:tr w14:paraId="1D464F73">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cantSplit/>
          <w:trHeight w:val="337" w:hRule="atLeast"/>
          <w:jc w:val="center"/>
        </w:trPr>
        <w:tc>
          <w:tcPr>
            <w:tcW w:w="1074" w:type="pct"/>
            <w:tcBorders>
              <w:tl2br w:val="nil"/>
              <w:tr2bl w:val="nil"/>
            </w:tcBorders>
            <w:vAlign w:val="center"/>
          </w:tcPr>
          <w:p w14:paraId="1008A1D5">
            <w:pPr>
              <w:jc w:val="center"/>
              <w:rPr>
                <w:bCs/>
                <w:color w:val="000000"/>
                <w:szCs w:val="21"/>
              </w:rPr>
            </w:pPr>
            <w:r>
              <w:rPr>
                <w:rFonts w:hint="eastAsia"/>
                <w:bCs/>
                <w:color w:val="000000"/>
                <w:szCs w:val="21"/>
              </w:rPr>
              <w:t>非甲烷总烃</w:t>
            </w:r>
          </w:p>
        </w:tc>
        <w:tc>
          <w:tcPr>
            <w:tcW w:w="1088" w:type="pct"/>
            <w:tcBorders>
              <w:tl2br w:val="nil"/>
              <w:tr2bl w:val="nil"/>
            </w:tcBorders>
            <w:vAlign w:val="center"/>
          </w:tcPr>
          <w:p w14:paraId="3635103E">
            <w:pPr>
              <w:jc w:val="center"/>
              <w:rPr>
                <w:bCs/>
                <w:color w:val="000000"/>
                <w:szCs w:val="21"/>
              </w:rPr>
            </w:pPr>
            <w:r>
              <w:rPr>
                <w:rFonts w:hint="eastAsia"/>
                <w:bCs/>
                <w:color w:val="000000"/>
                <w:szCs w:val="21"/>
              </w:rPr>
              <w:t>1小时平均</w:t>
            </w:r>
          </w:p>
        </w:tc>
        <w:tc>
          <w:tcPr>
            <w:tcW w:w="968" w:type="pct"/>
            <w:tcBorders>
              <w:tl2br w:val="nil"/>
              <w:tr2bl w:val="nil"/>
            </w:tcBorders>
            <w:vAlign w:val="center"/>
          </w:tcPr>
          <w:p w14:paraId="2CBCE647">
            <w:pPr>
              <w:jc w:val="center"/>
              <w:rPr>
                <w:bCs/>
                <w:color w:val="000000"/>
                <w:szCs w:val="21"/>
              </w:rPr>
            </w:pPr>
            <w:r>
              <w:rPr>
                <w:rFonts w:hint="eastAsia"/>
                <w:bCs/>
                <w:color w:val="000000"/>
                <w:szCs w:val="21"/>
              </w:rPr>
              <w:t>2.0</w:t>
            </w:r>
          </w:p>
        </w:tc>
        <w:tc>
          <w:tcPr>
            <w:tcW w:w="1867" w:type="pct"/>
            <w:tcBorders>
              <w:tl2br w:val="nil"/>
              <w:tr2bl w:val="nil"/>
            </w:tcBorders>
            <w:vAlign w:val="center"/>
          </w:tcPr>
          <w:p w14:paraId="65DAFDC5">
            <w:pPr>
              <w:jc w:val="center"/>
              <w:rPr>
                <w:bCs/>
                <w:color w:val="000000"/>
                <w:szCs w:val="21"/>
              </w:rPr>
            </w:pPr>
            <w:r>
              <w:rPr>
                <w:rFonts w:hint="eastAsia"/>
                <w:bCs/>
                <w:color w:val="000000"/>
                <w:szCs w:val="21"/>
              </w:rPr>
              <w:t>《大气污染物综合排放标准详解》</w:t>
            </w:r>
          </w:p>
        </w:tc>
      </w:tr>
    </w:tbl>
    <w:p w14:paraId="2D62C34C">
      <w:pPr>
        <w:widowControl/>
        <w:spacing w:line="360" w:lineRule="auto"/>
        <w:ind w:firstLine="480" w:firstLineChars="200"/>
        <w:jc w:val="left"/>
        <w:rPr>
          <w:color w:val="000000"/>
          <w:kern w:val="0"/>
          <w:sz w:val="24"/>
          <w:szCs w:val="24"/>
        </w:rPr>
      </w:pPr>
      <w:r>
        <w:rPr>
          <w:rFonts w:hint="eastAsia"/>
          <w:color w:val="000000"/>
          <w:kern w:val="0"/>
          <w:sz w:val="24"/>
          <w:szCs w:val="24"/>
        </w:rPr>
        <w:t>⑤评价方法</w:t>
      </w:r>
    </w:p>
    <w:p w14:paraId="40EB1041">
      <w:pPr>
        <w:widowControl/>
        <w:spacing w:line="360" w:lineRule="auto"/>
        <w:ind w:firstLine="480" w:firstLineChars="200"/>
        <w:jc w:val="left"/>
        <w:rPr>
          <w:color w:val="000000"/>
          <w:kern w:val="0"/>
          <w:sz w:val="24"/>
          <w:szCs w:val="24"/>
        </w:rPr>
      </w:pPr>
      <w:r>
        <w:rPr>
          <w:rFonts w:hint="eastAsia"/>
          <w:color w:val="000000"/>
          <w:kern w:val="0"/>
          <w:sz w:val="24"/>
          <w:szCs w:val="24"/>
        </w:rPr>
        <w:t>本评价采用单因子评价指数法，单因子评价指数用以下公式计算而得：</w:t>
      </w:r>
    </w:p>
    <w:p w14:paraId="14DB58B2">
      <w:pPr>
        <w:widowControl/>
        <w:spacing w:line="360" w:lineRule="auto"/>
        <w:ind w:firstLine="480" w:firstLineChars="200"/>
        <w:jc w:val="center"/>
        <w:rPr>
          <w:color w:val="000000"/>
          <w:kern w:val="0"/>
          <w:sz w:val="24"/>
          <w:szCs w:val="24"/>
        </w:rPr>
      </w:pPr>
      <w:r>
        <w:rPr>
          <w:color w:val="000000"/>
          <w:kern w:val="0"/>
          <w:sz w:val="24"/>
          <w:szCs w:val="24"/>
        </w:rPr>
        <w:t>I</w:t>
      </w:r>
      <w:r>
        <w:rPr>
          <w:color w:val="000000"/>
          <w:kern w:val="0"/>
          <w:sz w:val="24"/>
          <w:szCs w:val="24"/>
          <w:vertAlign w:val="subscript"/>
        </w:rPr>
        <w:t>i</w:t>
      </w:r>
      <w:r>
        <w:rPr>
          <w:color w:val="000000"/>
          <w:kern w:val="0"/>
          <w:sz w:val="24"/>
          <w:szCs w:val="24"/>
        </w:rPr>
        <w:t xml:space="preserve"> = C</w:t>
      </w:r>
      <w:r>
        <w:rPr>
          <w:color w:val="000000"/>
          <w:kern w:val="0"/>
          <w:sz w:val="24"/>
          <w:szCs w:val="24"/>
          <w:vertAlign w:val="subscript"/>
        </w:rPr>
        <w:t>i</w:t>
      </w:r>
      <w:r>
        <w:rPr>
          <w:color w:val="000000"/>
          <w:kern w:val="0"/>
          <w:sz w:val="24"/>
          <w:szCs w:val="24"/>
        </w:rPr>
        <w:t>/ C</w:t>
      </w:r>
      <w:r>
        <w:rPr>
          <w:color w:val="000000"/>
          <w:kern w:val="0"/>
          <w:sz w:val="24"/>
          <w:szCs w:val="24"/>
          <w:vertAlign w:val="subscript"/>
        </w:rPr>
        <w:t>o</w:t>
      </w:r>
    </w:p>
    <w:p w14:paraId="3DE6584A">
      <w:pPr>
        <w:widowControl/>
        <w:spacing w:line="360" w:lineRule="auto"/>
        <w:ind w:firstLine="480" w:firstLineChars="200"/>
        <w:jc w:val="left"/>
        <w:rPr>
          <w:color w:val="000000"/>
          <w:kern w:val="0"/>
          <w:sz w:val="24"/>
          <w:szCs w:val="24"/>
        </w:rPr>
      </w:pPr>
      <w:r>
        <w:rPr>
          <w:rFonts w:hint="eastAsia"/>
          <w:color w:val="000000"/>
          <w:kern w:val="0"/>
          <w:sz w:val="24"/>
          <w:szCs w:val="24"/>
        </w:rPr>
        <w:t>式中：</w:t>
      </w:r>
      <w:r>
        <w:rPr>
          <w:color w:val="000000"/>
          <w:kern w:val="0"/>
          <w:sz w:val="24"/>
          <w:szCs w:val="24"/>
        </w:rPr>
        <w:t>I</w:t>
      </w:r>
      <w:r>
        <w:rPr>
          <w:color w:val="000000"/>
          <w:kern w:val="0"/>
          <w:sz w:val="24"/>
          <w:szCs w:val="24"/>
          <w:vertAlign w:val="subscript"/>
        </w:rPr>
        <w:t>i</w:t>
      </w:r>
      <w:r>
        <w:rPr>
          <w:color w:val="000000"/>
          <w:kern w:val="0"/>
          <w:sz w:val="24"/>
          <w:szCs w:val="24"/>
        </w:rPr>
        <w:t>——</w:t>
      </w:r>
      <w:r>
        <w:rPr>
          <w:rFonts w:hint="eastAsia"/>
          <w:color w:val="000000"/>
          <w:kern w:val="0"/>
          <w:sz w:val="24"/>
          <w:szCs w:val="24"/>
        </w:rPr>
        <w:t>污染物</w:t>
      </w:r>
      <w:r>
        <w:rPr>
          <w:color w:val="000000"/>
          <w:kern w:val="0"/>
          <w:sz w:val="24"/>
          <w:szCs w:val="24"/>
        </w:rPr>
        <w:t>i</w:t>
      </w:r>
      <w:r>
        <w:rPr>
          <w:rFonts w:hint="eastAsia"/>
          <w:color w:val="000000"/>
          <w:kern w:val="0"/>
          <w:sz w:val="24"/>
          <w:szCs w:val="24"/>
        </w:rPr>
        <w:t>的单因子评价指数，无量纲；</w:t>
      </w:r>
    </w:p>
    <w:p w14:paraId="48D5EE7E">
      <w:pPr>
        <w:widowControl/>
        <w:spacing w:line="360" w:lineRule="auto"/>
        <w:ind w:firstLine="480" w:firstLineChars="200"/>
        <w:jc w:val="left"/>
        <w:rPr>
          <w:color w:val="000000"/>
          <w:kern w:val="0"/>
          <w:sz w:val="24"/>
          <w:szCs w:val="24"/>
        </w:rPr>
      </w:pPr>
      <w:r>
        <w:rPr>
          <w:color w:val="000000"/>
          <w:kern w:val="0"/>
          <w:sz w:val="24"/>
          <w:szCs w:val="24"/>
        </w:rPr>
        <w:t xml:space="preserve">      C</w:t>
      </w:r>
      <w:r>
        <w:rPr>
          <w:color w:val="000000"/>
          <w:kern w:val="0"/>
          <w:sz w:val="24"/>
          <w:szCs w:val="24"/>
          <w:vertAlign w:val="subscript"/>
        </w:rPr>
        <w:t>i</w:t>
      </w:r>
      <w:r>
        <w:rPr>
          <w:color w:val="000000"/>
          <w:kern w:val="0"/>
          <w:sz w:val="24"/>
          <w:szCs w:val="24"/>
        </w:rPr>
        <w:t>——</w:t>
      </w:r>
      <w:r>
        <w:rPr>
          <w:rFonts w:hint="eastAsia"/>
          <w:color w:val="000000"/>
          <w:kern w:val="0"/>
          <w:sz w:val="24"/>
          <w:szCs w:val="24"/>
        </w:rPr>
        <w:t>污染物</w:t>
      </w:r>
      <w:r>
        <w:rPr>
          <w:color w:val="000000"/>
          <w:kern w:val="0"/>
          <w:sz w:val="24"/>
          <w:szCs w:val="24"/>
        </w:rPr>
        <w:t>i</w:t>
      </w:r>
      <w:r>
        <w:rPr>
          <w:rFonts w:hint="eastAsia"/>
          <w:color w:val="000000"/>
          <w:kern w:val="0"/>
          <w:sz w:val="24"/>
          <w:szCs w:val="24"/>
        </w:rPr>
        <w:t>的实测浓度，</w:t>
      </w:r>
      <w:r>
        <w:rPr>
          <w:color w:val="000000"/>
          <w:kern w:val="0"/>
          <w:sz w:val="24"/>
          <w:szCs w:val="24"/>
        </w:rPr>
        <w:t>mg/m</w:t>
      </w:r>
      <w:r>
        <w:rPr>
          <w:color w:val="000000"/>
          <w:kern w:val="0"/>
          <w:sz w:val="24"/>
          <w:szCs w:val="24"/>
          <w:vertAlign w:val="superscript"/>
        </w:rPr>
        <w:t>3</w:t>
      </w:r>
      <w:r>
        <w:rPr>
          <w:rFonts w:hint="eastAsia"/>
          <w:color w:val="000000"/>
          <w:kern w:val="0"/>
          <w:sz w:val="24"/>
          <w:szCs w:val="24"/>
        </w:rPr>
        <w:t>；</w:t>
      </w:r>
    </w:p>
    <w:p w14:paraId="522B28EC">
      <w:pPr>
        <w:widowControl/>
        <w:spacing w:line="360" w:lineRule="auto"/>
        <w:ind w:firstLine="480" w:firstLineChars="200"/>
        <w:jc w:val="left"/>
        <w:rPr>
          <w:color w:val="000000"/>
          <w:kern w:val="0"/>
          <w:sz w:val="24"/>
          <w:szCs w:val="24"/>
        </w:rPr>
      </w:pPr>
      <w:r>
        <w:rPr>
          <w:color w:val="000000"/>
          <w:kern w:val="0"/>
          <w:sz w:val="24"/>
          <w:szCs w:val="24"/>
        </w:rPr>
        <w:t xml:space="preserve">      C</w:t>
      </w:r>
      <w:r>
        <w:rPr>
          <w:color w:val="000000"/>
          <w:kern w:val="0"/>
          <w:sz w:val="24"/>
          <w:szCs w:val="24"/>
          <w:vertAlign w:val="subscript"/>
        </w:rPr>
        <w:t>o</w:t>
      </w:r>
      <w:r>
        <w:rPr>
          <w:color w:val="000000"/>
          <w:kern w:val="0"/>
          <w:sz w:val="24"/>
          <w:szCs w:val="24"/>
        </w:rPr>
        <w:t>——</w:t>
      </w:r>
      <w:r>
        <w:rPr>
          <w:rFonts w:hint="eastAsia"/>
          <w:color w:val="000000"/>
          <w:kern w:val="0"/>
          <w:sz w:val="24"/>
          <w:szCs w:val="24"/>
        </w:rPr>
        <w:t>污染物</w:t>
      </w:r>
      <w:r>
        <w:rPr>
          <w:color w:val="000000"/>
          <w:kern w:val="0"/>
          <w:sz w:val="24"/>
          <w:szCs w:val="24"/>
        </w:rPr>
        <w:t>i</w:t>
      </w:r>
      <w:r>
        <w:rPr>
          <w:rFonts w:hint="eastAsia"/>
          <w:color w:val="000000"/>
          <w:kern w:val="0"/>
          <w:sz w:val="24"/>
          <w:szCs w:val="24"/>
        </w:rPr>
        <w:t>的评价标准，</w:t>
      </w:r>
      <w:r>
        <w:rPr>
          <w:color w:val="000000"/>
          <w:kern w:val="0"/>
          <w:sz w:val="24"/>
          <w:szCs w:val="24"/>
        </w:rPr>
        <w:t>mg/m</w:t>
      </w:r>
      <w:r>
        <w:rPr>
          <w:color w:val="000000"/>
          <w:kern w:val="0"/>
          <w:sz w:val="24"/>
          <w:szCs w:val="24"/>
          <w:vertAlign w:val="superscript"/>
        </w:rPr>
        <w:t>3</w:t>
      </w:r>
      <w:r>
        <w:rPr>
          <w:rFonts w:hint="eastAsia"/>
          <w:color w:val="000000"/>
          <w:kern w:val="0"/>
          <w:sz w:val="24"/>
          <w:szCs w:val="24"/>
        </w:rPr>
        <w:t>；</w:t>
      </w:r>
    </w:p>
    <w:p w14:paraId="5CCDB4B5">
      <w:pPr>
        <w:widowControl/>
        <w:spacing w:line="360" w:lineRule="auto"/>
        <w:ind w:firstLine="480" w:firstLineChars="200"/>
        <w:jc w:val="left"/>
        <w:rPr>
          <w:color w:val="000000"/>
          <w:kern w:val="0"/>
          <w:sz w:val="24"/>
          <w:szCs w:val="24"/>
        </w:rPr>
      </w:pPr>
      <w:r>
        <w:rPr>
          <w:rFonts w:hint="eastAsia"/>
          <w:color w:val="000000"/>
          <w:kern w:val="0"/>
          <w:sz w:val="24"/>
          <w:szCs w:val="24"/>
        </w:rPr>
        <w:t>根据结果，当</w:t>
      </w:r>
      <w:r>
        <w:rPr>
          <w:color w:val="000000"/>
          <w:kern w:val="0"/>
          <w:sz w:val="24"/>
          <w:szCs w:val="24"/>
        </w:rPr>
        <w:t>I</w:t>
      </w:r>
      <w:r>
        <w:rPr>
          <w:color w:val="000000"/>
          <w:kern w:val="0"/>
          <w:sz w:val="24"/>
          <w:szCs w:val="24"/>
          <w:vertAlign w:val="subscript"/>
        </w:rPr>
        <w:t>i</w:t>
      </w:r>
      <w:r>
        <w:rPr>
          <w:color w:val="000000"/>
          <w:kern w:val="0"/>
          <w:sz w:val="24"/>
          <w:szCs w:val="24"/>
        </w:rPr>
        <w:t>&lt;1</w:t>
      </w:r>
      <w:r>
        <w:rPr>
          <w:rFonts w:hint="eastAsia"/>
          <w:color w:val="000000"/>
          <w:kern w:val="0"/>
          <w:sz w:val="24"/>
          <w:szCs w:val="24"/>
        </w:rPr>
        <w:t>时，表示大气中该污染物浓度不超标；当</w:t>
      </w:r>
      <w:r>
        <w:rPr>
          <w:color w:val="000000"/>
          <w:kern w:val="0"/>
          <w:sz w:val="24"/>
          <w:szCs w:val="24"/>
        </w:rPr>
        <w:t>I</w:t>
      </w:r>
      <w:r>
        <w:rPr>
          <w:color w:val="000000"/>
          <w:kern w:val="0"/>
          <w:sz w:val="24"/>
          <w:szCs w:val="24"/>
          <w:vertAlign w:val="subscript"/>
        </w:rPr>
        <w:t>i</w:t>
      </w:r>
      <w:r>
        <w:rPr>
          <w:color w:val="000000"/>
          <w:kern w:val="0"/>
          <w:sz w:val="24"/>
          <w:szCs w:val="24"/>
        </w:rPr>
        <w:t>≥1</w:t>
      </w:r>
      <w:r>
        <w:rPr>
          <w:rFonts w:hint="eastAsia"/>
          <w:color w:val="000000"/>
          <w:kern w:val="0"/>
          <w:sz w:val="24"/>
          <w:szCs w:val="24"/>
        </w:rPr>
        <w:t>时，表示大气中该污染物浓度超过评价标准。</w:t>
      </w:r>
    </w:p>
    <w:p w14:paraId="5A9A6ED3">
      <w:pPr>
        <w:widowControl/>
        <w:spacing w:line="360" w:lineRule="auto"/>
        <w:ind w:firstLine="480" w:firstLineChars="200"/>
        <w:jc w:val="left"/>
        <w:rPr>
          <w:color w:val="000000"/>
          <w:kern w:val="0"/>
          <w:sz w:val="24"/>
          <w:szCs w:val="24"/>
        </w:rPr>
      </w:pPr>
      <w:r>
        <w:rPr>
          <w:rFonts w:hint="eastAsia"/>
          <w:color w:val="000000"/>
          <w:kern w:val="0"/>
          <w:sz w:val="24"/>
          <w:szCs w:val="24"/>
        </w:rPr>
        <w:t>⑥监测结果统计及评价结果</w:t>
      </w:r>
    </w:p>
    <w:p w14:paraId="719A8425">
      <w:pPr>
        <w:spacing w:line="360" w:lineRule="auto"/>
        <w:ind w:firstLine="480" w:firstLineChars="200"/>
        <w:rPr>
          <w:color w:val="000000"/>
          <w:kern w:val="0"/>
          <w:sz w:val="24"/>
          <w:szCs w:val="24"/>
        </w:rPr>
      </w:pPr>
      <w:r>
        <w:rPr>
          <w:rFonts w:hint="eastAsia"/>
          <w:color w:val="000000"/>
          <w:kern w:val="0"/>
          <w:sz w:val="24"/>
          <w:szCs w:val="24"/>
        </w:rPr>
        <w:t>项目区及项目区下风非甲烷总烃、TSP监测结果见表4.3-4、4.3-5。</w:t>
      </w:r>
    </w:p>
    <w:p w14:paraId="4FCC6412">
      <w:pPr>
        <w:pStyle w:val="63"/>
        <w:ind w:firstLine="422" w:firstLineChars="200"/>
        <w:jc w:val="center"/>
        <w:textAlignment w:val="auto"/>
        <w:rPr>
          <w:b/>
          <w:bCs/>
          <w:sz w:val="21"/>
          <w:szCs w:val="21"/>
        </w:rPr>
      </w:pPr>
      <w:r>
        <w:rPr>
          <w:rFonts w:ascii="Times New Roman" w:cs="Times New Roman"/>
          <w:b/>
          <w:bCs/>
          <w:sz w:val="21"/>
          <w:szCs w:val="21"/>
        </w:rPr>
        <w:t>表</w:t>
      </w:r>
      <w:r>
        <w:rPr>
          <w:rFonts w:hint="eastAsia" w:ascii="Times New Roman" w:cs="Times New Roman"/>
          <w:b/>
          <w:bCs/>
          <w:sz w:val="21"/>
          <w:szCs w:val="21"/>
        </w:rPr>
        <w:t>4</w:t>
      </w:r>
      <w:r>
        <w:rPr>
          <w:rFonts w:ascii="Times New Roman" w:cs="Times New Roman"/>
          <w:b/>
          <w:bCs/>
          <w:sz w:val="21"/>
          <w:szCs w:val="21"/>
        </w:rPr>
        <w:t>.</w:t>
      </w:r>
      <w:r>
        <w:rPr>
          <w:rFonts w:hint="eastAsia" w:ascii="Times New Roman" w:cs="Times New Roman"/>
          <w:b/>
          <w:bCs/>
          <w:sz w:val="21"/>
          <w:szCs w:val="21"/>
        </w:rPr>
        <w:t>3</w:t>
      </w:r>
      <w:r>
        <w:rPr>
          <w:rFonts w:ascii="Times New Roman" w:cs="Times New Roman"/>
          <w:b/>
          <w:bCs/>
          <w:sz w:val="21"/>
          <w:szCs w:val="21"/>
        </w:rPr>
        <w:t>-</w:t>
      </w:r>
      <w:r>
        <w:rPr>
          <w:rFonts w:hint="eastAsia" w:ascii="Times New Roman" w:cs="Times New Roman"/>
          <w:b/>
          <w:bCs/>
          <w:sz w:val="21"/>
          <w:szCs w:val="21"/>
        </w:rPr>
        <w:t>4</w:t>
      </w:r>
      <w:r>
        <w:rPr>
          <w:rFonts w:ascii="Times New Roman" w:cs="Times New Roman"/>
          <w:b/>
          <w:bCs/>
          <w:sz w:val="21"/>
          <w:szCs w:val="21"/>
        </w:rPr>
        <w:t xml:space="preserve">    </w:t>
      </w:r>
      <w:r>
        <w:rPr>
          <w:rFonts w:hint="eastAsia"/>
          <w:b/>
          <w:bCs/>
          <w:sz w:val="21"/>
          <w:szCs w:val="21"/>
        </w:rPr>
        <w:t>项目区及项目区下风向非甲烷总烃监测结果</w:t>
      </w:r>
    </w:p>
    <w:tbl>
      <w:tblPr>
        <w:tblStyle w:val="50"/>
        <w:tblW w:w="4996" w:type="pct"/>
        <w:tblInd w:w="0" w:type="dxa"/>
        <w:tblBorders>
          <w:top w:val="single" w:color="auto" w:sz="12" w:space="0"/>
          <w:left w:val="single" w:color="auto" w:sz="12" w:space="0"/>
          <w:bottom w:val="single" w:color="auto" w:sz="12" w:space="0"/>
          <w:right w:val="single" w:color="auto" w:sz="12" w:space="0"/>
          <w:insideH w:val="single" w:color="auto" w:sz="2" w:space="0"/>
          <w:insideV w:val="single" w:color="auto" w:sz="4" w:space="0"/>
        </w:tblBorders>
        <w:tblLayout w:type="fixed"/>
        <w:tblCellMar>
          <w:top w:w="0" w:type="dxa"/>
          <w:left w:w="108" w:type="dxa"/>
          <w:bottom w:w="0" w:type="dxa"/>
          <w:right w:w="108" w:type="dxa"/>
        </w:tblCellMar>
      </w:tblPr>
      <w:tblGrid>
        <w:gridCol w:w="453"/>
        <w:gridCol w:w="1099"/>
        <w:gridCol w:w="592"/>
        <w:gridCol w:w="778"/>
        <w:gridCol w:w="450"/>
        <w:gridCol w:w="679"/>
        <w:gridCol w:w="778"/>
        <w:gridCol w:w="436"/>
        <w:gridCol w:w="632"/>
        <w:gridCol w:w="794"/>
        <w:gridCol w:w="481"/>
        <w:gridCol w:w="632"/>
        <w:gridCol w:w="778"/>
        <w:gridCol w:w="526"/>
      </w:tblGrid>
      <w:tr w14:paraId="48E05F8F">
        <w:tblPrEx>
          <w:tblBorders>
            <w:top w:val="single" w:color="auto" w:sz="12" w:space="0"/>
            <w:left w:val="single" w:color="auto" w:sz="12" w:space="0"/>
            <w:bottom w:val="single" w:color="auto" w:sz="12" w:space="0"/>
            <w:right w:val="single" w:color="auto" w:sz="12" w:space="0"/>
            <w:insideH w:val="single" w:color="auto" w:sz="2" w:space="0"/>
            <w:insideV w:val="single" w:color="auto" w:sz="4" w:space="0"/>
          </w:tblBorders>
          <w:tblCellMar>
            <w:top w:w="0" w:type="dxa"/>
            <w:left w:w="108" w:type="dxa"/>
            <w:bottom w:w="0" w:type="dxa"/>
            <w:right w:w="108" w:type="dxa"/>
          </w:tblCellMar>
        </w:tblPrEx>
        <w:trPr>
          <w:trHeight w:val="448" w:hRule="exact"/>
        </w:trPr>
        <w:tc>
          <w:tcPr>
            <w:tcW w:w="249" w:type="pct"/>
            <w:vMerge w:val="restart"/>
            <w:tcBorders>
              <w:tl2br w:val="nil"/>
              <w:tr2bl w:val="nil"/>
            </w:tcBorders>
            <w:vAlign w:val="center"/>
          </w:tcPr>
          <w:p w14:paraId="6F27DE47">
            <w:pPr>
              <w:pStyle w:val="240"/>
              <w:rPr>
                <w:rFonts w:hint="default"/>
              </w:rPr>
            </w:pPr>
            <w:r>
              <w:rPr>
                <w:rFonts w:hint="default"/>
              </w:rPr>
              <w:t>检测地点</w:t>
            </w:r>
          </w:p>
        </w:tc>
        <w:tc>
          <w:tcPr>
            <w:tcW w:w="603" w:type="pct"/>
            <w:vMerge w:val="restart"/>
            <w:tcBorders>
              <w:tl2br w:val="nil"/>
              <w:tr2bl w:val="nil"/>
            </w:tcBorders>
            <w:vAlign w:val="center"/>
          </w:tcPr>
          <w:p w14:paraId="67873E87">
            <w:pPr>
              <w:pStyle w:val="240"/>
              <w:rPr>
                <w:rFonts w:hint="default"/>
              </w:rPr>
            </w:pPr>
            <w:r>
              <w:rPr>
                <w:rFonts w:hint="default"/>
              </w:rPr>
              <w:t>采样日期</w:t>
            </w:r>
          </w:p>
        </w:tc>
        <w:tc>
          <w:tcPr>
            <w:tcW w:w="4148" w:type="pct"/>
            <w:gridSpan w:val="12"/>
            <w:tcBorders>
              <w:tl2br w:val="nil"/>
              <w:tr2bl w:val="nil"/>
            </w:tcBorders>
            <w:vAlign w:val="center"/>
          </w:tcPr>
          <w:p w14:paraId="4A76C13F">
            <w:pPr>
              <w:pStyle w:val="240"/>
              <w:rPr>
                <w:rFonts w:hint="default"/>
              </w:rPr>
            </w:pPr>
            <w:r>
              <w:t>非甲烷总烃（mg/m</w:t>
            </w:r>
            <w:r>
              <w:rPr>
                <w:vertAlign w:val="superscript"/>
              </w:rPr>
              <w:t>3</w:t>
            </w:r>
            <w:r>
              <w:t>）</w:t>
            </w:r>
          </w:p>
        </w:tc>
      </w:tr>
      <w:tr w14:paraId="45AE750C">
        <w:tblPrEx>
          <w:tblBorders>
            <w:top w:val="single" w:color="auto" w:sz="12" w:space="0"/>
            <w:left w:val="single" w:color="auto" w:sz="12" w:space="0"/>
            <w:bottom w:val="single" w:color="auto" w:sz="12" w:space="0"/>
            <w:right w:val="single" w:color="auto" w:sz="12" w:space="0"/>
            <w:insideH w:val="single" w:color="auto" w:sz="2" w:space="0"/>
            <w:insideV w:val="single" w:color="auto" w:sz="4" w:space="0"/>
          </w:tblBorders>
          <w:tblCellMar>
            <w:top w:w="0" w:type="dxa"/>
            <w:left w:w="108" w:type="dxa"/>
            <w:bottom w:w="0" w:type="dxa"/>
            <w:right w:w="108" w:type="dxa"/>
          </w:tblCellMar>
        </w:tblPrEx>
        <w:trPr>
          <w:trHeight w:val="345" w:hRule="atLeast"/>
        </w:trPr>
        <w:tc>
          <w:tcPr>
            <w:tcW w:w="249" w:type="pct"/>
            <w:vMerge w:val="continue"/>
            <w:tcBorders>
              <w:tl2br w:val="nil"/>
              <w:tr2bl w:val="nil"/>
            </w:tcBorders>
            <w:vAlign w:val="center"/>
          </w:tcPr>
          <w:p w14:paraId="62BECA56">
            <w:pPr>
              <w:pStyle w:val="240"/>
              <w:rPr>
                <w:rFonts w:hint="default"/>
              </w:rPr>
            </w:pPr>
          </w:p>
        </w:tc>
        <w:tc>
          <w:tcPr>
            <w:tcW w:w="603" w:type="pct"/>
            <w:vMerge w:val="continue"/>
            <w:tcBorders>
              <w:tl2br w:val="nil"/>
              <w:tr2bl w:val="nil"/>
            </w:tcBorders>
            <w:vAlign w:val="center"/>
          </w:tcPr>
          <w:p w14:paraId="4C6539D5">
            <w:pPr>
              <w:pStyle w:val="240"/>
              <w:rPr>
                <w:rFonts w:hint="default"/>
              </w:rPr>
            </w:pPr>
          </w:p>
        </w:tc>
        <w:tc>
          <w:tcPr>
            <w:tcW w:w="999" w:type="pct"/>
            <w:gridSpan w:val="3"/>
            <w:tcBorders>
              <w:tl2br w:val="nil"/>
              <w:tr2bl w:val="nil"/>
            </w:tcBorders>
            <w:vAlign w:val="center"/>
          </w:tcPr>
          <w:p w14:paraId="62686C21">
            <w:pPr>
              <w:pStyle w:val="240"/>
              <w:rPr>
                <w:rFonts w:hint="default"/>
              </w:rPr>
            </w:pPr>
            <w:r>
              <w:rPr>
                <w:rFonts w:hint="default"/>
              </w:rPr>
              <w:t>第一次</w:t>
            </w:r>
          </w:p>
        </w:tc>
        <w:tc>
          <w:tcPr>
            <w:tcW w:w="1039" w:type="pct"/>
            <w:gridSpan w:val="3"/>
            <w:tcBorders>
              <w:tl2br w:val="nil"/>
              <w:tr2bl w:val="nil"/>
            </w:tcBorders>
            <w:vAlign w:val="center"/>
          </w:tcPr>
          <w:p w14:paraId="5B092054">
            <w:pPr>
              <w:pStyle w:val="240"/>
              <w:rPr>
                <w:rFonts w:hint="default"/>
              </w:rPr>
            </w:pPr>
            <w:r>
              <w:rPr>
                <w:rFonts w:hint="default"/>
              </w:rPr>
              <w:t>第二次</w:t>
            </w:r>
          </w:p>
        </w:tc>
        <w:tc>
          <w:tcPr>
            <w:tcW w:w="1047" w:type="pct"/>
            <w:gridSpan w:val="3"/>
            <w:tcBorders>
              <w:tl2br w:val="nil"/>
              <w:tr2bl w:val="nil"/>
            </w:tcBorders>
            <w:vAlign w:val="center"/>
          </w:tcPr>
          <w:p w14:paraId="082A1767">
            <w:pPr>
              <w:pStyle w:val="240"/>
              <w:rPr>
                <w:rFonts w:hint="default"/>
              </w:rPr>
            </w:pPr>
            <w:r>
              <w:rPr>
                <w:rFonts w:hint="default"/>
              </w:rPr>
              <w:t>第三次</w:t>
            </w:r>
          </w:p>
        </w:tc>
        <w:tc>
          <w:tcPr>
            <w:tcW w:w="1063" w:type="pct"/>
            <w:gridSpan w:val="3"/>
            <w:tcBorders>
              <w:tl2br w:val="nil"/>
              <w:tr2bl w:val="nil"/>
            </w:tcBorders>
            <w:vAlign w:val="center"/>
          </w:tcPr>
          <w:p w14:paraId="51D07893">
            <w:pPr>
              <w:pStyle w:val="240"/>
              <w:rPr>
                <w:rFonts w:hint="default"/>
              </w:rPr>
            </w:pPr>
            <w:r>
              <w:rPr>
                <w:rFonts w:hint="default"/>
              </w:rPr>
              <w:t>第四次</w:t>
            </w:r>
          </w:p>
        </w:tc>
      </w:tr>
      <w:tr w14:paraId="6919D757">
        <w:tblPrEx>
          <w:tblBorders>
            <w:top w:val="single" w:color="auto" w:sz="12" w:space="0"/>
            <w:left w:val="single" w:color="auto" w:sz="12" w:space="0"/>
            <w:bottom w:val="single" w:color="auto" w:sz="12" w:space="0"/>
            <w:right w:val="single" w:color="auto" w:sz="12" w:space="0"/>
            <w:insideH w:val="single" w:color="auto" w:sz="2" w:space="0"/>
            <w:insideV w:val="single" w:color="auto" w:sz="4" w:space="0"/>
          </w:tblBorders>
          <w:tblCellMar>
            <w:top w:w="0" w:type="dxa"/>
            <w:left w:w="108" w:type="dxa"/>
            <w:bottom w:w="0" w:type="dxa"/>
            <w:right w:w="108" w:type="dxa"/>
          </w:tblCellMar>
        </w:tblPrEx>
        <w:trPr>
          <w:trHeight w:val="900" w:hRule="atLeast"/>
        </w:trPr>
        <w:tc>
          <w:tcPr>
            <w:tcW w:w="249" w:type="pct"/>
            <w:vMerge w:val="continue"/>
            <w:tcBorders>
              <w:tl2br w:val="nil"/>
              <w:tr2bl w:val="nil"/>
            </w:tcBorders>
            <w:vAlign w:val="center"/>
          </w:tcPr>
          <w:p w14:paraId="50CD1870">
            <w:pPr>
              <w:pStyle w:val="240"/>
              <w:rPr>
                <w:rFonts w:hint="default"/>
              </w:rPr>
            </w:pPr>
          </w:p>
        </w:tc>
        <w:tc>
          <w:tcPr>
            <w:tcW w:w="603" w:type="pct"/>
            <w:vMerge w:val="continue"/>
            <w:tcBorders>
              <w:tl2br w:val="nil"/>
              <w:tr2bl w:val="nil"/>
            </w:tcBorders>
            <w:vAlign w:val="center"/>
          </w:tcPr>
          <w:p w14:paraId="672F5AAD">
            <w:pPr>
              <w:pStyle w:val="240"/>
              <w:rPr>
                <w:rFonts w:hint="default"/>
              </w:rPr>
            </w:pPr>
          </w:p>
        </w:tc>
        <w:tc>
          <w:tcPr>
            <w:tcW w:w="325" w:type="pct"/>
            <w:tcBorders>
              <w:tl2br w:val="nil"/>
              <w:tr2bl w:val="nil"/>
            </w:tcBorders>
            <w:vAlign w:val="center"/>
          </w:tcPr>
          <w:p w14:paraId="1EB67E75">
            <w:pPr>
              <w:pStyle w:val="240"/>
              <w:rPr>
                <w:rFonts w:hint="default"/>
              </w:rPr>
            </w:pPr>
            <w:r>
              <w:t>检测结果</w:t>
            </w:r>
          </w:p>
        </w:tc>
        <w:tc>
          <w:tcPr>
            <w:tcW w:w="427" w:type="pct"/>
            <w:tcBorders>
              <w:tl2br w:val="nil"/>
              <w:tr2bl w:val="nil"/>
            </w:tcBorders>
            <w:vAlign w:val="center"/>
          </w:tcPr>
          <w:p w14:paraId="5A1E1FA6">
            <w:pPr>
              <w:pStyle w:val="240"/>
              <w:rPr>
                <w:rFonts w:hint="default"/>
              </w:rPr>
            </w:pPr>
            <w:r>
              <w:t>污染指数</w:t>
            </w:r>
          </w:p>
        </w:tc>
        <w:tc>
          <w:tcPr>
            <w:tcW w:w="247" w:type="pct"/>
            <w:tcBorders>
              <w:tl2br w:val="nil"/>
              <w:tr2bl w:val="nil"/>
            </w:tcBorders>
            <w:vAlign w:val="center"/>
          </w:tcPr>
          <w:p w14:paraId="50B118A4">
            <w:pPr>
              <w:pStyle w:val="240"/>
              <w:rPr>
                <w:rFonts w:hint="default"/>
              </w:rPr>
            </w:pPr>
            <w:r>
              <w:t>是否超标</w:t>
            </w:r>
          </w:p>
        </w:tc>
        <w:tc>
          <w:tcPr>
            <w:tcW w:w="373" w:type="pct"/>
            <w:tcBorders>
              <w:tl2br w:val="nil"/>
              <w:tr2bl w:val="nil"/>
            </w:tcBorders>
            <w:vAlign w:val="center"/>
          </w:tcPr>
          <w:p w14:paraId="350B36A7">
            <w:pPr>
              <w:pStyle w:val="240"/>
              <w:rPr>
                <w:rFonts w:hint="default"/>
              </w:rPr>
            </w:pPr>
            <w:r>
              <w:t>检测结果</w:t>
            </w:r>
          </w:p>
        </w:tc>
        <w:tc>
          <w:tcPr>
            <w:tcW w:w="427" w:type="pct"/>
            <w:tcBorders>
              <w:tl2br w:val="nil"/>
              <w:tr2bl w:val="nil"/>
            </w:tcBorders>
            <w:vAlign w:val="center"/>
          </w:tcPr>
          <w:p w14:paraId="0A3C6DCD">
            <w:pPr>
              <w:pStyle w:val="240"/>
              <w:rPr>
                <w:rFonts w:hint="default"/>
              </w:rPr>
            </w:pPr>
            <w:r>
              <w:t>污染指数</w:t>
            </w:r>
          </w:p>
        </w:tc>
        <w:tc>
          <w:tcPr>
            <w:tcW w:w="238" w:type="pct"/>
            <w:tcBorders>
              <w:tl2br w:val="nil"/>
              <w:tr2bl w:val="nil"/>
            </w:tcBorders>
            <w:vAlign w:val="center"/>
          </w:tcPr>
          <w:p w14:paraId="4B4D0FBD">
            <w:pPr>
              <w:pStyle w:val="240"/>
              <w:rPr>
                <w:rFonts w:hint="default"/>
              </w:rPr>
            </w:pPr>
            <w:r>
              <w:t>是否超标</w:t>
            </w:r>
          </w:p>
        </w:tc>
        <w:tc>
          <w:tcPr>
            <w:tcW w:w="347" w:type="pct"/>
            <w:tcBorders>
              <w:tl2br w:val="nil"/>
              <w:tr2bl w:val="nil"/>
            </w:tcBorders>
            <w:vAlign w:val="center"/>
          </w:tcPr>
          <w:p w14:paraId="66619D53">
            <w:pPr>
              <w:pStyle w:val="240"/>
              <w:rPr>
                <w:rFonts w:hint="default"/>
              </w:rPr>
            </w:pPr>
            <w:r>
              <w:t>检测结果</w:t>
            </w:r>
          </w:p>
        </w:tc>
        <w:tc>
          <w:tcPr>
            <w:tcW w:w="436" w:type="pct"/>
            <w:tcBorders>
              <w:tl2br w:val="nil"/>
              <w:tr2bl w:val="nil"/>
            </w:tcBorders>
            <w:vAlign w:val="center"/>
          </w:tcPr>
          <w:p w14:paraId="49DD66EC">
            <w:pPr>
              <w:pStyle w:val="240"/>
              <w:rPr>
                <w:rFonts w:hint="default"/>
              </w:rPr>
            </w:pPr>
            <w:r>
              <w:t>污染指数</w:t>
            </w:r>
          </w:p>
        </w:tc>
        <w:tc>
          <w:tcPr>
            <w:tcW w:w="264" w:type="pct"/>
            <w:tcBorders>
              <w:tl2br w:val="nil"/>
              <w:tr2bl w:val="nil"/>
            </w:tcBorders>
            <w:vAlign w:val="center"/>
          </w:tcPr>
          <w:p w14:paraId="4DC2498B">
            <w:pPr>
              <w:pStyle w:val="240"/>
              <w:rPr>
                <w:rFonts w:hint="default"/>
              </w:rPr>
            </w:pPr>
            <w:r>
              <w:t>是否超标</w:t>
            </w:r>
          </w:p>
        </w:tc>
        <w:tc>
          <w:tcPr>
            <w:tcW w:w="347" w:type="pct"/>
            <w:tcBorders>
              <w:tl2br w:val="nil"/>
              <w:tr2bl w:val="nil"/>
            </w:tcBorders>
            <w:vAlign w:val="center"/>
          </w:tcPr>
          <w:p w14:paraId="318C4339">
            <w:pPr>
              <w:pStyle w:val="240"/>
              <w:rPr>
                <w:rFonts w:hint="default"/>
              </w:rPr>
            </w:pPr>
            <w:r>
              <w:t>检测结果</w:t>
            </w:r>
          </w:p>
        </w:tc>
        <w:tc>
          <w:tcPr>
            <w:tcW w:w="427" w:type="pct"/>
            <w:tcBorders>
              <w:tl2br w:val="nil"/>
              <w:tr2bl w:val="nil"/>
            </w:tcBorders>
            <w:vAlign w:val="center"/>
          </w:tcPr>
          <w:p w14:paraId="6CFBA07F">
            <w:pPr>
              <w:pStyle w:val="240"/>
              <w:rPr>
                <w:rFonts w:hint="default"/>
              </w:rPr>
            </w:pPr>
            <w:r>
              <w:t>污染指数</w:t>
            </w:r>
          </w:p>
        </w:tc>
        <w:tc>
          <w:tcPr>
            <w:tcW w:w="289" w:type="pct"/>
            <w:tcBorders>
              <w:tl2br w:val="nil"/>
              <w:tr2bl w:val="nil"/>
            </w:tcBorders>
            <w:vAlign w:val="center"/>
          </w:tcPr>
          <w:p w14:paraId="0C490A39">
            <w:pPr>
              <w:pStyle w:val="240"/>
              <w:rPr>
                <w:rFonts w:hint="default"/>
              </w:rPr>
            </w:pPr>
            <w:r>
              <w:t>是否超标</w:t>
            </w:r>
          </w:p>
        </w:tc>
      </w:tr>
      <w:tr w14:paraId="36F51ABE">
        <w:tblPrEx>
          <w:tblBorders>
            <w:top w:val="single" w:color="auto" w:sz="12" w:space="0"/>
            <w:left w:val="single" w:color="auto" w:sz="12" w:space="0"/>
            <w:bottom w:val="single" w:color="auto" w:sz="12" w:space="0"/>
            <w:right w:val="single" w:color="auto" w:sz="12" w:space="0"/>
            <w:insideH w:val="single" w:color="auto" w:sz="2" w:space="0"/>
            <w:insideV w:val="single" w:color="auto" w:sz="4" w:space="0"/>
          </w:tblBorders>
          <w:tblCellMar>
            <w:top w:w="0" w:type="dxa"/>
            <w:left w:w="108" w:type="dxa"/>
            <w:bottom w:w="0" w:type="dxa"/>
            <w:right w:w="108" w:type="dxa"/>
          </w:tblCellMar>
        </w:tblPrEx>
        <w:trPr>
          <w:trHeight w:val="448" w:hRule="exact"/>
        </w:trPr>
        <w:tc>
          <w:tcPr>
            <w:tcW w:w="249" w:type="pct"/>
            <w:vMerge w:val="restart"/>
            <w:tcBorders>
              <w:tl2br w:val="nil"/>
              <w:tr2bl w:val="nil"/>
            </w:tcBorders>
            <w:vAlign w:val="center"/>
          </w:tcPr>
          <w:p w14:paraId="1F670C02">
            <w:pPr>
              <w:pStyle w:val="240"/>
              <w:rPr>
                <w:rFonts w:hint="default"/>
              </w:rPr>
            </w:pPr>
            <w:r>
              <w:rPr>
                <w:rFonts w:hint="default"/>
              </w:rPr>
              <w:t>项目区</w:t>
            </w:r>
          </w:p>
        </w:tc>
        <w:tc>
          <w:tcPr>
            <w:tcW w:w="603" w:type="pct"/>
            <w:tcBorders>
              <w:tl2br w:val="nil"/>
              <w:tr2bl w:val="nil"/>
            </w:tcBorders>
            <w:vAlign w:val="center"/>
          </w:tcPr>
          <w:p w14:paraId="4F4475AD">
            <w:pPr>
              <w:pStyle w:val="240"/>
              <w:rPr>
                <w:rFonts w:hint="default"/>
              </w:rPr>
            </w:pPr>
            <w:r>
              <w:rPr>
                <w:rFonts w:hint="default"/>
              </w:rPr>
              <w:t>202</w:t>
            </w:r>
            <w:r>
              <w:t>5.6.5</w:t>
            </w:r>
          </w:p>
        </w:tc>
        <w:tc>
          <w:tcPr>
            <w:tcW w:w="325" w:type="pct"/>
            <w:tcBorders>
              <w:tl2br w:val="nil"/>
              <w:tr2bl w:val="nil"/>
            </w:tcBorders>
            <w:vAlign w:val="center"/>
          </w:tcPr>
          <w:p w14:paraId="10635C98">
            <w:pPr>
              <w:pStyle w:val="240"/>
              <w:rPr>
                <w:rFonts w:hint="default"/>
              </w:rPr>
            </w:pPr>
            <w:r>
              <w:t>0.48</w:t>
            </w:r>
          </w:p>
        </w:tc>
        <w:tc>
          <w:tcPr>
            <w:tcW w:w="427" w:type="pct"/>
            <w:tcBorders>
              <w:tl2br w:val="nil"/>
              <w:tr2bl w:val="nil"/>
            </w:tcBorders>
            <w:vAlign w:val="center"/>
          </w:tcPr>
          <w:p w14:paraId="4EE3F887">
            <w:pPr>
              <w:pStyle w:val="240"/>
              <w:rPr>
                <w:rFonts w:hint="default"/>
              </w:rPr>
            </w:pPr>
            <w:r>
              <w:t>0.240</w:t>
            </w:r>
          </w:p>
        </w:tc>
        <w:tc>
          <w:tcPr>
            <w:tcW w:w="247" w:type="pct"/>
            <w:tcBorders>
              <w:tl2br w:val="nil"/>
              <w:tr2bl w:val="nil"/>
            </w:tcBorders>
            <w:vAlign w:val="center"/>
          </w:tcPr>
          <w:p w14:paraId="1AC22D8F">
            <w:pPr>
              <w:pStyle w:val="240"/>
              <w:rPr>
                <w:rFonts w:hint="default"/>
              </w:rPr>
            </w:pPr>
            <w:r>
              <w:t>否</w:t>
            </w:r>
          </w:p>
        </w:tc>
        <w:tc>
          <w:tcPr>
            <w:tcW w:w="373" w:type="pct"/>
            <w:tcBorders>
              <w:tl2br w:val="nil"/>
              <w:tr2bl w:val="nil"/>
            </w:tcBorders>
            <w:vAlign w:val="center"/>
          </w:tcPr>
          <w:p w14:paraId="265A8A9D">
            <w:pPr>
              <w:pStyle w:val="240"/>
              <w:rPr>
                <w:rFonts w:hint="default"/>
              </w:rPr>
            </w:pPr>
            <w:r>
              <w:t>0.48</w:t>
            </w:r>
          </w:p>
        </w:tc>
        <w:tc>
          <w:tcPr>
            <w:tcW w:w="427" w:type="pct"/>
            <w:tcBorders>
              <w:tl2br w:val="nil"/>
              <w:tr2bl w:val="nil"/>
            </w:tcBorders>
            <w:vAlign w:val="center"/>
          </w:tcPr>
          <w:p w14:paraId="7A845D55">
            <w:pPr>
              <w:pStyle w:val="240"/>
              <w:rPr>
                <w:rFonts w:hint="default"/>
              </w:rPr>
            </w:pPr>
            <w:r>
              <w:t>0.240</w:t>
            </w:r>
          </w:p>
        </w:tc>
        <w:tc>
          <w:tcPr>
            <w:tcW w:w="238" w:type="pct"/>
            <w:tcBorders>
              <w:tl2br w:val="nil"/>
              <w:tr2bl w:val="nil"/>
            </w:tcBorders>
            <w:vAlign w:val="center"/>
          </w:tcPr>
          <w:p w14:paraId="42FD7DD7">
            <w:pPr>
              <w:pStyle w:val="240"/>
              <w:rPr>
                <w:rFonts w:hint="default"/>
              </w:rPr>
            </w:pPr>
            <w:r>
              <w:t>否</w:t>
            </w:r>
          </w:p>
        </w:tc>
        <w:tc>
          <w:tcPr>
            <w:tcW w:w="347" w:type="pct"/>
            <w:tcBorders>
              <w:tl2br w:val="nil"/>
              <w:tr2bl w:val="nil"/>
            </w:tcBorders>
            <w:vAlign w:val="center"/>
          </w:tcPr>
          <w:p w14:paraId="11D1739B">
            <w:pPr>
              <w:pStyle w:val="240"/>
              <w:rPr>
                <w:rFonts w:hint="default"/>
              </w:rPr>
            </w:pPr>
            <w:r>
              <w:t>0.50</w:t>
            </w:r>
          </w:p>
        </w:tc>
        <w:tc>
          <w:tcPr>
            <w:tcW w:w="436" w:type="pct"/>
            <w:tcBorders>
              <w:tl2br w:val="nil"/>
              <w:tr2bl w:val="nil"/>
            </w:tcBorders>
            <w:vAlign w:val="center"/>
          </w:tcPr>
          <w:p w14:paraId="2B4CB443">
            <w:pPr>
              <w:pStyle w:val="240"/>
              <w:rPr>
                <w:rFonts w:hint="default"/>
              </w:rPr>
            </w:pPr>
            <w:r>
              <w:t>0.250</w:t>
            </w:r>
          </w:p>
        </w:tc>
        <w:tc>
          <w:tcPr>
            <w:tcW w:w="264" w:type="pct"/>
            <w:tcBorders>
              <w:tl2br w:val="nil"/>
              <w:tr2bl w:val="nil"/>
            </w:tcBorders>
            <w:vAlign w:val="center"/>
          </w:tcPr>
          <w:p w14:paraId="38AC3599">
            <w:pPr>
              <w:pStyle w:val="240"/>
              <w:rPr>
                <w:rFonts w:hint="default"/>
              </w:rPr>
            </w:pPr>
            <w:r>
              <w:t>否</w:t>
            </w:r>
          </w:p>
        </w:tc>
        <w:tc>
          <w:tcPr>
            <w:tcW w:w="347" w:type="pct"/>
            <w:tcBorders>
              <w:tl2br w:val="nil"/>
              <w:tr2bl w:val="nil"/>
            </w:tcBorders>
            <w:vAlign w:val="center"/>
          </w:tcPr>
          <w:p w14:paraId="4190FE75">
            <w:pPr>
              <w:pStyle w:val="240"/>
              <w:rPr>
                <w:rFonts w:hint="default"/>
              </w:rPr>
            </w:pPr>
            <w:r>
              <w:t>0.48</w:t>
            </w:r>
          </w:p>
        </w:tc>
        <w:tc>
          <w:tcPr>
            <w:tcW w:w="427" w:type="pct"/>
            <w:tcBorders>
              <w:tl2br w:val="nil"/>
              <w:tr2bl w:val="nil"/>
            </w:tcBorders>
            <w:vAlign w:val="center"/>
          </w:tcPr>
          <w:p w14:paraId="727E9A1B">
            <w:pPr>
              <w:pStyle w:val="240"/>
              <w:rPr>
                <w:rFonts w:hint="default"/>
              </w:rPr>
            </w:pPr>
            <w:r>
              <w:t>0.240</w:t>
            </w:r>
          </w:p>
        </w:tc>
        <w:tc>
          <w:tcPr>
            <w:tcW w:w="289" w:type="pct"/>
            <w:tcBorders>
              <w:tl2br w:val="nil"/>
              <w:tr2bl w:val="nil"/>
            </w:tcBorders>
            <w:vAlign w:val="center"/>
          </w:tcPr>
          <w:p w14:paraId="7DEAE236">
            <w:pPr>
              <w:pStyle w:val="240"/>
              <w:rPr>
                <w:rFonts w:hint="default"/>
              </w:rPr>
            </w:pPr>
            <w:r>
              <w:t>否</w:t>
            </w:r>
          </w:p>
        </w:tc>
      </w:tr>
      <w:tr w14:paraId="4304B964">
        <w:tblPrEx>
          <w:tblBorders>
            <w:top w:val="single" w:color="auto" w:sz="12" w:space="0"/>
            <w:left w:val="single" w:color="auto" w:sz="12" w:space="0"/>
            <w:bottom w:val="single" w:color="auto" w:sz="12" w:space="0"/>
            <w:right w:val="single" w:color="auto" w:sz="12" w:space="0"/>
            <w:insideH w:val="single" w:color="auto" w:sz="2" w:space="0"/>
            <w:insideV w:val="single" w:color="auto" w:sz="4" w:space="0"/>
          </w:tblBorders>
          <w:tblCellMar>
            <w:top w:w="0" w:type="dxa"/>
            <w:left w:w="108" w:type="dxa"/>
            <w:bottom w:w="0" w:type="dxa"/>
            <w:right w:w="108" w:type="dxa"/>
          </w:tblCellMar>
        </w:tblPrEx>
        <w:trPr>
          <w:trHeight w:val="448" w:hRule="exact"/>
        </w:trPr>
        <w:tc>
          <w:tcPr>
            <w:tcW w:w="249" w:type="pct"/>
            <w:vMerge w:val="continue"/>
            <w:tcBorders>
              <w:tl2br w:val="nil"/>
              <w:tr2bl w:val="nil"/>
            </w:tcBorders>
            <w:vAlign w:val="center"/>
          </w:tcPr>
          <w:p w14:paraId="740FBEDE">
            <w:pPr>
              <w:pStyle w:val="240"/>
              <w:rPr>
                <w:rFonts w:hint="default"/>
              </w:rPr>
            </w:pPr>
          </w:p>
        </w:tc>
        <w:tc>
          <w:tcPr>
            <w:tcW w:w="603" w:type="pct"/>
            <w:tcBorders>
              <w:tl2br w:val="nil"/>
              <w:tr2bl w:val="nil"/>
            </w:tcBorders>
            <w:vAlign w:val="center"/>
          </w:tcPr>
          <w:p w14:paraId="1B1A2E4E">
            <w:pPr>
              <w:pStyle w:val="240"/>
              <w:rPr>
                <w:rFonts w:hint="default"/>
              </w:rPr>
            </w:pPr>
            <w:r>
              <w:t>2025.6.6</w:t>
            </w:r>
          </w:p>
        </w:tc>
        <w:tc>
          <w:tcPr>
            <w:tcW w:w="325" w:type="pct"/>
            <w:tcBorders>
              <w:tl2br w:val="nil"/>
              <w:tr2bl w:val="nil"/>
            </w:tcBorders>
            <w:vAlign w:val="center"/>
          </w:tcPr>
          <w:p w14:paraId="566F304A">
            <w:pPr>
              <w:pStyle w:val="240"/>
              <w:rPr>
                <w:rFonts w:hint="default"/>
              </w:rPr>
            </w:pPr>
            <w:r>
              <w:t>0.49</w:t>
            </w:r>
          </w:p>
        </w:tc>
        <w:tc>
          <w:tcPr>
            <w:tcW w:w="427" w:type="pct"/>
            <w:tcBorders>
              <w:tl2br w:val="nil"/>
              <w:tr2bl w:val="nil"/>
            </w:tcBorders>
            <w:vAlign w:val="center"/>
          </w:tcPr>
          <w:p w14:paraId="029C6B71">
            <w:pPr>
              <w:pStyle w:val="240"/>
              <w:rPr>
                <w:rFonts w:hint="default"/>
              </w:rPr>
            </w:pPr>
            <w:r>
              <w:t>0.245</w:t>
            </w:r>
          </w:p>
        </w:tc>
        <w:tc>
          <w:tcPr>
            <w:tcW w:w="247" w:type="pct"/>
            <w:tcBorders>
              <w:tl2br w:val="nil"/>
              <w:tr2bl w:val="nil"/>
            </w:tcBorders>
            <w:vAlign w:val="center"/>
          </w:tcPr>
          <w:p w14:paraId="45D27863">
            <w:pPr>
              <w:pStyle w:val="240"/>
              <w:rPr>
                <w:rFonts w:hint="default"/>
              </w:rPr>
            </w:pPr>
            <w:r>
              <w:t>否</w:t>
            </w:r>
          </w:p>
        </w:tc>
        <w:tc>
          <w:tcPr>
            <w:tcW w:w="373" w:type="pct"/>
            <w:tcBorders>
              <w:tl2br w:val="nil"/>
              <w:tr2bl w:val="nil"/>
            </w:tcBorders>
            <w:vAlign w:val="center"/>
          </w:tcPr>
          <w:p w14:paraId="3661397F">
            <w:pPr>
              <w:pStyle w:val="240"/>
              <w:rPr>
                <w:rFonts w:hint="default"/>
              </w:rPr>
            </w:pPr>
            <w:r>
              <w:t>0.48</w:t>
            </w:r>
          </w:p>
        </w:tc>
        <w:tc>
          <w:tcPr>
            <w:tcW w:w="427" w:type="pct"/>
            <w:tcBorders>
              <w:tl2br w:val="nil"/>
              <w:tr2bl w:val="nil"/>
            </w:tcBorders>
            <w:vAlign w:val="center"/>
          </w:tcPr>
          <w:p w14:paraId="4AE78B36">
            <w:pPr>
              <w:pStyle w:val="240"/>
              <w:rPr>
                <w:rFonts w:hint="default"/>
              </w:rPr>
            </w:pPr>
            <w:r>
              <w:t>0.240</w:t>
            </w:r>
          </w:p>
        </w:tc>
        <w:tc>
          <w:tcPr>
            <w:tcW w:w="238" w:type="pct"/>
            <w:tcBorders>
              <w:tl2br w:val="nil"/>
              <w:tr2bl w:val="nil"/>
            </w:tcBorders>
            <w:vAlign w:val="center"/>
          </w:tcPr>
          <w:p w14:paraId="2FD47ACC">
            <w:pPr>
              <w:pStyle w:val="240"/>
              <w:rPr>
                <w:rFonts w:hint="default"/>
              </w:rPr>
            </w:pPr>
            <w:r>
              <w:t>否</w:t>
            </w:r>
          </w:p>
        </w:tc>
        <w:tc>
          <w:tcPr>
            <w:tcW w:w="347" w:type="pct"/>
            <w:tcBorders>
              <w:tl2br w:val="nil"/>
              <w:tr2bl w:val="nil"/>
            </w:tcBorders>
            <w:vAlign w:val="center"/>
          </w:tcPr>
          <w:p w14:paraId="0577B855">
            <w:pPr>
              <w:pStyle w:val="240"/>
              <w:rPr>
                <w:rFonts w:hint="default"/>
              </w:rPr>
            </w:pPr>
            <w:r>
              <w:t>0.48</w:t>
            </w:r>
          </w:p>
        </w:tc>
        <w:tc>
          <w:tcPr>
            <w:tcW w:w="436" w:type="pct"/>
            <w:tcBorders>
              <w:tl2br w:val="nil"/>
              <w:tr2bl w:val="nil"/>
            </w:tcBorders>
            <w:vAlign w:val="center"/>
          </w:tcPr>
          <w:p w14:paraId="5CE74EA6">
            <w:pPr>
              <w:pStyle w:val="240"/>
              <w:rPr>
                <w:rFonts w:hint="default"/>
              </w:rPr>
            </w:pPr>
            <w:r>
              <w:t>0.24</w:t>
            </w:r>
          </w:p>
        </w:tc>
        <w:tc>
          <w:tcPr>
            <w:tcW w:w="264" w:type="pct"/>
            <w:tcBorders>
              <w:tl2br w:val="nil"/>
              <w:tr2bl w:val="nil"/>
            </w:tcBorders>
            <w:vAlign w:val="center"/>
          </w:tcPr>
          <w:p w14:paraId="30C111DE">
            <w:pPr>
              <w:pStyle w:val="240"/>
              <w:rPr>
                <w:rFonts w:hint="default"/>
              </w:rPr>
            </w:pPr>
            <w:r>
              <w:t>否</w:t>
            </w:r>
          </w:p>
        </w:tc>
        <w:tc>
          <w:tcPr>
            <w:tcW w:w="347" w:type="pct"/>
            <w:tcBorders>
              <w:tl2br w:val="nil"/>
              <w:tr2bl w:val="nil"/>
            </w:tcBorders>
            <w:vAlign w:val="center"/>
          </w:tcPr>
          <w:p w14:paraId="79D74A23">
            <w:pPr>
              <w:pStyle w:val="240"/>
              <w:rPr>
                <w:rFonts w:hint="default"/>
              </w:rPr>
            </w:pPr>
            <w:r>
              <w:t>0.48</w:t>
            </w:r>
          </w:p>
        </w:tc>
        <w:tc>
          <w:tcPr>
            <w:tcW w:w="427" w:type="pct"/>
            <w:tcBorders>
              <w:tl2br w:val="nil"/>
              <w:tr2bl w:val="nil"/>
            </w:tcBorders>
            <w:vAlign w:val="center"/>
          </w:tcPr>
          <w:p w14:paraId="53440E69">
            <w:pPr>
              <w:pStyle w:val="240"/>
              <w:rPr>
                <w:rFonts w:hint="default"/>
              </w:rPr>
            </w:pPr>
            <w:r>
              <w:t>0.240</w:t>
            </w:r>
          </w:p>
        </w:tc>
        <w:tc>
          <w:tcPr>
            <w:tcW w:w="289" w:type="pct"/>
            <w:tcBorders>
              <w:tl2br w:val="nil"/>
              <w:tr2bl w:val="nil"/>
            </w:tcBorders>
            <w:vAlign w:val="center"/>
          </w:tcPr>
          <w:p w14:paraId="74E9A8FC">
            <w:pPr>
              <w:pStyle w:val="240"/>
              <w:rPr>
                <w:rFonts w:hint="default"/>
              </w:rPr>
            </w:pPr>
            <w:r>
              <w:t>否</w:t>
            </w:r>
          </w:p>
        </w:tc>
      </w:tr>
      <w:tr w14:paraId="1C58B64B">
        <w:tblPrEx>
          <w:tblBorders>
            <w:top w:val="single" w:color="auto" w:sz="12" w:space="0"/>
            <w:left w:val="single" w:color="auto" w:sz="12" w:space="0"/>
            <w:bottom w:val="single" w:color="auto" w:sz="12" w:space="0"/>
            <w:right w:val="single" w:color="auto" w:sz="12" w:space="0"/>
            <w:insideH w:val="single" w:color="auto" w:sz="2" w:space="0"/>
            <w:insideV w:val="single" w:color="auto" w:sz="4" w:space="0"/>
          </w:tblBorders>
          <w:tblCellMar>
            <w:top w:w="0" w:type="dxa"/>
            <w:left w:w="108" w:type="dxa"/>
            <w:bottom w:w="0" w:type="dxa"/>
            <w:right w:w="108" w:type="dxa"/>
          </w:tblCellMar>
        </w:tblPrEx>
        <w:trPr>
          <w:trHeight w:val="448" w:hRule="exact"/>
        </w:trPr>
        <w:tc>
          <w:tcPr>
            <w:tcW w:w="249" w:type="pct"/>
            <w:vMerge w:val="continue"/>
            <w:tcBorders>
              <w:tl2br w:val="nil"/>
              <w:tr2bl w:val="nil"/>
            </w:tcBorders>
            <w:vAlign w:val="center"/>
          </w:tcPr>
          <w:p w14:paraId="27491642">
            <w:pPr>
              <w:pStyle w:val="240"/>
              <w:rPr>
                <w:rFonts w:hint="default"/>
              </w:rPr>
            </w:pPr>
          </w:p>
        </w:tc>
        <w:tc>
          <w:tcPr>
            <w:tcW w:w="603" w:type="pct"/>
            <w:tcBorders>
              <w:tl2br w:val="nil"/>
              <w:tr2bl w:val="nil"/>
            </w:tcBorders>
            <w:vAlign w:val="center"/>
          </w:tcPr>
          <w:p w14:paraId="39E7AF27">
            <w:pPr>
              <w:pStyle w:val="240"/>
              <w:rPr>
                <w:rFonts w:hint="default"/>
              </w:rPr>
            </w:pPr>
            <w:r>
              <w:t>2025.6.7</w:t>
            </w:r>
          </w:p>
        </w:tc>
        <w:tc>
          <w:tcPr>
            <w:tcW w:w="325" w:type="pct"/>
            <w:tcBorders>
              <w:tl2br w:val="nil"/>
              <w:tr2bl w:val="nil"/>
            </w:tcBorders>
            <w:vAlign w:val="center"/>
          </w:tcPr>
          <w:p w14:paraId="08374875">
            <w:pPr>
              <w:pStyle w:val="240"/>
              <w:rPr>
                <w:rFonts w:hint="default"/>
              </w:rPr>
            </w:pPr>
            <w:r>
              <w:t>0.50</w:t>
            </w:r>
          </w:p>
        </w:tc>
        <w:tc>
          <w:tcPr>
            <w:tcW w:w="427" w:type="pct"/>
            <w:tcBorders>
              <w:tl2br w:val="nil"/>
              <w:tr2bl w:val="nil"/>
            </w:tcBorders>
            <w:vAlign w:val="center"/>
          </w:tcPr>
          <w:p w14:paraId="4BE36973">
            <w:pPr>
              <w:pStyle w:val="240"/>
              <w:rPr>
                <w:rFonts w:hint="default"/>
              </w:rPr>
            </w:pPr>
            <w:r>
              <w:t>0.25</w:t>
            </w:r>
          </w:p>
        </w:tc>
        <w:tc>
          <w:tcPr>
            <w:tcW w:w="247" w:type="pct"/>
            <w:tcBorders>
              <w:tl2br w:val="nil"/>
              <w:tr2bl w:val="nil"/>
            </w:tcBorders>
            <w:vAlign w:val="center"/>
          </w:tcPr>
          <w:p w14:paraId="6E513C6A">
            <w:pPr>
              <w:pStyle w:val="240"/>
              <w:rPr>
                <w:rFonts w:hint="default"/>
              </w:rPr>
            </w:pPr>
            <w:r>
              <w:t>否</w:t>
            </w:r>
          </w:p>
        </w:tc>
        <w:tc>
          <w:tcPr>
            <w:tcW w:w="373" w:type="pct"/>
            <w:tcBorders>
              <w:tl2br w:val="nil"/>
              <w:tr2bl w:val="nil"/>
            </w:tcBorders>
            <w:vAlign w:val="center"/>
          </w:tcPr>
          <w:p w14:paraId="3D878DF8">
            <w:pPr>
              <w:pStyle w:val="240"/>
              <w:rPr>
                <w:rFonts w:hint="default"/>
              </w:rPr>
            </w:pPr>
            <w:r>
              <w:t>0.49</w:t>
            </w:r>
          </w:p>
        </w:tc>
        <w:tc>
          <w:tcPr>
            <w:tcW w:w="427" w:type="pct"/>
            <w:tcBorders>
              <w:tl2br w:val="nil"/>
              <w:tr2bl w:val="nil"/>
            </w:tcBorders>
            <w:vAlign w:val="center"/>
          </w:tcPr>
          <w:p w14:paraId="145E2675">
            <w:pPr>
              <w:pStyle w:val="240"/>
              <w:rPr>
                <w:rFonts w:hint="default"/>
              </w:rPr>
            </w:pPr>
            <w:r>
              <w:t>0.245</w:t>
            </w:r>
          </w:p>
        </w:tc>
        <w:tc>
          <w:tcPr>
            <w:tcW w:w="238" w:type="pct"/>
            <w:tcBorders>
              <w:tl2br w:val="nil"/>
              <w:tr2bl w:val="nil"/>
            </w:tcBorders>
            <w:vAlign w:val="center"/>
          </w:tcPr>
          <w:p w14:paraId="7AF6154A">
            <w:pPr>
              <w:pStyle w:val="240"/>
              <w:rPr>
                <w:rFonts w:hint="default"/>
              </w:rPr>
            </w:pPr>
            <w:r>
              <w:t>否</w:t>
            </w:r>
          </w:p>
        </w:tc>
        <w:tc>
          <w:tcPr>
            <w:tcW w:w="347" w:type="pct"/>
            <w:tcBorders>
              <w:tl2br w:val="nil"/>
              <w:tr2bl w:val="nil"/>
            </w:tcBorders>
            <w:vAlign w:val="center"/>
          </w:tcPr>
          <w:p w14:paraId="4D9BC054">
            <w:pPr>
              <w:pStyle w:val="240"/>
              <w:rPr>
                <w:rFonts w:hint="default"/>
              </w:rPr>
            </w:pPr>
            <w:r>
              <w:t>0.47</w:t>
            </w:r>
          </w:p>
        </w:tc>
        <w:tc>
          <w:tcPr>
            <w:tcW w:w="436" w:type="pct"/>
            <w:tcBorders>
              <w:tl2br w:val="nil"/>
              <w:tr2bl w:val="nil"/>
            </w:tcBorders>
            <w:vAlign w:val="center"/>
          </w:tcPr>
          <w:p w14:paraId="6B2E2783">
            <w:pPr>
              <w:pStyle w:val="240"/>
              <w:rPr>
                <w:rFonts w:hint="default"/>
              </w:rPr>
            </w:pPr>
            <w:r>
              <w:t>0.235</w:t>
            </w:r>
          </w:p>
        </w:tc>
        <w:tc>
          <w:tcPr>
            <w:tcW w:w="264" w:type="pct"/>
            <w:tcBorders>
              <w:tl2br w:val="nil"/>
              <w:tr2bl w:val="nil"/>
            </w:tcBorders>
            <w:vAlign w:val="center"/>
          </w:tcPr>
          <w:p w14:paraId="64AEB3FD">
            <w:pPr>
              <w:pStyle w:val="240"/>
              <w:rPr>
                <w:rFonts w:hint="default"/>
              </w:rPr>
            </w:pPr>
            <w:r>
              <w:t>否</w:t>
            </w:r>
          </w:p>
        </w:tc>
        <w:tc>
          <w:tcPr>
            <w:tcW w:w="347" w:type="pct"/>
            <w:tcBorders>
              <w:tl2br w:val="nil"/>
              <w:tr2bl w:val="nil"/>
            </w:tcBorders>
            <w:vAlign w:val="center"/>
          </w:tcPr>
          <w:p w14:paraId="1D3BE43A">
            <w:pPr>
              <w:pStyle w:val="240"/>
              <w:rPr>
                <w:rFonts w:hint="default"/>
              </w:rPr>
            </w:pPr>
            <w:r>
              <w:t>0.47</w:t>
            </w:r>
          </w:p>
        </w:tc>
        <w:tc>
          <w:tcPr>
            <w:tcW w:w="427" w:type="pct"/>
            <w:tcBorders>
              <w:tl2br w:val="nil"/>
              <w:tr2bl w:val="nil"/>
            </w:tcBorders>
            <w:vAlign w:val="center"/>
          </w:tcPr>
          <w:p w14:paraId="1DAF4D74">
            <w:pPr>
              <w:pStyle w:val="240"/>
              <w:rPr>
                <w:rFonts w:hint="default"/>
              </w:rPr>
            </w:pPr>
            <w:r>
              <w:t>0.235</w:t>
            </w:r>
          </w:p>
        </w:tc>
        <w:tc>
          <w:tcPr>
            <w:tcW w:w="289" w:type="pct"/>
            <w:tcBorders>
              <w:tl2br w:val="nil"/>
              <w:tr2bl w:val="nil"/>
            </w:tcBorders>
            <w:vAlign w:val="center"/>
          </w:tcPr>
          <w:p w14:paraId="693B2072">
            <w:pPr>
              <w:pStyle w:val="240"/>
              <w:rPr>
                <w:rFonts w:hint="default"/>
              </w:rPr>
            </w:pPr>
            <w:r>
              <w:t>否</w:t>
            </w:r>
          </w:p>
        </w:tc>
      </w:tr>
      <w:tr w14:paraId="03099AB7">
        <w:tblPrEx>
          <w:tblBorders>
            <w:top w:val="single" w:color="auto" w:sz="12" w:space="0"/>
            <w:left w:val="single" w:color="auto" w:sz="12" w:space="0"/>
            <w:bottom w:val="single" w:color="auto" w:sz="12" w:space="0"/>
            <w:right w:val="single" w:color="auto" w:sz="12" w:space="0"/>
            <w:insideH w:val="single" w:color="auto" w:sz="2" w:space="0"/>
            <w:insideV w:val="single" w:color="auto" w:sz="4" w:space="0"/>
          </w:tblBorders>
          <w:tblCellMar>
            <w:top w:w="0" w:type="dxa"/>
            <w:left w:w="108" w:type="dxa"/>
            <w:bottom w:w="0" w:type="dxa"/>
            <w:right w:w="108" w:type="dxa"/>
          </w:tblCellMar>
        </w:tblPrEx>
        <w:trPr>
          <w:trHeight w:val="448" w:hRule="exact"/>
        </w:trPr>
        <w:tc>
          <w:tcPr>
            <w:tcW w:w="249" w:type="pct"/>
            <w:vMerge w:val="continue"/>
            <w:tcBorders>
              <w:tl2br w:val="nil"/>
              <w:tr2bl w:val="nil"/>
            </w:tcBorders>
            <w:vAlign w:val="center"/>
          </w:tcPr>
          <w:p w14:paraId="12561EE9">
            <w:pPr>
              <w:pStyle w:val="240"/>
              <w:rPr>
                <w:rFonts w:hint="default"/>
              </w:rPr>
            </w:pPr>
          </w:p>
        </w:tc>
        <w:tc>
          <w:tcPr>
            <w:tcW w:w="603" w:type="pct"/>
            <w:tcBorders>
              <w:tl2br w:val="nil"/>
              <w:tr2bl w:val="nil"/>
            </w:tcBorders>
            <w:vAlign w:val="center"/>
          </w:tcPr>
          <w:p w14:paraId="0CEC84F3">
            <w:pPr>
              <w:pStyle w:val="240"/>
              <w:rPr>
                <w:rFonts w:hint="default"/>
              </w:rPr>
            </w:pPr>
            <w:r>
              <w:t>2025.6.8</w:t>
            </w:r>
          </w:p>
        </w:tc>
        <w:tc>
          <w:tcPr>
            <w:tcW w:w="325" w:type="pct"/>
            <w:tcBorders>
              <w:tl2br w:val="nil"/>
              <w:tr2bl w:val="nil"/>
            </w:tcBorders>
            <w:vAlign w:val="center"/>
          </w:tcPr>
          <w:p w14:paraId="68B50982">
            <w:pPr>
              <w:pStyle w:val="240"/>
              <w:rPr>
                <w:rFonts w:hint="default"/>
              </w:rPr>
            </w:pPr>
            <w:r>
              <w:t>0.52</w:t>
            </w:r>
          </w:p>
        </w:tc>
        <w:tc>
          <w:tcPr>
            <w:tcW w:w="427" w:type="pct"/>
            <w:tcBorders>
              <w:tl2br w:val="nil"/>
              <w:tr2bl w:val="nil"/>
            </w:tcBorders>
            <w:vAlign w:val="center"/>
          </w:tcPr>
          <w:p w14:paraId="043AB904">
            <w:pPr>
              <w:pStyle w:val="240"/>
              <w:rPr>
                <w:rFonts w:hint="default"/>
              </w:rPr>
            </w:pPr>
            <w:r>
              <w:t>0.26</w:t>
            </w:r>
          </w:p>
        </w:tc>
        <w:tc>
          <w:tcPr>
            <w:tcW w:w="247" w:type="pct"/>
            <w:tcBorders>
              <w:tl2br w:val="nil"/>
              <w:tr2bl w:val="nil"/>
            </w:tcBorders>
            <w:vAlign w:val="center"/>
          </w:tcPr>
          <w:p w14:paraId="5BD87A6F">
            <w:pPr>
              <w:pStyle w:val="240"/>
              <w:rPr>
                <w:rFonts w:hint="default"/>
              </w:rPr>
            </w:pPr>
            <w:r>
              <w:t>否</w:t>
            </w:r>
          </w:p>
        </w:tc>
        <w:tc>
          <w:tcPr>
            <w:tcW w:w="373" w:type="pct"/>
            <w:tcBorders>
              <w:tl2br w:val="nil"/>
              <w:tr2bl w:val="nil"/>
            </w:tcBorders>
            <w:vAlign w:val="center"/>
          </w:tcPr>
          <w:p w14:paraId="1ADDE611">
            <w:pPr>
              <w:pStyle w:val="240"/>
              <w:rPr>
                <w:rFonts w:hint="default"/>
              </w:rPr>
            </w:pPr>
            <w:r>
              <w:t>0.49</w:t>
            </w:r>
          </w:p>
        </w:tc>
        <w:tc>
          <w:tcPr>
            <w:tcW w:w="427" w:type="pct"/>
            <w:tcBorders>
              <w:tl2br w:val="nil"/>
              <w:tr2bl w:val="nil"/>
            </w:tcBorders>
            <w:vAlign w:val="center"/>
          </w:tcPr>
          <w:p w14:paraId="4DCFE9AD">
            <w:pPr>
              <w:pStyle w:val="240"/>
              <w:rPr>
                <w:rFonts w:hint="default"/>
              </w:rPr>
            </w:pPr>
            <w:r>
              <w:t>0.245</w:t>
            </w:r>
          </w:p>
        </w:tc>
        <w:tc>
          <w:tcPr>
            <w:tcW w:w="238" w:type="pct"/>
            <w:tcBorders>
              <w:tl2br w:val="nil"/>
              <w:tr2bl w:val="nil"/>
            </w:tcBorders>
            <w:vAlign w:val="center"/>
          </w:tcPr>
          <w:p w14:paraId="3C4460F9">
            <w:pPr>
              <w:pStyle w:val="240"/>
              <w:rPr>
                <w:rFonts w:hint="default"/>
              </w:rPr>
            </w:pPr>
            <w:r>
              <w:t>否</w:t>
            </w:r>
          </w:p>
        </w:tc>
        <w:tc>
          <w:tcPr>
            <w:tcW w:w="347" w:type="pct"/>
            <w:tcBorders>
              <w:tl2br w:val="nil"/>
              <w:tr2bl w:val="nil"/>
            </w:tcBorders>
            <w:vAlign w:val="center"/>
          </w:tcPr>
          <w:p w14:paraId="2649031B">
            <w:pPr>
              <w:pStyle w:val="240"/>
              <w:rPr>
                <w:rFonts w:hint="default"/>
              </w:rPr>
            </w:pPr>
            <w:r>
              <w:t>0.52</w:t>
            </w:r>
          </w:p>
        </w:tc>
        <w:tc>
          <w:tcPr>
            <w:tcW w:w="436" w:type="pct"/>
            <w:tcBorders>
              <w:tl2br w:val="nil"/>
              <w:tr2bl w:val="nil"/>
            </w:tcBorders>
            <w:vAlign w:val="center"/>
          </w:tcPr>
          <w:p w14:paraId="5A08E3B2">
            <w:pPr>
              <w:pStyle w:val="240"/>
              <w:rPr>
                <w:rFonts w:hint="default"/>
              </w:rPr>
            </w:pPr>
            <w:r>
              <w:t>0.260</w:t>
            </w:r>
          </w:p>
        </w:tc>
        <w:tc>
          <w:tcPr>
            <w:tcW w:w="264" w:type="pct"/>
            <w:tcBorders>
              <w:tl2br w:val="nil"/>
              <w:tr2bl w:val="nil"/>
            </w:tcBorders>
            <w:vAlign w:val="center"/>
          </w:tcPr>
          <w:p w14:paraId="2214090B">
            <w:pPr>
              <w:pStyle w:val="240"/>
              <w:rPr>
                <w:rFonts w:hint="default"/>
              </w:rPr>
            </w:pPr>
            <w:r>
              <w:t>否</w:t>
            </w:r>
          </w:p>
        </w:tc>
        <w:tc>
          <w:tcPr>
            <w:tcW w:w="347" w:type="pct"/>
            <w:tcBorders>
              <w:tl2br w:val="nil"/>
              <w:tr2bl w:val="nil"/>
            </w:tcBorders>
            <w:vAlign w:val="center"/>
          </w:tcPr>
          <w:p w14:paraId="75ABBB9E">
            <w:pPr>
              <w:pStyle w:val="240"/>
              <w:rPr>
                <w:rFonts w:hint="default"/>
              </w:rPr>
            </w:pPr>
            <w:r>
              <w:t>0.50</w:t>
            </w:r>
          </w:p>
        </w:tc>
        <w:tc>
          <w:tcPr>
            <w:tcW w:w="427" w:type="pct"/>
            <w:tcBorders>
              <w:tl2br w:val="nil"/>
              <w:tr2bl w:val="nil"/>
            </w:tcBorders>
            <w:vAlign w:val="center"/>
          </w:tcPr>
          <w:p w14:paraId="58498752">
            <w:pPr>
              <w:pStyle w:val="240"/>
              <w:rPr>
                <w:rFonts w:hint="default"/>
              </w:rPr>
            </w:pPr>
            <w:r>
              <w:t>0.250</w:t>
            </w:r>
          </w:p>
        </w:tc>
        <w:tc>
          <w:tcPr>
            <w:tcW w:w="289" w:type="pct"/>
            <w:tcBorders>
              <w:tl2br w:val="nil"/>
              <w:tr2bl w:val="nil"/>
            </w:tcBorders>
            <w:vAlign w:val="center"/>
          </w:tcPr>
          <w:p w14:paraId="17D9366C">
            <w:pPr>
              <w:pStyle w:val="240"/>
              <w:rPr>
                <w:rFonts w:hint="default"/>
              </w:rPr>
            </w:pPr>
            <w:r>
              <w:t>否</w:t>
            </w:r>
          </w:p>
        </w:tc>
      </w:tr>
      <w:tr w14:paraId="61316C64">
        <w:tblPrEx>
          <w:tblBorders>
            <w:top w:val="single" w:color="auto" w:sz="12" w:space="0"/>
            <w:left w:val="single" w:color="auto" w:sz="12" w:space="0"/>
            <w:bottom w:val="single" w:color="auto" w:sz="12" w:space="0"/>
            <w:right w:val="single" w:color="auto" w:sz="12" w:space="0"/>
            <w:insideH w:val="single" w:color="auto" w:sz="2" w:space="0"/>
            <w:insideV w:val="single" w:color="auto" w:sz="4" w:space="0"/>
          </w:tblBorders>
          <w:tblCellMar>
            <w:top w:w="0" w:type="dxa"/>
            <w:left w:w="108" w:type="dxa"/>
            <w:bottom w:w="0" w:type="dxa"/>
            <w:right w:w="108" w:type="dxa"/>
          </w:tblCellMar>
        </w:tblPrEx>
        <w:trPr>
          <w:trHeight w:val="448" w:hRule="exact"/>
        </w:trPr>
        <w:tc>
          <w:tcPr>
            <w:tcW w:w="249" w:type="pct"/>
            <w:vMerge w:val="continue"/>
            <w:tcBorders>
              <w:tl2br w:val="nil"/>
              <w:tr2bl w:val="nil"/>
            </w:tcBorders>
            <w:vAlign w:val="center"/>
          </w:tcPr>
          <w:p w14:paraId="22810AEA">
            <w:pPr>
              <w:pStyle w:val="240"/>
              <w:rPr>
                <w:rFonts w:hint="default"/>
              </w:rPr>
            </w:pPr>
          </w:p>
        </w:tc>
        <w:tc>
          <w:tcPr>
            <w:tcW w:w="603" w:type="pct"/>
            <w:tcBorders>
              <w:tl2br w:val="nil"/>
              <w:tr2bl w:val="nil"/>
            </w:tcBorders>
            <w:vAlign w:val="center"/>
          </w:tcPr>
          <w:p w14:paraId="4B8C81D6">
            <w:pPr>
              <w:pStyle w:val="240"/>
              <w:rPr>
                <w:rFonts w:hint="default"/>
              </w:rPr>
            </w:pPr>
            <w:r>
              <w:t>2025.6.9</w:t>
            </w:r>
          </w:p>
        </w:tc>
        <w:tc>
          <w:tcPr>
            <w:tcW w:w="325" w:type="pct"/>
            <w:tcBorders>
              <w:tl2br w:val="nil"/>
              <w:tr2bl w:val="nil"/>
            </w:tcBorders>
            <w:vAlign w:val="center"/>
          </w:tcPr>
          <w:p w14:paraId="685DBC84">
            <w:pPr>
              <w:pStyle w:val="240"/>
              <w:rPr>
                <w:rFonts w:hint="default"/>
              </w:rPr>
            </w:pPr>
            <w:r>
              <w:t>0.56</w:t>
            </w:r>
          </w:p>
        </w:tc>
        <w:tc>
          <w:tcPr>
            <w:tcW w:w="427" w:type="pct"/>
            <w:tcBorders>
              <w:tl2br w:val="nil"/>
              <w:tr2bl w:val="nil"/>
            </w:tcBorders>
            <w:vAlign w:val="center"/>
          </w:tcPr>
          <w:p w14:paraId="6F16029F">
            <w:pPr>
              <w:pStyle w:val="240"/>
              <w:rPr>
                <w:rFonts w:hint="default"/>
              </w:rPr>
            </w:pPr>
            <w:r>
              <w:t>0.28</w:t>
            </w:r>
          </w:p>
        </w:tc>
        <w:tc>
          <w:tcPr>
            <w:tcW w:w="247" w:type="pct"/>
            <w:tcBorders>
              <w:tl2br w:val="nil"/>
              <w:tr2bl w:val="nil"/>
            </w:tcBorders>
            <w:vAlign w:val="center"/>
          </w:tcPr>
          <w:p w14:paraId="3A6F7277">
            <w:pPr>
              <w:pStyle w:val="240"/>
              <w:rPr>
                <w:rFonts w:hint="default"/>
              </w:rPr>
            </w:pPr>
            <w:r>
              <w:t>否</w:t>
            </w:r>
          </w:p>
        </w:tc>
        <w:tc>
          <w:tcPr>
            <w:tcW w:w="373" w:type="pct"/>
            <w:tcBorders>
              <w:tl2br w:val="nil"/>
              <w:tr2bl w:val="nil"/>
            </w:tcBorders>
            <w:vAlign w:val="center"/>
          </w:tcPr>
          <w:p w14:paraId="60871DDD">
            <w:pPr>
              <w:pStyle w:val="240"/>
              <w:rPr>
                <w:rFonts w:hint="default"/>
              </w:rPr>
            </w:pPr>
            <w:r>
              <w:t>0.53</w:t>
            </w:r>
          </w:p>
        </w:tc>
        <w:tc>
          <w:tcPr>
            <w:tcW w:w="427" w:type="pct"/>
            <w:tcBorders>
              <w:tl2br w:val="nil"/>
              <w:tr2bl w:val="nil"/>
            </w:tcBorders>
            <w:vAlign w:val="center"/>
          </w:tcPr>
          <w:p w14:paraId="3A9190EF">
            <w:pPr>
              <w:pStyle w:val="240"/>
              <w:rPr>
                <w:rFonts w:hint="default"/>
              </w:rPr>
            </w:pPr>
            <w:r>
              <w:t>0.265</w:t>
            </w:r>
          </w:p>
        </w:tc>
        <w:tc>
          <w:tcPr>
            <w:tcW w:w="238" w:type="pct"/>
            <w:tcBorders>
              <w:tl2br w:val="nil"/>
              <w:tr2bl w:val="nil"/>
            </w:tcBorders>
            <w:vAlign w:val="center"/>
          </w:tcPr>
          <w:p w14:paraId="7D71FF01">
            <w:pPr>
              <w:pStyle w:val="240"/>
              <w:rPr>
                <w:rFonts w:hint="default"/>
              </w:rPr>
            </w:pPr>
            <w:r>
              <w:t>否</w:t>
            </w:r>
          </w:p>
        </w:tc>
        <w:tc>
          <w:tcPr>
            <w:tcW w:w="347" w:type="pct"/>
            <w:tcBorders>
              <w:tl2br w:val="nil"/>
              <w:tr2bl w:val="nil"/>
            </w:tcBorders>
            <w:vAlign w:val="center"/>
          </w:tcPr>
          <w:p w14:paraId="1950D5EE">
            <w:pPr>
              <w:pStyle w:val="240"/>
              <w:rPr>
                <w:rFonts w:hint="default"/>
              </w:rPr>
            </w:pPr>
            <w:r>
              <w:t>0.52</w:t>
            </w:r>
          </w:p>
        </w:tc>
        <w:tc>
          <w:tcPr>
            <w:tcW w:w="436" w:type="pct"/>
            <w:tcBorders>
              <w:tl2br w:val="nil"/>
              <w:tr2bl w:val="nil"/>
            </w:tcBorders>
            <w:vAlign w:val="center"/>
          </w:tcPr>
          <w:p w14:paraId="4D2BDC02">
            <w:pPr>
              <w:pStyle w:val="240"/>
              <w:rPr>
                <w:rFonts w:hint="default"/>
              </w:rPr>
            </w:pPr>
            <w:r>
              <w:t>0.260</w:t>
            </w:r>
          </w:p>
        </w:tc>
        <w:tc>
          <w:tcPr>
            <w:tcW w:w="264" w:type="pct"/>
            <w:tcBorders>
              <w:tl2br w:val="nil"/>
              <w:tr2bl w:val="nil"/>
            </w:tcBorders>
            <w:vAlign w:val="center"/>
          </w:tcPr>
          <w:p w14:paraId="26A41CAF">
            <w:pPr>
              <w:pStyle w:val="240"/>
              <w:rPr>
                <w:rFonts w:hint="default"/>
              </w:rPr>
            </w:pPr>
            <w:r>
              <w:t>否</w:t>
            </w:r>
          </w:p>
        </w:tc>
        <w:tc>
          <w:tcPr>
            <w:tcW w:w="347" w:type="pct"/>
            <w:tcBorders>
              <w:tl2br w:val="nil"/>
              <w:tr2bl w:val="nil"/>
            </w:tcBorders>
            <w:vAlign w:val="center"/>
          </w:tcPr>
          <w:p w14:paraId="00ED24E5">
            <w:pPr>
              <w:pStyle w:val="240"/>
              <w:rPr>
                <w:rFonts w:hint="default"/>
              </w:rPr>
            </w:pPr>
            <w:r>
              <w:t>0.56</w:t>
            </w:r>
          </w:p>
        </w:tc>
        <w:tc>
          <w:tcPr>
            <w:tcW w:w="427" w:type="pct"/>
            <w:tcBorders>
              <w:tl2br w:val="nil"/>
              <w:tr2bl w:val="nil"/>
            </w:tcBorders>
            <w:vAlign w:val="center"/>
          </w:tcPr>
          <w:p w14:paraId="24AD04F7">
            <w:pPr>
              <w:pStyle w:val="240"/>
              <w:rPr>
                <w:rFonts w:hint="default"/>
              </w:rPr>
            </w:pPr>
            <w:r>
              <w:t>0.280</w:t>
            </w:r>
          </w:p>
        </w:tc>
        <w:tc>
          <w:tcPr>
            <w:tcW w:w="289" w:type="pct"/>
            <w:tcBorders>
              <w:tl2br w:val="nil"/>
              <w:tr2bl w:val="nil"/>
            </w:tcBorders>
            <w:vAlign w:val="center"/>
          </w:tcPr>
          <w:p w14:paraId="1CA42BCF">
            <w:pPr>
              <w:pStyle w:val="240"/>
              <w:rPr>
                <w:rFonts w:hint="default"/>
              </w:rPr>
            </w:pPr>
            <w:r>
              <w:t>否</w:t>
            </w:r>
          </w:p>
        </w:tc>
      </w:tr>
      <w:tr w14:paraId="200B1D0D">
        <w:tblPrEx>
          <w:tblBorders>
            <w:top w:val="single" w:color="auto" w:sz="12" w:space="0"/>
            <w:left w:val="single" w:color="auto" w:sz="12" w:space="0"/>
            <w:bottom w:val="single" w:color="auto" w:sz="12" w:space="0"/>
            <w:right w:val="single" w:color="auto" w:sz="12" w:space="0"/>
            <w:insideH w:val="single" w:color="auto" w:sz="2" w:space="0"/>
            <w:insideV w:val="single" w:color="auto" w:sz="4" w:space="0"/>
          </w:tblBorders>
          <w:tblCellMar>
            <w:top w:w="0" w:type="dxa"/>
            <w:left w:w="108" w:type="dxa"/>
            <w:bottom w:w="0" w:type="dxa"/>
            <w:right w:w="108" w:type="dxa"/>
          </w:tblCellMar>
        </w:tblPrEx>
        <w:trPr>
          <w:trHeight w:val="448" w:hRule="exact"/>
        </w:trPr>
        <w:tc>
          <w:tcPr>
            <w:tcW w:w="249" w:type="pct"/>
            <w:vMerge w:val="continue"/>
            <w:tcBorders>
              <w:tl2br w:val="nil"/>
              <w:tr2bl w:val="nil"/>
            </w:tcBorders>
            <w:vAlign w:val="center"/>
          </w:tcPr>
          <w:p w14:paraId="401825C3">
            <w:pPr>
              <w:pStyle w:val="240"/>
              <w:rPr>
                <w:rFonts w:hint="default"/>
              </w:rPr>
            </w:pPr>
          </w:p>
        </w:tc>
        <w:tc>
          <w:tcPr>
            <w:tcW w:w="603" w:type="pct"/>
            <w:tcBorders>
              <w:tl2br w:val="nil"/>
              <w:tr2bl w:val="nil"/>
            </w:tcBorders>
            <w:vAlign w:val="center"/>
          </w:tcPr>
          <w:p w14:paraId="796D7B82">
            <w:pPr>
              <w:pStyle w:val="240"/>
              <w:rPr>
                <w:rFonts w:hint="default"/>
              </w:rPr>
            </w:pPr>
            <w:r>
              <w:t>2025.6.10</w:t>
            </w:r>
          </w:p>
        </w:tc>
        <w:tc>
          <w:tcPr>
            <w:tcW w:w="325" w:type="pct"/>
            <w:tcBorders>
              <w:tl2br w:val="nil"/>
              <w:tr2bl w:val="nil"/>
            </w:tcBorders>
            <w:vAlign w:val="center"/>
          </w:tcPr>
          <w:p w14:paraId="782829FA">
            <w:pPr>
              <w:pStyle w:val="240"/>
              <w:rPr>
                <w:rFonts w:hint="default"/>
              </w:rPr>
            </w:pPr>
            <w:r>
              <w:t>0.53</w:t>
            </w:r>
          </w:p>
        </w:tc>
        <w:tc>
          <w:tcPr>
            <w:tcW w:w="427" w:type="pct"/>
            <w:tcBorders>
              <w:tl2br w:val="nil"/>
              <w:tr2bl w:val="nil"/>
            </w:tcBorders>
            <w:vAlign w:val="center"/>
          </w:tcPr>
          <w:p w14:paraId="37DF507C">
            <w:pPr>
              <w:pStyle w:val="240"/>
              <w:rPr>
                <w:rFonts w:hint="default"/>
              </w:rPr>
            </w:pPr>
            <w:r>
              <w:t>0.265</w:t>
            </w:r>
          </w:p>
        </w:tc>
        <w:tc>
          <w:tcPr>
            <w:tcW w:w="247" w:type="pct"/>
            <w:tcBorders>
              <w:tl2br w:val="nil"/>
              <w:tr2bl w:val="nil"/>
            </w:tcBorders>
            <w:vAlign w:val="center"/>
          </w:tcPr>
          <w:p w14:paraId="0D1F77D9">
            <w:pPr>
              <w:pStyle w:val="240"/>
              <w:rPr>
                <w:rFonts w:hint="default"/>
              </w:rPr>
            </w:pPr>
            <w:r>
              <w:t>否</w:t>
            </w:r>
          </w:p>
        </w:tc>
        <w:tc>
          <w:tcPr>
            <w:tcW w:w="373" w:type="pct"/>
            <w:tcBorders>
              <w:tl2br w:val="nil"/>
              <w:tr2bl w:val="nil"/>
            </w:tcBorders>
            <w:vAlign w:val="center"/>
          </w:tcPr>
          <w:p w14:paraId="0B45684C">
            <w:pPr>
              <w:pStyle w:val="240"/>
              <w:rPr>
                <w:rFonts w:hint="default"/>
              </w:rPr>
            </w:pPr>
            <w:r>
              <w:t>0.51</w:t>
            </w:r>
          </w:p>
        </w:tc>
        <w:tc>
          <w:tcPr>
            <w:tcW w:w="427" w:type="pct"/>
            <w:tcBorders>
              <w:tl2br w:val="nil"/>
              <w:tr2bl w:val="nil"/>
            </w:tcBorders>
            <w:vAlign w:val="center"/>
          </w:tcPr>
          <w:p w14:paraId="00BEE263">
            <w:pPr>
              <w:pStyle w:val="240"/>
              <w:rPr>
                <w:rFonts w:hint="default"/>
              </w:rPr>
            </w:pPr>
            <w:r>
              <w:t>0.255</w:t>
            </w:r>
          </w:p>
        </w:tc>
        <w:tc>
          <w:tcPr>
            <w:tcW w:w="238" w:type="pct"/>
            <w:tcBorders>
              <w:tl2br w:val="nil"/>
              <w:tr2bl w:val="nil"/>
            </w:tcBorders>
            <w:vAlign w:val="center"/>
          </w:tcPr>
          <w:p w14:paraId="35FF9AFA">
            <w:pPr>
              <w:pStyle w:val="240"/>
              <w:rPr>
                <w:rFonts w:hint="default"/>
              </w:rPr>
            </w:pPr>
            <w:r>
              <w:t>否</w:t>
            </w:r>
          </w:p>
        </w:tc>
        <w:tc>
          <w:tcPr>
            <w:tcW w:w="347" w:type="pct"/>
            <w:tcBorders>
              <w:tl2br w:val="nil"/>
              <w:tr2bl w:val="nil"/>
            </w:tcBorders>
            <w:vAlign w:val="center"/>
          </w:tcPr>
          <w:p w14:paraId="29E92657">
            <w:pPr>
              <w:pStyle w:val="240"/>
              <w:rPr>
                <w:rFonts w:hint="default"/>
              </w:rPr>
            </w:pPr>
            <w:r>
              <w:t>0.51</w:t>
            </w:r>
          </w:p>
        </w:tc>
        <w:tc>
          <w:tcPr>
            <w:tcW w:w="436" w:type="pct"/>
            <w:tcBorders>
              <w:tl2br w:val="nil"/>
              <w:tr2bl w:val="nil"/>
            </w:tcBorders>
            <w:vAlign w:val="center"/>
          </w:tcPr>
          <w:p w14:paraId="70709B6A">
            <w:pPr>
              <w:pStyle w:val="240"/>
              <w:rPr>
                <w:rFonts w:hint="default"/>
              </w:rPr>
            </w:pPr>
            <w:r>
              <w:t>0.250</w:t>
            </w:r>
          </w:p>
        </w:tc>
        <w:tc>
          <w:tcPr>
            <w:tcW w:w="264" w:type="pct"/>
            <w:tcBorders>
              <w:tl2br w:val="nil"/>
              <w:tr2bl w:val="nil"/>
            </w:tcBorders>
            <w:vAlign w:val="center"/>
          </w:tcPr>
          <w:p w14:paraId="2B071A1C">
            <w:pPr>
              <w:pStyle w:val="240"/>
              <w:rPr>
                <w:rFonts w:hint="default"/>
              </w:rPr>
            </w:pPr>
            <w:r>
              <w:t>否</w:t>
            </w:r>
          </w:p>
        </w:tc>
        <w:tc>
          <w:tcPr>
            <w:tcW w:w="347" w:type="pct"/>
            <w:tcBorders>
              <w:tl2br w:val="nil"/>
              <w:tr2bl w:val="nil"/>
            </w:tcBorders>
            <w:vAlign w:val="center"/>
          </w:tcPr>
          <w:p w14:paraId="4A816D87">
            <w:pPr>
              <w:pStyle w:val="240"/>
              <w:rPr>
                <w:rFonts w:hint="default"/>
              </w:rPr>
            </w:pPr>
            <w:r>
              <w:t>0.61</w:t>
            </w:r>
          </w:p>
        </w:tc>
        <w:tc>
          <w:tcPr>
            <w:tcW w:w="427" w:type="pct"/>
            <w:tcBorders>
              <w:tl2br w:val="nil"/>
              <w:tr2bl w:val="nil"/>
            </w:tcBorders>
            <w:vAlign w:val="center"/>
          </w:tcPr>
          <w:p w14:paraId="6253A736">
            <w:pPr>
              <w:pStyle w:val="240"/>
              <w:rPr>
                <w:rFonts w:hint="default"/>
              </w:rPr>
            </w:pPr>
            <w:r>
              <w:t>0.305</w:t>
            </w:r>
          </w:p>
        </w:tc>
        <w:tc>
          <w:tcPr>
            <w:tcW w:w="289" w:type="pct"/>
            <w:tcBorders>
              <w:tl2br w:val="nil"/>
              <w:tr2bl w:val="nil"/>
            </w:tcBorders>
            <w:vAlign w:val="center"/>
          </w:tcPr>
          <w:p w14:paraId="3E42B449">
            <w:pPr>
              <w:pStyle w:val="240"/>
              <w:rPr>
                <w:rFonts w:hint="default"/>
              </w:rPr>
            </w:pPr>
            <w:r>
              <w:t>否</w:t>
            </w:r>
          </w:p>
        </w:tc>
      </w:tr>
      <w:tr w14:paraId="1448D837">
        <w:tblPrEx>
          <w:tblBorders>
            <w:top w:val="single" w:color="auto" w:sz="12" w:space="0"/>
            <w:left w:val="single" w:color="auto" w:sz="12" w:space="0"/>
            <w:bottom w:val="single" w:color="auto" w:sz="12" w:space="0"/>
            <w:right w:val="single" w:color="auto" w:sz="12" w:space="0"/>
            <w:insideH w:val="single" w:color="auto" w:sz="2" w:space="0"/>
            <w:insideV w:val="single" w:color="auto" w:sz="4" w:space="0"/>
          </w:tblBorders>
          <w:tblCellMar>
            <w:top w:w="0" w:type="dxa"/>
            <w:left w:w="108" w:type="dxa"/>
            <w:bottom w:w="0" w:type="dxa"/>
            <w:right w:w="108" w:type="dxa"/>
          </w:tblCellMar>
        </w:tblPrEx>
        <w:trPr>
          <w:trHeight w:val="448" w:hRule="exact"/>
        </w:trPr>
        <w:tc>
          <w:tcPr>
            <w:tcW w:w="249" w:type="pct"/>
            <w:vMerge w:val="continue"/>
            <w:tcBorders>
              <w:tl2br w:val="nil"/>
              <w:tr2bl w:val="nil"/>
            </w:tcBorders>
            <w:vAlign w:val="center"/>
          </w:tcPr>
          <w:p w14:paraId="65664EF7">
            <w:pPr>
              <w:pStyle w:val="240"/>
              <w:rPr>
                <w:rFonts w:hint="default"/>
              </w:rPr>
            </w:pPr>
          </w:p>
        </w:tc>
        <w:tc>
          <w:tcPr>
            <w:tcW w:w="603" w:type="pct"/>
            <w:tcBorders>
              <w:tl2br w:val="nil"/>
              <w:tr2bl w:val="nil"/>
            </w:tcBorders>
            <w:vAlign w:val="center"/>
          </w:tcPr>
          <w:p w14:paraId="20F0525E">
            <w:pPr>
              <w:pStyle w:val="240"/>
              <w:rPr>
                <w:rFonts w:hint="default"/>
              </w:rPr>
            </w:pPr>
            <w:r>
              <w:t>2025.6.11</w:t>
            </w:r>
          </w:p>
        </w:tc>
        <w:tc>
          <w:tcPr>
            <w:tcW w:w="325" w:type="pct"/>
            <w:tcBorders>
              <w:tl2br w:val="nil"/>
              <w:tr2bl w:val="nil"/>
            </w:tcBorders>
            <w:vAlign w:val="center"/>
          </w:tcPr>
          <w:p w14:paraId="3E94A48F">
            <w:pPr>
              <w:pStyle w:val="240"/>
              <w:rPr>
                <w:rFonts w:hint="default"/>
              </w:rPr>
            </w:pPr>
            <w:r>
              <w:t>0.56</w:t>
            </w:r>
          </w:p>
        </w:tc>
        <w:tc>
          <w:tcPr>
            <w:tcW w:w="427" w:type="pct"/>
            <w:tcBorders>
              <w:tl2br w:val="nil"/>
              <w:tr2bl w:val="nil"/>
            </w:tcBorders>
            <w:vAlign w:val="center"/>
          </w:tcPr>
          <w:p w14:paraId="6779D591">
            <w:pPr>
              <w:pStyle w:val="240"/>
              <w:rPr>
                <w:rFonts w:hint="default"/>
              </w:rPr>
            </w:pPr>
            <w:r>
              <w:t>0.28</w:t>
            </w:r>
          </w:p>
        </w:tc>
        <w:tc>
          <w:tcPr>
            <w:tcW w:w="247" w:type="pct"/>
            <w:tcBorders>
              <w:tl2br w:val="nil"/>
              <w:tr2bl w:val="nil"/>
            </w:tcBorders>
            <w:vAlign w:val="center"/>
          </w:tcPr>
          <w:p w14:paraId="480310CA">
            <w:pPr>
              <w:pStyle w:val="240"/>
              <w:rPr>
                <w:rFonts w:hint="default"/>
              </w:rPr>
            </w:pPr>
            <w:r>
              <w:t>否</w:t>
            </w:r>
          </w:p>
        </w:tc>
        <w:tc>
          <w:tcPr>
            <w:tcW w:w="373" w:type="pct"/>
            <w:tcBorders>
              <w:tl2br w:val="nil"/>
              <w:tr2bl w:val="nil"/>
            </w:tcBorders>
            <w:vAlign w:val="center"/>
          </w:tcPr>
          <w:p w14:paraId="38A7EB8D">
            <w:pPr>
              <w:pStyle w:val="240"/>
              <w:rPr>
                <w:rFonts w:hint="default"/>
              </w:rPr>
            </w:pPr>
            <w:r>
              <w:t>0.54</w:t>
            </w:r>
          </w:p>
        </w:tc>
        <w:tc>
          <w:tcPr>
            <w:tcW w:w="427" w:type="pct"/>
            <w:tcBorders>
              <w:tl2br w:val="nil"/>
              <w:tr2bl w:val="nil"/>
            </w:tcBorders>
            <w:vAlign w:val="center"/>
          </w:tcPr>
          <w:p w14:paraId="1D0455B8">
            <w:pPr>
              <w:pStyle w:val="240"/>
              <w:rPr>
                <w:rFonts w:hint="default"/>
              </w:rPr>
            </w:pPr>
            <w:r>
              <w:t>0.270</w:t>
            </w:r>
          </w:p>
        </w:tc>
        <w:tc>
          <w:tcPr>
            <w:tcW w:w="238" w:type="pct"/>
            <w:tcBorders>
              <w:tl2br w:val="nil"/>
              <w:tr2bl w:val="nil"/>
            </w:tcBorders>
            <w:vAlign w:val="center"/>
          </w:tcPr>
          <w:p w14:paraId="4A5930FC">
            <w:pPr>
              <w:pStyle w:val="240"/>
              <w:rPr>
                <w:rFonts w:hint="default"/>
              </w:rPr>
            </w:pPr>
            <w:r>
              <w:t>否</w:t>
            </w:r>
          </w:p>
        </w:tc>
        <w:tc>
          <w:tcPr>
            <w:tcW w:w="347" w:type="pct"/>
            <w:tcBorders>
              <w:tl2br w:val="nil"/>
              <w:tr2bl w:val="nil"/>
            </w:tcBorders>
            <w:vAlign w:val="center"/>
          </w:tcPr>
          <w:p w14:paraId="5AB915C7">
            <w:pPr>
              <w:pStyle w:val="240"/>
              <w:rPr>
                <w:rFonts w:hint="default"/>
              </w:rPr>
            </w:pPr>
            <w:r>
              <w:t>0.52</w:t>
            </w:r>
          </w:p>
        </w:tc>
        <w:tc>
          <w:tcPr>
            <w:tcW w:w="436" w:type="pct"/>
            <w:tcBorders>
              <w:tl2br w:val="nil"/>
              <w:tr2bl w:val="nil"/>
            </w:tcBorders>
            <w:vAlign w:val="center"/>
          </w:tcPr>
          <w:p w14:paraId="09855228">
            <w:pPr>
              <w:pStyle w:val="240"/>
              <w:rPr>
                <w:rFonts w:hint="default"/>
              </w:rPr>
            </w:pPr>
            <w:r>
              <w:t>0.260</w:t>
            </w:r>
          </w:p>
        </w:tc>
        <w:tc>
          <w:tcPr>
            <w:tcW w:w="264" w:type="pct"/>
            <w:tcBorders>
              <w:tl2br w:val="nil"/>
              <w:tr2bl w:val="nil"/>
            </w:tcBorders>
            <w:vAlign w:val="center"/>
          </w:tcPr>
          <w:p w14:paraId="5AAD7A5B">
            <w:pPr>
              <w:pStyle w:val="240"/>
              <w:rPr>
                <w:rFonts w:hint="default"/>
              </w:rPr>
            </w:pPr>
            <w:r>
              <w:t>否</w:t>
            </w:r>
          </w:p>
        </w:tc>
        <w:tc>
          <w:tcPr>
            <w:tcW w:w="347" w:type="pct"/>
            <w:tcBorders>
              <w:tl2br w:val="nil"/>
              <w:tr2bl w:val="nil"/>
            </w:tcBorders>
            <w:vAlign w:val="center"/>
          </w:tcPr>
          <w:p w14:paraId="4C3BED3E">
            <w:pPr>
              <w:pStyle w:val="240"/>
              <w:rPr>
                <w:rFonts w:hint="default"/>
              </w:rPr>
            </w:pPr>
            <w:r>
              <w:t>0.56</w:t>
            </w:r>
          </w:p>
        </w:tc>
        <w:tc>
          <w:tcPr>
            <w:tcW w:w="427" w:type="pct"/>
            <w:tcBorders>
              <w:tl2br w:val="nil"/>
              <w:tr2bl w:val="nil"/>
            </w:tcBorders>
            <w:vAlign w:val="center"/>
          </w:tcPr>
          <w:p w14:paraId="32094ADA">
            <w:pPr>
              <w:pStyle w:val="240"/>
              <w:rPr>
                <w:rFonts w:hint="default"/>
              </w:rPr>
            </w:pPr>
            <w:r>
              <w:t>0.280</w:t>
            </w:r>
          </w:p>
        </w:tc>
        <w:tc>
          <w:tcPr>
            <w:tcW w:w="289" w:type="pct"/>
            <w:tcBorders>
              <w:tl2br w:val="nil"/>
              <w:tr2bl w:val="nil"/>
            </w:tcBorders>
            <w:vAlign w:val="center"/>
          </w:tcPr>
          <w:p w14:paraId="2989532E">
            <w:pPr>
              <w:pStyle w:val="240"/>
              <w:rPr>
                <w:rFonts w:hint="default"/>
              </w:rPr>
            </w:pPr>
            <w:r>
              <w:t>否</w:t>
            </w:r>
          </w:p>
        </w:tc>
      </w:tr>
      <w:tr w14:paraId="18F94A90">
        <w:tblPrEx>
          <w:tblBorders>
            <w:top w:val="single" w:color="auto" w:sz="12" w:space="0"/>
            <w:left w:val="single" w:color="auto" w:sz="12" w:space="0"/>
            <w:bottom w:val="single" w:color="auto" w:sz="12" w:space="0"/>
            <w:right w:val="single" w:color="auto" w:sz="12" w:space="0"/>
            <w:insideH w:val="single" w:color="auto" w:sz="2" w:space="0"/>
            <w:insideV w:val="single" w:color="auto" w:sz="4" w:space="0"/>
          </w:tblBorders>
          <w:tblCellMar>
            <w:top w:w="0" w:type="dxa"/>
            <w:left w:w="108" w:type="dxa"/>
            <w:bottom w:w="0" w:type="dxa"/>
            <w:right w:w="108" w:type="dxa"/>
          </w:tblCellMar>
        </w:tblPrEx>
        <w:trPr>
          <w:trHeight w:val="448" w:hRule="exact"/>
        </w:trPr>
        <w:tc>
          <w:tcPr>
            <w:tcW w:w="249" w:type="pct"/>
            <w:vMerge w:val="restart"/>
            <w:tcBorders>
              <w:tl2br w:val="nil"/>
              <w:tr2bl w:val="nil"/>
            </w:tcBorders>
            <w:vAlign w:val="center"/>
          </w:tcPr>
          <w:p w14:paraId="499B7AEA">
            <w:pPr>
              <w:pStyle w:val="240"/>
              <w:rPr>
                <w:rFonts w:hint="default"/>
              </w:rPr>
            </w:pPr>
            <w:r>
              <w:rPr>
                <w:rFonts w:hint="default"/>
              </w:rPr>
              <w:t>项目区下风向</w:t>
            </w:r>
          </w:p>
        </w:tc>
        <w:tc>
          <w:tcPr>
            <w:tcW w:w="603" w:type="pct"/>
            <w:tcBorders>
              <w:tl2br w:val="nil"/>
              <w:tr2bl w:val="nil"/>
            </w:tcBorders>
            <w:vAlign w:val="center"/>
          </w:tcPr>
          <w:p w14:paraId="6CC7410A">
            <w:pPr>
              <w:pStyle w:val="240"/>
              <w:rPr>
                <w:rFonts w:hint="default"/>
              </w:rPr>
            </w:pPr>
            <w:r>
              <w:rPr>
                <w:rFonts w:hint="default"/>
              </w:rPr>
              <w:t>202</w:t>
            </w:r>
            <w:r>
              <w:t>5.6.5</w:t>
            </w:r>
          </w:p>
        </w:tc>
        <w:tc>
          <w:tcPr>
            <w:tcW w:w="325" w:type="pct"/>
            <w:tcBorders>
              <w:tl2br w:val="nil"/>
              <w:tr2bl w:val="nil"/>
            </w:tcBorders>
            <w:vAlign w:val="center"/>
          </w:tcPr>
          <w:p w14:paraId="33171B43">
            <w:pPr>
              <w:pStyle w:val="240"/>
              <w:rPr>
                <w:rFonts w:hint="default"/>
              </w:rPr>
            </w:pPr>
            <w:r>
              <w:t>0.62</w:t>
            </w:r>
          </w:p>
        </w:tc>
        <w:tc>
          <w:tcPr>
            <w:tcW w:w="427" w:type="pct"/>
            <w:tcBorders>
              <w:tl2br w:val="nil"/>
              <w:tr2bl w:val="nil"/>
            </w:tcBorders>
            <w:vAlign w:val="center"/>
          </w:tcPr>
          <w:p w14:paraId="187DB248">
            <w:pPr>
              <w:pStyle w:val="240"/>
              <w:rPr>
                <w:rFonts w:hint="default"/>
              </w:rPr>
            </w:pPr>
            <w:r>
              <w:t>0.310</w:t>
            </w:r>
          </w:p>
        </w:tc>
        <w:tc>
          <w:tcPr>
            <w:tcW w:w="247" w:type="pct"/>
            <w:tcBorders>
              <w:tl2br w:val="nil"/>
              <w:tr2bl w:val="nil"/>
            </w:tcBorders>
            <w:vAlign w:val="center"/>
          </w:tcPr>
          <w:p w14:paraId="292D3EF0">
            <w:pPr>
              <w:pStyle w:val="240"/>
              <w:rPr>
                <w:rFonts w:hint="default"/>
              </w:rPr>
            </w:pPr>
            <w:r>
              <w:t>否</w:t>
            </w:r>
          </w:p>
        </w:tc>
        <w:tc>
          <w:tcPr>
            <w:tcW w:w="373" w:type="pct"/>
            <w:tcBorders>
              <w:tl2br w:val="nil"/>
              <w:tr2bl w:val="nil"/>
            </w:tcBorders>
            <w:vAlign w:val="center"/>
          </w:tcPr>
          <w:p w14:paraId="47D43B4E">
            <w:pPr>
              <w:pStyle w:val="240"/>
              <w:rPr>
                <w:rFonts w:hint="default"/>
              </w:rPr>
            </w:pPr>
            <w:r>
              <w:t>0.64</w:t>
            </w:r>
          </w:p>
        </w:tc>
        <w:tc>
          <w:tcPr>
            <w:tcW w:w="427" w:type="pct"/>
            <w:tcBorders>
              <w:tl2br w:val="nil"/>
              <w:tr2bl w:val="nil"/>
            </w:tcBorders>
            <w:vAlign w:val="center"/>
          </w:tcPr>
          <w:p w14:paraId="33F3E911">
            <w:pPr>
              <w:pStyle w:val="240"/>
              <w:rPr>
                <w:rFonts w:hint="default"/>
              </w:rPr>
            </w:pPr>
            <w:r>
              <w:t>0.320</w:t>
            </w:r>
          </w:p>
        </w:tc>
        <w:tc>
          <w:tcPr>
            <w:tcW w:w="238" w:type="pct"/>
            <w:tcBorders>
              <w:tl2br w:val="nil"/>
              <w:tr2bl w:val="nil"/>
            </w:tcBorders>
            <w:vAlign w:val="center"/>
          </w:tcPr>
          <w:p w14:paraId="2F4100D3">
            <w:pPr>
              <w:pStyle w:val="240"/>
              <w:rPr>
                <w:rFonts w:hint="default"/>
              </w:rPr>
            </w:pPr>
            <w:r>
              <w:t>否</w:t>
            </w:r>
          </w:p>
        </w:tc>
        <w:tc>
          <w:tcPr>
            <w:tcW w:w="347" w:type="pct"/>
            <w:tcBorders>
              <w:tl2br w:val="nil"/>
              <w:tr2bl w:val="nil"/>
            </w:tcBorders>
            <w:vAlign w:val="center"/>
          </w:tcPr>
          <w:p w14:paraId="6BC97BB6">
            <w:pPr>
              <w:pStyle w:val="240"/>
              <w:rPr>
                <w:rFonts w:hint="default"/>
              </w:rPr>
            </w:pPr>
            <w:r>
              <w:t>0.63</w:t>
            </w:r>
          </w:p>
        </w:tc>
        <w:tc>
          <w:tcPr>
            <w:tcW w:w="436" w:type="pct"/>
            <w:tcBorders>
              <w:tl2br w:val="nil"/>
              <w:tr2bl w:val="nil"/>
            </w:tcBorders>
            <w:vAlign w:val="center"/>
          </w:tcPr>
          <w:p w14:paraId="2B9BE5E3">
            <w:pPr>
              <w:pStyle w:val="240"/>
              <w:rPr>
                <w:rFonts w:hint="default"/>
              </w:rPr>
            </w:pPr>
            <w:r>
              <w:t>0.315</w:t>
            </w:r>
          </w:p>
        </w:tc>
        <w:tc>
          <w:tcPr>
            <w:tcW w:w="264" w:type="pct"/>
            <w:tcBorders>
              <w:tl2br w:val="nil"/>
              <w:tr2bl w:val="nil"/>
            </w:tcBorders>
            <w:vAlign w:val="center"/>
          </w:tcPr>
          <w:p w14:paraId="16CEF72E">
            <w:pPr>
              <w:pStyle w:val="240"/>
              <w:rPr>
                <w:rFonts w:hint="default"/>
              </w:rPr>
            </w:pPr>
            <w:r>
              <w:t>否</w:t>
            </w:r>
          </w:p>
        </w:tc>
        <w:tc>
          <w:tcPr>
            <w:tcW w:w="347" w:type="pct"/>
            <w:tcBorders>
              <w:tl2br w:val="nil"/>
              <w:tr2bl w:val="nil"/>
            </w:tcBorders>
            <w:vAlign w:val="center"/>
          </w:tcPr>
          <w:p w14:paraId="1CED5EA7">
            <w:pPr>
              <w:pStyle w:val="240"/>
              <w:rPr>
                <w:rFonts w:hint="default"/>
              </w:rPr>
            </w:pPr>
            <w:r>
              <w:t>0.65</w:t>
            </w:r>
          </w:p>
        </w:tc>
        <w:tc>
          <w:tcPr>
            <w:tcW w:w="427" w:type="pct"/>
            <w:tcBorders>
              <w:tl2br w:val="nil"/>
              <w:tr2bl w:val="nil"/>
            </w:tcBorders>
            <w:vAlign w:val="center"/>
          </w:tcPr>
          <w:p w14:paraId="5954F652">
            <w:pPr>
              <w:pStyle w:val="240"/>
              <w:rPr>
                <w:rFonts w:hint="default"/>
              </w:rPr>
            </w:pPr>
            <w:r>
              <w:t>0.325</w:t>
            </w:r>
          </w:p>
        </w:tc>
        <w:tc>
          <w:tcPr>
            <w:tcW w:w="289" w:type="pct"/>
            <w:tcBorders>
              <w:tl2br w:val="nil"/>
              <w:tr2bl w:val="nil"/>
            </w:tcBorders>
            <w:vAlign w:val="center"/>
          </w:tcPr>
          <w:p w14:paraId="2B7A96D6">
            <w:pPr>
              <w:pStyle w:val="240"/>
              <w:rPr>
                <w:rFonts w:hint="default"/>
              </w:rPr>
            </w:pPr>
            <w:r>
              <w:t>否</w:t>
            </w:r>
          </w:p>
        </w:tc>
      </w:tr>
      <w:tr w14:paraId="3298503C">
        <w:tblPrEx>
          <w:tblBorders>
            <w:top w:val="single" w:color="auto" w:sz="12" w:space="0"/>
            <w:left w:val="single" w:color="auto" w:sz="12" w:space="0"/>
            <w:bottom w:val="single" w:color="auto" w:sz="12" w:space="0"/>
            <w:right w:val="single" w:color="auto" w:sz="12" w:space="0"/>
            <w:insideH w:val="single" w:color="auto" w:sz="2" w:space="0"/>
            <w:insideV w:val="single" w:color="auto" w:sz="4" w:space="0"/>
          </w:tblBorders>
          <w:tblCellMar>
            <w:top w:w="0" w:type="dxa"/>
            <w:left w:w="108" w:type="dxa"/>
            <w:bottom w:w="0" w:type="dxa"/>
            <w:right w:w="108" w:type="dxa"/>
          </w:tblCellMar>
        </w:tblPrEx>
        <w:trPr>
          <w:trHeight w:val="448" w:hRule="exact"/>
        </w:trPr>
        <w:tc>
          <w:tcPr>
            <w:tcW w:w="249" w:type="pct"/>
            <w:vMerge w:val="continue"/>
            <w:tcBorders>
              <w:tl2br w:val="nil"/>
              <w:tr2bl w:val="nil"/>
            </w:tcBorders>
            <w:vAlign w:val="center"/>
          </w:tcPr>
          <w:p w14:paraId="2EAE4058">
            <w:pPr>
              <w:pStyle w:val="240"/>
              <w:rPr>
                <w:rFonts w:hint="default"/>
              </w:rPr>
            </w:pPr>
          </w:p>
        </w:tc>
        <w:tc>
          <w:tcPr>
            <w:tcW w:w="603" w:type="pct"/>
            <w:tcBorders>
              <w:tl2br w:val="nil"/>
              <w:tr2bl w:val="nil"/>
            </w:tcBorders>
            <w:vAlign w:val="center"/>
          </w:tcPr>
          <w:p w14:paraId="6DE73520">
            <w:pPr>
              <w:pStyle w:val="240"/>
              <w:rPr>
                <w:rFonts w:hint="default"/>
              </w:rPr>
            </w:pPr>
            <w:r>
              <w:t>2025.6.6</w:t>
            </w:r>
          </w:p>
        </w:tc>
        <w:tc>
          <w:tcPr>
            <w:tcW w:w="325" w:type="pct"/>
            <w:tcBorders>
              <w:tl2br w:val="nil"/>
              <w:tr2bl w:val="nil"/>
            </w:tcBorders>
            <w:vAlign w:val="center"/>
          </w:tcPr>
          <w:p w14:paraId="59EDFF90">
            <w:pPr>
              <w:pStyle w:val="240"/>
              <w:rPr>
                <w:rFonts w:hint="default"/>
              </w:rPr>
            </w:pPr>
            <w:r>
              <w:t>0.68</w:t>
            </w:r>
          </w:p>
        </w:tc>
        <w:tc>
          <w:tcPr>
            <w:tcW w:w="427" w:type="pct"/>
            <w:tcBorders>
              <w:tl2br w:val="nil"/>
              <w:tr2bl w:val="nil"/>
            </w:tcBorders>
            <w:vAlign w:val="center"/>
          </w:tcPr>
          <w:p w14:paraId="1A7229BB">
            <w:pPr>
              <w:pStyle w:val="240"/>
              <w:rPr>
                <w:rFonts w:hint="default"/>
              </w:rPr>
            </w:pPr>
            <w:r>
              <w:t>0.340</w:t>
            </w:r>
          </w:p>
        </w:tc>
        <w:tc>
          <w:tcPr>
            <w:tcW w:w="247" w:type="pct"/>
            <w:tcBorders>
              <w:tl2br w:val="nil"/>
              <w:tr2bl w:val="nil"/>
            </w:tcBorders>
            <w:vAlign w:val="center"/>
          </w:tcPr>
          <w:p w14:paraId="28B7AC6C">
            <w:pPr>
              <w:pStyle w:val="240"/>
              <w:rPr>
                <w:rFonts w:hint="default"/>
              </w:rPr>
            </w:pPr>
            <w:r>
              <w:t>否</w:t>
            </w:r>
          </w:p>
        </w:tc>
        <w:tc>
          <w:tcPr>
            <w:tcW w:w="373" w:type="pct"/>
            <w:tcBorders>
              <w:tl2br w:val="nil"/>
              <w:tr2bl w:val="nil"/>
            </w:tcBorders>
            <w:vAlign w:val="center"/>
          </w:tcPr>
          <w:p w14:paraId="295E7BA2">
            <w:pPr>
              <w:pStyle w:val="240"/>
              <w:rPr>
                <w:rFonts w:hint="default"/>
              </w:rPr>
            </w:pPr>
            <w:r>
              <w:t>0.65</w:t>
            </w:r>
          </w:p>
        </w:tc>
        <w:tc>
          <w:tcPr>
            <w:tcW w:w="427" w:type="pct"/>
            <w:tcBorders>
              <w:tl2br w:val="nil"/>
              <w:tr2bl w:val="nil"/>
            </w:tcBorders>
            <w:vAlign w:val="center"/>
          </w:tcPr>
          <w:p w14:paraId="28B9CBDF">
            <w:pPr>
              <w:pStyle w:val="240"/>
              <w:rPr>
                <w:rFonts w:hint="default"/>
              </w:rPr>
            </w:pPr>
            <w:r>
              <w:t>0.325</w:t>
            </w:r>
          </w:p>
        </w:tc>
        <w:tc>
          <w:tcPr>
            <w:tcW w:w="238" w:type="pct"/>
            <w:tcBorders>
              <w:tl2br w:val="nil"/>
              <w:tr2bl w:val="nil"/>
            </w:tcBorders>
            <w:vAlign w:val="center"/>
          </w:tcPr>
          <w:p w14:paraId="7ACEF191">
            <w:pPr>
              <w:pStyle w:val="240"/>
              <w:rPr>
                <w:rFonts w:hint="default"/>
              </w:rPr>
            </w:pPr>
            <w:r>
              <w:t>否</w:t>
            </w:r>
          </w:p>
        </w:tc>
        <w:tc>
          <w:tcPr>
            <w:tcW w:w="347" w:type="pct"/>
            <w:tcBorders>
              <w:tl2br w:val="nil"/>
              <w:tr2bl w:val="nil"/>
            </w:tcBorders>
            <w:vAlign w:val="center"/>
          </w:tcPr>
          <w:p w14:paraId="7016336C">
            <w:pPr>
              <w:pStyle w:val="240"/>
              <w:rPr>
                <w:rFonts w:hint="default"/>
              </w:rPr>
            </w:pPr>
            <w:r>
              <w:t>0.66</w:t>
            </w:r>
          </w:p>
        </w:tc>
        <w:tc>
          <w:tcPr>
            <w:tcW w:w="436" w:type="pct"/>
            <w:tcBorders>
              <w:tl2br w:val="nil"/>
              <w:tr2bl w:val="nil"/>
            </w:tcBorders>
            <w:vAlign w:val="center"/>
          </w:tcPr>
          <w:p w14:paraId="1EBF97DE">
            <w:pPr>
              <w:pStyle w:val="240"/>
              <w:rPr>
                <w:rFonts w:hint="default"/>
              </w:rPr>
            </w:pPr>
            <w:r>
              <w:t>0.330</w:t>
            </w:r>
          </w:p>
        </w:tc>
        <w:tc>
          <w:tcPr>
            <w:tcW w:w="264" w:type="pct"/>
            <w:tcBorders>
              <w:tl2br w:val="nil"/>
              <w:tr2bl w:val="nil"/>
            </w:tcBorders>
            <w:vAlign w:val="center"/>
          </w:tcPr>
          <w:p w14:paraId="3731ED33">
            <w:pPr>
              <w:pStyle w:val="240"/>
              <w:rPr>
                <w:rFonts w:hint="default"/>
              </w:rPr>
            </w:pPr>
            <w:r>
              <w:t>否</w:t>
            </w:r>
          </w:p>
        </w:tc>
        <w:tc>
          <w:tcPr>
            <w:tcW w:w="347" w:type="pct"/>
            <w:tcBorders>
              <w:tl2br w:val="nil"/>
              <w:tr2bl w:val="nil"/>
            </w:tcBorders>
            <w:vAlign w:val="center"/>
          </w:tcPr>
          <w:p w14:paraId="1165974B">
            <w:pPr>
              <w:pStyle w:val="240"/>
              <w:rPr>
                <w:rFonts w:hint="default"/>
              </w:rPr>
            </w:pPr>
            <w:r>
              <w:t>0.61</w:t>
            </w:r>
          </w:p>
        </w:tc>
        <w:tc>
          <w:tcPr>
            <w:tcW w:w="427" w:type="pct"/>
            <w:tcBorders>
              <w:tl2br w:val="nil"/>
              <w:tr2bl w:val="nil"/>
            </w:tcBorders>
            <w:vAlign w:val="center"/>
          </w:tcPr>
          <w:p w14:paraId="0169E2F4">
            <w:pPr>
              <w:pStyle w:val="240"/>
              <w:rPr>
                <w:rFonts w:hint="default"/>
              </w:rPr>
            </w:pPr>
            <w:r>
              <w:t>0.305</w:t>
            </w:r>
          </w:p>
        </w:tc>
        <w:tc>
          <w:tcPr>
            <w:tcW w:w="289" w:type="pct"/>
            <w:tcBorders>
              <w:tl2br w:val="nil"/>
              <w:tr2bl w:val="nil"/>
            </w:tcBorders>
            <w:vAlign w:val="center"/>
          </w:tcPr>
          <w:p w14:paraId="563461C9">
            <w:pPr>
              <w:pStyle w:val="240"/>
              <w:rPr>
                <w:rFonts w:hint="default"/>
              </w:rPr>
            </w:pPr>
            <w:r>
              <w:t>否</w:t>
            </w:r>
          </w:p>
        </w:tc>
      </w:tr>
      <w:tr w14:paraId="52158F3C">
        <w:tblPrEx>
          <w:tblBorders>
            <w:top w:val="single" w:color="auto" w:sz="12" w:space="0"/>
            <w:left w:val="single" w:color="auto" w:sz="12" w:space="0"/>
            <w:bottom w:val="single" w:color="auto" w:sz="12" w:space="0"/>
            <w:right w:val="single" w:color="auto" w:sz="12" w:space="0"/>
            <w:insideH w:val="single" w:color="auto" w:sz="2" w:space="0"/>
            <w:insideV w:val="single" w:color="auto" w:sz="4" w:space="0"/>
          </w:tblBorders>
          <w:tblCellMar>
            <w:top w:w="0" w:type="dxa"/>
            <w:left w:w="108" w:type="dxa"/>
            <w:bottom w:w="0" w:type="dxa"/>
            <w:right w:w="108" w:type="dxa"/>
          </w:tblCellMar>
        </w:tblPrEx>
        <w:trPr>
          <w:trHeight w:val="448" w:hRule="exact"/>
        </w:trPr>
        <w:tc>
          <w:tcPr>
            <w:tcW w:w="249" w:type="pct"/>
            <w:vMerge w:val="continue"/>
            <w:tcBorders>
              <w:tl2br w:val="nil"/>
              <w:tr2bl w:val="nil"/>
            </w:tcBorders>
            <w:vAlign w:val="center"/>
          </w:tcPr>
          <w:p w14:paraId="184AE88A">
            <w:pPr>
              <w:pStyle w:val="240"/>
              <w:rPr>
                <w:rFonts w:hint="default"/>
              </w:rPr>
            </w:pPr>
          </w:p>
        </w:tc>
        <w:tc>
          <w:tcPr>
            <w:tcW w:w="603" w:type="pct"/>
            <w:tcBorders>
              <w:tl2br w:val="nil"/>
              <w:tr2bl w:val="nil"/>
            </w:tcBorders>
            <w:vAlign w:val="center"/>
          </w:tcPr>
          <w:p w14:paraId="0CC7A857">
            <w:pPr>
              <w:pStyle w:val="240"/>
              <w:rPr>
                <w:rFonts w:hint="default"/>
              </w:rPr>
            </w:pPr>
            <w:r>
              <w:t>2025.6.7</w:t>
            </w:r>
          </w:p>
        </w:tc>
        <w:tc>
          <w:tcPr>
            <w:tcW w:w="325" w:type="pct"/>
            <w:tcBorders>
              <w:tl2br w:val="nil"/>
              <w:tr2bl w:val="nil"/>
            </w:tcBorders>
            <w:vAlign w:val="center"/>
          </w:tcPr>
          <w:p w14:paraId="6291B98A">
            <w:pPr>
              <w:pStyle w:val="240"/>
              <w:rPr>
                <w:rFonts w:hint="default"/>
              </w:rPr>
            </w:pPr>
            <w:r>
              <w:t>0.65</w:t>
            </w:r>
          </w:p>
        </w:tc>
        <w:tc>
          <w:tcPr>
            <w:tcW w:w="427" w:type="pct"/>
            <w:tcBorders>
              <w:tl2br w:val="nil"/>
              <w:tr2bl w:val="nil"/>
            </w:tcBorders>
            <w:vAlign w:val="center"/>
          </w:tcPr>
          <w:p w14:paraId="0B87DC38">
            <w:pPr>
              <w:pStyle w:val="240"/>
              <w:rPr>
                <w:rFonts w:hint="default"/>
              </w:rPr>
            </w:pPr>
            <w:r>
              <w:t>0.325</w:t>
            </w:r>
          </w:p>
        </w:tc>
        <w:tc>
          <w:tcPr>
            <w:tcW w:w="247" w:type="pct"/>
            <w:tcBorders>
              <w:tl2br w:val="nil"/>
              <w:tr2bl w:val="nil"/>
            </w:tcBorders>
            <w:vAlign w:val="center"/>
          </w:tcPr>
          <w:p w14:paraId="76181832">
            <w:pPr>
              <w:pStyle w:val="240"/>
              <w:rPr>
                <w:rFonts w:hint="default"/>
              </w:rPr>
            </w:pPr>
            <w:r>
              <w:t>否</w:t>
            </w:r>
          </w:p>
        </w:tc>
        <w:tc>
          <w:tcPr>
            <w:tcW w:w="373" w:type="pct"/>
            <w:tcBorders>
              <w:tl2br w:val="nil"/>
              <w:tr2bl w:val="nil"/>
            </w:tcBorders>
            <w:vAlign w:val="center"/>
          </w:tcPr>
          <w:p w14:paraId="15653DCA">
            <w:pPr>
              <w:pStyle w:val="240"/>
              <w:rPr>
                <w:rFonts w:hint="default"/>
              </w:rPr>
            </w:pPr>
            <w:r>
              <w:t>0.65</w:t>
            </w:r>
          </w:p>
        </w:tc>
        <w:tc>
          <w:tcPr>
            <w:tcW w:w="427" w:type="pct"/>
            <w:tcBorders>
              <w:tl2br w:val="nil"/>
              <w:tr2bl w:val="nil"/>
            </w:tcBorders>
            <w:vAlign w:val="center"/>
          </w:tcPr>
          <w:p w14:paraId="6800192A">
            <w:pPr>
              <w:pStyle w:val="240"/>
              <w:rPr>
                <w:rFonts w:hint="default"/>
              </w:rPr>
            </w:pPr>
            <w:r>
              <w:t>0.325</w:t>
            </w:r>
          </w:p>
        </w:tc>
        <w:tc>
          <w:tcPr>
            <w:tcW w:w="238" w:type="pct"/>
            <w:tcBorders>
              <w:tl2br w:val="nil"/>
              <w:tr2bl w:val="nil"/>
            </w:tcBorders>
            <w:vAlign w:val="center"/>
          </w:tcPr>
          <w:p w14:paraId="66D25598">
            <w:pPr>
              <w:pStyle w:val="240"/>
              <w:rPr>
                <w:rFonts w:hint="default"/>
              </w:rPr>
            </w:pPr>
            <w:r>
              <w:t>否</w:t>
            </w:r>
          </w:p>
        </w:tc>
        <w:tc>
          <w:tcPr>
            <w:tcW w:w="347" w:type="pct"/>
            <w:tcBorders>
              <w:tl2br w:val="nil"/>
              <w:tr2bl w:val="nil"/>
            </w:tcBorders>
            <w:vAlign w:val="center"/>
          </w:tcPr>
          <w:p w14:paraId="2E2A934B">
            <w:pPr>
              <w:pStyle w:val="240"/>
              <w:rPr>
                <w:rFonts w:hint="default"/>
              </w:rPr>
            </w:pPr>
            <w:r>
              <w:t>0.67</w:t>
            </w:r>
          </w:p>
        </w:tc>
        <w:tc>
          <w:tcPr>
            <w:tcW w:w="436" w:type="pct"/>
            <w:tcBorders>
              <w:tl2br w:val="nil"/>
              <w:tr2bl w:val="nil"/>
            </w:tcBorders>
            <w:vAlign w:val="center"/>
          </w:tcPr>
          <w:p w14:paraId="32616D61">
            <w:pPr>
              <w:pStyle w:val="240"/>
              <w:rPr>
                <w:rFonts w:hint="default"/>
              </w:rPr>
            </w:pPr>
            <w:r>
              <w:t>0.335</w:t>
            </w:r>
          </w:p>
        </w:tc>
        <w:tc>
          <w:tcPr>
            <w:tcW w:w="264" w:type="pct"/>
            <w:tcBorders>
              <w:tl2br w:val="nil"/>
              <w:tr2bl w:val="nil"/>
            </w:tcBorders>
            <w:vAlign w:val="center"/>
          </w:tcPr>
          <w:p w14:paraId="5EADE081">
            <w:pPr>
              <w:pStyle w:val="240"/>
              <w:rPr>
                <w:rFonts w:hint="default"/>
              </w:rPr>
            </w:pPr>
            <w:r>
              <w:t>否</w:t>
            </w:r>
          </w:p>
        </w:tc>
        <w:tc>
          <w:tcPr>
            <w:tcW w:w="347" w:type="pct"/>
            <w:tcBorders>
              <w:tl2br w:val="nil"/>
              <w:tr2bl w:val="nil"/>
            </w:tcBorders>
            <w:vAlign w:val="center"/>
          </w:tcPr>
          <w:p w14:paraId="4F8A8C87">
            <w:pPr>
              <w:pStyle w:val="240"/>
              <w:rPr>
                <w:rFonts w:hint="default"/>
              </w:rPr>
            </w:pPr>
            <w:r>
              <w:t>0.69</w:t>
            </w:r>
          </w:p>
        </w:tc>
        <w:tc>
          <w:tcPr>
            <w:tcW w:w="427" w:type="pct"/>
            <w:tcBorders>
              <w:tl2br w:val="nil"/>
              <w:tr2bl w:val="nil"/>
            </w:tcBorders>
            <w:vAlign w:val="center"/>
          </w:tcPr>
          <w:p w14:paraId="113E04D1">
            <w:pPr>
              <w:pStyle w:val="240"/>
              <w:rPr>
                <w:rFonts w:hint="default"/>
              </w:rPr>
            </w:pPr>
            <w:r>
              <w:t>0.345</w:t>
            </w:r>
          </w:p>
        </w:tc>
        <w:tc>
          <w:tcPr>
            <w:tcW w:w="289" w:type="pct"/>
            <w:tcBorders>
              <w:tl2br w:val="nil"/>
              <w:tr2bl w:val="nil"/>
            </w:tcBorders>
            <w:vAlign w:val="center"/>
          </w:tcPr>
          <w:p w14:paraId="134B7D60">
            <w:pPr>
              <w:pStyle w:val="240"/>
              <w:rPr>
                <w:rFonts w:hint="default"/>
              </w:rPr>
            </w:pPr>
            <w:r>
              <w:t>否</w:t>
            </w:r>
          </w:p>
        </w:tc>
      </w:tr>
      <w:tr w14:paraId="11E42EA9">
        <w:tblPrEx>
          <w:tblBorders>
            <w:top w:val="single" w:color="auto" w:sz="12" w:space="0"/>
            <w:left w:val="single" w:color="auto" w:sz="12" w:space="0"/>
            <w:bottom w:val="single" w:color="auto" w:sz="12" w:space="0"/>
            <w:right w:val="single" w:color="auto" w:sz="12" w:space="0"/>
            <w:insideH w:val="single" w:color="auto" w:sz="2" w:space="0"/>
            <w:insideV w:val="single" w:color="auto" w:sz="4" w:space="0"/>
          </w:tblBorders>
          <w:tblCellMar>
            <w:top w:w="0" w:type="dxa"/>
            <w:left w:w="108" w:type="dxa"/>
            <w:bottom w:w="0" w:type="dxa"/>
            <w:right w:w="108" w:type="dxa"/>
          </w:tblCellMar>
        </w:tblPrEx>
        <w:trPr>
          <w:trHeight w:val="448" w:hRule="exact"/>
        </w:trPr>
        <w:tc>
          <w:tcPr>
            <w:tcW w:w="249" w:type="pct"/>
            <w:vMerge w:val="continue"/>
            <w:tcBorders>
              <w:tl2br w:val="nil"/>
              <w:tr2bl w:val="nil"/>
            </w:tcBorders>
            <w:vAlign w:val="center"/>
          </w:tcPr>
          <w:p w14:paraId="2024D5F4">
            <w:pPr>
              <w:pStyle w:val="240"/>
              <w:rPr>
                <w:rFonts w:hint="default"/>
              </w:rPr>
            </w:pPr>
          </w:p>
        </w:tc>
        <w:tc>
          <w:tcPr>
            <w:tcW w:w="603" w:type="pct"/>
            <w:tcBorders>
              <w:tl2br w:val="nil"/>
              <w:tr2bl w:val="nil"/>
            </w:tcBorders>
            <w:vAlign w:val="center"/>
          </w:tcPr>
          <w:p w14:paraId="4030AD5C">
            <w:pPr>
              <w:pStyle w:val="240"/>
              <w:rPr>
                <w:rFonts w:hint="default"/>
              </w:rPr>
            </w:pPr>
            <w:r>
              <w:t>2025.6.8</w:t>
            </w:r>
          </w:p>
        </w:tc>
        <w:tc>
          <w:tcPr>
            <w:tcW w:w="325" w:type="pct"/>
            <w:tcBorders>
              <w:tl2br w:val="nil"/>
              <w:tr2bl w:val="nil"/>
            </w:tcBorders>
            <w:vAlign w:val="center"/>
          </w:tcPr>
          <w:p w14:paraId="26777359">
            <w:pPr>
              <w:pStyle w:val="240"/>
              <w:rPr>
                <w:rFonts w:hint="default"/>
              </w:rPr>
            </w:pPr>
            <w:r>
              <w:t>0.70</w:t>
            </w:r>
          </w:p>
        </w:tc>
        <w:tc>
          <w:tcPr>
            <w:tcW w:w="427" w:type="pct"/>
            <w:tcBorders>
              <w:tl2br w:val="nil"/>
              <w:tr2bl w:val="nil"/>
            </w:tcBorders>
            <w:vAlign w:val="center"/>
          </w:tcPr>
          <w:p w14:paraId="4F90D767">
            <w:pPr>
              <w:pStyle w:val="240"/>
              <w:rPr>
                <w:rFonts w:hint="default"/>
              </w:rPr>
            </w:pPr>
            <w:r>
              <w:t>0.350</w:t>
            </w:r>
          </w:p>
        </w:tc>
        <w:tc>
          <w:tcPr>
            <w:tcW w:w="247" w:type="pct"/>
            <w:tcBorders>
              <w:tl2br w:val="nil"/>
              <w:tr2bl w:val="nil"/>
            </w:tcBorders>
            <w:vAlign w:val="center"/>
          </w:tcPr>
          <w:p w14:paraId="02A45B7F">
            <w:pPr>
              <w:pStyle w:val="240"/>
              <w:rPr>
                <w:rFonts w:hint="default"/>
              </w:rPr>
            </w:pPr>
            <w:r>
              <w:t>否</w:t>
            </w:r>
          </w:p>
        </w:tc>
        <w:tc>
          <w:tcPr>
            <w:tcW w:w="373" w:type="pct"/>
            <w:tcBorders>
              <w:tl2br w:val="nil"/>
              <w:tr2bl w:val="nil"/>
            </w:tcBorders>
            <w:vAlign w:val="center"/>
          </w:tcPr>
          <w:p w14:paraId="7656B8C7">
            <w:pPr>
              <w:pStyle w:val="240"/>
              <w:rPr>
                <w:rFonts w:hint="default"/>
              </w:rPr>
            </w:pPr>
            <w:r>
              <w:t>0.69</w:t>
            </w:r>
          </w:p>
        </w:tc>
        <w:tc>
          <w:tcPr>
            <w:tcW w:w="427" w:type="pct"/>
            <w:tcBorders>
              <w:tl2br w:val="nil"/>
              <w:tr2bl w:val="nil"/>
            </w:tcBorders>
            <w:vAlign w:val="center"/>
          </w:tcPr>
          <w:p w14:paraId="77FB997C">
            <w:pPr>
              <w:pStyle w:val="240"/>
              <w:rPr>
                <w:rFonts w:hint="default"/>
              </w:rPr>
            </w:pPr>
            <w:r>
              <w:t>0.345</w:t>
            </w:r>
          </w:p>
        </w:tc>
        <w:tc>
          <w:tcPr>
            <w:tcW w:w="238" w:type="pct"/>
            <w:tcBorders>
              <w:tl2br w:val="nil"/>
              <w:tr2bl w:val="nil"/>
            </w:tcBorders>
            <w:vAlign w:val="center"/>
          </w:tcPr>
          <w:p w14:paraId="0A3C303F">
            <w:pPr>
              <w:pStyle w:val="240"/>
              <w:rPr>
                <w:rFonts w:hint="default"/>
              </w:rPr>
            </w:pPr>
            <w:r>
              <w:t>否</w:t>
            </w:r>
          </w:p>
        </w:tc>
        <w:tc>
          <w:tcPr>
            <w:tcW w:w="347" w:type="pct"/>
            <w:tcBorders>
              <w:tl2br w:val="nil"/>
              <w:tr2bl w:val="nil"/>
            </w:tcBorders>
            <w:vAlign w:val="center"/>
          </w:tcPr>
          <w:p w14:paraId="4213A0A7">
            <w:pPr>
              <w:pStyle w:val="240"/>
              <w:rPr>
                <w:rFonts w:hint="default"/>
              </w:rPr>
            </w:pPr>
            <w:r>
              <w:t>0.69</w:t>
            </w:r>
          </w:p>
        </w:tc>
        <w:tc>
          <w:tcPr>
            <w:tcW w:w="436" w:type="pct"/>
            <w:tcBorders>
              <w:tl2br w:val="nil"/>
              <w:tr2bl w:val="nil"/>
            </w:tcBorders>
            <w:vAlign w:val="center"/>
          </w:tcPr>
          <w:p w14:paraId="0606F040">
            <w:pPr>
              <w:pStyle w:val="240"/>
              <w:rPr>
                <w:rFonts w:hint="default"/>
              </w:rPr>
            </w:pPr>
            <w:r>
              <w:t>0.345</w:t>
            </w:r>
          </w:p>
        </w:tc>
        <w:tc>
          <w:tcPr>
            <w:tcW w:w="264" w:type="pct"/>
            <w:tcBorders>
              <w:tl2br w:val="nil"/>
              <w:tr2bl w:val="nil"/>
            </w:tcBorders>
            <w:vAlign w:val="center"/>
          </w:tcPr>
          <w:p w14:paraId="533B88F6">
            <w:pPr>
              <w:pStyle w:val="240"/>
              <w:rPr>
                <w:rFonts w:hint="default"/>
              </w:rPr>
            </w:pPr>
            <w:r>
              <w:t>否</w:t>
            </w:r>
          </w:p>
        </w:tc>
        <w:tc>
          <w:tcPr>
            <w:tcW w:w="347" w:type="pct"/>
            <w:tcBorders>
              <w:tl2br w:val="nil"/>
              <w:tr2bl w:val="nil"/>
            </w:tcBorders>
            <w:vAlign w:val="center"/>
          </w:tcPr>
          <w:p w14:paraId="2E022AAC">
            <w:pPr>
              <w:pStyle w:val="240"/>
              <w:rPr>
                <w:rFonts w:hint="default"/>
              </w:rPr>
            </w:pPr>
            <w:r>
              <w:t>0.73</w:t>
            </w:r>
          </w:p>
        </w:tc>
        <w:tc>
          <w:tcPr>
            <w:tcW w:w="427" w:type="pct"/>
            <w:tcBorders>
              <w:tl2br w:val="nil"/>
              <w:tr2bl w:val="nil"/>
            </w:tcBorders>
            <w:vAlign w:val="center"/>
          </w:tcPr>
          <w:p w14:paraId="242BD224">
            <w:pPr>
              <w:pStyle w:val="240"/>
              <w:rPr>
                <w:rFonts w:hint="default"/>
              </w:rPr>
            </w:pPr>
            <w:r>
              <w:t>0.365</w:t>
            </w:r>
          </w:p>
        </w:tc>
        <w:tc>
          <w:tcPr>
            <w:tcW w:w="289" w:type="pct"/>
            <w:tcBorders>
              <w:tl2br w:val="nil"/>
              <w:tr2bl w:val="nil"/>
            </w:tcBorders>
            <w:vAlign w:val="center"/>
          </w:tcPr>
          <w:p w14:paraId="402977C2">
            <w:pPr>
              <w:pStyle w:val="240"/>
              <w:rPr>
                <w:rFonts w:hint="default"/>
              </w:rPr>
            </w:pPr>
            <w:r>
              <w:t>否</w:t>
            </w:r>
          </w:p>
        </w:tc>
      </w:tr>
      <w:tr w14:paraId="2551C7CE">
        <w:tblPrEx>
          <w:tblBorders>
            <w:top w:val="single" w:color="auto" w:sz="12" w:space="0"/>
            <w:left w:val="single" w:color="auto" w:sz="12" w:space="0"/>
            <w:bottom w:val="single" w:color="auto" w:sz="12" w:space="0"/>
            <w:right w:val="single" w:color="auto" w:sz="12" w:space="0"/>
            <w:insideH w:val="single" w:color="auto" w:sz="2" w:space="0"/>
            <w:insideV w:val="single" w:color="auto" w:sz="4" w:space="0"/>
          </w:tblBorders>
          <w:tblCellMar>
            <w:top w:w="0" w:type="dxa"/>
            <w:left w:w="108" w:type="dxa"/>
            <w:bottom w:w="0" w:type="dxa"/>
            <w:right w:w="108" w:type="dxa"/>
          </w:tblCellMar>
        </w:tblPrEx>
        <w:trPr>
          <w:trHeight w:val="448" w:hRule="exact"/>
        </w:trPr>
        <w:tc>
          <w:tcPr>
            <w:tcW w:w="249" w:type="pct"/>
            <w:vMerge w:val="continue"/>
            <w:tcBorders>
              <w:tl2br w:val="nil"/>
              <w:tr2bl w:val="nil"/>
            </w:tcBorders>
            <w:vAlign w:val="center"/>
          </w:tcPr>
          <w:p w14:paraId="79DED36C">
            <w:pPr>
              <w:pStyle w:val="240"/>
              <w:rPr>
                <w:rFonts w:hint="default"/>
              </w:rPr>
            </w:pPr>
          </w:p>
        </w:tc>
        <w:tc>
          <w:tcPr>
            <w:tcW w:w="603" w:type="pct"/>
            <w:tcBorders>
              <w:tl2br w:val="nil"/>
              <w:tr2bl w:val="nil"/>
            </w:tcBorders>
            <w:vAlign w:val="center"/>
          </w:tcPr>
          <w:p w14:paraId="7461C1C1">
            <w:pPr>
              <w:pStyle w:val="240"/>
              <w:rPr>
                <w:rFonts w:hint="default"/>
              </w:rPr>
            </w:pPr>
            <w:r>
              <w:t>2025.6.9</w:t>
            </w:r>
          </w:p>
        </w:tc>
        <w:tc>
          <w:tcPr>
            <w:tcW w:w="325" w:type="pct"/>
            <w:tcBorders>
              <w:tl2br w:val="nil"/>
              <w:tr2bl w:val="nil"/>
            </w:tcBorders>
            <w:vAlign w:val="center"/>
          </w:tcPr>
          <w:p w14:paraId="6552FC20">
            <w:pPr>
              <w:pStyle w:val="240"/>
              <w:rPr>
                <w:rFonts w:hint="default"/>
              </w:rPr>
            </w:pPr>
            <w:r>
              <w:t>0.69</w:t>
            </w:r>
          </w:p>
        </w:tc>
        <w:tc>
          <w:tcPr>
            <w:tcW w:w="427" w:type="pct"/>
            <w:tcBorders>
              <w:tl2br w:val="nil"/>
              <w:tr2bl w:val="nil"/>
            </w:tcBorders>
            <w:vAlign w:val="center"/>
          </w:tcPr>
          <w:p w14:paraId="3B9F50EF">
            <w:pPr>
              <w:pStyle w:val="240"/>
              <w:rPr>
                <w:rFonts w:hint="default"/>
              </w:rPr>
            </w:pPr>
            <w:r>
              <w:t>0.345</w:t>
            </w:r>
          </w:p>
        </w:tc>
        <w:tc>
          <w:tcPr>
            <w:tcW w:w="247" w:type="pct"/>
            <w:tcBorders>
              <w:tl2br w:val="nil"/>
              <w:tr2bl w:val="nil"/>
            </w:tcBorders>
            <w:vAlign w:val="center"/>
          </w:tcPr>
          <w:p w14:paraId="69F0BD95">
            <w:pPr>
              <w:pStyle w:val="240"/>
              <w:rPr>
                <w:rFonts w:hint="default"/>
              </w:rPr>
            </w:pPr>
            <w:r>
              <w:t>否</w:t>
            </w:r>
          </w:p>
        </w:tc>
        <w:tc>
          <w:tcPr>
            <w:tcW w:w="373" w:type="pct"/>
            <w:tcBorders>
              <w:tl2br w:val="nil"/>
              <w:tr2bl w:val="nil"/>
            </w:tcBorders>
            <w:vAlign w:val="center"/>
          </w:tcPr>
          <w:p w14:paraId="53A5F863">
            <w:pPr>
              <w:pStyle w:val="240"/>
              <w:rPr>
                <w:rFonts w:hint="default"/>
              </w:rPr>
            </w:pPr>
            <w:r>
              <w:t>0.71</w:t>
            </w:r>
          </w:p>
        </w:tc>
        <w:tc>
          <w:tcPr>
            <w:tcW w:w="427" w:type="pct"/>
            <w:tcBorders>
              <w:tl2br w:val="nil"/>
              <w:tr2bl w:val="nil"/>
            </w:tcBorders>
            <w:vAlign w:val="center"/>
          </w:tcPr>
          <w:p w14:paraId="2136C017">
            <w:pPr>
              <w:pStyle w:val="240"/>
              <w:rPr>
                <w:rFonts w:hint="default"/>
              </w:rPr>
            </w:pPr>
            <w:r>
              <w:t>0.355</w:t>
            </w:r>
          </w:p>
        </w:tc>
        <w:tc>
          <w:tcPr>
            <w:tcW w:w="238" w:type="pct"/>
            <w:tcBorders>
              <w:tl2br w:val="nil"/>
              <w:tr2bl w:val="nil"/>
            </w:tcBorders>
            <w:vAlign w:val="center"/>
          </w:tcPr>
          <w:p w14:paraId="4C73E8D4">
            <w:pPr>
              <w:pStyle w:val="240"/>
              <w:rPr>
                <w:rFonts w:hint="default"/>
              </w:rPr>
            </w:pPr>
            <w:r>
              <w:t>否</w:t>
            </w:r>
          </w:p>
        </w:tc>
        <w:tc>
          <w:tcPr>
            <w:tcW w:w="347" w:type="pct"/>
            <w:tcBorders>
              <w:tl2br w:val="nil"/>
              <w:tr2bl w:val="nil"/>
            </w:tcBorders>
            <w:vAlign w:val="center"/>
          </w:tcPr>
          <w:p w14:paraId="15B7E8E1">
            <w:pPr>
              <w:pStyle w:val="240"/>
              <w:rPr>
                <w:rFonts w:hint="default"/>
              </w:rPr>
            </w:pPr>
            <w:r>
              <w:t>0.67</w:t>
            </w:r>
          </w:p>
        </w:tc>
        <w:tc>
          <w:tcPr>
            <w:tcW w:w="436" w:type="pct"/>
            <w:tcBorders>
              <w:tl2br w:val="nil"/>
              <w:tr2bl w:val="nil"/>
            </w:tcBorders>
            <w:vAlign w:val="center"/>
          </w:tcPr>
          <w:p w14:paraId="4B6DCDBD">
            <w:pPr>
              <w:pStyle w:val="240"/>
              <w:rPr>
                <w:rFonts w:hint="default"/>
              </w:rPr>
            </w:pPr>
            <w:r>
              <w:t>0.335</w:t>
            </w:r>
          </w:p>
        </w:tc>
        <w:tc>
          <w:tcPr>
            <w:tcW w:w="264" w:type="pct"/>
            <w:tcBorders>
              <w:tl2br w:val="nil"/>
              <w:tr2bl w:val="nil"/>
            </w:tcBorders>
            <w:vAlign w:val="center"/>
          </w:tcPr>
          <w:p w14:paraId="4E7AA8DF">
            <w:pPr>
              <w:pStyle w:val="240"/>
              <w:rPr>
                <w:rFonts w:hint="default"/>
              </w:rPr>
            </w:pPr>
            <w:r>
              <w:t>否</w:t>
            </w:r>
          </w:p>
        </w:tc>
        <w:tc>
          <w:tcPr>
            <w:tcW w:w="347" w:type="pct"/>
            <w:tcBorders>
              <w:tl2br w:val="nil"/>
              <w:tr2bl w:val="nil"/>
            </w:tcBorders>
            <w:vAlign w:val="center"/>
          </w:tcPr>
          <w:p w14:paraId="52AD4B5A">
            <w:pPr>
              <w:pStyle w:val="240"/>
              <w:rPr>
                <w:rFonts w:hint="default"/>
              </w:rPr>
            </w:pPr>
            <w:r>
              <w:t>0.68</w:t>
            </w:r>
          </w:p>
        </w:tc>
        <w:tc>
          <w:tcPr>
            <w:tcW w:w="427" w:type="pct"/>
            <w:tcBorders>
              <w:tl2br w:val="nil"/>
              <w:tr2bl w:val="nil"/>
            </w:tcBorders>
            <w:vAlign w:val="center"/>
          </w:tcPr>
          <w:p w14:paraId="5D309B74">
            <w:pPr>
              <w:pStyle w:val="240"/>
              <w:rPr>
                <w:rFonts w:hint="default"/>
              </w:rPr>
            </w:pPr>
            <w:r>
              <w:t>0.340</w:t>
            </w:r>
          </w:p>
        </w:tc>
        <w:tc>
          <w:tcPr>
            <w:tcW w:w="289" w:type="pct"/>
            <w:tcBorders>
              <w:tl2br w:val="nil"/>
              <w:tr2bl w:val="nil"/>
            </w:tcBorders>
            <w:vAlign w:val="center"/>
          </w:tcPr>
          <w:p w14:paraId="2CC8903A">
            <w:pPr>
              <w:pStyle w:val="240"/>
              <w:rPr>
                <w:rFonts w:hint="default"/>
              </w:rPr>
            </w:pPr>
            <w:r>
              <w:t>否</w:t>
            </w:r>
          </w:p>
        </w:tc>
      </w:tr>
      <w:tr w14:paraId="50735C68">
        <w:tblPrEx>
          <w:tblBorders>
            <w:top w:val="single" w:color="auto" w:sz="12" w:space="0"/>
            <w:left w:val="single" w:color="auto" w:sz="12" w:space="0"/>
            <w:bottom w:val="single" w:color="auto" w:sz="12" w:space="0"/>
            <w:right w:val="single" w:color="auto" w:sz="12" w:space="0"/>
            <w:insideH w:val="single" w:color="auto" w:sz="2" w:space="0"/>
            <w:insideV w:val="single" w:color="auto" w:sz="4" w:space="0"/>
          </w:tblBorders>
          <w:tblCellMar>
            <w:top w:w="0" w:type="dxa"/>
            <w:left w:w="108" w:type="dxa"/>
            <w:bottom w:w="0" w:type="dxa"/>
            <w:right w:w="108" w:type="dxa"/>
          </w:tblCellMar>
        </w:tblPrEx>
        <w:trPr>
          <w:trHeight w:val="448" w:hRule="exact"/>
        </w:trPr>
        <w:tc>
          <w:tcPr>
            <w:tcW w:w="249" w:type="pct"/>
            <w:vMerge w:val="continue"/>
            <w:tcBorders>
              <w:tl2br w:val="nil"/>
              <w:tr2bl w:val="nil"/>
            </w:tcBorders>
            <w:vAlign w:val="center"/>
          </w:tcPr>
          <w:p w14:paraId="4D6AEF4B">
            <w:pPr>
              <w:pStyle w:val="240"/>
              <w:rPr>
                <w:rFonts w:hint="default"/>
              </w:rPr>
            </w:pPr>
          </w:p>
        </w:tc>
        <w:tc>
          <w:tcPr>
            <w:tcW w:w="603" w:type="pct"/>
            <w:tcBorders>
              <w:tl2br w:val="nil"/>
              <w:tr2bl w:val="nil"/>
            </w:tcBorders>
            <w:vAlign w:val="center"/>
          </w:tcPr>
          <w:p w14:paraId="1A6AF8B3">
            <w:pPr>
              <w:pStyle w:val="240"/>
              <w:rPr>
                <w:rFonts w:hint="default"/>
              </w:rPr>
            </w:pPr>
            <w:r>
              <w:t>2025.6.10</w:t>
            </w:r>
          </w:p>
        </w:tc>
        <w:tc>
          <w:tcPr>
            <w:tcW w:w="325" w:type="pct"/>
            <w:tcBorders>
              <w:tl2br w:val="nil"/>
              <w:tr2bl w:val="nil"/>
            </w:tcBorders>
            <w:vAlign w:val="center"/>
          </w:tcPr>
          <w:p w14:paraId="14D3A673">
            <w:pPr>
              <w:pStyle w:val="240"/>
              <w:rPr>
                <w:rFonts w:hint="default"/>
              </w:rPr>
            </w:pPr>
            <w:r>
              <w:t>0.73</w:t>
            </w:r>
          </w:p>
        </w:tc>
        <w:tc>
          <w:tcPr>
            <w:tcW w:w="427" w:type="pct"/>
            <w:tcBorders>
              <w:tl2br w:val="nil"/>
              <w:tr2bl w:val="nil"/>
            </w:tcBorders>
            <w:vAlign w:val="center"/>
          </w:tcPr>
          <w:p w14:paraId="16A53ED4">
            <w:pPr>
              <w:pStyle w:val="240"/>
              <w:rPr>
                <w:rFonts w:hint="default"/>
              </w:rPr>
            </w:pPr>
            <w:r>
              <w:t>0.365</w:t>
            </w:r>
          </w:p>
        </w:tc>
        <w:tc>
          <w:tcPr>
            <w:tcW w:w="247" w:type="pct"/>
            <w:tcBorders>
              <w:tl2br w:val="nil"/>
              <w:tr2bl w:val="nil"/>
            </w:tcBorders>
            <w:vAlign w:val="center"/>
          </w:tcPr>
          <w:p w14:paraId="5C681591">
            <w:pPr>
              <w:pStyle w:val="240"/>
              <w:rPr>
                <w:rFonts w:hint="default"/>
              </w:rPr>
            </w:pPr>
            <w:r>
              <w:t>否</w:t>
            </w:r>
          </w:p>
        </w:tc>
        <w:tc>
          <w:tcPr>
            <w:tcW w:w="373" w:type="pct"/>
            <w:tcBorders>
              <w:tl2br w:val="nil"/>
              <w:tr2bl w:val="nil"/>
            </w:tcBorders>
            <w:vAlign w:val="center"/>
          </w:tcPr>
          <w:p w14:paraId="2010519D">
            <w:pPr>
              <w:pStyle w:val="240"/>
              <w:rPr>
                <w:rFonts w:hint="default"/>
              </w:rPr>
            </w:pPr>
            <w:r>
              <w:t>0.71</w:t>
            </w:r>
          </w:p>
        </w:tc>
        <w:tc>
          <w:tcPr>
            <w:tcW w:w="427" w:type="pct"/>
            <w:tcBorders>
              <w:tl2br w:val="nil"/>
              <w:tr2bl w:val="nil"/>
            </w:tcBorders>
            <w:vAlign w:val="center"/>
          </w:tcPr>
          <w:p w14:paraId="2D17CA21">
            <w:pPr>
              <w:pStyle w:val="240"/>
              <w:rPr>
                <w:rFonts w:hint="default"/>
              </w:rPr>
            </w:pPr>
            <w:r>
              <w:t>0.355</w:t>
            </w:r>
          </w:p>
        </w:tc>
        <w:tc>
          <w:tcPr>
            <w:tcW w:w="238" w:type="pct"/>
            <w:tcBorders>
              <w:tl2br w:val="nil"/>
              <w:tr2bl w:val="nil"/>
            </w:tcBorders>
            <w:vAlign w:val="center"/>
          </w:tcPr>
          <w:p w14:paraId="04B22284">
            <w:pPr>
              <w:pStyle w:val="240"/>
              <w:rPr>
                <w:rFonts w:hint="default"/>
              </w:rPr>
            </w:pPr>
            <w:r>
              <w:t>否</w:t>
            </w:r>
          </w:p>
        </w:tc>
        <w:tc>
          <w:tcPr>
            <w:tcW w:w="347" w:type="pct"/>
            <w:tcBorders>
              <w:tl2br w:val="nil"/>
              <w:tr2bl w:val="nil"/>
            </w:tcBorders>
            <w:vAlign w:val="center"/>
          </w:tcPr>
          <w:p w14:paraId="40E2E337">
            <w:pPr>
              <w:pStyle w:val="240"/>
              <w:rPr>
                <w:rFonts w:hint="default"/>
              </w:rPr>
            </w:pPr>
            <w:r>
              <w:t>0.68</w:t>
            </w:r>
          </w:p>
        </w:tc>
        <w:tc>
          <w:tcPr>
            <w:tcW w:w="436" w:type="pct"/>
            <w:tcBorders>
              <w:tl2br w:val="nil"/>
              <w:tr2bl w:val="nil"/>
            </w:tcBorders>
            <w:vAlign w:val="center"/>
          </w:tcPr>
          <w:p w14:paraId="5B3396D6">
            <w:pPr>
              <w:pStyle w:val="240"/>
              <w:rPr>
                <w:rFonts w:hint="default"/>
              </w:rPr>
            </w:pPr>
            <w:r>
              <w:t>0.340</w:t>
            </w:r>
          </w:p>
        </w:tc>
        <w:tc>
          <w:tcPr>
            <w:tcW w:w="264" w:type="pct"/>
            <w:tcBorders>
              <w:tl2br w:val="nil"/>
              <w:tr2bl w:val="nil"/>
            </w:tcBorders>
            <w:vAlign w:val="center"/>
          </w:tcPr>
          <w:p w14:paraId="652E721F">
            <w:pPr>
              <w:pStyle w:val="240"/>
              <w:rPr>
                <w:rFonts w:hint="default"/>
              </w:rPr>
            </w:pPr>
            <w:r>
              <w:t>否</w:t>
            </w:r>
          </w:p>
        </w:tc>
        <w:tc>
          <w:tcPr>
            <w:tcW w:w="347" w:type="pct"/>
            <w:tcBorders>
              <w:tl2br w:val="nil"/>
              <w:tr2bl w:val="nil"/>
            </w:tcBorders>
            <w:vAlign w:val="center"/>
          </w:tcPr>
          <w:p w14:paraId="41DCFC0F">
            <w:pPr>
              <w:pStyle w:val="240"/>
              <w:rPr>
                <w:rFonts w:hint="default"/>
              </w:rPr>
            </w:pPr>
            <w:r>
              <w:t>0.73</w:t>
            </w:r>
          </w:p>
        </w:tc>
        <w:tc>
          <w:tcPr>
            <w:tcW w:w="427" w:type="pct"/>
            <w:tcBorders>
              <w:tl2br w:val="nil"/>
              <w:tr2bl w:val="nil"/>
            </w:tcBorders>
            <w:vAlign w:val="center"/>
          </w:tcPr>
          <w:p w14:paraId="55BE9B66">
            <w:pPr>
              <w:pStyle w:val="240"/>
              <w:rPr>
                <w:rFonts w:hint="default"/>
              </w:rPr>
            </w:pPr>
            <w:r>
              <w:t>0.365</w:t>
            </w:r>
          </w:p>
        </w:tc>
        <w:tc>
          <w:tcPr>
            <w:tcW w:w="289" w:type="pct"/>
            <w:tcBorders>
              <w:tl2br w:val="nil"/>
              <w:tr2bl w:val="nil"/>
            </w:tcBorders>
            <w:vAlign w:val="center"/>
          </w:tcPr>
          <w:p w14:paraId="0C5C6AA1">
            <w:pPr>
              <w:pStyle w:val="240"/>
              <w:rPr>
                <w:rFonts w:hint="default"/>
              </w:rPr>
            </w:pPr>
            <w:r>
              <w:t>否</w:t>
            </w:r>
          </w:p>
        </w:tc>
      </w:tr>
      <w:tr w14:paraId="7B195E22">
        <w:tblPrEx>
          <w:tblBorders>
            <w:top w:val="single" w:color="auto" w:sz="12" w:space="0"/>
            <w:left w:val="single" w:color="auto" w:sz="12" w:space="0"/>
            <w:bottom w:val="single" w:color="auto" w:sz="12" w:space="0"/>
            <w:right w:val="single" w:color="auto" w:sz="12" w:space="0"/>
            <w:insideH w:val="single" w:color="auto" w:sz="2" w:space="0"/>
            <w:insideV w:val="single" w:color="auto" w:sz="4" w:space="0"/>
          </w:tblBorders>
          <w:tblCellMar>
            <w:top w:w="0" w:type="dxa"/>
            <w:left w:w="108" w:type="dxa"/>
            <w:bottom w:w="0" w:type="dxa"/>
            <w:right w:w="108" w:type="dxa"/>
          </w:tblCellMar>
        </w:tblPrEx>
        <w:trPr>
          <w:trHeight w:val="448" w:hRule="exact"/>
        </w:trPr>
        <w:tc>
          <w:tcPr>
            <w:tcW w:w="249" w:type="pct"/>
            <w:vMerge w:val="continue"/>
            <w:tcBorders>
              <w:tl2br w:val="nil"/>
              <w:tr2bl w:val="nil"/>
            </w:tcBorders>
            <w:vAlign w:val="center"/>
          </w:tcPr>
          <w:p w14:paraId="74ACEB47">
            <w:pPr>
              <w:pStyle w:val="240"/>
              <w:rPr>
                <w:rFonts w:hint="default"/>
              </w:rPr>
            </w:pPr>
          </w:p>
        </w:tc>
        <w:tc>
          <w:tcPr>
            <w:tcW w:w="603" w:type="pct"/>
            <w:tcBorders>
              <w:tl2br w:val="nil"/>
              <w:tr2bl w:val="nil"/>
            </w:tcBorders>
            <w:vAlign w:val="center"/>
          </w:tcPr>
          <w:p w14:paraId="28CAF968">
            <w:pPr>
              <w:pStyle w:val="240"/>
              <w:rPr>
                <w:rFonts w:hint="default"/>
              </w:rPr>
            </w:pPr>
            <w:r>
              <w:t>2025.6.11</w:t>
            </w:r>
          </w:p>
        </w:tc>
        <w:tc>
          <w:tcPr>
            <w:tcW w:w="325" w:type="pct"/>
            <w:tcBorders>
              <w:tl2br w:val="nil"/>
              <w:tr2bl w:val="nil"/>
            </w:tcBorders>
            <w:vAlign w:val="center"/>
          </w:tcPr>
          <w:p w14:paraId="0DCED2F1">
            <w:pPr>
              <w:pStyle w:val="240"/>
              <w:rPr>
                <w:rFonts w:hint="default"/>
              </w:rPr>
            </w:pPr>
            <w:r>
              <w:t>0.79</w:t>
            </w:r>
          </w:p>
        </w:tc>
        <w:tc>
          <w:tcPr>
            <w:tcW w:w="427" w:type="pct"/>
            <w:tcBorders>
              <w:tl2br w:val="nil"/>
              <w:tr2bl w:val="nil"/>
            </w:tcBorders>
            <w:vAlign w:val="center"/>
          </w:tcPr>
          <w:p w14:paraId="527F17F4">
            <w:pPr>
              <w:pStyle w:val="240"/>
              <w:rPr>
                <w:rFonts w:hint="default"/>
              </w:rPr>
            </w:pPr>
            <w:r>
              <w:t>0.395</w:t>
            </w:r>
          </w:p>
        </w:tc>
        <w:tc>
          <w:tcPr>
            <w:tcW w:w="247" w:type="pct"/>
            <w:tcBorders>
              <w:tl2br w:val="nil"/>
              <w:tr2bl w:val="nil"/>
            </w:tcBorders>
            <w:vAlign w:val="center"/>
          </w:tcPr>
          <w:p w14:paraId="70C6D284">
            <w:pPr>
              <w:pStyle w:val="240"/>
              <w:rPr>
                <w:rFonts w:hint="default"/>
              </w:rPr>
            </w:pPr>
            <w:r>
              <w:t>否</w:t>
            </w:r>
          </w:p>
        </w:tc>
        <w:tc>
          <w:tcPr>
            <w:tcW w:w="373" w:type="pct"/>
            <w:tcBorders>
              <w:tl2br w:val="nil"/>
              <w:tr2bl w:val="nil"/>
            </w:tcBorders>
            <w:vAlign w:val="center"/>
          </w:tcPr>
          <w:p w14:paraId="1686FADB">
            <w:pPr>
              <w:pStyle w:val="240"/>
              <w:rPr>
                <w:rFonts w:hint="default"/>
              </w:rPr>
            </w:pPr>
            <w:r>
              <w:t>0.78</w:t>
            </w:r>
          </w:p>
        </w:tc>
        <w:tc>
          <w:tcPr>
            <w:tcW w:w="427" w:type="pct"/>
            <w:tcBorders>
              <w:tl2br w:val="nil"/>
              <w:tr2bl w:val="nil"/>
            </w:tcBorders>
            <w:vAlign w:val="center"/>
          </w:tcPr>
          <w:p w14:paraId="5352626C">
            <w:pPr>
              <w:pStyle w:val="240"/>
              <w:rPr>
                <w:rFonts w:hint="default"/>
              </w:rPr>
            </w:pPr>
            <w:r>
              <w:t>0.39</w:t>
            </w:r>
          </w:p>
        </w:tc>
        <w:tc>
          <w:tcPr>
            <w:tcW w:w="238" w:type="pct"/>
            <w:tcBorders>
              <w:tl2br w:val="nil"/>
              <w:tr2bl w:val="nil"/>
            </w:tcBorders>
            <w:vAlign w:val="center"/>
          </w:tcPr>
          <w:p w14:paraId="1A96B249">
            <w:pPr>
              <w:pStyle w:val="240"/>
              <w:rPr>
                <w:rFonts w:hint="default"/>
              </w:rPr>
            </w:pPr>
            <w:r>
              <w:t>否</w:t>
            </w:r>
          </w:p>
        </w:tc>
        <w:tc>
          <w:tcPr>
            <w:tcW w:w="347" w:type="pct"/>
            <w:tcBorders>
              <w:tl2br w:val="nil"/>
              <w:tr2bl w:val="nil"/>
            </w:tcBorders>
            <w:vAlign w:val="center"/>
          </w:tcPr>
          <w:p w14:paraId="22426753">
            <w:pPr>
              <w:pStyle w:val="240"/>
              <w:rPr>
                <w:rFonts w:hint="default"/>
              </w:rPr>
            </w:pPr>
            <w:r>
              <w:t>0.76</w:t>
            </w:r>
          </w:p>
        </w:tc>
        <w:tc>
          <w:tcPr>
            <w:tcW w:w="436" w:type="pct"/>
            <w:tcBorders>
              <w:tl2br w:val="nil"/>
              <w:tr2bl w:val="nil"/>
            </w:tcBorders>
            <w:vAlign w:val="center"/>
          </w:tcPr>
          <w:p w14:paraId="68829598">
            <w:pPr>
              <w:pStyle w:val="240"/>
              <w:rPr>
                <w:rFonts w:hint="default"/>
              </w:rPr>
            </w:pPr>
            <w:r>
              <w:t>0.380</w:t>
            </w:r>
          </w:p>
        </w:tc>
        <w:tc>
          <w:tcPr>
            <w:tcW w:w="264" w:type="pct"/>
            <w:tcBorders>
              <w:tl2br w:val="nil"/>
              <w:tr2bl w:val="nil"/>
            </w:tcBorders>
            <w:vAlign w:val="center"/>
          </w:tcPr>
          <w:p w14:paraId="74B1DC21">
            <w:pPr>
              <w:pStyle w:val="240"/>
              <w:rPr>
                <w:rFonts w:hint="default"/>
              </w:rPr>
            </w:pPr>
            <w:r>
              <w:t>否</w:t>
            </w:r>
          </w:p>
        </w:tc>
        <w:tc>
          <w:tcPr>
            <w:tcW w:w="347" w:type="pct"/>
            <w:tcBorders>
              <w:tl2br w:val="nil"/>
              <w:tr2bl w:val="nil"/>
            </w:tcBorders>
            <w:vAlign w:val="center"/>
          </w:tcPr>
          <w:p w14:paraId="6656DE1D">
            <w:pPr>
              <w:pStyle w:val="240"/>
              <w:rPr>
                <w:rFonts w:hint="default"/>
              </w:rPr>
            </w:pPr>
            <w:r>
              <w:t>0.78</w:t>
            </w:r>
          </w:p>
        </w:tc>
        <w:tc>
          <w:tcPr>
            <w:tcW w:w="427" w:type="pct"/>
            <w:tcBorders>
              <w:tl2br w:val="nil"/>
              <w:tr2bl w:val="nil"/>
            </w:tcBorders>
            <w:vAlign w:val="center"/>
          </w:tcPr>
          <w:p w14:paraId="2D93EFC1">
            <w:pPr>
              <w:pStyle w:val="240"/>
              <w:rPr>
                <w:rFonts w:hint="default"/>
              </w:rPr>
            </w:pPr>
            <w:r>
              <w:t>0.390</w:t>
            </w:r>
          </w:p>
        </w:tc>
        <w:tc>
          <w:tcPr>
            <w:tcW w:w="289" w:type="pct"/>
            <w:tcBorders>
              <w:tl2br w:val="nil"/>
              <w:tr2bl w:val="nil"/>
            </w:tcBorders>
            <w:vAlign w:val="center"/>
          </w:tcPr>
          <w:p w14:paraId="1F618433">
            <w:pPr>
              <w:pStyle w:val="240"/>
              <w:rPr>
                <w:rFonts w:hint="default"/>
              </w:rPr>
            </w:pPr>
            <w:r>
              <w:t>否</w:t>
            </w:r>
          </w:p>
        </w:tc>
      </w:tr>
    </w:tbl>
    <w:p w14:paraId="221D1034">
      <w:pPr>
        <w:pStyle w:val="63"/>
        <w:ind w:firstLine="422" w:firstLineChars="200"/>
        <w:jc w:val="center"/>
        <w:textAlignment w:val="auto"/>
        <w:rPr>
          <w:rFonts w:ascii="Times New Roman" w:cs="Times New Roman"/>
          <w:b/>
          <w:bCs/>
          <w:sz w:val="21"/>
          <w:szCs w:val="21"/>
        </w:rPr>
      </w:pPr>
    </w:p>
    <w:p w14:paraId="612EE9B8">
      <w:pPr>
        <w:pStyle w:val="63"/>
        <w:ind w:firstLine="422" w:firstLineChars="200"/>
        <w:jc w:val="center"/>
        <w:textAlignment w:val="auto"/>
        <w:rPr>
          <w:b/>
          <w:bCs/>
          <w:sz w:val="21"/>
          <w:szCs w:val="21"/>
        </w:rPr>
      </w:pPr>
      <w:r>
        <w:rPr>
          <w:rFonts w:ascii="Times New Roman" w:cs="Times New Roman"/>
          <w:b/>
          <w:bCs/>
          <w:sz w:val="21"/>
          <w:szCs w:val="21"/>
        </w:rPr>
        <w:t>表</w:t>
      </w:r>
      <w:r>
        <w:rPr>
          <w:rFonts w:hint="eastAsia" w:ascii="Times New Roman" w:cs="Times New Roman"/>
          <w:b/>
          <w:bCs/>
          <w:sz w:val="21"/>
          <w:szCs w:val="21"/>
        </w:rPr>
        <w:t>4</w:t>
      </w:r>
      <w:r>
        <w:rPr>
          <w:rFonts w:ascii="Times New Roman" w:cs="Times New Roman"/>
          <w:b/>
          <w:bCs/>
          <w:sz w:val="21"/>
          <w:szCs w:val="21"/>
        </w:rPr>
        <w:t>.</w:t>
      </w:r>
      <w:r>
        <w:rPr>
          <w:rFonts w:hint="eastAsia" w:ascii="Times New Roman" w:cs="Times New Roman"/>
          <w:b/>
          <w:bCs/>
          <w:sz w:val="21"/>
          <w:szCs w:val="21"/>
        </w:rPr>
        <w:t>3</w:t>
      </w:r>
      <w:r>
        <w:rPr>
          <w:rFonts w:ascii="Times New Roman" w:cs="Times New Roman"/>
          <w:b/>
          <w:bCs/>
          <w:sz w:val="21"/>
          <w:szCs w:val="21"/>
        </w:rPr>
        <w:t>-</w:t>
      </w:r>
      <w:r>
        <w:rPr>
          <w:rFonts w:hint="eastAsia" w:ascii="Times New Roman" w:cs="Times New Roman"/>
          <w:b/>
          <w:bCs/>
          <w:sz w:val="21"/>
          <w:szCs w:val="21"/>
        </w:rPr>
        <w:t>5</w:t>
      </w:r>
      <w:r>
        <w:rPr>
          <w:rFonts w:ascii="Times New Roman" w:cs="Times New Roman"/>
          <w:b/>
          <w:bCs/>
          <w:sz w:val="21"/>
          <w:szCs w:val="21"/>
        </w:rPr>
        <w:t xml:space="preserve">    </w:t>
      </w:r>
      <w:r>
        <w:rPr>
          <w:rFonts w:hint="eastAsia"/>
          <w:b/>
          <w:bCs/>
          <w:sz w:val="21"/>
          <w:szCs w:val="21"/>
        </w:rPr>
        <w:t>项目区及项目区下风向</w:t>
      </w:r>
      <w:r>
        <w:rPr>
          <w:rFonts w:ascii="Times New Roman" w:cs="Times New Roman"/>
          <w:b/>
          <w:bCs/>
          <w:sz w:val="21"/>
          <w:szCs w:val="21"/>
        </w:rPr>
        <w:t>TSP监</w:t>
      </w:r>
      <w:r>
        <w:rPr>
          <w:rFonts w:hint="eastAsia"/>
          <w:b/>
          <w:bCs/>
          <w:sz w:val="21"/>
          <w:szCs w:val="21"/>
        </w:rPr>
        <w:t>测结果</w:t>
      </w:r>
    </w:p>
    <w:tbl>
      <w:tblPr>
        <w:tblStyle w:val="50"/>
        <w:tblW w:w="5026" w:type="pct"/>
        <w:tblInd w:w="0" w:type="dxa"/>
        <w:tblBorders>
          <w:top w:val="single" w:color="auto" w:sz="12" w:space="0"/>
          <w:left w:val="single" w:color="auto" w:sz="12" w:space="0"/>
          <w:bottom w:val="single" w:color="auto" w:sz="12" w:space="0"/>
          <w:right w:val="single" w:color="auto" w:sz="12" w:space="0"/>
          <w:insideH w:val="single" w:color="auto" w:sz="2" w:space="0"/>
          <w:insideV w:val="single" w:color="auto" w:sz="4" w:space="0"/>
        </w:tblBorders>
        <w:tblLayout w:type="autofit"/>
        <w:tblCellMar>
          <w:top w:w="0" w:type="dxa"/>
          <w:left w:w="108" w:type="dxa"/>
          <w:bottom w:w="0" w:type="dxa"/>
          <w:right w:w="108" w:type="dxa"/>
        </w:tblCellMar>
      </w:tblPr>
      <w:tblGrid>
        <w:gridCol w:w="837"/>
        <w:gridCol w:w="2742"/>
        <w:gridCol w:w="1899"/>
        <w:gridCol w:w="1901"/>
        <w:gridCol w:w="1784"/>
      </w:tblGrid>
      <w:tr w14:paraId="206B2B50">
        <w:tblPrEx>
          <w:tblBorders>
            <w:top w:val="single" w:color="auto" w:sz="12" w:space="0"/>
            <w:left w:val="single" w:color="auto" w:sz="12" w:space="0"/>
            <w:bottom w:val="single" w:color="auto" w:sz="12" w:space="0"/>
            <w:right w:val="single" w:color="auto" w:sz="12" w:space="0"/>
            <w:insideH w:val="single" w:color="auto" w:sz="2" w:space="0"/>
            <w:insideV w:val="single" w:color="auto" w:sz="4" w:space="0"/>
          </w:tblBorders>
          <w:tblCellMar>
            <w:top w:w="0" w:type="dxa"/>
            <w:left w:w="108" w:type="dxa"/>
            <w:bottom w:w="0" w:type="dxa"/>
            <w:right w:w="108" w:type="dxa"/>
          </w:tblCellMar>
        </w:tblPrEx>
        <w:trPr>
          <w:trHeight w:val="812" w:hRule="exact"/>
        </w:trPr>
        <w:tc>
          <w:tcPr>
            <w:tcW w:w="457" w:type="pct"/>
            <w:tcBorders>
              <w:tl2br w:val="nil"/>
              <w:tr2bl w:val="nil"/>
            </w:tcBorders>
            <w:vAlign w:val="center"/>
          </w:tcPr>
          <w:p w14:paraId="5FC92FE1">
            <w:pPr>
              <w:pStyle w:val="240"/>
              <w:rPr>
                <w:rFonts w:hint="default"/>
              </w:rPr>
            </w:pPr>
            <w:r>
              <w:rPr>
                <w:rFonts w:hint="default"/>
              </w:rPr>
              <w:t>检测地点</w:t>
            </w:r>
          </w:p>
        </w:tc>
        <w:tc>
          <w:tcPr>
            <w:tcW w:w="1496" w:type="pct"/>
            <w:tcBorders>
              <w:tl2br w:val="nil"/>
              <w:tr2bl w:val="nil"/>
            </w:tcBorders>
            <w:vAlign w:val="center"/>
          </w:tcPr>
          <w:p w14:paraId="443EA421">
            <w:pPr>
              <w:pStyle w:val="240"/>
              <w:rPr>
                <w:rFonts w:hint="default"/>
              </w:rPr>
            </w:pPr>
            <w:r>
              <w:rPr>
                <w:rFonts w:hint="default"/>
              </w:rPr>
              <w:t>采样日期</w:t>
            </w:r>
          </w:p>
        </w:tc>
        <w:tc>
          <w:tcPr>
            <w:tcW w:w="1036" w:type="pct"/>
            <w:tcBorders>
              <w:tl2br w:val="nil"/>
              <w:tr2bl w:val="nil"/>
            </w:tcBorders>
            <w:vAlign w:val="center"/>
          </w:tcPr>
          <w:p w14:paraId="322B5437">
            <w:pPr>
              <w:pStyle w:val="240"/>
              <w:rPr>
                <w:rFonts w:hint="default"/>
              </w:rPr>
            </w:pPr>
            <w:r>
              <w:t>TSP监测结果（mg/m</w:t>
            </w:r>
            <w:r>
              <w:rPr>
                <w:vertAlign w:val="superscript"/>
              </w:rPr>
              <w:t>3</w:t>
            </w:r>
            <w:r>
              <w:t>）</w:t>
            </w:r>
          </w:p>
        </w:tc>
        <w:tc>
          <w:tcPr>
            <w:tcW w:w="1037" w:type="pct"/>
            <w:tcBorders>
              <w:tl2br w:val="nil"/>
              <w:tr2bl w:val="nil"/>
            </w:tcBorders>
            <w:vAlign w:val="center"/>
          </w:tcPr>
          <w:p w14:paraId="434A8DBC">
            <w:pPr>
              <w:pStyle w:val="240"/>
              <w:rPr>
                <w:rFonts w:hint="default"/>
              </w:rPr>
            </w:pPr>
            <w:r>
              <w:t>污染指数</w:t>
            </w:r>
          </w:p>
        </w:tc>
        <w:tc>
          <w:tcPr>
            <w:tcW w:w="973" w:type="pct"/>
            <w:tcBorders>
              <w:tl2br w:val="nil"/>
              <w:tr2bl w:val="nil"/>
            </w:tcBorders>
            <w:vAlign w:val="center"/>
          </w:tcPr>
          <w:p w14:paraId="1E2C3147">
            <w:pPr>
              <w:pStyle w:val="240"/>
              <w:rPr>
                <w:rFonts w:hint="default"/>
              </w:rPr>
            </w:pPr>
            <w:r>
              <w:t>是否超标</w:t>
            </w:r>
          </w:p>
        </w:tc>
      </w:tr>
      <w:tr w14:paraId="69393180">
        <w:tblPrEx>
          <w:tblBorders>
            <w:top w:val="single" w:color="auto" w:sz="12" w:space="0"/>
            <w:left w:val="single" w:color="auto" w:sz="12" w:space="0"/>
            <w:bottom w:val="single" w:color="auto" w:sz="12" w:space="0"/>
            <w:right w:val="single" w:color="auto" w:sz="12" w:space="0"/>
            <w:insideH w:val="single" w:color="auto" w:sz="2" w:space="0"/>
            <w:insideV w:val="single" w:color="auto" w:sz="4" w:space="0"/>
          </w:tblBorders>
          <w:tblCellMar>
            <w:top w:w="0" w:type="dxa"/>
            <w:left w:w="108" w:type="dxa"/>
            <w:bottom w:w="0" w:type="dxa"/>
            <w:right w:w="108" w:type="dxa"/>
          </w:tblCellMar>
        </w:tblPrEx>
        <w:trPr>
          <w:trHeight w:val="446" w:hRule="exact"/>
        </w:trPr>
        <w:tc>
          <w:tcPr>
            <w:tcW w:w="457" w:type="pct"/>
            <w:vMerge w:val="restart"/>
            <w:tcBorders>
              <w:tl2br w:val="nil"/>
              <w:tr2bl w:val="nil"/>
            </w:tcBorders>
            <w:vAlign w:val="center"/>
          </w:tcPr>
          <w:p w14:paraId="4A697095">
            <w:pPr>
              <w:pStyle w:val="240"/>
              <w:rPr>
                <w:rFonts w:hint="default"/>
              </w:rPr>
            </w:pPr>
            <w:r>
              <w:rPr>
                <w:rFonts w:hint="default"/>
              </w:rPr>
              <w:t>项目区</w:t>
            </w:r>
          </w:p>
        </w:tc>
        <w:tc>
          <w:tcPr>
            <w:tcW w:w="1496" w:type="pct"/>
            <w:tcBorders>
              <w:tl2br w:val="nil"/>
              <w:tr2bl w:val="nil"/>
            </w:tcBorders>
            <w:vAlign w:val="center"/>
          </w:tcPr>
          <w:p w14:paraId="4A10D9C6">
            <w:pPr>
              <w:pStyle w:val="240"/>
              <w:rPr>
                <w:rFonts w:hint="default"/>
              </w:rPr>
            </w:pPr>
            <w:r>
              <w:rPr>
                <w:rFonts w:hint="default"/>
              </w:rPr>
              <w:t>202</w:t>
            </w:r>
            <w:r>
              <w:t>5.6.5-2025.6.6</w:t>
            </w:r>
          </w:p>
        </w:tc>
        <w:tc>
          <w:tcPr>
            <w:tcW w:w="1036" w:type="pct"/>
            <w:tcBorders>
              <w:tl2br w:val="nil"/>
              <w:tr2bl w:val="nil"/>
            </w:tcBorders>
            <w:vAlign w:val="center"/>
          </w:tcPr>
          <w:p w14:paraId="037F4C03">
            <w:pPr>
              <w:pStyle w:val="240"/>
              <w:rPr>
                <w:rFonts w:hint="default"/>
              </w:rPr>
            </w:pPr>
            <w:r>
              <w:t>209</w:t>
            </w:r>
          </w:p>
        </w:tc>
        <w:tc>
          <w:tcPr>
            <w:tcW w:w="1037" w:type="pct"/>
            <w:tcBorders>
              <w:tl2br w:val="nil"/>
              <w:tr2bl w:val="nil"/>
            </w:tcBorders>
            <w:vAlign w:val="center"/>
          </w:tcPr>
          <w:p w14:paraId="4593C2B7">
            <w:pPr>
              <w:pStyle w:val="240"/>
              <w:rPr>
                <w:rFonts w:hint="default"/>
              </w:rPr>
            </w:pPr>
            <w:r>
              <w:t>0.6966</w:t>
            </w:r>
          </w:p>
        </w:tc>
        <w:tc>
          <w:tcPr>
            <w:tcW w:w="973" w:type="pct"/>
            <w:tcBorders>
              <w:tl2br w:val="nil"/>
              <w:tr2bl w:val="nil"/>
            </w:tcBorders>
            <w:vAlign w:val="center"/>
          </w:tcPr>
          <w:p w14:paraId="50A1C617">
            <w:pPr>
              <w:pStyle w:val="240"/>
              <w:rPr>
                <w:rFonts w:hint="default"/>
              </w:rPr>
            </w:pPr>
            <w:r>
              <w:t>否</w:t>
            </w:r>
          </w:p>
        </w:tc>
      </w:tr>
      <w:tr w14:paraId="40454536">
        <w:tblPrEx>
          <w:tblBorders>
            <w:top w:val="single" w:color="auto" w:sz="12" w:space="0"/>
            <w:left w:val="single" w:color="auto" w:sz="12" w:space="0"/>
            <w:bottom w:val="single" w:color="auto" w:sz="12" w:space="0"/>
            <w:right w:val="single" w:color="auto" w:sz="12" w:space="0"/>
            <w:insideH w:val="single" w:color="auto" w:sz="2" w:space="0"/>
            <w:insideV w:val="single" w:color="auto" w:sz="4" w:space="0"/>
          </w:tblBorders>
          <w:tblCellMar>
            <w:top w:w="0" w:type="dxa"/>
            <w:left w:w="108" w:type="dxa"/>
            <w:bottom w:w="0" w:type="dxa"/>
            <w:right w:w="108" w:type="dxa"/>
          </w:tblCellMar>
        </w:tblPrEx>
        <w:trPr>
          <w:trHeight w:val="446" w:hRule="exact"/>
        </w:trPr>
        <w:tc>
          <w:tcPr>
            <w:tcW w:w="457" w:type="pct"/>
            <w:vMerge w:val="continue"/>
            <w:tcBorders>
              <w:tl2br w:val="nil"/>
              <w:tr2bl w:val="nil"/>
            </w:tcBorders>
            <w:vAlign w:val="center"/>
          </w:tcPr>
          <w:p w14:paraId="522CF0D6">
            <w:pPr>
              <w:pStyle w:val="240"/>
              <w:rPr>
                <w:rFonts w:hint="default"/>
              </w:rPr>
            </w:pPr>
          </w:p>
        </w:tc>
        <w:tc>
          <w:tcPr>
            <w:tcW w:w="1496" w:type="pct"/>
            <w:tcBorders>
              <w:tl2br w:val="nil"/>
              <w:tr2bl w:val="nil"/>
            </w:tcBorders>
            <w:vAlign w:val="center"/>
          </w:tcPr>
          <w:p w14:paraId="21202CD1">
            <w:pPr>
              <w:pStyle w:val="240"/>
              <w:rPr>
                <w:rFonts w:hint="default"/>
              </w:rPr>
            </w:pPr>
            <w:r>
              <w:rPr>
                <w:rFonts w:hint="default"/>
              </w:rPr>
              <w:t>202</w:t>
            </w:r>
            <w:r>
              <w:t>5.6.6-2025.6.7</w:t>
            </w:r>
          </w:p>
        </w:tc>
        <w:tc>
          <w:tcPr>
            <w:tcW w:w="1036" w:type="pct"/>
            <w:tcBorders>
              <w:tl2br w:val="nil"/>
              <w:tr2bl w:val="nil"/>
            </w:tcBorders>
            <w:vAlign w:val="center"/>
          </w:tcPr>
          <w:p w14:paraId="6A64170E">
            <w:pPr>
              <w:pStyle w:val="240"/>
              <w:rPr>
                <w:rFonts w:hint="default"/>
              </w:rPr>
            </w:pPr>
            <w:r>
              <w:t>208</w:t>
            </w:r>
          </w:p>
        </w:tc>
        <w:tc>
          <w:tcPr>
            <w:tcW w:w="1037" w:type="pct"/>
            <w:tcBorders>
              <w:tl2br w:val="nil"/>
              <w:tr2bl w:val="nil"/>
            </w:tcBorders>
            <w:vAlign w:val="center"/>
          </w:tcPr>
          <w:p w14:paraId="1CD558B8">
            <w:pPr>
              <w:pStyle w:val="240"/>
              <w:rPr>
                <w:rFonts w:hint="default"/>
              </w:rPr>
            </w:pPr>
            <w:r>
              <w:t>0.6933</w:t>
            </w:r>
          </w:p>
        </w:tc>
        <w:tc>
          <w:tcPr>
            <w:tcW w:w="973" w:type="pct"/>
            <w:tcBorders>
              <w:tl2br w:val="nil"/>
              <w:tr2bl w:val="nil"/>
            </w:tcBorders>
            <w:vAlign w:val="center"/>
          </w:tcPr>
          <w:p w14:paraId="3FB93C26">
            <w:pPr>
              <w:pStyle w:val="240"/>
              <w:rPr>
                <w:rFonts w:hint="default"/>
              </w:rPr>
            </w:pPr>
            <w:r>
              <w:t>否</w:t>
            </w:r>
          </w:p>
        </w:tc>
      </w:tr>
      <w:tr w14:paraId="0897015E">
        <w:tblPrEx>
          <w:tblBorders>
            <w:top w:val="single" w:color="auto" w:sz="12" w:space="0"/>
            <w:left w:val="single" w:color="auto" w:sz="12" w:space="0"/>
            <w:bottom w:val="single" w:color="auto" w:sz="12" w:space="0"/>
            <w:right w:val="single" w:color="auto" w:sz="12" w:space="0"/>
            <w:insideH w:val="single" w:color="auto" w:sz="2" w:space="0"/>
            <w:insideV w:val="single" w:color="auto" w:sz="4" w:space="0"/>
          </w:tblBorders>
          <w:tblCellMar>
            <w:top w:w="0" w:type="dxa"/>
            <w:left w:w="108" w:type="dxa"/>
            <w:bottom w:w="0" w:type="dxa"/>
            <w:right w:w="108" w:type="dxa"/>
          </w:tblCellMar>
        </w:tblPrEx>
        <w:trPr>
          <w:trHeight w:val="446" w:hRule="exact"/>
        </w:trPr>
        <w:tc>
          <w:tcPr>
            <w:tcW w:w="457" w:type="pct"/>
            <w:vMerge w:val="continue"/>
            <w:tcBorders>
              <w:tl2br w:val="nil"/>
              <w:tr2bl w:val="nil"/>
            </w:tcBorders>
            <w:vAlign w:val="center"/>
          </w:tcPr>
          <w:p w14:paraId="3C7D066E">
            <w:pPr>
              <w:pStyle w:val="240"/>
              <w:rPr>
                <w:rFonts w:hint="default"/>
              </w:rPr>
            </w:pPr>
          </w:p>
        </w:tc>
        <w:tc>
          <w:tcPr>
            <w:tcW w:w="1496" w:type="pct"/>
            <w:tcBorders>
              <w:tl2br w:val="nil"/>
              <w:tr2bl w:val="nil"/>
            </w:tcBorders>
            <w:vAlign w:val="center"/>
          </w:tcPr>
          <w:p w14:paraId="236C6D53">
            <w:pPr>
              <w:pStyle w:val="240"/>
              <w:rPr>
                <w:rFonts w:hint="default"/>
              </w:rPr>
            </w:pPr>
            <w:r>
              <w:rPr>
                <w:rFonts w:hint="default"/>
              </w:rPr>
              <w:t>202</w:t>
            </w:r>
            <w:r>
              <w:t>5.6.7-2025.6.8</w:t>
            </w:r>
          </w:p>
        </w:tc>
        <w:tc>
          <w:tcPr>
            <w:tcW w:w="1036" w:type="pct"/>
            <w:tcBorders>
              <w:tl2br w:val="nil"/>
              <w:tr2bl w:val="nil"/>
            </w:tcBorders>
            <w:vAlign w:val="center"/>
          </w:tcPr>
          <w:p w14:paraId="11AAC7F2">
            <w:pPr>
              <w:pStyle w:val="240"/>
              <w:rPr>
                <w:rFonts w:hint="default"/>
              </w:rPr>
            </w:pPr>
            <w:r>
              <w:t>232</w:t>
            </w:r>
          </w:p>
        </w:tc>
        <w:tc>
          <w:tcPr>
            <w:tcW w:w="1037" w:type="pct"/>
            <w:tcBorders>
              <w:tl2br w:val="nil"/>
              <w:tr2bl w:val="nil"/>
            </w:tcBorders>
            <w:vAlign w:val="center"/>
          </w:tcPr>
          <w:p w14:paraId="5FC54AA1">
            <w:pPr>
              <w:pStyle w:val="240"/>
              <w:rPr>
                <w:rFonts w:hint="default"/>
              </w:rPr>
            </w:pPr>
            <w:r>
              <w:t>0.7733</w:t>
            </w:r>
          </w:p>
        </w:tc>
        <w:tc>
          <w:tcPr>
            <w:tcW w:w="973" w:type="pct"/>
            <w:tcBorders>
              <w:tl2br w:val="nil"/>
              <w:tr2bl w:val="nil"/>
            </w:tcBorders>
            <w:vAlign w:val="center"/>
          </w:tcPr>
          <w:p w14:paraId="2ECCF9C7">
            <w:pPr>
              <w:pStyle w:val="240"/>
              <w:rPr>
                <w:rFonts w:hint="default"/>
              </w:rPr>
            </w:pPr>
            <w:r>
              <w:t>否</w:t>
            </w:r>
          </w:p>
        </w:tc>
      </w:tr>
      <w:tr w14:paraId="41CCA314">
        <w:tblPrEx>
          <w:tblBorders>
            <w:top w:val="single" w:color="auto" w:sz="12" w:space="0"/>
            <w:left w:val="single" w:color="auto" w:sz="12" w:space="0"/>
            <w:bottom w:val="single" w:color="auto" w:sz="12" w:space="0"/>
            <w:right w:val="single" w:color="auto" w:sz="12" w:space="0"/>
            <w:insideH w:val="single" w:color="auto" w:sz="2" w:space="0"/>
            <w:insideV w:val="single" w:color="auto" w:sz="4" w:space="0"/>
          </w:tblBorders>
          <w:tblCellMar>
            <w:top w:w="0" w:type="dxa"/>
            <w:left w:w="108" w:type="dxa"/>
            <w:bottom w:w="0" w:type="dxa"/>
            <w:right w:w="108" w:type="dxa"/>
          </w:tblCellMar>
        </w:tblPrEx>
        <w:trPr>
          <w:trHeight w:val="446" w:hRule="exact"/>
        </w:trPr>
        <w:tc>
          <w:tcPr>
            <w:tcW w:w="457" w:type="pct"/>
            <w:vMerge w:val="continue"/>
            <w:tcBorders>
              <w:tl2br w:val="nil"/>
              <w:tr2bl w:val="nil"/>
            </w:tcBorders>
            <w:vAlign w:val="center"/>
          </w:tcPr>
          <w:p w14:paraId="241C1DDC">
            <w:pPr>
              <w:pStyle w:val="240"/>
              <w:rPr>
                <w:rFonts w:hint="default"/>
              </w:rPr>
            </w:pPr>
          </w:p>
        </w:tc>
        <w:tc>
          <w:tcPr>
            <w:tcW w:w="1496" w:type="pct"/>
            <w:tcBorders>
              <w:tl2br w:val="nil"/>
              <w:tr2bl w:val="nil"/>
            </w:tcBorders>
            <w:vAlign w:val="center"/>
          </w:tcPr>
          <w:p w14:paraId="65B248ED">
            <w:pPr>
              <w:pStyle w:val="240"/>
              <w:rPr>
                <w:rFonts w:hint="default"/>
              </w:rPr>
            </w:pPr>
            <w:r>
              <w:rPr>
                <w:rFonts w:hint="default"/>
              </w:rPr>
              <w:t>202</w:t>
            </w:r>
            <w:r>
              <w:t>5.6.8-2025.6.9</w:t>
            </w:r>
          </w:p>
        </w:tc>
        <w:tc>
          <w:tcPr>
            <w:tcW w:w="1036" w:type="pct"/>
            <w:tcBorders>
              <w:tl2br w:val="nil"/>
              <w:tr2bl w:val="nil"/>
            </w:tcBorders>
            <w:vAlign w:val="center"/>
          </w:tcPr>
          <w:p w14:paraId="03A49B4C">
            <w:pPr>
              <w:pStyle w:val="240"/>
              <w:rPr>
                <w:rFonts w:hint="default"/>
              </w:rPr>
            </w:pPr>
            <w:r>
              <w:t>213</w:t>
            </w:r>
          </w:p>
        </w:tc>
        <w:tc>
          <w:tcPr>
            <w:tcW w:w="1037" w:type="pct"/>
            <w:tcBorders>
              <w:tl2br w:val="nil"/>
              <w:tr2bl w:val="nil"/>
            </w:tcBorders>
            <w:vAlign w:val="center"/>
          </w:tcPr>
          <w:p w14:paraId="5CE65500">
            <w:pPr>
              <w:pStyle w:val="240"/>
              <w:rPr>
                <w:rFonts w:hint="default"/>
              </w:rPr>
            </w:pPr>
            <w:r>
              <w:t>0.6766</w:t>
            </w:r>
          </w:p>
        </w:tc>
        <w:tc>
          <w:tcPr>
            <w:tcW w:w="973" w:type="pct"/>
            <w:tcBorders>
              <w:tl2br w:val="nil"/>
              <w:tr2bl w:val="nil"/>
            </w:tcBorders>
            <w:vAlign w:val="center"/>
          </w:tcPr>
          <w:p w14:paraId="0B57C927">
            <w:pPr>
              <w:pStyle w:val="240"/>
              <w:rPr>
                <w:rFonts w:hint="default"/>
              </w:rPr>
            </w:pPr>
            <w:r>
              <w:t>否</w:t>
            </w:r>
          </w:p>
        </w:tc>
      </w:tr>
      <w:tr w14:paraId="35FCDE5B">
        <w:tblPrEx>
          <w:tblBorders>
            <w:top w:val="single" w:color="auto" w:sz="12" w:space="0"/>
            <w:left w:val="single" w:color="auto" w:sz="12" w:space="0"/>
            <w:bottom w:val="single" w:color="auto" w:sz="12" w:space="0"/>
            <w:right w:val="single" w:color="auto" w:sz="12" w:space="0"/>
            <w:insideH w:val="single" w:color="auto" w:sz="2" w:space="0"/>
            <w:insideV w:val="single" w:color="auto" w:sz="4" w:space="0"/>
          </w:tblBorders>
          <w:tblCellMar>
            <w:top w:w="0" w:type="dxa"/>
            <w:left w:w="108" w:type="dxa"/>
            <w:bottom w:w="0" w:type="dxa"/>
            <w:right w:w="108" w:type="dxa"/>
          </w:tblCellMar>
        </w:tblPrEx>
        <w:trPr>
          <w:trHeight w:val="446" w:hRule="exact"/>
        </w:trPr>
        <w:tc>
          <w:tcPr>
            <w:tcW w:w="457" w:type="pct"/>
            <w:vMerge w:val="continue"/>
            <w:tcBorders>
              <w:tl2br w:val="nil"/>
              <w:tr2bl w:val="nil"/>
            </w:tcBorders>
            <w:vAlign w:val="center"/>
          </w:tcPr>
          <w:p w14:paraId="6298FBCC">
            <w:pPr>
              <w:pStyle w:val="240"/>
              <w:rPr>
                <w:rFonts w:hint="default"/>
              </w:rPr>
            </w:pPr>
          </w:p>
        </w:tc>
        <w:tc>
          <w:tcPr>
            <w:tcW w:w="1496" w:type="pct"/>
            <w:tcBorders>
              <w:tl2br w:val="nil"/>
              <w:tr2bl w:val="nil"/>
            </w:tcBorders>
            <w:vAlign w:val="center"/>
          </w:tcPr>
          <w:p w14:paraId="2200B088">
            <w:pPr>
              <w:pStyle w:val="240"/>
              <w:rPr>
                <w:rFonts w:hint="default"/>
              </w:rPr>
            </w:pPr>
            <w:r>
              <w:rPr>
                <w:rFonts w:hint="default"/>
              </w:rPr>
              <w:t>202</w:t>
            </w:r>
            <w:r>
              <w:t>5.6.9-2025.6.10</w:t>
            </w:r>
          </w:p>
        </w:tc>
        <w:tc>
          <w:tcPr>
            <w:tcW w:w="1036" w:type="pct"/>
            <w:tcBorders>
              <w:tl2br w:val="nil"/>
              <w:tr2bl w:val="nil"/>
            </w:tcBorders>
            <w:vAlign w:val="center"/>
          </w:tcPr>
          <w:p w14:paraId="0F8108B5">
            <w:pPr>
              <w:pStyle w:val="240"/>
              <w:rPr>
                <w:rFonts w:hint="default"/>
              </w:rPr>
            </w:pPr>
            <w:r>
              <w:t>217</w:t>
            </w:r>
          </w:p>
        </w:tc>
        <w:tc>
          <w:tcPr>
            <w:tcW w:w="1037" w:type="pct"/>
            <w:tcBorders>
              <w:tl2br w:val="nil"/>
              <w:tr2bl w:val="nil"/>
            </w:tcBorders>
            <w:vAlign w:val="center"/>
          </w:tcPr>
          <w:p w14:paraId="6437BD2D">
            <w:pPr>
              <w:pStyle w:val="240"/>
              <w:rPr>
                <w:rFonts w:hint="default"/>
              </w:rPr>
            </w:pPr>
            <w:r>
              <w:t>0.6900</w:t>
            </w:r>
          </w:p>
        </w:tc>
        <w:tc>
          <w:tcPr>
            <w:tcW w:w="973" w:type="pct"/>
            <w:tcBorders>
              <w:tl2br w:val="nil"/>
              <w:tr2bl w:val="nil"/>
            </w:tcBorders>
            <w:vAlign w:val="center"/>
          </w:tcPr>
          <w:p w14:paraId="496154BE">
            <w:pPr>
              <w:pStyle w:val="240"/>
              <w:rPr>
                <w:rFonts w:hint="default"/>
              </w:rPr>
            </w:pPr>
            <w:r>
              <w:t>否</w:t>
            </w:r>
          </w:p>
        </w:tc>
      </w:tr>
      <w:tr w14:paraId="3103A346">
        <w:tblPrEx>
          <w:tblBorders>
            <w:top w:val="single" w:color="auto" w:sz="12" w:space="0"/>
            <w:left w:val="single" w:color="auto" w:sz="12" w:space="0"/>
            <w:bottom w:val="single" w:color="auto" w:sz="12" w:space="0"/>
            <w:right w:val="single" w:color="auto" w:sz="12" w:space="0"/>
            <w:insideH w:val="single" w:color="auto" w:sz="2" w:space="0"/>
            <w:insideV w:val="single" w:color="auto" w:sz="4" w:space="0"/>
          </w:tblBorders>
          <w:tblCellMar>
            <w:top w:w="0" w:type="dxa"/>
            <w:left w:w="108" w:type="dxa"/>
            <w:bottom w:w="0" w:type="dxa"/>
            <w:right w:w="108" w:type="dxa"/>
          </w:tblCellMar>
        </w:tblPrEx>
        <w:trPr>
          <w:trHeight w:val="446" w:hRule="exact"/>
        </w:trPr>
        <w:tc>
          <w:tcPr>
            <w:tcW w:w="457" w:type="pct"/>
            <w:vMerge w:val="continue"/>
            <w:tcBorders>
              <w:tl2br w:val="nil"/>
              <w:tr2bl w:val="nil"/>
            </w:tcBorders>
            <w:vAlign w:val="center"/>
          </w:tcPr>
          <w:p w14:paraId="40EB2106">
            <w:pPr>
              <w:pStyle w:val="240"/>
              <w:rPr>
                <w:rFonts w:hint="default"/>
              </w:rPr>
            </w:pPr>
          </w:p>
        </w:tc>
        <w:tc>
          <w:tcPr>
            <w:tcW w:w="1496" w:type="pct"/>
            <w:tcBorders>
              <w:tl2br w:val="nil"/>
              <w:tr2bl w:val="nil"/>
            </w:tcBorders>
            <w:vAlign w:val="center"/>
          </w:tcPr>
          <w:p w14:paraId="175EC676">
            <w:pPr>
              <w:pStyle w:val="240"/>
              <w:rPr>
                <w:rFonts w:hint="default"/>
              </w:rPr>
            </w:pPr>
            <w:r>
              <w:rPr>
                <w:rFonts w:hint="default"/>
              </w:rPr>
              <w:t>202</w:t>
            </w:r>
            <w:r>
              <w:t>5.6.10-2025.6.11</w:t>
            </w:r>
          </w:p>
        </w:tc>
        <w:tc>
          <w:tcPr>
            <w:tcW w:w="1036" w:type="pct"/>
            <w:tcBorders>
              <w:tl2br w:val="nil"/>
              <w:tr2bl w:val="nil"/>
            </w:tcBorders>
            <w:vAlign w:val="center"/>
          </w:tcPr>
          <w:p w14:paraId="29F06A32">
            <w:pPr>
              <w:pStyle w:val="240"/>
              <w:rPr>
                <w:rFonts w:hint="default"/>
              </w:rPr>
            </w:pPr>
            <w:r>
              <w:t>236</w:t>
            </w:r>
          </w:p>
        </w:tc>
        <w:tc>
          <w:tcPr>
            <w:tcW w:w="1037" w:type="pct"/>
            <w:tcBorders>
              <w:tl2br w:val="nil"/>
              <w:tr2bl w:val="nil"/>
            </w:tcBorders>
            <w:vAlign w:val="center"/>
          </w:tcPr>
          <w:p w14:paraId="0726C507">
            <w:pPr>
              <w:pStyle w:val="240"/>
              <w:rPr>
                <w:rFonts w:hint="default"/>
              </w:rPr>
            </w:pPr>
            <w:r>
              <w:t>0.7866</w:t>
            </w:r>
          </w:p>
        </w:tc>
        <w:tc>
          <w:tcPr>
            <w:tcW w:w="973" w:type="pct"/>
            <w:tcBorders>
              <w:tl2br w:val="nil"/>
              <w:tr2bl w:val="nil"/>
            </w:tcBorders>
            <w:vAlign w:val="center"/>
          </w:tcPr>
          <w:p w14:paraId="75614E3E">
            <w:pPr>
              <w:pStyle w:val="240"/>
              <w:rPr>
                <w:rFonts w:hint="default"/>
              </w:rPr>
            </w:pPr>
            <w:r>
              <w:t>否</w:t>
            </w:r>
          </w:p>
        </w:tc>
      </w:tr>
      <w:tr w14:paraId="418EA291">
        <w:tblPrEx>
          <w:tblBorders>
            <w:top w:val="single" w:color="auto" w:sz="12" w:space="0"/>
            <w:left w:val="single" w:color="auto" w:sz="12" w:space="0"/>
            <w:bottom w:val="single" w:color="auto" w:sz="12" w:space="0"/>
            <w:right w:val="single" w:color="auto" w:sz="12" w:space="0"/>
            <w:insideH w:val="single" w:color="auto" w:sz="2" w:space="0"/>
            <w:insideV w:val="single" w:color="auto" w:sz="4" w:space="0"/>
          </w:tblBorders>
          <w:tblCellMar>
            <w:top w:w="0" w:type="dxa"/>
            <w:left w:w="108" w:type="dxa"/>
            <w:bottom w:w="0" w:type="dxa"/>
            <w:right w:w="108" w:type="dxa"/>
          </w:tblCellMar>
        </w:tblPrEx>
        <w:trPr>
          <w:trHeight w:val="446" w:hRule="exact"/>
        </w:trPr>
        <w:tc>
          <w:tcPr>
            <w:tcW w:w="457" w:type="pct"/>
            <w:vMerge w:val="continue"/>
            <w:tcBorders>
              <w:tl2br w:val="nil"/>
              <w:tr2bl w:val="nil"/>
            </w:tcBorders>
            <w:vAlign w:val="center"/>
          </w:tcPr>
          <w:p w14:paraId="739B8CEB">
            <w:pPr>
              <w:pStyle w:val="240"/>
              <w:rPr>
                <w:rFonts w:hint="default"/>
              </w:rPr>
            </w:pPr>
          </w:p>
        </w:tc>
        <w:tc>
          <w:tcPr>
            <w:tcW w:w="1496" w:type="pct"/>
            <w:tcBorders>
              <w:tl2br w:val="nil"/>
              <w:tr2bl w:val="nil"/>
            </w:tcBorders>
            <w:vAlign w:val="center"/>
          </w:tcPr>
          <w:p w14:paraId="317A0111">
            <w:pPr>
              <w:pStyle w:val="240"/>
              <w:rPr>
                <w:rFonts w:hint="default"/>
              </w:rPr>
            </w:pPr>
            <w:r>
              <w:rPr>
                <w:rFonts w:hint="default"/>
              </w:rPr>
              <w:t>202</w:t>
            </w:r>
            <w:r>
              <w:t>5.6.11-2025.6.12</w:t>
            </w:r>
          </w:p>
        </w:tc>
        <w:tc>
          <w:tcPr>
            <w:tcW w:w="1036" w:type="pct"/>
            <w:tcBorders>
              <w:tl2br w:val="nil"/>
              <w:tr2bl w:val="nil"/>
            </w:tcBorders>
            <w:vAlign w:val="center"/>
          </w:tcPr>
          <w:p w14:paraId="3087C005">
            <w:pPr>
              <w:pStyle w:val="240"/>
              <w:rPr>
                <w:rFonts w:hint="default"/>
              </w:rPr>
            </w:pPr>
            <w:r>
              <w:t>205</w:t>
            </w:r>
          </w:p>
        </w:tc>
        <w:tc>
          <w:tcPr>
            <w:tcW w:w="1037" w:type="pct"/>
            <w:tcBorders>
              <w:tl2br w:val="nil"/>
              <w:tr2bl w:val="nil"/>
            </w:tcBorders>
            <w:vAlign w:val="center"/>
          </w:tcPr>
          <w:p w14:paraId="62DE474C">
            <w:pPr>
              <w:pStyle w:val="240"/>
              <w:rPr>
                <w:rFonts w:hint="default"/>
              </w:rPr>
            </w:pPr>
            <w:r>
              <w:t>0.6833</w:t>
            </w:r>
          </w:p>
        </w:tc>
        <w:tc>
          <w:tcPr>
            <w:tcW w:w="973" w:type="pct"/>
            <w:tcBorders>
              <w:tl2br w:val="nil"/>
              <w:tr2bl w:val="nil"/>
            </w:tcBorders>
            <w:vAlign w:val="center"/>
          </w:tcPr>
          <w:p w14:paraId="04621364">
            <w:pPr>
              <w:pStyle w:val="240"/>
              <w:rPr>
                <w:rFonts w:hint="default"/>
              </w:rPr>
            </w:pPr>
            <w:r>
              <w:t>否</w:t>
            </w:r>
          </w:p>
        </w:tc>
      </w:tr>
      <w:tr w14:paraId="6A06FA9C">
        <w:tblPrEx>
          <w:tblBorders>
            <w:top w:val="single" w:color="auto" w:sz="12" w:space="0"/>
            <w:left w:val="single" w:color="auto" w:sz="12" w:space="0"/>
            <w:bottom w:val="single" w:color="auto" w:sz="12" w:space="0"/>
            <w:right w:val="single" w:color="auto" w:sz="12" w:space="0"/>
            <w:insideH w:val="single" w:color="auto" w:sz="2" w:space="0"/>
            <w:insideV w:val="single" w:color="auto" w:sz="4" w:space="0"/>
          </w:tblBorders>
          <w:tblCellMar>
            <w:top w:w="0" w:type="dxa"/>
            <w:left w:w="108" w:type="dxa"/>
            <w:bottom w:w="0" w:type="dxa"/>
            <w:right w:w="108" w:type="dxa"/>
          </w:tblCellMar>
        </w:tblPrEx>
        <w:trPr>
          <w:trHeight w:val="446" w:hRule="exact"/>
        </w:trPr>
        <w:tc>
          <w:tcPr>
            <w:tcW w:w="457" w:type="pct"/>
            <w:vMerge w:val="restart"/>
            <w:tcBorders>
              <w:tl2br w:val="nil"/>
              <w:tr2bl w:val="nil"/>
            </w:tcBorders>
            <w:vAlign w:val="center"/>
          </w:tcPr>
          <w:p w14:paraId="17FF7A35">
            <w:pPr>
              <w:pStyle w:val="240"/>
              <w:rPr>
                <w:rFonts w:hint="default"/>
              </w:rPr>
            </w:pPr>
            <w:r>
              <w:rPr>
                <w:rFonts w:hint="default"/>
              </w:rPr>
              <w:t>项目区下风向</w:t>
            </w:r>
          </w:p>
        </w:tc>
        <w:tc>
          <w:tcPr>
            <w:tcW w:w="1496" w:type="pct"/>
            <w:tcBorders>
              <w:tl2br w:val="nil"/>
              <w:tr2bl w:val="nil"/>
            </w:tcBorders>
            <w:vAlign w:val="center"/>
          </w:tcPr>
          <w:p w14:paraId="3EFFFB73">
            <w:pPr>
              <w:pStyle w:val="240"/>
              <w:rPr>
                <w:rFonts w:hint="default"/>
              </w:rPr>
            </w:pPr>
            <w:r>
              <w:rPr>
                <w:rFonts w:hint="default"/>
              </w:rPr>
              <w:t>202</w:t>
            </w:r>
            <w:r>
              <w:t>5.6.5-2025.6.6</w:t>
            </w:r>
          </w:p>
        </w:tc>
        <w:tc>
          <w:tcPr>
            <w:tcW w:w="1036" w:type="pct"/>
            <w:tcBorders>
              <w:tl2br w:val="nil"/>
              <w:tr2bl w:val="nil"/>
            </w:tcBorders>
            <w:vAlign w:val="center"/>
          </w:tcPr>
          <w:p w14:paraId="7D5E4D74">
            <w:pPr>
              <w:pStyle w:val="240"/>
              <w:rPr>
                <w:rFonts w:hint="default"/>
              </w:rPr>
            </w:pPr>
            <w:r>
              <w:t>214</w:t>
            </w:r>
          </w:p>
        </w:tc>
        <w:tc>
          <w:tcPr>
            <w:tcW w:w="1037" w:type="pct"/>
            <w:tcBorders>
              <w:tl2br w:val="nil"/>
              <w:tr2bl w:val="nil"/>
            </w:tcBorders>
            <w:vAlign w:val="center"/>
          </w:tcPr>
          <w:p w14:paraId="25CE63D0">
            <w:pPr>
              <w:pStyle w:val="240"/>
              <w:rPr>
                <w:rFonts w:hint="default"/>
              </w:rPr>
            </w:pPr>
            <w:r>
              <w:t>0.6800</w:t>
            </w:r>
          </w:p>
        </w:tc>
        <w:tc>
          <w:tcPr>
            <w:tcW w:w="973" w:type="pct"/>
            <w:tcBorders>
              <w:tl2br w:val="nil"/>
              <w:tr2bl w:val="nil"/>
            </w:tcBorders>
            <w:vAlign w:val="center"/>
          </w:tcPr>
          <w:p w14:paraId="79D7E206">
            <w:pPr>
              <w:pStyle w:val="240"/>
              <w:rPr>
                <w:rFonts w:hint="default"/>
              </w:rPr>
            </w:pPr>
            <w:r>
              <w:t>否</w:t>
            </w:r>
          </w:p>
        </w:tc>
      </w:tr>
      <w:tr w14:paraId="0D4A6BD0">
        <w:tblPrEx>
          <w:tblBorders>
            <w:top w:val="single" w:color="auto" w:sz="12" w:space="0"/>
            <w:left w:val="single" w:color="auto" w:sz="12" w:space="0"/>
            <w:bottom w:val="single" w:color="auto" w:sz="12" w:space="0"/>
            <w:right w:val="single" w:color="auto" w:sz="12" w:space="0"/>
            <w:insideH w:val="single" w:color="auto" w:sz="2" w:space="0"/>
            <w:insideV w:val="single" w:color="auto" w:sz="4" w:space="0"/>
          </w:tblBorders>
          <w:tblCellMar>
            <w:top w:w="0" w:type="dxa"/>
            <w:left w:w="108" w:type="dxa"/>
            <w:bottom w:w="0" w:type="dxa"/>
            <w:right w:w="108" w:type="dxa"/>
          </w:tblCellMar>
        </w:tblPrEx>
        <w:trPr>
          <w:trHeight w:val="446" w:hRule="exact"/>
        </w:trPr>
        <w:tc>
          <w:tcPr>
            <w:tcW w:w="457" w:type="pct"/>
            <w:vMerge w:val="continue"/>
            <w:tcBorders>
              <w:tl2br w:val="nil"/>
              <w:tr2bl w:val="nil"/>
            </w:tcBorders>
            <w:vAlign w:val="center"/>
          </w:tcPr>
          <w:p w14:paraId="28C92B62">
            <w:pPr>
              <w:pStyle w:val="240"/>
              <w:rPr>
                <w:rFonts w:hint="default"/>
              </w:rPr>
            </w:pPr>
          </w:p>
        </w:tc>
        <w:tc>
          <w:tcPr>
            <w:tcW w:w="1496" w:type="pct"/>
            <w:tcBorders>
              <w:tl2br w:val="nil"/>
              <w:tr2bl w:val="nil"/>
            </w:tcBorders>
            <w:vAlign w:val="center"/>
          </w:tcPr>
          <w:p w14:paraId="489219FB">
            <w:pPr>
              <w:pStyle w:val="240"/>
              <w:rPr>
                <w:rFonts w:hint="default"/>
              </w:rPr>
            </w:pPr>
            <w:r>
              <w:rPr>
                <w:rFonts w:hint="default"/>
              </w:rPr>
              <w:t>202</w:t>
            </w:r>
            <w:r>
              <w:t>5.6.6-2025.6.7</w:t>
            </w:r>
          </w:p>
        </w:tc>
        <w:tc>
          <w:tcPr>
            <w:tcW w:w="1036" w:type="pct"/>
            <w:tcBorders>
              <w:tl2br w:val="nil"/>
              <w:tr2bl w:val="nil"/>
            </w:tcBorders>
            <w:vAlign w:val="center"/>
          </w:tcPr>
          <w:p w14:paraId="27FB81AF">
            <w:pPr>
              <w:pStyle w:val="240"/>
              <w:rPr>
                <w:rFonts w:hint="default"/>
              </w:rPr>
            </w:pPr>
            <w:r>
              <w:t>207</w:t>
            </w:r>
          </w:p>
        </w:tc>
        <w:tc>
          <w:tcPr>
            <w:tcW w:w="1037" w:type="pct"/>
            <w:tcBorders>
              <w:tl2br w:val="nil"/>
              <w:tr2bl w:val="nil"/>
            </w:tcBorders>
            <w:vAlign w:val="center"/>
          </w:tcPr>
          <w:p w14:paraId="76AAE5B2">
            <w:pPr>
              <w:pStyle w:val="240"/>
              <w:rPr>
                <w:rFonts w:hint="default"/>
              </w:rPr>
            </w:pPr>
            <w:r>
              <w:t>0.6900</w:t>
            </w:r>
          </w:p>
        </w:tc>
        <w:tc>
          <w:tcPr>
            <w:tcW w:w="973" w:type="pct"/>
            <w:tcBorders>
              <w:tl2br w:val="nil"/>
              <w:tr2bl w:val="nil"/>
            </w:tcBorders>
            <w:vAlign w:val="center"/>
          </w:tcPr>
          <w:p w14:paraId="153AD6AD">
            <w:pPr>
              <w:pStyle w:val="240"/>
              <w:rPr>
                <w:rFonts w:hint="default"/>
              </w:rPr>
            </w:pPr>
            <w:r>
              <w:t>否</w:t>
            </w:r>
          </w:p>
        </w:tc>
      </w:tr>
      <w:tr w14:paraId="17BC1A5C">
        <w:tblPrEx>
          <w:tblBorders>
            <w:top w:val="single" w:color="auto" w:sz="12" w:space="0"/>
            <w:left w:val="single" w:color="auto" w:sz="12" w:space="0"/>
            <w:bottom w:val="single" w:color="auto" w:sz="12" w:space="0"/>
            <w:right w:val="single" w:color="auto" w:sz="12" w:space="0"/>
            <w:insideH w:val="single" w:color="auto" w:sz="2" w:space="0"/>
            <w:insideV w:val="single" w:color="auto" w:sz="4" w:space="0"/>
          </w:tblBorders>
          <w:tblCellMar>
            <w:top w:w="0" w:type="dxa"/>
            <w:left w:w="108" w:type="dxa"/>
            <w:bottom w:w="0" w:type="dxa"/>
            <w:right w:w="108" w:type="dxa"/>
          </w:tblCellMar>
        </w:tblPrEx>
        <w:trPr>
          <w:trHeight w:val="446" w:hRule="exact"/>
        </w:trPr>
        <w:tc>
          <w:tcPr>
            <w:tcW w:w="457" w:type="pct"/>
            <w:vMerge w:val="continue"/>
            <w:tcBorders>
              <w:tl2br w:val="nil"/>
              <w:tr2bl w:val="nil"/>
            </w:tcBorders>
            <w:vAlign w:val="center"/>
          </w:tcPr>
          <w:p w14:paraId="7B16D08B">
            <w:pPr>
              <w:pStyle w:val="240"/>
              <w:rPr>
                <w:rFonts w:hint="default"/>
              </w:rPr>
            </w:pPr>
          </w:p>
        </w:tc>
        <w:tc>
          <w:tcPr>
            <w:tcW w:w="1496" w:type="pct"/>
            <w:tcBorders>
              <w:tl2br w:val="nil"/>
              <w:tr2bl w:val="nil"/>
            </w:tcBorders>
            <w:vAlign w:val="center"/>
          </w:tcPr>
          <w:p w14:paraId="354B575D">
            <w:pPr>
              <w:pStyle w:val="240"/>
              <w:rPr>
                <w:rFonts w:hint="default"/>
              </w:rPr>
            </w:pPr>
            <w:r>
              <w:rPr>
                <w:rFonts w:hint="default"/>
              </w:rPr>
              <w:t>202</w:t>
            </w:r>
            <w:r>
              <w:t>5.6.7-2025.6.8</w:t>
            </w:r>
          </w:p>
        </w:tc>
        <w:tc>
          <w:tcPr>
            <w:tcW w:w="1036" w:type="pct"/>
            <w:tcBorders>
              <w:tl2br w:val="nil"/>
              <w:tr2bl w:val="nil"/>
            </w:tcBorders>
            <w:vAlign w:val="center"/>
          </w:tcPr>
          <w:p w14:paraId="26634FCC">
            <w:pPr>
              <w:pStyle w:val="240"/>
              <w:rPr>
                <w:rFonts w:hint="default"/>
              </w:rPr>
            </w:pPr>
            <w:r>
              <w:t>222</w:t>
            </w:r>
          </w:p>
        </w:tc>
        <w:tc>
          <w:tcPr>
            <w:tcW w:w="1037" w:type="pct"/>
            <w:tcBorders>
              <w:tl2br w:val="nil"/>
              <w:tr2bl w:val="nil"/>
            </w:tcBorders>
            <w:vAlign w:val="center"/>
          </w:tcPr>
          <w:p w14:paraId="4AF903C0">
            <w:pPr>
              <w:pStyle w:val="240"/>
              <w:rPr>
                <w:rFonts w:hint="default"/>
              </w:rPr>
            </w:pPr>
            <w:r>
              <w:t>0.7400</w:t>
            </w:r>
          </w:p>
        </w:tc>
        <w:tc>
          <w:tcPr>
            <w:tcW w:w="973" w:type="pct"/>
            <w:tcBorders>
              <w:tl2br w:val="nil"/>
              <w:tr2bl w:val="nil"/>
            </w:tcBorders>
            <w:vAlign w:val="center"/>
          </w:tcPr>
          <w:p w14:paraId="4E11B0E5">
            <w:pPr>
              <w:pStyle w:val="240"/>
              <w:rPr>
                <w:rFonts w:hint="default"/>
              </w:rPr>
            </w:pPr>
            <w:r>
              <w:t>否</w:t>
            </w:r>
          </w:p>
        </w:tc>
      </w:tr>
      <w:tr w14:paraId="6A956AA2">
        <w:tblPrEx>
          <w:tblBorders>
            <w:top w:val="single" w:color="auto" w:sz="12" w:space="0"/>
            <w:left w:val="single" w:color="auto" w:sz="12" w:space="0"/>
            <w:bottom w:val="single" w:color="auto" w:sz="12" w:space="0"/>
            <w:right w:val="single" w:color="auto" w:sz="12" w:space="0"/>
            <w:insideH w:val="single" w:color="auto" w:sz="2" w:space="0"/>
            <w:insideV w:val="single" w:color="auto" w:sz="4" w:space="0"/>
          </w:tblBorders>
          <w:tblCellMar>
            <w:top w:w="0" w:type="dxa"/>
            <w:left w:w="108" w:type="dxa"/>
            <w:bottom w:w="0" w:type="dxa"/>
            <w:right w:w="108" w:type="dxa"/>
          </w:tblCellMar>
        </w:tblPrEx>
        <w:trPr>
          <w:trHeight w:val="446" w:hRule="exact"/>
        </w:trPr>
        <w:tc>
          <w:tcPr>
            <w:tcW w:w="457" w:type="pct"/>
            <w:vMerge w:val="continue"/>
            <w:tcBorders>
              <w:tl2br w:val="nil"/>
              <w:tr2bl w:val="nil"/>
            </w:tcBorders>
            <w:vAlign w:val="center"/>
          </w:tcPr>
          <w:p w14:paraId="264BF4BE">
            <w:pPr>
              <w:pStyle w:val="240"/>
              <w:rPr>
                <w:rFonts w:hint="default"/>
              </w:rPr>
            </w:pPr>
          </w:p>
        </w:tc>
        <w:tc>
          <w:tcPr>
            <w:tcW w:w="1496" w:type="pct"/>
            <w:tcBorders>
              <w:tl2br w:val="nil"/>
              <w:tr2bl w:val="nil"/>
            </w:tcBorders>
            <w:vAlign w:val="center"/>
          </w:tcPr>
          <w:p w14:paraId="4AF8F524">
            <w:pPr>
              <w:pStyle w:val="240"/>
              <w:rPr>
                <w:rFonts w:hint="default"/>
              </w:rPr>
            </w:pPr>
            <w:r>
              <w:rPr>
                <w:rFonts w:hint="default"/>
              </w:rPr>
              <w:t>202</w:t>
            </w:r>
            <w:r>
              <w:t>5.6.8-2025.6.9</w:t>
            </w:r>
          </w:p>
        </w:tc>
        <w:tc>
          <w:tcPr>
            <w:tcW w:w="1036" w:type="pct"/>
            <w:tcBorders>
              <w:tl2br w:val="nil"/>
              <w:tr2bl w:val="nil"/>
            </w:tcBorders>
            <w:vAlign w:val="center"/>
          </w:tcPr>
          <w:p w14:paraId="4BE130EE">
            <w:pPr>
              <w:pStyle w:val="240"/>
              <w:rPr>
                <w:rFonts w:hint="default"/>
              </w:rPr>
            </w:pPr>
            <w:r>
              <w:t>207</w:t>
            </w:r>
          </w:p>
        </w:tc>
        <w:tc>
          <w:tcPr>
            <w:tcW w:w="1037" w:type="pct"/>
            <w:tcBorders>
              <w:tl2br w:val="nil"/>
              <w:tr2bl w:val="nil"/>
            </w:tcBorders>
            <w:vAlign w:val="center"/>
          </w:tcPr>
          <w:p w14:paraId="191F05E9">
            <w:pPr>
              <w:pStyle w:val="240"/>
              <w:rPr>
                <w:rFonts w:hint="default"/>
              </w:rPr>
            </w:pPr>
            <w:r>
              <w:t>0.6900</w:t>
            </w:r>
          </w:p>
        </w:tc>
        <w:tc>
          <w:tcPr>
            <w:tcW w:w="973" w:type="pct"/>
            <w:tcBorders>
              <w:tl2br w:val="nil"/>
              <w:tr2bl w:val="nil"/>
            </w:tcBorders>
            <w:vAlign w:val="center"/>
          </w:tcPr>
          <w:p w14:paraId="56328140">
            <w:pPr>
              <w:pStyle w:val="240"/>
              <w:rPr>
                <w:rFonts w:hint="default"/>
              </w:rPr>
            </w:pPr>
            <w:r>
              <w:t>否</w:t>
            </w:r>
          </w:p>
        </w:tc>
      </w:tr>
      <w:tr w14:paraId="16E661A0">
        <w:tblPrEx>
          <w:tblBorders>
            <w:top w:val="single" w:color="auto" w:sz="12" w:space="0"/>
            <w:left w:val="single" w:color="auto" w:sz="12" w:space="0"/>
            <w:bottom w:val="single" w:color="auto" w:sz="12" w:space="0"/>
            <w:right w:val="single" w:color="auto" w:sz="12" w:space="0"/>
            <w:insideH w:val="single" w:color="auto" w:sz="2" w:space="0"/>
            <w:insideV w:val="single" w:color="auto" w:sz="4" w:space="0"/>
          </w:tblBorders>
          <w:tblCellMar>
            <w:top w:w="0" w:type="dxa"/>
            <w:left w:w="108" w:type="dxa"/>
            <w:bottom w:w="0" w:type="dxa"/>
            <w:right w:w="108" w:type="dxa"/>
          </w:tblCellMar>
        </w:tblPrEx>
        <w:trPr>
          <w:trHeight w:val="446" w:hRule="exact"/>
        </w:trPr>
        <w:tc>
          <w:tcPr>
            <w:tcW w:w="457" w:type="pct"/>
            <w:vMerge w:val="continue"/>
            <w:tcBorders>
              <w:tl2br w:val="nil"/>
              <w:tr2bl w:val="nil"/>
            </w:tcBorders>
            <w:vAlign w:val="center"/>
          </w:tcPr>
          <w:p w14:paraId="0128C8C2">
            <w:pPr>
              <w:pStyle w:val="240"/>
              <w:rPr>
                <w:rFonts w:hint="default"/>
              </w:rPr>
            </w:pPr>
          </w:p>
        </w:tc>
        <w:tc>
          <w:tcPr>
            <w:tcW w:w="1496" w:type="pct"/>
            <w:tcBorders>
              <w:tl2br w:val="nil"/>
              <w:tr2bl w:val="nil"/>
            </w:tcBorders>
            <w:vAlign w:val="center"/>
          </w:tcPr>
          <w:p w14:paraId="14AA7047">
            <w:pPr>
              <w:pStyle w:val="240"/>
              <w:rPr>
                <w:rFonts w:hint="default"/>
              </w:rPr>
            </w:pPr>
            <w:r>
              <w:rPr>
                <w:rFonts w:hint="default"/>
              </w:rPr>
              <w:t>202</w:t>
            </w:r>
            <w:r>
              <w:t>5.6.9-2025.6.10</w:t>
            </w:r>
          </w:p>
        </w:tc>
        <w:tc>
          <w:tcPr>
            <w:tcW w:w="1036" w:type="pct"/>
            <w:tcBorders>
              <w:tl2br w:val="nil"/>
              <w:tr2bl w:val="nil"/>
            </w:tcBorders>
            <w:vAlign w:val="center"/>
          </w:tcPr>
          <w:p w14:paraId="69A2174D">
            <w:pPr>
              <w:pStyle w:val="240"/>
              <w:rPr>
                <w:rFonts w:hint="default"/>
              </w:rPr>
            </w:pPr>
            <w:r>
              <w:t>212</w:t>
            </w:r>
          </w:p>
        </w:tc>
        <w:tc>
          <w:tcPr>
            <w:tcW w:w="1037" w:type="pct"/>
            <w:tcBorders>
              <w:tl2br w:val="nil"/>
              <w:tr2bl w:val="nil"/>
            </w:tcBorders>
            <w:vAlign w:val="center"/>
          </w:tcPr>
          <w:p w14:paraId="0A64E391">
            <w:pPr>
              <w:pStyle w:val="240"/>
              <w:rPr>
                <w:rFonts w:hint="default"/>
              </w:rPr>
            </w:pPr>
            <w:r>
              <w:t>0.6733</w:t>
            </w:r>
          </w:p>
        </w:tc>
        <w:tc>
          <w:tcPr>
            <w:tcW w:w="973" w:type="pct"/>
            <w:tcBorders>
              <w:tl2br w:val="nil"/>
              <w:tr2bl w:val="nil"/>
            </w:tcBorders>
            <w:vAlign w:val="center"/>
          </w:tcPr>
          <w:p w14:paraId="5B7AF3C3">
            <w:pPr>
              <w:pStyle w:val="240"/>
              <w:rPr>
                <w:rFonts w:hint="default"/>
              </w:rPr>
            </w:pPr>
            <w:r>
              <w:t>否</w:t>
            </w:r>
          </w:p>
        </w:tc>
      </w:tr>
      <w:tr w14:paraId="472CBA9C">
        <w:tblPrEx>
          <w:tblBorders>
            <w:top w:val="single" w:color="auto" w:sz="12" w:space="0"/>
            <w:left w:val="single" w:color="auto" w:sz="12" w:space="0"/>
            <w:bottom w:val="single" w:color="auto" w:sz="12" w:space="0"/>
            <w:right w:val="single" w:color="auto" w:sz="12" w:space="0"/>
            <w:insideH w:val="single" w:color="auto" w:sz="2" w:space="0"/>
            <w:insideV w:val="single" w:color="auto" w:sz="4" w:space="0"/>
          </w:tblBorders>
          <w:tblCellMar>
            <w:top w:w="0" w:type="dxa"/>
            <w:left w:w="108" w:type="dxa"/>
            <w:bottom w:w="0" w:type="dxa"/>
            <w:right w:w="108" w:type="dxa"/>
          </w:tblCellMar>
        </w:tblPrEx>
        <w:trPr>
          <w:trHeight w:val="446" w:hRule="exact"/>
        </w:trPr>
        <w:tc>
          <w:tcPr>
            <w:tcW w:w="457" w:type="pct"/>
            <w:vMerge w:val="continue"/>
            <w:tcBorders>
              <w:tl2br w:val="nil"/>
              <w:tr2bl w:val="nil"/>
            </w:tcBorders>
            <w:vAlign w:val="center"/>
          </w:tcPr>
          <w:p w14:paraId="1F3BEC2D">
            <w:pPr>
              <w:pStyle w:val="240"/>
              <w:rPr>
                <w:rFonts w:hint="default"/>
              </w:rPr>
            </w:pPr>
          </w:p>
        </w:tc>
        <w:tc>
          <w:tcPr>
            <w:tcW w:w="1496" w:type="pct"/>
            <w:tcBorders>
              <w:tl2br w:val="nil"/>
              <w:tr2bl w:val="nil"/>
            </w:tcBorders>
            <w:vAlign w:val="center"/>
          </w:tcPr>
          <w:p w14:paraId="58E044E6">
            <w:pPr>
              <w:pStyle w:val="240"/>
              <w:rPr>
                <w:rFonts w:hint="default"/>
              </w:rPr>
            </w:pPr>
            <w:r>
              <w:rPr>
                <w:rFonts w:hint="default"/>
              </w:rPr>
              <w:t>202</w:t>
            </w:r>
            <w:r>
              <w:t>5.6.10-2025.6.11</w:t>
            </w:r>
          </w:p>
        </w:tc>
        <w:tc>
          <w:tcPr>
            <w:tcW w:w="1036" w:type="pct"/>
            <w:tcBorders>
              <w:tl2br w:val="nil"/>
              <w:tr2bl w:val="nil"/>
            </w:tcBorders>
            <w:vAlign w:val="center"/>
          </w:tcPr>
          <w:p w14:paraId="2EC0217E">
            <w:pPr>
              <w:pStyle w:val="240"/>
              <w:rPr>
                <w:rFonts w:hint="default"/>
              </w:rPr>
            </w:pPr>
            <w:r>
              <w:t>228</w:t>
            </w:r>
          </w:p>
        </w:tc>
        <w:tc>
          <w:tcPr>
            <w:tcW w:w="1037" w:type="pct"/>
            <w:tcBorders>
              <w:tl2br w:val="nil"/>
              <w:tr2bl w:val="nil"/>
            </w:tcBorders>
            <w:vAlign w:val="center"/>
          </w:tcPr>
          <w:p w14:paraId="1BD1B4DE">
            <w:pPr>
              <w:pStyle w:val="240"/>
              <w:rPr>
                <w:rFonts w:hint="default"/>
              </w:rPr>
            </w:pPr>
            <w:r>
              <w:t>0.7600</w:t>
            </w:r>
          </w:p>
        </w:tc>
        <w:tc>
          <w:tcPr>
            <w:tcW w:w="973" w:type="pct"/>
            <w:tcBorders>
              <w:tl2br w:val="nil"/>
              <w:tr2bl w:val="nil"/>
            </w:tcBorders>
            <w:vAlign w:val="center"/>
          </w:tcPr>
          <w:p w14:paraId="5714772C">
            <w:pPr>
              <w:pStyle w:val="240"/>
              <w:rPr>
                <w:rFonts w:hint="default"/>
              </w:rPr>
            </w:pPr>
            <w:r>
              <w:t>否</w:t>
            </w:r>
          </w:p>
        </w:tc>
      </w:tr>
      <w:tr w14:paraId="50247545">
        <w:tblPrEx>
          <w:tblBorders>
            <w:top w:val="single" w:color="auto" w:sz="12" w:space="0"/>
            <w:left w:val="single" w:color="auto" w:sz="12" w:space="0"/>
            <w:bottom w:val="single" w:color="auto" w:sz="12" w:space="0"/>
            <w:right w:val="single" w:color="auto" w:sz="12" w:space="0"/>
            <w:insideH w:val="single" w:color="auto" w:sz="2" w:space="0"/>
            <w:insideV w:val="single" w:color="auto" w:sz="4" w:space="0"/>
          </w:tblBorders>
          <w:tblCellMar>
            <w:top w:w="0" w:type="dxa"/>
            <w:left w:w="108" w:type="dxa"/>
            <w:bottom w:w="0" w:type="dxa"/>
            <w:right w:w="108" w:type="dxa"/>
          </w:tblCellMar>
        </w:tblPrEx>
        <w:trPr>
          <w:trHeight w:val="475" w:hRule="exact"/>
        </w:trPr>
        <w:tc>
          <w:tcPr>
            <w:tcW w:w="457" w:type="pct"/>
            <w:vMerge w:val="continue"/>
            <w:tcBorders>
              <w:tl2br w:val="nil"/>
              <w:tr2bl w:val="nil"/>
            </w:tcBorders>
            <w:vAlign w:val="center"/>
          </w:tcPr>
          <w:p w14:paraId="19FFD488">
            <w:pPr>
              <w:pStyle w:val="240"/>
              <w:rPr>
                <w:rFonts w:hint="default"/>
              </w:rPr>
            </w:pPr>
          </w:p>
        </w:tc>
        <w:tc>
          <w:tcPr>
            <w:tcW w:w="1496" w:type="pct"/>
            <w:tcBorders>
              <w:tl2br w:val="nil"/>
              <w:tr2bl w:val="nil"/>
            </w:tcBorders>
            <w:vAlign w:val="center"/>
          </w:tcPr>
          <w:p w14:paraId="0689216D">
            <w:pPr>
              <w:pStyle w:val="240"/>
              <w:rPr>
                <w:rFonts w:hint="default"/>
              </w:rPr>
            </w:pPr>
            <w:r>
              <w:rPr>
                <w:rFonts w:hint="default"/>
              </w:rPr>
              <w:t>202</w:t>
            </w:r>
            <w:r>
              <w:t>5.6.11-2025.6.12</w:t>
            </w:r>
          </w:p>
        </w:tc>
        <w:tc>
          <w:tcPr>
            <w:tcW w:w="1036" w:type="pct"/>
            <w:tcBorders>
              <w:tl2br w:val="nil"/>
              <w:tr2bl w:val="nil"/>
            </w:tcBorders>
            <w:vAlign w:val="center"/>
          </w:tcPr>
          <w:p w14:paraId="55D41907">
            <w:pPr>
              <w:pStyle w:val="240"/>
              <w:rPr>
                <w:rFonts w:hint="default"/>
              </w:rPr>
            </w:pPr>
            <w:r>
              <w:t>202</w:t>
            </w:r>
          </w:p>
        </w:tc>
        <w:tc>
          <w:tcPr>
            <w:tcW w:w="1037" w:type="pct"/>
            <w:tcBorders>
              <w:tl2br w:val="nil"/>
              <w:tr2bl w:val="nil"/>
            </w:tcBorders>
            <w:vAlign w:val="center"/>
          </w:tcPr>
          <w:p w14:paraId="44D117DB">
            <w:pPr>
              <w:pStyle w:val="240"/>
              <w:rPr>
                <w:rFonts w:hint="default"/>
              </w:rPr>
            </w:pPr>
            <w:r>
              <w:t>0.6733</w:t>
            </w:r>
          </w:p>
        </w:tc>
        <w:tc>
          <w:tcPr>
            <w:tcW w:w="973" w:type="pct"/>
            <w:tcBorders>
              <w:tl2br w:val="nil"/>
              <w:tr2bl w:val="nil"/>
            </w:tcBorders>
            <w:vAlign w:val="center"/>
          </w:tcPr>
          <w:p w14:paraId="248CFF22">
            <w:pPr>
              <w:pStyle w:val="240"/>
              <w:rPr>
                <w:rFonts w:hint="default"/>
              </w:rPr>
            </w:pPr>
            <w:r>
              <w:t>否</w:t>
            </w:r>
          </w:p>
        </w:tc>
      </w:tr>
    </w:tbl>
    <w:p w14:paraId="21B3C191">
      <w:pPr>
        <w:spacing w:line="360" w:lineRule="auto"/>
        <w:ind w:firstLine="480" w:firstLineChars="200"/>
        <w:rPr>
          <w:color w:val="000000"/>
          <w:sz w:val="24"/>
          <w:szCs w:val="24"/>
          <w:lang w:bidi="zh-CN"/>
        </w:rPr>
      </w:pPr>
      <w:r>
        <w:rPr>
          <w:rFonts w:hint="eastAsia"/>
          <w:color w:val="000000"/>
          <w:sz w:val="24"/>
          <w:szCs w:val="24"/>
          <w:lang w:bidi="zh-CN"/>
        </w:rPr>
        <w:t>其他</w:t>
      </w:r>
      <w:r>
        <w:rPr>
          <w:rFonts w:hint="eastAsia"/>
          <w:color w:val="000000"/>
          <w:sz w:val="24"/>
          <w:szCs w:val="24"/>
          <w:lang w:val="zh-CN" w:bidi="zh-CN"/>
        </w:rPr>
        <w:t>污染物非甲烷总烃、</w:t>
      </w:r>
      <w:r>
        <w:rPr>
          <w:rFonts w:hint="eastAsia"/>
          <w:color w:val="000000"/>
          <w:sz w:val="24"/>
          <w:szCs w:val="24"/>
          <w:lang w:bidi="zh-CN"/>
        </w:rPr>
        <w:t>TSP评价结果详见表4.3-6。</w:t>
      </w:r>
    </w:p>
    <w:p w14:paraId="0815A7ED">
      <w:pPr>
        <w:jc w:val="center"/>
        <w:rPr>
          <w:b/>
          <w:color w:val="000000"/>
          <w:szCs w:val="21"/>
        </w:rPr>
      </w:pPr>
      <w:r>
        <w:rPr>
          <w:b/>
          <w:color w:val="000000"/>
          <w:szCs w:val="21"/>
        </w:rPr>
        <w:t>表</w:t>
      </w:r>
      <w:r>
        <w:rPr>
          <w:rFonts w:hint="eastAsia"/>
          <w:b/>
          <w:color w:val="000000"/>
          <w:szCs w:val="21"/>
        </w:rPr>
        <w:t>4.3-6</w:t>
      </w:r>
      <w:r>
        <w:rPr>
          <w:b/>
          <w:color w:val="000000"/>
          <w:szCs w:val="21"/>
        </w:rPr>
        <w:t xml:space="preserve">       </w:t>
      </w:r>
      <w:r>
        <w:rPr>
          <w:rFonts w:hint="eastAsia"/>
          <w:b/>
          <w:color w:val="000000"/>
          <w:szCs w:val="21"/>
        </w:rPr>
        <w:t>其他污染物</w:t>
      </w:r>
      <w:r>
        <w:rPr>
          <w:b/>
          <w:color w:val="000000"/>
          <w:szCs w:val="21"/>
        </w:rPr>
        <w:t>环境空气质量评价结果</w:t>
      </w:r>
    </w:p>
    <w:tbl>
      <w:tblPr>
        <w:tblStyle w:val="49"/>
        <w:tblW w:w="8986" w:type="dxa"/>
        <w:jc w:val="center"/>
        <w:tblBorders>
          <w:top w:val="single" w:color="auto" w:sz="12" w:space="0"/>
          <w:left w:val="single" w:color="auto" w:sz="12" w:space="0"/>
          <w:bottom w:val="single" w:color="auto" w:sz="12" w:space="0"/>
          <w:right w:val="single" w:color="auto" w:sz="12" w:space="0"/>
          <w:insideH w:val="single" w:color="auto" w:sz="2" w:space="0"/>
          <w:insideV w:val="single" w:color="auto" w:sz="4" w:space="0"/>
        </w:tblBorders>
        <w:tblLayout w:type="fixed"/>
        <w:tblCellMar>
          <w:top w:w="0" w:type="dxa"/>
          <w:left w:w="108" w:type="dxa"/>
          <w:bottom w:w="0" w:type="dxa"/>
          <w:right w:w="108" w:type="dxa"/>
        </w:tblCellMar>
      </w:tblPr>
      <w:tblGrid>
        <w:gridCol w:w="1361"/>
        <w:gridCol w:w="3067"/>
        <w:gridCol w:w="2249"/>
        <w:gridCol w:w="2309"/>
      </w:tblGrid>
      <w:tr w14:paraId="4064C82F">
        <w:tblPrEx>
          <w:tblBorders>
            <w:top w:val="single" w:color="auto" w:sz="12" w:space="0"/>
            <w:left w:val="single" w:color="auto" w:sz="12" w:space="0"/>
            <w:bottom w:val="single" w:color="auto" w:sz="12" w:space="0"/>
            <w:right w:val="single" w:color="auto" w:sz="12" w:space="0"/>
            <w:insideH w:val="single" w:color="auto" w:sz="2" w:space="0"/>
            <w:insideV w:val="single" w:color="auto" w:sz="4" w:space="0"/>
          </w:tblBorders>
          <w:tblCellMar>
            <w:top w:w="0" w:type="dxa"/>
            <w:left w:w="108" w:type="dxa"/>
            <w:bottom w:w="0" w:type="dxa"/>
            <w:right w:w="108" w:type="dxa"/>
          </w:tblCellMar>
        </w:tblPrEx>
        <w:trPr>
          <w:trHeight w:val="335" w:hRule="atLeast"/>
          <w:jc w:val="center"/>
        </w:trPr>
        <w:tc>
          <w:tcPr>
            <w:tcW w:w="1361" w:type="dxa"/>
            <w:tcBorders>
              <w:tl2br w:val="nil"/>
              <w:tr2bl w:val="nil"/>
            </w:tcBorders>
            <w:vAlign w:val="center"/>
          </w:tcPr>
          <w:p w14:paraId="41D7F72E">
            <w:pPr>
              <w:pStyle w:val="240"/>
              <w:rPr>
                <w:rFonts w:hint="default"/>
              </w:rPr>
            </w:pPr>
            <w:r>
              <w:t>监测因子</w:t>
            </w:r>
          </w:p>
        </w:tc>
        <w:tc>
          <w:tcPr>
            <w:tcW w:w="3067" w:type="dxa"/>
            <w:tcBorders>
              <w:tl2br w:val="nil"/>
              <w:tr2bl w:val="nil"/>
            </w:tcBorders>
            <w:vAlign w:val="center"/>
          </w:tcPr>
          <w:p w14:paraId="15326F83">
            <w:pPr>
              <w:pStyle w:val="240"/>
              <w:rPr>
                <w:rFonts w:hint="default"/>
              </w:rPr>
            </w:pPr>
            <w:r>
              <w:t>监测结果统计</w:t>
            </w:r>
          </w:p>
        </w:tc>
        <w:tc>
          <w:tcPr>
            <w:tcW w:w="2249" w:type="dxa"/>
            <w:tcBorders>
              <w:tl2br w:val="nil"/>
              <w:tr2bl w:val="nil"/>
            </w:tcBorders>
            <w:vAlign w:val="center"/>
          </w:tcPr>
          <w:p w14:paraId="4AECB939">
            <w:pPr>
              <w:pStyle w:val="240"/>
              <w:rPr>
                <w:rFonts w:hint="default"/>
              </w:rPr>
            </w:pPr>
            <w:r>
              <w:t>项目区</w:t>
            </w:r>
          </w:p>
        </w:tc>
        <w:tc>
          <w:tcPr>
            <w:tcW w:w="2309" w:type="dxa"/>
            <w:tcBorders>
              <w:tl2br w:val="nil"/>
              <w:tr2bl w:val="nil"/>
            </w:tcBorders>
            <w:vAlign w:val="center"/>
          </w:tcPr>
          <w:p w14:paraId="768AA83B">
            <w:pPr>
              <w:pStyle w:val="240"/>
              <w:rPr>
                <w:rFonts w:hint="default"/>
              </w:rPr>
            </w:pPr>
            <w:r>
              <w:t>下风向</w:t>
            </w:r>
          </w:p>
        </w:tc>
      </w:tr>
      <w:tr w14:paraId="578B67B6">
        <w:tblPrEx>
          <w:tblBorders>
            <w:top w:val="single" w:color="auto" w:sz="12" w:space="0"/>
            <w:left w:val="single" w:color="auto" w:sz="12" w:space="0"/>
            <w:bottom w:val="single" w:color="auto" w:sz="12" w:space="0"/>
            <w:right w:val="single" w:color="auto" w:sz="12" w:space="0"/>
            <w:insideH w:val="single" w:color="auto" w:sz="2" w:space="0"/>
            <w:insideV w:val="single" w:color="auto" w:sz="4" w:space="0"/>
          </w:tblBorders>
          <w:tblCellMar>
            <w:top w:w="0" w:type="dxa"/>
            <w:left w:w="108" w:type="dxa"/>
            <w:bottom w:w="0" w:type="dxa"/>
            <w:right w:w="108" w:type="dxa"/>
          </w:tblCellMar>
        </w:tblPrEx>
        <w:trPr>
          <w:trHeight w:val="372" w:hRule="exact"/>
          <w:jc w:val="center"/>
        </w:trPr>
        <w:tc>
          <w:tcPr>
            <w:tcW w:w="1361" w:type="dxa"/>
            <w:vMerge w:val="restart"/>
            <w:tcBorders>
              <w:tl2br w:val="nil"/>
              <w:tr2bl w:val="nil"/>
            </w:tcBorders>
            <w:vAlign w:val="center"/>
          </w:tcPr>
          <w:p w14:paraId="75608A83">
            <w:pPr>
              <w:pStyle w:val="240"/>
              <w:rPr>
                <w:rFonts w:hint="default"/>
              </w:rPr>
            </w:pPr>
            <w:r>
              <w:t>非甲烷总烃</w:t>
            </w:r>
          </w:p>
        </w:tc>
        <w:tc>
          <w:tcPr>
            <w:tcW w:w="3067" w:type="dxa"/>
            <w:tcBorders>
              <w:tl2br w:val="nil"/>
              <w:tr2bl w:val="nil"/>
            </w:tcBorders>
            <w:vAlign w:val="center"/>
          </w:tcPr>
          <w:p w14:paraId="13AEC2D2">
            <w:pPr>
              <w:pStyle w:val="240"/>
              <w:rPr>
                <w:rFonts w:hint="default"/>
              </w:rPr>
            </w:pPr>
            <w:r>
              <w:t>有效天数（天）</w:t>
            </w:r>
          </w:p>
        </w:tc>
        <w:tc>
          <w:tcPr>
            <w:tcW w:w="2249" w:type="dxa"/>
            <w:tcBorders>
              <w:tl2br w:val="nil"/>
              <w:tr2bl w:val="nil"/>
            </w:tcBorders>
            <w:vAlign w:val="center"/>
          </w:tcPr>
          <w:p w14:paraId="3274B640">
            <w:pPr>
              <w:pStyle w:val="240"/>
              <w:rPr>
                <w:rFonts w:hint="default"/>
              </w:rPr>
            </w:pPr>
            <w:r>
              <w:t>7</w:t>
            </w:r>
          </w:p>
        </w:tc>
        <w:tc>
          <w:tcPr>
            <w:tcW w:w="2309" w:type="dxa"/>
            <w:tcBorders>
              <w:tl2br w:val="nil"/>
              <w:tr2bl w:val="nil"/>
            </w:tcBorders>
            <w:vAlign w:val="center"/>
          </w:tcPr>
          <w:p w14:paraId="4280856C">
            <w:pPr>
              <w:pStyle w:val="240"/>
              <w:rPr>
                <w:rFonts w:hint="default"/>
              </w:rPr>
            </w:pPr>
            <w:r>
              <w:t>7</w:t>
            </w:r>
          </w:p>
        </w:tc>
      </w:tr>
      <w:tr w14:paraId="44279D4F">
        <w:tblPrEx>
          <w:tblBorders>
            <w:top w:val="single" w:color="auto" w:sz="12" w:space="0"/>
            <w:left w:val="single" w:color="auto" w:sz="12" w:space="0"/>
            <w:bottom w:val="single" w:color="auto" w:sz="12" w:space="0"/>
            <w:right w:val="single" w:color="auto" w:sz="12" w:space="0"/>
            <w:insideH w:val="single" w:color="auto" w:sz="2" w:space="0"/>
            <w:insideV w:val="single" w:color="auto" w:sz="4" w:space="0"/>
          </w:tblBorders>
          <w:tblCellMar>
            <w:top w:w="0" w:type="dxa"/>
            <w:left w:w="108" w:type="dxa"/>
            <w:bottom w:w="0" w:type="dxa"/>
            <w:right w:w="108" w:type="dxa"/>
          </w:tblCellMar>
        </w:tblPrEx>
        <w:trPr>
          <w:trHeight w:val="372" w:hRule="exact"/>
          <w:jc w:val="center"/>
        </w:trPr>
        <w:tc>
          <w:tcPr>
            <w:tcW w:w="1361" w:type="dxa"/>
            <w:vMerge w:val="continue"/>
            <w:tcBorders>
              <w:tl2br w:val="nil"/>
              <w:tr2bl w:val="nil"/>
            </w:tcBorders>
            <w:vAlign w:val="center"/>
          </w:tcPr>
          <w:p w14:paraId="1A16850A">
            <w:pPr>
              <w:pStyle w:val="240"/>
              <w:rPr>
                <w:rFonts w:hint="default"/>
              </w:rPr>
            </w:pPr>
          </w:p>
        </w:tc>
        <w:tc>
          <w:tcPr>
            <w:tcW w:w="3067" w:type="dxa"/>
            <w:tcBorders>
              <w:tl2br w:val="nil"/>
              <w:tr2bl w:val="nil"/>
            </w:tcBorders>
            <w:vAlign w:val="center"/>
          </w:tcPr>
          <w:p w14:paraId="6CFA94E4">
            <w:pPr>
              <w:pStyle w:val="240"/>
              <w:rPr>
                <w:rFonts w:hint="default"/>
              </w:rPr>
            </w:pPr>
            <w:r>
              <w:t>浓度范围（mg/m</w:t>
            </w:r>
            <w:r>
              <w:rPr>
                <w:vertAlign w:val="superscript"/>
              </w:rPr>
              <w:t>3</w:t>
            </w:r>
            <w:r>
              <w:t>）</w:t>
            </w:r>
          </w:p>
        </w:tc>
        <w:tc>
          <w:tcPr>
            <w:tcW w:w="2249" w:type="dxa"/>
            <w:tcBorders>
              <w:tl2br w:val="nil"/>
              <w:tr2bl w:val="nil"/>
            </w:tcBorders>
            <w:vAlign w:val="center"/>
          </w:tcPr>
          <w:p w14:paraId="642EDADF">
            <w:pPr>
              <w:pStyle w:val="240"/>
              <w:rPr>
                <w:rFonts w:hint="default"/>
              </w:rPr>
            </w:pPr>
            <w:r>
              <w:t>0.47-0. 61</w:t>
            </w:r>
          </w:p>
        </w:tc>
        <w:tc>
          <w:tcPr>
            <w:tcW w:w="2309" w:type="dxa"/>
            <w:tcBorders>
              <w:tl2br w:val="nil"/>
              <w:tr2bl w:val="nil"/>
            </w:tcBorders>
            <w:vAlign w:val="center"/>
          </w:tcPr>
          <w:p w14:paraId="748F9A84">
            <w:pPr>
              <w:pStyle w:val="240"/>
              <w:rPr>
                <w:rFonts w:hint="default"/>
              </w:rPr>
            </w:pPr>
            <w:r>
              <w:t>0.61-0.79</w:t>
            </w:r>
          </w:p>
        </w:tc>
      </w:tr>
      <w:tr w14:paraId="7D7FC741">
        <w:tblPrEx>
          <w:tblBorders>
            <w:top w:val="single" w:color="auto" w:sz="12" w:space="0"/>
            <w:left w:val="single" w:color="auto" w:sz="12" w:space="0"/>
            <w:bottom w:val="single" w:color="auto" w:sz="12" w:space="0"/>
            <w:right w:val="single" w:color="auto" w:sz="12" w:space="0"/>
            <w:insideH w:val="single" w:color="auto" w:sz="2" w:space="0"/>
            <w:insideV w:val="single" w:color="auto" w:sz="4" w:space="0"/>
          </w:tblBorders>
          <w:tblCellMar>
            <w:top w:w="0" w:type="dxa"/>
            <w:left w:w="108" w:type="dxa"/>
            <w:bottom w:w="0" w:type="dxa"/>
            <w:right w:w="108" w:type="dxa"/>
          </w:tblCellMar>
        </w:tblPrEx>
        <w:trPr>
          <w:trHeight w:val="372" w:hRule="exact"/>
          <w:jc w:val="center"/>
        </w:trPr>
        <w:tc>
          <w:tcPr>
            <w:tcW w:w="1361" w:type="dxa"/>
            <w:vMerge w:val="continue"/>
            <w:tcBorders>
              <w:tl2br w:val="nil"/>
              <w:tr2bl w:val="nil"/>
            </w:tcBorders>
            <w:vAlign w:val="center"/>
          </w:tcPr>
          <w:p w14:paraId="3ECAB425">
            <w:pPr>
              <w:pStyle w:val="240"/>
              <w:rPr>
                <w:rFonts w:hint="default"/>
              </w:rPr>
            </w:pPr>
          </w:p>
        </w:tc>
        <w:tc>
          <w:tcPr>
            <w:tcW w:w="3067" w:type="dxa"/>
            <w:tcBorders>
              <w:tl2br w:val="nil"/>
              <w:tr2bl w:val="nil"/>
            </w:tcBorders>
            <w:vAlign w:val="center"/>
          </w:tcPr>
          <w:p w14:paraId="016DBE1F">
            <w:pPr>
              <w:pStyle w:val="240"/>
              <w:rPr>
                <w:rFonts w:hint="default"/>
              </w:rPr>
            </w:pPr>
            <w:r>
              <w:t>标准值（mg/m</w:t>
            </w:r>
            <w:r>
              <w:rPr>
                <w:vertAlign w:val="superscript"/>
              </w:rPr>
              <w:t>3</w:t>
            </w:r>
            <w:r>
              <w:t>）</w:t>
            </w:r>
          </w:p>
        </w:tc>
        <w:tc>
          <w:tcPr>
            <w:tcW w:w="2249" w:type="dxa"/>
            <w:tcBorders>
              <w:tl2br w:val="nil"/>
              <w:tr2bl w:val="nil"/>
            </w:tcBorders>
            <w:vAlign w:val="center"/>
          </w:tcPr>
          <w:p w14:paraId="6A235418">
            <w:pPr>
              <w:pStyle w:val="240"/>
              <w:rPr>
                <w:rFonts w:hint="default"/>
              </w:rPr>
            </w:pPr>
            <w:r>
              <w:t>2.0</w:t>
            </w:r>
          </w:p>
        </w:tc>
        <w:tc>
          <w:tcPr>
            <w:tcW w:w="2309" w:type="dxa"/>
            <w:tcBorders>
              <w:tl2br w:val="nil"/>
              <w:tr2bl w:val="nil"/>
            </w:tcBorders>
            <w:vAlign w:val="center"/>
          </w:tcPr>
          <w:p w14:paraId="685E1CB2">
            <w:pPr>
              <w:pStyle w:val="240"/>
              <w:rPr>
                <w:rFonts w:hint="default"/>
              </w:rPr>
            </w:pPr>
            <w:r>
              <w:t>2.0</w:t>
            </w:r>
          </w:p>
        </w:tc>
      </w:tr>
      <w:tr w14:paraId="424BA7B8">
        <w:tblPrEx>
          <w:tblBorders>
            <w:top w:val="single" w:color="auto" w:sz="12" w:space="0"/>
            <w:left w:val="single" w:color="auto" w:sz="12" w:space="0"/>
            <w:bottom w:val="single" w:color="auto" w:sz="12" w:space="0"/>
            <w:right w:val="single" w:color="auto" w:sz="12" w:space="0"/>
            <w:insideH w:val="single" w:color="auto" w:sz="2" w:space="0"/>
            <w:insideV w:val="single" w:color="auto" w:sz="4" w:space="0"/>
          </w:tblBorders>
          <w:tblCellMar>
            <w:top w:w="0" w:type="dxa"/>
            <w:left w:w="108" w:type="dxa"/>
            <w:bottom w:w="0" w:type="dxa"/>
            <w:right w:w="108" w:type="dxa"/>
          </w:tblCellMar>
        </w:tblPrEx>
        <w:trPr>
          <w:trHeight w:val="372" w:hRule="exact"/>
          <w:jc w:val="center"/>
        </w:trPr>
        <w:tc>
          <w:tcPr>
            <w:tcW w:w="1361" w:type="dxa"/>
            <w:vMerge w:val="continue"/>
            <w:tcBorders>
              <w:tl2br w:val="nil"/>
              <w:tr2bl w:val="nil"/>
            </w:tcBorders>
            <w:vAlign w:val="center"/>
          </w:tcPr>
          <w:p w14:paraId="2A0C0CB7">
            <w:pPr>
              <w:pStyle w:val="240"/>
              <w:rPr>
                <w:rFonts w:hint="default"/>
              </w:rPr>
            </w:pPr>
          </w:p>
        </w:tc>
        <w:tc>
          <w:tcPr>
            <w:tcW w:w="3067" w:type="dxa"/>
            <w:tcBorders>
              <w:tl2br w:val="nil"/>
              <w:tr2bl w:val="nil"/>
            </w:tcBorders>
            <w:vAlign w:val="center"/>
          </w:tcPr>
          <w:p w14:paraId="2B5084F3">
            <w:pPr>
              <w:pStyle w:val="240"/>
              <w:rPr>
                <w:rFonts w:hint="default"/>
              </w:rPr>
            </w:pPr>
            <w:r>
              <w:t>单因子标准指数</w:t>
            </w:r>
          </w:p>
        </w:tc>
        <w:tc>
          <w:tcPr>
            <w:tcW w:w="2249" w:type="dxa"/>
            <w:tcBorders>
              <w:tl2br w:val="nil"/>
              <w:tr2bl w:val="nil"/>
            </w:tcBorders>
            <w:vAlign w:val="center"/>
          </w:tcPr>
          <w:p w14:paraId="4B092828">
            <w:pPr>
              <w:pStyle w:val="240"/>
              <w:rPr>
                <w:rFonts w:hint="default"/>
              </w:rPr>
            </w:pPr>
            <w:r>
              <w:t>0.235-0.305</w:t>
            </w:r>
          </w:p>
        </w:tc>
        <w:tc>
          <w:tcPr>
            <w:tcW w:w="2309" w:type="dxa"/>
            <w:tcBorders>
              <w:tl2br w:val="nil"/>
              <w:tr2bl w:val="nil"/>
            </w:tcBorders>
            <w:vAlign w:val="center"/>
          </w:tcPr>
          <w:p w14:paraId="3956641E">
            <w:pPr>
              <w:pStyle w:val="240"/>
              <w:rPr>
                <w:rFonts w:hint="default"/>
              </w:rPr>
            </w:pPr>
            <w:r>
              <w:t>0.305-0.395</w:t>
            </w:r>
          </w:p>
        </w:tc>
      </w:tr>
      <w:tr w14:paraId="1F87DCE6">
        <w:tblPrEx>
          <w:tblBorders>
            <w:top w:val="single" w:color="auto" w:sz="12" w:space="0"/>
            <w:left w:val="single" w:color="auto" w:sz="12" w:space="0"/>
            <w:bottom w:val="single" w:color="auto" w:sz="12" w:space="0"/>
            <w:right w:val="single" w:color="auto" w:sz="12" w:space="0"/>
            <w:insideH w:val="single" w:color="auto" w:sz="2" w:space="0"/>
            <w:insideV w:val="single" w:color="auto" w:sz="4" w:space="0"/>
          </w:tblBorders>
          <w:tblCellMar>
            <w:top w:w="0" w:type="dxa"/>
            <w:left w:w="108" w:type="dxa"/>
            <w:bottom w:w="0" w:type="dxa"/>
            <w:right w:w="108" w:type="dxa"/>
          </w:tblCellMar>
        </w:tblPrEx>
        <w:trPr>
          <w:trHeight w:val="372" w:hRule="exact"/>
          <w:jc w:val="center"/>
        </w:trPr>
        <w:tc>
          <w:tcPr>
            <w:tcW w:w="1361" w:type="dxa"/>
            <w:vMerge w:val="continue"/>
            <w:tcBorders>
              <w:tl2br w:val="nil"/>
              <w:tr2bl w:val="nil"/>
            </w:tcBorders>
            <w:vAlign w:val="center"/>
          </w:tcPr>
          <w:p w14:paraId="6B6E08FF">
            <w:pPr>
              <w:pStyle w:val="240"/>
              <w:rPr>
                <w:rFonts w:hint="default"/>
              </w:rPr>
            </w:pPr>
          </w:p>
        </w:tc>
        <w:tc>
          <w:tcPr>
            <w:tcW w:w="3067" w:type="dxa"/>
            <w:tcBorders>
              <w:tl2br w:val="nil"/>
              <w:tr2bl w:val="nil"/>
            </w:tcBorders>
            <w:vAlign w:val="center"/>
          </w:tcPr>
          <w:p w14:paraId="775BFF97">
            <w:pPr>
              <w:pStyle w:val="240"/>
              <w:rPr>
                <w:rFonts w:hint="default"/>
              </w:rPr>
            </w:pPr>
            <w:r>
              <w:t>超标率</w:t>
            </w:r>
          </w:p>
        </w:tc>
        <w:tc>
          <w:tcPr>
            <w:tcW w:w="2249" w:type="dxa"/>
            <w:tcBorders>
              <w:tl2br w:val="nil"/>
              <w:tr2bl w:val="nil"/>
            </w:tcBorders>
            <w:vAlign w:val="center"/>
          </w:tcPr>
          <w:p w14:paraId="1F6945DC">
            <w:pPr>
              <w:pStyle w:val="240"/>
              <w:rPr>
                <w:rFonts w:hint="default"/>
              </w:rPr>
            </w:pPr>
            <w:r>
              <w:t>0</w:t>
            </w:r>
          </w:p>
        </w:tc>
        <w:tc>
          <w:tcPr>
            <w:tcW w:w="2309" w:type="dxa"/>
            <w:tcBorders>
              <w:tl2br w:val="nil"/>
              <w:tr2bl w:val="nil"/>
            </w:tcBorders>
            <w:vAlign w:val="center"/>
          </w:tcPr>
          <w:p w14:paraId="24A9C218">
            <w:pPr>
              <w:pStyle w:val="240"/>
              <w:rPr>
                <w:rFonts w:hint="default"/>
              </w:rPr>
            </w:pPr>
            <w:r>
              <w:t>0</w:t>
            </w:r>
          </w:p>
        </w:tc>
      </w:tr>
      <w:tr w14:paraId="5CA059F2">
        <w:tblPrEx>
          <w:tblBorders>
            <w:top w:val="single" w:color="auto" w:sz="12" w:space="0"/>
            <w:left w:val="single" w:color="auto" w:sz="12" w:space="0"/>
            <w:bottom w:val="single" w:color="auto" w:sz="12" w:space="0"/>
            <w:right w:val="single" w:color="auto" w:sz="12" w:space="0"/>
            <w:insideH w:val="single" w:color="auto" w:sz="2" w:space="0"/>
            <w:insideV w:val="single" w:color="auto" w:sz="4" w:space="0"/>
          </w:tblBorders>
          <w:tblCellMar>
            <w:top w:w="0" w:type="dxa"/>
            <w:left w:w="108" w:type="dxa"/>
            <w:bottom w:w="0" w:type="dxa"/>
            <w:right w:w="108" w:type="dxa"/>
          </w:tblCellMar>
        </w:tblPrEx>
        <w:trPr>
          <w:trHeight w:val="372" w:hRule="exact"/>
          <w:jc w:val="center"/>
        </w:trPr>
        <w:tc>
          <w:tcPr>
            <w:tcW w:w="1361" w:type="dxa"/>
            <w:vMerge w:val="continue"/>
            <w:tcBorders>
              <w:tl2br w:val="nil"/>
              <w:tr2bl w:val="nil"/>
            </w:tcBorders>
            <w:vAlign w:val="center"/>
          </w:tcPr>
          <w:p w14:paraId="3A3236A7">
            <w:pPr>
              <w:pStyle w:val="240"/>
              <w:rPr>
                <w:rFonts w:hint="default"/>
              </w:rPr>
            </w:pPr>
          </w:p>
        </w:tc>
        <w:tc>
          <w:tcPr>
            <w:tcW w:w="3067" w:type="dxa"/>
            <w:tcBorders>
              <w:tl2br w:val="nil"/>
              <w:tr2bl w:val="nil"/>
            </w:tcBorders>
            <w:vAlign w:val="center"/>
          </w:tcPr>
          <w:p w14:paraId="33676901">
            <w:pPr>
              <w:pStyle w:val="240"/>
              <w:rPr>
                <w:rFonts w:hint="default"/>
              </w:rPr>
            </w:pPr>
            <w:r>
              <w:t>最大超标倍数</w:t>
            </w:r>
          </w:p>
        </w:tc>
        <w:tc>
          <w:tcPr>
            <w:tcW w:w="2249" w:type="dxa"/>
            <w:tcBorders>
              <w:tl2br w:val="nil"/>
              <w:tr2bl w:val="nil"/>
            </w:tcBorders>
            <w:vAlign w:val="center"/>
          </w:tcPr>
          <w:p w14:paraId="21341804">
            <w:pPr>
              <w:pStyle w:val="240"/>
              <w:rPr>
                <w:rFonts w:hint="default"/>
              </w:rPr>
            </w:pPr>
            <w:r>
              <w:t>0</w:t>
            </w:r>
          </w:p>
        </w:tc>
        <w:tc>
          <w:tcPr>
            <w:tcW w:w="2309" w:type="dxa"/>
            <w:tcBorders>
              <w:tl2br w:val="nil"/>
              <w:tr2bl w:val="nil"/>
            </w:tcBorders>
            <w:vAlign w:val="center"/>
          </w:tcPr>
          <w:p w14:paraId="668A2452">
            <w:pPr>
              <w:pStyle w:val="240"/>
              <w:rPr>
                <w:rFonts w:hint="default"/>
              </w:rPr>
            </w:pPr>
            <w:r>
              <w:t>0</w:t>
            </w:r>
          </w:p>
        </w:tc>
      </w:tr>
      <w:tr w14:paraId="7DEB6434">
        <w:tblPrEx>
          <w:tblBorders>
            <w:top w:val="single" w:color="auto" w:sz="12" w:space="0"/>
            <w:left w:val="single" w:color="auto" w:sz="12" w:space="0"/>
            <w:bottom w:val="single" w:color="auto" w:sz="12" w:space="0"/>
            <w:right w:val="single" w:color="auto" w:sz="12" w:space="0"/>
            <w:insideH w:val="single" w:color="auto" w:sz="2" w:space="0"/>
            <w:insideV w:val="single" w:color="auto" w:sz="4" w:space="0"/>
          </w:tblBorders>
          <w:tblCellMar>
            <w:top w:w="0" w:type="dxa"/>
            <w:left w:w="108" w:type="dxa"/>
            <w:bottom w:w="0" w:type="dxa"/>
            <w:right w:w="108" w:type="dxa"/>
          </w:tblCellMar>
        </w:tblPrEx>
        <w:trPr>
          <w:trHeight w:val="372" w:hRule="exact"/>
          <w:jc w:val="center"/>
        </w:trPr>
        <w:tc>
          <w:tcPr>
            <w:tcW w:w="1361" w:type="dxa"/>
            <w:vMerge w:val="continue"/>
            <w:tcBorders>
              <w:tl2br w:val="nil"/>
              <w:tr2bl w:val="nil"/>
            </w:tcBorders>
            <w:vAlign w:val="center"/>
          </w:tcPr>
          <w:p w14:paraId="0EA771EF">
            <w:pPr>
              <w:pStyle w:val="240"/>
              <w:rPr>
                <w:rFonts w:hint="default"/>
              </w:rPr>
            </w:pPr>
          </w:p>
        </w:tc>
        <w:tc>
          <w:tcPr>
            <w:tcW w:w="3067" w:type="dxa"/>
            <w:tcBorders>
              <w:tl2br w:val="nil"/>
              <w:tr2bl w:val="nil"/>
            </w:tcBorders>
            <w:vAlign w:val="center"/>
          </w:tcPr>
          <w:p w14:paraId="48CA8935">
            <w:pPr>
              <w:pStyle w:val="240"/>
              <w:rPr>
                <w:rFonts w:hint="default"/>
              </w:rPr>
            </w:pPr>
            <w:r>
              <w:t>达标情况</w:t>
            </w:r>
          </w:p>
        </w:tc>
        <w:tc>
          <w:tcPr>
            <w:tcW w:w="2249" w:type="dxa"/>
            <w:tcBorders>
              <w:tl2br w:val="nil"/>
              <w:tr2bl w:val="nil"/>
            </w:tcBorders>
            <w:vAlign w:val="center"/>
          </w:tcPr>
          <w:p w14:paraId="1CFE969D">
            <w:pPr>
              <w:pStyle w:val="240"/>
              <w:rPr>
                <w:rFonts w:hint="default"/>
              </w:rPr>
            </w:pPr>
            <w:r>
              <w:t>达标</w:t>
            </w:r>
          </w:p>
        </w:tc>
        <w:tc>
          <w:tcPr>
            <w:tcW w:w="2309" w:type="dxa"/>
            <w:tcBorders>
              <w:tl2br w:val="nil"/>
              <w:tr2bl w:val="nil"/>
            </w:tcBorders>
            <w:vAlign w:val="center"/>
          </w:tcPr>
          <w:p w14:paraId="6DE4CF23">
            <w:pPr>
              <w:pStyle w:val="240"/>
              <w:rPr>
                <w:rFonts w:hint="default"/>
              </w:rPr>
            </w:pPr>
            <w:r>
              <w:t>达标</w:t>
            </w:r>
          </w:p>
        </w:tc>
      </w:tr>
      <w:tr w14:paraId="32E97BE3">
        <w:tblPrEx>
          <w:tblBorders>
            <w:top w:val="single" w:color="auto" w:sz="12" w:space="0"/>
            <w:left w:val="single" w:color="auto" w:sz="12" w:space="0"/>
            <w:bottom w:val="single" w:color="auto" w:sz="12" w:space="0"/>
            <w:right w:val="single" w:color="auto" w:sz="12" w:space="0"/>
            <w:insideH w:val="single" w:color="auto" w:sz="2" w:space="0"/>
            <w:insideV w:val="single" w:color="auto" w:sz="4" w:space="0"/>
          </w:tblBorders>
          <w:tblCellMar>
            <w:top w:w="0" w:type="dxa"/>
            <w:left w:w="108" w:type="dxa"/>
            <w:bottom w:w="0" w:type="dxa"/>
            <w:right w:w="108" w:type="dxa"/>
          </w:tblCellMar>
        </w:tblPrEx>
        <w:trPr>
          <w:trHeight w:val="372" w:hRule="exact"/>
          <w:jc w:val="center"/>
        </w:trPr>
        <w:tc>
          <w:tcPr>
            <w:tcW w:w="1361" w:type="dxa"/>
            <w:vMerge w:val="restart"/>
            <w:tcBorders>
              <w:tl2br w:val="nil"/>
              <w:tr2bl w:val="nil"/>
            </w:tcBorders>
            <w:vAlign w:val="center"/>
          </w:tcPr>
          <w:p w14:paraId="4A700DB6">
            <w:pPr>
              <w:pStyle w:val="240"/>
              <w:rPr>
                <w:rFonts w:hint="default"/>
              </w:rPr>
            </w:pPr>
            <w:r>
              <w:t>TSP</w:t>
            </w:r>
          </w:p>
        </w:tc>
        <w:tc>
          <w:tcPr>
            <w:tcW w:w="3067" w:type="dxa"/>
            <w:tcBorders>
              <w:tl2br w:val="nil"/>
              <w:tr2bl w:val="nil"/>
            </w:tcBorders>
            <w:vAlign w:val="center"/>
          </w:tcPr>
          <w:p w14:paraId="47CACB78">
            <w:pPr>
              <w:pStyle w:val="240"/>
              <w:rPr>
                <w:rFonts w:hint="default"/>
              </w:rPr>
            </w:pPr>
            <w:r>
              <w:t>有效天数（天）</w:t>
            </w:r>
          </w:p>
        </w:tc>
        <w:tc>
          <w:tcPr>
            <w:tcW w:w="2249" w:type="dxa"/>
            <w:tcBorders>
              <w:tl2br w:val="nil"/>
              <w:tr2bl w:val="nil"/>
            </w:tcBorders>
            <w:vAlign w:val="center"/>
          </w:tcPr>
          <w:p w14:paraId="49EC97F4">
            <w:pPr>
              <w:pStyle w:val="240"/>
              <w:rPr>
                <w:rFonts w:hint="default"/>
              </w:rPr>
            </w:pPr>
            <w:r>
              <w:t>7</w:t>
            </w:r>
          </w:p>
        </w:tc>
        <w:tc>
          <w:tcPr>
            <w:tcW w:w="2309" w:type="dxa"/>
            <w:tcBorders>
              <w:tl2br w:val="nil"/>
              <w:tr2bl w:val="nil"/>
            </w:tcBorders>
            <w:vAlign w:val="center"/>
          </w:tcPr>
          <w:p w14:paraId="148E51EC">
            <w:pPr>
              <w:pStyle w:val="240"/>
              <w:rPr>
                <w:rFonts w:hint="default"/>
              </w:rPr>
            </w:pPr>
            <w:r>
              <w:t>7</w:t>
            </w:r>
          </w:p>
        </w:tc>
      </w:tr>
      <w:tr w14:paraId="32875AE6">
        <w:tblPrEx>
          <w:tblBorders>
            <w:top w:val="single" w:color="auto" w:sz="12" w:space="0"/>
            <w:left w:val="single" w:color="auto" w:sz="12" w:space="0"/>
            <w:bottom w:val="single" w:color="auto" w:sz="12" w:space="0"/>
            <w:right w:val="single" w:color="auto" w:sz="12" w:space="0"/>
            <w:insideH w:val="single" w:color="auto" w:sz="2" w:space="0"/>
            <w:insideV w:val="single" w:color="auto" w:sz="4" w:space="0"/>
          </w:tblBorders>
          <w:tblCellMar>
            <w:top w:w="0" w:type="dxa"/>
            <w:left w:w="108" w:type="dxa"/>
            <w:bottom w:w="0" w:type="dxa"/>
            <w:right w:w="108" w:type="dxa"/>
          </w:tblCellMar>
        </w:tblPrEx>
        <w:trPr>
          <w:trHeight w:val="372" w:hRule="exact"/>
          <w:jc w:val="center"/>
        </w:trPr>
        <w:tc>
          <w:tcPr>
            <w:tcW w:w="1361" w:type="dxa"/>
            <w:vMerge w:val="continue"/>
            <w:tcBorders>
              <w:tl2br w:val="nil"/>
              <w:tr2bl w:val="nil"/>
            </w:tcBorders>
            <w:vAlign w:val="center"/>
          </w:tcPr>
          <w:p w14:paraId="4242934C">
            <w:pPr>
              <w:pStyle w:val="240"/>
              <w:rPr>
                <w:rFonts w:hint="default"/>
              </w:rPr>
            </w:pPr>
          </w:p>
        </w:tc>
        <w:tc>
          <w:tcPr>
            <w:tcW w:w="3067" w:type="dxa"/>
            <w:tcBorders>
              <w:tl2br w:val="nil"/>
              <w:tr2bl w:val="nil"/>
            </w:tcBorders>
            <w:vAlign w:val="center"/>
          </w:tcPr>
          <w:p w14:paraId="0F19B0AA">
            <w:pPr>
              <w:pStyle w:val="240"/>
              <w:rPr>
                <w:rFonts w:hint="default"/>
              </w:rPr>
            </w:pPr>
            <w:r>
              <w:t>浓度范围（mg/m</w:t>
            </w:r>
            <w:r>
              <w:rPr>
                <w:vertAlign w:val="superscript"/>
              </w:rPr>
              <w:t>3</w:t>
            </w:r>
            <w:r>
              <w:t>）</w:t>
            </w:r>
          </w:p>
        </w:tc>
        <w:tc>
          <w:tcPr>
            <w:tcW w:w="2249" w:type="dxa"/>
            <w:tcBorders>
              <w:tl2br w:val="nil"/>
              <w:tr2bl w:val="nil"/>
            </w:tcBorders>
            <w:vAlign w:val="center"/>
          </w:tcPr>
          <w:p w14:paraId="679B2C5E">
            <w:pPr>
              <w:pStyle w:val="240"/>
              <w:rPr>
                <w:rFonts w:hint="default"/>
              </w:rPr>
            </w:pPr>
            <w:r>
              <w:t>205-236</w:t>
            </w:r>
          </w:p>
        </w:tc>
        <w:tc>
          <w:tcPr>
            <w:tcW w:w="2309" w:type="dxa"/>
            <w:tcBorders>
              <w:tl2br w:val="nil"/>
              <w:tr2bl w:val="nil"/>
            </w:tcBorders>
            <w:vAlign w:val="center"/>
          </w:tcPr>
          <w:p w14:paraId="4701FE58">
            <w:pPr>
              <w:pStyle w:val="240"/>
              <w:rPr>
                <w:rFonts w:hint="default"/>
              </w:rPr>
            </w:pPr>
            <w:r>
              <w:t>202-228</w:t>
            </w:r>
          </w:p>
        </w:tc>
      </w:tr>
      <w:tr w14:paraId="2C0D89DF">
        <w:tblPrEx>
          <w:tblBorders>
            <w:top w:val="single" w:color="auto" w:sz="12" w:space="0"/>
            <w:left w:val="single" w:color="auto" w:sz="12" w:space="0"/>
            <w:bottom w:val="single" w:color="auto" w:sz="12" w:space="0"/>
            <w:right w:val="single" w:color="auto" w:sz="12" w:space="0"/>
            <w:insideH w:val="single" w:color="auto" w:sz="2" w:space="0"/>
            <w:insideV w:val="single" w:color="auto" w:sz="4" w:space="0"/>
          </w:tblBorders>
          <w:tblCellMar>
            <w:top w:w="0" w:type="dxa"/>
            <w:left w:w="108" w:type="dxa"/>
            <w:bottom w:w="0" w:type="dxa"/>
            <w:right w:w="108" w:type="dxa"/>
          </w:tblCellMar>
        </w:tblPrEx>
        <w:trPr>
          <w:trHeight w:val="372" w:hRule="exact"/>
          <w:jc w:val="center"/>
        </w:trPr>
        <w:tc>
          <w:tcPr>
            <w:tcW w:w="1361" w:type="dxa"/>
            <w:vMerge w:val="continue"/>
            <w:tcBorders>
              <w:tl2br w:val="nil"/>
              <w:tr2bl w:val="nil"/>
            </w:tcBorders>
            <w:vAlign w:val="center"/>
          </w:tcPr>
          <w:p w14:paraId="0DB6F6BC">
            <w:pPr>
              <w:pStyle w:val="240"/>
              <w:rPr>
                <w:rFonts w:hint="default"/>
              </w:rPr>
            </w:pPr>
          </w:p>
        </w:tc>
        <w:tc>
          <w:tcPr>
            <w:tcW w:w="3067" w:type="dxa"/>
            <w:tcBorders>
              <w:tl2br w:val="nil"/>
              <w:tr2bl w:val="nil"/>
            </w:tcBorders>
            <w:vAlign w:val="center"/>
          </w:tcPr>
          <w:p w14:paraId="3F244138">
            <w:pPr>
              <w:pStyle w:val="240"/>
              <w:rPr>
                <w:rFonts w:hint="default"/>
              </w:rPr>
            </w:pPr>
            <w:r>
              <w:t>标准值（mg/m</w:t>
            </w:r>
            <w:r>
              <w:rPr>
                <w:vertAlign w:val="superscript"/>
              </w:rPr>
              <w:t>3</w:t>
            </w:r>
            <w:r>
              <w:t>）</w:t>
            </w:r>
          </w:p>
        </w:tc>
        <w:tc>
          <w:tcPr>
            <w:tcW w:w="2249" w:type="dxa"/>
            <w:tcBorders>
              <w:tl2br w:val="nil"/>
              <w:tr2bl w:val="nil"/>
            </w:tcBorders>
            <w:vAlign w:val="center"/>
          </w:tcPr>
          <w:p w14:paraId="6CE6E0A6">
            <w:pPr>
              <w:pStyle w:val="240"/>
              <w:rPr>
                <w:rFonts w:hint="default"/>
              </w:rPr>
            </w:pPr>
            <w:r>
              <w:t>0.3</w:t>
            </w:r>
          </w:p>
        </w:tc>
        <w:tc>
          <w:tcPr>
            <w:tcW w:w="2309" w:type="dxa"/>
            <w:tcBorders>
              <w:tl2br w:val="nil"/>
              <w:tr2bl w:val="nil"/>
            </w:tcBorders>
            <w:vAlign w:val="center"/>
          </w:tcPr>
          <w:p w14:paraId="7045424D">
            <w:pPr>
              <w:pStyle w:val="240"/>
              <w:rPr>
                <w:rFonts w:hint="default"/>
              </w:rPr>
            </w:pPr>
            <w:r>
              <w:t>0.3</w:t>
            </w:r>
          </w:p>
        </w:tc>
      </w:tr>
      <w:tr w14:paraId="5B8312EC">
        <w:tblPrEx>
          <w:tblBorders>
            <w:top w:val="single" w:color="auto" w:sz="12" w:space="0"/>
            <w:left w:val="single" w:color="auto" w:sz="12" w:space="0"/>
            <w:bottom w:val="single" w:color="auto" w:sz="12" w:space="0"/>
            <w:right w:val="single" w:color="auto" w:sz="12" w:space="0"/>
            <w:insideH w:val="single" w:color="auto" w:sz="2" w:space="0"/>
            <w:insideV w:val="single" w:color="auto" w:sz="4" w:space="0"/>
          </w:tblBorders>
          <w:tblCellMar>
            <w:top w:w="0" w:type="dxa"/>
            <w:left w:w="108" w:type="dxa"/>
            <w:bottom w:w="0" w:type="dxa"/>
            <w:right w:w="108" w:type="dxa"/>
          </w:tblCellMar>
        </w:tblPrEx>
        <w:trPr>
          <w:trHeight w:val="372" w:hRule="exact"/>
          <w:jc w:val="center"/>
        </w:trPr>
        <w:tc>
          <w:tcPr>
            <w:tcW w:w="1361" w:type="dxa"/>
            <w:vMerge w:val="continue"/>
            <w:tcBorders>
              <w:tl2br w:val="nil"/>
              <w:tr2bl w:val="nil"/>
            </w:tcBorders>
            <w:vAlign w:val="center"/>
          </w:tcPr>
          <w:p w14:paraId="1E6EFA45">
            <w:pPr>
              <w:pStyle w:val="240"/>
              <w:rPr>
                <w:rFonts w:hint="default"/>
              </w:rPr>
            </w:pPr>
          </w:p>
        </w:tc>
        <w:tc>
          <w:tcPr>
            <w:tcW w:w="3067" w:type="dxa"/>
            <w:tcBorders>
              <w:tl2br w:val="nil"/>
              <w:tr2bl w:val="nil"/>
            </w:tcBorders>
            <w:vAlign w:val="center"/>
          </w:tcPr>
          <w:p w14:paraId="2283DCC5">
            <w:pPr>
              <w:pStyle w:val="240"/>
              <w:rPr>
                <w:rFonts w:hint="default"/>
              </w:rPr>
            </w:pPr>
            <w:r>
              <w:t>单因子标准指数</w:t>
            </w:r>
          </w:p>
        </w:tc>
        <w:tc>
          <w:tcPr>
            <w:tcW w:w="2249" w:type="dxa"/>
            <w:tcBorders>
              <w:tl2br w:val="nil"/>
              <w:tr2bl w:val="nil"/>
            </w:tcBorders>
            <w:vAlign w:val="center"/>
          </w:tcPr>
          <w:p w14:paraId="37B931C8">
            <w:pPr>
              <w:pStyle w:val="240"/>
              <w:rPr>
                <w:rFonts w:hint="default"/>
              </w:rPr>
            </w:pPr>
            <w:r>
              <w:t>0.6833-0.7866</w:t>
            </w:r>
          </w:p>
        </w:tc>
        <w:tc>
          <w:tcPr>
            <w:tcW w:w="2309" w:type="dxa"/>
            <w:tcBorders>
              <w:tl2br w:val="nil"/>
              <w:tr2bl w:val="nil"/>
            </w:tcBorders>
            <w:vAlign w:val="center"/>
          </w:tcPr>
          <w:p w14:paraId="56B792AE">
            <w:pPr>
              <w:pStyle w:val="240"/>
              <w:rPr>
                <w:rFonts w:hint="default"/>
              </w:rPr>
            </w:pPr>
            <w:r>
              <w:t>0.6733-0.7600</w:t>
            </w:r>
          </w:p>
        </w:tc>
      </w:tr>
      <w:tr w14:paraId="2F777150">
        <w:tblPrEx>
          <w:tblBorders>
            <w:top w:val="single" w:color="auto" w:sz="12" w:space="0"/>
            <w:left w:val="single" w:color="auto" w:sz="12" w:space="0"/>
            <w:bottom w:val="single" w:color="auto" w:sz="12" w:space="0"/>
            <w:right w:val="single" w:color="auto" w:sz="12" w:space="0"/>
            <w:insideH w:val="single" w:color="auto" w:sz="2" w:space="0"/>
            <w:insideV w:val="single" w:color="auto" w:sz="4" w:space="0"/>
          </w:tblBorders>
          <w:tblCellMar>
            <w:top w:w="0" w:type="dxa"/>
            <w:left w:w="108" w:type="dxa"/>
            <w:bottom w:w="0" w:type="dxa"/>
            <w:right w:w="108" w:type="dxa"/>
          </w:tblCellMar>
        </w:tblPrEx>
        <w:trPr>
          <w:trHeight w:val="372" w:hRule="exact"/>
          <w:jc w:val="center"/>
        </w:trPr>
        <w:tc>
          <w:tcPr>
            <w:tcW w:w="1361" w:type="dxa"/>
            <w:vMerge w:val="continue"/>
            <w:tcBorders>
              <w:tl2br w:val="nil"/>
              <w:tr2bl w:val="nil"/>
            </w:tcBorders>
            <w:vAlign w:val="center"/>
          </w:tcPr>
          <w:p w14:paraId="4E79CF49">
            <w:pPr>
              <w:pStyle w:val="240"/>
              <w:rPr>
                <w:rFonts w:hint="default"/>
              </w:rPr>
            </w:pPr>
          </w:p>
        </w:tc>
        <w:tc>
          <w:tcPr>
            <w:tcW w:w="3067" w:type="dxa"/>
            <w:tcBorders>
              <w:tl2br w:val="nil"/>
              <w:tr2bl w:val="nil"/>
            </w:tcBorders>
            <w:vAlign w:val="center"/>
          </w:tcPr>
          <w:p w14:paraId="3211FE69">
            <w:pPr>
              <w:pStyle w:val="240"/>
              <w:rPr>
                <w:rFonts w:hint="default"/>
              </w:rPr>
            </w:pPr>
            <w:r>
              <w:t>超标率</w:t>
            </w:r>
          </w:p>
        </w:tc>
        <w:tc>
          <w:tcPr>
            <w:tcW w:w="2249" w:type="dxa"/>
            <w:tcBorders>
              <w:tl2br w:val="nil"/>
              <w:tr2bl w:val="nil"/>
            </w:tcBorders>
            <w:vAlign w:val="center"/>
          </w:tcPr>
          <w:p w14:paraId="7759C248">
            <w:pPr>
              <w:pStyle w:val="240"/>
              <w:rPr>
                <w:rFonts w:hint="default"/>
              </w:rPr>
            </w:pPr>
            <w:r>
              <w:t>0</w:t>
            </w:r>
          </w:p>
        </w:tc>
        <w:tc>
          <w:tcPr>
            <w:tcW w:w="2309" w:type="dxa"/>
            <w:tcBorders>
              <w:tl2br w:val="nil"/>
              <w:tr2bl w:val="nil"/>
            </w:tcBorders>
            <w:vAlign w:val="center"/>
          </w:tcPr>
          <w:p w14:paraId="497F3094">
            <w:pPr>
              <w:pStyle w:val="240"/>
              <w:rPr>
                <w:rFonts w:hint="default"/>
              </w:rPr>
            </w:pPr>
            <w:r>
              <w:t>0</w:t>
            </w:r>
          </w:p>
        </w:tc>
      </w:tr>
      <w:tr w14:paraId="6F978F5B">
        <w:tblPrEx>
          <w:tblBorders>
            <w:top w:val="single" w:color="auto" w:sz="12" w:space="0"/>
            <w:left w:val="single" w:color="auto" w:sz="12" w:space="0"/>
            <w:bottom w:val="single" w:color="auto" w:sz="12" w:space="0"/>
            <w:right w:val="single" w:color="auto" w:sz="12" w:space="0"/>
            <w:insideH w:val="single" w:color="auto" w:sz="2" w:space="0"/>
            <w:insideV w:val="single" w:color="auto" w:sz="4" w:space="0"/>
          </w:tblBorders>
          <w:tblCellMar>
            <w:top w:w="0" w:type="dxa"/>
            <w:left w:w="108" w:type="dxa"/>
            <w:bottom w:w="0" w:type="dxa"/>
            <w:right w:w="108" w:type="dxa"/>
          </w:tblCellMar>
        </w:tblPrEx>
        <w:trPr>
          <w:trHeight w:val="372" w:hRule="exact"/>
          <w:jc w:val="center"/>
        </w:trPr>
        <w:tc>
          <w:tcPr>
            <w:tcW w:w="1361" w:type="dxa"/>
            <w:vMerge w:val="continue"/>
            <w:tcBorders>
              <w:tl2br w:val="nil"/>
              <w:tr2bl w:val="nil"/>
            </w:tcBorders>
            <w:vAlign w:val="center"/>
          </w:tcPr>
          <w:p w14:paraId="1442D1D9">
            <w:pPr>
              <w:pStyle w:val="240"/>
              <w:rPr>
                <w:rFonts w:hint="default"/>
              </w:rPr>
            </w:pPr>
          </w:p>
        </w:tc>
        <w:tc>
          <w:tcPr>
            <w:tcW w:w="3067" w:type="dxa"/>
            <w:tcBorders>
              <w:tl2br w:val="nil"/>
              <w:tr2bl w:val="nil"/>
            </w:tcBorders>
            <w:vAlign w:val="center"/>
          </w:tcPr>
          <w:p w14:paraId="627925C1">
            <w:pPr>
              <w:pStyle w:val="240"/>
              <w:rPr>
                <w:rFonts w:hint="default"/>
              </w:rPr>
            </w:pPr>
            <w:r>
              <w:t>最大超标倍数</w:t>
            </w:r>
          </w:p>
        </w:tc>
        <w:tc>
          <w:tcPr>
            <w:tcW w:w="2249" w:type="dxa"/>
            <w:tcBorders>
              <w:tl2br w:val="nil"/>
              <w:tr2bl w:val="nil"/>
            </w:tcBorders>
            <w:vAlign w:val="center"/>
          </w:tcPr>
          <w:p w14:paraId="5CAA5898">
            <w:pPr>
              <w:pStyle w:val="240"/>
              <w:rPr>
                <w:rFonts w:hint="default"/>
              </w:rPr>
            </w:pPr>
            <w:r>
              <w:t>0</w:t>
            </w:r>
          </w:p>
        </w:tc>
        <w:tc>
          <w:tcPr>
            <w:tcW w:w="2309" w:type="dxa"/>
            <w:tcBorders>
              <w:tl2br w:val="nil"/>
              <w:tr2bl w:val="nil"/>
            </w:tcBorders>
            <w:vAlign w:val="center"/>
          </w:tcPr>
          <w:p w14:paraId="0E15A640">
            <w:pPr>
              <w:pStyle w:val="240"/>
              <w:rPr>
                <w:rFonts w:hint="default"/>
              </w:rPr>
            </w:pPr>
            <w:r>
              <w:t>0</w:t>
            </w:r>
          </w:p>
        </w:tc>
      </w:tr>
      <w:tr w14:paraId="32A6962C">
        <w:tblPrEx>
          <w:tblBorders>
            <w:top w:val="single" w:color="auto" w:sz="12" w:space="0"/>
            <w:left w:val="single" w:color="auto" w:sz="12" w:space="0"/>
            <w:bottom w:val="single" w:color="auto" w:sz="12" w:space="0"/>
            <w:right w:val="single" w:color="auto" w:sz="12" w:space="0"/>
            <w:insideH w:val="single" w:color="auto" w:sz="2" w:space="0"/>
            <w:insideV w:val="single" w:color="auto" w:sz="4" w:space="0"/>
          </w:tblBorders>
          <w:tblCellMar>
            <w:top w:w="0" w:type="dxa"/>
            <w:left w:w="108" w:type="dxa"/>
            <w:bottom w:w="0" w:type="dxa"/>
            <w:right w:w="108" w:type="dxa"/>
          </w:tblCellMar>
        </w:tblPrEx>
        <w:trPr>
          <w:trHeight w:val="429" w:hRule="exact"/>
          <w:jc w:val="center"/>
        </w:trPr>
        <w:tc>
          <w:tcPr>
            <w:tcW w:w="1361" w:type="dxa"/>
            <w:vMerge w:val="continue"/>
            <w:tcBorders>
              <w:tl2br w:val="nil"/>
              <w:tr2bl w:val="nil"/>
            </w:tcBorders>
            <w:vAlign w:val="center"/>
          </w:tcPr>
          <w:p w14:paraId="24639969">
            <w:pPr>
              <w:pStyle w:val="240"/>
              <w:rPr>
                <w:rFonts w:hint="default"/>
              </w:rPr>
            </w:pPr>
          </w:p>
        </w:tc>
        <w:tc>
          <w:tcPr>
            <w:tcW w:w="3067" w:type="dxa"/>
            <w:tcBorders>
              <w:tl2br w:val="nil"/>
              <w:tr2bl w:val="nil"/>
            </w:tcBorders>
            <w:vAlign w:val="center"/>
          </w:tcPr>
          <w:p w14:paraId="1C0114A8">
            <w:pPr>
              <w:pStyle w:val="240"/>
              <w:rPr>
                <w:rFonts w:hint="default"/>
              </w:rPr>
            </w:pPr>
            <w:r>
              <w:t>达标情况</w:t>
            </w:r>
          </w:p>
        </w:tc>
        <w:tc>
          <w:tcPr>
            <w:tcW w:w="2249" w:type="dxa"/>
            <w:tcBorders>
              <w:tl2br w:val="nil"/>
              <w:tr2bl w:val="nil"/>
            </w:tcBorders>
            <w:vAlign w:val="center"/>
          </w:tcPr>
          <w:p w14:paraId="70823DC1">
            <w:pPr>
              <w:pStyle w:val="240"/>
              <w:rPr>
                <w:rFonts w:hint="default"/>
              </w:rPr>
            </w:pPr>
            <w:r>
              <w:t>达标</w:t>
            </w:r>
          </w:p>
        </w:tc>
        <w:tc>
          <w:tcPr>
            <w:tcW w:w="2309" w:type="dxa"/>
            <w:tcBorders>
              <w:tl2br w:val="nil"/>
              <w:tr2bl w:val="nil"/>
            </w:tcBorders>
            <w:vAlign w:val="center"/>
          </w:tcPr>
          <w:p w14:paraId="4F881551">
            <w:pPr>
              <w:pStyle w:val="240"/>
              <w:rPr>
                <w:rFonts w:hint="default"/>
              </w:rPr>
            </w:pPr>
            <w:r>
              <w:t>达标</w:t>
            </w:r>
          </w:p>
        </w:tc>
      </w:tr>
    </w:tbl>
    <w:p w14:paraId="3BDBF658">
      <w:pPr>
        <w:widowControl/>
        <w:spacing w:line="360" w:lineRule="auto"/>
        <w:ind w:firstLine="480" w:firstLineChars="200"/>
        <w:rPr>
          <w:color w:val="000000"/>
          <w:sz w:val="24"/>
        </w:rPr>
      </w:pPr>
      <w:r>
        <w:rPr>
          <w:rFonts w:hint="eastAsia"/>
          <w:color w:val="000000"/>
          <w:sz w:val="24"/>
        </w:rPr>
        <w:t>根据表4.3-4、4.3-5</w:t>
      </w:r>
      <w:r>
        <w:rPr>
          <w:rFonts w:hint="eastAsia"/>
          <w:bCs/>
          <w:color w:val="000000"/>
          <w:sz w:val="24"/>
        </w:rPr>
        <w:t>污染物非甲烷总烃、TSP补充监测数据以及表4.3-6环境空气质量评价结果显示，项目所在区域特征污染物非甲烷总烃、TSP监测结果均达标。TSP满足《环境空气质量标准》（GB3095-2012）二级标准要求，非甲烷总烃满足《大气污染物综合排放标准详解》中的要求。</w:t>
      </w:r>
    </w:p>
    <w:p w14:paraId="00865814">
      <w:pPr>
        <w:pStyle w:val="4"/>
        <w:autoSpaceDE w:val="0"/>
        <w:autoSpaceDN w:val="0"/>
        <w:spacing w:before="0" w:after="0" w:line="360" w:lineRule="auto"/>
        <w:jc w:val="left"/>
        <w:rPr>
          <w:kern w:val="0"/>
          <w:sz w:val="24"/>
          <w:lang w:val="en-US" w:bidi="zh-CN"/>
        </w:rPr>
      </w:pPr>
      <w:r>
        <w:rPr>
          <w:rFonts w:hint="eastAsia"/>
          <w:kern w:val="0"/>
          <w:sz w:val="24"/>
          <w:lang w:val="en-US" w:bidi="zh-CN"/>
        </w:rPr>
        <w:t>4.3.2地表水环境质量现状调查与评价</w:t>
      </w:r>
      <w:bookmarkEnd w:id="241"/>
      <w:bookmarkEnd w:id="242"/>
    </w:p>
    <w:p w14:paraId="3CED9D08">
      <w:pPr>
        <w:spacing w:line="360" w:lineRule="auto"/>
        <w:ind w:firstLine="482"/>
        <w:rPr>
          <w:rFonts w:hint="eastAsia" w:ascii="宋体" w:hAnsi="宋体" w:cs="宋体"/>
          <w:sz w:val="24"/>
          <w:szCs w:val="24"/>
        </w:rPr>
      </w:pPr>
      <w:bookmarkStart w:id="243" w:name="_Toc5835"/>
      <w:bookmarkStart w:id="244" w:name="_Toc7463"/>
      <w:r>
        <w:rPr>
          <w:rFonts w:hint="eastAsia" w:ascii="宋体" w:hAnsi="宋体" w:cs="宋体"/>
          <w:sz w:val="24"/>
          <w:szCs w:val="24"/>
        </w:rPr>
        <w:t>本项目废水属于间接排放，评价工作等级为三级B，根据技术导则，三级B项目不要求进行地表水环境质量现状调查，因此本次不进行质量调查与分析。</w:t>
      </w:r>
    </w:p>
    <w:p w14:paraId="02AE045E">
      <w:pPr>
        <w:pStyle w:val="4"/>
        <w:autoSpaceDE w:val="0"/>
        <w:autoSpaceDN w:val="0"/>
        <w:spacing w:before="0" w:after="0" w:line="360" w:lineRule="auto"/>
        <w:jc w:val="left"/>
        <w:rPr>
          <w:kern w:val="0"/>
          <w:sz w:val="24"/>
          <w:lang w:val="en-US" w:bidi="zh-CN"/>
        </w:rPr>
      </w:pPr>
      <w:bookmarkStart w:id="245" w:name="_Toc3343"/>
      <w:r>
        <w:rPr>
          <w:rFonts w:hint="eastAsia"/>
          <w:kern w:val="0"/>
          <w:sz w:val="24"/>
          <w:lang w:val="en-US" w:bidi="zh-CN"/>
        </w:rPr>
        <w:t>4.3.3地下水质量现状调查与评价</w:t>
      </w:r>
      <w:bookmarkEnd w:id="245"/>
    </w:p>
    <w:bookmarkEnd w:id="243"/>
    <w:bookmarkEnd w:id="244"/>
    <w:p w14:paraId="68EA3B86">
      <w:pPr>
        <w:pStyle w:val="246"/>
        <w:ind w:firstLine="480"/>
        <w:rPr>
          <w:rFonts w:hint="eastAsia" w:ascii="宋体" w:hAnsi="宋体" w:cs="宋体"/>
        </w:rPr>
      </w:pPr>
      <w:bookmarkStart w:id="246" w:name="_Toc3687"/>
      <w:r>
        <w:rPr>
          <w:rFonts w:hint="eastAsia" w:ascii="宋体" w:hAnsi="宋体" w:cs="宋体"/>
          <w:lang w:eastAsia="zh-CN"/>
        </w:rPr>
        <w:t>本项目</w:t>
      </w:r>
      <w:r>
        <w:rPr>
          <w:rFonts w:hint="default" w:ascii="Times New Roman" w:hAnsi="Times New Roman" w:eastAsia="宋体" w:cs="Times New Roman"/>
          <w:color w:val="auto"/>
          <w:kern w:val="0"/>
          <w:sz w:val="24"/>
          <w:szCs w:val="20"/>
          <w:lang w:val="en-US" w:eastAsia="zh-CN" w:bidi="ar-SA"/>
        </w:rPr>
        <w:t>地下水环境质量现状评价委托</w:t>
      </w:r>
      <w:r>
        <w:rPr>
          <w:rFonts w:hint="default" w:ascii="Times New Roman" w:hAnsi="Times New Roman" w:eastAsia="宋体" w:cs="Times New Roman"/>
          <w:color w:val="auto"/>
          <w:kern w:val="0"/>
          <w:lang w:bidi="ar"/>
        </w:rPr>
        <w:t>新疆</w:t>
      </w:r>
      <w:r>
        <w:rPr>
          <w:rFonts w:hint="eastAsia" w:ascii="Times New Roman" w:hAnsi="Times New Roman" w:eastAsia="宋体" w:cs="Times New Roman"/>
          <w:color w:val="auto"/>
          <w:kern w:val="0"/>
          <w:lang w:val="en-US" w:eastAsia="zh-CN" w:bidi="ar"/>
        </w:rPr>
        <w:t>中测测试</w:t>
      </w:r>
      <w:r>
        <w:rPr>
          <w:rFonts w:hint="default" w:ascii="Times New Roman" w:hAnsi="Times New Roman" w:eastAsia="宋体" w:cs="Times New Roman"/>
          <w:color w:val="auto"/>
          <w:kern w:val="0"/>
          <w:lang w:val="en-US" w:eastAsia="zh-CN" w:bidi="ar"/>
        </w:rPr>
        <w:t>有限</w:t>
      </w:r>
      <w:r>
        <w:rPr>
          <w:rFonts w:hint="eastAsia" w:ascii="Times New Roman" w:hAnsi="Times New Roman" w:eastAsia="宋体" w:cs="Times New Roman"/>
          <w:color w:val="auto"/>
          <w:kern w:val="0"/>
          <w:lang w:val="en-US" w:eastAsia="zh-CN" w:bidi="ar"/>
        </w:rPr>
        <w:t>责任</w:t>
      </w:r>
      <w:r>
        <w:rPr>
          <w:rFonts w:hint="default" w:ascii="Times New Roman" w:hAnsi="Times New Roman" w:eastAsia="宋体" w:cs="Times New Roman"/>
          <w:color w:val="auto"/>
          <w:kern w:val="0"/>
          <w:lang w:val="en-US" w:eastAsia="zh-CN" w:bidi="ar"/>
        </w:rPr>
        <w:t>公司</w:t>
      </w:r>
      <w:r>
        <w:rPr>
          <w:rFonts w:hint="default" w:ascii="Times New Roman" w:hAnsi="Times New Roman" w:eastAsia="宋体" w:cs="Times New Roman"/>
          <w:color w:val="auto"/>
          <w:kern w:val="0"/>
          <w:sz w:val="24"/>
          <w:szCs w:val="20"/>
          <w:lang w:val="en-US" w:eastAsia="zh-CN" w:bidi="ar-SA"/>
        </w:rPr>
        <w:t>于202</w:t>
      </w:r>
      <w:r>
        <w:rPr>
          <w:rFonts w:hint="eastAsia" w:ascii="Times New Roman" w:hAnsi="Times New Roman" w:eastAsia="宋体" w:cs="Times New Roman"/>
          <w:color w:val="auto"/>
          <w:kern w:val="0"/>
          <w:sz w:val="24"/>
          <w:szCs w:val="20"/>
          <w:lang w:val="en-US" w:eastAsia="zh-CN" w:bidi="ar-SA"/>
        </w:rPr>
        <w:t>5</w:t>
      </w:r>
      <w:r>
        <w:rPr>
          <w:rFonts w:hint="default" w:ascii="Times New Roman" w:hAnsi="Times New Roman" w:eastAsia="宋体" w:cs="Times New Roman"/>
          <w:color w:val="auto"/>
          <w:kern w:val="0"/>
          <w:sz w:val="24"/>
          <w:szCs w:val="20"/>
          <w:lang w:val="en-US" w:eastAsia="zh-CN" w:bidi="ar-SA"/>
        </w:rPr>
        <w:t>年</w:t>
      </w:r>
      <w:r>
        <w:rPr>
          <w:rFonts w:hint="eastAsia" w:ascii="Times New Roman" w:hAnsi="Times New Roman" w:eastAsia="宋体" w:cs="Times New Roman"/>
          <w:color w:val="auto"/>
          <w:kern w:val="0"/>
          <w:sz w:val="24"/>
          <w:szCs w:val="20"/>
          <w:lang w:val="en-US" w:eastAsia="zh-CN" w:bidi="ar-SA"/>
        </w:rPr>
        <w:t>6</w:t>
      </w:r>
      <w:r>
        <w:rPr>
          <w:rFonts w:hint="default" w:ascii="Times New Roman" w:hAnsi="Times New Roman" w:eastAsia="宋体" w:cs="Times New Roman"/>
          <w:color w:val="auto"/>
          <w:kern w:val="0"/>
          <w:sz w:val="24"/>
          <w:szCs w:val="20"/>
          <w:lang w:val="en-US" w:eastAsia="zh-CN" w:bidi="ar-SA"/>
        </w:rPr>
        <w:t>月</w:t>
      </w:r>
      <w:r>
        <w:rPr>
          <w:rFonts w:hint="eastAsia" w:ascii="Times New Roman" w:hAnsi="Times New Roman" w:eastAsia="宋体" w:cs="Times New Roman"/>
          <w:color w:val="auto"/>
          <w:kern w:val="0"/>
          <w:sz w:val="24"/>
          <w:szCs w:val="20"/>
          <w:lang w:val="en-US" w:eastAsia="zh-CN" w:bidi="ar-SA"/>
        </w:rPr>
        <w:t>5</w:t>
      </w:r>
      <w:r>
        <w:rPr>
          <w:rFonts w:hint="default" w:ascii="Times New Roman" w:hAnsi="Times New Roman" w:eastAsia="宋体" w:cs="Times New Roman"/>
          <w:color w:val="auto"/>
          <w:kern w:val="0"/>
          <w:sz w:val="24"/>
          <w:szCs w:val="20"/>
          <w:lang w:val="en-US" w:eastAsia="zh-CN" w:bidi="ar-SA"/>
        </w:rPr>
        <w:t>日对</w:t>
      </w:r>
      <w:r>
        <w:rPr>
          <w:rFonts w:hint="eastAsia" w:ascii="Times New Roman" w:hAnsi="Times New Roman" w:eastAsia="宋体" w:cs="Times New Roman"/>
          <w:color w:val="auto"/>
          <w:kern w:val="0"/>
          <w:sz w:val="24"/>
          <w:szCs w:val="20"/>
          <w:lang w:val="en-US" w:eastAsia="zh-CN" w:bidi="ar-SA"/>
        </w:rPr>
        <w:t>项目区</w:t>
      </w:r>
      <w:r>
        <w:rPr>
          <w:rFonts w:hint="default" w:ascii="Times New Roman" w:hAnsi="Times New Roman" w:eastAsia="宋体" w:cs="Times New Roman"/>
          <w:color w:val="auto"/>
          <w:kern w:val="0"/>
          <w:sz w:val="24"/>
          <w:szCs w:val="20"/>
          <w:lang w:val="en-US" w:eastAsia="zh-CN" w:bidi="ar-SA"/>
        </w:rPr>
        <w:t>地下水环境质量现状进行监测</w:t>
      </w:r>
      <w:r>
        <w:rPr>
          <w:rFonts w:hint="eastAsia" w:ascii="Times New Roman" w:hAnsi="Times New Roman" w:eastAsia="宋体" w:cs="Times New Roman"/>
          <w:color w:val="auto"/>
          <w:kern w:val="0"/>
          <w:sz w:val="24"/>
          <w:szCs w:val="20"/>
          <w:lang w:val="en-US" w:eastAsia="zh-CN" w:bidi="ar-SA"/>
        </w:rPr>
        <w:t>。</w:t>
      </w:r>
    </w:p>
    <w:p w14:paraId="1B01811A">
      <w:pPr>
        <w:pStyle w:val="5"/>
        <w:rPr>
          <w:rFonts w:hint="eastAsia" w:ascii="Times New Roman" w:hAnsi="Times New Roman" w:eastAsia="宋体" w:cs="Times New Roman"/>
          <w:color w:val="000000"/>
          <w:lang w:val="en-US" w:eastAsia="zh-CN"/>
        </w:rPr>
      </w:pPr>
      <w:r>
        <w:rPr>
          <w:rFonts w:hint="eastAsia" w:ascii="Times New Roman" w:hAnsi="Times New Roman" w:eastAsia="宋体" w:cs="Times New Roman"/>
          <w:color w:val="000000"/>
          <w:lang w:val="en-US" w:eastAsia="zh-CN"/>
        </w:rPr>
        <w:t>4.3.3.1地下水水质现状监测评价</w:t>
      </w:r>
    </w:p>
    <w:p w14:paraId="2FEA9191">
      <w:pPr>
        <w:spacing w:line="360" w:lineRule="auto"/>
        <w:ind w:firstLine="480" w:firstLineChars="200"/>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（1）监测布点</w:t>
      </w:r>
    </w:p>
    <w:p w14:paraId="54DF2258">
      <w:pPr>
        <w:pStyle w:val="246"/>
        <w:ind w:firstLine="480"/>
        <w:rPr>
          <w:rFonts w:hint="eastAsia" w:ascii="宋体" w:hAnsi="宋体" w:cs="宋体"/>
        </w:rPr>
      </w:pPr>
      <w:r>
        <w:rPr>
          <w:rFonts w:hint="eastAsia" w:ascii="宋体" w:hAnsi="宋体" w:cs="宋体"/>
          <w:bCs/>
        </w:rPr>
        <w:t>本项目地下水监测采用控制性布点与功能性布点相结合的布设原则，并根据当地实际情况，在项目所在区域上游、下游和项目区各布设1个地下水监测点，监测层位均为潜水层。</w:t>
      </w:r>
      <w:r>
        <w:rPr>
          <w:rFonts w:hint="eastAsia" w:ascii="宋体" w:hAnsi="宋体" w:cs="宋体"/>
          <w:bCs/>
          <w:lang w:eastAsia="zh-CN"/>
        </w:rPr>
        <w:t>同时编制人员进行现场调查和当地居民走访，对项目区周边上游和下游除水质监测点外的其他</w:t>
      </w:r>
      <w:r>
        <w:rPr>
          <w:rFonts w:hint="eastAsia" w:ascii="宋体" w:hAnsi="宋体" w:cs="宋体"/>
          <w:bCs/>
          <w:lang w:val="en-US" w:eastAsia="zh-CN"/>
        </w:rPr>
        <w:t>3个水位监测点进行水位和井深的调查。</w:t>
      </w:r>
      <w:r>
        <w:rPr>
          <w:rFonts w:hint="eastAsia" w:ascii="宋体" w:hAnsi="宋体" w:cs="宋体"/>
          <w:bCs/>
        </w:rPr>
        <w:t>监测点位见图4.3-1，</w:t>
      </w:r>
      <w:r>
        <w:rPr>
          <w:rFonts w:hint="eastAsia" w:ascii="宋体" w:hAnsi="宋体" w:cs="宋体"/>
        </w:rPr>
        <w:t>监测点位见表4.3-7。</w:t>
      </w:r>
    </w:p>
    <w:p w14:paraId="0F356C6E">
      <w:pPr>
        <w:widowControl/>
        <w:adjustRightInd w:val="0"/>
        <w:snapToGrid w:val="0"/>
        <w:jc w:val="center"/>
        <w:rPr>
          <w:rFonts w:hint="eastAsia" w:ascii="宋体" w:hAnsi="宋体" w:cs="宋体"/>
          <w:b/>
          <w:bCs/>
          <w:szCs w:val="21"/>
        </w:rPr>
      </w:pPr>
      <w:r>
        <w:rPr>
          <w:rFonts w:hint="eastAsia" w:ascii="宋体" w:hAnsi="宋体" w:cs="宋体"/>
          <w:b/>
          <w:bCs/>
          <w:szCs w:val="21"/>
        </w:rPr>
        <w:t>表4.3-7        地下水环境监测布点一览表</w:t>
      </w:r>
    </w:p>
    <w:tbl>
      <w:tblPr>
        <w:tblStyle w:val="49"/>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2467"/>
        <w:gridCol w:w="1755"/>
        <w:gridCol w:w="1456"/>
        <w:gridCol w:w="682"/>
        <w:gridCol w:w="936"/>
        <w:gridCol w:w="1820"/>
      </w:tblGrid>
      <w:tr w14:paraId="21FF493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6" w:hRule="atLeast"/>
        </w:trPr>
        <w:tc>
          <w:tcPr>
            <w:tcW w:w="1353" w:type="pct"/>
            <w:tcBorders>
              <w:tl2br w:val="nil"/>
              <w:tr2bl w:val="nil"/>
            </w:tcBorders>
            <w:vAlign w:val="bottom"/>
          </w:tcPr>
          <w:p w14:paraId="0F8D5F00">
            <w:pPr>
              <w:keepNext w:val="0"/>
              <w:keepLines w:val="0"/>
              <w:pageBreakBefore w:val="0"/>
              <w:widowControl w:val="0"/>
              <w:kinsoku/>
              <w:wordWrap/>
              <w:overflowPunct/>
              <w:topLinePunct w:val="0"/>
              <w:autoSpaceDE/>
              <w:autoSpaceDN/>
              <w:bidi w:val="0"/>
              <w:adjustRightInd/>
              <w:snapToGrid/>
              <w:spacing w:line="280" w:lineRule="exact"/>
              <w:jc w:val="center"/>
              <w:textAlignment w:val="baseline"/>
              <w:rPr>
                <w:rFonts w:hint="eastAsia" w:ascii="宋体" w:hAnsi="宋体" w:cs="宋体"/>
                <w:kern w:val="13"/>
              </w:rPr>
            </w:pPr>
            <w:r>
              <w:rPr>
                <w:rFonts w:hint="eastAsia" w:ascii="宋体" w:hAnsi="宋体" w:cs="宋体"/>
                <w:kern w:val="13"/>
              </w:rPr>
              <w:t>监测点位及样品编号</w:t>
            </w:r>
          </w:p>
        </w:tc>
        <w:tc>
          <w:tcPr>
            <w:tcW w:w="962" w:type="pct"/>
            <w:tcBorders>
              <w:tl2br w:val="nil"/>
              <w:tr2bl w:val="nil"/>
            </w:tcBorders>
            <w:vAlign w:val="bottom"/>
          </w:tcPr>
          <w:p w14:paraId="3D824ED4">
            <w:pPr>
              <w:keepNext w:val="0"/>
              <w:keepLines w:val="0"/>
              <w:pageBreakBefore w:val="0"/>
              <w:widowControl w:val="0"/>
              <w:kinsoku/>
              <w:wordWrap/>
              <w:overflowPunct/>
              <w:topLinePunct w:val="0"/>
              <w:autoSpaceDE/>
              <w:autoSpaceDN/>
              <w:bidi w:val="0"/>
              <w:adjustRightInd/>
              <w:snapToGrid/>
              <w:spacing w:line="280" w:lineRule="exact"/>
              <w:jc w:val="center"/>
              <w:textAlignment w:val="baseline"/>
              <w:rPr>
                <w:rFonts w:hint="eastAsia" w:ascii="宋体" w:hAnsi="宋体" w:cs="宋体"/>
                <w:kern w:val="13"/>
              </w:rPr>
            </w:pPr>
            <w:r>
              <w:rPr>
                <w:rFonts w:hint="eastAsia" w:ascii="宋体" w:hAnsi="宋体" w:cs="宋体"/>
                <w:kern w:val="13"/>
              </w:rPr>
              <w:t>经纬度</w:t>
            </w:r>
          </w:p>
        </w:tc>
        <w:tc>
          <w:tcPr>
            <w:tcW w:w="798" w:type="pct"/>
            <w:tcBorders>
              <w:tl2br w:val="nil"/>
              <w:tr2bl w:val="nil"/>
            </w:tcBorders>
            <w:vAlign w:val="bottom"/>
          </w:tcPr>
          <w:p w14:paraId="4B16EDF6">
            <w:pPr>
              <w:keepNext w:val="0"/>
              <w:keepLines w:val="0"/>
              <w:pageBreakBefore w:val="0"/>
              <w:widowControl w:val="0"/>
              <w:kinsoku/>
              <w:wordWrap/>
              <w:overflowPunct/>
              <w:topLinePunct w:val="0"/>
              <w:autoSpaceDE/>
              <w:autoSpaceDN/>
              <w:bidi w:val="0"/>
              <w:adjustRightInd/>
              <w:snapToGrid/>
              <w:spacing w:line="280" w:lineRule="exact"/>
              <w:jc w:val="center"/>
              <w:textAlignment w:val="baseline"/>
              <w:rPr>
                <w:rFonts w:hint="eastAsia" w:ascii="宋体" w:hAnsi="宋体" w:cs="宋体"/>
                <w:kern w:val="13"/>
              </w:rPr>
            </w:pPr>
            <w:r>
              <w:rPr>
                <w:rFonts w:hint="eastAsia" w:ascii="宋体" w:hAnsi="宋体" w:cs="宋体"/>
                <w:kern w:val="13"/>
              </w:rPr>
              <w:t>监测目的层</w:t>
            </w:r>
          </w:p>
        </w:tc>
        <w:tc>
          <w:tcPr>
            <w:tcW w:w="374" w:type="pct"/>
            <w:tcBorders>
              <w:tl2br w:val="nil"/>
              <w:tr2bl w:val="nil"/>
            </w:tcBorders>
            <w:vAlign w:val="bottom"/>
          </w:tcPr>
          <w:p w14:paraId="49B3D321">
            <w:pPr>
              <w:keepNext w:val="0"/>
              <w:keepLines w:val="0"/>
              <w:pageBreakBefore w:val="0"/>
              <w:widowControl w:val="0"/>
              <w:kinsoku/>
              <w:wordWrap/>
              <w:overflowPunct/>
              <w:topLinePunct w:val="0"/>
              <w:autoSpaceDE/>
              <w:autoSpaceDN/>
              <w:bidi w:val="0"/>
              <w:adjustRightInd/>
              <w:snapToGrid/>
              <w:spacing w:line="280" w:lineRule="exact"/>
              <w:jc w:val="center"/>
              <w:textAlignment w:val="baseline"/>
              <w:rPr>
                <w:rFonts w:hint="eastAsia" w:ascii="宋体" w:hAnsi="宋体" w:cs="宋体"/>
                <w:kern w:val="13"/>
              </w:rPr>
            </w:pPr>
            <w:r>
              <w:rPr>
                <w:rFonts w:hint="eastAsia" w:ascii="宋体" w:hAnsi="宋体" w:cs="宋体"/>
                <w:kern w:val="13"/>
              </w:rPr>
              <w:t>水位</w:t>
            </w:r>
          </w:p>
        </w:tc>
        <w:tc>
          <w:tcPr>
            <w:tcW w:w="513" w:type="pct"/>
            <w:tcBorders>
              <w:tl2br w:val="nil"/>
              <w:tr2bl w:val="nil"/>
            </w:tcBorders>
            <w:vAlign w:val="bottom"/>
          </w:tcPr>
          <w:p w14:paraId="7BBC08CB">
            <w:pPr>
              <w:keepNext w:val="0"/>
              <w:keepLines w:val="0"/>
              <w:pageBreakBefore w:val="0"/>
              <w:widowControl w:val="0"/>
              <w:kinsoku/>
              <w:wordWrap/>
              <w:overflowPunct/>
              <w:topLinePunct w:val="0"/>
              <w:autoSpaceDE/>
              <w:autoSpaceDN/>
              <w:bidi w:val="0"/>
              <w:adjustRightInd/>
              <w:snapToGrid/>
              <w:spacing w:line="280" w:lineRule="exact"/>
              <w:jc w:val="center"/>
              <w:textAlignment w:val="baseline"/>
              <w:rPr>
                <w:rFonts w:hint="eastAsia" w:ascii="宋体" w:hAnsi="宋体" w:cs="宋体"/>
                <w:kern w:val="13"/>
              </w:rPr>
            </w:pPr>
            <w:r>
              <w:rPr>
                <w:rFonts w:hint="eastAsia" w:ascii="宋体" w:hAnsi="宋体" w:cs="宋体"/>
                <w:kern w:val="13"/>
              </w:rPr>
              <w:t>井深</w:t>
            </w:r>
          </w:p>
        </w:tc>
        <w:tc>
          <w:tcPr>
            <w:tcW w:w="998" w:type="pct"/>
            <w:tcBorders>
              <w:tl2br w:val="nil"/>
              <w:tr2bl w:val="nil"/>
            </w:tcBorders>
            <w:vAlign w:val="bottom"/>
          </w:tcPr>
          <w:p w14:paraId="12B76DE3">
            <w:pPr>
              <w:keepNext w:val="0"/>
              <w:keepLines w:val="0"/>
              <w:pageBreakBefore w:val="0"/>
              <w:widowControl w:val="0"/>
              <w:kinsoku/>
              <w:wordWrap/>
              <w:overflowPunct/>
              <w:topLinePunct w:val="0"/>
              <w:autoSpaceDE/>
              <w:autoSpaceDN/>
              <w:bidi w:val="0"/>
              <w:adjustRightInd/>
              <w:snapToGrid/>
              <w:spacing w:line="280" w:lineRule="exact"/>
              <w:jc w:val="center"/>
              <w:textAlignment w:val="baseline"/>
              <w:rPr>
                <w:rFonts w:hint="eastAsia" w:ascii="宋体" w:hAnsi="宋体" w:cs="宋体"/>
                <w:kern w:val="13"/>
              </w:rPr>
            </w:pPr>
            <w:r>
              <w:rPr>
                <w:rFonts w:hint="eastAsia" w:ascii="宋体" w:hAnsi="宋体" w:cs="宋体"/>
                <w:kern w:val="13"/>
              </w:rPr>
              <w:t>与项目位置关系</w:t>
            </w:r>
          </w:p>
        </w:tc>
      </w:tr>
      <w:tr w14:paraId="03616FE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353" w:type="pct"/>
            <w:tcBorders>
              <w:tl2br w:val="nil"/>
              <w:tr2bl w:val="nil"/>
            </w:tcBorders>
            <w:vAlign w:val="center"/>
          </w:tcPr>
          <w:p w14:paraId="59A8EC8B">
            <w:pPr>
              <w:keepNext w:val="0"/>
              <w:keepLines w:val="0"/>
              <w:pageBreakBefore w:val="0"/>
              <w:widowControl w:val="0"/>
              <w:kinsoku/>
              <w:wordWrap/>
              <w:overflowPunct/>
              <w:topLinePunct w:val="0"/>
              <w:autoSpaceDE/>
              <w:autoSpaceDN/>
              <w:bidi w:val="0"/>
              <w:adjustRightInd/>
              <w:snapToGrid/>
              <w:spacing w:line="280" w:lineRule="exact"/>
              <w:jc w:val="center"/>
              <w:textAlignment w:val="baseline"/>
              <w:rPr>
                <w:rFonts w:hint="eastAsia" w:ascii="宋体" w:hAnsi="宋体" w:cs="宋体"/>
                <w:kern w:val="13"/>
              </w:rPr>
            </w:pPr>
            <w:r>
              <w:rPr>
                <w:rFonts w:hint="eastAsia" w:ascii="宋体" w:hAnsi="宋体" w:cs="宋体"/>
                <w:kern w:val="13"/>
              </w:rPr>
              <w:t>1#（</w:t>
            </w:r>
            <w:r>
              <w:rPr>
                <w:rFonts w:hint="eastAsia" w:ascii="宋体" w:hAnsi="宋体" w:cs="宋体"/>
                <w:color w:val="000000"/>
                <w:szCs w:val="21"/>
              </w:rPr>
              <w:t>GW25060052-01-01</w:t>
            </w:r>
            <w:r>
              <w:rPr>
                <w:rFonts w:hint="eastAsia" w:ascii="宋体" w:hAnsi="宋体" w:cs="宋体"/>
                <w:kern w:val="13"/>
              </w:rPr>
              <w:t>）</w:t>
            </w:r>
          </w:p>
        </w:tc>
        <w:tc>
          <w:tcPr>
            <w:tcW w:w="962" w:type="pct"/>
            <w:tcBorders>
              <w:tl2br w:val="nil"/>
              <w:tr2bl w:val="nil"/>
            </w:tcBorders>
            <w:vAlign w:val="center"/>
          </w:tcPr>
          <w:p w14:paraId="6098B829">
            <w:pPr>
              <w:keepNext w:val="0"/>
              <w:keepLines w:val="0"/>
              <w:pageBreakBefore w:val="0"/>
              <w:widowControl w:val="0"/>
              <w:kinsoku/>
              <w:wordWrap/>
              <w:overflowPunct/>
              <w:topLinePunct w:val="0"/>
              <w:autoSpaceDE/>
              <w:autoSpaceDN/>
              <w:bidi w:val="0"/>
              <w:adjustRightInd/>
              <w:snapToGrid/>
              <w:spacing w:line="280" w:lineRule="exact"/>
              <w:jc w:val="center"/>
              <w:rPr>
                <w:rFonts w:hint="eastAsia" w:ascii="宋体" w:hAnsi="宋体" w:cs="宋体"/>
                <w:szCs w:val="21"/>
              </w:rPr>
            </w:pPr>
            <w:r>
              <w:rPr>
                <w:rFonts w:hint="eastAsia" w:ascii="宋体" w:hAnsi="宋体" w:cs="宋体"/>
                <w:szCs w:val="21"/>
              </w:rPr>
              <w:t>经度85.828349</w:t>
            </w:r>
          </w:p>
          <w:p w14:paraId="40876C5C">
            <w:pPr>
              <w:keepNext w:val="0"/>
              <w:keepLines w:val="0"/>
              <w:pageBreakBefore w:val="0"/>
              <w:widowControl w:val="0"/>
              <w:kinsoku/>
              <w:wordWrap/>
              <w:overflowPunct/>
              <w:topLinePunct w:val="0"/>
              <w:autoSpaceDE/>
              <w:autoSpaceDN/>
              <w:bidi w:val="0"/>
              <w:adjustRightInd/>
              <w:snapToGrid/>
              <w:spacing w:line="280" w:lineRule="exact"/>
              <w:jc w:val="center"/>
              <w:textAlignment w:val="baseline"/>
              <w:rPr>
                <w:rFonts w:hint="eastAsia" w:ascii="宋体" w:hAnsi="宋体" w:cs="宋体"/>
                <w:color w:val="C00000"/>
                <w:kern w:val="13"/>
              </w:rPr>
            </w:pPr>
            <w:r>
              <w:rPr>
                <w:rFonts w:hint="eastAsia" w:ascii="宋体" w:hAnsi="宋体" w:cs="宋体"/>
                <w:szCs w:val="21"/>
              </w:rPr>
              <w:t>纬度41.420222</w:t>
            </w:r>
          </w:p>
        </w:tc>
        <w:tc>
          <w:tcPr>
            <w:tcW w:w="798" w:type="pct"/>
            <w:tcBorders>
              <w:tl2br w:val="nil"/>
              <w:tr2bl w:val="nil"/>
            </w:tcBorders>
            <w:vAlign w:val="center"/>
          </w:tcPr>
          <w:p w14:paraId="2654D36D">
            <w:pPr>
              <w:keepNext w:val="0"/>
              <w:keepLines w:val="0"/>
              <w:pageBreakBefore w:val="0"/>
              <w:widowControl w:val="0"/>
              <w:kinsoku/>
              <w:wordWrap/>
              <w:overflowPunct/>
              <w:topLinePunct w:val="0"/>
              <w:autoSpaceDE/>
              <w:autoSpaceDN/>
              <w:bidi w:val="0"/>
              <w:adjustRightInd/>
              <w:snapToGrid/>
              <w:spacing w:line="280" w:lineRule="exact"/>
              <w:jc w:val="center"/>
              <w:textAlignment w:val="baseline"/>
              <w:rPr>
                <w:rFonts w:hint="eastAsia" w:ascii="宋体" w:hAnsi="宋体" w:cs="宋体"/>
                <w:kern w:val="13"/>
              </w:rPr>
            </w:pPr>
            <w:r>
              <w:rPr>
                <w:rFonts w:hint="eastAsia" w:ascii="宋体" w:hAnsi="宋体" w:cs="宋体"/>
                <w:kern w:val="13"/>
              </w:rPr>
              <w:t>潜水</w:t>
            </w:r>
          </w:p>
        </w:tc>
        <w:tc>
          <w:tcPr>
            <w:tcW w:w="374" w:type="pct"/>
            <w:tcBorders>
              <w:tl2br w:val="nil"/>
              <w:tr2bl w:val="nil"/>
            </w:tcBorders>
            <w:vAlign w:val="center"/>
          </w:tcPr>
          <w:p w14:paraId="1F3FB373">
            <w:pPr>
              <w:keepNext w:val="0"/>
              <w:keepLines w:val="0"/>
              <w:pageBreakBefore w:val="0"/>
              <w:widowControl w:val="0"/>
              <w:kinsoku/>
              <w:wordWrap/>
              <w:overflowPunct/>
              <w:topLinePunct w:val="0"/>
              <w:autoSpaceDE/>
              <w:autoSpaceDN/>
              <w:bidi w:val="0"/>
              <w:adjustRightInd/>
              <w:snapToGrid/>
              <w:spacing w:line="280" w:lineRule="exact"/>
              <w:jc w:val="center"/>
              <w:textAlignment w:val="baseline"/>
              <w:rPr>
                <w:rFonts w:hint="eastAsia" w:ascii="宋体" w:hAnsi="宋体" w:cs="宋体"/>
                <w:kern w:val="13"/>
              </w:rPr>
            </w:pPr>
            <w:r>
              <w:rPr>
                <w:rFonts w:hint="eastAsia" w:ascii="宋体" w:hAnsi="宋体" w:cs="宋体"/>
                <w:kern w:val="13"/>
              </w:rPr>
              <w:t>4.5</w:t>
            </w:r>
          </w:p>
        </w:tc>
        <w:tc>
          <w:tcPr>
            <w:tcW w:w="513" w:type="pct"/>
            <w:tcBorders>
              <w:tl2br w:val="nil"/>
              <w:tr2bl w:val="nil"/>
            </w:tcBorders>
            <w:vAlign w:val="center"/>
          </w:tcPr>
          <w:p w14:paraId="5D7196DE">
            <w:pPr>
              <w:keepNext w:val="0"/>
              <w:keepLines w:val="0"/>
              <w:pageBreakBefore w:val="0"/>
              <w:widowControl w:val="0"/>
              <w:kinsoku/>
              <w:wordWrap/>
              <w:overflowPunct/>
              <w:topLinePunct w:val="0"/>
              <w:autoSpaceDE/>
              <w:autoSpaceDN/>
              <w:bidi w:val="0"/>
              <w:adjustRightInd/>
              <w:snapToGrid/>
              <w:spacing w:line="280" w:lineRule="exact"/>
              <w:jc w:val="center"/>
              <w:textAlignment w:val="baseline"/>
              <w:rPr>
                <w:rFonts w:hint="eastAsia" w:ascii="宋体" w:hAnsi="宋体" w:cs="宋体"/>
                <w:kern w:val="13"/>
              </w:rPr>
            </w:pPr>
            <w:r>
              <w:rPr>
                <w:rFonts w:hint="eastAsia" w:ascii="宋体" w:hAnsi="宋体" w:cs="宋体"/>
                <w:kern w:val="13"/>
              </w:rPr>
              <w:t>24.5</w:t>
            </w:r>
          </w:p>
        </w:tc>
        <w:tc>
          <w:tcPr>
            <w:tcW w:w="998" w:type="pct"/>
            <w:tcBorders>
              <w:tl2br w:val="nil"/>
              <w:tr2bl w:val="nil"/>
            </w:tcBorders>
            <w:vAlign w:val="center"/>
          </w:tcPr>
          <w:p w14:paraId="69D3F4C1">
            <w:pPr>
              <w:keepNext w:val="0"/>
              <w:keepLines w:val="0"/>
              <w:pageBreakBefore w:val="0"/>
              <w:widowControl w:val="0"/>
              <w:kinsoku/>
              <w:wordWrap/>
              <w:overflowPunct/>
              <w:topLinePunct w:val="0"/>
              <w:autoSpaceDE/>
              <w:autoSpaceDN/>
              <w:bidi w:val="0"/>
              <w:adjustRightInd/>
              <w:snapToGrid/>
              <w:spacing w:line="280" w:lineRule="exact"/>
              <w:jc w:val="center"/>
              <w:textAlignment w:val="baseline"/>
              <w:rPr>
                <w:rFonts w:hint="eastAsia" w:ascii="宋体" w:hAnsi="宋体" w:cs="宋体"/>
                <w:kern w:val="13"/>
              </w:rPr>
            </w:pPr>
            <w:r>
              <w:rPr>
                <w:rFonts w:hint="eastAsia" w:ascii="宋体" w:hAnsi="宋体" w:cs="宋体"/>
                <w:kern w:val="13"/>
              </w:rPr>
              <w:t>项目区上游</w:t>
            </w:r>
          </w:p>
        </w:tc>
      </w:tr>
      <w:tr w14:paraId="1D97ED4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353" w:type="pct"/>
            <w:tcBorders>
              <w:tl2br w:val="nil"/>
              <w:tr2bl w:val="nil"/>
            </w:tcBorders>
            <w:vAlign w:val="center"/>
          </w:tcPr>
          <w:p w14:paraId="4C0D9D18">
            <w:pPr>
              <w:keepNext w:val="0"/>
              <w:keepLines w:val="0"/>
              <w:pageBreakBefore w:val="0"/>
              <w:widowControl w:val="0"/>
              <w:kinsoku/>
              <w:wordWrap/>
              <w:overflowPunct/>
              <w:topLinePunct w:val="0"/>
              <w:autoSpaceDE/>
              <w:autoSpaceDN/>
              <w:bidi w:val="0"/>
              <w:adjustRightInd/>
              <w:snapToGrid/>
              <w:spacing w:line="280" w:lineRule="exact"/>
              <w:jc w:val="center"/>
              <w:rPr>
                <w:rFonts w:hint="eastAsia" w:ascii="宋体" w:hAnsi="宋体" w:cs="宋体"/>
                <w:kern w:val="13"/>
              </w:rPr>
            </w:pPr>
            <w:r>
              <w:rPr>
                <w:rFonts w:hint="eastAsia" w:ascii="宋体" w:hAnsi="宋体" w:cs="宋体"/>
                <w:kern w:val="13"/>
              </w:rPr>
              <w:t>2#（</w:t>
            </w:r>
            <w:r>
              <w:rPr>
                <w:rFonts w:hint="eastAsia" w:ascii="宋体" w:hAnsi="宋体" w:cs="宋体"/>
                <w:color w:val="000000"/>
                <w:szCs w:val="21"/>
              </w:rPr>
              <w:t>GW25060052-01-02</w:t>
            </w:r>
            <w:r>
              <w:rPr>
                <w:rFonts w:hint="eastAsia" w:ascii="宋体" w:hAnsi="宋体" w:cs="宋体"/>
                <w:kern w:val="13"/>
              </w:rPr>
              <w:t>）</w:t>
            </w:r>
          </w:p>
        </w:tc>
        <w:tc>
          <w:tcPr>
            <w:tcW w:w="962" w:type="pct"/>
            <w:tcBorders>
              <w:tl2br w:val="nil"/>
              <w:tr2bl w:val="nil"/>
            </w:tcBorders>
            <w:vAlign w:val="center"/>
          </w:tcPr>
          <w:p w14:paraId="11466248">
            <w:pPr>
              <w:keepNext w:val="0"/>
              <w:keepLines w:val="0"/>
              <w:pageBreakBefore w:val="0"/>
              <w:widowControl w:val="0"/>
              <w:kinsoku/>
              <w:wordWrap/>
              <w:overflowPunct/>
              <w:topLinePunct w:val="0"/>
              <w:autoSpaceDE/>
              <w:autoSpaceDN/>
              <w:bidi w:val="0"/>
              <w:adjustRightInd/>
              <w:snapToGrid/>
              <w:spacing w:line="280" w:lineRule="exact"/>
              <w:jc w:val="center"/>
              <w:rPr>
                <w:rFonts w:hint="eastAsia" w:ascii="宋体" w:hAnsi="宋体" w:cs="宋体"/>
                <w:szCs w:val="21"/>
              </w:rPr>
            </w:pPr>
            <w:r>
              <w:rPr>
                <w:rFonts w:hint="eastAsia" w:ascii="宋体" w:hAnsi="宋体" w:cs="宋体"/>
                <w:szCs w:val="21"/>
              </w:rPr>
              <w:t>经度85.838871</w:t>
            </w:r>
          </w:p>
          <w:p w14:paraId="41508ED1">
            <w:pPr>
              <w:keepNext w:val="0"/>
              <w:keepLines w:val="0"/>
              <w:pageBreakBefore w:val="0"/>
              <w:widowControl w:val="0"/>
              <w:kinsoku/>
              <w:wordWrap/>
              <w:overflowPunct/>
              <w:topLinePunct w:val="0"/>
              <w:autoSpaceDE/>
              <w:autoSpaceDN/>
              <w:bidi w:val="0"/>
              <w:adjustRightInd/>
              <w:snapToGrid/>
              <w:spacing w:line="280" w:lineRule="exact"/>
              <w:jc w:val="center"/>
              <w:textAlignment w:val="baseline"/>
              <w:rPr>
                <w:rFonts w:hint="eastAsia" w:ascii="宋体" w:hAnsi="宋体" w:cs="宋体"/>
                <w:kern w:val="13"/>
              </w:rPr>
            </w:pPr>
            <w:r>
              <w:rPr>
                <w:rFonts w:hint="eastAsia" w:ascii="宋体" w:hAnsi="宋体" w:cs="宋体"/>
                <w:szCs w:val="21"/>
              </w:rPr>
              <w:t>纬度41.418164</w:t>
            </w:r>
          </w:p>
        </w:tc>
        <w:tc>
          <w:tcPr>
            <w:tcW w:w="798" w:type="pct"/>
            <w:tcBorders>
              <w:tl2br w:val="nil"/>
              <w:tr2bl w:val="nil"/>
            </w:tcBorders>
            <w:vAlign w:val="center"/>
          </w:tcPr>
          <w:p w14:paraId="4A83AD62">
            <w:pPr>
              <w:keepNext w:val="0"/>
              <w:keepLines w:val="0"/>
              <w:pageBreakBefore w:val="0"/>
              <w:widowControl w:val="0"/>
              <w:kinsoku/>
              <w:wordWrap/>
              <w:overflowPunct/>
              <w:topLinePunct w:val="0"/>
              <w:autoSpaceDE/>
              <w:autoSpaceDN/>
              <w:bidi w:val="0"/>
              <w:adjustRightInd/>
              <w:snapToGrid/>
              <w:spacing w:line="280" w:lineRule="exact"/>
              <w:jc w:val="center"/>
              <w:textAlignment w:val="baseline"/>
              <w:rPr>
                <w:rFonts w:hint="eastAsia" w:ascii="宋体" w:hAnsi="宋体" w:cs="宋体"/>
                <w:kern w:val="13"/>
              </w:rPr>
            </w:pPr>
            <w:r>
              <w:rPr>
                <w:rFonts w:hint="eastAsia" w:ascii="宋体" w:hAnsi="宋体" w:cs="宋体"/>
                <w:kern w:val="13"/>
              </w:rPr>
              <w:t>潜水</w:t>
            </w:r>
          </w:p>
        </w:tc>
        <w:tc>
          <w:tcPr>
            <w:tcW w:w="374" w:type="pct"/>
            <w:tcBorders>
              <w:tl2br w:val="nil"/>
              <w:tr2bl w:val="nil"/>
            </w:tcBorders>
            <w:vAlign w:val="center"/>
          </w:tcPr>
          <w:p w14:paraId="389F710D">
            <w:pPr>
              <w:keepNext w:val="0"/>
              <w:keepLines w:val="0"/>
              <w:pageBreakBefore w:val="0"/>
              <w:widowControl w:val="0"/>
              <w:kinsoku/>
              <w:wordWrap/>
              <w:overflowPunct/>
              <w:topLinePunct w:val="0"/>
              <w:autoSpaceDE/>
              <w:autoSpaceDN/>
              <w:bidi w:val="0"/>
              <w:adjustRightInd/>
              <w:snapToGrid/>
              <w:spacing w:line="280" w:lineRule="exact"/>
              <w:jc w:val="center"/>
              <w:textAlignment w:val="baseline"/>
              <w:rPr>
                <w:rFonts w:hint="eastAsia" w:ascii="宋体" w:hAnsi="宋体" w:cs="宋体"/>
                <w:kern w:val="13"/>
              </w:rPr>
            </w:pPr>
            <w:r>
              <w:rPr>
                <w:rFonts w:hint="eastAsia" w:ascii="宋体" w:hAnsi="宋体" w:cs="宋体"/>
                <w:kern w:val="13"/>
              </w:rPr>
              <w:t>4.3</w:t>
            </w:r>
          </w:p>
        </w:tc>
        <w:tc>
          <w:tcPr>
            <w:tcW w:w="513" w:type="pct"/>
            <w:tcBorders>
              <w:tl2br w:val="nil"/>
              <w:tr2bl w:val="nil"/>
            </w:tcBorders>
            <w:vAlign w:val="center"/>
          </w:tcPr>
          <w:p w14:paraId="77AE742A">
            <w:pPr>
              <w:keepNext w:val="0"/>
              <w:keepLines w:val="0"/>
              <w:pageBreakBefore w:val="0"/>
              <w:widowControl w:val="0"/>
              <w:kinsoku/>
              <w:wordWrap/>
              <w:overflowPunct/>
              <w:topLinePunct w:val="0"/>
              <w:autoSpaceDE/>
              <w:autoSpaceDN/>
              <w:bidi w:val="0"/>
              <w:adjustRightInd/>
              <w:snapToGrid/>
              <w:spacing w:line="280" w:lineRule="exact"/>
              <w:jc w:val="center"/>
              <w:textAlignment w:val="baseline"/>
              <w:rPr>
                <w:rFonts w:hint="eastAsia" w:ascii="宋体" w:hAnsi="宋体" w:cs="宋体"/>
                <w:kern w:val="13"/>
              </w:rPr>
            </w:pPr>
            <w:r>
              <w:rPr>
                <w:rFonts w:hint="eastAsia" w:ascii="宋体" w:hAnsi="宋体" w:cs="宋体"/>
                <w:kern w:val="13"/>
              </w:rPr>
              <w:t>26.3</w:t>
            </w:r>
          </w:p>
        </w:tc>
        <w:tc>
          <w:tcPr>
            <w:tcW w:w="998" w:type="pct"/>
            <w:tcBorders>
              <w:tl2br w:val="nil"/>
              <w:tr2bl w:val="nil"/>
            </w:tcBorders>
            <w:vAlign w:val="center"/>
          </w:tcPr>
          <w:p w14:paraId="57C0E181">
            <w:pPr>
              <w:keepNext w:val="0"/>
              <w:keepLines w:val="0"/>
              <w:pageBreakBefore w:val="0"/>
              <w:widowControl w:val="0"/>
              <w:kinsoku/>
              <w:wordWrap/>
              <w:overflowPunct/>
              <w:topLinePunct w:val="0"/>
              <w:autoSpaceDE/>
              <w:autoSpaceDN/>
              <w:bidi w:val="0"/>
              <w:adjustRightInd/>
              <w:snapToGrid/>
              <w:spacing w:line="280" w:lineRule="exact"/>
              <w:jc w:val="center"/>
              <w:textAlignment w:val="baseline"/>
              <w:rPr>
                <w:rFonts w:hint="eastAsia" w:ascii="宋体" w:hAnsi="宋体" w:cs="宋体"/>
                <w:kern w:val="13"/>
              </w:rPr>
            </w:pPr>
            <w:r>
              <w:rPr>
                <w:rFonts w:hint="eastAsia" w:ascii="宋体" w:hAnsi="宋体" w:cs="宋体"/>
                <w:kern w:val="13"/>
              </w:rPr>
              <w:t>项目区</w:t>
            </w:r>
          </w:p>
        </w:tc>
      </w:tr>
      <w:tr w14:paraId="7C63101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353" w:type="pct"/>
            <w:tcBorders>
              <w:tl2br w:val="nil"/>
              <w:tr2bl w:val="nil"/>
            </w:tcBorders>
            <w:vAlign w:val="center"/>
          </w:tcPr>
          <w:p w14:paraId="68768758">
            <w:pPr>
              <w:keepNext w:val="0"/>
              <w:keepLines w:val="0"/>
              <w:pageBreakBefore w:val="0"/>
              <w:widowControl w:val="0"/>
              <w:kinsoku/>
              <w:wordWrap/>
              <w:overflowPunct/>
              <w:topLinePunct w:val="0"/>
              <w:autoSpaceDE/>
              <w:autoSpaceDN/>
              <w:bidi w:val="0"/>
              <w:adjustRightInd/>
              <w:snapToGrid/>
              <w:spacing w:line="280" w:lineRule="exact"/>
              <w:jc w:val="center"/>
              <w:rPr>
                <w:rFonts w:hint="eastAsia" w:ascii="宋体" w:hAnsi="宋体" w:cs="宋体"/>
                <w:color w:val="000000"/>
                <w:szCs w:val="21"/>
              </w:rPr>
            </w:pPr>
            <w:r>
              <w:rPr>
                <w:rFonts w:hint="eastAsia" w:ascii="宋体" w:hAnsi="宋体" w:cs="宋体"/>
                <w:kern w:val="13"/>
              </w:rPr>
              <w:t>3#</w:t>
            </w:r>
            <w:r>
              <w:rPr>
                <w:rFonts w:hint="eastAsia" w:ascii="宋体" w:hAnsi="宋体" w:cs="宋体"/>
                <w:color w:val="000000"/>
                <w:szCs w:val="21"/>
              </w:rPr>
              <w:t xml:space="preserve"> </w:t>
            </w:r>
            <w:r>
              <w:rPr>
                <w:rFonts w:hint="eastAsia" w:ascii="宋体" w:hAnsi="宋体" w:cs="宋体"/>
                <w:color w:val="000000"/>
                <w:szCs w:val="21"/>
                <w:lang w:eastAsia="zh-CN"/>
              </w:rPr>
              <w:t>（</w:t>
            </w:r>
            <w:r>
              <w:rPr>
                <w:rFonts w:hint="eastAsia" w:ascii="宋体" w:hAnsi="宋体" w:cs="宋体"/>
                <w:color w:val="000000"/>
                <w:szCs w:val="21"/>
              </w:rPr>
              <w:t>GW25060052-01-03）</w:t>
            </w:r>
          </w:p>
        </w:tc>
        <w:tc>
          <w:tcPr>
            <w:tcW w:w="962" w:type="pct"/>
            <w:tcBorders>
              <w:tl2br w:val="nil"/>
              <w:tr2bl w:val="nil"/>
            </w:tcBorders>
            <w:vAlign w:val="center"/>
          </w:tcPr>
          <w:p w14:paraId="06582F06">
            <w:pPr>
              <w:keepNext w:val="0"/>
              <w:keepLines w:val="0"/>
              <w:pageBreakBefore w:val="0"/>
              <w:widowControl w:val="0"/>
              <w:kinsoku/>
              <w:wordWrap/>
              <w:overflowPunct/>
              <w:topLinePunct w:val="0"/>
              <w:autoSpaceDE/>
              <w:autoSpaceDN/>
              <w:bidi w:val="0"/>
              <w:adjustRightInd/>
              <w:snapToGrid/>
              <w:spacing w:line="280" w:lineRule="exact"/>
              <w:jc w:val="center"/>
              <w:rPr>
                <w:rFonts w:hint="eastAsia" w:ascii="宋体" w:hAnsi="宋体" w:cs="宋体"/>
                <w:szCs w:val="21"/>
              </w:rPr>
            </w:pPr>
            <w:r>
              <w:rPr>
                <w:rFonts w:hint="eastAsia" w:ascii="宋体" w:hAnsi="宋体" w:cs="宋体"/>
                <w:szCs w:val="21"/>
              </w:rPr>
              <w:t>经度85.848861</w:t>
            </w:r>
          </w:p>
          <w:p w14:paraId="263330E8">
            <w:pPr>
              <w:keepNext w:val="0"/>
              <w:keepLines w:val="0"/>
              <w:pageBreakBefore w:val="0"/>
              <w:widowControl w:val="0"/>
              <w:kinsoku/>
              <w:wordWrap/>
              <w:overflowPunct/>
              <w:topLinePunct w:val="0"/>
              <w:autoSpaceDE/>
              <w:autoSpaceDN/>
              <w:bidi w:val="0"/>
              <w:adjustRightInd/>
              <w:snapToGrid/>
              <w:spacing w:line="280" w:lineRule="exact"/>
              <w:jc w:val="center"/>
              <w:textAlignment w:val="baseline"/>
              <w:rPr>
                <w:rFonts w:hint="eastAsia" w:ascii="宋体" w:hAnsi="宋体" w:cs="宋体"/>
                <w:kern w:val="13"/>
              </w:rPr>
            </w:pPr>
            <w:r>
              <w:rPr>
                <w:rFonts w:hint="eastAsia" w:ascii="宋体" w:hAnsi="宋体" w:cs="宋体"/>
                <w:szCs w:val="21"/>
              </w:rPr>
              <w:t>纬度41.414155</w:t>
            </w:r>
          </w:p>
        </w:tc>
        <w:tc>
          <w:tcPr>
            <w:tcW w:w="798" w:type="pct"/>
            <w:tcBorders>
              <w:tl2br w:val="nil"/>
              <w:tr2bl w:val="nil"/>
            </w:tcBorders>
            <w:vAlign w:val="center"/>
          </w:tcPr>
          <w:p w14:paraId="14E80A60">
            <w:pPr>
              <w:keepNext w:val="0"/>
              <w:keepLines w:val="0"/>
              <w:pageBreakBefore w:val="0"/>
              <w:widowControl w:val="0"/>
              <w:kinsoku/>
              <w:wordWrap/>
              <w:overflowPunct/>
              <w:topLinePunct w:val="0"/>
              <w:autoSpaceDE/>
              <w:autoSpaceDN/>
              <w:bidi w:val="0"/>
              <w:adjustRightInd/>
              <w:snapToGrid/>
              <w:spacing w:line="280" w:lineRule="exact"/>
              <w:jc w:val="center"/>
              <w:textAlignment w:val="baseline"/>
              <w:rPr>
                <w:rFonts w:hint="eastAsia" w:ascii="宋体" w:hAnsi="宋体" w:cs="宋体"/>
                <w:kern w:val="13"/>
              </w:rPr>
            </w:pPr>
            <w:r>
              <w:rPr>
                <w:rFonts w:hint="eastAsia" w:ascii="宋体" w:hAnsi="宋体" w:cs="宋体"/>
                <w:kern w:val="13"/>
              </w:rPr>
              <w:t>潜水</w:t>
            </w:r>
          </w:p>
        </w:tc>
        <w:tc>
          <w:tcPr>
            <w:tcW w:w="374" w:type="pct"/>
            <w:tcBorders>
              <w:tl2br w:val="nil"/>
              <w:tr2bl w:val="nil"/>
            </w:tcBorders>
            <w:vAlign w:val="center"/>
          </w:tcPr>
          <w:p w14:paraId="24E2D367">
            <w:pPr>
              <w:keepNext w:val="0"/>
              <w:keepLines w:val="0"/>
              <w:pageBreakBefore w:val="0"/>
              <w:widowControl w:val="0"/>
              <w:kinsoku/>
              <w:wordWrap/>
              <w:overflowPunct/>
              <w:topLinePunct w:val="0"/>
              <w:autoSpaceDE/>
              <w:autoSpaceDN/>
              <w:bidi w:val="0"/>
              <w:adjustRightInd/>
              <w:snapToGrid/>
              <w:spacing w:line="280" w:lineRule="exact"/>
              <w:jc w:val="center"/>
              <w:textAlignment w:val="baseline"/>
              <w:rPr>
                <w:rFonts w:hint="eastAsia" w:ascii="宋体" w:hAnsi="宋体" w:cs="宋体"/>
                <w:kern w:val="13"/>
              </w:rPr>
            </w:pPr>
            <w:r>
              <w:rPr>
                <w:rFonts w:hint="eastAsia" w:ascii="宋体" w:hAnsi="宋体" w:cs="宋体"/>
                <w:kern w:val="13"/>
              </w:rPr>
              <w:t>3.8</w:t>
            </w:r>
          </w:p>
        </w:tc>
        <w:tc>
          <w:tcPr>
            <w:tcW w:w="513" w:type="pct"/>
            <w:tcBorders>
              <w:tl2br w:val="nil"/>
              <w:tr2bl w:val="nil"/>
            </w:tcBorders>
            <w:vAlign w:val="center"/>
          </w:tcPr>
          <w:p w14:paraId="1D55D9D3">
            <w:pPr>
              <w:keepNext w:val="0"/>
              <w:keepLines w:val="0"/>
              <w:pageBreakBefore w:val="0"/>
              <w:widowControl w:val="0"/>
              <w:kinsoku/>
              <w:wordWrap/>
              <w:overflowPunct/>
              <w:topLinePunct w:val="0"/>
              <w:autoSpaceDE/>
              <w:autoSpaceDN/>
              <w:bidi w:val="0"/>
              <w:adjustRightInd/>
              <w:snapToGrid/>
              <w:spacing w:line="280" w:lineRule="exact"/>
              <w:jc w:val="center"/>
              <w:textAlignment w:val="baseline"/>
              <w:rPr>
                <w:rFonts w:hint="eastAsia" w:ascii="宋体" w:hAnsi="宋体" w:cs="宋体"/>
                <w:kern w:val="13"/>
              </w:rPr>
            </w:pPr>
            <w:r>
              <w:rPr>
                <w:rFonts w:hint="eastAsia" w:ascii="宋体" w:hAnsi="宋体" w:cs="宋体"/>
                <w:kern w:val="13"/>
              </w:rPr>
              <w:t>28.8</w:t>
            </w:r>
          </w:p>
        </w:tc>
        <w:tc>
          <w:tcPr>
            <w:tcW w:w="998" w:type="pct"/>
            <w:tcBorders>
              <w:tl2br w:val="nil"/>
              <w:tr2bl w:val="nil"/>
            </w:tcBorders>
            <w:vAlign w:val="center"/>
          </w:tcPr>
          <w:p w14:paraId="2CD4D7AF">
            <w:pPr>
              <w:keepNext w:val="0"/>
              <w:keepLines w:val="0"/>
              <w:pageBreakBefore w:val="0"/>
              <w:widowControl w:val="0"/>
              <w:kinsoku/>
              <w:wordWrap/>
              <w:overflowPunct/>
              <w:topLinePunct w:val="0"/>
              <w:autoSpaceDE/>
              <w:autoSpaceDN/>
              <w:bidi w:val="0"/>
              <w:adjustRightInd/>
              <w:snapToGrid/>
              <w:spacing w:line="280" w:lineRule="exact"/>
              <w:jc w:val="center"/>
              <w:textAlignment w:val="baseline"/>
              <w:rPr>
                <w:rFonts w:hint="eastAsia" w:ascii="宋体" w:hAnsi="宋体" w:cs="宋体"/>
                <w:kern w:val="13"/>
              </w:rPr>
            </w:pPr>
            <w:r>
              <w:rPr>
                <w:rFonts w:hint="eastAsia" w:ascii="宋体" w:hAnsi="宋体" w:cs="宋体"/>
                <w:kern w:val="13"/>
              </w:rPr>
              <w:t>项目区下游</w:t>
            </w:r>
          </w:p>
        </w:tc>
      </w:tr>
    </w:tbl>
    <w:p w14:paraId="7F6C3E8E">
      <w:pPr>
        <w:spacing w:line="360" w:lineRule="auto"/>
        <w:ind w:firstLine="480" w:firstLineChars="200"/>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（2）监测项目</w:t>
      </w:r>
    </w:p>
    <w:p w14:paraId="76A8BA74">
      <w:pPr>
        <w:adjustRightInd w:val="0"/>
        <w:snapToGrid w:val="0"/>
        <w:spacing w:line="440" w:lineRule="exact"/>
        <w:ind w:firstLine="480"/>
        <w:rPr>
          <w:rFonts w:hint="eastAsia" w:ascii="宋体" w:hAnsi="宋体" w:cs="宋体"/>
          <w:sz w:val="24"/>
          <w:szCs w:val="24"/>
        </w:rPr>
      </w:pPr>
      <w:r>
        <w:rPr>
          <w:rFonts w:hint="eastAsia" w:ascii="宋体" w:hAnsi="宋体" w:cs="宋体"/>
          <w:bCs/>
          <w:sz w:val="24"/>
          <w:szCs w:val="24"/>
        </w:rPr>
        <w:t>监测项目为</w:t>
      </w:r>
      <w:r>
        <w:rPr>
          <w:rFonts w:hint="eastAsia" w:ascii="宋体" w:hAnsi="宋体" w:cs="宋体"/>
          <w:color w:val="000000"/>
          <w:kern w:val="0"/>
          <w:sz w:val="24"/>
          <w:szCs w:val="24"/>
          <w:lang w:bidi="ar"/>
        </w:rPr>
        <w:t>K</w:t>
      </w:r>
      <w:r>
        <w:rPr>
          <w:rFonts w:hint="eastAsia" w:ascii="宋体" w:hAnsi="宋体" w:cs="宋体"/>
          <w:color w:val="000000"/>
          <w:kern w:val="0"/>
          <w:sz w:val="24"/>
          <w:szCs w:val="24"/>
          <w:vertAlign w:val="superscript"/>
          <w:lang w:bidi="ar"/>
        </w:rPr>
        <w:t>+</w:t>
      </w:r>
      <w:r>
        <w:rPr>
          <w:rFonts w:hint="eastAsia" w:ascii="宋体" w:hAnsi="宋体" w:cs="宋体"/>
          <w:color w:val="000000"/>
          <w:kern w:val="0"/>
          <w:sz w:val="24"/>
          <w:szCs w:val="24"/>
          <w:lang w:bidi="ar"/>
        </w:rPr>
        <w:t>、Ca</w:t>
      </w:r>
      <w:r>
        <w:rPr>
          <w:rFonts w:hint="eastAsia" w:ascii="宋体" w:hAnsi="宋体" w:cs="宋体"/>
          <w:color w:val="000000"/>
          <w:kern w:val="0"/>
          <w:sz w:val="24"/>
          <w:szCs w:val="24"/>
          <w:vertAlign w:val="superscript"/>
          <w:lang w:bidi="ar"/>
        </w:rPr>
        <w:t>2+</w:t>
      </w:r>
      <w:r>
        <w:rPr>
          <w:rFonts w:hint="eastAsia" w:ascii="宋体" w:hAnsi="宋体" w:cs="宋体"/>
          <w:color w:val="000000"/>
          <w:kern w:val="0"/>
          <w:sz w:val="24"/>
          <w:szCs w:val="24"/>
          <w:lang w:bidi="ar"/>
        </w:rPr>
        <w:t>、Na</w:t>
      </w:r>
      <w:r>
        <w:rPr>
          <w:rFonts w:hint="eastAsia" w:ascii="宋体" w:hAnsi="宋体" w:cs="宋体"/>
          <w:color w:val="000000"/>
          <w:kern w:val="0"/>
          <w:sz w:val="24"/>
          <w:szCs w:val="24"/>
          <w:vertAlign w:val="superscript"/>
          <w:lang w:bidi="ar"/>
        </w:rPr>
        <w:t>+</w:t>
      </w:r>
      <w:r>
        <w:rPr>
          <w:rFonts w:hint="eastAsia" w:ascii="宋体" w:hAnsi="宋体" w:cs="宋体"/>
          <w:color w:val="000000"/>
          <w:kern w:val="0"/>
          <w:sz w:val="24"/>
          <w:szCs w:val="24"/>
          <w:lang w:bidi="ar"/>
        </w:rPr>
        <w:t>、Mg</w:t>
      </w:r>
      <w:r>
        <w:rPr>
          <w:rFonts w:hint="eastAsia" w:ascii="宋体" w:hAnsi="宋体" w:cs="宋体"/>
          <w:color w:val="000000"/>
          <w:kern w:val="0"/>
          <w:sz w:val="24"/>
          <w:szCs w:val="24"/>
          <w:vertAlign w:val="superscript"/>
          <w:lang w:bidi="ar"/>
        </w:rPr>
        <w:t>2+</w:t>
      </w:r>
      <w:r>
        <w:rPr>
          <w:rFonts w:hint="eastAsia" w:ascii="宋体" w:hAnsi="宋体" w:cs="宋体"/>
          <w:color w:val="000000"/>
          <w:kern w:val="0"/>
          <w:sz w:val="24"/>
          <w:szCs w:val="24"/>
          <w:lang w:bidi="ar"/>
        </w:rPr>
        <w:t>、CO</w:t>
      </w:r>
      <w:r>
        <w:rPr>
          <w:rFonts w:hint="eastAsia" w:ascii="宋体" w:hAnsi="宋体" w:cs="宋体"/>
          <w:color w:val="000000"/>
          <w:kern w:val="0"/>
          <w:sz w:val="24"/>
          <w:szCs w:val="24"/>
          <w:vertAlign w:val="subscript"/>
          <w:lang w:bidi="ar"/>
        </w:rPr>
        <w:t>3</w:t>
      </w:r>
      <w:r>
        <w:rPr>
          <w:rFonts w:hint="eastAsia" w:ascii="宋体" w:hAnsi="宋体" w:cs="宋体"/>
          <w:color w:val="000000"/>
          <w:kern w:val="0"/>
          <w:sz w:val="24"/>
          <w:szCs w:val="24"/>
          <w:vertAlign w:val="superscript"/>
          <w:lang w:bidi="ar"/>
        </w:rPr>
        <w:t>2-</w:t>
      </w:r>
      <w:r>
        <w:rPr>
          <w:rFonts w:hint="eastAsia" w:ascii="宋体" w:hAnsi="宋体" w:cs="宋体"/>
          <w:color w:val="000000"/>
          <w:kern w:val="0"/>
          <w:sz w:val="24"/>
          <w:szCs w:val="24"/>
          <w:lang w:bidi="ar"/>
        </w:rPr>
        <w:t>、HCO</w:t>
      </w:r>
      <w:r>
        <w:rPr>
          <w:rFonts w:hint="eastAsia" w:ascii="宋体" w:hAnsi="宋体" w:cs="宋体"/>
          <w:color w:val="000000"/>
          <w:kern w:val="0"/>
          <w:sz w:val="24"/>
          <w:szCs w:val="24"/>
          <w:vertAlign w:val="subscript"/>
          <w:lang w:bidi="ar"/>
        </w:rPr>
        <w:t>3</w:t>
      </w:r>
      <w:r>
        <w:rPr>
          <w:rFonts w:hint="eastAsia" w:ascii="宋体" w:hAnsi="宋体" w:cs="宋体"/>
          <w:color w:val="000000"/>
          <w:kern w:val="0"/>
          <w:sz w:val="24"/>
          <w:szCs w:val="24"/>
          <w:vertAlign w:val="superscript"/>
          <w:lang w:bidi="ar"/>
        </w:rPr>
        <w:t>-</w:t>
      </w:r>
      <w:r>
        <w:rPr>
          <w:rFonts w:hint="eastAsia" w:ascii="宋体" w:hAnsi="宋体" w:cs="宋体"/>
          <w:color w:val="000000"/>
          <w:kern w:val="0"/>
          <w:sz w:val="24"/>
          <w:szCs w:val="24"/>
          <w:lang w:bidi="ar"/>
        </w:rPr>
        <w:t>、Cl</w:t>
      </w:r>
      <w:r>
        <w:rPr>
          <w:rFonts w:hint="eastAsia" w:ascii="宋体" w:hAnsi="宋体" w:cs="宋体"/>
          <w:color w:val="000000"/>
          <w:kern w:val="0"/>
          <w:sz w:val="24"/>
          <w:szCs w:val="24"/>
          <w:vertAlign w:val="superscript"/>
          <w:lang w:bidi="ar"/>
        </w:rPr>
        <w:t>-</w:t>
      </w:r>
      <w:r>
        <w:rPr>
          <w:rFonts w:hint="eastAsia" w:ascii="宋体" w:hAnsi="宋体" w:cs="宋体"/>
          <w:color w:val="000000"/>
          <w:kern w:val="0"/>
          <w:sz w:val="24"/>
          <w:szCs w:val="24"/>
          <w:lang w:bidi="ar"/>
        </w:rPr>
        <w:t>、SO</w:t>
      </w:r>
      <w:r>
        <w:rPr>
          <w:rFonts w:hint="eastAsia" w:ascii="宋体" w:hAnsi="宋体" w:cs="宋体"/>
          <w:color w:val="000000"/>
          <w:kern w:val="0"/>
          <w:sz w:val="24"/>
          <w:szCs w:val="24"/>
          <w:vertAlign w:val="subscript"/>
          <w:lang w:bidi="ar"/>
        </w:rPr>
        <w:t>4</w:t>
      </w:r>
      <w:r>
        <w:rPr>
          <w:rFonts w:hint="eastAsia" w:ascii="宋体" w:hAnsi="宋体" w:cs="宋体"/>
          <w:color w:val="000000"/>
          <w:kern w:val="0"/>
          <w:sz w:val="24"/>
          <w:szCs w:val="24"/>
          <w:vertAlign w:val="superscript"/>
          <w:lang w:bidi="ar"/>
        </w:rPr>
        <w:t>2-</w:t>
      </w:r>
      <w:r>
        <w:rPr>
          <w:rFonts w:hint="eastAsia" w:ascii="宋体" w:hAnsi="宋体" w:cs="宋体"/>
          <w:color w:val="000000"/>
          <w:kern w:val="0"/>
          <w:sz w:val="24"/>
          <w:szCs w:val="24"/>
          <w:lang w:bidi="ar"/>
        </w:rPr>
        <w:t>、</w:t>
      </w:r>
      <w:r>
        <w:rPr>
          <w:rFonts w:hint="eastAsia" w:ascii="宋体" w:hAnsi="宋体" w:cs="宋体"/>
          <w:sz w:val="24"/>
          <w:szCs w:val="24"/>
        </w:rPr>
        <w:t>pH、总硬度、溶解性总固体、耗氧量（COD</w:t>
      </w:r>
      <w:r>
        <w:rPr>
          <w:rFonts w:hint="eastAsia" w:ascii="宋体" w:hAnsi="宋体" w:cs="宋体"/>
          <w:sz w:val="24"/>
          <w:szCs w:val="24"/>
          <w:vertAlign w:val="subscript"/>
        </w:rPr>
        <w:t>mn</w:t>
      </w:r>
      <w:r>
        <w:rPr>
          <w:rFonts w:hint="eastAsia" w:ascii="宋体" w:hAnsi="宋体" w:cs="宋体"/>
          <w:sz w:val="24"/>
          <w:szCs w:val="24"/>
        </w:rPr>
        <w:t>法，以O</w:t>
      </w:r>
      <w:r>
        <w:rPr>
          <w:rFonts w:hint="eastAsia" w:ascii="宋体" w:hAnsi="宋体" w:cs="宋体"/>
          <w:sz w:val="24"/>
          <w:szCs w:val="24"/>
          <w:vertAlign w:val="subscript"/>
        </w:rPr>
        <w:t>2</w:t>
      </w:r>
      <w:r>
        <w:rPr>
          <w:rFonts w:hint="eastAsia" w:ascii="宋体" w:hAnsi="宋体" w:cs="宋体"/>
          <w:sz w:val="24"/>
          <w:szCs w:val="24"/>
        </w:rPr>
        <w:t>计）、氨氮、氟化物、氯化物、亚硝酸盐、硝酸盐、硫酸盐、镉、锰、铜、锌、砷、汞、铅、六价铬、挥发酚、氰化物、总大肠菌群共29项。</w:t>
      </w:r>
    </w:p>
    <w:p w14:paraId="4205F17F">
      <w:pPr>
        <w:spacing w:line="360" w:lineRule="auto"/>
        <w:ind w:firstLine="480" w:firstLineChars="200"/>
        <w:rPr>
          <w:rFonts w:hint="eastAsia" w:ascii="Times New Roman" w:hAnsi="Times New Roman" w:eastAsia="宋体" w:cs="Times New Roman"/>
          <w:sz w:val="24"/>
          <w:szCs w:val="24"/>
          <w:lang w:val="en-US" w:eastAsia="zh-CN"/>
        </w:rPr>
      </w:pPr>
      <w:bookmarkStart w:id="247" w:name="_Toc204667343"/>
      <w:r>
        <w:rPr>
          <w:rFonts w:hint="eastAsia" w:ascii="Times New Roman" w:hAnsi="Times New Roman" w:eastAsia="宋体" w:cs="Times New Roman"/>
          <w:sz w:val="24"/>
          <w:szCs w:val="24"/>
          <w:lang w:val="en-US" w:eastAsia="zh-CN"/>
        </w:rPr>
        <w:t>（3）分析方法</w:t>
      </w:r>
      <w:bookmarkEnd w:id="247"/>
    </w:p>
    <w:p w14:paraId="790E6AA0">
      <w:pPr>
        <w:adjustRightInd w:val="0"/>
        <w:snapToGrid w:val="0"/>
        <w:spacing w:line="440" w:lineRule="exact"/>
        <w:ind w:firstLine="480"/>
        <w:rPr>
          <w:rFonts w:hint="eastAsia" w:ascii="宋体" w:hAnsi="宋体" w:cs="宋体"/>
          <w:sz w:val="24"/>
          <w:szCs w:val="24"/>
        </w:rPr>
      </w:pPr>
      <w:r>
        <w:rPr>
          <w:rFonts w:hint="eastAsia" w:ascii="宋体" w:hAnsi="宋体" w:cs="宋体"/>
          <w:sz w:val="24"/>
          <w:szCs w:val="24"/>
        </w:rPr>
        <w:t>本次地下水水质监测与分析均按《环境监测技术规范》和《水和废水监测分析方法》中有关规定进行。</w:t>
      </w:r>
    </w:p>
    <w:p w14:paraId="391D85FE">
      <w:pPr>
        <w:spacing w:line="360" w:lineRule="auto"/>
        <w:ind w:firstLine="480" w:firstLineChars="200"/>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（4）评价方法及标准</w:t>
      </w:r>
    </w:p>
    <w:p w14:paraId="3CAA4381">
      <w:pPr>
        <w:adjustRightInd w:val="0"/>
        <w:snapToGrid w:val="0"/>
        <w:spacing w:line="440" w:lineRule="exact"/>
        <w:ind w:firstLine="480"/>
        <w:textAlignment w:val="center"/>
        <w:rPr>
          <w:rFonts w:hint="eastAsia" w:ascii="宋体" w:hAnsi="宋体" w:cs="宋体"/>
          <w:sz w:val="24"/>
          <w:szCs w:val="24"/>
        </w:rPr>
      </w:pPr>
      <w:r>
        <w:rPr>
          <w:rFonts w:hint="eastAsia" w:ascii="宋体" w:hAnsi="宋体" w:cs="宋体"/>
          <w:sz w:val="24"/>
          <w:szCs w:val="24"/>
        </w:rPr>
        <w:t>①采用标准指数法，公式如下：</w:t>
      </w:r>
    </w:p>
    <w:p w14:paraId="6AEC8AB8">
      <w:pPr>
        <w:adjustRightInd w:val="0"/>
        <w:snapToGrid w:val="0"/>
        <w:spacing w:line="440" w:lineRule="exact"/>
        <w:ind w:firstLine="480"/>
        <w:jc w:val="center"/>
        <w:textAlignment w:val="center"/>
        <w:rPr>
          <w:rFonts w:hint="eastAsia" w:ascii="宋体" w:hAnsi="宋体" w:cs="宋体"/>
          <w:sz w:val="24"/>
          <w:szCs w:val="24"/>
        </w:rPr>
      </w:pPr>
      <w:r>
        <w:rPr>
          <w:rFonts w:hint="eastAsia" w:ascii="宋体" w:hAnsi="宋体" w:cs="宋体"/>
          <w:sz w:val="24"/>
          <w:szCs w:val="24"/>
        </w:rPr>
        <w:t>P</w:t>
      </w:r>
      <w:r>
        <w:rPr>
          <w:rFonts w:hint="eastAsia" w:ascii="宋体" w:hAnsi="宋体" w:cs="宋体"/>
          <w:sz w:val="24"/>
          <w:szCs w:val="24"/>
          <w:vertAlign w:val="subscript"/>
        </w:rPr>
        <w:t>i</w:t>
      </w:r>
      <w:r>
        <w:rPr>
          <w:rFonts w:hint="eastAsia" w:ascii="宋体" w:hAnsi="宋体" w:cs="宋体"/>
          <w:sz w:val="24"/>
          <w:szCs w:val="24"/>
        </w:rPr>
        <w:t>=C</w:t>
      </w:r>
      <w:r>
        <w:rPr>
          <w:rFonts w:hint="eastAsia" w:ascii="宋体" w:hAnsi="宋体" w:cs="宋体"/>
          <w:sz w:val="24"/>
          <w:szCs w:val="24"/>
          <w:vertAlign w:val="subscript"/>
        </w:rPr>
        <w:t>i</w:t>
      </w:r>
      <w:r>
        <w:rPr>
          <w:rFonts w:hint="eastAsia" w:ascii="宋体" w:hAnsi="宋体" w:cs="宋体"/>
          <w:sz w:val="24"/>
          <w:szCs w:val="24"/>
        </w:rPr>
        <w:t>/C</w:t>
      </w:r>
      <w:r>
        <w:rPr>
          <w:rFonts w:hint="eastAsia" w:ascii="宋体" w:hAnsi="宋体" w:cs="宋体"/>
          <w:sz w:val="24"/>
          <w:szCs w:val="24"/>
          <w:vertAlign w:val="subscript"/>
        </w:rPr>
        <w:t>o</w:t>
      </w:r>
    </w:p>
    <w:p w14:paraId="0F92B367">
      <w:pPr>
        <w:adjustRightInd w:val="0"/>
        <w:snapToGrid w:val="0"/>
        <w:spacing w:line="440" w:lineRule="exact"/>
        <w:ind w:firstLine="480"/>
        <w:textAlignment w:val="center"/>
        <w:rPr>
          <w:rFonts w:hint="eastAsia" w:ascii="宋体" w:hAnsi="宋体" w:cs="宋体"/>
          <w:sz w:val="24"/>
          <w:szCs w:val="24"/>
        </w:rPr>
      </w:pPr>
      <w:r>
        <w:rPr>
          <w:rFonts w:hint="eastAsia" w:ascii="宋体" w:hAnsi="宋体" w:cs="宋体"/>
          <w:sz w:val="24"/>
          <w:szCs w:val="24"/>
        </w:rPr>
        <w:t>式中：P</w:t>
      </w:r>
      <w:r>
        <w:rPr>
          <w:rFonts w:hint="eastAsia" w:ascii="宋体" w:hAnsi="宋体" w:cs="宋体"/>
          <w:sz w:val="24"/>
          <w:szCs w:val="24"/>
          <w:vertAlign w:val="subscript"/>
        </w:rPr>
        <w:t>i</w:t>
      </w:r>
      <w:r>
        <w:rPr>
          <w:rFonts w:hint="eastAsia" w:ascii="宋体" w:hAnsi="宋体" w:cs="宋体"/>
          <w:sz w:val="24"/>
          <w:szCs w:val="24"/>
        </w:rPr>
        <w:t>——污染物i的标准指数；</w:t>
      </w:r>
    </w:p>
    <w:p w14:paraId="09F921F4">
      <w:pPr>
        <w:adjustRightInd w:val="0"/>
        <w:snapToGrid w:val="0"/>
        <w:spacing w:line="440" w:lineRule="exact"/>
        <w:ind w:firstLine="1200" w:firstLineChars="500"/>
        <w:textAlignment w:val="center"/>
        <w:rPr>
          <w:rFonts w:hint="eastAsia" w:ascii="宋体" w:hAnsi="宋体" w:cs="宋体"/>
          <w:sz w:val="24"/>
          <w:szCs w:val="24"/>
        </w:rPr>
      </w:pPr>
      <w:r>
        <w:rPr>
          <w:rFonts w:hint="eastAsia" w:ascii="宋体" w:hAnsi="宋体" w:cs="宋体"/>
          <w:sz w:val="24"/>
          <w:szCs w:val="24"/>
        </w:rPr>
        <w:t>C</w:t>
      </w:r>
      <w:r>
        <w:rPr>
          <w:rFonts w:hint="eastAsia" w:ascii="宋体" w:hAnsi="宋体" w:cs="宋体"/>
          <w:sz w:val="24"/>
          <w:szCs w:val="24"/>
          <w:vertAlign w:val="subscript"/>
        </w:rPr>
        <w:t>i</w:t>
      </w:r>
      <w:r>
        <w:rPr>
          <w:rFonts w:hint="eastAsia" w:ascii="宋体" w:hAnsi="宋体" w:cs="宋体"/>
          <w:sz w:val="24"/>
          <w:szCs w:val="24"/>
        </w:rPr>
        <w:t>——某污染物i的平均浓度值（mg/L）；</w:t>
      </w:r>
    </w:p>
    <w:p w14:paraId="35985593">
      <w:pPr>
        <w:adjustRightInd w:val="0"/>
        <w:snapToGrid w:val="0"/>
        <w:spacing w:line="440" w:lineRule="exact"/>
        <w:ind w:firstLine="1200" w:firstLineChars="500"/>
        <w:textAlignment w:val="center"/>
        <w:rPr>
          <w:rFonts w:hint="eastAsia" w:ascii="宋体" w:hAnsi="宋体" w:cs="宋体"/>
          <w:sz w:val="24"/>
          <w:szCs w:val="24"/>
        </w:rPr>
      </w:pPr>
      <w:r>
        <w:rPr>
          <w:rFonts w:hint="eastAsia" w:ascii="宋体" w:hAnsi="宋体" w:cs="宋体"/>
          <w:sz w:val="24"/>
          <w:szCs w:val="24"/>
        </w:rPr>
        <w:t>C</w:t>
      </w:r>
      <w:r>
        <w:rPr>
          <w:rFonts w:hint="eastAsia" w:ascii="宋体" w:hAnsi="宋体" w:cs="宋体"/>
          <w:sz w:val="24"/>
          <w:szCs w:val="24"/>
          <w:vertAlign w:val="subscript"/>
        </w:rPr>
        <w:t>o</w:t>
      </w:r>
      <w:r>
        <w:rPr>
          <w:rFonts w:hint="eastAsia" w:ascii="宋体" w:hAnsi="宋体" w:cs="宋体"/>
          <w:sz w:val="24"/>
          <w:szCs w:val="24"/>
        </w:rPr>
        <w:t>——污染物i的评价标准（mg/L）</w:t>
      </w:r>
    </w:p>
    <w:p w14:paraId="3017AA44">
      <w:pPr>
        <w:adjustRightInd w:val="0"/>
        <w:snapToGrid w:val="0"/>
        <w:spacing w:line="440" w:lineRule="exact"/>
        <w:ind w:firstLine="480"/>
        <w:textAlignment w:val="center"/>
        <w:rPr>
          <w:rFonts w:hint="eastAsia" w:ascii="宋体" w:hAnsi="宋体" w:eastAsia="宋体" w:cs="宋体"/>
          <w:sz w:val="24"/>
          <w:szCs w:val="24"/>
        </w:rPr>
      </w:pPr>
      <w:r>
        <w:rPr>
          <w:rFonts w:hint="eastAsia" w:ascii="宋体" w:hAnsi="宋体" w:eastAsia="宋体" w:cs="宋体"/>
          <w:sz w:val="24"/>
          <w:szCs w:val="24"/>
        </w:rPr>
        <w:t>②pH值评价方法：对于以评价标准为区间值的水质参数时，其单项指数式为：</w:t>
      </w:r>
    </w:p>
    <w:p w14:paraId="16EBBF95">
      <w:pPr>
        <w:adjustRightInd w:val="0"/>
        <w:snapToGrid w:val="0"/>
        <w:spacing w:line="360" w:lineRule="auto"/>
        <w:ind w:firstLine="684" w:firstLineChars="300"/>
        <w:jc w:val="center"/>
        <w:textAlignment w:val="center"/>
        <w:rPr>
          <w:rFonts w:hint="eastAsia" w:ascii="宋体" w:hAnsi="宋体" w:cs="宋体"/>
          <w:szCs w:val="22"/>
        </w:rPr>
      </w:pPr>
      <w:r>
        <w:rPr>
          <w:rFonts w:hint="eastAsia" w:ascii="宋体" w:hAnsi="宋体" w:cs="宋体"/>
          <w:spacing w:val="-6"/>
          <w:sz w:val="24"/>
          <w:szCs w:val="24"/>
        </w:rPr>
        <w:pict>
          <v:shape id="_x0000_s2098" o:spid="_x0000_s2098" o:spt="75" type="#_x0000_t75" style="position:absolute;left:0pt;margin-left:109.15pt;margin-top:0.9pt;height:33pt;width:84pt;z-index:251695104;mso-width-relative:page;mso-height-relative:page;" o:ole="t" filled="f" o:preferrelative="t" stroked="f" coordsize="21600,21600">
            <v:path/>
            <v:fill on="f" focussize="0,0"/>
            <v:stroke on="f" joinstyle="miter"/>
            <v:imagedata r:id="rId24" o:title=""/>
            <o:lock v:ext="edit" aspectratio="t"/>
          </v:shape>
          <o:OLEObject Type="Embed" ProgID="Equation.KSEE3" ShapeID="_x0000_s2098" DrawAspect="Content" ObjectID="_1468075726" r:id="rId23">
            <o:LockedField>false</o:LockedField>
          </o:OLEObject>
        </w:pict>
      </w:r>
      <w:r>
        <w:rPr>
          <w:rFonts w:hint="eastAsia" w:ascii="宋体" w:hAnsi="宋体" w:cs="宋体"/>
          <w:sz w:val="24"/>
          <w:szCs w:val="24"/>
        </w:rPr>
        <w:t>pH</w:t>
      </w:r>
      <w:r>
        <w:rPr>
          <w:rFonts w:hint="eastAsia" w:ascii="宋体" w:hAnsi="宋体" w:cs="宋体"/>
          <w:sz w:val="24"/>
          <w:szCs w:val="24"/>
          <w:vertAlign w:val="subscript"/>
        </w:rPr>
        <w:t>j</w:t>
      </w:r>
      <w:r>
        <w:rPr>
          <w:rFonts w:hint="eastAsia" w:ascii="宋体" w:hAnsi="宋体" w:cs="宋体"/>
          <w:sz w:val="24"/>
          <w:szCs w:val="24"/>
        </w:rPr>
        <w:t>≤7.0时</w:t>
      </w:r>
      <w:r>
        <w:rPr>
          <w:rFonts w:hint="eastAsia" w:ascii="宋体" w:hAnsi="宋体" w:cs="宋体"/>
          <w:szCs w:val="22"/>
        </w:rPr>
        <w:t>：</w:t>
      </w:r>
    </w:p>
    <w:p w14:paraId="6D21788A">
      <w:pPr>
        <w:adjustRightInd w:val="0"/>
        <w:snapToGrid w:val="0"/>
        <w:spacing w:line="360" w:lineRule="auto"/>
        <w:ind w:firstLine="480"/>
        <w:jc w:val="center"/>
        <w:textAlignment w:val="center"/>
        <w:rPr>
          <w:rFonts w:hint="eastAsia" w:ascii="宋体" w:hAnsi="宋体" w:cs="宋体"/>
          <w:szCs w:val="22"/>
        </w:rPr>
      </w:pPr>
    </w:p>
    <w:p w14:paraId="381A35ED">
      <w:pPr>
        <w:adjustRightInd w:val="0"/>
        <w:snapToGrid w:val="0"/>
        <w:spacing w:line="360" w:lineRule="auto"/>
        <w:ind w:firstLine="720" w:firstLineChars="300"/>
        <w:jc w:val="center"/>
        <w:textAlignment w:val="center"/>
        <w:rPr>
          <w:rFonts w:hint="eastAsia" w:ascii="宋体" w:hAnsi="宋体" w:cs="宋体"/>
          <w:sz w:val="24"/>
          <w:szCs w:val="24"/>
        </w:rPr>
      </w:pPr>
      <w:r>
        <w:rPr>
          <w:rFonts w:hint="eastAsia" w:ascii="宋体" w:hAnsi="宋体" w:cs="宋体"/>
          <w:position w:val="-28"/>
          <w:sz w:val="24"/>
          <w:szCs w:val="24"/>
        </w:rPr>
        <w:pict>
          <v:shape id="_x0000_s2099" o:spid="_x0000_s2099" o:spt="75" type="#_x0000_t75" style="position:absolute;left:0pt;margin-left:109.3pt;margin-top:6.95pt;height:33pt;width:84pt;z-index:251696128;mso-width-relative:page;mso-height-relative:page;" o:ole="t" filled="f" o:preferrelative="t" stroked="f" coordsize="21600,21600">
            <v:path/>
            <v:fill on="f" focussize="0,0"/>
            <v:stroke on="f" joinstyle="miter"/>
            <v:imagedata r:id="rId26" o:title=""/>
            <o:lock v:ext="edit" aspectratio="t"/>
          </v:shape>
          <o:OLEObject Type="Embed" ProgID="Equation.KSEE3" ShapeID="_x0000_s2099" DrawAspect="Content" ObjectID="_1468075727" r:id="rId25">
            <o:LockedField>false</o:LockedField>
          </o:OLEObject>
        </w:pict>
      </w:r>
      <w:r>
        <w:rPr>
          <w:rFonts w:hint="eastAsia" w:ascii="宋体" w:hAnsi="宋体" w:cs="宋体"/>
          <w:sz w:val="24"/>
          <w:szCs w:val="24"/>
        </w:rPr>
        <w:t>pH</w:t>
      </w:r>
      <w:r>
        <w:rPr>
          <w:rFonts w:hint="eastAsia" w:ascii="宋体" w:hAnsi="宋体" w:cs="宋体"/>
          <w:sz w:val="24"/>
          <w:szCs w:val="24"/>
          <w:vertAlign w:val="subscript"/>
        </w:rPr>
        <w:t>j</w:t>
      </w:r>
      <w:r>
        <w:rPr>
          <w:rFonts w:hint="eastAsia" w:ascii="宋体" w:hAnsi="宋体" w:cs="宋体"/>
          <w:sz w:val="24"/>
          <w:szCs w:val="24"/>
        </w:rPr>
        <w:t>＞7.0时：</w:t>
      </w:r>
    </w:p>
    <w:p w14:paraId="60939F3C">
      <w:pPr>
        <w:adjustRightInd w:val="0"/>
        <w:snapToGrid w:val="0"/>
        <w:spacing w:line="360" w:lineRule="auto"/>
        <w:ind w:firstLine="480"/>
        <w:textAlignment w:val="center"/>
        <w:rPr>
          <w:rFonts w:hint="eastAsia" w:ascii="宋体" w:hAnsi="宋体" w:cs="宋体"/>
          <w:szCs w:val="22"/>
        </w:rPr>
      </w:pPr>
    </w:p>
    <w:p w14:paraId="1A50AE58">
      <w:pPr>
        <w:adjustRightInd w:val="0"/>
        <w:snapToGrid w:val="0"/>
        <w:spacing w:line="360" w:lineRule="auto"/>
        <w:ind w:firstLine="480"/>
        <w:textAlignment w:val="center"/>
        <w:rPr>
          <w:rFonts w:hint="eastAsia" w:ascii="宋体" w:hAnsi="宋体" w:cs="宋体"/>
          <w:sz w:val="24"/>
          <w:szCs w:val="24"/>
        </w:rPr>
      </w:pPr>
      <w:r>
        <w:rPr>
          <w:rFonts w:hint="eastAsia" w:ascii="宋体" w:hAnsi="宋体" w:cs="宋体"/>
          <w:sz w:val="24"/>
          <w:szCs w:val="24"/>
        </w:rPr>
        <w:t>式中：S</w:t>
      </w:r>
      <w:r>
        <w:rPr>
          <w:rFonts w:hint="eastAsia" w:ascii="宋体" w:hAnsi="宋体" w:cs="宋体"/>
          <w:sz w:val="24"/>
          <w:szCs w:val="24"/>
          <w:vertAlign w:val="subscript"/>
        </w:rPr>
        <w:t>PHj</w:t>
      </w:r>
      <w:r>
        <w:rPr>
          <w:rFonts w:hint="eastAsia" w:ascii="宋体" w:hAnsi="宋体" w:cs="宋体"/>
          <w:sz w:val="24"/>
          <w:szCs w:val="24"/>
        </w:rPr>
        <w:t>——pH标准指数；</w:t>
      </w:r>
    </w:p>
    <w:p w14:paraId="243D2EE0">
      <w:pPr>
        <w:adjustRightInd w:val="0"/>
        <w:snapToGrid w:val="0"/>
        <w:spacing w:line="360" w:lineRule="auto"/>
        <w:ind w:firstLine="1200" w:firstLineChars="500"/>
        <w:textAlignment w:val="center"/>
        <w:rPr>
          <w:rFonts w:hint="eastAsia" w:ascii="宋体" w:hAnsi="宋体" w:cs="宋体"/>
          <w:sz w:val="24"/>
          <w:szCs w:val="24"/>
        </w:rPr>
      </w:pPr>
      <w:r>
        <w:rPr>
          <w:rFonts w:hint="eastAsia" w:ascii="宋体" w:hAnsi="宋体" w:cs="宋体"/>
          <w:sz w:val="24"/>
          <w:szCs w:val="24"/>
        </w:rPr>
        <w:t>pH</w:t>
      </w:r>
      <w:r>
        <w:rPr>
          <w:rFonts w:hint="eastAsia" w:ascii="宋体" w:hAnsi="宋体" w:cs="宋体"/>
          <w:sz w:val="24"/>
          <w:szCs w:val="24"/>
          <w:vertAlign w:val="subscript"/>
        </w:rPr>
        <w:t>j</w:t>
      </w:r>
      <w:r>
        <w:rPr>
          <w:rFonts w:hint="eastAsia" w:ascii="宋体" w:hAnsi="宋体" w:cs="宋体"/>
          <w:sz w:val="24"/>
          <w:szCs w:val="24"/>
        </w:rPr>
        <w:t>——j点实测pH值；</w:t>
      </w:r>
    </w:p>
    <w:p w14:paraId="5A3C1719">
      <w:pPr>
        <w:adjustRightInd w:val="0"/>
        <w:snapToGrid w:val="0"/>
        <w:spacing w:line="360" w:lineRule="auto"/>
        <w:ind w:firstLine="1200" w:firstLineChars="500"/>
        <w:textAlignment w:val="center"/>
        <w:rPr>
          <w:rFonts w:hint="eastAsia" w:ascii="宋体" w:hAnsi="宋体" w:cs="宋体"/>
          <w:sz w:val="24"/>
          <w:szCs w:val="24"/>
        </w:rPr>
      </w:pPr>
      <w:r>
        <w:rPr>
          <w:rFonts w:hint="eastAsia" w:ascii="宋体" w:hAnsi="宋体" w:cs="宋体"/>
          <w:sz w:val="24"/>
          <w:szCs w:val="24"/>
        </w:rPr>
        <w:t>pH</w:t>
      </w:r>
      <w:r>
        <w:rPr>
          <w:rFonts w:hint="eastAsia" w:ascii="宋体" w:hAnsi="宋体" w:cs="宋体"/>
          <w:sz w:val="24"/>
          <w:szCs w:val="24"/>
          <w:vertAlign w:val="subscript"/>
        </w:rPr>
        <w:t>sd</w:t>
      </w:r>
      <w:r>
        <w:rPr>
          <w:rFonts w:hint="eastAsia" w:ascii="宋体" w:hAnsi="宋体" w:cs="宋体"/>
          <w:sz w:val="24"/>
          <w:szCs w:val="24"/>
        </w:rPr>
        <w:t>——标准中pH的下限值（6.5）；</w:t>
      </w:r>
    </w:p>
    <w:p w14:paraId="4E4EFE1C">
      <w:pPr>
        <w:adjustRightInd w:val="0"/>
        <w:snapToGrid w:val="0"/>
        <w:spacing w:line="360" w:lineRule="auto"/>
        <w:ind w:firstLine="1200" w:firstLineChars="500"/>
        <w:rPr>
          <w:rFonts w:hint="eastAsia" w:ascii="宋体" w:hAnsi="宋体" w:cs="宋体"/>
          <w:sz w:val="24"/>
          <w:szCs w:val="24"/>
        </w:rPr>
      </w:pPr>
      <w:r>
        <w:rPr>
          <w:rFonts w:hint="eastAsia" w:ascii="宋体" w:hAnsi="宋体" w:cs="宋体"/>
          <w:sz w:val="24"/>
          <w:szCs w:val="24"/>
        </w:rPr>
        <w:t>pH</w:t>
      </w:r>
      <w:r>
        <w:rPr>
          <w:rFonts w:hint="eastAsia" w:ascii="宋体" w:hAnsi="宋体" w:cs="宋体"/>
          <w:sz w:val="24"/>
          <w:szCs w:val="24"/>
          <w:vertAlign w:val="subscript"/>
        </w:rPr>
        <w:t>su</w:t>
      </w:r>
      <w:r>
        <w:rPr>
          <w:rFonts w:hint="eastAsia" w:ascii="宋体" w:hAnsi="宋体" w:cs="宋体"/>
          <w:sz w:val="24"/>
          <w:szCs w:val="24"/>
        </w:rPr>
        <w:t>——标准中pH的上限值（8.5）。</w:t>
      </w:r>
    </w:p>
    <w:p w14:paraId="477764D1">
      <w:pPr>
        <w:pStyle w:val="246"/>
        <w:ind w:firstLine="480"/>
        <w:rPr>
          <w:rFonts w:hint="eastAsia" w:ascii="宋体" w:hAnsi="宋体" w:cs="宋体"/>
        </w:rPr>
      </w:pPr>
      <w:r>
        <w:rPr>
          <w:rFonts w:hint="eastAsia" w:ascii="宋体" w:hAnsi="宋体" w:cs="宋体"/>
        </w:rPr>
        <w:t>③评价标准</w:t>
      </w:r>
    </w:p>
    <w:p w14:paraId="4A638E4D">
      <w:pPr>
        <w:pStyle w:val="246"/>
        <w:ind w:firstLine="480"/>
        <w:rPr>
          <w:rFonts w:hint="eastAsia" w:ascii="宋体" w:hAnsi="宋体" w:cs="宋体"/>
        </w:rPr>
      </w:pPr>
      <w:r>
        <w:rPr>
          <w:rFonts w:hint="eastAsia" w:ascii="宋体" w:hAnsi="宋体" w:cs="宋体"/>
        </w:rPr>
        <w:t>采用《地下水质量标准》（GB/T14848-2017）中Ⅲ类标准。</w:t>
      </w:r>
    </w:p>
    <w:p w14:paraId="6856FAC9">
      <w:pPr>
        <w:spacing w:line="360" w:lineRule="auto"/>
        <w:ind w:firstLine="480" w:firstLineChars="200"/>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（5）监测结果</w:t>
      </w:r>
    </w:p>
    <w:p w14:paraId="6BDFD08D">
      <w:pPr>
        <w:pStyle w:val="246"/>
        <w:ind w:firstLine="480"/>
        <w:rPr>
          <w:rFonts w:hint="eastAsia" w:ascii="宋体" w:hAnsi="宋体" w:cs="宋体"/>
        </w:rPr>
      </w:pPr>
      <w:r>
        <w:rPr>
          <w:rFonts w:hint="eastAsia" w:ascii="宋体" w:hAnsi="宋体" w:cs="宋体"/>
        </w:rPr>
        <w:t>场区地下水质监测结果见表4.3-8。</w:t>
      </w:r>
    </w:p>
    <w:p w14:paraId="1E99C804">
      <w:pPr>
        <w:adjustRightInd w:val="0"/>
        <w:snapToGrid w:val="0"/>
        <w:jc w:val="center"/>
        <w:rPr>
          <w:rFonts w:hint="eastAsia" w:ascii="宋体" w:hAnsi="宋体" w:cs="宋体"/>
          <w:b/>
          <w:color w:val="000000"/>
          <w:szCs w:val="21"/>
        </w:rPr>
      </w:pPr>
    </w:p>
    <w:p w14:paraId="0B084C87">
      <w:pPr>
        <w:adjustRightInd w:val="0"/>
        <w:snapToGrid w:val="0"/>
        <w:jc w:val="center"/>
        <w:rPr>
          <w:rFonts w:hint="eastAsia" w:ascii="宋体" w:hAnsi="宋体" w:cs="宋体"/>
          <w:b/>
          <w:color w:val="000000"/>
          <w:szCs w:val="21"/>
        </w:rPr>
      </w:pPr>
    </w:p>
    <w:p w14:paraId="3BFA422C">
      <w:pPr>
        <w:adjustRightInd w:val="0"/>
        <w:snapToGrid w:val="0"/>
        <w:jc w:val="center"/>
        <w:rPr>
          <w:rFonts w:hint="eastAsia" w:ascii="宋体" w:hAnsi="宋体" w:cs="宋体"/>
          <w:b/>
          <w:color w:val="000000"/>
          <w:szCs w:val="21"/>
        </w:rPr>
      </w:pPr>
    </w:p>
    <w:p w14:paraId="4B1C432B">
      <w:pPr>
        <w:adjustRightInd w:val="0"/>
        <w:snapToGrid w:val="0"/>
        <w:jc w:val="center"/>
        <w:rPr>
          <w:rFonts w:hint="eastAsia" w:ascii="宋体" w:hAnsi="宋体" w:cs="宋体"/>
          <w:b/>
          <w:color w:val="000000"/>
          <w:szCs w:val="21"/>
        </w:rPr>
      </w:pPr>
    </w:p>
    <w:p w14:paraId="1A194803">
      <w:pPr>
        <w:pStyle w:val="35"/>
        <w:rPr>
          <w:rFonts w:hint="eastAsia"/>
        </w:rPr>
      </w:pPr>
    </w:p>
    <w:p w14:paraId="108A2D94">
      <w:pPr>
        <w:rPr>
          <w:rFonts w:hint="eastAsia"/>
        </w:rPr>
      </w:pPr>
    </w:p>
    <w:p w14:paraId="4AA73BA9">
      <w:pPr>
        <w:rPr>
          <w:rFonts w:hint="eastAsia"/>
        </w:rPr>
      </w:pPr>
    </w:p>
    <w:p w14:paraId="1FE50232">
      <w:pPr>
        <w:adjustRightInd w:val="0"/>
        <w:snapToGrid w:val="0"/>
        <w:jc w:val="center"/>
        <w:rPr>
          <w:rFonts w:hint="eastAsia" w:ascii="宋体" w:hAnsi="宋体" w:cs="宋体"/>
          <w:b/>
          <w:color w:val="000000"/>
          <w:szCs w:val="21"/>
        </w:rPr>
      </w:pPr>
    </w:p>
    <w:p w14:paraId="0450A1C5">
      <w:pPr>
        <w:adjustRightInd w:val="0"/>
        <w:snapToGrid w:val="0"/>
        <w:jc w:val="center"/>
        <w:rPr>
          <w:rFonts w:hint="eastAsia" w:ascii="宋体" w:hAnsi="宋体" w:cs="宋体"/>
          <w:b/>
          <w:color w:val="000000"/>
          <w:szCs w:val="21"/>
        </w:rPr>
      </w:pPr>
      <w:r>
        <w:rPr>
          <w:rFonts w:hint="eastAsia" w:ascii="宋体" w:hAnsi="宋体" w:cs="宋体"/>
          <w:b/>
          <w:color w:val="000000"/>
          <w:szCs w:val="21"/>
        </w:rPr>
        <w:t>表4.3-8      地下水监测结果及标准单位：      单位：mg/L（pH除外）</w:t>
      </w:r>
    </w:p>
    <w:tbl>
      <w:tblPr>
        <w:tblStyle w:val="49"/>
        <w:tblW w:w="495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636"/>
        <w:gridCol w:w="690"/>
        <w:gridCol w:w="1161"/>
        <w:gridCol w:w="1056"/>
        <w:gridCol w:w="846"/>
        <w:gridCol w:w="1056"/>
        <w:gridCol w:w="741"/>
        <w:gridCol w:w="1056"/>
        <w:gridCol w:w="741"/>
        <w:gridCol w:w="1056"/>
      </w:tblGrid>
      <w:tr w14:paraId="4EAB101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52" w:hRule="atLeast"/>
          <w:jc w:val="center"/>
        </w:trPr>
        <w:tc>
          <w:tcPr>
            <w:tcW w:w="352" w:type="pct"/>
            <w:vMerge w:val="restart"/>
            <w:noWrap/>
            <w:vAlign w:val="center"/>
          </w:tcPr>
          <w:p w14:paraId="245AAF73">
            <w:pPr>
              <w:spacing w:line="240" w:lineRule="exact"/>
              <w:jc w:val="center"/>
              <w:textAlignment w:val="baseline"/>
              <w:rPr>
                <w:rFonts w:hint="eastAsia" w:ascii="宋体" w:hAnsi="宋体" w:cs="宋体"/>
                <w:kern w:val="13"/>
              </w:rPr>
            </w:pPr>
            <w:r>
              <w:rPr>
                <w:rFonts w:hint="eastAsia" w:ascii="宋体" w:hAnsi="宋体" w:cs="宋体"/>
                <w:kern w:val="13"/>
              </w:rPr>
              <w:t>序号</w:t>
            </w:r>
          </w:p>
        </w:tc>
        <w:tc>
          <w:tcPr>
            <w:tcW w:w="382" w:type="pct"/>
            <w:vMerge w:val="restart"/>
            <w:vAlign w:val="center"/>
          </w:tcPr>
          <w:p w14:paraId="4609A10C">
            <w:pPr>
              <w:spacing w:line="240" w:lineRule="exact"/>
              <w:jc w:val="center"/>
              <w:textAlignment w:val="baseline"/>
              <w:rPr>
                <w:rFonts w:hint="eastAsia" w:ascii="宋体" w:hAnsi="宋体" w:cs="宋体"/>
                <w:kern w:val="13"/>
              </w:rPr>
            </w:pPr>
            <w:r>
              <w:rPr>
                <w:rFonts w:hint="eastAsia" w:ascii="宋体" w:hAnsi="宋体" w:cs="宋体"/>
                <w:kern w:val="13"/>
              </w:rPr>
              <w:t>检验项目</w:t>
            </w:r>
          </w:p>
        </w:tc>
        <w:tc>
          <w:tcPr>
            <w:tcW w:w="642" w:type="pct"/>
            <w:vMerge w:val="restart"/>
            <w:noWrap/>
            <w:vAlign w:val="center"/>
          </w:tcPr>
          <w:p w14:paraId="7A743421">
            <w:pPr>
              <w:spacing w:line="240" w:lineRule="exact"/>
              <w:jc w:val="center"/>
              <w:textAlignment w:val="baseline"/>
              <w:rPr>
                <w:rFonts w:hint="eastAsia" w:ascii="宋体" w:hAnsi="宋体" w:cs="宋体"/>
                <w:kern w:val="13"/>
              </w:rPr>
            </w:pPr>
            <w:r>
              <w:rPr>
                <w:rFonts w:hint="eastAsia" w:ascii="宋体" w:hAnsi="宋体" w:cs="宋体"/>
                <w:kern w:val="13"/>
              </w:rPr>
              <w:t>单位</w:t>
            </w:r>
          </w:p>
        </w:tc>
        <w:tc>
          <w:tcPr>
            <w:tcW w:w="1052" w:type="pct"/>
            <w:gridSpan w:val="2"/>
            <w:noWrap/>
            <w:vAlign w:val="center"/>
          </w:tcPr>
          <w:p w14:paraId="5700CFF8">
            <w:pPr>
              <w:spacing w:line="240" w:lineRule="exact"/>
              <w:jc w:val="center"/>
              <w:textAlignment w:val="baseline"/>
              <w:rPr>
                <w:rFonts w:hint="eastAsia" w:ascii="宋体" w:hAnsi="宋体" w:cs="宋体"/>
                <w:kern w:val="13"/>
              </w:rPr>
            </w:pPr>
            <w:r>
              <w:rPr>
                <w:rFonts w:hint="eastAsia" w:ascii="宋体" w:hAnsi="宋体" w:cs="宋体"/>
                <w:kern w:val="13"/>
              </w:rPr>
              <w:t>1#上游</w:t>
            </w:r>
          </w:p>
        </w:tc>
        <w:tc>
          <w:tcPr>
            <w:tcW w:w="994" w:type="pct"/>
            <w:gridSpan w:val="2"/>
            <w:noWrap/>
            <w:vAlign w:val="center"/>
          </w:tcPr>
          <w:p w14:paraId="55375235">
            <w:pPr>
              <w:spacing w:line="240" w:lineRule="exact"/>
              <w:jc w:val="center"/>
              <w:textAlignment w:val="baseline"/>
              <w:rPr>
                <w:rFonts w:hint="eastAsia" w:ascii="宋体" w:hAnsi="宋体" w:cs="宋体"/>
                <w:kern w:val="13"/>
              </w:rPr>
            </w:pPr>
            <w:r>
              <w:rPr>
                <w:rFonts w:hint="eastAsia" w:ascii="宋体" w:hAnsi="宋体" w:cs="宋体"/>
                <w:kern w:val="13"/>
              </w:rPr>
              <w:t>2#项目区</w:t>
            </w:r>
          </w:p>
        </w:tc>
        <w:tc>
          <w:tcPr>
            <w:tcW w:w="994" w:type="pct"/>
            <w:gridSpan w:val="2"/>
            <w:noWrap/>
            <w:vAlign w:val="center"/>
          </w:tcPr>
          <w:p w14:paraId="4659916C">
            <w:pPr>
              <w:spacing w:line="240" w:lineRule="exact"/>
              <w:jc w:val="center"/>
              <w:textAlignment w:val="baseline"/>
              <w:rPr>
                <w:rFonts w:hint="eastAsia" w:ascii="宋体" w:hAnsi="宋体" w:cs="宋体"/>
                <w:kern w:val="13"/>
              </w:rPr>
            </w:pPr>
            <w:r>
              <w:rPr>
                <w:rFonts w:hint="eastAsia" w:ascii="宋体" w:hAnsi="宋体" w:cs="宋体"/>
                <w:kern w:val="13"/>
              </w:rPr>
              <w:t>3#下游</w:t>
            </w:r>
          </w:p>
        </w:tc>
        <w:tc>
          <w:tcPr>
            <w:tcW w:w="584" w:type="pct"/>
            <w:vMerge w:val="restart"/>
            <w:noWrap/>
            <w:vAlign w:val="center"/>
          </w:tcPr>
          <w:p w14:paraId="752CB1BA">
            <w:pPr>
              <w:spacing w:line="240" w:lineRule="exact"/>
              <w:jc w:val="center"/>
              <w:textAlignment w:val="baseline"/>
              <w:rPr>
                <w:rFonts w:hint="eastAsia" w:ascii="宋体" w:hAnsi="宋体" w:cs="宋体"/>
                <w:kern w:val="13"/>
              </w:rPr>
            </w:pPr>
            <w:r>
              <w:rPr>
                <w:rFonts w:hint="eastAsia" w:ascii="宋体" w:hAnsi="宋体" w:cs="宋体"/>
                <w:kern w:val="13"/>
              </w:rPr>
              <w:t>标准限值</w:t>
            </w:r>
          </w:p>
        </w:tc>
      </w:tr>
      <w:tr w14:paraId="75F1155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98" w:hRule="atLeast"/>
          <w:jc w:val="center"/>
        </w:trPr>
        <w:tc>
          <w:tcPr>
            <w:tcW w:w="352" w:type="pct"/>
            <w:vMerge w:val="continue"/>
            <w:vAlign w:val="center"/>
          </w:tcPr>
          <w:p w14:paraId="13948B23">
            <w:pPr>
              <w:spacing w:line="240" w:lineRule="exact"/>
              <w:jc w:val="center"/>
              <w:textAlignment w:val="baseline"/>
              <w:rPr>
                <w:rFonts w:hint="eastAsia" w:ascii="宋体" w:hAnsi="宋体" w:cs="宋体"/>
                <w:kern w:val="13"/>
              </w:rPr>
            </w:pPr>
          </w:p>
        </w:tc>
        <w:tc>
          <w:tcPr>
            <w:tcW w:w="382" w:type="pct"/>
            <w:vMerge w:val="continue"/>
            <w:vAlign w:val="center"/>
          </w:tcPr>
          <w:p w14:paraId="44AA7636">
            <w:pPr>
              <w:spacing w:line="240" w:lineRule="exact"/>
              <w:jc w:val="center"/>
              <w:textAlignment w:val="baseline"/>
              <w:rPr>
                <w:rFonts w:hint="eastAsia" w:ascii="宋体" w:hAnsi="宋体" w:cs="宋体"/>
                <w:kern w:val="13"/>
              </w:rPr>
            </w:pPr>
          </w:p>
        </w:tc>
        <w:tc>
          <w:tcPr>
            <w:tcW w:w="642" w:type="pct"/>
            <w:vMerge w:val="continue"/>
            <w:vAlign w:val="center"/>
          </w:tcPr>
          <w:p w14:paraId="5A85CDCE">
            <w:pPr>
              <w:spacing w:line="240" w:lineRule="exact"/>
              <w:jc w:val="center"/>
              <w:textAlignment w:val="baseline"/>
              <w:rPr>
                <w:rFonts w:hint="eastAsia" w:ascii="宋体" w:hAnsi="宋体" w:cs="宋体"/>
                <w:kern w:val="13"/>
              </w:rPr>
            </w:pPr>
          </w:p>
        </w:tc>
        <w:tc>
          <w:tcPr>
            <w:tcW w:w="584" w:type="pct"/>
            <w:noWrap/>
            <w:vAlign w:val="center"/>
          </w:tcPr>
          <w:p w14:paraId="5A355005">
            <w:pPr>
              <w:spacing w:line="240" w:lineRule="exact"/>
              <w:jc w:val="center"/>
              <w:textAlignment w:val="baseline"/>
              <w:rPr>
                <w:rFonts w:hint="eastAsia" w:ascii="宋体" w:hAnsi="宋体" w:cs="宋体"/>
                <w:kern w:val="13"/>
              </w:rPr>
            </w:pPr>
            <w:r>
              <w:rPr>
                <w:rFonts w:hint="eastAsia" w:ascii="宋体" w:hAnsi="宋体" w:cs="宋体"/>
                <w:kern w:val="13"/>
              </w:rPr>
              <w:t>监测结果</w:t>
            </w:r>
          </w:p>
        </w:tc>
        <w:tc>
          <w:tcPr>
            <w:tcW w:w="468" w:type="pct"/>
            <w:noWrap/>
            <w:vAlign w:val="center"/>
          </w:tcPr>
          <w:p w14:paraId="4A4BB724">
            <w:pPr>
              <w:spacing w:line="240" w:lineRule="exact"/>
              <w:jc w:val="center"/>
              <w:textAlignment w:val="baseline"/>
              <w:rPr>
                <w:rFonts w:hint="eastAsia" w:ascii="宋体" w:hAnsi="宋体" w:cs="宋体"/>
                <w:kern w:val="13"/>
              </w:rPr>
            </w:pPr>
            <w:r>
              <w:rPr>
                <w:rFonts w:hint="eastAsia" w:ascii="宋体" w:hAnsi="宋体" w:cs="宋体"/>
                <w:kern w:val="13"/>
              </w:rPr>
              <w:t>Pi</w:t>
            </w:r>
          </w:p>
        </w:tc>
        <w:tc>
          <w:tcPr>
            <w:tcW w:w="584" w:type="pct"/>
            <w:noWrap/>
            <w:vAlign w:val="center"/>
          </w:tcPr>
          <w:p w14:paraId="55BDCC6C">
            <w:pPr>
              <w:spacing w:line="240" w:lineRule="exact"/>
              <w:jc w:val="center"/>
              <w:textAlignment w:val="baseline"/>
              <w:rPr>
                <w:rFonts w:hint="eastAsia" w:ascii="宋体" w:hAnsi="宋体" w:cs="宋体"/>
                <w:kern w:val="13"/>
              </w:rPr>
            </w:pPr>
            <w:r>
              <w:rPr>
                <w:rFonts w:hint="eastAsia" w:ascii="宋体" w:hAnsi="宋体" w:cs="宋体"/>
                <w:kern w:val="13"/>
              </w:rPr>
              <w:t>监测结果</w:t>
            </w:r>
          </w:p>
        </w:tc>
        <w:tc>
          <w:tcPr>
            <w:tcW w:w="410" w:type="pct"/>
            <w:noWrap/>
            <w:vAlign w:val="center"/>
          </w:tcPr>
          <w:p w14:paraId="6D583E19">
            <w:pPr>
              <w:spacing w:line="240" w:lineRule="exact"/>
              <w:jc w:val="center"/>
              <w:textAlignment w:val="baseline"/>
              <w:rPr>
                <w:rFonts w:hint="eastAsia" w:ascii="宋体" w:hAnsi="宋体" w:cs="宋体"/>
                <w:kern w:val="13"/>
              </w:rPr>
            </w:pPr>
            <w:r>
              <w:rPr>
                <w:rFonts w:hint="eastAsia" w:ascii="宋体" w:hAnsi="宋体" w:cs="宋体"/>
                <w:kern w:val="13"/>
              </w:rPr>
              <w:t>Pi</w:t>
            </w:r>
          </w:p>
        </w:tc>
        <w:tc>
          <w:tcPr>
            <w:tcW w:w="584" w:type="pct"/>
            <w:noWrap/>
            <w:vAlign w:val="center"/>
          </w:tcPr>
          <w:p w14:paraId="6D533060">
            <w:pPr>
              <w:spacing w:line="240" w:lineRule="exact"/>
              <w:jc w:val="center"/>
              <w:textAlignment w:val="baseline"/>
              <w:rPr>
                <w:rFonts w:hint="eastAsia" w:ascii="宋体" w:hAnsi="宋体" w:cs="宋体"/>
                <w:kern w:val="13"/>
              </w:rPr>
            </w:pPr>
            <w:r>
              <w:rPr>
                <w:rFonts w:hint="eastAsia" w:ascii="宋体" w:hAnsi="宋体" w:cs="宋体"/>
                <w:kern w:val="13"/>
              </w:rPr>
              <w:t>监测结果</w:t>
            </w:r>
          </w:p>
        </w:tc>
        <w:tc>
          <w:tcPr>
            <w:tcW w:w="410" w:type="pct"/>
            <w:noWrap/>
            <w:vAlign w:val="center"/>
          </w:tcPr>
          <w:p w14:paraId="2B73D746">
            <w:pPr>
              <w:spacing w:line="240" w:lineRule="exact"/>
              <w:jc w:val="center"/>
              <w:textAlignment w:val="baseline"/>
              <w:rPr>
                <w:rFonts w:hint="eastAsia" w:ascii="宋体" w:hAnsi="宋体" w:cs="宋体"/>
                <w:kern w:val="13"/>
              </w:rPr>
            </w:pPr>
            <w:r>
              <w:rPr>
                <w:rFonts w:hint="eastAsia" w:ascii="宋体" w:hAnsi="宋体" w:cs="宋体"/>
                <w:kern w:val="13"/>
              </w:rPr>
              <w:t>Pi</w:t>
            </w:r>
          </w:p>
        </w:tc>
        <w:tc>
          <w:tcPr>
            <w:tcW w:w="584" w:type="pct"/>
            <w:vMerge w:val="continue"/>
            <w:vAlign w:val="center"/>
          </w:tcPr>
          <w:p w14:paraId="161670C6">
            <w:pPr>
              <w:spacing w:line="240" w:lineRule="exact"/>
              <w:jc w:val="center"/>
              <w:textAlignment w:val="baseline"/>
              <w:rPr>
                <w:rFonts w:hint="eastAsia" w:ascii="宋体" w:hAnsi="宋体" w:cs="宋体"/>
                <w:kern w:val="13"/>
              </w:rPr>
            </w:pPr>
          </w:p>
        </w:tc>
      </w:tr>
      <w:tr w14:paraId="5111A9A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352" w:type="pct"/>
            <w:noWrap/>
            <w:vAlign w:val="center"/>
          </w:tcPr>
          <w:p w14:paraId="3CCBF03D">
            <w:pPr>
              <w:spacing w:line="240" w:lineRule="exact"/>
              <w:jc w:val="center"/>
              <w:textAlignment w:val="baseline"/>
              <w:rPr>
                <w:rFonts w:hint="eastAsia" w:ascii="宋体" w:hAnsi="宋体" w:cs="宋体"/>
                <w:kern w:val="13"/>
              </w:rPr>
            </w:pPr>
            <w:r>
              <w:rPr>
                <w:rFonts w:hint="eastAsia" w:ascii="宋体" w:hAnsi="宋体" w:cs="宋体"/>
                <w:kern w:val="13"/>
              </w:rPr>
              <w:t>1</w:t>
            </w:r>
          </w:p>
        </w:tc>
        <w:tc>
          <w:tcPr>
            <w:tcW w:w="382" w:type="pct"/>
            <w:vAlign w:val="center"/>
          </w:tcPr>
          <w:p w14:paraId="76CC1AF7">
            <w:pPr>
              <w:spacing w:line="240" w:lineRule="exact"/>
              <w:jc w:val="center"/>
              <w:textAlignment w:val="baseline"/>
              <w:rPr>
                <w:rFonts w:hint="eastAsia" w:ascii="宋体" w:hAnsi="宋体" w:cs="宋体"/>
                <w:kern w:val="13"/>
              </w:rPr>
            </w:pPr>
            <w:r>
              <w:rPr>
                <w:rFonts w:hint="eastAsia" w:ascii="宋体" w:hAnsi="宋体" w:cs="宋体"/>
                <w:color w:val="000000"/>
                <w:szCs w:val="21"/>
              </w:rPr>
              <w:t>pH</w:t>
            </w:r>
          </w:p>
        </w:tc>
        <w:tc>
          <w:tcPr>
            <w:tcW w:w="642" w:type="pct"/>
            <w:noWrap/>
            <w:vAlign w:val="center"/>
          </w:tcPr>
          <w:p w14:paraId="0F336886">
            <w:pPr>
              <w:spacing w:line="240" w:lineRule="exact"/>
              <w:jc w:val="center"/>
              <w:textAlignment w:val="baseline"/>
              <w:rPr>
                <w:rFonts w:hint="eastAsia" w:ascii="宋体" w:hAnsi="宋体" w:cs="宋体"/>
                <w:kern w:val="13"/>
              </w:rPr>
            </w:pPr>
            <w:r>
              <w:rPr>
                <w:rFonts w:hint="eastAsia" w:ascii="宋体" w:hAnsi="宋体" w:cs="宋体"/>
                <w:color w:val="000000"/>
                <w:szCs w:val="21"/>
              </w:rPr>
              <w:t>无量纲</w:t>
            </w:r>
          </w:p>
        </w:tc>
        <w:tc>
          <w:tcPr>
            <w:tcW w:w="584" w:type="pct"/>
            <w:noWrap/>
            <w:vAlign w:val="center"/>
          </w:tcPr>
          <w:p w14:paraId="423D9AA5">
            <w:pPr>
              <w:spacing w:line="240" w:lineRule="exact"/>
              <w:jc w:val="center"/>
              <w:textAlignment w:val="baseline"/>
              <w:rPr>
                <w:rFonts w:hint="eastAsia" w:ascii="宋体" w:hAnsi="宋体" w:cs="宋体"/>
                <w:kern w:val="13"/>
              </w:rPr>
            </w:pPr>
            <w:r>
              <w:rPr>
                <w:rFonts w:hint="eastAsia" w:ascii="宋体" w:hAnsi="宋体"/>
                <w:szCs w:val="21"/>
              </w:rPr>
              <w:t>7.6</w:t>
            </w:r>
          </w:p>
        </w:tc>
        <w:tc>
          <w:tcPr>
            <w:tcW w:w="468" w:type="pct"/>
            <w:noWrap/>
            <w:vAlign w:val="center"/>
          </w:tcPr>
          <w:p w14:paraId="50628E19">
            <w:pPr>
              <w:spacing w:line="240" w:lineRule="exact"/>
              <w:jc w:val="center"/>
              <w:textAlignment w:val="baseline"/>
              <w:rPr>
                <w:rFonts w:hint="eastAsia" w:ascii="宋体" w:hAnsi="宋体" w:cs="宋体"/>
                <w:kern w:val="13"/>
              </w:rPr>
            </w:pPr>
            <w:r>
              <w:rPr>
                <w:rFonts w:hint="eastAsia" w:ascii="宋体" w:hAnsi="宋体" w:cs="宋体"/>
                <w:kern w:val="13"/>
              </w:rPr>
              <w:t>0.4</w:t>
            </w:r>
          </w:p>
        </w:tc>
        <w:tc>
          <w:tcPr>
            <w:tcW w:w="584" w:type="pct"/>
            <w:noWrap/>
            <w:vAlign w:val="center"/>
          </w:tcPr>
          <w:p w14:paraId="6FF22CF8">
            <w:pPr>
              <w:spacing w:line="240" w:lineRule="exact"/>
              <w:jc w:val="center"/>
              <w:textAlignment w:val="baseline"/>
              <w:rPr>
                <w:rFonts w:hint="eastAsia" w:ascii="宋体" w:hAnsi="宋体" w:cs="宋体"/>
                <w:kern w:val="13"/>
              </w:rPr>
            </w:pPr>
            <w:r>
              <w:rPr>
                <w:rFonts w:hint="eastAsia" w:ascii="宋体" w:hAnsi="宋体"/>
                <w:szCs w:val="21"/>
              </w:rPr>
              <w:t>7.8</w:t>
            </w:r>
          </w:p>
        </w:tc>
        <w:tc>
          <w:tcPr>
            <w:tcW w:w="410" w:type="pct"/>
            <w:noWrap/>
            <w:vAlign w:val="center"/>
          </w:tcPr>
          <w:p w14:paraId="38B428C5">
            <w:pPr>
              <w:spacing w:line="240" w:lineRule="exact"/>
              <w:textAlignment w:val="baseline"/>
              <w:rPr>
                <w:rFonts w:hint="eastAsia" w:ascii="宋体" w:hAnsi="宋体" w:cs="宋体"/>
                <w:kern w:val="13"/>
              </w:rPr>
            </w:pPr>
            <w:r>
              <w:rPr>
                <w:rFonts w:hint="eastAsia" w:ascii="宋体" w:hAnsi="宋体" w:cs="宋体"/>
                <w:kern w:val="13"/>
              </w:rPr>
              <w:t>0.53</w:t>
            </w:r>
          </w:p>
        </w:tc>
        <w:tc>
          <w:tcPr>
            <w:tcW w:w="584" w:type="pct"/>
            <w:noWrap/>
            <w:vAlign w:val="center"/>
          </w:tcPr>
          <w:p w14:paraId="728CDF03">
            <w:pPr>
              <w:spacing w:line="240" w:lineRule="exact"/>
              <w:jc w:val="center"/>
              <w:textAlignment w:val="baseline"/>
              <w:rPr>
                <w:rFonts w:hint="eastAsia" w:ascii="宋体" w:hAnsi="宋体" w:cs="宋体"/>
                <w:kern w:val="13"/>
              </w:rPr>
            </w:pPr>
            <w:r>
              <w:rPr>
                <w:rFonts w:hint="eastAsia" w:ascii="宋体" w:hAnsi="宋体"/>
                <w:szCs w:val="21"/>
              </w:rPr>
              <w:t>8.0</w:t>
            </w:r>
          </w:p>
        </w:tc>
        <w:tc>
          <w:tcPr>
            <w:tcW w:w="410" w:type="pct"/>
            <w:noWrap/>
            <w:vAlign w:val="center"/>
          </w:tcPr>
          <w:p w14:paraId="215460F1">
            <w:pPr>
              <w:spacing w:line="240" w:lineRule="exact"/>
              <w:jc w:val="center"/>
              <w:textAlignment w:val="baseline"/>
              <w:rPr>
                <w:rFonts w:hint="eastAsia" w:ascii="宋体" w:hAnsi="宋体" w:cs="宋体"/>
                <w:kern w:val="13"/>
              </w:rPr>
            </w:pPr>
            <w:r>
              <w:rPr>
                <w:rFonts w:hint="eastAsia" w:ascii="宋体" w:hAnsi="宋体" w:cs="宋体"/>
                <w:kern w:val="13"/>
              </w:rPr>
              <w:t>0.67</w:t>
            </w:r>
          </w:p>
        </w:tc>
        <w:tc>
          <w:tcPr>
            <w:tcW w:w="584" w:type="pct"/>
            <w:vAlign w:val="center"/>
          </w:tcPr>
          <w:p w14:paraId="3D17B1ED">
            <w:pPr>
              <w:spacing w:line="240" w:lineRule="exact"/>
              <w:jc w:val="center"/>
              <w:textAlignment w:val="baseline"/>
              <w:rPr>
                <w:rFonts w:hint="eastAsia" w:ascii="宋体" w:hAnsi="宋体" w:cs="宋体"/>
                <w:kern w:val="13"/>
                <w:szCs w:val="21"/>
              </w:rPr>
            </w:pPr>
            <w:r>
              <w:rPr>
                <w:rFonts w:hint="eastAsia" w:ascii="宋体" w:hAnsi="宋体" w:cs="宋体"/>
                <w:color w:val="000000"/>
                <w:szCs w:val="21"/>
              </w:rPr>
              <w:t>6.5-8.5</w:t>
            </w:r>
          </w:p>
        </w:tc>
      </w:tr>
      <w:tr w14:paraId="07425E9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35" w:hRule="atLeast"/>
          <w:jc w:val="center"/>
        </w:trPr>
        <w:tc>
          <w:tcPr>
            <w:tcW w:w="352" w:type="pct"/>
            <w:noWrap/>
            <w:vAlign w:val="center"/>
          </w:tcPr>
          <w:p w14:paraId="2DA6AD0F">
            <w:pPr>
              <w:spacing w:line="240" w:lineRule="exact"/>
              <w:jc w:val="center"/>
              <w:textAlignment w:val="baseline"/>
              <w:rPr>
                <w:rFonts w:hint="eastAsia" w:ascii="宋体" w:hAnsi="宋体" w:cs="宋体"/>
                <w:kern w:val="13"/>
              </w:rPr>
            </w:pPr>
            <w:r>
              <w:rPr>
                <w:rFonts w:hint="eastAsia" w:ascii="宋体" w:hAnsi="宋体" w:cs="宋体"/>
                <w:kern w:val="13"/>
              </w:rPr>
              <w:t>2</w:t>
            </w:r>
          </w:p>
        </w:tc>
        <w:tc>
          <w:tcPr>
            <w:tcW w:w="382" w:type="pct"/>
            <w:vAlign w:val="center"/>
          </w:tcPr>
          <w:p w14:paraId="6E49EB2B">
            <w:pPr>
              <w:spacing w:line="240" w:lineRule="exact"/>
              <w:jc w:val="center"/>
              <w:textAlignment w:val="baseline"/>
              <w:rPr>
                <w:rFonts w:hint="eastAsia" w:ascii="宋体" w:hAnsi="宋体" w:cs="宋体"/>
                <w:kern w:val="13"/>
              </w:rPr>
            </w:pPr>
            <w:r>
              <w:rPr>
                <w:rFonts w:hint="eastAsia" w:ascii="宋体" w:hAnsi="宋体" w:cs="宋体"/>
                <w:szCs w:val="21"/>
              </w:rPr>
              <w:t>总硬度（以CaCO</w:t>
            </w:r>
            <w:r>
              <w:rPr>
                <w:rFonts w:hint="eastAsia" w:ascii="宋体" w:hAnsi="宋体" w:cs="宋体"/>
                <w:szCs w:val="21"/>
                <w:vertAlign w:val="subscript"/>
              </w:rPr>
              <w:t>3</w:t>
            </w:r>
            <w:r>
              <w:rPr>
                <w:rFonts w:hint="eastAsia" w:ascii="宋体" w:hAnsi="宋体" w:cs="宋体"/>
                <w:szCs w:val="21"/>
              </w:rPr>
              <w:t>计）</w:t>
            </w:r>
          </w:p>
        </w:tc>
        <w:tc>
          <w:tcPr>
            <w:tcW w:w="642" w:type="pct"/>
            <w:noWrap/>
            <w:vAlign w:val="center"/>
          </w:tcPr>
          <w:p w14:paraId="24CFBED8">
            <w:pPr>
              <w:spacing w:line="240" w:lineRule="exact"/>
              <w:jc w:val="center"/>
              <w:textAlignment w:val="baseline"/>
              <w:rPr>
                <w:rFonts w:hint="eastAsia" w:ascii="宋体" w:hAnsi="宋体" w:cs="宋体"/>
                <w:kern w:val="13"/>
              </w:rPr>
            </w:pPr>
            <w:r>
              <w:rPr>
                <w:rFonts w:hint="eastAsia" w:ascii="宋体" w:hAnsi="宋体" w:cs="宋体"/>
                <w:color w:val="000000"/>
                <w:szCs w:val="21"/>
              </w:rPr>
              <w:t>mg/L</w:t>
            </w:r>
          </w:p>
        </w:tc>
        <w:tc>
          <w:tcPr>
            <w:tcW w:w="584" w:type="pct"/>
            <w:noWrap/>
            <w:vAlign w:val="center"/>
          </w:tcPr>
          <w:p w14:paraId="50D91F70">
            <w:pPr>
              <w:spacing w:line="240" w:lineRule="exact"/>
              <w:jc w:val="center"/>
              <w:textAlignment w:val="baseline"/>
              <w:rPr>
                <w:rFonts w:hint="eastAsia" w:ascii="宋体" w:hAnsi="宋体" w:cs="宋体"/>
                <w:kern w:val="13"/>
              </w:rPr>
            </w:pPr>
            <w:r>
              <w:rPr>
                <w:rFonts w:hint="eastAsia" w:ascii="宋体" w:hAnsi="宋体" w:cs="宋体"/>
                <w:szCs w:val="21"/>
              </w:rPr>
              <w:t>2.75</w:t>
            </w:r>
            <w:r>
              <w:rPr>
                <w:rFonts w:ascii="Arial" w:hAnsi="Arial" w:cs="Arial"/>
                <w:szCs w:val="21"/>
              </w:rPr>
              <w:t>×</w:t>
            </w:r>
            <w:r>
              <w:rPr>
                <w:rFonts w:hint="eastAsia" w:ascii="宋体" w:hAnsi="宋体" w:cs="宋体"/>
                <w:szCs w:val="21"/>
              </w:rPr>
              <w:t>10</w:t>
            </w:r>
            <w:r>
              <w:rPr>
                <w:rFonts w:hint="eastAsia" w:ascii="宋体" w:hAnsi="宋体" w:cs="宋体"/>
                <w:szCs w:val="21"/>
                <w:vertAlign w:val="superscript"/>
              </w:rPr>
              <w:t>3</w:t>
            </w:r>
          </w:p>
        </w:tc>
        <w:tc>
          <w:tcPr>
            <w:tcW w:w="468" w:type="pct"/>
            <w:noWrap/>
            <w:vAlign w:val="center"/>
          </w:tcPr>
          <w:p w14:paraId="3497E3A8">
            <w:pPr>
              <w:spacing w:line="240" w:lineRule="exact"/>
              <w:jc w:val="center"/>
              <w:textAlignment w:val="baseline"/>
              <w:rPr>
                <w:rFonts w:hint="eastAsia" w:ascii="宋体" w:hAnsi="宋体" w:cs="宋体"/>
                <w:b/>
                <w:kern w:val="13"/>
              </w:rPr>
            </w:pPr>
            <w:r>
              <w:rPr>
                <w:rFonts w:hint="eastAsia" w:ascii="宋体" w:hAnsi="宋体" w:cs="宋体"/>
                <w:b/>
                <w:kern w:val="13"/>
                <w:shd w:val="pct15" w:color="auto" w:fill="FFFFFF"/>
              </w:rPr>
              <w:t>6.11</w:t>
            </w:r>
          </w:p>
        </w:tc>
        <w:tc>
          <w:tcPr>
            <w:tcW w:w="584" w:type="pct"/>
            <w:noWrap/>
            <w:vAlign w:val="center"/>
          </w:tcPr>
          <w:p w14:paraId="420560F3">
            <w:pPr>
              <w:spacing w:line="240" w:lineRule="exact"/>
              <w:jc w:val="center"/>
              <w:textAlignment w:val="baseline"/>
              <w:rPr>
                <w:rFonts w:hint="eastAsia" w:ascii="宋体" w:hAnsi="宋体" w:cs="宋体"/>
                <w:kern w:val="13"/>
              </w:rPr>
            </w:pPr>
            <w:r>
              <w:rPr>
                <w:rFonts w:hint="eastAsia" w:ascii="宋体" w:hAnsi="宋体" w:cs="宋体"/>
                <w:szCs w:val="21"/>
              </w:rPr>
              <w:t>2.33</w:t>
            </w:r>
            <w:r>
              <w:rPr>
                <w:rFonts w:ascii="Arial" w:hAnsi="Arial" w:cs="Arial"/>
                <w:szCs w:val="21"/>
              </w:rPr>
              <w:t>×</w:t>
            </w:r>
            <w:r>
              <w:rPr>
                <w:rFonts w:hint="eastAsia" w:ascii="宋体" w:hAnsi="宋体" w:cs="宋体"/>
                <w:szCs w:val="21"/>
              </w:rPr>
              <w:t>10</w:t>
            </w:r>
            <w:r>
              <w:rPr>
                <w:rFonts w:hint="eastAsia" w:ascii="宋体" w:hAnsi="宋体" w:cs="宋体"/>
                <w:szCs w:val="21"/>
                <w:vertAlign w:val="superscript"/>
              </w:rPr>
              <w:t>3</w:t>
            </w:r>
          </w:p>
        </w:tc>
        <w:tc>
          <w:tcPr>
            <w:tcW w:w="410" w:type="pct"/>
            <w:noWrap/>
            <w:vAlign w:val="center"/>
          </w:tcPr>
          <w:p w14:paraId="6365179A">
            <w:pPr>
              <w:spacing w:line="240" w:lineRule="exact"/>
              <w:jc w:val="center"/>
              <w:textAlignment w:val="baseline"/>
              <w:rPr>
                <w:rFonts w:hint="eastAsia" w:ascii="宋体" w:hAnsi="宋体" w:cs="宋体"/>
                <w:kern w:val="13"/>
              </w:rPr>
            </w:pPr>
            <w:r>
              <w:rPr>
                <w:rFonts w:hint="eastAsia" w:ascii="宋体" w:hAnsi="宋体" w:cs="宋体"/>
                <w:kern w:val="13"/>
                <w:shd w:val="pct15" w:color="auto" w:fill="FFFFFF"/>
              </w:rPr>
              <w:t>5.18</w:t>
            </w:r>
          </w:p>
        </w:tc>
        <w:tc>
          <w:tcPr>
            <w:tcW w:w="584" w:type="pct"/>
            <w:noWrap/>
            <w:vAlign w:val="center"/>
          </w:tcPr>
          <w:p w14:paraId="38475A2B">
            <w:pPr>
              <w:spacing w:line="240" w:lineRule="exact"/>
              <w:jc w:val="center"/>
              <w:textAlignment w:val="baseline"/>
              <w:rPr>
                <w:rFonts w:hint="eastAsia" w:ascii="宋体" w:hAnsi="宋体" w:cs="宋体"/>
                <w:kern w:val="13"/>
              </w:rPr>
            </w:pPr>
            <w:r>
              <w:rPr>
                <w:rFonts w:hint="eastAsia" w:ascii="宋体" w:hAnsi="宋体" w:cs="宋体"/>
                <w:szCs w:val="21"/>
              </w:rPr>
              <w:t>9.65</w:t>
            </w:r>
            <w:r>
              <w:rPr>
                <w:rFonts w:ascii="Arial" w:hAnsi="Arial" w:cs="Arial"/>
                <w:szCs w:val="21"/>
              </w:rPr>
              <w:t>×</w:t>
            </w:r>
            <w:r>
              <w:rPr>
                <w:rFonts w:hint="eastAsia" w:ascii="宋体" w:hAnsi="宋体" w:cs="宋体"/>
                <w:szCs w:val="21"/>
              </w:rPr>
              <w:t>10</w:t>
            </w:r>
            <w:r>
              <w:rPr>
                <w:rFonts w:hint="eastAsia" w:ascii="宋体" w:hAnsi="宋体" w:cs="宋体"/>
                <w:szCs w:val="21"/>
                <w:vertAlign w:val="superscript"/>
              </w:rPr>
              <w:t>3</w:t>
            </w:r>
          </w:p>
        </w:tc>
        <w:tc>
          <w:tcPr>
            <w:tcW w:w="410" w:type="pct"/>
            <w:noWrap/>
            <w:vAlign w:val="center"/>
          </w:tcPr>
          <w:p w14:paraId="245AFAB1">
            <w:pPr>
              <w:spacing w:line="240" w:lineRule="exact"/>
              <w:jc w:val="center"/>
              <w:textAlignment w:val="baseline"/>
              <w:rPr>
                <w:rFonts w:hint="eastAsia" w:ascii="宋体" w:hAnsi="宋体" w:cs="宋体"/>
                <w:b/>
                <w:kern w:val="13"/>
              </w:rPr>
            </w:pPr>
            <w:r>
              <w:rPr>
                <w:rFonts w:hint="eastAsia" w:ascii="宋体" w:hAnsi="宋体" w:cs="宋体"/>
                <w:b/>
                <w:kern w:val="13"/>
                <w:shd w:val="pct15" w:color="auto" w:fill="FFFFFF"/>
              </w:rPr>
              <w:t>21.4</w:t>
            </w:r>
          </w:p>
        </w:tc>
        <w:tc>
          <w:tcPr>
            <w:tcW w:w="584" w:type="pct"/>
            <w:vAlign w:val="center"/>
          </w:tcPr>
          <w:p w14:paraId="51500E53">
            <w:pPr>
              <w:spacing w:line="240" w:lineRule="exact"/>
              <w:jc w:val="center"/>
              <w:textAlignment w:val="baseline"/>
              <w:rPr>
                <w:rFonts w:hint="eastAsia" w:ascii="宋体" w:hAnsi="宋体" w:cs="宋体"/>
                <w:kern w:val="13"/>
                <w:szCs w:val="21"/>
              </w:rPr>
            </w:pPr>
            <w:r>
              <w:rPr>
                <w:rFonts w:hint="eastAsia" w:ascii="宋体" w:hAnsi="宋体" w:cs="宋体"/>
                <w:color w:val="000000"/>
                <w:szCs w:val="21"/>
              </w:rPr>
              <w:t>450</w:t>
            </w:r>
          </w:p>
        </w:tc>
      </w:tr>
      <w:tr w14:paraId="2C6C910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352" w:type="pct"/>
            <w:noWrap/>
            <w:vAlign w:val="center"/>
          </w:tcPr>
          <w:p w14:paraId="1832C768">
            <w:pPr>
              <w:spacing w:line="240" w:lineRule="exact"/>
              <w:jc w:val="center"/>
              <w:textAlignment w:val="baseline"/>
              <w:rPr>
                <w:rFonts w:hint="eastAsia" w:ascii="宋体" w:hAnsi="宋体" w:cs="宋体"/>
                <w:kern w:val="13"/>
              </w:rPr>
            </w:pPr>
            <w:r>
              <w:rPr>
                <w:rFonts w:hint="eastAsia" w:ascii="宋体" w:hAnsi="宋体" w:cs="宋体"/>
                <w:kern w:val="13"/>
              </w:rPr>
              <w:t>3</w:t>
            </w:r>
          </w:p>
        </w:tc>
        <w:tc>
          <w:tcPr>
            <w:tcW w:w="382" w:type="pct"/>
            <w:vAlign w:val="center"/>
          </w:tcPr>
          <w:p w14:paraId="6F189561">
            <w:pPr>
              <w:spacing w:line="240" w:lineRule="exact"/>
              <w:jc w:val="center"/>
              <w:textAlignment w:val="baseline"/>
              <w:rPr>
                <w:rFonts w:hint="eastAsia" w:ascii="宋体" w:hAnsi="宋体" w:cs="宋体"/>
                <w:kern w:val="13"/>
              </w:rPr>
            </w:pPr>
            <w:r>
              <w:rPr>
                <w:rFonts w:hint="eastAsia" w:ascii="宋体" w:hAnsi="宋体" w:cs="宋体"/>
                <w:color w:val="000000"/>
                <w:szCs w:val="21"/>
              </w:rPr>
              <w:t>钙</w:t>
            </w:r>
          </w:p>
        </w:tc>
        <w:tc>
          <w:tcPr>
            <w:tcW w:w="642" w:type="pct"/>
            <w:noWrap/>
            <w:vAlign w:val="center"/>
          </w:tcPr>
          <w:p w14:paraId="1D2797B6">
            <w:pPr>
              <w:spacing w:line="240" w:lineRule="exact"/>
              <w:jc w:val="center"/>
              <w:textAlignment w:val="baseline"/>
              <w:rPr>
                <w:rFonts w:hint="eastAsia" w:ascii="宋体" w:hAnsi="宋体" w:cs="宋体"/>
                <w:kern w:val="13"/>
              </w:rPr>
            </w:pPr>
            <w:r>
              <w:rPr>
                <w:rFonts w:hint="eastAsia" w:ascii="宋体" w:hAnsi="宋体" w:cs="宋体"/>
                <w:color w:val="000000"/>
                <w:szCs w:val="21"/>
              </w:rPr>
              <w:t>mg/L</w:t>
            </w:r>
          </w:p>
        </w:tc>
        <w:tc>
          <w:tcPr>
            <w:tcW w:w="584" w:type="pct"/>
            <w:noWrap/>
            <w:vAlign w:val="center"/>
          </w:tcPr>
          <w:p w14:paraId="12F3E322">
            <w:pPr>
              <w:spacing w:line="240" w:lineRule="exact"/>
              <w:jc w:val="center"/>
              <w:textAlignment w:val="baseline"/>
              <w:rPr>
                <w:rFonts w:hint="eastAsia" w:ascii="宋体" w:hAnsi="宋体" w:cs="宋体"/>
                <w:kern w:val="13"/>
              </w:rPr>
            </w:pPr>
            <w:r>
              <w:rPr>
                <w:rFonts w:hint="eastAsia" w:ascii="宋体" w:hAnsi="宋体" w:cs="宋体"/>
                <w:szCs w:val="21"/>
              </w:rPr>
              <w:t>303</w:t>
            </w:r>
          </w:p>
        </w:tc>
        <w:tc>
          <w:tcPr>
            <w:tcW w:w="468" w:type="pct"/>
            <w:noWrap/>
            <w:vAlign w:val="center"/>
          </w:tcPr>
          <w:p w14:paraId="315D43CD">
            <w:pPr>
              <w:spacing w:line="240" w:lineRule="exact"/>
              <w:jc w:val="center"/>
              <w:textAlignment w:val="baseline"/>
              <w:rPr>
                <w:rFonts w:hint="eastAsia" w:ascii="宋体" w:hAnsi="宋体" w:cs="宋体"/>
                <w:b/>
                <w:kern w:val="13"/>
              </w:rPr>
            </w:pPr>
            <w:r>
              <w:rPr>
                <w:rFonts w:hint="eastAsia" w:ascii="宋体" w:hAnsi="宋体" w:cs="宋体"/>
                <w:b/>
                <w:kern w:val="13"/>
              </w:rPr>
              <w:t>/</w:t>
            </w:r>
          </w:p>
        </w:tc>
        <w:tc>
          <w:tcPr>
            <w:tcW w:w="584" w:type="pct"/>
            <w:noWrap/>
            <w:vAlign w:val="center"/>
          </w:tcPr>
          <w:p w14:paraId="61FEEF01">
            <w:pPr>
              <w:spacing w:line="240" w:lineRule="exact"/>
              <w:jc w:val="center"/>
              <w:textAlignment w:val="baseline"/>
              <w:rPr>
                <w:rFonts w:hint="eastAsia" w:ascii="宋体" w:hAnsi="宋体" w:cs="宋体"/>
                <w:kern w:val="13"/>
              </w:rPr>
            </w:pPr>
            <w:r>
              <w:rPr>
                <w:rFonts w:hint="eastAsia" w:ascii="宋体" w:hAnsi="宋体" w:cs="宋体"/>
                <w:szCs w:val="21"/>
              </w:rPr>
              <w:t>220</w:t>
            </w:r>
          </w:p>
        </w:tc>
        <w:tc>
          <w:tcPr>
            <w:tcW w:w="410" w:type="pct"/>
            <w:noWrap/>
            <w:vAlign w:val="center"/>
          </w:tcPr>
          <w:p w14:paraId="0C23E9E9">
            <w:pPr>
              <w:spacing w:line="240" w:lineRule="exact"/>
              <w:jc w:val="center"/>
              <w:textAlignment w:val="baseline"/>
              <w:rPr>
                <w:rFonts w:hint="eastAsia" w:ascii="宋体" w:hAnsi="宋体" w:cs="宋体"/>
                <w:kern w:val="13"/>
              </w:rPr>
            </w:pPr>
            <w:r>
              <w:rPr>
                <w:rFonts w:hint="eastAsia" w:ascii="宋体" w:hAnsi="宋体" w:cs="宋体"/>
                <w:kern w:val="13"/>
              </w:rPr>
              <w:t>/</w:t>
            </w:r>
          </w:p>
        </w:tc>
        <w:tc>
          <w:tcPr>
            <w:tcW w:w="584" w:type="pct"/>
            <w:noWrap/>
            <w:vAlign w:val="center"/>
          </w:tcPr>
          <w:p w14:paraId="58D13C60">
            <w:pPr>
              <w:spacing w:line="240" w:lineRule="exact"/>
              <w:jc w:val="center"/>
              <w:textAlignment w:val="baseline"/>
              <w:rPr>
                <w:rFonts w:hint="eastAsia" w:ascii="宋体" w:hAnsi="宋体" w:cs="宋体"/>
                <w:kern w:val="13"/>
              </w:rPr>
            </w:pPr>
            <w:r>
              <w:rPr>
                <w:rFonts w:hint="eastAsia" w:ascii="宋体" w:hAnsi="宋体" w:cs="宋体"/>
                <w:szCs w:val="21"/>
              </w:rPr>
              <w:t>608</w:t>
            </w:r>
          </w:p>
        </w:tc>
        <w:tc>
          <w:tcPr>
            <w:tcW w:w="410" w:type="pct"/>
            <w:noWrap/>
            <w:vAlign w:val="center"/>
          </w:tcPr>
          <w:p w14:paraId="6E061992">
            <w:pPr>
              <w:spacing w:line="240" w:lineRule="exact"/>
              <w:jc w:val="center"/>
              <w:textAlignment w:val="baseline"/>
              <w:rPr>
                <w:rFonts w:hint="eastAsia" w:ascii="宋体" w:hAnsi="宋体" w:cs="宋体"/>
                <w:b/>
                <w:kern w:val="13"/>
              </w:rPr>
            </w:pPr>
            <w:r>
              <w:rPr>
                <w:rFonts w:hint="eastAsia" w:ascii="宋体" w:hAnsi="宋体" w:cs="宋体"/>
                <w:b/>
                <w:kern w:val="13"/>
              </w:rPr>
              <w:t>/</w:t>
            </w:r>
          </w:p>
        </w:tc>
        <w:tc>
          <w:tcPr>
            <w:tcW w:w="584" w:type="pct"/>
            <w:vAlign w:val="center"/>
          </w:tcPr>
          <w:p w14:paraId="7B0FE90D">
            <w:pPr>
              <w:spacing w:line="240" w:lineRule="exact"/>
              <w:jc w:val="center"/>
              <w:textAlignment w:val="baseline"/>
              <w:rPr>
                <w:rFonts w:hint="eastAsia" w:ascii="宋体" w:hAnsi="宋体" w:cs="宋体"/>
                <w:kern w:val="13"/>
                <w:szCs w:val="21"/>
              </w:rPr>
            </w:pPr>
            <w:r>
              <w:rPr>
                <w:rFonts w:hint="eastAsia" w:ascii="宋体" w:hAnsi="宋体" w:cs="宋体"/>
                <w:color w:val="000000"/>
                <w:szCs w:val="21"/>
              </w:rPr>
              <w:t>-</w:t>
            </w:r>
          </w:p>
        </w:tc>
      </w:tr>
      <w:tr w14:paraId="0951AF6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7" w:hRule="atLeast"/>
          <w:jc w:val="center"/>
        </w:trPr>
        <w:tc>
          <w:tcPr>
            <w:tcW w:w="352" w:type="pct"/>
            <w:noWrap/>
            <w:vAlign w:val="center"/>
          </w:tcPr>
          <w:p w14:paraId="5C04BCBE">
            <w:pPr>
              <w:spacing w:line="240" w:lineRule="exact"/>
              <w:jc w:val="center"/>
              <w:textAlignment w:val="baseline"/>
              <w:rPr>
                <w:rFonts w:hint="eastAsia" w:ascii="宋体" w:hAnsi="宋体" w:cs="宋体"/>
                <w:kern w:val="13"/>
              </w:rPr>
            </w:pPr>
            <w:r>
              <w:rPr>
                <w:rFonts w:hint="eastAsia" w:ascii="宋体" w:hAnsi="宋体" w:cs="宋体"/>
                <w:kern w:val="13"/>
              </w:rPr>
              <w:t>4</w:t>
            </w:r>
          </w:p>
        </w:tc>
        <w:tc>
          <w:tcPr>
            <w:tcW w:w="382" w:type="pct"/>
            <w:vAlign w:val="center"/>
          </w:tcPr>
          <w:p w14:paraId="3CC9A0E3">
            <w:pPr>
              <w:spacing w:line="240" w:lineRule="exact"/>
              <w:jc w:val="center"/>
              <w:textAlignment w:val="baseline"/>
              <w:rPr>
                <w:rFonts w:hint="eastAsia" w:ascii="宋体" w:hAnsi="宋体" w:cs="宋体"/>
                <w:kern w:val="13"/>
              </w:rPr>
            </w:pPr>
            <w:r>
              <w:rPr>
                <w:rFonts w:hint="eastAsia" w:ascii="宋体" w:hAnsi="宋体" w:cs="宋体"/>
                <w:color w:val="000000"/>
                <w:szCs w:val="21"/>
              </w:rPr>
              <w:t>镁</w:t>
            </w:r>
          </w:p>
        </w:tc>
        <w:tc>
          <w:tcPr>
            <w:tcW w:w="642" w:type="pct"/>
            <w:noWrap/>
            <w:vAlign w:val="center"/>
          </w:tcPr>
          <w:p w14:paraId="1E2DF278">
            <w:pPr>
              <w:spacing w:line="240" w:lineRule="exact"/>
              <w:jc w:val="center"/>
              <w:textAlignment w:val="baseline"/>
              <w:rPr>
                <w:rFonts w:hint="eastAsia" w:ascii="宋体" w:hAnsi="宋体" w:cs="宋体"/>
                <w:kern w:val="13"/>
              </w:rPr>
            </w:pPr>
            <w:r>
              <w:rPr>
                <w:rFonts w:hint="eastAsia" w:ascii="宋体" w:hAnsi="宋体" w:cs="宋体"/>
                <w:color w:val="000000"/>
                <w:szCs w:val="21"/>
              </w:rPr>
              <w:t>mg/L</w:t>
            </w:r>
          </w:p>
        </w:tc>
        <w:tc>
          <w:tcPr>
            <w:tcW w:w="584" w:type="pct"/>
            <w:noWrap/>
            <w:vAlign w:val="center"/>
          </w:tcPr>
          <w:p w14:paraId="63BB9C70">
            <w:pPr>
              <w:spacing w:line="240" w:lineRule="exact"/>
              <w:jc w:val="center"/>
              <w:textAlignment w:val="baseline"/>
              <w:rPr>
                <w:rFonts w:hint="eastAsia" w:ascii="宋体" w:hAnsi="宋体" w:cs="宋体"/>
                <w:kern w:val="13"/>
              </w:rPr>
            </w:pPr>
            <w:r>
              <w:rPr>
                <w:rFonts w:hint="eastAsia" w:ascii="宋体" w:hAnsi="宋体" w:cs="宋体"/>
                <w:szCs w:val="21"/>
              </w:rPr>
              <w:t>484</w:t>
            </w:r>
          </w:p>
        </w:tc>
        <w:tc>
          <w:tcPr>
            <w:tcW w:w="468" w:type="pct"/>
            <w:noWrap/>
            <w:vAlign w:val="center"/>
          </w:tcPr>
          <w:p w14:paraId="2F6D7364">
            <w:pPr>
              <w:spacing w:line="240" w:lineRule="exact"/>
              <w:jc w:val="center"/>
              <w:textAlignment w:val="baseline"/>
              <w:rPr>
                <w:rFonts w:hint="eastAsia" w:ascii="宋体" w:hAnsi="宋体" w:cs="宋体"/>
                <w:b/>
                <w:kern w:val="13"/>
              </w:rPr>
            </w:pPr>
            <w:r>
              <w:rPr>
                <w:rFonts w:hint="eastAsia" w:ascii="宋体" w:hAnsi="宋体" w:cs="宋体"/>
                <w:b/>
                <w:kern w:val="13"/>
              </w:rPr>
              <w:t>/</w:t>
            </w:r>
          </w:p>
        </w:tc>
        <w:tc>
          <w:tcPr>
            <w:tcW w:w="584" w:type="pct"/>
            <w:noWrap/>
            <w:vAlign w:val="center"/>
          </w:tcPr>
          <w:p w14:paraId="14F0A317">
            <w:pPr>
              <w:spacing w:line="240" w:lineRule="exact"/>
              <w:jc w:val="center"/>
              <w:textAlignment w:val="baseline"/>
              <w:rPr>
                <w:rFonts w:hint="eastAsia" w:ascii="宋体" w:hAnsi="宋体" w:cs="宋体"/>
                <w:kern w:val="13"/>
              </w:rPr>
            </w:pPr>
            <w:r>
              <w:rPr>
                <w:rFonts w:hint="eastAsia" w:ascii="宋体" w:hAnsi="宋体" w:cs="宋体"/>
                <w:szCs w:val="21"/>
              </w:rPr>
              <w:t>432</w:t>
            </w:r>
          </w:p>
        </w:tc>
        <w:tc>
          <w:tcPr>
            <w:tcW w:w="410" w:type="pct"/>
            <w:noWrap/>
            <w:vAlign w:val="center"/>
          </w:tcPr>
          <w:p w14:paraId="6EAD6213">
            <w:pPr>
              <w:spacing w:line="240" w:lineRule="exact"/>
              <w:jc w:val="center"/>
              <w:textAlignment w:val="baseline"/>
              <w:rPr>
                <w:rFonts w:hint="eastAsia" w:ascii="宋体" w:hAnsi="宋体" w:cs="宋体"/>
                <w:kern w:val="13"/>
              </w:rPr>
            </w:pPr>
            <w:r>
              <w:rPr>
                <w:rFonts w:hint="eastAsia" w:ascii="宋体" w:hAnsi="宋体" w:cs="宋体"/>
                <w:kern w:val="13"/>
              </w:rPr>
              <w:t>/</w:t>
            </w:r>
          </w:p>
        </w:tc>
        <w:tc>
          <w:tcPr>
            <w:tcW w:w="584" w:type="pct"/>
            <w:noWrap/>
            <w:vAlign w:val="center"/>
          </w:tcPr>
          <w:p w14:paraId="0C986000">
            <w:pPr>
              <w:spacing w:line="240" w:lineRule="exact"/>
              <w:jc w:val="center"/>
              <w:textAlignment w:val="baseline"/>
              <w:rPr>
                <w:rFonts w:hint="eastAsia" w:ascii="宋体" w:hAnsi="宋体" w:cs="宋体"/>
                <w:kern w:val="13"/>
              </w:rPr>
            </w:pPr>
            <w:r>
              <w:rPr>
                <w:rFonts w:hint="eastAsia" w:ascii="宋体" w:hAnsi="宋体" w:cs="宋体"/>
                <w:szCs w:val="21"/>
              </w:rPr>
              <w:t>1.97</w:t>
            </w:r>
            <w:r>
              <w:rPr>
                <w:rFonts w:ascii="Arial" w:hAnsi="Arial" w:cs="Arial"/>
                <w:szCs w:val="21"/>
              </w:rPr>
              <w:t>×</w:t>
            </w:r>
            <w:r>
              <w:rPr>
                <w:rFonts w:hint="eastAsia" w:ascii="宋体" w:hAnsi="宋体" w:cs="宋体"/>
                <w:szCs w:val="21"/>
              </w:rPr>
              <w:t>10</w:t>
            </w:r>
            <w:r>
              <w:rPr>
                <w:rFonts w:hint="eastAsia" w:ascii="宋体" w:hAnsi="宋体" w:cs="宋体"/>
                <w:szCs w:val="21"/>
                <w:vertAlign w:val="superscript"/>
              </w:rPr>
              <w:t>3</w:t>
            </w:r>
          </w:p>
        </w:tc>
        <w:tc>
          <w:tcPr>
            <w:tcW w:w="410" w:type="pct"/>
            <w:noWrap/>
            <w:vAlign w:val="center"/>
          </w:tcPr>
          <w:p w14:paraId="4CA7A575">
            <w:pPr>
              <w:spacing w:line="240" w:lineRule="exact"/>
              <w:jc w:val="center"/>
              <w:textAlignment w:val="baseline"/>
              <w:rPr>
                <w:rFonts w:hint="eastAsia" w:ascii="宋体" w:hAnsi="宋体" w:cs="宋体"/>
                <w:b/>
                <w:kern w:val="13"/>
              </w:rPr>
            </w:pPr>
            <w:r>
              <w:rPr>
                <w:rFonts w:hint="eastAsia" w:ascii="宋体" w:hAnsi="宋体" w:cs="宋体"/>
                <w:b/>
                <w:kern w:val="13"/>
              </w:rPr>
              <w:t>/</w:t>
            </w:r>
          </w:p>
        </w:tc>
        <w:tc>
          <w:tcPr>
            <w:tcW w:w="584" w:type="pct"/>
            <w:vAlign w:val="center"/>
          </w:tcPr>
          <w:p w14:paraId="568361F4">
            <w:pPr>
              <w:spacing w:line="240" w:lineRule="exact"/>
              <w:jc w:val="center"/>
              <w:textAlignment w:val="baseline"/>
              <w:rPr>
                <w:rFonts w:hint="eastAsia" w:ascii="宋体" w:hAnsi="宋体" w:cs="宋体"/>
                <w:kern w:val="13"/>
                <w:szCs w:val="21"/>
              </w:rPr>
            </w:pPr>
            <w:r>
              <w:rPr>
                <w:rFonts w:hint="eastAsia" w:ascii="宋体" w:hAnsi="宋体" w:cs="宋体"/>
                <w:color w:val="000000"/>
                <w:szCs w:val="21"/>
              </w:rPr>
              <w:t>-</w:t>
            </w:r>
          </w:p>
        </w:tc>
      </w:tr>
      <w:tr w14:paraId="54FB4D5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35" w:hRule="atLeast"/>
          <w:jc w:val="center"/>
        </w:trPr>
        <w:tc>
          <w:tcPr>
            <w:tcW w:w="352" w:type="pct"/>
            <w:noWrap/>
            <w:vAlign w:val="center"/>
          </w:tcPr>
          <w:p w14:paraId="1DC39DA6">
            <w:pPr>
              <w:spacing w:line="240" w:lineRule="exact"/>
              <w:jc w:val="center"/>
              <w:textAlignment w:val="baseline"/>
              <w:rPr>
                <w:rFonts w:hint="eastAsia" w:ascii="宋体" w:hAnsi="宋体" w:cs="宋体"/>
                <w:kern w:val="13"/>
              </w:rPr>
            </w:pPr>
            <w:r>
              <w:rPr>
                <w:rFonts w:hint="eastAsia" w:ascii="宋体" w:hAnsi="宋体" w:cs="宋体"/>
                <w:kern w:val="13"/>
              </w:rPr>
              <w:t>5</w:t>
            </w:r>
          </w:p>
        </w:tc>
        <w:tc>
          <w:tcPr>
            <w:tcW w:w="382" w:type="pct"/>
            <w:vAlign w:val="center"/>
          </w:tcPr>
          <w:p w14:paraId="7483B3DB">
            <w:pPr>
              <w:spacing w:line="240" w:lineRule="exact"/>
              <w:jc w:val="center"/>
              <w:textAlignment w:val="baseline"/>
              <w:rPr>
                <w:rFonts w:hint="eastAsia" w:ascii="宋体" w:hAnsi="宋体" w:cs="宋体"/>
                <w:kern w:val="13"/>
              </w:rPr>
            </w:pPr>
            <w:r>
              <w:rPr>
                <w:rFonts w:hint="eastAsia" w:ascii="宋体" w:hAnsi="宋体" w:cs="宋体"/>
                <w:color w:val="000000"/>
                <w:szCs w:val="21"/>
              </w:rPr>
              <w:t>溶解性总固体</w:t>
            </w:r>
          </w:p>
        </w:tc>
        <w:tc>
          <w:tcPr>
            <w:tcW w:w="642" w:type="pct"/>
            <w:noWrap/>
            <w:vAlign w:val="center"/>
          </w:tcPr>
          <w:p w14:paraId="7B97CE7E">
            <w:pPr>
              <w:spacing w:line="240" w:lineRule="exact"/>
              <w:jc w:val="center"/>
              <w:textAlignment w:val="baseline"/>
              <w:rPr>
                <w:rFonts w:hint="eastAsia" w:ascii="宋体" w:hAnsi="宋体" w:cs="宋体"/>
                <w:kern w:val="13"/>
              </w:rPr>
            </w:pPr>
            <w:r>
              <w:rPr>
                <w:rFonts w:hint="eastAsia" w:ascii="宋体" w:hAnsi="宋体" w:cs="宋体"/>
                <w:color w:val="000000"/>
                <w:szCs w:val="21"/>
              </w:rPr>
              <w:t>mg/L</w:t>
            </w:r>
          </w:p>
        </w:tc>
        <w:tc>
          <w:tcPr>
            <w:tcW w:w="584" w:type="pct"/>
            <w:noWrap/>
            <w:vAlign w:val="center"/>
          </w:tcPr>
          <w:p w14:paraId="09D9B462">
            <w:pPr>
              <w:spacing w:line="240" w:lineRule="exact"/>
              <w:jc w:val="center"/>
              <w:textAlignment w:val="baseline"/>
              <w:rPr>
                <w:rFonts w:hint="eastAsia" w:ascii="宋体" w:hAnsi="宋体" w:cs="宋体"/>
                <w:kern w:val="13"/>
              </w:rPr>
            </w:pPr>
            <w:r>
              <w:rPr>
                <w:rFonts w:hint="eastAsia" w:ascii="宋体" w:hAnsi="宋体" w:cs="宋体"/>
                <w:szCs w:val="21"/>
              </w:rPr>
              <w:t>7.75</w:t>
            </w:r>
            <w:r>
              <w:rPr>
                <w:rFonts w:ascii="Arial" w:hAnsi="Arial" w:cs="Arial"/>
                <w:szCs w:val="21"/>
              </w:rPr>
              <w:t>×</w:t>
            </w:r>
            <w:r>
              <w:rPr>
                <w:rFonts w:hint="eastAsia" w:ascii="宋体" w:hAnsi="宋体" w:cs="宋体"/>
                <w:szCs w:val="21"/>
              </w:rPr>
              <w:t>10</w:t>
            </w:r>
            <w:r>
              <w:rPr>
                <w:rFonts w:hint="eastAsia" w:ascii="宋体" w:hAnsi="宋体" w:cs="宋体"/>
                <w:szCs w:val="21"/>
                <w:vertAlign w:val="superscript"/>
              </w:rPr>
              <w:t>3</w:t>
            </w:r>
          </w:p>
        </w:tc>
        <w:tc>
          <w:tcPr>
            <w:tcW w:w="468" w:type="pct"/>
            <w:noWrap/>
            <w:vAlign w:val="center"/>
          </w:tcPr>
          <w:p w14:paraId="7FE9C9C5">
            <w:pPr>
              <w:spacing w:line="240" w:lineRule="exact"/>
              <w:jc w:val="center"/>
              <w:textAlignment w:val="baseline"/>
              <w:rPr>
                <w:rFonts w:hint="eastAsia" w:ascii="宋体" w:hAnsi="宋体" w:cs="宋体"/>
                <w:kern w:val="13"/>
                <w:shd w:val="pct15" w:color="auto" w:fill="FFFFFF"/>
              </w:rPr>
            </w:pPr>
            <w:r>
              <w:rPr>
                <w:rFonts w:hint="eastAsia" w:ascii="宋体" w:hAnsi="宋体" w:cs="宋体"/>
                <w:kern w:val="13"/>
                <w:shd w:val="pct15" w:color="auto" w:fill="FFFFFF"/>
              </w:rPr>
              <w:t>7.75</w:t>
            </w:r>
          </w:p>
        </w:tc>
        <w:tc>
          <w:tcPr>
            <w:tcW w:w="584" w:type="pct"/>
            <w:noWrap/>
            <w:vAlign w:val="center"/>
          </w:tcPr>
          <w:p w14:paraId="46EE9748">
            <w:pPr>
              <w:spacing w:line="240" w:lineRule="exact"/>
              <w:jc w:val="center"/>
              <w:textAlignment w:val="baseline"/>
              <w:rPr>
                <w:rFonts w:hint="eastAsia" w:ascii="宋体" w:hAnsi="宋体" w:cs="宋体"/>
                <w:kern w:val="13"/>
              </w:rPr>
            </w:pPr>
            <w:r>
              <w:rPr>
                <w:rFonts w:hint="eastAsia" w:ascii="宋体" w:hAnsi="宋体" w:cs="宋体"/>
                <w:szCs w:val="21"/>
              </w:rPr>
              <w:t>7.71</w:t>
            </w:r>
            <w:r>
              <w:rPr>
                <w:rFonts w:ascii="Arial" w:hAnsi="Arial" w:cs="Arial"/>
                <w:szCs w:val="21"/>
              </w:rPr>
              <w:t>×</w:t>
            </w:r>
            <w:r>
              <w:rPr>
                <w:rFonts w:hint="eastAsia" w:ascii="宋体" w:hAnsi="宋体" w:cs="宋体"/>
                <w:szCs w:val="21"/>
              </w:rPr>
              <w:t>10</w:t>
            </w:r>
            <w:r>
              <w:rPr>
                <w:rFonts w:hint="eastAsia" w:ascii="宋体" w:hAnsi="宋体" w:cs="宋体"/>
                <w:szCs w:val="21"/>
                <w:vertAlign w:val="superscript"/>
              </w:rPr>
              <w:t>3</w:t>
            </w:r>
          </w:p>
        </w:tc>
        <w:tc>
          <w:tcPr>
            <w:tcW w:w="410" w:type="pct"/>
            <w:noWrap/>
            <w:vAlign w:val="center"/>
          </w:tcPr>
          <w:p w14:paraId="4A2E83CA">
            <w:pPr>
              <w:spacing w:line="240" w:lineRule="exact"/>
              <w:jc w:val="center"/>
              <w:textAlignment w:val="baseline"/>
              <w:rPr>
                <w:rFonts w:hint="eastAsia" w:ascii="宋体" w:hAnsi="宋体" w:cs="宋体"/>
                <w:kern w:val="13"/>
              </w:rPr>
            </w:pPr>
            <w:r>
              <w:rPr>
                <w:rFonts w:hint="eastAsia" w:ascii="宋体" w:hAnsi="宋体" w:cs="宋体"/>
                <w:kern w:val="13"/>
                <w:shd w:val="pct15" w:color="auto" w:fill="FFFFFF"/>
              </w:rPr>
              <w:t>7.71</w:t>
            </w:r>
          </w:p>
        </w:tc>
        <w:tc>
          <w:tcPr>
            <w:tcW w:w="584" w:type="pct"/>
            <w:noWrap/>
            <w:vAlign w:val="center"/>
          </w:tcPr>
          <w:p w14:paraId="7582C607">
            <w:pPr>
              <w:spacing w:line="240" w:lineRule="exact"/>
              <w:jc w:val="center"/>
              <w:textAlignment w:val="baseline"/>
              <w:rPr>
                <w:rFonts w:hint="eastAsia" w:ascii="宋体" w:hAnsi="宋体" w:cs="宋体"/>
                <w:kern w:val="13"/>
              </w:rPr>
            </w:pPr>
            <w:r>
              <w:rPr>
                <w:rFonts w:hint="eastAsia" w:ascii="宋体" w:hAnsi="宋体" w:cs="宋体"/>
                <w:szCs w:val="21"/>
              </w:rPr>
              <w:t>1.90</w:t>
            </w:r>
            <w:r>
              <w:rPr>
                <w:rFonts w:ascii="Arial" w:hAnsi="Arial" w:cs="Arial"/>
                <w:szCs w:val="21"/>
              </w:rPr>
              <w:t>×</w:t>
            </w:r>
            <w:r>
              <w:rPr>
                <w:rFonts w:hint="eastAsia" w:ascii="宋体" w:hAnsi="宋体" w:cs="宋体"/>
                <w:szCs w:val="21"/>
              </w:rPr>
              <w:t>10</w:t>
            </w:r>
            <w:r>
              <w:rPr>
                <w:rFonts w:hint="eastAsia" w:ascii="宋体" w:hAnsi="宋体" w:cs="宋体"/>
                <w:szCs w:val="21"/>
                <w:vertAlign w:val="superscript"/>
              </w:rPr>
              <w:t>4</w:t>
            </w:r>
          </w:p>
        </w:tc>
        <w:tc>
          <w:tcPr>
            <w:tcW w:w="410" w:type="pct"/>
            <w:noWrap/>
            <w:vAlign w:val="center"/>
          </w:tcPr>
          <w:p w14:paraId="34F3FF18">
            <w:pPr>
              <w:spacing w:line="240" w:lineRule="exact"/>
              <w:jc w:val="center"/>
              <w:textAlignment w:val="baseline"/>
              <w:rPr>
                <w:rFonts w:hint="eastAsia" w:ascii="宋体" w:hAnsi="宋体" w:cs="宋体"/>
                <w:kern w:val="13"/>
              </w:rPr>
            </w:pPr>
            <w:r>
              <w:rPr>
                <w:rFonts w:hint="eastAsia" w:ascii="宋体" w:hAnsi="宋体" w:cs="宋体"/>
                <w:kern w:val="13"/>
                <w:shd w:val="pct15" w:color="auto" w:fill="FFFFFF"/>
              </w:rPr>
              <w:t>19.0</w:t>
            </w:r>
          </w:p>
        </w:tc>
        <w:tc>
          <w:tcPr>
            <w:tcW w:w="584" w:type="pct"/>
            <w:noWrap/>
            <w:vAlign w:val="center"/>
          </w:tcPr>
          <w:p w14:paraId="0F8DFBA3">
            <w:pPr>
              <w:spacing w:line="240" w:lineRule="exact"/>
              <w:jc w:val="center"/>
              <w:textAlignment w:val="baseline"/>
              <w:rPr>
                <w:rFonts w:hint="eastAsia" w:ascii="宋体" w:hAnsi="宋体" w:cs="宋体"/>
                <w:kern w:val="13"/>
                <w:szCs w:val="21"/>
              </w:rPr>
            </w:pPr>
            <w:r>
              <w:rPr>
                <w:rFonts w:hint="eastAsia" w:ascii="宋体" w:hAnsi="宋体" w:cs="宋体"/>
                <w:color w:val="000000"/>
                <w:szCs w:val="21"/>
              </w:rPr>
              <w:t>1000</w:t>
            </w:r>
          </w:p>
        </w:tc>
      </w:tr>
      <w:tr w14:paraId="53C8549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352" w:type="pct"/>
            <w:noWrap/>
            <w:vAlign w:val="center"/>
          </w:tcPr>
          <w:p w14:paraId="47D3EEFB">
            <w:pPr>
              <w:spacing w:line="240" w:lineRule="exact"/>
              <w:jc w:val="center"/>
              <w:textAlignment w:val="baseline"/>
              <w:rPr>
                <w:rFonts w:hint="eastAsia" w:ascii="宋体" w:hAnsi="宋体" w:cs="宋体"/>
                <w:kern w:val="13"/>
              </w:rPr>
            </w:pPr>
            <w:r>
              <w:rPr>
                <w:rFonts w:hint="eastAsia" w:ascii="宋体" w:hAnsi="宋体" w:cs="宋体"/>
                <w:kern w:val="13"/>
              </w:rPr>
              <w:t>6</w:t>
            </w:r>
          </w:p>
        </w:tc>
        <w:tc>
          <w:tcPr>
            <w:tcW w:w="382" w:type="pct"/>
            <w:vAlign w:val="center"/>
          </w:tcPr>
          <w:p w14:paraId="2883F93D">
            <w:pPr>
              <w:spacing w:line="240" w:lineRule="exact"/>
              <w:jc w:val="center"/>
              <w:textAlignment w:val="baseline"/>
              <w:rPr>
                <w:rFonts w:hint="eastAsia" w:ascii="宋体" w:hAnsi="宋体" w:cs="宋体"/>
                <w:kern w:val="13"/>
              </w:rPr>
            </w:pPr>
            <w:r>
              <w:rPr>
                <w:rFonts w:hint="eastAsia" w:ascii="宋体" w:hAnsi="宋体" w:cs="宋体"/>
                <w:color w:val="000000"/>
                <w:szCs w:val="21"/>
              </w:rPr>
              <w:t>氯化物</w:t>
            </w:r>
          </w:p>
        </w:tc>
        <w:tc>
          <w:tcPr>
            <w:tcW w:w="642" w:type="pct"/>
            <w:noWrap/>
            <w:vAlign w:val="center"/>
          </w:tcPr>
          <w:p w14:paraId="69FD5BC5">
            <w:pPr>
              <w:spacing w:line="240" w:lineRule="exact"/>
              <w:jc w:val="center"/>
              <w:textAlignment w:val="baseline"/>
              <w:rPr>
                <w:rFonts w:hint="eastAsia" w:ascii="宋体" w:hAnsi="宋体" w:cs="宋体"/>
                <w:kern w:val="13"/>
              </w:rPr>
            </w:pPr>
            <w:r>
              <w:rPr>
                <w:rFonts w:hint="eastAsia" w:ascii="宋体" w:hAnsi="宋体" w:cs="宋体"/>
                <w:color w:val="000000"/>
                <w:szCs w:val="21"/>
              </w:rPr>
              <w:t>mg/L</w:t>
            </w:r>
          </w:p>
        </w:tc>
        <w:tc>
          <w:tcPr>
            <w:tcW w:w="584" w:type="pct"/>
            <w:noWrap/>
            <w:vAlign w:val="center"/>
          </w:tcPr>
          <w:p w14:paraId="37B680C4">
            <w:pPr>
              <w:spacing w:line="240" w:lineRule="exact"/>
              <w:jc w:val="center"/>
              <w:textAlignment w:val="baseline"/>
              <w:rPr>
                <w:rFonts w:hint="eastAsia" w:ascii="宋体" w:hAnsi="宋体" w:cs="宋体"/>
                <w:kern w:val="13"/>
              </w:rPr>
            </w:pPr>
            <w:r>
              <w:rPr>
                <w:rFonts w:hint="eastAsia" w:ascii="宋体" w:hAnsi="宋体" w:cs="宋体"/>
                <w:szCs w:val="21"/>
              </w:rPr>
              <w:t>2.38</w:t>
            </w:r>
            <w:r>
              <w:rPr>
                <w:rFonts w:ascii="Arial" w:hAnsi="Arial" w:cs="Arial"/>
                <w:szCs w:val="21"/>
              </w:rPr>
              <w:t>×</w:t>
            </w:r>
            <w:r>
              <w:rPr>
                <w:rFonts w:hint="eastAsia" w:ascii="宋体" w:hAnsi="宋体" w:cs="宋体"/>
                <w:szCs w:val="21"/>
              </w:rPr>
              <w:t>10</w:t>
            </w:r>
            <w:r>
              <w:rPr>
                <w:rFonts w:hint="eastAsia" w:ascii="宋体" w:hAnsi="宋体" w:cs="宋体"/>
                <w:szCs w:val="21"/>
                <w:vertAlign w:val="superscript"/>
              </w:rPr>
              <w:t>3</w:t>
            </w:r>
          </w:p>
        </w:tc>
        <w:tc>
          <w:tcPr>
            <w:tcW w:w="468" w:type="pct"/>
            <w:noWrap/>
            <w:vAlign w:val="center"/>
          </w:tcPr>
          <w:p w14:paraId="6F769DC4">
            <w:pPr>
              <w:spacing w:line="240" w:lineRule="exact"/>
              <w:jc w:val="center"/>
              <w:textAlignment w:val="baseline"/>
              <w:rPr>
                <w:rFonts w:hint="eastAsia" w:ascii="宋体" w:hAnsi="宋体" w:cs="宋体"/>
                <w:kern w:val="13"/>
              </w:rPr>
            </w:pPr>
            <w:r>
              <w:rPr>
                <w:rFonts w:hint="eastAsia" w:ascii="宋体" w:hAnsi="宋体" w:cs="宋体"/>
                <w:kern w:val="13"/>
                <w:shd w:val="pct15" w:color="auto" w:fill="FFFFFF"/>
              </w:rPr>
              <w:t>9.52</w:t>
            </w:r>
          </w:p>
        </w:tc>
        <w:tc>
          <w:tcPr>
            <w:tcW w:w="584" w:type="pct"/>
            <w:noWrap/>
            <w:vAlign w:val="center"/>
          </w:tcPr>
          <w:p w14:paraId="348F5BBE">
            <w:pPr>
              <w:spacing w:line="240" w:lineRule="exact"/>
              <w:jc w:val="center"/>
              <w:textAlignment w:val="baseline"/>
              <w:rPr>
                <w:rFonts w:hint="eastAsia" w:ascii="宋体" w:hAnsi="宋体" w:cs="宋体"/>
                <w:kern w:val="13"/>
              </w:rPr>
            </w:pPr>
            <w:r>
              <w:rPr>
                <w:rFonts w:hint="eastAsia" w:ascii="宋体" w:hAnsi="宋体" w:cs="宋体"/>
                <w:szCs w:val="21"/>
              </w:rPr>
              <w:t>2.35</w:t>
            </w:r>
            <w:r>
              <w:rPr>
                <w:rFonts w:ascii="Arial" w:hAnsi="Arial" w:cs="Arial"/>
                <w:szCs w:val="21"/>
              </w:rPr>
              <w:t>×</w:t>
            </w:r>
            <w:r>
              <w:rPr>
                <w:rFonts w:hint="eastAsia" w:ascii="宋体" w:hAnsi="宋体" w:cs="宋体"/>
                <w:szCs w:val="21"/>
              </w:rPr>
              <w:t>10</w:t>
            </w:r>
            <w:r>
              <w:rPr>
                <w:rFonts w:hint="eastAsia" w:ascii="宋体" w:hAnsi="宋体" w:cs="宋体"/>
                <w:szCs w:val="21"/>
                <w:vertAlign w:val="superscript"/>
              </w:rPr>
              <w:t>3</w:t>
            </w:r>
          </w:p>
        </w:tc>
        <w:tc>
          <w:tcPr>
            <w:tcW w:w="410" w:type="pct"/>
            <w:noWrap/>
            <w:vAlign w:val="center"/>
          </w:tcPr>
          <w:p w14:paraId="7ABF6575">
            <w:pPr>
              <w:spacing w:line="240" w:lineRule="exact"/>
              <w:jc w:val="center"/>
              <w:textAlignment w:val="baseline"/>
              <w:rPr>
                <w:rFonts w:hint="eastAsia" w:ascii="宋体" w:hAnsi="宋体" w:cs="宋体"/>
                <w:kern w:val="13"/>
              </w:rPr>
            </w:pPr>
            <w:r>
              <w:rPr>
                <w:rFonts w:hint="eastAsia" w:ascii="宋体" w:hAnsi="宋体" w:cs="宋体"/>
                <w:kern w:val="13"/>
                <w:shd w:val="pct15" w:color="auto" w:fill="FFFFFF"/>
              </w:rPr>
              <w:t>9.4</w:t>
            </w:r>
          </w:p>
        </w:tc>
        <w:tc>
          <w:tcPr>
            <w:tcW w:w="584" w:type="pct"/>
            <w:noWrap/>
            <w:vAlign w:val="center"/>
          </w:tcPr>
          <w:p w14:paraId="1BA426C0">
            <w:pPr>
              <w:spacing w:line="240" w:lineRule="exact"/>
              <w:jc w:val="center"/>
              <w:textAlignment w:val="baseline"/>
              <w:rPr>
                <w:rFonts w:hint="eastAsia" w:ascii="宋体" w:hAnsi="宋体" w:cs="宋体"/>
                <w:kern w:val="13"/>
              </w:rPr>
            </w:pPr>
            <w:r>
              <w:rPr>
                <w:rFonts w:hint="eastAsia" w:ascii="宋体" w:hAnsi="宋体" w:cs="宋体"/>
                <w:szCs w:val="21"/>
              </w:rPr>
              <w:t>7.00</w:t>
            </w:r>
            <w:r>
              <w:rPr>
                <w:rFonts w:ascii="Arial" w:hAnsi="Arial" w:cs="Arial"/>
                <w:szCs w:val="21"/>
              </w:rPr>
              <w:t>×</w:t>
            </w:r>
            <w:r>
              <w:rPr>
                <w:rFonts w:hint="eastAsia" w:ascii="宋体" w:hAnsi="宋体" w:cs="宋体"/>
                <w:szCs w:val="21"/>
              </w:rPr>
              <w:t>10</w:t>
            </w:r>
            <w:r>
              <w:rPr>
                <w:rFonts w:hint="eastAsia" w:ascii="宋体" w:hAnsi="宋体" w:cs="宋体"/>
                <w:szCs w:val="21"/>
                <w:vertAlign w:val="superscript"/>
              </w:rPr>
              <w:t>3</w:t>
            </w:r>
          </w:p>
        </w:tc>
        <w:tc>
          <w:tcPr>
            <w:tcW w:w="410" w:type="pct"/>
            <w:noWrap/>
            <w:vAlign w:val="center"/>
          </w:tcPr>
          <w:p w14:paraId="036F674D">
            <w:pPr>
              <w:spacing w:line="240" w:lineRule="exact"/>
              <w:jc w:val="center"/>
              <w:textAlignment w:val="baseline"/>
              <w:rPr>
                <w:rFonts w:hint="eastAsia" w:ascii="宋体" w:hAnsi="宋体" w:cs="宋体"/>
                <w:kern w:val="13"/>
              </w:rPr>
            </w:pPr>
            <w:r>
              <w:rPr>
                <w:rFonts w:hint="eastAsia" w:ascii="宋体" w:hAnsi="宋体" w:cs="宋体"/>
                <w:kern w:val="13"/>
                <w:shd w:val="pct15" w:color="auto" w:fill="FFFFFF"/>
              </w:rPr>
              <w:t>28</w:t>
            </w:r>
          </w:p>
        </w:tc>
        <w:tc>
          <w:tcPr>
            <w:tcW w:w="584" w:type="pct"/>
            <w:noWrap/>
            <w:vAlign w:val="center"/>
          </w:tcPr>
          <w:p w14:paraId="63DA9664">
            <w:pPr>
              <w:spacing w:line="240" w:lineRule="exact"/>
              <w:jc w:val="center"/>
              <w:textAlignment w:val="baseline"/>
              <w:rPr>
                <w:rFonts w:hint="eastAsia" w:ascii="宋体" w:hAnsi="宋体" w:cs="宋体"/>
                <w:kern w:val="13"/>
              </w:rPr>
            </w:pPr>
            <w:r>
              <w:rPr>
                <w:rFonts w:hint="eastAsia" w:ascii="宋体" w:hAnsi="宋体" w:cs="宋体"/>
                <w:color w:val="000000"/>
                <w:szCs w:val="21"/>
              </w:rPr>
              <w:t>250</w:t>
            </w:r>
          </w:p>
        </w:tc>
      </w:tr>
      <w:tr w14:paraId="0CFDE98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352" w:type="pct"/>
            <w:noWrap/>
            <w:vAlign w:val="center"/>
          </w:tcPr>
          <w:p w14:paraId="47630684">
            <w:pPr>
              <w:spacing w:line="240" w:lineRule="exact"/>
              <w:jc w:val="center"/>
              <w:textAlignment w:val="baseline"/>
              <w:rPr>
                <w:rFonts w:hint="eastAsia" w:ascii="宋体" w:hAnsi="宋体" w:cs="宋体"/>
                <w:kern w:val="13"/>
              </w:rPr>
            </w:pPr>
            <w:r>
              <w:rPr>
                <w:rFonts w:hint="eastAsia" w:ascii="宋体" w:hAnsi="宋体" w:cs="宋体"/>
                <w:kern w:val="13"/>
              </w:rPr>
              <w:t>7</w:t>
            </w:r>
          </w:p>
        </w:tc>
        <w:tc>
          <w:tcPr>
            <w:tcW w:w="382" w:type="pct"/>
            <w:vAlign w:val="center"/>
          </w:tcPr>
          <w:p w14:paraId="3CFDDCFB">
            <w:pPr>
              <w:spacing w:line="240" w:lineRule="exact"/>
              <w:jc w:val="center"/>
              <w:textAlignment w:val="baseline"/>
              <w:rPr>
                <w:rFonts w:hint="eastAsia" w:ascii="宋体" w:hAnsi="宋体" w:cs="宋体"/>
                <w:kern w:val="13"/>
              </w:rPr>
            </w:pPr>
            <w:r>
              <w:rPr>
                <w:rFonts w:hint="eastAsia" w:ascii="宋体" w:hAnsi="宋体" w:cs="宋体"/>
                <w:color w:val="000000"/>
                <w:szCs w:val="21"/>
              </w:rPr>
              <w:t>碳酸盐</w:t>
            </w:r>
          </w:p>
        </w:tc>
        <w:tc>
          <w:tcPr>
            <w:tcW w:w="642" w:type="pct"/>
            <w:noWrap/>
            <w:vAlign w:val="center"/>
          </w:tcPr>
          <w:p w14:paraId="721359A7">
            <w:pPr>
              <w:spacing w:line="240" w:lineRule="exact"/>
              <w:jc w:val="center"/>
              <w:textAlignment w:val="baseline"/>
              <w:rPr>
                <w:rFonts w:hint="eastAsia" w:ascii="宋体" w:hAnsi="宋体" w:cs="宋体"/>
                <w:kern w:val="13"/>
              </w:rPr>
            </w:pPr>
            <w:r>
              <w:rPr>
                <w:rFonts w:hint="eastAsia" w:ascii="宋体" w:hAnsi="宋体" w:cs="宋体"/>
                <w:color w:val="000000"/>
                <w:szCs w:val="21"/>
              </w:rPr>
              <w:t>mg/L</w:t>
            </w:r>
          </w:p>
        </w:tc>
        <w:tc>
          <w:tcPr>
            <w:tcW w:w="584" w:type="pct"/>
            <w:noWrap/>
            <w:vAlign w:val="center"/>
          </w:tcPr>
          <w:p w14:paraId="6B635F04">
            <w:pPr>
              <w:spacing w:line="240" w:lineRule="exact"/>
              <w:jc w:val="center"/>
              <w:textAlignment w:val="baseline"/>
              <w:rPr>
                <w:rFonts w:hint="eastAsia" w:ascii="宋体" w:hAnsi="宋体" w:cs="宋体"/>
                <w:kern w:val="13"/>
              </w:rPr>
            </w:pPr>
            <w:r>
              <w:rPr>
                <w:rFonts w:hint="eastAsia" w:ascii="宋体" w:hAnsi="宋体" w:cs="宋体"/>
                <w:szCs w:val="21"/>
              </w:rPr>
              <w:t>23.8</w:t>
            </w:r>
          </w:p>
        </w:tc>
        <w:tc>
          <w:tcPr>
            <w:tcW w:w="468" w:type="pct"/>
            <w:noWrap/>
            <w:vAlign w:val="center"/>
          </w:tcPr>
          <w:p w14:paraId="5E410653">
            <w:pPr>
              <w:spacing w:line="240" w:lineRule="exact"/>
              <w:jc w:val="center"/>
              <w:textAlignment w:val="baseline"/>
              <w:rPr>
                <w:rFonts w:hint="eastAsia" w:ascii="宋体" w:hAnsi="宋体" w:cs="宋体"/>
                <w:kern w:val="13"/>
              </w:rPr>
            </w:pPr>
            <w:r>
              <w:rPr>
                <w:rFonts w:hint="eastAsia" w:ascii="宋体" w:hAnsi="宋体" w:cs="宋体"/>
                <w:kern w:val="13"/>
              </w:rPr>
              <w:t>/</w:t>
            </w:r>
          </w:p>
        </w:tc>
        <w:tc>
          <w:tcPr>
            <w:tcW w:w="584" w:type="pct"/>
            <w:noWrap/>
            <w:vAlign w:val="center"/>
          </w:tcPr>
          <w:p w14:paraId="7F9C9150">
            <w:pPr>
              <w:spacing w:line="240" w:lineRule="exact"/>
              <w:jc w:val="center"/>
              <w:textAlignment w:val="baseline"/>
              <w:rPr>
                <w:rFonts w:hint="eastAsia" w:ascii="宋体" w:hAnsi="宋体" w:cs="宋体"/>
                <w:kern w:val="13"/>
              </w:rPr>
            </w:pPr>
            <w:r>
              <w:rPr>
                <w:rFonts w:hint="eastAsia" w:ascii="宋体" w:hAnsi="宋体" w:cs="宋体"/>
                <w:szCs w:val="21"/>
              </w:rPr>
              <w:t>54.8</w:t>
            </w:r>
          </w:p>
        </w:tc>
        <w:tc>
          <w:tcPr>
            <w:tcW w:w="410" w:type="pct"/>
            <w:noWrap/>
            <w:vAlign w:val="center"/>
          </w:tcPr>
          <w:p w14:paraId="347FB13C">
            <w:pPr>
              <w:spacing w:line="240" w:lineRule="exact"/>
              <w:jc w:val="center"/>
              <w:textAlignment w:val="baseline"/>
              <w:rPr>
                <w:rFonts w:hint="eastAsia" w:ascii="宋体" w:hAnsi="宋体" w:cs="宋体"/>
                <w:kern w:val="13"/>
              </w:rPr>
            </w:pPr>
            <w:r>
              <w:rPr>
                <w:rFonts w:hint="eastAsia" w:ascii="宋体" w:hAnsi="宋体" w:cs="宋体"/>
                <w:kern w:val="13"/>
              </w:rPr>
              <w:t>/</w:t>
            </w:r>
          </w:p>
        </w:tc>
        <w:tc>
          <w:tcPr>
            <w:tcW w:w="584" w:type="pct"/>
            <w:noWrap/>
            <w:vAlign w:val="center"/>
          </w:tcPr>
          <w:p w14:paraId="21BF185A">
            <w:pPr>
              <w:spacing w:line="240" w:lineRule="exact"/>
              <w:jc w:val="center"/>
              <w:textAlignment w:val="baseline"/>
              <w:rPr>
                <w:rFonts w:hint="eastAsia" w:ascii="宋体" w:hAnsi="宋体" w:cs="宋体"/>
                <w:kern w:val="13"/>
              </w:rPr>
            </w:pPr>
            <w:r>
              <w:rPr>
                <w:rFonts w:hint="eastAsia" w:ascii="宋体" w:hAnsi="宋体" w:cs="宋体"/>
                <w:szCs w:val="21"/>
              </w:rPr>
              <w:t>62.6</w:t>
            </w:r>
          </w:p>
        </w:tc>
        <w:tc>
          <w:tcPr>
            <w:tcW w:w="410" w:type="pct"/>
            <w:noWrap/>
            <w:vAlign w:val="center"/>
          </w:tcPr>
          <w:p w14:paraId="3B15E819">
            <w:pPr>
              <w:spacing w:line="240" w:lineRule="exact"/>
              <w:jc w:val="center"/>
              <w:textAlignment w:val="baseline"/>
              <w:rPr>
                <w:rFonts w:hint="eastAsia" w:ascii="宋体" w:hAnsi="宋体" w:cs="宋体"/>
                <w:kern w:val="13"/>
              </w:rPr>
            </w:pPr>
            <w:r>
              <w:rPr>
                <w:rFonts w:hint="eastAsia" w:ascii="宋体" w:hAnsi="宋体" w:cs="宋体"/>
                <w:kern w:val="13"/>
              </w:rPr>
              <w:t>/</w:t>
            </w:r>
          </w:p>
        </w:tc>
        <w:tc>
          <w:tcPr>
            <w:tcW w:w="584" w:type="pct"/>
            <w:noWrap/>
            <w:vAlign w:val="center"/>
          </w:tcPr>
          <w:p w14:paraId="5275D1C9">
            <w:pPr>
              <w:spacing w:line="240" w:lineRule="exact"/>
              <w:jc w:val="center"/>
              <w:textAlignment w:val="baseline"/>
              <w:rPr>
                <w:rFonts w:hint="eastAsia" w:ascii="宋体" w:hAnsi="宋体" w:cs="宋体"/>
                <w:kern w:val="13"/>
              </w:rPr>
            </w:pPr>
            <w:r>
              <w:rPr>
                <w:rFonts w:hint="eastAsia" w:ascii="宋体" w:hAnsi="宋体" w:cs="宋体"/>
                <w:color w:val="000000"/>
                <w:szCs w:val="21"/>
              </w:rPr>
              <w:t>-</w:t>
            </w:r>
          </w:p>
        </w:tc>
      </w:tr>
      <w:tr w14:paraId="63A5B39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352" w:type="pct"/>
            <w:noWrap/>
            <w:vAlign w:val="center"/>
          </w:tcPr>
          <w:p w14:paraId="03F4D443">
            <w:pPr>
              <w:spacing w:line="240" w:lineRule="exact"/>
              <w:jc w:val="center"/>
              <w:textAlignment w:val="baseline"/>
              <w:rPr>
                <w:rFonts w:hint="eastAsia" w:ascii="宋体" w:hAnsi="宋体" w:cs="宋体"/>
                <w:kern w:val="13"/>
              </w:rPr>
            </w:pPr>
            <w:r>
              <w:rPr>
                <w:rFonts w:hint="eastAsia" w:ascii="宋体" w:hAnsi="宋体" w:cs="宋体"/>
                <w:kern w:val="13"/>
              </w:rPr>
              <w:t>8</w:t>
            </w:r>
          </w:p>
        </w:tc>
        <w:tc>
          <w:tcPr>
            <w:tcW w:w="382" w:type="pct"/>
            <w:vAlign w:val="center"/>
          </w:tcPr>
          <w:p w14:paraId="627FB740">
            <w:pPr>
              <w:spacing w:line="240" w:lineRule="exact"/>
              <w:jc w:val="center"/>
              <w:textAlignment w:val="baseline"/>
              <w:rPr>
                <w:rFonts w:hint="eastAsia" w:ascii="宋体" w:hAnsi="宋体" w:cs="宋体"/>
                <w:kern w:val="13"/>
              </w:rPr>
            </w:pPr>
            <w:r>
              <w:rPr>
                <w:rFonts w:hint="eastAsia" w:ascii="宋体" w:hAnsi="宋体"/>
                <w:szCs w:val="21"/>
                <w:lang w:eastAsia="zh-CN"/>
              </w:rPr>
              <w:t>碳酸氢盐</w:t>
            </w:r>
          </w:p>
        </w:tc>
        <w:tc>
          <w:tcPr>
            <w:tcW w:w="642" w:type="pct"/>
            <w:noWrap/>
            <w:vAlign w:val="center"/>
          </w:tcPr>
          <w:p w14:paraId="58A5F2D5">
            <w:pPr>
              <w:spacing w:line="240" w:lineRule="exact"/>
              <w:jc w:val="center"/>
              <w:textAlignment w:val="baseline"/>
              <w:rPr>
                <w:rFonts w:hint="eastAsia" w:ascii="宋体" w:hAnsi="宋体" w:cs="宋体"/>
                <w:kern w:val="13"/>
              </w:rPr>
            </w:pPr>
            <w:r>
              <w:rPr>
                <w:rFonts w:hint="eastAsia" w:ascii="宋体" w:hAnsi="宋体" w:cs="宋体"/>
                <w:color w:val="000000"/>
                <w:szCs w:val="21"/>
              </w:rPr>
              <w:t>mg/L</w:t>
            </w:r>
          </w:p>
        </w:tc>
        <w:tc>
          <w:tcPr>
            <w:tcW w:w="584" w:type="pct"/>
            <w:noWrap/>
            <w:vAlign w:val="center"/>
          </w:tcPr>
          <w:p w14:paraId="7161B463">
            <w:pPr>
              <w:spacing w:line="240" w:lineRule="exact"/>
              <w:jc w:val="center"/>
              <w:textAlignment w:val="baseline"/>
              <w:rPr>
                <w:rFonts w:hint="eastAsia" w:ascii="宋体" w:hAnsi="宋体" w:cs="宋体"/>
                <w:kern w:val="13"/>
              </w:rPr>
            </w:pPr>
            <w:r>
              <w:rPr>
                <w:rFonts w:hint="eastAsia" w:ascii="宋体" w:hAnsi="宋体" w:cs="宋体"/>
                <w:szCs w:val="21"/>
              </w:rPr>
              <w:t>438</w:t>
            </w:r>
          </w:p>
        </w:tc>
        <w:tc>
          <w:tcPr>
            <w:tcW w:w="468" w:type="pct"/>
            <w:noWrap/>
            <w:vAlign w:val="center"/>
          </w:tcPr>
          <w:p w14:paraId="4C522017">
            <w:pPr>
              <w:spacing w:line="240" w:lineRule="exact"/>
              <w:jc w:val="center"/>
              <w:textAlignment w:val="baseline"/>
              <w:rPr>
                <w:rFonts w:hint="eastAsia" w:ascii="宋体" w:hAnsi="宋体" w:cs="宋体"/>
                <w:kern w:val="13"/>
              </w:rPr>
            </w:pPr>
            <w:r>
              <w:rPr>
                <w:rFonts w:hint="eastAsia" w:ascii="宋体" w:hAnsi="宋体" w:cs="宋体"/>
                <w:kern w:val="13"/>
              </w:rPr>
              <w:t>/</w:t>
            </w:r>
          </w:p>
        </w:tc>
        <w:tc>
          <w:tcPr>
            <w:tcW w:w="584" w:type="pct"/>
            <w:noWrap/>
            <w:vAlign w:val="center"/>
          </w:tcPr>
          <w:p w14:paraId="05A60261">
            <w:pPr>
              <w:spacing w:line="240" w:lineRule="exact"/>
              <w:jc w:val="center"/>
              <w:textAlignment w:val="baseline"/>
              <w:rPr>
                <w:rFonts w:hint="eastAsia" w:ascii="宋体" w:hAnsi="宋体" w:cs="宋体"/>
                <w:kern w:val="13"/>
              </w:rPr>
            </w:pPr>
            <w:r>
              <w:rPr>
                <w:rFonts w:hint="eastAsia" w:ascii="宋体" w:hAnsi="宋体" w:cs="宋体"/>
                <w:szCs w:val="21"/>
              </w:rPr>
              <w:t>547</w:t>
            </w:r>
          </w:p>
        </w:tc>
        <w:tc>
          <w:tcPr>
            <w:tcW w:w="410" w:type="pct"/>
            <w:noWrap/>
            <w:vAlign w:val="center"/>
          </w:tcPr>
          <w:p w14:paraId="4CB5E58E">
            <w:pPr>
              <w:spacing w:line="240" w:lineRule="exact"/>
              <w:jc w:val="center"/>
              <w:textAlignment w:val="baseline"/>
              <w:rPr>
                <w:rFonts w:hint="eastAsia" w:ascii="宋体" w:hAnsi="宋体" w:cs="宋体"/>
                <w:kern w:val="13"/>
              </w:rPr>
            </w:pPr>
            <w:r>
              <w:rPr>
                <w:rFonts w:hint="eastAsia" w:ascii="宋体" w:hAnsi="宋体" w:cs="宋体"/>
                <w:kern w:val="13"/>
              </w:rPr>
              <w:t>/</w:t>
            </w:r>
          </w:p>
        </w:tc>
        <w:tc>
          <w:tcPr>
            <w:tcW w:w="584" w:type="pct"/>
            <w:noWrap/>
            <w:vAlign w:val="center"/>
          </w:tcPr>
          <w:p w14:paraId="793459C4">
            <w:pPr>
              <w:spacing w:line="240" w:lineRule="exact"/>
              <w:jc w:val="center"/>
              <w:textAlignment w:val="baseline"/>
              <w:rPr>
                <w:rFonts w:hint="eastAsia" w:ascii="宋体" w:hAnsi="宋体" w:cs="宋体"/>
                <w:kern w:val="13"/>
              </w:rPr>
            </w:pPr>
            <w:r>
              <w:rPr>
                <w:rFonts w:hint="eastAsia" w:ascii="宋体" w:hAnsi="宋体" w:cs="宋体"/>
                <w:szCs w:val="21"/>
              </w:rPr>
              <w:t>295</w:t>
            </w:r>
          </w:p>
        </w:tc>
        <w:tc>
          <w:tcPr>
            <w:tcW w:w="410" w:type="pct"/>
            <w:noWrap/>
            <w:vAlign w:val="center"/>
          </w:tcPr>
          <w:p w14:paraId="6864A498">
            <w:pPr>
              <w:spacing w:line="240" w:lineRule="exact"/>
              <w:jc w:val="center"/>
              <w:textAlignment w:val="baseline"/>
              <w:rPr>
                <w:rFonts w:hint="eastAsia" w:ascii="宋体" w:hAnsi="宋体" w:cs="宋体"/>
                <w:kern w:val="13"/>
              </w:rPr>
            </w:pPr>
            <w:r>
              <w:rPr>
                <w:rFonts w:hint="eastAsia" w:ascii="宋体" w:hAnsi="宋体" w:cs="宋体"/>
                <w:kern w:val="13"/>
              </w:rPr>
              <w:t>/</w:t>
            </w:r>
          </w:p>
        </w:tc>
        <w:tc>
          <w:tcPr>
            <w:tcW w:w="584" w:type="pct"/>
            <w:noWrap/>
            <w:vAlign w:val="center"/>
          </w:tcPr>
          <w:p w14:paraId="780B46BD">
            <w:pPr>
              <w:spacing w:line="240" w:lineRule="exact"/>
              <w:jc w:val="center"/>
              <w:textAlignment w:val="baseline"/>
              <w:rPr>
                <w:rFonts w:hint="eastAsia" w:ascii="宋体" w:hAnsi="宋体" w:cs="宋体"/>
                <w:kern w:val="13"/>
              </w:rPr>
            </w:pPr>
            <w:r>
              <w:rPr>
                <w:rFonts w:hint="eastAsia" w:ascii="宋体" w:hAnsi="宋体" w:cs="宋体"/>
                <w:szCs w:val="21"/>
              </w:rPr>
              <w:t>-</w:t>
            </w:r>
          </w:p>
        </w:tc>
      </w:tr>
      <w:tr w14:paraId="18919A2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9" w:hRule="atLeast"/>
          <w:jc w:val="center"/>
        </w:trPr>
        <w:tc>
          <w:tcPr>
            <w:tcW w:w="352" w:type="pct"/>
            <w:noWrap/>
            <w:vAlign w:val="center"/>
          </w:tcPr>
          <w:p w14:paraId="66E7E6FF">
            <w:pPr>
              <w:spacing w:line="240" w:lineRule="exact"/>
              <w:jc w:val="center"/>
              <w:textAlignment w:val="baseline"/>
              <w:rPr>
                <w:rFonts w:hint="eastAsia" w:ascii="宋体" w:hAnsi="宋体" w:cs="宋体"/>
                <w:kern w:val="13"/>
              </w:rPr>
            </w:pPr>
            <w:r>
              <w:rPr>
                <w:rFonts w:hint="eastAsia" w:ascii="宋体" w:hAnsi="宋体" w:cs="宋体"/>
                <w:kern w:val="13"/>
              </w:rPr>
              <w:t>9</w:t>
            </w:r>
          </w:p>
        </w:tc>
        <w:tc>
          <w:tcPr>
            <w:tcW w:w="382" w:type="pct"/>
            <w:vAlign w:val="center"/>
          </w:tcPr>
          <w:p w14:paraId="6995AC7C">
            <w:pPr>
              <w:spacing w:line="240" w:lineRule="exact"/>
              <w:jc w:val="center"/>
              <w:textAlignment w:val="baseline"/>
              <w:rPr>
                <w:rFonts w:hint="eastAsia" w:ascii="宋体" w:hAnsi="宋体" w:cs="宋体"/>
                <w:kern w:val="13"/>
              </w:rPr>
            </w:pPr>
            <w:r>
              <w:rPr>
                <w:rFonts w:hint="eastAsia" w:ascii="宋体" w:hAnsi="宋体" w:cs="宋体"/>
                <w:color w:val="000000"/>
                <w:szCs w:val="21"/>
              </w:rPr>
              <w:t>总大肠菌群</w:t>
            </w:r>
          </w:p>
        </w:tc>
        <w:tc>
          <w:tcPr>
            <w:tcW w:w="642" w:type="pct"/>
            <w:noWrap/>
            <w:vAlign w:val="center"/>
          </w:tcPr>
          <w:p w14:paraId="2E0707CF">
            <w:pPr>
              <w:spacing w:line="240" w:lineRule="exact"/>
              <w:jc w:val="center"/>
              <w:textAlignment w:val="baseline"/>
              <w:rPr>
                <w:rFonts w:hint="eastAsia" w:ascii="宋体" w:hAnsi="宋体" w:cs="宋体"/>
                <w:kern w:val="13"/>
              </w:rPr>
            </w:pPr>
            <w:r>
              <w:rPr>
                <w:rFonts w:hint="eastAsia" w:ascii="宋体" w:hAnsi="宋体" w:cs="宋体"/>
                <w:szCs w:val="21"/>
              </w:rPr>
              <w:t>MPN/100mL</w:t>
            </w:r>
          </w:p>
        </w:tc>
        <w:tc>
          <w:tcPr>
            <w:tcW w:w="584" w:type="pct"/>
            <w:noWrap/>
            <w:vAlign w:val="center"/>
          </w:tcPr>
          <w:p w14:paraId="5EC36637">
            <w:pPr>
              <w:spacing w:line="240" w:lineRule="exact"/>
              <w:jc w:val="center"/>
              <w:textAlignment w:val="baseline"/>
              <w:rPr>
                <w:rFonts w:hint="eastAsia" w:ascii="宋体" w:hAnsi="宋体" w:cs="宋体"/>
                <w:kern w:val="13"/>
              </w:rPr>
            </w:pPr>
            <w:r>
              <w:rPr>
                <w:rFonts w:hint="eastAsia" w:ascii="宋体" w:hAnsi="宋体" w:cs="宋体"/>
                <w:szCs w:val="21"/>
              </w:rPr>
              <w:t>未检出</w:t>
            </w:r>
          </w:p>
        </w:tc>
        <w:tc>
          <w:tcPr>
            <w:tcW w:w="468" w:type="pct"/>
            <w:noWrap/>
            <w:vAlign w:val="center"/>
          </w:tcPr>
          <w:p w14:paraId="093539E7">
            <w:pPr>
              <w:spacing w:line="240" w:lineRule="exact"/>
              <w:jc w:val="center"/>
              <w:textAlignment w:val="baseline"/>
              <w:rPr>
                <w:rFonts w:hint="eastAsia" w:ascii="宋体" w:hAnsi="宋体" w:cs="宋体"/>
                <w:kern w:val="13"/>
              </w:rPr>
            </w:pPr>
            <w:r>
              <w:rPr>
                <w:rFonts w:hint="eastAsia" w:ascii="宋体" w:hAnsi="宋体" w:cs="宋体"/>
                <w:kern w:val="13"/>
              </w:rPr>
              <w:t>/</w:t>
            </w:r>
          </w:p>
        </w:tc>
        <w:tc>
          <w:tcPr>
            <w:tcW w:w="584" w:type="pct"/>
            <w:noWrap/>
            <w:vAlign w:val="center"/>
          </w:tcPr>
          <w:p w14:paraId="59FB184D">
            <w:pPr>
              <w:spacing w:line="240" w:lineRule="exact"/>
              <w:jc w:val="center"/>
              <w:textAlignment w:val="baseline"/>
              <w:rPr>
                <w:rFonts w:hint="eastAsia" w:ascii="宋体" w:hAnsi="宋体" w:cs="宋体"/>
                <w:kern w:val="13"/>
              </w:rPr>
            </w:pPr>
            <w:r>
              <w:rPr>
                <w:rFonts w:hint="eastAsia" w:ascii="宋体" w:hAnsi="宋体" w:cs="宋体"/>
                <w:szCs w:val="21"/>
              </w:rPr>
              <w:t>未检出</w:t>
            </w:r>
          </w:p>
        </w:tc>
        <w:tc>
          <w:tcPr>
            <w:tcW w:w="410" w:type="pct"/>
            <w:noWrap/>
            <w:vAlign w:val="center"/>
          </w:tcPr>
          <w:p w14:paraId="10E02375">
            <w:pPr>
              <w:spacing w:line="240" w:lineRule="exact"/>
              <w:jc w:val="center"/>
              <w:textAlignment w:val="baseline"/>
              <w:rPr>
                <w:rFonts w:hint="eastAsia" w:ascii="宋体" w:hAnsi="宋体" w:cs="宋体"/>
                <w:kern w:val="13"/>
              </w:rPr>
            </w:pPr>
            <w:r>
              <w:rPr>
                <w:rFonts w:hint="eastAsia" w:ascii="宋体" w:hAnsi="宋体" w:cs="宋体"/>
                <w:kern w:val="13"/>
              </w:rPr>
              <w:t>/</w:t>
            </w:r>
          </w:p>
        </w:tc>
        <w:tc>
          <w:tcPr>
            <w:tcW w:w="584" w:type="pct"/>
            <w:noWrap/>
            <w:vAlign w:val="center"/>
          </w:tcPr>
          <w:p w14:paraId="01BCFF0C">
            <w:pPr>
              <w:spacing w:line="240" w:lineRule="exact"/>
              <w:jc w:val="center"/>
              <w:textAlignment w:val="baseline"/>
              <w:rPr>
                <w:rFonts w:hint="eastAsia" w:ascii="宋体" w:hAnsi="宋体" w:cs="宋体"/>
                <w:kern w:val="13"/>
              </w:rPr>
            </w:pPr>
            <w:r>
              <w:rPr>
                <w:rFonts w:hint="eastAsia" w:ascii="宋体" w:hAnsi="宋体" w:cs="宋体"/>
                <w:szCs w:val="21"/>
              </w:rPr>
              <w:t>未检出</w:t>
            </w:r>
          </w:p>
        </w:tc>
        <w:tc>
          <w:tcPr>
            <w:tcW w:w="410" w:type="pct"/>
            <w:noWrap/>
            <w:vAlign w:val="center"/>
          </w:tcPr>
          <w:p w14:paraId="4A912409">
            <w:pPr>
              <w:spacing w:line="240" w:lineRule="exact"/>
              <w:jc w:val="center"/>
              <w:textAlignment w:val="baseline"/>
              <w:rPr>
                <w:rFonts w:hint="eastAsia" w:ascii="宋体" w:hAnsi="宋体" w:cs="宋体"/>
                <w:kern w:val="13"/>
              </w:rPr>
            </w:pPr>
            <w:r>
              <w:rPr>
                <w:rFonts w:hint="eastAsia" w:ascii="宋体" w:hAnsi="宋体" w:cs="宋体"/>
                <w:kern w:val="13"/>
              </w:rPr>
              <w:t>/</w:t>
            </w:r>
          </w:p>
        </w:tc>
        <w:tc>
          <w:tcPr>
            <w:tcW w:w="584" w:type="pct"/>
            <w:noWrap/>
            <w:vAlign w:val="center"/>
          </w:tcPr>
          <w:p w14:paraId="3D203B59">
            <w:pPr>
              <w:spacing w:line="240" w:lineRule="exact"/>
              <w:jc w:val="center"/>
              <w:textAlignment w:val="baseline"/>
              <w:rPr>
                <w:rFonts w:hint="eastAsia" w:ascii="宋体" w:hAnsi="宋体" w:cs="宋体"/>
                <w:kern w:val="13"/>
              </w:rPr>
            </w:pPr>
            <w:r>
              <w:rPr>
                <w:rFonts w:hint="eastAsia" w:ascii="宋体" w:hAnsi="宋体" w:cs="宋体"/>
                <w:color w:val="000000"/>
                <w:szCs w:val="21"/>
              </w:rPr>
              <w:t>3.0</w:t>
            </w:r>
          </w:p>
        </w:tc>
      </w:tr>
      <w:tr w14:paraId="388D4F6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9" w:hRule="atLeast"/>
          <w:jc w:val="center"/>
        </w:trPr>
        <w:tc>
          <w:tcPr>
            <w:tcW w:w="352" w:type="pct"/>
            <w:noWrap/>
            <w:vAlign w:val="center"/>
          </w:tcPr>
          <w:p w14:paraId="24D39553">
            <w:pPr>
              <w:spacing w:line="240" w:lineRule="exact"/>
              <w:jc w:val="center"/>
              <w:textAlignment w:val="baseline"/>
              <w:rPr>
                <w:rFonts w:hint="eastAsia" w:ascii="宋体" w:hAnsi="宋体" w:cs="宋体"/>
                <w:kern w:val="13"/>
              </w:rPr>
            </w:pPr>
            <w:r>
              <w:rPr>
                <w:rFonts w:hint="eastAsia" w:ascii="宋体" w:hAnsi="宋体" w:cs="宋体"/>
                <w:kern w:val="13"/>
              </w:rPr>
              <w:t>10</w:t>
            </w:r>
          </w:p>
        </w:tc>
        <w:tc>
          <w:tcPr>
            <w:tcW w:w="382" w:type="pct"/>
            <w:vAlign w:val="center"/>
          </w:tcPr>
          <w:p w14:paraId="64144BBF">
            <w:pPr>
              <w:spacing w:line="240" w:lineRule="exact"/>
              <w:jc w:val="center"/>
              <w:textAlignment w:val="baseline"/>
              <w:rPr>
                <w:rFonts w:hint="eastAsia" w:ascii="宋体" w:hAnsi="宋体" w:cs="宋体"/>
                <w:kern w:val="13"/>
              </w:rPr>
            </w:pPr>
            <w:r>
              <w:rPr>
                <w:rFonts w:hint="eastAsia" w:ascii="宋体" w:hAnsi="宋体" w:cs="宋体"/>
                <w:color w:val="000000"/>
                <w:szCs w:val="21"/>
              </w:rPr>
              <w:t>氨氮</w:t>
            </w:r>
          </w:p>
        </w:tc>
        <w:tc>
          <w:tcPr>
            <w:tcW w:w="642" w:type="pct"/>
            <w:noWrap/>
            <w:vAlign w:val="center"/>
          </w:tcPr>
          <w:p w14:paraId="79AAB9DF">
            <w:pPr>
              <w:spacing w:line="240" w:lineRule="exact"/>
              <w:jc w:val="center"/>
              <w:textAlignment w:val="baseline"/>
              <w:rPr>
                <w:rFonts w:hint="eastAsia" w:ascii="宋体" w:hAnsi="宋体" w:cs="宋体"/>
                <w:kern w:val="13"/>
              </w:rPr>
            </w:pPr>
            <w:r>
              <w:rPr>
                <w:rFonts w:hint="eastAsia" w:ascii="宋体" w:hAnsi="宋体" w:cs="宋体"/>
                <w:color w:val="000000"/>
                <w:szCs w:val="21"/>
              </w:rPr>
              <w:t>mg/L</w:t>
            </w:r>
          </w:p>
        </w:tc>
        <w:tc>
          <w:tcPr>
            <w:tcW w:w="584" w:type="pct"/>
            <w:noWrap/>
            <w:vAlign w:val="center"/>
          </w:tcPr>
          <w:p w14:paraId="25A997E6">
            <w:pPr>
              <w:spacing w:line="240" w:lineRule="exact"/>
              <w:jc w:val="center"/>
              <w:textAlignment w:val="baseline"/>
              <w:rPr>
                <w:rFonts w:hint="eastAsia" w:ascii="宋体" w:hAnsi="宋体" w:cs="宋体"/>
                <w:kern w:val="13"/>
              </w:rPr>
            </w:pPr>
            <w:r>
              <w:rPr>
                <w:rFonts w:hint="eastAsia" w:ascii="宋体" w:hAnsi="宋体"/>
                <w:szCs w:val="21"/>
              </w:rPr>
              <w:t>0.348</w:t>
            </w:r>
          </w:p>
        </w:tc>
        <w:tc>
          <w:tcPr>
            <w:tcW w:w="468" w:type="pct"/>
            <w:noWrap/>
            <w:vAlign w:val="center"/>
          </w:tcPr>
          <w:p w14:paraId="76351E01">
            <w:pPr>
              <w:spacing w:line="240" w:lineRule="exact"/>
              <w:jc w:val="center"/>
              <w:textAlignment w:val="baseline"/>
              <w:rPr>
                <w:rFonts w:hint="eastAsia" w:ascii="宋体" w:hAnsi="宋体" w:cs="宋体"/>
                <w:kern w:val="13"/>
              </w:rPr>
            </w:pPr>
            <w:r>
              <w:rPr>
                <w:rFonts w:hint="eastAsia" w:ascii="宋体" w:hAnsi="宋体" w:cs="宋体"/>
                <w:kern w:val="13"/>
              </w:rPr>
              <w:t>0.696</w:t>
            </w:r>
          </w:p>
        </w:tc>
        <w:tc>
          <w:tcPr>
            <w:tcW w:w="584" w:type="pct"/>
            <w:noWrap/>
            <w:vAlign w:val="center"/>
          </w:tcPr>
          <w:p w14:paraId="6ECD0931">
            <w:pPr>
              <w:spacing w:line="240" w:lineRule="exact"/>
              <w:jc w:val="center"/>
              <w:textAlignment w:val="baseline"/>
              <w:rPr>
                <w:rFonts w:hint="eastAsia" w:ascii="宋体" w:hAnsi="宋体" w:cs="宋体"/>
                <w:kern w:val="13"/>
              </w:rPr>
            </w:pPr>
            <w:r>
              <w:rPr>
                <w:rFonts w:hint="eastAsia" w:ascii="宋体" w:hAnsi="宋体"/>
                <w:szCs w:val="21"/>
              </w:rPr>
              <w:t>0.358</w:t>
            </w:r>
          </w:p>
        </w:tc>
        <w:tc>
          <w:tcPr>
            <w:tcW w:w="410" w:type="pct"/>
            <w:noWrap/>
            <w:vAlign w:val="center"/>
          </w:tcPr>
          <w:p w14:paraId="4AE68E51">
            <w:pPr>
              <w:spacing w:line="240" w:lineRule="exact"/>
              <w:jc w:val="center"/>
              <w:textAlignment w:val="baseline"/>
              <w:rPr>
                <w:rFonts w:hint="eastAsia" w:ascii="宋体" w:hAnsi="宋体" w:cs="宋体"/>
                <w:kern w:val="13"/>
              </w:rPr>
            </w:pPr>
            <w:r>
              <w:rPr>
                <w:rFonts w:hint="eastAsia" w:ascii="宋体" w:hAnsi="宋体" w:cs="宋体"/>
                <w:kern w:val="13"/>
              </w:rPr>
              <w:t>0.356</w:t>
            </w:r>
          </w:p>
        </w:tc>
        <w:tc>
          <w:tcPr>
            <w:tcW w:w="584" w:type="pct"/>
            <w:noWrap/>
            <w:vAlign w:val="center"/>
          </w:tcPr>
          <w:p w14:paraId="09EE9A76">
            <w:pPr>
              <w:spacing w:line="240" w:lineRule="exact"/>
              <w:jc w:val="center"/>
              <w:textAlignment w:val="baseline"/>
              <w:rPr>
                <w:rFonts w:hint="eastAsia" w:ascii="宋体" w:hAnsi="宋体" w:cs="宋体"/>
                <w:kern w:val="13"/>
              </w:rPr>
            </w:pPr>
            <w:r>
              <w:rPr>
                <w:rFonts w:hint="eastAsia" w:ascii="宋体" w:hAnsi="宋体"/>
                <w:szCs w:val="21"/>
              </w:rPr>
              <w:t>0.365</w:t>
            </w:r>
          </w:p>
        </w:tc>
        <w:tc>
          <w:tcPr>
            <w:tcW w:w="410" w:type="pct"/>
            <w:noWrap/>
            <w:vAlign w:val="center"/>
          </w:tcPr>
          <w:p w14:paraId="21A85CF6">
            <w:pPr>
              <w:spacing w:line="240" w:lineRule="exact"/>
              <w:jc w:val="center"/>
              <w:textAlignment w:val="baseline"/>
              <w:rPr>
                <w:rFonts w:hint="eastAsia" w:ascii="宋体" w:hAnsi="宋体" w:cs="宋体"/>
                <w:kern w:val="13"/>
              </w:rPr>
            </w:pPr>
            <w:r>
              <w:rPr>
                <w:rFonts w:hint="eastAsia" w:ascii="宋体" w:hAnsi="宋体" w:cs="宋体"/>
                <w:kern w:val="13"/>
              </w:rPr>
              <w:t>0.73</w:t>
            </w:r>
          </w:p>
        </w:tc>
        <w:tc>
          <w:tcPr>
            <w:tcW w:w="584" w:type="pct"/>
            <w:noWrap/>
            <w:vAlign w:val="center"/>
          </w:tcPr>
          <w:p w14:paraId="530316C4">
            <w:pPr>
              <w:spacing w:line="240" w:lineRule="exact"/>
              <w:jc w:val="center"/>
              <w:textAlignment w:val="baseline"/>
              <w:rPr>
                <w:rFonts w:hint="eastAsia" w:ascii="宋体" w:hAnsi="宋体" w:cs="宋体"/>
                <w:kern w:val="13"/>
              </w:rPr>
            </w:pPr>
            <w:r>
              <w:rPr>
                <w:rFonts w:hint="eastAsia" w:ascii="宋体" w:hAnsi="宋体" w:cs="宋体"/>
                <w:szCs w:val="21"/>
              </w:rPr>
              <w:t>0.50</w:t>
            </w:r>
          </w:p>
        </w:tc>
      </w:tr>
      <w:tr w14:paraId="28DEA7F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9" w:hRule="atLeast"/>
          <w:jc w:val="center"/>
        </w:trPr>
        <w:tc>
          <w:tcPr>
            <w:tcW w:w="352" w:type="pct"/>
            <w:noWrap/>
            <w:vAlign w:val="center"/>
          </w:tcPr>
          <w:p w14:paraId="202BA8A4">
            <w:pPr>
              <w:spacing w:line="240" w:lineRule="exact"/>
              <w:jc w:val="center"/>
              <w:textAlignment w:val="baseline"/>
              <w:rPr>
                <w:rFonts w:hint="eastAsia" w:ascii="宋体" w:hAnsi="宋体" w:cs="宋体"/>
                <w:kern w:val="13"/>
              </w:rPr>
            </w:pPr>
            <w:r>
              <w:rPr>
                <w:rFonts w:hint="eastAsia" w:ascii="宋体" w:hAnsi="宋体" w:cs="宋体"/>
                <w:kern w:val="13"/>
              </w:rPr>
              <w:t>11</w:t>
            </w:r>
          </w:p>
        </w:tc>
        <w:tc>
          <w:tcPr>
            <w:tcW w:w="382" w:type="pct"/>
            <w:vAlign w:val="center"/>
          </w:tcPr>
          <w:p w14:paraId="45F151FA">
            <w:pPr>
              <w:spacing w:line="240" w:lineRule="exact"/>
              <w:jc w:val="center"/>
              <w:textAlignment w:val="baseline"/>
              <w:rPr>
                <w:rFonts w:hint="eastAsia" w:ascii="宋体" w:hAnsi="宋体" w:cs="宋体"/>
                <w:kern w:val="13"/>
              </w:rPr>
            </w:pPr>
            <w:r>
              <w:rPr>
                <w:rFonts w:hint="eastAsia" w:ascii="宋体" w:hAnsi="宋体" w:cs="宋体"/>
                <w:color w:val="000000"/>
                <w:szCs w:val="21"/>
              </w:rPr>
              <w:t>阴离子表面活性剂</w:t>
            </w:r>
          </w:p>
        </w:tc>
        <w:tc>
          <w:tcPr>
            <w:tcW w:w="642" w:type="pct"/>
            <w:noWrap/>
            <w:vAlign w:val="center"/>
          </w:tcPr>
          <w:p w14:paraId="55E2B8B7">
            <w:pPr>
              <w:spacing w:line="240" w:lineRule="exact"/>
              <w:jc w:val="center"/>
              <w:textAlignment w:val="baseline"/>
              <w:rPr>
                <w:rFonts w:hint="eastAsia" w:ascii="宋体" w:hAnsi="宋体" w:cs="宋体"/>
                <w:kern w:val="13"/>
              </w:rPr>
            </w:pPr>
            <w:r>
              <w:rPr>
                <w:rFonts w:hint="eastAsia" w:ascii="宋体" w:hAnsi="宋体" w:cs="宋体"/>
                <w:color w:val="000000"/>
                <w:szCs w:val="21"/>
              </w:rPr>
              <w:t>mg/L</w:t>
            </w:r>
          </w:p>
        </w:tc>
        <w:tc>
          <w:tcPr>
            <w:tcW w:w="584" w:type="pct"/>
            <w:noWrap/>
            <w:vAlign w:val="center"/>
          </w:tcPr>
          <w:p w14:paraId="75D51699">
            <w:pPr>
              <w:spacing w:line="240" w:lineRule="exact"/>
              <w:jc w:val="center"/>
              <w:textAlignment w:val="baseline"/>
              <w:rPr>
                <w:rFonts w:hint="eastAsia" w:ascii="宋体" w:hAnsi="宋体" w:cs="宋体"/>
                <w:kern w:val="13"/>
              </w:rPr>
            </w:pPr>
            <w:r>
              <w:rPr>
                <w:rFonts w:hint="eastAsia" w:ascii="宋体" w:hAnsi="宋体"/>
                <w:szCs w:val="21"/>
              </w:rPr>
              <w:t>0.105</w:t>
            </w:r>
          </w:p>
        </w:tc>
        <w:tc>
          <w:tcPr>
            <w:tcW w:w="468" w:type="pct"/>
            <w:noWrap/>
            <w:vAlign w:val="center"/>
          </w:tcPr>
          <w:p w14:paraId="0AD0EEC9">
            <w:pPr>
              <w:spacing w:line="240" w:lineRule="exact"/>
              <w:jc w:val="center"/>
              <w:textAlignment w:val="baseline"/>
              <w:rPr>
                <w:rFonts w:hint="eastAsia" w:ascii="宋体" w:hAnsi="宋体" w:cs="宋体"/>
                <w:kern w:val="13"/>
              </w:rPr>
            </w:pPr>
            <w:r>
              <w:rPr>
                <w:rFonts w:hint="eastAsia" w:ascii="宋体" w:hAnsi="宋体" w:cs="宋体"/>
                <w:kern w:val="13"/>
              </w:rPr>
              <w:t>0.35</w:t>
            </w:r>
          </w:p>
        </w:tc>
        <w:tc>
          <w:tcPr>
            <w:tcW w:w="584" w:type="pct"/>
            <w:noWrap/>
            <w:vAlign w:val="center"/>
          </w:tcPr>
          <w:p w14:paraId="0C654A99">
            <w:pPr>
              <w:spacing w:line="240" w:lineRule="exact"/>
              <w:jc w:val="center"/>
              <w:textAlignment w:val="baseline"/>
              <w:rPr>
                <w:rFonts w:hint="eastAsia" w:ascii="宋体" w:hAnsi="宋体" w:cs="宋体"/>
                <w:kern w:val="13"/>
              </w:rPr>
            </w:pPr>
            <w:r>
              <w:rPr>
                <w:rFonts w:hint="eastAsia" w:ascii="宋体" w:hAnsi="宋体"/>
                <w:szCs w:val="21"/>
              </w:rPr>
              <w:t>0.097</w:t>
            </w:r>
          </w:p>
        </w:tc>
        <w:tc>
          <w:tcPr>
            <w:tcW w:w="410" w:type="pct"/>
            <w:noWrap/>
            <w:vAlign w:val="center"/>
          </w:tcPr>
          <w:p w14:paraId="24EB7E30">
            <w:pPr>
              <w:spacing w:line="240" w:lineRule="exact"/>
              <w:jc w:val="center"/>
              <w:textAlignment w:val="baseline"/>
              <w:rPr>
                <w:rFonts w:hint="eastAsia" w:ascii="宋体" w:hAnsi="宋体" w:cs="宋体"/>
                <w:kern w:val="13"/>
              </w:rPr>
            </w:pPr>
            <w:r>
              <w:rPr>
                <w:rFonts w:hint="eastAsia" w:ascii="宋体" w:hAnsi="宋体" w:cs="宋体"/>
                <w:kern w:val="13"/>
              </w:rPr>
              <w:t>0.32</w:t>
            </w:r>
          </w:p>
        </w:tc>
        <w:tc>
          <w:tcPr>
            <w:tcW w:w="584" w:type="pct"/>
            <w:noWrap/>
            <w:vAlign w:val="center"/>
          </w:tcPr>
          <w:p w14:paraId="7954D086">
            <w:pPr>
              <w:spacing w:line="240" w:lineRule="exact"/>
              <w:jc w:val="center"/>
              <w:textAlignment w:val="baseline"/>
              <w:rPr>
                <w:rFonts w:hint="eastAsia" w:ascii="宋体" w:hAnsi="宋体" w:cs="宋体"/>
                <w:kern w:val="13"/>
              </w:rPr>
            </w:pPr>
            <w:r>
              <w:rPr>
                <w:rFonts w:hint="eastAsia" w:ascii="宋体" w:hAnsi="宋体"/>
                <w:szCs w:val="21"/>
              </w:rPr>
              <w:t>0.149</w:t>
            </w:r>
          </w:p>
        </w:tc>
        <w:tc>
          <w:tcPr>
            <w:tcW w:w="410" w:type="pct"/>
            <w:noWrap/>
            <w:vAlign w:val="center"/>
          </w:tcPr>
          <w:p w14:paraId="45D0A3C2">
            <w:pPr>
              <w:spacing w:line="240" w:lineRule="exact"/>
              <w:jc w:val="center"/>
              <w:textAlignment w:val="baseline"/>
              <w:rPr>
                <w:rFonts w:hint="eastAsia" w:ascii="宋体" w:hAnsi="宋体" w:cs="宋体"/>
                <w:kern w:val="13"/>
              </w:rPr>
            </w:pPr>
            <w:r>
              <w:rPr>
                <w:rFonts w:hint="eastAsia" w:ascii="宋体" w:hAnsi="宋体" w:cs="宋体"/>
                <w:kern w:val="13"/>
              </w:rPr>
              <w:t>0.50</w:t>
            </w:r>
          </w:p>
        </w:tc>
        <w:tc>
          <w:tcPr>
            <w:tcW w:w="584" w:type="pct"/>
            <w:noWrap/>
            <w:vAlign w:val="center"/>
          </w:tcPr>
          <w:p w14:paraId="702725B6">
            <w:pPr>
              <w:spacing w:line="240" w:lineRule="exact"/>
              <w:jc w:val="center"/>
              <w:textAlignment w:val="baseline"/>
              <w:rPr>
                <w:rFonts w:hint="eastAsia" w:ascii="宋体" w:hAnsi="宋体" w:cs="宋体"/>
                <w:kern w:val="13"/>
              </w:rPr>
            </w:pPr>
            <w:r>
              <w:rPr>
                <w:rFonts w:hint="eastAsia" w:ascii="宋体" w:hAnsi="宋体" w:cs="宋体"/>
                <w:szCs w:val="21"/>
              </w:rPr>
              <w:t>0.3</w:t>
            </w:r>
          </w:p>
        </w:tc>
      </w:tr>
      <w:tr w14:paraId="0A4C4F4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9" w:hRule="atLeast"/>
          <w:jc w:val="center"/>
        </w:trPr>
        <w:tc>
          <w:tcPr>
            <w:tcW w:w="352" w:type="pct"/>
            <w:noWrap/>
            <w:vAlign w:val="center"/>
          </w:tcPr>
          <w:p w14:paraId="00DE5120">
            <w:pPr>
              <w:spacing w:line="240" w:lineRule="exact"/>
              <w:jc w:val="center"/>
              <w:textAlignment w:val="baseline"/>
              <w:rPr>
                <w:rFonts w:hint="eastAsia" w:ascii="宋体" w:hAnsi="宋体" w:cs="宋体"/>
                <w:kern w:val="13"/>
              </w:rPr>
            </w:pPr>
            <w:r>
              <w:rPr>
                <w:rFonts w:hint="eastAsia" w:ascii="宋体" w:hAnsi="宋体" w:cs="宋体"/>
                <w:kern w:val="13"/>
              </w:rPr>
              <w:t>12</w:t>
            </w:r>
          </w:p>
        </w:tc>
        <w:tc>
          <w:tcPr>
            <w:tcW w:w="382" w:type="pct"/>
            <w:vAlign w:val="center"/>
          </w:tcPr>
          <w:p w14:paraId="6BDAFA69">
            <w:pPr>
              <w:spacing w:line="240" w:lineRule="exact"/>
              <w:jc w:val="center"/>
              <w:textAlignment w:val="baseline"/>
              <w:rPr>
                <w:rFonts w:hint="eastAsia" w:ascii="宋体" w:hAnsi="宋体" w:cs="宋体"/>
                <w:kern w:val="13"/>
              </w:rPr>
            </w:pPr>
            <w:r>
              <w:rPr>
                <w:rFonts w:hint="eastAsia" w:ascii="宋体" w:hAnsi="宋体" w:cs="宋体"/>
                <w:color w:val="000000"/>
                <w:szCs w:val="21"/>
              </w:rPr>
              <w:t>硝酸盐氮</w:t>
            </w:r>
          </w:p>
        </w:tc>
        <w:tc>
          <w:tcPr>
            <w:tcW w:w="642" w:type="pct"/>
            <w:noWrap/>
            <w:vAlign w:val="center"/>
          </w:tcPr>
          <w:p w14:paraId="4AC57A6B">
            <w:pPr>
              <w:spacing w:line="240" w:lineRule="exact"/>
              <w:jc w:val="center"/>
              <w:textAlignment w:val="baseline"/>
              <w:rPr>
                <w:rFonts w:hint="eastAsia" w:ascii="宋体" w:hAnsi="宋体" w:cs="宋体"/>
                <w:kern w:val="13"/>
              </w:rPr>
            </w:pPr>
            <w:r>
              <w:rPr>
                <w:rFonts w:hint="eastAsia" w:ascii="宋体" w:hAnsi="宋体" w:cs="宋体"/>
                <w:color w:val="000000"/>
                <w:szCs w:val="21"/>
              </w:rPr>
              <w:t>mg/L</w:t>
            </w:r>
          </w:p>
        </w:tc>
        <w:tc>
          <w:tcPr>
            <w:tcW w:w="584" w:type="pct"/>
            <w:noWrap/>
            <w:vAlign w:val="center"/>
          </w:tcPr>
          <w:p w14:paraId="14F62C05">
            <w:pPr>
              <w:spacing w:line="240" w:lineRule="exact"/>
              <w:jc w:val="center"/>
              <w:textAlignment w:val="baseline"/>
              <w:rPr>
                <w:rFonts w:hint="eastAsia" w:ascii="宋体" w:hAnsi="宋体" w:cs="宋体"/>
                <w:kern w:val="13"/>
              </w:rPr>
            </w:pPr>
            <w:r>
              <w:rPr>
                <w:rFonts w:hint="eastAsia" w:ascii="宋体" w:hAnsi="宋体" w:cs="宋体"/>
                <w:szCs w:val="21"/>
              </w:rPr>
              <w:t>0.37</w:t>
            </w:r>
          </w:p>
        </w:tc>
        <w:tc>
          <w:tcPr>
            <w:tcW w:w="468" w:type="pct"/>
            <w:noWrap/>
            <w:vAlign w:val="center"/>
          </w:tcPr>
          <w:p w14:paraId="43038ACA">
            <w:pPr>
              <w:spacing w:line="240" w:lineRule="exact"/>
              <w:jc w:val="center"/>
              <w:textAlignment w:val="baseline"/>
              <w:rPr>
                <w:rFonts w:hint="eastAsia" w:ascii="宋体" w:hAnsi="宋体" w:cs="宋体"/>
                <w:kern w:val="13"/>
              </w:rPr>
            </w:pPr>
            <w:r>
              <w:rPr>
                <w:rFonts w:hint="eastAsia" w:ascii="宋体" w:hAnsi="宋体" w:cs="宋体"/>
                <w:kern w:val="13"/>
              </w:rPr>
              <w:t>0.0185</w:t>
            </w:r>
          </w:p>
        </w:tc>
        <w:tc>
          <w:tcPr>
            <w:tcW w:w="584" w:type="pct"/>
            <w:noWrap/>
            <w:vAlign w:val="center"/>
          </w:tcPr>
          <w:p w14:paraId="79F05274">
            <w:pPr>
              <w:spacing w:line="240" w:lineRule="exact"/>
              <w:jc w:val="center"/>
              <w:textAlignment w:val="baseline"/>
              <w:rPr>
                <w:rFonts w:hint="eastAsia" w:ascii="宋体" w:hAnsi="宋体" w:cs="宋体"/>
                <w:kern w:val="13"/>
              </w:rPr>
            </w:pPr>
            <w:r>
              <w:rPr>
                <w:rFonts w:hint="eastAsia" w:ascii="宋体" w:hAnsi="宋体" w:cs="宋体"/>
                <w:szCs w:val="21"/>
              </w:rPr>
              <w:t>3.48</w:t>
            </w:r>
          </w:p>
        </w:tc>
        <w:tc>
          <w:tcPr>
            <w:tcW w:w="410" w:type="pct"/>
            <w:noWrap/>
            <w:vAlign w:val="center"/>
          </w:tcPr>
          <w:p w14:paraId="13981BA3">
            <w:pPr>
              <w:spacing w:line="240" w:lineRule="exact"/>
              <w:jc w:val="center"/>
              <w:textAlignment w:val="baseline"/>
              <w:rPr>
                <w:rFonts w:hint="eastAsia" w:ascii="宋体" w:hAnsi="宋体" w:cs="宋体"/>
                <w:kern w:val="13"/>
              </w:rPr>
            </w:pPr>
            <w:r>
              <w:rPr>
                <w:rFonts w:hint="eastAsia" w:ascii="宋体" w:hAnsi="宋体" w:cs="宋体"/>
                <w:kern w:val="13"/>
              </w:rPr>
              <w:t>0.174</w:t>
            </w:r>
          </w:p>
        </w:tc>
        <w:tc>
          <w:tcPr>
            <w:tcW w:w="584" w:type="pct"/>
            <w:noWrap/>
            <w:vAlign w:val="center"/>
          </w:tcPr>
          <w:p w14:paraId="4D68FA7B">
            <w:pPr>
              <w:spacing w:line="240" w:lineRule="exact"/>
              <w:jc w:val="center"/>
              <w:textAlignment w:val="baseline"/>
              <w:rPr>
                <w:rFonts w:hint="eastAsia" w:ascii="宋体" w:hAnsi="宋体" w:cs="宋体"/>
                <w:kern w:val="13"/>
              </w:rPr>
            </w:pPr>
            <w:r>
              <w:rPr>
                <w:rFonts w:hint="eastAsia" w:ascii="宋体" w:hAnsi="宋体" w:cs="宋体"/>
                <w:szCs w:val="21"/>
              </w:rPr>
              <w:t>0.50</w:t>
            </w:r>
          </w:p>
        </w:tc>
        <w:tc>
          <w:tcPr>
            <w:tcW w:w="410" w:type="pct"/>
            <w:noWrap/>
            <w:vAlign w:val="center"/>
          </w:tcPr>
          <w:p w14:paraId="4F5E1859">
            <w:pPr>
              <w:spacing w:line="240" w:lineRule="exact"/>
              <w:jc w:val="center"/>
              <w:textAlignment w:val="baseline"/>
              <w:rPr>
                <w:rFonts w:hint="eastAsia" w:ascii="宋体" w:hAnsi="宋体" w:cs="宋体"/>
                <w:kern w:val="13"/>
              </w:rPr>
            </w:pPr>
            <w:r>
              <w:rPr>
                <w:rFonts w:hint="eastAsia" w:ascii="宋体" w:hAnsi="宋体" w:cs="宋体"/>
                <w:kern w:val="13"/>
              </w:rPr>
              <w:t>0.025</w:t>
            </w:r>
          </w:p>
        </w:tc>
        <w:tc>
          <w:tcPr>
            <w:tcW w:w="584" w:type="pct"/>
            <w:noWrap/>
            <w:vAlign w:val="center"/>
          </w:tcPr>
          <w:p w14:paraId="67D8FC1A">
            <w:pPr>
              <w:spacing w:line="240" w:lineRule="exact"/>
              <w:jc w:val="center"/>
              <w:textAlignment w:val="baseline"/>
              <w:rPr>
                <w:rFonts w:hint="eastAsia" w:ascii="宋体" w:hAnsi="宋体" w:cs="宋体"/>
                <w:kern w:val="13"/>
              </w:rPr>
            </w:pPr>
            <w:r>
              <w:rPr>
                <w:rFonts w:hint="eastAsia" w:ascii="宋体" w:hAnsi="宋体" w:cs="宋体"/>
                <w:color w:val="000000"/>
                <w:szCs w:val="21"/>
              </w:rPr>
              <w:t>20.0</w:t>
            </w:r>
          </w:p>
        </w:tc>
      </w:tr>
      <w:tr w14:paraId="5903890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9" w:hRule="atLeast"/>
          <w:jc w:val="center"/>
        </w:trPr>
        <w:tc>
          <w:tcPr>
            <w:tcW w:w="352" w:type="pct"/>
            <w:noWrap/>
            <w:vAlign w:val="center"/>
          </w:tcPr>
          <w:p w14:paraId="2C895A57">
            <w:pPr>
              <w:spacing w:line="240" w:lineRule="exact"/>
              <w:jc w:val="center"/>
              <w:textAlignment w:val="baseline"/>
              <w:rPr>
                <w:rFonts w:hint="eastAsia" w:ascii="宋体" w:hAnsi="宋体" w:cs="宋体"/>
                <w:kern w:val="13"/>
              </w:rPr>
            </w:pPr>
            <w:r>
              <w:rPr>
                <w:rFonts w:hint="eastAsia" w:ascii="宋体" w:hAnsi="宋体" w:cs="宋体"/>
                <w:kern w:val="13"/>
              </w:rPr>
              <w:t>13</w:t>
            </w:r>
          </w:p>
        </w:tc>
        <w:tc>
          <w:tcPr>
            <w:tcW w:w="382" w:type="pct"/>
            <w:vAlign w:val="center"/>
          </w:tcPr>
          <w:p w14:paraId="2C5B7A66">
            <w:pPr>
              <w:spacing w:line="240" w:lineRule="exact"/>
              <w:jc w:val="center"/>
              <w:textAlignment w:val="baseline"/>
              <w:rPr>
                <w:rFonts w:hint="eastAsia" w:ascii="宋体" w:hAnsi="宋体" w:cs="宋体"/>
                <w:kern w:val="13"/>
              </w:rPr>
            </w:pPr>
            <w:r>
              <w:rPr>
                <w:rFonts w:hint="eastAsia" w:ascii="宋体" w:hAnsi="宋体" w:cs="宋体"/>
                <w:color w:val="000000"/>
                <w:szCs w:val="21"/>
              </w:rPr>
              <w:t>亚硝酸盐氮</w:t>
            </w:r>
          </w:p>
        </w:tc>
        <w:tc>
          <w:tcPr>
            <w:tcW w:w="642" w:type="pct"/>
            <w:noWrap/>
            <w:vAlign w:val="center"/>
          </w:tcPr>
          <w:p w14:paraId="4C7356C6">
            <w:pPr>
              <w:spacing w:line="240" w:lineRule="exact"/>
              <w:jc w:val="center"/>
              <w:textAlignment w:val="baseline"/>
              <w:rPr>
                <w:rFonts w:hint="eastAsia" w:ascii="宋体" w:hAnsi="宋体" w:cs="宋体"/>
                <w:kern w:val="13"/>
              </w:rPr>
            </w:pPr>
            <w:r>
              <w:rPr>
                <w:rFonts w:hint="eastAsia" w:ascii="宋体" w:hAnsi="宋体" w:cs="宋体"/>
                <w:color w:val="000000"/>
                <w:szCs w:val="21"/>
              </w:rPr>
              <w:t>mg/L</w:t>
            </w:r>
          </w:p>
        </w:tc>
        <w:tc>
          <w:tcPr>
            <w:tcW w:w="584" w:type="pct"/>
            <w:noWrap/>
            <w:vAlign w:val="center"/>
          </w:tcPr>
          <w:p w14:paraId="7FD4BAD9">
            <w:pPr>
              <w:spacing w:line="240" w:lineRule="exact"/>
              <w:jc w:val="center"/>
              <w:textAlignment w:val="baseline"/>
              <w:rPr>
                <w:rFonts w:hint="eastAsia" w:ascii="宋体" w:hAnsi="宋体" w:cs="宋体"/>
                <w:kern w:val="13"/>
              </w:rPr>
            </w:pPr>
            <w:r>
              <w:rPr>
                <w:rFonts w:hint="eastAsia" w:ascii="宋体" w:hAnsi="宋体" w:cs="宋体"/>
                <w:szCs w:val="21"/>
              </w:rPr>
              <w:t>0.022</w:t>
            </w:r>
          </w:p>
        </w:tc>
        <w:tc>
          <w:tcPr>
            <w:tcW w:w="468" w:type="pct"/>
            <w:noWrap/>
            <w:vAlign w:val="center"/>
          </w:tcPr>
          <w:p w14:paraId="1F111DA1">
            <w:pPr>
              <w:spacing w:line="240" w:lineRule="exact"/>
              <w:jc w:val="center"/>
              <w:textAlignment w:val="baseline"/>
              <w:rPr>
                <w:rFonts w:hint="eastAsia" w:ascii="宋体" w:hAnsi="宋体" w:cs="宋体"/>
                <w:kern w:val="13"/>
              </w:rPr>
            </w:pPr>
            <w:r>
              <w:rPr>
                <w:rFonts w:hint="eastAsia" w:ascii="宋体" w:hAnsi="宋体" w:cs="宋体"/>
                <w:kern w:val="13"/>
              </w:rPr>
              <w:t>0.022</w:t>
            </w:r>
          </w:p>
        </w:tc>
        <w:tc>
          <w:tcPr>
            <w:tcW w:w="584" w:type="pct"/>
            <w:noWrap/>
            <w:vAlign w:val="center"/>
          </w:tcPr>
          <w:p w14:paraId="6EAA7AA2">
            <w:pPr>
              <w:spacing w:line="240" w:lineRule="exact"/>
              <w:jc w:val="center"/>
              <w:textAlignment w:val="baseline"/>
              <w:rPr>
                <w:rFonts w:hint="eastAsia" w:ascii="宋体" w:hAnsi="宋体" w:cs="宋体"/>
                <w:kern w:val="13"/>
              </w:rPr>
            </w:pPr>
            <w:r>
              <w:rPr>
                <w:rFonts w:hint="eastAsia" w:ascii="宋体" w:hAnsi="宋体" w:cs="宋体"/>
                <w:szCs w:val="21"/>
              </w:rPr>
              <w:t>0.014</w:t>
            </w:r>
          </w:p>
        </w:tc>
        <w:tc>
          <w:tcPr>
            <w:tcW w:w="410" w:type="pct"/>
            <w:noWrap/>
            <w:vAlign w:val="center"/>
          </w:tcPr>
          <w:p w14:paraId="1D2F8E31">
            <w:pPr>
              <w:spacing w:line="240" w:lineRule="exact"/>
              <w:jc w:val="center"/>
              <w:textAlignment w:val="baseline"/>
              <w:rPr>
                <w:rFonts w:hint="eastAsia" w:ascii="宋体" w:hAnsi="宋体" w:cs="宋体"/>
                <w:kern w:val="13"/>
              </w:rPr>
            </w:pPr>
            <w:r>
              <w:rPr>
                <w:rFonts w:hint="eastAsia" w:ascii="宋体" w:hAnsi="宋体" w:cs="宋体"/>
                <w:kern w:val="13"/>
              </w:rPr>
              <w:t>0.014</w:t>
            </w:r>
          </w:p>
        </w:tc>
        <w:tc>
          <w:tcPr>
            <w:tcW w:w="584" w:type="pct"/>
            <w:noWrap/>
            <w:vAlign w:val="center"/>
          </w:tcPr>
          <w:p w14:paraId="446EB2A9">
            <w:pPr>
              <w:spacing w:line="240" w:lineRule="exact"/>
              <w:jc w:val="center"/>
              <w:textAlignment w:val="baseline"/>
              <w:rPr>
                <w:rFonts w:hint="eastAsia" w:ascii="宋体" w:hAnsi="宋体" w:cs="宋体"/>
                <w:kern w:val="13"/>
              </w:rPr>
            </w:pPr>
            <w:r>
              <w:rPr>
                <w:rFonts w:hint="eastAsia" w:ascii="宋体" w:hAnsi="宋体" w:cs="宋体"/>
                <w:szCs w:val="21"/>
              </w:rPr>
              <w:t>0.036</w:t>
            </w:r>
          </w:p>
        </w:tc>
        <w:tc>
          <w:tcPr>
            <w:tcW w:w="410" w:type="pct"/>
            <w:noWrap/>
            <w:vAlign w:val="center"/>
          </w:tcPr>
          <w:p w14:paraId="65C8D476">
            <w:pPr>
              <w:spacing w:line="240" w:lineRule="exact"/>
              <w:jc w:val="center"/>
              <w:textAlignment w:val="baseline"/>
              <w:rPr>
                <w:rFonts w:hint="eastAsia" w:ascii="宋体" w:hAnsi="宋体" w:cs="宋体"/>
                <w:kern w:val="13"/>
              </w:rPr>
            </w:pPr>
            <w:r>
              <w:rPr>
                <w:rFonts w:hint="eastAsia" w:ascii="宋体" w:hAnsi="宋体" w:cs="宋体"/>
                <w:kern w:val="13"/>
              </w:rPr>
              <w:t>0.036</w:t>
            </w:r>
          </w:p>
        </w:tc>
        <w:tc>
          <w:tcPr>
            <w:tcW w:w="584" w:type="pct"/>
            <w:noWrap/>
            <w:vAlign w:val="center"/>
          </w:tcPr>
          <w:p w14:paraId="648B8F40">
            <w:pPr>
              <w:spacing w:line="240" w:lineRule="exact"/>
              <w:jc w:val="center"/>
              <w:textAlignment w:val="baseline"/>
              <w:rPr>
                <w:rFonts w:hint="eastAsia" w:ascii="宋体" w:hAnsi="宋体" w:cs="宋体"/>
                <w:kern w:val="13"/>
              </w:rPr>
            </w:pPr>
            <w:r>
              <w:rPr>
                <w:rFonts w:hint="eastAsia" w:ascii="宋体" w:hAnsi="宋体" w:cs="宋体"/>
                <w:color w:val="000000"/>
                <w:szCs w:val="21"/>
              </w:rPr>
              <w:t>1.00</w:t>
            </w:r>
          </w:p>
        </w:tc>
      </w:tr>
      <w:tr w14:paraId="33D984E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9" w:hRule="atLeast"/>
          <w:jc w:val="center"/>
        </w:trPr>
        <w:tc>
          <w:tcPr>
            <w:tcW w:w="352" w:type="pct"/>
            <w:noWrap/>
            <w:vAlign w:val="center"/>
          </w:tcPr>
          <w:p w14:paraId="77ACB844">
            <w:pPr>
              <w:spacing w:line="240" w:lineRule="exact"/>
              <w:jc w:val="center"/>
              <w:textAlignment w:val="baseline"/>
              <w:rPr>
                <w:rFonts w:hint="eastAsia" w:ascii="宋体" w:hAnsi="宋体" w:cs="宋体"/>
                <w:kern w:val="13"/>
              </w:rPr>
            </w:pPr>
            <w:r>
              <w:rPr>
                <w:rFonts w:hint="eastAsia" w:ascii="宋体" w:hAnsi="宋体" w:cs="宋体"/>
                <w:kern w:val="13"/>
              </w:rPr>
              <w:t>14</w:t>
            </w:r>
          </w:p>
        </w:tc>
        <w:tc>
          <w:tcPr>
            <w:tcW w:w="382" w:type="pct"/>
            <w:vAlign w:val="center"/>
          </w:tcPr>
          <w:p w14:paraId="38260A08">
            <w:pPr>
              <w:spacing w:line="240" w:lineRule="exact"/>
              <w:jc w:val="center"/>
              <w:textAlignment w:val="baseline"/>
              <w:rPr>
                <w:rFonts w:hint="eastAsia" w:ascii="宋体" w:hAnsi="宋体" w:cs="宋体"/>
                <w:kern w:val="13"/>
              </w:rPr>
            </w:pPr>
            <w:r>
              <w:rPr>
                <w:rFonts w:hint="eastAsia" w:ascii="宋体" w:hAnsi="宋体" w:cs="宋体"/>
                <w:color w:val="000000"/>
                <w:szCs w:val="21"/>
              </w:rPr>
              <w:t>氰化物</w:t>
            </w:r>
          </w:p>
        </w:tc>
        <w:tc>
          <w:tcPr>
            <w:tcW w:w="642" w:type="pct"/>
            <w:noWrap/>
            <w:vAlign w:val="center"/>
          </w:tcPr>
          <w:p w14:paraId="265B9C2A">
            <w:pPr>
              <w:spacing w:line="240" w:lineRule="exact"/>
              <w:jc w:val="center"/>
              <w:textAlignment w:val="baseline"/>
              <w:rPr>
                <w:rFonts w:hint="eastAsia" w:ascii="宋体" w:hAnsi="宋体" w:cs="宋体"/>
                <w:kern w:val="13"/>
              </w:rPr>
            </w:pPr>
            <w:r>
              <w:rPr>
                <w:rFonts w:hint="eastAsia" w:ascii="宋体" w:hAnsi="宋体" w:cs="宋体"/>
                <w:color w:val="000000"/>
                <w:szCs w:val="21"/>
              </w:rPr>
              <w:t>mg/L</w:t>
            </w:r>
          </w:p>
        </w:tc>
        <w:tc>
          <w:tcPr>
            <w:tcW w:w="584" w:type="pct"/>
            <w:noWrap/>
            <w:vAlign w:val="center"/>
          </w:tcPr>
          <w:p w14:paraId="2382C722">
            <w:pPr>
              <w:spacing w:line="240" w:lineRule="exact"/>
              <w:jc w:val="center"/>
              <w:textAlignment w:val="baseline"/>
              <w:rPr>
                <w:rFonts w:hint="eastAsia" w:ascii="宋体" w:hAnsi="宋体" w:cs="宋体"/>
                <w:kern w:val="13"/>
              </w:rPr>
            </w:pPr>
            <w:r>
              <w:rPr>
                <w:rFonts w:hint="eastAsia" w:ascii="宋体" w:hAnsi="宋体" w:cs="宋体"/>
                <w:szCs w:val="21"/>
              </w:rPr>
              <w:t>ND</w:t>
            </w:r>
          </w:p>
        </w:tc>
        <w:tc>
          <w:tcPr>
            <w:tcW w:w="468" w:type="pct"/>
            <w:noWrap/>
            <w:vAlign w:val="center"/>
          </w:tcPr>
          <w:p w14:paraId="6B1E2EF4">
            <w:pPr>
              <w:spacing w:line="240" w:lineRule="exact"/>
              <w:jc w:val="center"/>
              <w:textAlignment w:val="baseline"/>
              <w:rPr>
                <w:rFonts w:hint="eastAsia" w:ascii="宋体" w:hAnsi="宋体" w:cs="宋体"/>
                <w:kern w:val="13"/>
              </w:rPr>
            </w:pPr>
            <w:r>
              <w:rPr>
                <w:rFonts w:hint="eastAsia" w:ascii="宋体" w:hAnsi="宋体" w:cs="宋体"/>
                <w:kern w:val="13"/>
              </w:rPr>
              <w:t>/</w:t>
            </w:r>
          </w:p>
        </w:tc>
        <w:tc>
          <w:tcPr>
            <w:tcW w:w="584" w:type="pct"/>
            <w:noWrap/>
            <w:vAlign w:val="center"/>
          </w:tcPr>
          <w:p w14:paraId="7FFC2B0A">
            <w:pPr>
              <w:spacing w:line="240" w:lineRule="exact"/>
              <w:jc w:val="center"/>
              <w:textAlignment w:val="baseline"/>
              <w:rPr>
                <w:rFonts w:hint="eastAsia" w:ascii="宋体" w:hAnsi="宋体" w:cs="宋体"/>
                <w:kern w:val="13"/>
              </w:rPr>
            </w:pPr>
            <w:r>
              <w:rPr>
                <w:rFonts w:hint="eastAsia" w:ascii="宋体" w:hAnsi="宋体" w:cs="宋体"/>
                <w:szCs w:val="21"/>
              </w:rPr>
              <w:t>ND</w:t>
            </w:r>
          </w:p>
        </w:tc>
        <w:tc>
          <w:tcPr>
            <w:tcW w:w="410" w:type="pct"/>
            <w:noWrap/>
            <w:vAlign w:val="center"/>
          </w:tcPr>
          <w:p w14:paraId="080C2E20">
            <w:pPr>
              <w:spacing w:line="240" w:lineRule="exact"/>
              <w:jc w:val="center"/>
              <w:textAlignment w:val="baseline"/>
              <w:rPr>
                <w:rFonts w:hint="eastAsia" w:ascii="宋体" w:hAnsi="宋体" w:cs="宋体"/>
                <w:kern w:val="13"/>
              </w:rPr>
            </w:pPr>
            <w:r>
              <w:rPr>
                <w:rFonts w:hint="eastAsia" w:ascii="宋体" w:hAnsi="宋体" w:cs="宋体"/>
                <w:kern w:val="13"/>
              </w:rPr>
              <w:t>/</w:t>
            </w:r>
          </w:p>
        </w:tc>
        <w:tc>
          <w:tcPr>
            <w:tcW w:w="584" w:type="pct"/>
            <w:noWrap/>
            <w:vAlign w:val="center"/>
          </w:tcPr>
          <w:p w14:paraId="56522F1B">
            <w:pPr>
              <w:spacing w:line="240" w:lineRule="exact"/>
              <w:jc w:val="center"/>
              <w:textAlignment w:val="baseline"/>
              <w:rPr>
                <w:rFonts w:hint="eastAsia" w:ascii="宋体" w:hAnsi="宋体" w:cs="宋体"/>
                <w:kern w:val="13"/>
              </w:rPr>
            </w:pPr>
            <w:r>
              <w:rPr>
                <w:rFonts w:hint="eastAsia" w:ascii="宋体" w:hAnsi="宋体" w:cs="宋体"/>
                <w:szCs w:val="21"/>
              </w:rPr>
              <w:t>ND</w:t>
            </w:r>
          </w:p>
        </w:tc>
        <w:tc>
          <w:tcPr>
            <w:tcW w:w="410" w:type="pct"/>
            <w:noWrap/>
            <w:vAlign w:val="center"/>
          </w:tcPr>
          <w:p w14:paraId="29E60277">
            <w:pPr>
              <w:spacing w:line="240" w:lineRule="exact"/>
              <w:jc w:val="center"/>
              <w:textAlignment w:val="baseline"/>
              <w:rPr>
                <w:rFonts w:hint="eastAsia" w:ascii="宋体" w:hAnsi="宋体" w:cs="宋体"/>
                <w:kern w:val="13"/>
              </w:rPr>
            </w:pPr>
            <w:r>
              <w:rPr>
                <w:rFonts w:hint="eastAsia" w:ascii="宋体" w:hAnsi="宋体" w:cs="宋体"/>
                <w:kern w:val="13"/>
              </w:rPr>
              <w:t>/</w:t>
            </w:r>
          </w:p>
        </w:tc>
        <w:tc>
          <w:tcPr>
            <w:tcW w:w="584" w:type="pct"/>
            <w:noWrap/>
            <w:vAlign w:val="center"/>
          </w:tcPr>
          <w:p w14:paraId="77F95908">
            <w:pPr>
              <w:spacing w:line="240" w:lineRule="exact"/>
              <w:jc w:val="center"/>
              <w:textAlignment w:val="baseline"/>
              <w:rPr>
                <w:rFonts w:hint="eastAsia" w:ascii="宋体" w:hAnsi="宋体" w:cs="宋体"/>
                <w:kern w:val="13"/>
              </w:rPr>
            </w:pPr>
            <w:r>
              <w:rPr>
                <w:rFonts w:hint="eastAsia" w:ascii="宋体" w:hAnsi="宋体" w:cs="宋体"/>
                <w:color w:val="000000"/>
                <w:szCs w:val="21"/>
              </w:rPr>
              <w:t>0.05</w:t>
            </w:r>
          </w:p>
        </w:tc>
      </w:tr>
      <w:tr w14:paraId="3CC46AC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352" w:type="pct"/>
            <w:noWrap/>
            <w:vAlign w:val="center"/>
          </w:tcPr>
          <w:p w14:paraId="3ACBD168">
            <w:pPr>
              <w:spacing w:line="240" w:lineRule="exact"/>
              <w:jc w:val="center"/>
              <w:textAlignment w:val="baseline"/>
              <w:rPr>
                <w:rFonts w:hint="eastAsia" w:ascii="宋体" w:hAnsi="宋体" w:cs="宋体"/>
                <w:kern w:val="13"/>
              </w:rPr>
            </w:pPr>
            <w:r>
              <w:rPr>
                <w:rFonts w:hint="eastAsia" w:ascii="宋体" w:hAnsi="宋体" w:cs="宋体"/>
                <w:kern w:val="13"/>
              </w:rPr>
              <w:t>15</w:t>
            </w:r>
          </w:p>
        </w:tc>
        <w:tc>
          <w:tcPr>
            <w:tcW w:w="382" w:type="pct"/>
            <w:vAlign w:val="center"/>
          </w:tcPr>
          <w:p w14:paraId="382D4D8F">
            <w:pPr>
              <w:spacing w:line="240" w:lineRule="exact"/>
              <w:jc w:val="center"/>
              <w:textAlignment w:val="baseline"/>
              <w:rPr>
                <w:rFonts w:hint="eastAsia" w:ascii="宋体" w:hAnsi="宋体" w:cs="宋体"/>
                <w:kern w:val="13"/>
              </w:rPr>
            </w:pPr>
            <w:r>
              <w:rPr>
                <w:rFonts w:hint="eastAsia" w:ascii="宋体" w:hAnsi="宋体" w:cs="宋体"/>
                <w:color w:val="000000"/>
                <w:szCs w:val="21"/>
              </w:rPr>
              <w:t>氟化物</w:t>
            </w:r>
          </w:p>
        </w:tc>
        <w:tc>
          <w:tcPr>
            <w:tcW w:w="642" w:type="pct"/>
            <w:noWrap/>
            <w:vAlign w:val="center"/>
          </w:tcPr>
          <w:p w14:paraId="3D054B6E">
            <w:pPr>
              <w:spacing w:line="240" w:lineRule="exact"/>
              <w:jc w:val="center"/>
              <w:textAlignment w:val="baseline"/>
              <w:rPr>
                <w:rFonts w:hint="eastAsia" w:ascii="宋体" w:hAnsi="宋体" w:cs="宋体"/>
                <w:kern w:val="13"/>
              </w:rPr>
            </w:pPr>
            <w:r>
              <w:rPr>
                <w:rFonts w:hint="eastAsia" w:ascii="宋体" w:hAnsi="宋体" w:cs="宋体"/>
                <w:color w:val="000000"/>
                <w:szCs w:val="21"/>
              </w:rPr>
              <w:t>mg/L</w:t>
            </w:r>
          </w:p>
        </w:tc>
        <w:tc>
          <w:tcPr>
            <w:tcW w:w="584" w:type="pct"/>
            <w:noWrap/>
            <w:vAlign w:val="center"/>
          </w:tcPr>
          <w:p w14:paraId="0F2B84B2">
            <w:pPr>
              <w:spacing w:line="240" w:lineRule="exact"/>
              <w:jc w:val="center"/>
              <w:textAlignment w:val="baseline"/>
              <w:rPr>
                <w:rFonts w:hint="eastAsia" w:ascii="宋体" w:hAnsi="宋体" w:cs="宋体"/>
                <w:kern w:val="13"/>
              </w:rPr>
            </w:pPr>
            <w:r>
              <w:rPr>
                <w:rFonts w:hint="eastAsia" w:ascii="宋体" w:hAnsi="宋体" w:cs="宋体"/>
                <w:szCs w:val="21"/>
              </w:rPr>
              <w:t>1.24</w:t>
            </w:r>
          </w:p>
        </w:tc>
        <w:tc>
          <w:tcPr>
            <w:tcW w:w="468" w:type="pct"/>
            <w:noWrap/>
            <w:vAlign w:val="center"/>
          </w:tcPr>
          <w:p w14:paraId="138E49F4">
            <w:pPr>
              <w:spacing w:line="240" w:lineRule="exact"/>
              <w:jc w:val="center"/>
              <w:textAlignment w:val="baseline"/>
              <w:rPr>
                <w:rFonts w:hint="eastAsia" w:ascii="宋体" w:hAnsi="宋体" w:cs="宋体"/>
                <w:kern w:val="13"/>
              </w:rPr>
            </w:pPr>
            <w:r>
              <w:rPr>
                <w:rFonts w:hint="eastAsia" w:ascii="宋体" w:hAnsi="宋体" w:cs="宋体"/>
                <w:kern w:val="13"/>
                <w:shd w:val="pct15" w:color="auto" w:fill="FFFFFF"/>
              </w:rPr>
              <w:t>1.24</w:t>
            </w:r>
          </w:p>
        </w:tc>
        <w:tc>
          <w:tcPr>
            <w:tcW w:w="584" w:type="pct"/>
            <w:noWrap/>
            <w:vAlign w:val="center"/>
          </w:tcPr>
          <w:p w14:paraId="54B7CC56">
            <w:pPr>
              <w:spacing w:line="240" w:lineRule="exact"/>
              <w:jc w:val="center"/>
              <w:textAlignment w:val="baseline"/>
              <w:rPr>
                <w:rFonts w:hint="eastAsia" w:ascii="宋体" w:hAnsi="宋体" w:cs="宋体"/>
                <w:kern w:val="13"/>
              </w:rPr>
            </w:pPr>
            <w:r>
              <w:rPr>
                <w:rFonts w:hint="eastAsia" w:ascii="宋体" w:hAnsi="宋体" w:cs="宋体"/>
                <w:szCs w:val="21"/>
              </w:rPr>
              <w:t>1.62</w:t>
            </w:r>
          </w:p>
        </w:tc>
        <w:tc>
          <w:tcPr>
            <w:tcW w:w="410" w:type="pct"/>
            <w:noWrap/>
            <w:vAlign w:val="center"/>
          </w:tcPr>
          <w:p w14:paraId="2A26F003">
            <w:pPr>
              <w:spacing w:line="240" w:lineRule="exact"/>
              <w:jc w:val="center"/>
              <w:textAlignment w:val="baseline"/>
              <w:rPr>
                <w:rFonts w:hint="eastAsia" w:ascii="宋体" w:hAnsi="宋体" w:cs="宋体"/>
                <w:kern w:val="13"/>
              </w:rPr>
            </w:pPr>
            <w:r>
              <w:rPr>
                <w:rFonts w:hint="eastAsia" w:ascii="宋体" w:hAnsi="宋体" w:cs="宋体"/>
                <w:szCs w:val="21"/>
                <w:shd w:val="pct15" w:color="auto" w:fill="FFFFFF"/>
              </w:rPr>
              <w:t>1.62</w:t>
            </w:r>
          </w:p>
        </w:tc>
        <w:tc>
          <w:tcPr>
            <w:tcW w:w="584" w:type="pct"/>
            <w:noWrap/>
            <w:vAlign w:val="center"/>
          </w:tcPr>
          <w:p w14:paraId="32D264BA">
            <w:pPr>
              <w:spacing w:line="240" w:lineRule="exact"/>
              <w:jc w:val="center"/>
              <w:textAlignment w:val="baseline"/>
              <w:rPr>
                <w:rFonts w:hint="eastAsia" w:ascii="宋体" w:hAnsi="宋体" w:cs="宋体"/>
                <w:kern w:val="13"/>
              </w:rPr>
            </w:pPr>
            <w:r>
              <w:rPr>
                <w:rFonts w:hint="eastAsia" w:ascii="宋体" w:hAnsi="宋体" w:cs="宋体"/>
                <w:szCs w:val="21"/>
              </w:rPr>
              <w:t>0.43</w:t>
            </w:r>
          </w:p>
        </w:tc>
        <w:tc>
          <w:tcPr>
            <w:tcW w:w="410" w:type="pct"/>
            <w:noWrap/>
            <w:vAlign w:val="center"/>
          </w:tcPr>
          <w:p w14:paraId="4C6F11E8">
            <w:pPr>
              <w:spacing w:line="240" w:lineRule="exact"/>
              <w:jc w:val="center"/>
              <w:textAlignment w:val="baseline"/>
              <w:rPr>
                <w:rFonts w:hint="eastAsia" w:ascii="宋体" w:hAnsi="宋体" w:cs="宋体"/>
                <w:kern w:val="13"/>
              </w:rPr>
            </w:pPr>
            <w:r>
              <w:rPr>
                <w:rFonts w:hint="eastAsia" w:ascii="宋体" w:hAnsi="宋体" w:cs="宋体"/>
                <w:szCs w:val="21"/>
              </w:rPr>
              <w:t>0.43</w:t>
            </w:r>
          </w:p>
        </w:tc>
        <w:tc>
          <w:tcPr>
            <w:tcW w:w="584" w:type="pct"/>
            <w:noWrap/>
            <w:vAlign w:val="center"/>
          </w:tcPr>
          <w:p w14:paraId="5C0EBF0E">
            <w:pPr>
              <w:spacing w:line="240" w:lineRule="exact"/>
              <w:jc w:val="center"/>
              <w:textAlignment w:val="baseline"/>
              <w:rPr>
                <w:rFonts w:hint="eastAsia" w:ascii="宋体" w:hAnsi="宋体" w:cs="宋体"/>
                <w:kern w:val="13"/>
              </w:rPr>
            </w:pPr>
            <w:r>
              <w:rPr>
                <w:rFonts w:hint="eastAsia" w:ascii="宋体" w:hAnsi="宋体" w:cs="宋体"/>
                <w:color w:val="000000"/>
                <w:szCs w:val="21"/>
              </w:rPr>
              <w:t>1.0</w:t>
            </w:r>
          </w:p>
        </w:tc>
      </w:tr>
      <w:tr w14:paraId="2E95CFF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9" w:hRule="atLeast"/>
          <w:jc w:val="center"/>
        </w:trPr>
        <w:tc>
          <w:tcPr>
            <w:tcW w:w="352" w:type="pct"/>
            <w:noWrap/>
            <w:vAlign w:val="center"/>
          </w:tcPr>
          <w:p w14:paraId="564052D1">
            <w:pPr>
              <w:spacing w:line="240" w:lineRule="exact"/>
              <w:jc w:val="center"/>
              <w:textAlignment w:val="baseline"/>
              <w:rPr>
                <w:rFonts w:hint="eastAsia" w:ascii="宋体" w:hAnsi="宋体" w:cs="宋体"/>
                <w:kern w:val="13"/>
              </w:rPr>
            </w:pPr>
            <w:r>
              <w:rPr>
                <w:rFonts w:hint="eastAsia" w:ascii="宋体" w:hAnsi="宋体" w:cs="宋体"/>
                <w:kern w:val="13"/>
              </w:rPr>
              <w:t>16</w:t>
            </w:r>
          </w:p>
        </w:tc>
        <w:tc>
          <w:tcPr>
            <w:tcW w:w="382" w:type="pct"/>
            <w:vAlign w:val="center"/>
          </w:tcPr>
          <w:p w14:paraId="7CB5FA8F">
            <w:pPr>
              <w:spacing w:line="240" w:lineRule="exact"/>
              <w:jc w:val="center"/>
              <w:textAlignment w:val="baseline"/>
              <w:rPr>
                <w:rFonts w:hint="eastAsia" w:ascii="宋体" w:hAnsi="宋体" w:cs="宋体"/>
                <w:kern w:val="13"/>
              </w:rPr>
            </w:pPr>
            <w:r>
              <w:rPr>
                <w:rFonts w:hint="eastAsia" w:ascii="宋体" w:hAnsi="宋体" w:cs="宋体"/>
                <w:color w:val="000000"/>
                <w:szCs w:val="21"/>
              </w:rPr>
              <w:t>硫化物</w:t>
            </w:r>
          </w:p>
        </w:tc>
        <w:tc>
          <w:tcPr>
            <w:tcW w:w="642" w:type="pct"/>
            <w:noWrap/>
            <w:vAlign w:val="center"/>
          </w:tcPr>
          <w:p w14:paraId="6C5A2999">
            <w:pPr>
              <w:spacing w:line="240" w:lineRule="exact"/>
              <w:jc w:val="center"/>
              <w:textAlignment w:val="baseline"/>
              <w:rPr>
                <w:rFonts w:hint="eastAsia" w:ascii="宋体" w:hAnsi="宋体" w:cs="宋体"/>
                <w:kern w:val="13"/>
              </w:rPr>
            </w:pPr>
            <w:r>
              <w:rPr>
                <w:rFonts w:hint="eastAsia" w:ascii="宋体" w:hAnsi="宋体" w:cs="宋体"/>
                <w:color w:val="000000"/>
                <w:szCs w:val="21"/>
              </w:rPr>
              <w:t>mg/L</w:t>
            </w:r>
          </w:p>
        </w:tc>
        <w:tc>
          <w:tcPr>
            <w:tcW w:w="584" w:type="pct"/>
            <w:noWrap/>
            <w:vAlign w:val="center"/>
          </w:tcPr>
          <w:p w14:paraId="59FAB0EA">
            <w:pPr>
              <w:spacing w:line="240" w:lineRule="exact"/>
              <w:jc w:val="center"/>
              <w:textAlignment w:val="baseline"/>
              <w:rPr>
                <w:rFonts w:hint="eastAsia" w:ascii="宋体" w:hAnsi="宋体" w:cs="宋体"/>
                <w:kern w:val="13"/>
                <w:szCs w:val="21"/>
              </w:rPr>
            </w:pPr>
            <w:r>
              <w:rPr>
                <w:rFonts w:hint="eastAsia" w:ascii="宋体" w:hAnsi="宋体" w:cs="宋体"/>
                <w:szCs w:val="21"/>
              </w:rPr>
              <w:t>ND</w:t>
            </w:r>
          </w:p>
        </w:tc>
        <w:tc>
          <w:tcPr>
            <w:tcW w:w="468" w:type="pct"/>
            <w:noWrap/>
            <w:vAlign w:val="center"/>
          </w:tcPr>
          <w:p w14:paraId="0161F53A">
            <w:pPr>
              <w:spacing w:line="240" w:lineRule="exact"/>
              <w:jc w:val="center"/>
              <w:textAlignment w:val="baseline"/>
              <w:rPr>
                <w:rFonts w:hint="eastAsia" w:ascii="宋体" w:hAnsi="宋体" w:cs="宋体"/>
                <w:kern w:val="13"/>
              </w:rPr>
            </w:pPr>
            <w:r>
              <w:rPr>
                <w:rFonts w:hint="eastAsia" w:ascii="宋体" w:hAnsi="宋体" w:cs="宋体"/>
                <w:kern w:val="13"/>
              </w:rPr>
              <w:t>/</w:t>
            </w:r>
          </w:p>
        </w:tc>
        <w:tc>
          <w:tcPr>
            <w:tcW w:w="584" w:type="pct"/>
            <w:noWrap/>
            <w:vAlign w:val="center"/>
          </w:tcPr>
          <w:p w14:paraId="26095AFC">
            <w:pPr>
              <w:spacing w:line="240" w:lineRule="exact"/>
              <w:jc w:val="center"/>
              <w:textAlignment w:val="baseline"/>
              <w:rPr>
                <w:rFonts w:hint="eastAsia" w:ascii="宋体" w:hAnsi="宋体" w:cs="宋体"/>
                <w:kern w:val="13"/>
                <w:szCs w:val="21"/>
              </w:rPr>
            </w:pPr>
            <w:r>
              <w:rPr>
                <w:rFonts w:hint="eastAsia" w:ascii="宋体" w:hAnsi="宋体" w:cs="宋体"/>
                <w:szCs w:val="21"/>
              </w:rPr>
              <w:t>ND</w:t>
            </w:r>
          </w:p>
        </w:tc>
        <w:tc>
          <w:tcPr>
            <w:tcW w:w="410" w:type="pct"/>
            <w:noWrap/>
            <w:vAlign w:val="center"/>
          </w:tcPr>
          <w:p w14:paraId="4FF42FC4">
            <w:pPr>
              <w:spacing w:line="240" w:lineRule="exact"/>
              <w:jc w:val="center"/>
              <w:textAlignment w:val="baseline"/>
              <w:rPr>
                <w:rFonts w:hint="eastAsia" w:ascii="宋体" w:hAnsi="宋体" w:cs="宋体"/>
                <w:kern w:val="13"/>
              </w:rPr>
            </w:pPr>
            <w:r>
              <w:rPr>
                <w:rFonts w:hint="eastAsia" w:ascii="宋体" w:hAnsi="宋体" w:cs="宋体"/>
                <w:kern w:val="13"/>
              </w:rPr>
              <w:t>/</w:t>
            </w:r>
          </w:p>
        </w:tc>
        <w:tc>
          <w:tcPr>
            <w:tcW w:w="584" w:type="pct"/>
            <w:noWrap/>
            <w:vAlign w:val="center"/>
          </w:tcPr>
          <w:p w14:paraId="65D95CB6">
            <w:pPr>
              <w:spacing w:line="240" w:lineRule="exact"/>
              <w:jc w:val="center"/>
              <w:textAlignment w:val="baseline"/>
              <w:rPr>
                <w:rFonts w:hint="eastAsia" w:ascii="宋体" w:hAnsi="宋体" w:cs="宋体"/>
                <w:kern w:val="13"/>
                <w:szCs w:val="21"/>
              </w:rPr>
            </w:pPr>
            <w:r>
              <w:rPr>
                <w:rFonts w:hint="eastAsia" w:ascii="宋体" w:hAnsi="宋体" w:cs="宋体"/>
                <w:szCs w:val="21"/>
              </w:rPr>
              <w:t>ND</w:t>
            </w:r>
          </w:p>
        </w:tc>
        <w:tc>
          <w:tcPr>
            <w:tcW w:w="410" w:type="pct"/>
            <w:noWrap/>
            <w:vAlign w:val="center"/>
          </w:tcPr>
          <w:p w14:paraId="5EC6A6DB">
            <w:pPr>
              <w:spacing w:line="240" w:lineRule="exact"/>
              <w:jc w:val="center"/>
              <w:textAlignment w:val="baseline"/>
              <w:rPr>
                <w:rFonts w:hint="eastAsia" w:ascii="宋体" w:hAnsi="宋体" w:cs="宋体"/>
                <w:kern w:val="13"/>
              </w:rPr>
            </w:pPr>
            <w:r>
              <w:rPr>
                <w:rFonts w:hint="eastAsia" w:ascii="宋体" w:hAnsi="宋体" w:cs="宋体"/>
                <w:kern w:val="13"/>
              </w:rPr>
              <w:t>/</w:t>
            </w:r>
          </w:p>
        </w:tc>
        <w:tc>
          <w:tcPr>
            <w:tcW w:w="584" w:type="pct"/>
            <w:noWrap/>
            <w:vAlign w:val="center"/>
          </w:tcPr>
          <w:p w14:paraId="05FBF940">
            <w:pPr>
              <w:spacing w:line="240" w:lineRule="exact"/>
              <w:jc w:val="center"/>
              <w:textAlignment w:val="baseline"/>
              <w:rPr>
                <w:rFonts w:hint="eastAsia" w:ascii="宋体" w:hAnsi="宋体" w:cs="宋体"/>
                <w:kern w:val="13"/>
              </w:rPr>
            </w:pPr>
            <w:r>
              <w:rPr>
                <w:rFonts w:hint="eastAsia" w:ascii="宋体" w:hAnsi="宋体" w:cs="宋体"/>
                <w:color w:val="000000"/>
                <w:szCs w:val="21"/>
              </w:rPr>
              <w:t>0.02</w:t>
            </w:r>
          </w:p>
        </w:tc>
      </w:tr>
      <w:tr w14:paraId="1F82E51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9" w:hRule="atLeast"/>
          <w:jc w:val="center"/>
        </w:trPr>
        <w:tc>
          <w:tcPr>
            <w:tcW w:w="352" w:type="pct"/>
            <w:noWrap/>
            <w:vAlign w:val="center"/>
          </w:tcPr>
          <w:p w14:paraId="4458D82E">
            <w:pPr>
              <w:spacing w:line="240" w:lineRule="exact"/>
              <w:jc w:val="center"/>
              <w:textAlignment w:val="baseline"/>
              <w:rPr>
                <w:rFonts w:hint="eastAsia" w:ascii="宋体" w:hAnsi="宋体" w:cs="宋体"/>
                <w:kern w:val="13"/>
              </w:rPr>
            </w:pPr>
            <w:r>
              <w:rPr>
                <w:rFonts w:hint="eastAsia" w:ascii="宋体" w:hAnsi="宋体" w:cs="宋体"/>
                <w:kern w:val="13"/>
              </w:rPr>
              <w:t>17</w:t>
            </w:r>
          </w:p>
        </w:tc>
        <w:tc>
          <w:tcPr>
            <w:tcW w:w="382" w:type="pct"/>
            <w:vAlign w:val="center"/>
          </w:tcPr>
          <w:p w14:paraId="1F6A2A30">
            <w:pPr>
              <w:spacing w:line="240" w:lineRule="exact"/>
              <w:jc w:val="center"/>
              <w:textAlignment w:val="baseline"/>
              <w:rPr>
                <w:rFonts w:hint="eastAsia" w:ascii="宋体" w:hAnsi="宋体" w:cs="宋体"/>
                <w:kern w:val="13"/>
              </w:rPr>
            </w:pPr>
            <w:r>
              <w:rPr>
                <w:rFonts w:hint="eastAsia" w:ascii="宋体" w:hAnsi="宋体" w:cs="宋体"/>
                <w:color w:val="000000"/>
                <w:szCs w:val="21"/>
              </w:rPr>
              <w:t>六价铬</w:t>
            </w:r>
          </w:p>
        </w:tc>
        <w:tc>
          <w:tcPr>
            <w:tcW w:w="642" w:type="pct"/>
            <w:noWrap/>
            <w:vAlign w:val="center"/>
          </w:tcPr>
          <w:p w14:paraId="46E1463C">
            <w:pPr>
              <w:spacing w:line="240" w:lineRule="exact"/>
              <w:jc w:val="center"/>
              <w:textAlignment w:val="baseline"/>
              <w:rPr>
                <w:rFonts w:hint="eastAsia" w:ascii="宋体" w:hAnsi="宋体" w:cs="宋体"/>
                <w:kern w:val="13"/>
              </w:rPr>
            </w:pPr>
            <w:r>
              <w:rPr>
                <w:rFonts w:hint="eastAsia" w:ascii="宋体" w:hAnsi="宋体" w:cs="宋体"/>
                <w:color w:val="000000"/>
                <w:szCs w:val="21"/>
              </w:rPr>
              <w:t>mg/L</w:t>
            </w:r>
          </w:p>
        </w:tc>
        <w:tc>
          <w:tcPr>
            <w:tcW w:w="584" w:type="pct"/>
            <w:noWrap/>
            <w:vAlign w:val="center"/>
          </w:tcPr>
          <w:p w14:paraId="4B503A9F">
            <w:pPr>
              <w:spacing w:line="240" w:lineRule="exact"/>
              <w:jc w:val="center"/>
              <w:textAlignment w:val="baseline"/>
              <w:rPr>
                <w:rFonts w:hint="eastAsia" w:ascii="宋体" w:hAnsi="宋体" w:cs="宋体"/>
                <w:kern w:val="13"/>
                <w:szCs w:val="21"/>
              </w:rPr>
            </w:pPr>
            <w:r>
              <w:rPr>
                <w:rFonts w:hint="eastAsia" w:ascii="宋体" w:hAnsi="宋体" w:cs="宋体"/>
                <w:szCs w:val="21"/>
              </w:rPr>
              <w:t>ND</w:t>
            </w:r>
          </w:p>
        </w:tc>
        <w:tc>
          <w:tcPr>
            <w:tcW w:w="468" w:type="pct"/>
            <w:noWrap/>
            <w:vAlign w:val="center"/>
          </w:tcPr>
          <w:p w14:paraId="5FE5C2E5">
            <w:pPr>
              <w:spacing w:line="240" w:lineRule="exact"/>
              <w:jc w:val="center"/>
              <w:textAlignment w:val="baseline"/>
              <w:rPr>
                <w:rFonts w:hint="eastAsia" w:ascii="宋体" w:hAnsi="宋体" w:cs="宋体"/>
                <w:kern w:val="13"/>
              </w:rPr>
            </w:pPr>
            <w:r>
              <w:rPr>
                <w:rFonts w:hint="eastAsia" w:ascii="宋体" w:hAnsi="宋体" w:cs="宋体"/>
                <w:kern w:val="13"/>
              </w:rPr>
              <w:t>/</w:t>
            </w:r>
          </w:p>
        </w:tc>
        <w:tc>
          <w:tcPr>
            <w:tcW w:w="584" w:type="pct"/>
            <w:noWrap/>
            <w:vAlign w:val="center"/>
          </w:tcPr>
          <w:p w14:paraId="0C72C2EE">
            <w:pPr>
              <w:spacing w:line="240" w:lineRule="exact"/>
              <w:jc w:val="center"/>
              <w:textAlignment w:val="baseline"/>
              <w:rPr>
                <w:rFonts w:hint="eastAsia" w:ascii="宋体" w:hAnsi="宋体" w:cs="宋体"/>
                <w:kern w:val="13"/>
                <w:szCs w:val="21"/>
              </w:rPr>
            </w:pPr>
            <w:r>
              <w:rPr>
                <w:rFonts w:hint="eastAsia" w:ascii="宋体" w:hAnsi="宋体" w:cs="宋体"/>
                <w:szCs w:val="21"/>
              </w:rPr>
              <w:t>ND</w:t>
            </w:r>
          </w:p>
        </w:tc>
        <w:tc>
          <w:tcPr>
            <w:tcW w:w="410" w:type="pct"/>
            <w:noWrap/>
            <w:vAlign w:val="center"/>
          </w:tcPr>
          <w:p w14:paraId="29ACE1FB">
            <w:pPr>
              <w:spacing w:line="240" w:lineRule="exact"/>
              <w:jc w:val="center"/>
              <w:textAlignment w:val="baseline"/>
              <w:rPr>
                <w:rFonts w:hint="eastAsia" w:ascii="宋体" w:hAnsi="宋体" w:cs="宋体"/>
                <w:kern w:val="13"/>
              </w:rPr>
            </w:pPr>
            <w:r>
              <w:rPr>
                <w:rFonts w:hint="eastAsia" w:ascii="宋体" w:hAnsi="宋体" w:cs="宋体"/>
                <w:kern w:val="13"/>
              </w:rPr>
              <w:t>/</w:t>
            </w:r>
          </w:p>
        </w:tc>
        <w:tc>
          <w:tcPr>
            <w:tcW w:w="584" w:type="pct"/>
            <w:noWrap/>
            <w:vAlign w:val="center"/>
          </w:tcPr>
          <w:p w14:paraId="68661287">
            <w:pPr>
              <w:spacing w:line="240" w:lineRule="exact"/>
              <w:jc w:val="center"/>
              <w:textAlignment w:val="baseline"/>
              <w:rPr>
                <w:rFonts w:hint="eastAsia" w:ascii="宋体" w:hAnsi="宋体" w:cs="宋体"/>
                <w:kern w:val="13"/>
                <w:szCs w:val="21"/>
              </w:rPr>
            </w:pPr>
            <w:r>
              <w:rPr>
                <w:rFonts w:hint="eastAsia" w:ascii="宋体" w:hAnsi="宋体" w:cs="宋体"/>
                <w:szCs w:val="21"/>
              </w:rPr>
              <w:t>ND</w:t>
            </w:r>
          </w:p>
        </w:tc>
        <w:tc>
          <w:tcPr>
            <w:tcW w:w="410" w:type="pct"/>
            <w:noWrap/>
            <w:vAlign w:val="center"/>
          </w:tcPr>
          <w:p w14:paraId="2EE1B5A9">
            <w:pPr>
              <w:spacing w:line="240" w:lineRule="exact"/>
              <w:jc w:val="center"/>
              <w:textAlignment w:val="baseline"/>
              <w:rPr>
                <w:rFonts w:hint="eastAsia" w:ascii="宋体" w:hAnsi="宋体" w:cs="宋体"/>
                <w:kern w:val="13"/>
              </w:rPr>
            </w:pPr>
            <w:r>
              <w:rPr>
                <w:rFonts w:hint="eastAsia" w:ascii="宋体" w:hAnsi="宋体" w:cs="宋体"/>
                <w:kern w:val="13"/>
              </w:rPr>
              <w:t>/</w:t>
            </w:r>
          </w:p>
        </w:tc>
        <w:tc>
          <w:tcPr>
            <w:tcW w:w="584" w:type="pct"/>
            <w:noWrap/>
            <w:vAlign w:val="center"/>
          </w:tcPr>
          <w:p w14:paraId="2402EE76">
            <w:pPr>
              <w:spacing w:line="240" w:lineRule="exact"/>
              <w:jc w:val="center"/>
              <w:textAlignment w:val="baseline"/>
              <w:rPr>
                <w:rFonts w:hint="eastAsia" w:ascii="宋体" w:hAnsi="宋体" w:cs="宋体"/>
                <w:kern w:val="13"/>
              </w:rPr>
            </w:pPr>
            <w:r>
              <w:rPr>
                <w:rFonts w:hint="eastAsia" w:ascii="宋体" w:hAnsi="宋体" w:cs="宋体"/>
                <w:color w:val="000000"/>
                <w:szCs w:val="21"/>
              </w:rPr>
              <w:t>0.05</w:t>
            </w:r>
          </w:p>
        </w:tc>
      </w:tr>
      <w:tr w14:paraId="332C397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9" w:hRule="atLeast"/>
          <w:jc w:val="center"/>
        </w:trPr>
        <w:tc>
          <w:tcPr>
            <w:tcW w:w="352" w:type="pct"/>
            <w:noWrap/>
            <w:vAlign w:val="center"/>
          </w:tcPr>
          <w:p w14:paraId="7B9B23A7">
            <w:pPr>
              <w:spacing w:line="240" w:lineRule="exact"/>
              <w:jc w:val="center"/>
              <w:textAlignment w:val="baseline"/>
              <w:rPr>
                <w:rFonts w:hint="eastAsia" w:ascii="宋体" w:hAnsi="宋体" w:cs="宋体"/>
                <w:kern w:val="13"/>
              </w:rPr>
            </w:pPr>
            <w:r>
              <w:rPr>
                <w:rFonts w:hint="eastAsia" w:ascii="宋体" w:hAnsi="宋体" w:cs="宋体"/>
                <w:kern w:val="13"/>
              </w:rPr>
              <w:t>18</w:t>
            </w:r>
          </w:p>
        </w:tc>
        <w:tc>
          <w:tcPr>
            <w:tcW w:w="382" w:type="pct"/>
            <w:vAlign w:val="center"/>
          </w:tcPr>
          <w:p w14:paraId="09B3B362">
            <w:pPr>
              <w:spacing w:line="240" w:lineRule="exact"/>
              <w:jc w:val="center"/>
              <w:textAlignment w:val="baseline"/>
              <w:rPr>
                <w:rFonts w:hint="eastAsia" w:ascii="宋体" w:hAnsi="宋体" w:cs="宋体"/>
                <w:kern w:val="13"/>
              </w:rPr>
            </w:pPr>
            <w:r>
              <w:rPr>
                <w:rFonts w:hint="eastAsia" w:ascii="宋体" w:hAnsi="宋体" w:cs="宋体"/>
                <w:color w:val="000000"/>
                <w:szCs w:val="21"/>
              </w:rPr>
              <w:t>挥发酚</w:t>
            </w:r>
          </w:p>
        </w:tc>
        <w:tc>
          <w:tcPr>
            <w:tcW w:w="642" w:type="pct"/>
            <w:noWrap/>
            <w:vAlign w:val="center"/>
          </w:tcPr>
          <w:p w14:paraId="4DF577DD">
            <w:pPr>
              <w:spacing w:line="240" w:lineRule="exact"/>
              <w:jc w:val="center"/>
              <w:textAlignment w:val="baseline"/>
              <w:rPr>
                <w:rFonts w:hint="eastAsia" w:ascii="宋体" w:hAnsi="宋体" w:cs="宋体"/>
                <w:kern w:val="13"/>
              </w:rPr>
            </w:pPr>
            <w:r>
              <w:rPr>
                <w:rFonts w:hint="eastAsia" w:ascii="宋体" w:hAnsi="宋体" w:cs="宋体"/>
                <w:color w:val="000000"/>
                <w:szCs w:val="21"/>
              </w:rPr>
              <w:t>mg/L</w:t>
            </w:r>
          </w:p>
        </w:tc>
        <w:tc>
          <w:tcPr>
            <w:tcW w:w="584" w:type="pct"/>
            <w:noWrap/>
            <w:vAlign w:val="center"/>
          </w:tcPr>
          <w:p w14:paraId="5D043B24">
            <w:pPr>
              <w:spacing w:line="240" w:lineRule="exact"/>
              <w:jc w:val="center"/>
              <w:textAlignment w:val="baseline"/>
              <w:rPr>
                <w:rFonts w:hint="eastAsia" w:ascii="宋体" w:hAnsi="宋体" w:cs="宋体"/>
                <w:kern w:val="13"/>
              </w:rPr>
            </w:pPr>
            <w:r>
              <w:rPr>
                <w:rFonts w:hint="eastAsia" w:ascii="宋体" w:hAnsi="宋体" w:cs="宋体"/>
                <w:szCs w:val="21"/>
              </w:rPr>
              <w:t>ND</w:t>
            </w:r>
          </w:p>
        </w:tc>
        <w:tc>
          <w:tcPr>
            <w:tcW w:w="468" w:type="pct"/>
            <w:noWrap/>
            <w:vAlign w:val="center"/>
          </w:tcPr>
          <w:p w14:paraId="065DB676">
            <w:pPr>
              <w:spacing w:line="240" w:lineRule="exact"/>
              <w:jc w:val="center"/>
              <w:textAlignment w:val="baseline"/>
              <w:rPr>
                <w:rFonts w:hint="eastAsia" w:ascii="宋体" w:hAnsi="宋体" w:cs="宋体"/>
                <w:kern w:val="13"/>
              </w:rPr>
            </w:pPr>
            <w:r>
              <w:rPr>
                <w:rFonts w:hint="eastAsia" w:ascii="宋体" w:hAnsi="宋体" w:cs="宋体"/>
                <w:kern w:val="13"/>
              </w:rPr>
              <w:t>/</w:t>
            </w:r>
          </w:p>
        </w:tc>
        <w:tc>
          <w:tcPr>
            <w:tcW w:w="584" w:type="pct"/>
            <w:noWrap/>
            <w:vAlign w:val="center"/>
          </w:tcPr>
          <w:p w14:paraId="542D934D">
            <w:pPr>
              <w:spacing w:line="240" w:lineRule="exact"/>
              <w:jc w:val="center"/>
              <w:textAlignment w:val="baseline"/>
              <w:rPr>
                <w:rFonts w:hint="eastAsia" w:ascii="宋体" w:hAnsi="宋体" w:cs="宋体"/>
                <w:kern w:val="13"/>
              </w:rPr>
            </w:pPr>
            <w:r>
              <w:rPr>
                <w:rFonts w:hint="eastAsia" w:ascii="宋体" w:hAnsi="宋体" w:cs="宋体"/>
                <w:szCs w:val="21"/>
              </w:rPr>
              <w:t>ND</w:t>
            </w:r>
          </w:p>
        </w:tc>
        <w:tc>
          <w:tcPr>
            <w:tcW w:w="410" w:type="pct"/>
            <w:noWrap/>
            <w:vAlign w:val="center"/>
          </w:tcPr>
          <w:p w14:paraId="7378C0EB">
            <w:pPr>
              <w:spacing w:line="240" w:lineRule="exact"/>
              <w:jc w:val="center"/>
              <w:textAlignment w:val="baseline"/>
              <w:rPr>
                <w:rFonts w:hint="eastAsia" w:ascii="宋体" w:hAnsi="宋体" w:cs="宋体"/>
                <w:kern w:val="13"/>
              </w:rPr>
            </w:pPr>
            <w:r>
              <w:rPr>
                <w:rFonts w:hint="eastAsia" w:ascii="宋体" w:hAnsi="宋体" w:cs="宋体"/>
                <w:kern w:val="13"/>
              </w:rPr>
              <w:t>/</w:t>
            </w:r>
          </w:p>
        </w:tc>
        <w:tc>
          <w:tcPr>
            <w:tcW w:w="584" w:type="pct"/>
            <w:noWrap/>
            <w:vAlign w:val="center"/>
          </w:tcPr>
          <w:p w14:paraId="7A8DF04D">
            <w:pPr>
              <w:spacing w:line="240" w:lineRule="exact"/>
              <w:jc w:val="center"/>
              <w:textAlignment w:val="baseline"/>
              <w:rPr>
                <w:rFonts w:hint="eastAsia" w:ascii="宋体" w:hAnsi="宋体" w:cs="宋体"/>
                <w:kern w:val="13"/>
              </w:rPr>
            </w:pPr>
            <w:r>
              <w:rPr>
                <w:rFonts w:hint="eastAsia" w:ascii="宋体" w:hAnsi="宋体" w:cs="宋体"/>
                <w:szCs w:val="21"/>
              </w:rPr>
              <w:t>0.0003</w:t>
            </w:r>
          </w:p>
        </w:tc>
        <w:tc>
          <w:tcPr>
            <w:tcW w:w="410" w:type="pct"/>
            <w:noWrap/>
            <w:vAlign w:val="center"/>
          </w:tcPr>
          <w:p w14:paraId="3248C0C5">
            <w:pPr>
              <w:spacing w:line="240" w:lineRule="exact"/>
              <w:jc w:val="center"/>
              <w:textAlignment w:val="baseline"/>
              <w:rPr>
                <w:rFonts w:hint="eastAsia" w:ascii="宋体" w:hAnsi="宋体" w:cs="宋体"/>
                <w:kern w:val="13"/>
              </w:rPr>
            </w:pPr>
            <w:r>
              <w:rPr>
                <w:rFonts w:hint="eastAsia" w:ascii="宋体" w:hAnsi="宋体" w:cs="宋体"/>
                <w:kern w:val="13"/>
              </w:rPr>
              <w:t>0.15</w:t>
            </w:r>
          </w:p>
        </w:tc>
        <w:tc>
          <w:tcPr>
            <w:tcW w:w="584" w:type="pct"/>
            <w:noWrap/>
            <w:vAlign w:val="center"/>
          </w:tcPr>
          <w:p w14:paraId="2C1816B7">
            <w:pPr>
              <w:spacing w:line="240" w:lineRule="exact"/>
              <w:jc w:val="center"/>
              <w:textAlignment w:val="baseline"/>
              <w:rPr>
                <w:rFonts w:hint="eastAsia" w:ascii="宋体" w:hAnsi="宋体" w:cs="宋体"/>
                <w:kern w:val="13"/>
              </w:rPr>
            </w:pPr>
            <w:r>
              <w:rPr>
                <w:rFonts w:hint="eastAsia" w:ascii="宋体" w:hAnsi="宋体" w:cs="宋体"/>
                <w:color w:val="000000"/>
                <w:szCs w:val="21"/>
              </w:rPr>
              <w:t>0.002</w:t>
            </w:r>
          </w:p>
        </w:tc>
      </w:tr>
      <w:tr w14:paraId="59BF2DF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9" w:hRule="atLeast"/>
          <w:jc w:val="center"/>
        </w:trPr>
        <w:tc>
          <w:tcPr>
            <w:tcW w:w="352" w:type="pct"/>
            <w:noWrap/>
            <w:vAlign w:val="center"/>
          </w:tcPr>
          <w:p w14:paraId="42A50237">
            <w:pPr>
              <w:spacing w:line="240" w:lineRule="exact"/>
              <w:jc w:val="center"/>
              <w:textAlignment w:val="baseline"/>
              <w:rPr>
                <w:rFonts w:hint="eastAsia" w:ascii="宋体" w:hAnsi="宋体" w:cs="宋体"/>
                <w:kern w:val="13"/>
              </w:rPr>
            </w:pPr>
            <w:r>
              <w:rPr>
                <w:rFonts w:hint="eastAsia" w:ascii="宋体" w:hAnsi="宋体" w:cs="宋体"/>
                <w:kern w:val="13"/>
              </w:rPr>
              <w:t>19</w:t>
            </w:r>
          </w:p>
        </w:tc>
        <w:tc>
          <w:tcPr>
            <w:tcW w:w="382" w:type="pct"/>
            <w:vAlign w:val="center"/>
          </w:tcPr>
          <w:p w14:paraId="4F52C11C">
            <w:pPr>
              <w:spacing w:line="240" w:lineRule="exact"/>
              <w:jc w:val="center"/>
              <w:textAlignment w:val="baseline"/>
              <w:rPr>
                <w:rFonts w:hint="eastAsia" w:ascii="宋体" w:hAnsi="宋体" w:cs="宋体"/>
                <w:kern w:val="13"/>
              </w:rPr>
            </w:pPr>
            <w:r>
              <w:rPr>
                <w:rFonts w:hint="eastAsia" w:ascii="宋体" w:hAnsi="宋体" w:cs="宋体"/>
                <w:color w:val="000000"/>
                <w:szCs w:val="21"/>
              </w:rPr>
              <w:t>硫酸盐</w:t>
            </w:r>
          </w:p>
        </w:tc>
        <w:tc>
          <w:tcPr>
            <w:tcW w:w="642" w:type="pct"/>
            <w:noWrap/>
            <w:vAlign w:val="center"/>
          </w:tcPr>
          <w:p w14:paraId="34C733CD">
            <w:pPr>
              <w:spacing w:line="240" w:lineRule="exact"/>
              <w:jc w:val="center"/>
              <w:textAlignment w:val="baseline"/>
              <w:rPr>
                <w:rFonts w:hint="eastAsia" w:ascii="宋体" w:hAnsi="宋体" w:cs="宋体"/>
                <w:kern w:val="13"/>
              </w:rPr>
            </w:pPr>
            <w:r>
              <w:rPr>
                <w:rFonts w:hint="eastAsia" w:ascii="宋体" w:hAnsi="宋体" w:cs="宋体"/>
                <w:color w:val="000000"/>
                <w:szCs w:val="21"/>
              </w:rPr>
              <w:t>mg/L</w:t>
            </w:r>
          </w:p>
        </w:tc>
        <w:tc>
          <w:tcPr>
            <w:tcW w:w="584" w:type="pct"/>
            <w:noWrap/>
            <w:vAlign w:val="center"/>
          </w:tcPr>
          <w:p w14:paraId="591B1723">
            <w:pPr>
              <w:spacing w:line="240" w:lineRule="exact"/>
              <w:jc w:val="center"/>
              <w:textAlignment w:val="baseline"/>
              <w:rPr>
                <w:rFonts w:hint="eastAsia" w:ascii="宋体" w:hAnsi="宋体" w:cs="宋体"/>
                <w:kern w:val="13"/>
                <w:szCs w:val="21"/>
              </w:rPr>
            </w:pPr>
            <w:r>
              <w:rPr>
                <w:rFonts w:hint="eastAsia" w:ascii="宋体" w:hAnsi="宋体" w:cs="宋体"/>
                <w:szCs w:val="21"/>
              </w:rPr>
              <w:t>2.01</w:t>
            </w:r>
            <w:r>
              <w:rPr>
                <w:rFonts w:ascii="Arial" w:hAnsi="Arial" w:cs="Arial"/>
                <w:szCs w:val="21"/>
              </w:rPr>
              <w:t>×</w:t>
            </w:r>
            <w:r>
              <w:rPr>
                <w:rFonts w:hint="eastAsia" w:ascii="宋体" w:hAnsi="宋体" w:cs="宋体"/>
                <w:szCs w:val="21"/>
              </w:rPr>
              <w:t>10</w:t>
            </w:r>
            <w:r>
              <w:rPr>
                <w:rFonts w:hint="eastAsia" w:ascii="宋体" w:hAnsi="宋体" w:cs="宋体"/>
                <w:szCs w:val="21"/>
                <w:vertAlign w:val="superscript"/>
              </w:rPr>
              <w:t>3</w:t>
            </w:r>
          </w:p>
        </w:tc>
        <w:tc>
          <w:tcPr>
            <w:tcW w:w="468" w:type="pct"/>
            <w:noWrap/>
            <w:vAlign w:val="center"/>
          </w:tcPr>
          <w:p w14:paraId="7F53877B">
            <w:pPr>
              <w:spacing w:line="240" w:lineRule="exact"/>
              <w:jc w:val="center"/>
              <w:textAlignment w:val="baseline"/>
              <w:rPr>
                <w:rFonts w:hint="eastAsia" w:ascii="宋体" w:hAnsi="宋体" w:cs="宋体"/>
                <w:kern w:val="13"/>
              </w:rPr>
            </w:pPr>
            <w:r>
              <w:rPr>
                <w:rFonts w:hint="eastAsia" w:ascii="宋体" w:hAnsi="宋体" w:cs="宋体"/>
                <w:kern w:val="13"/>
                <w:shd w:val="pct15" w:color="auto" w:fill="FFFFFF"/>
              </w:rPr>
              <w:t>8.04</w:t>
            </w:r>
          </w:p>
        </w:tc>
        <w:tc>
          <w:tcPr>
            <w:tcW w:w="584" w:type="pct"/>
            <w:noWrap/>
            <w:vAlign w:val="center"/>
          </w:tcPr>
          <w:p w14:paraId="42817DDB">
            <w:pPr>
              <w:spacing w:line="240" w:lineRule="exact"/>
              <w:jc w:val="center"/>
              <w:textAlignment w:val="baseline"/>
              <w:rPr>
                <w:rFonts w:hint="eastAsia" w:ascii="宋体" w:hAnsi="宋体" w:cs="宋体"/>
                <w:kern w:val="13"/>
                <w:szCs w:val="21"/>
              </w:rPr>
            </w:pPr>
            <w:r>
              <w:rPr>
                <w:rFonts w:hint="eastAsia" w:ascii="宋体" w:hAnsi="宋体" w:cs="宋体"/>
                <w:szCs w:val="21"/>
              </w:rPr>
              <w:t>2.06</w:t>
            </w:r>
            <w:r>
              <w:rPr>
                <w:rFonts w:ascii="Arial" w:hAnsi="Arial" w:cs="Arial"/>
                <w:szCs w:val="21"/>
              </w:rPr>
              <w:t>×</w:t>
            </w:r>
            <w:r>
              <w:rPr>
                <w:rFonts w:hint="eastAsia" w:ascii="宋体" w:hAnsi="宋体" w:cs="宋体"/>
                <w:szCs w:val="21"/>
              </w:rPr>
              <w:t>10</w:t>
            </w:r>
            <w:r>
              <w:rPr>
                <w:rFonts w:hint="eastAsia" w:ascii="宋体" w:hAnsi="宋体" w:cs="宋体"/>
                <w:szCs w:val="21"/>
                <w:vertAlign w:val="superscript"/>
              </w:rPr>
              <w:t>3</w:t>
            </w:r>
          </w:p>
        </w:tc>
        <w:tc>
          <w:tcPr>
            <w:tcW w:w="410" w:type="pct"/>
            <w:noWrap/>
            <w:vAlign w:val="center"/>
          </w:tcPr>
          <w:p w14:paraId="7CC62447">
            <w:pPr>
              <w:spacing w:line="240" w:lineRule="exact"/>
              <w:jc w:val="center"/>
              <w:textAlignment w:val="baseline"/>
              <w:rPr>
                <w:rFonts w:hint="eastAsia" w:ascii="宋体" w:hAnsi="宋体" w:cs="宋体"/>
                <w:kern w:val="13"/>
              </w:rPr>
            </w:pPr>
            <w:r>
              <w:rPr>
                <w:rFonts w:hint="eastAsia" w:ascii="宋体" w:hAnsi="宋体" w:cs="宋体"/>
                <w:kern w:val="13"/>
                <w:shd w:val="pct15" w:color="auto" w:fill="FFFFFF"/>
              </w:rPr>
              <w:t>8.24</w:t>
            </w:r>
          </w:p>
        </w:tc>
        <w:tc>
          <w:tcPr>
            <w:tcW w:w="584" w:type="pct"/>
            <w:noWrap/>
            <w:vAlign w:val="center"/>
          </w:tcPr>
          <w:p w14:paraId="586AC34F">
            <w:pPr>
              <w:spacing w:line="240" w:lineRule="exact"/>
              <w:jc w:val="center"/>
              <w:textAlignment w:val="baseline"/>
              <w:rPr>
                <w:rFonts w:hint="eastAsia" w:ascii="宋体" w:hAnsi="宋体" w:cs="宋体"/>
                <w:kern w:val="13"/>
                <w:szCs w:val="21"/>
              </w:rPr>
            </w:pPr>
            <w:r>
              <w:rPr>
                <w:rFonts w:hint="eastAsia" w:ascii="宋体" w:hAnsi="宋体" w:cs="宋体"/>
                <w:szCs w:val="21"/>
              </w:rPr>
              <w:t>5.62</w:t>
            </w:r>
            <w:r>
              <w:rPr>
                <w:rFonts w:ascii="Arial" w:hAnsi="Arial" w:cs="Arial"/>
                <w:szCs w:val="21"/>
              </w:rPr>
              <w:t>×</w:t>
            </w:r>
            <w:r>
              <w:rPr>
                <w:rFonts w:hint="eastAsia" w:ascii="宋体" w:hAnsi="宋体" w:cs="宋体"/>
                <w:szCs w:val="21"/>
              </w:rPr>
              <w:t>10</w:t>
            </w:r>
            <w:r>
              <w:rPr>
                <w:rFonts w:hint="eastAsia" w:ascii="宋体" w:hAnsi="宋体" w:cs="宋体"/>
                <w:szCs w:val="21"/>
                <w:vertAlign w:val="superscript"/>
              </w:rPr>
              <w:t>3</w:t>
            </w:r>
          </w:p>
        </w:tc>
        <w:tc>
          <w:tcPr>
            <w:tcW w:w="410" w:type="pct"/>
            <w:noWrap/>
            <w:vAlign w:val="center"/>
          </w:tcPr>
          <w:p w14:paraId="12D38FEF">
            <w:pPr>
              <w:spacing w:line="240" w:lineRule="exact"/>
              <w:jc w:val="center"/>
              <w:textAlignment w:val="baseline"/>
              <w:rPr>
                <w:rFonts w:hint="eastAsia" w:ascii="宋体" w:hAnsi="宋体" w:cs="宋体"/>
                <w:kern w:val="13"/>
              </w:rPr>
            </w:pPr>
            <w:r>
              <w:rPr>
                <w:rFonts w:hint="eastAsia" w:ascii="宋体" w:hAnsi="宋体" w:cs="宋体"/>
                <w:kern w:val="13"/>
                <w:shd w:val="pct15" w:color="auto" w:fill="FFFFFF"/>
              </w:rPr>
              <w:t>22.48</w:t>
            </w:r>
          </w:p>
        </w:tc>
        <w:tc>
          <w:tcPr>
            <w:tcW w:w="584" w:type="pct"/>
            <w:noWrap/>
            <w:vAlign w:val="center"/>
          </w:tcPr>
          <w:p w14:paraId="59457C52">
            <w:pPr>
              <w:spacing w:line="240" w:lineRule="exact"/>
              <w:jc w:val="center"/>
              <w:textAlignment w:val="baseline"/>
              <w:rPr>
                <w:rFonts w:hint="eastAsia" w:ascii="宋体" w:hAnsi="宋体" w:cs="宋体"/>
                <w:kern w:val="13"/>
              </w:rPr>
            </w:pPr>
            <w:r>
              <w:rPr>
                <w:rFonts w:hint="eastAsia" w:ascii="宋体" w:hAnsi="宋体" w:cs="宋体"/>
                <w:color w:val="000000"/>
                <w:szCs w:val="21"/>
              </w:rPr>
              <w:t>250</w:t>
            </w:r>
          </w:p>
        </w:tc>
      </w:tr>
      <w:tr w14:paraId="79A7DBC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9" w:hRule="atLeast"/>
          <w:jc w:val="center"/>
        </w:trPr>
        <w:tc>
          <w:tcPr>
            <w:tcW w:w="352" w:type="pct"/>
            <w:noWrap/>
            <w:vAlign w:val="center"/>
          </w:tcPr>
          <w:p w14:paraId="1653C802">
            <w:pPr>
              <w:spacing w:line="240" w:lineRule="exact"/>
              <w:jc w:val="center"/>
              <w:textAlignment w:val="baseline"/>
              <w:rPr>
                <w:rFonts w:hint="eastAsia" w:ascii="宋体" w:hAnsi="宋体" w:cs="宋体"/>
                <w:kern w:val="13"/>
              </w:rPr>
            </w:pPr>
            <w:r>
              <w:rPr>
                <w:rFonts w:hint="eastAsia" w:ascii="宋体" w:hAnsi="宋体" w:cs="宋体"/>
                <w:kern w:val="13"/>
              </w:rPr>
              <w:t>20</w:t>
            </w:r>
          </w:p>
        </w:tc>
        <w:tc>
          <w:tcPr>
            <w:tcW w:w="382" w:type="pct"/>
            <w:vAlign w:val="center"/>
          </w:tcPr>
          <w:p w14:paraId="272CB5B1">
            <w:pPr>
              <w:spacing w:line="240" w:lineRule="exact"/>
              <w:jc w:val="center"/>
              <w:textAlignment w:val="baseline"/>
              <w:rPr>
                <w:rFonts w:hint="eastAsia" w:ascii="宋体" w:hAnsi="宋体" w:cs="宋体"/>
                <w:kern w:val="13"/>
              </w:rPr>
            </w:pPr>
            <w:r>
              <w:rPr>
                <w:rFonts w:hint="eastAsia" w:ascii="宋体" w:hAnsi="宋体" w:cs="宋体"/>
                <w:color w:val="000000"/>
                <w:szCs w:val="21"/>
              </w:rPr>
              <w:t>汞</w:t>
            </w:r>
          </w:p>
        </w:tc>
        <w:tc>
          <w:tcPr>
            <w:tcW w:w="642" w:type="pct"/>
            <w:noWrap/>
            <w:vAlign w:val="center"/>
          </w:tcPr>
          <w:p w14:paraId="79430D48">
            <w:pPr>
              <w:spacing w:line="240" w:lineRule="exact"/>
              <w:jc w:val="center"/>
              <w:textAlignment w:val="baseline"/>
              <w:rPr>
                <w:rFonts w:hint="eastAsia" w:ascii="宋体" w:hAnsi="宋体" w:cs="宋体"/>
                <w:kern w:val="13"/>
              </w:rPr>
            </w:pPr>
            <w:r>
              <w:rPr>
                <w:rFonts w:hint="eastAsia" w:ascii="宋体" w:hAnsi="宋体" w:cs="宋体"/>
                <w:color w:val="000000"/>
                <w:szCs w:val="21"/>
              </w:rPr>
              <w:t>mg/L</w:t>
            </w:r>
          </w:p>
        </w:tc>
        <w:tc>
          <w:tcPr>
            <w:tcW w:w="584" w:type="pct"/>
            <w:noWrap/>
            <w:vAlign w:val="center"/>
          </w:tcPr>
          <w:p w14:paraId="1C617606">
            <w:pPr>
              <w:spacing w:line="240" w:lineRule="exact"/>
              <w:jc w:val="center"/>
              <w:textAlignment w:val="baseline"/>
              <w:rPr>
                <w:rFonts w:hint="eastAsia" w:ascii="宋体" w:hAnsi="宋体" w:cs="宋体"/>
                <w:kern w:val="13"/>
                <w:szCs w:val="21"/>
              </w:rPr>
            </w:pPr>
            <w:r>
              <w:rPr>
                <w:rFonts w:hint="eastAsia" w:ascii="宋体" w:hAnsi="宋体" w:cs="宋体"/>
                <w:szCs w:val="21"/>
              </w:rPr>
              <w:t>ND</w:t>
            </w:r>
          </w:p>
        </w:tc>
        <w:tc>
          <w:tcPr>
            <w:tcW w:w="468" w:type="pct"/>
            <w:noWrap/>
            <w:vAlign w:val="center"/>
          </w:tcPr>
          <w:p w14:paraId="61F98930">
            <w:pPr>
              <w:spacing w:line="240" w:lineRule="exact"/>
              <w:jc w:val="center"/>
              <w:textAlignment w:val="baseline"/>
              <w:rPr>
                <w:rFonts w:hint="eastAsia" w:ascii="宋体" w:hAnsi="宋体" w:cs="宋体"/>
                <w:kern w:val="13"/>
              </w:rPr>
            </w:pPr>
            <w:r>
              <w:rPr>
                <w:rFonts w:hint="eastAsia" w:ascii="宋体" w:hAnsi="宋体" w:cs="宋体"/>
                <w:kern w:val="13"/>
              </w:rPr>
              <w:t>/</w:t>
            </w:r>
          </w:p>
        </w:tc>
        <w:tc>
          <w:tcPr>
            <w:tcW w:w="584" w:type="pct"/>
            <w:noWrap/>
            <w:vAlign w:val="center"/>
          </w:tcPr>
          <w:p w14:paraId="3D10DB71">
            <w:pPr>
              <w:spacing w:line="240" w:lineRule="exact"/>
              <w:jc w:val="center"/>
              <w:textAlignment w:val="baseline"/>
              <w:rPr>
                <w:rFonts w:hint="eastAsia" w:ascii="宋体" w:hAnsi="宋体" w:cs="宋体"/>
                <w:kern w:val="13"/>
                <w:szCs w:val="21"/>
              </w:rPr>
            </w:pPr>
            <w:r>
              <w:rPr>
                <w:rFonts w:hint="eastAsia" w:ascii="宋体" w:hAnsi="宋体" w:cs="宋体"/>
                <w:szCs w:val="21"/>
              </w:rPr>
              <w:t>ND</w:t>
            </w:r>
          </w:p>
        </w:tc>
        <w:tc>
          <w:tcPr>
            <w:tcW w:w="410" w:type="pct"/>
            <w:noWrap/>
            <w:vAlign w:val="center"/>
          </w:tcPr>
          <w:p w14:paraId="4ABF5232">
            <w:pPr>
              <w:spacing w:line="240" w:lineRule="exact"/>
              <w:jc w:val="center"/>
              <w:textAlignment w:val="baseline"/>
              <w:rPr>
                <w:rFonts w:hint="eastAsia" w:ascii="宋体" w:hAnsi="宋体" w:cs="宋体"/>
                <w:kern w:val="13"/>
              </w:rPr>
            </w:pPr>
            <w:r>
              <w:rPr>
                <w:rFonts w:hint="eastAsia" w:ascii="宋体" w:hAnsi="宋体" w:cs="宋体"/>
                <w:kern w:val="13"/>
              </w:rPr>
              <w:t>/</w:t>
            </w:r>
          </w:p>
        </w:tc>
        <w:tc>
          <w:tcPr>
            <w:tcW w:w="584" w:type="pct"/>
            <w:noWrap/>
            <w:vAlign w:val="center"/>
          </w:tcPr>
          <w:p w14:paraId="28C12155">
            <w:pPr>
              <w:spacing w:line="240" w:lineRule="exact"/>
              <w:jc w:val="center"/>
              <w:textAlignment w:val="baseline"/>
              <w:rPr>
                <w:rFonts w:hint="eastAsia" w:ascii="宋体" w:hAnsi="宋体" w:cs="宋体"/>
                <w:kern w:val="13"/>
                <w:szCs w:val="21"/>
              </w:rPr>
            </w:pPr>
            <w:r>
              <w:rPr>
                <w:rFonts w:hint="eastAsia" w:ascii="宋体" w:hAnsi="宋体" w:cs="宋体"/>
                <w:szCs w:val="21"/>
              </w:rPr>
              <w:t>ND</w:t>
            </w:r>
          </w:p>
        </w:tc>
        <w:tc>
          <w:tcPr>
            <w:tcW w:w="410" w:type="pct"/>
            <w:noWrap/>
            <w:vAlign w:val="center"/>
          </w:tcPr>
          <w:p w14:paraId="14287334">
            <w:pPr>
              <w:spacing w:line="240" w:lineRule="exact"/>
              <w:jc w:val="center"/>
              <w:textAlignment w:val="baseline"/>
              <w:rPr>
                <w:rFonts w:hint="eastAsia" w:ascii="宋体" w:hAnsi="宋体" w:cs="宋体"/>
                <w:kern w:val="13"/>
              </w:rPr>
            </w:pPr>
            <w:r>
              <w:rPr>
                <w:rFonts w:hint="eastAsia" w:ascii="宋体" w:hAnsi="宋体" w:cs="宋体"/>
                <w:kern w:val="13"/>
              </w:rPr>
              <w:t>/</w:t>
            </w:r>
          </w:p>
        </w:tc>
        <w:tc>
          <w:tcPr>
            <w:tcW w:w="584" w:type="pct"/>
            <w:noWrap/>
            <w:vAlign w:val="center"/>
          </w:tcPr>
          <w:p w14:paraId="6ED843A4">
            <w:pPr>
              <w:spacing w:line="240" w:lineRule="exact"/>
              <w:jc w:val="center"/>
              <w:textAlignment w:val="baseline"/>
              <w:rPr>
                <w:rFonts w:hint="eastAsia" w:ascii="宋体" w:hAnsi="宋体" w:cs="宋体"/>
                <w:kern w:val="13"/>
              </w:rPr>
            </w:pPr>
            <w:r>
              <w:rPr>
                <w:rFonts w:hint="eastAsia" w:ascii="宋体" w:hAnsi="宋体" w:cs="宋体"/>
                <w:color w:val="000000"/>
                <w:szCs w:val="21"/>
              </w:rPr>
              <w:t>0.001</w:t>
            </w:r>
          </w:p>
        </w:tc>
      </w:tr>
      <w:tr w14:paraId="4E6535C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352" w:type="pct"/>
            <w:noWrap/>
            <w:vAlign w:val="center"/>
          </w:tcPr>
          <w:p w14:paraId="6239EE33">
            <w:pPr>
              <w:spacing w:line="240" w:lineRule="exact"/>
              <w:jc w:val="center"/>
              <w:textAlignment w:val="baseline"/>
              <w:rPr>
                <w:rFonts w:hint="eastAsia" w:ascii="宋体" w:hAnsi="宋体" w:cs="宋体"/>
                <w:kern w:val="13"/>
              </w:rPr>
            </w:pPr>
            <w:r>
              <w:rPr>
                <w:rFonts w:hint="eastAsia" w:ascii="宋体" w:hAnsi="宋体" w:cs="宋体"/>
                <w:kern w:val="13"/>
              </w:rPr>
              <w:t>21</w:t>
            </w:r>
          </w:p>
        </w:tc>
        <w:tc>
          <w:tcPr>
            <w:tcW w:w="382" w:type="pct"/>
            <w:vAlign w:val="center"/>
          </w:tcPr>
          <w:p w14:paraId="63740719">
            <w:pPr>
              <w:spacing w:line="240" w:lineRule="exact"/>
              <w:jc w:val="center"/>
              <w:textAlignment w:val="baseline"/>
              <w:rPr>
                <w:rFonts w:hint="eastAsia" w:ascii="宋体" w:hAnsi="宋体" w:cs="宋体"/>
                <w:color w:val="000000"/>
                <w:szCs w:val="21"/>
              </w:rPr>
            </w:pPr>
            <w:r>
              <w:rPr>
                <w:rFonts w:hint="eastAsia" w:ascii="宋体" w:hAnsi="宋体" w:cs="宋体"/>
                <w:color w:val="000000"/>
                <w:szCs w:val="21"/>
              </w:rPr>
              <w:t>砷</w:t>
            </w:r>
          </w:p>
        </w:tc>
        <w:tc>
          <w:tcPr>
            <w:tcW w:w="642" w:type="pct"/>
            <w:noWrap/>
            <w:vAlign w:val="center"/>
          </w:tcPr>
          <w:p w14:paraId="75412B7C">
            <w:pPr>
              <w:spacing w:line="240" w:lineRule="exact"/>
              <w:jc w:val="center"/>
              <w:textAlignment w:val="baseline"/>
              <w:rPr>
                <w:rFonts w:hint="eastAsia" w:ascii="宋体" w:hAnsi="宋体" w:cs="宋体"/>
                <w:color w:val="000000"/>
                <w:szCs w:val="21"/>
              </w:rPr>
            </w:pPr>
            <w:r>
              <w:rPr>
                <w:rFonts w:hint="eastAsia" w:ascii="宋体" w:hAnsi="宋体" w:cs="宋体"/>
                <w:color w:val="000000"/>
                <w:szCs w:val="21"/>
              </w:rPr>
              <w:t>mg/L</w:t>
            </w:r>
          </w:p>
        </w:tc>
        <w:tc>
          <w:tcPr>
            <w:tcW w:w="584" w:type="pct"/>
            <w:noWrap/>
            <w:vAlign w:val="center"/>
          </w:tcPr>
          <w:p w14:paraId="602E3958">
            <w:pPr>
              <w:spacing w:line="240" w:lineRule="exact"/>
              <w:jc w:val="center"/>
              <w:textAlignment w:val="baseline"/>
              <w:rPr>
                <w:rFonts w:hint="eastAsia" w:ascii="宋体" w:hAnsi="宋体" w:cs="宋体"/>
                <w:szCs w:val="21"/>
              </w:rPr>
            </w:pPr>
            <w:r>
              <w:rPr>
                <w:rFonts w:hint="eastAsia" w:ascii="宋体" w:hAnsi="宋体" w:cs="宋体"/>
                <w:szCs w:val="21"/>
              </w:rPr>
              <w:t>0.0004</w:t>
            </w:r>
          </w:p>
        </w:tc>
        <w:tc>
          <w:tcPr>
            <w:tcW w:w="468" w:type="pct"/>
            <w:noWrap/>
            <w:vAlign w:val="center"/>
          </w:tcPr>
          <w:p w14:paraId="685AC433">
            <w:pPr>
              <w:spacing w:line="240" w:lineRule="exact"/>
              <w:jc w:val="center"/>
              <w:textAlignment w:val="baseline"/>
              <w:rPr>
                <w:rFonts w:hint="eastAsia" w:ascii="宋体" w:hAnsi="宋体" w:cs="宋体"/>
                <w:kern w:val="13"/>
              </w:rPr>
            </w:pPr>
            <w:r>
              <w:rPr>
                <w:rFonts w:hint="eastAsia" w:ascii="宋体" w:hAnsi="宋体" w:cs="宋体"/>
                <w:kern w:val="13"/>
              </w:rPr>
              <w:t>0.04</w:t>
            </w:r>
          </w:p>
        </w:tc>
        <w:tc>
          <w:tcPr>
            <w:tcW w:w="584" w:type="pct"/>
            <w:noWrap/>
            <w:vAlign w:val="center"/>
          </w:tcPr>
          <w:p w14:paraId="7D25D38E">
            <w:pPr>
              <w:spacing w:line="240" w:lineRule="exact"/>
              <w:jc w:val="center"/>
              <w:textAlignment w:val="baseline"/>
              <w:rPr>
                <w:rFonts w:hint="eastAsia" w:ascii="宋体" w:hAnsi="宋体" w:cs="宋体"/>
                <w:szCs w:val="21"/>
              </w:rPr>
            </w:pPr>
            <w:r>
              <w:rPr>
                <w:rFonts w:hint="eastAsia" w:ascii="宋体" w:hAnsi="宋体" w:cs="宋体"/>
                <w:szCs w:val="21"/>
              </w:rPr>
              <w:t>0.0005</w:t>
            </w:r>
          </w:p>
        </w:tc>
        <w:tc>
          <w:tcPr>
            <w:tcW w:w="410" w:type="pct"/>
            <w:noWrap/>
            <w:vAlign w:val="center"/>
          </w:tcPr>
          <w:p w14:paraId="2F31F888">
            <w:pPr>
              <w:spacing w:line="240" w:lineRule="exact"/>
              <w:jc w:val="center"/>
              <w:textAlignment w:val="baseline"/>
              <w:rPr>
                <w:rFonts w:hint="eastAsia" w:ascii="宋体" w:hAnsi="宋体" w:cs="宋体"/>
                <w:kern w:val="13"/>
              </w:rPr>
            </w:pPr>
            <w:r>
              <w:rPr>
                <w:rFonts w:hint="eastAsia" w:ascii="宋体" w:hAnsi="宋体" w:cs="宋体"/>
                <w:kern w:val="13"/>
              </w:rPr>
              <w:t>0.05</w:t>
            </w:r>
          </w:p>
        </w:tc>
        <w:tc>
          <w:tcPr>
            <w:tcW w:w="584" w:type="pct"/>
            <w:noWrap/>
            <w:vAlign w:val="center"/>
          </w:tcPr>
          <w:p w14:paraId="2B183C52">
            <w:pPr>
              <w:spacing w:line="240" w:lineRule="exact"/>
              <w:jc w:val="center"/>
              <w:textAlignment w:val="baseline"/>
              <w:rPr>
                <w:rFonts w:hint="eastAsia" w:ascii="宋体" w:hAnsi="宋体" w:cs="宋体"/>
                <w:szCs w:val="21"/>
              </w:rPr>
            </w:pPr>
            <w:r>
              <w:rPr>
                <w:rFonts w:hint="eastAsia" w:ascii="宋体" w:hAnsi="宋体" w:cs="宋体"/>
                <w:szCs w:val="21"/>
              </w:rPr>
              <w:t>0.0005</w:t>
            </w:r>
          </w:p>
        </w:tc>
        <w:tc>
          <w:tcPr>
            <w:tcW w:w="410" w:type="pct"/>
            <w:noWrap/>
            <w:vAlign w:val="center"/>
          </w:tcPr>
          <w:p w14:paraId="5BCED122">
            <w:pPr>
              <w:spacing w:line="240" w:lineRule="exact"/>
              <w:jc w:val="center"/>
              <w:textAlignment w:val="baseline"/>
              <w:rPr>
                <w:rFonts w:hint="eastAsia" w:ascii="宋体" w:hAnsi="宋体" w:cs="宋体"/>
                <w:kern w:val="13"/>
              </w:rPr>
            </w:pPr>
            <w:r>
              <w:rPr>
                <w:rFonts w:hint="eastAsia" w:ascii="宋体" w:hAnsi="宋体" w:cs="宋体"/>
                <w:kern w:val="13"/>
              </w:rPr>
              <w:t>0.05</w:t>
            </w:r>
          </w:p>
        </w:tc>
        <w:tc>
          <w:tcPr>
            <w:tcW w:w="584" w:type="pct"/>
            <w:noWrap/>
            <w:vAlign w:val="center"/>
          </w:tcPr>
          <w:p w14:paraId="2839D9CC">
            <w:pPr>
              <w:spacing w:line="240" w:lineRule="exact"/>
              <w:jc w:val="center"/>
              <w:textAlignment w:val="baseline"/>
              <w:rPr>
                <w:rFonts w:hint="eastAsia" w:ascii="宋体" w:hAnsi="宋体" w:cs="宋体"/>
                <w:color w:val="000000"/>
                <w:szCs w:val="21"/>
              </w:rPr>
            </w:pPr>
            <w:r>
              <w:rPr>
                <w:rFonts w:hint="eastAsia" w:ascii="宋体" w:hAnsi="宋体" w:cs="宋体"/>
                <w:color w:val="000000"/>
                <w:szCs w:val="21"/>
              </w:rPr>
              <w:t>0.01</w:t>
            </w:r>
          </w:p>
        </w:tc>
      </w:tr>
      <w:tr w14:paraId="214FEFA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352" w:type="pct"/>
            <w:noWrap/>
            <w:vAlign w:val="center"/>
          </w:tcPr>
          <w:p w14:paraId="673D4DA6">
            <w:pPr>
              <w:spacing w:line="240" w:lineRule="exact"/>
              <w:jc w:val="center"/>
              <w:textAlignment w:val="baseline"/>
              <w:rPr>
                <w:rFonts w:hint="eastAsia" w:ascii="宋体" w:hAnsi="宋体" w:cs="宋体"/>
                <w:kern w:val="13"/>
              </w:rPr>
            </w:pPr>
            <w:r>
              <w:rPr>
                <w:rFonts w:hint="eastAsia" w:ascii="宋体" w:hAnsi="宋体" w:cs="宋体"/>
                <w:kern w:val="13"/>
              </w:rPr>
              <w:t>22</w:t>
            </w:r>
          </w:p>
        </w:tc>
        <w:tc>
          <w:tcPr>
            <w:tcW w:w="382" w:type="pct"/>
            <w:vAlign w:val="center"/>
          </w:tcPr>
          <w:p w14:paraId="35D8C0DB">
            <w:pPr>
              <w:spacing w:line="240" w:lineRule="exact"/>
              <w:jc w:val="center"/>
              <w:textAlignment w:val="baseline"/>
              <w:rPr>
                <w:rFonts w:hint="eastAsia" w:ascii="宋体" w:hAnsi="宋体" w:cs="宋体"/>
                <w:kern w:val="13"/>
              </w:rPr>
            </w:pPr>
            <w:r>
              <w:rPr>
                <w:rFonts w:hint="eastAsia" w:ascii="宋体" w:hAnsi="宋体" w:cs="宋体"/>
                <w:color w:val="000000"/>
                <w:szCs w:val="21"/>
              </w:rPr>
              <w:t>铜</w:t>
            </w:r>
          </w:p>
        </w:tc>
        <w:tc>
          <w:tcPr>
            <w:tcW w:w="642" w:type="pct"/>
            <w:noWrap/>
            <w:vAlign w:val="center"/>
          </w:tcPr>
          <w:p w14:paraId="576B6C72">
            <w:pPr>
              <w:spacing w:line="240" w:lineRule="exact"/>
              <w:jc w:val="center"/>
              <w:textAlignment w:val="baseline"/>
              <w:rPr>
                <w:rFonts w:hint="eastAsia" w:ascii="宋体" w:hAnsi="宋体" w:cs="宋体"/>
                <w:kern w:val="13"/>
              </w:rPr>
            </w:pPr>
            <w:r>
              <w:rPr>
                <w:rFonts w:hint="eastAsia" w:ascii="宋体" w:hAnsi="宋体" w:cs="宋体"/>
                <w:color w:val="000000"/>
                <w:szCs w:val="21"/>
              </w:rPr>
              <w:t>mg/L</w:t>
            </w:r>
          </w:p>
        </w:tc>
        <w:tc>
          <w:tcPr>
            <w:tcW w:w="584" w:type="pct"/>
            <w:noWrap/>
            <w:vAlign w:val="center"/>
          </w:tcPr>
          <w:p w14:paraId="4F2C37EA">
            <w:pPr>
              <w:spacing w:line="240" w:lineRule="exact"/>
              <w:jc w:val="center"/>
              <w:textAlignment w:val="baseline"/>
              <w:rPr>
                <w:rFonts w:hint="eastAsia" w:ascii="宋体" w:hAnsi="宋体" w:cs="宋体"/>
                <w:kern w:val="13"/>
              </w:rPr>
            </w:pPr>
            <w:r>
              <w:rPr>
                <w:rFonts w:hint="eastAsia" w:ascii="宋体" w:hAnsi="宋体" w:cs="宋体"/>
                <w:szCs w:val="21"/>
              </w:rPr>
              <w:t>ND</w:t>
            </w:r>
          </w:p>
        </w:tc>
        <w:tc>
          <w:tcPr>
            <w:tcW w:w="468" w:type="pct"/>
            <w:noWrap/>
            <w:vAlign w:val="center"/>
          </w:tcPr>
          <w:p w14:paraId="6E69F86D">
            <w:pPr>
              <w:spacing w:line="240" w:lineRule="exact"/>
              <w:jc w:val="center"/>
              <w:textAlignment w:val="baseline"/>
              <w:rPr>
                <w:rFonts w:hint="eastAsia" w:ascii="宋体" w:hAnsi="宋体" w:cs="宋体"/>
                <w:kern w:val="13"/>
              </w:rPr>
            </w:pPr>
            <w:r>
              <w:rPr>
                <w:rFonts w:hint="eastAsia" w:ascii="宋体" w:hAnsi="宋体" w:cs="宋体"/>
                <w:kern w:val="13"/>
              </w:rPr>
              <w:t>/</w:t>
            </w:r>
          </w:p>
        </w:tc>
        <w:tc>
          <w:tcPr>
            <w:tcW w:w="584" w:type="pct"/>
            <w:noWrap/>
            <w:vAlign w:val="center"/>
          </w:tcPr>
          <w:p w14:paraId="726C676E">
            <w:pPr>
              <w:spacing w:line="240" w:lineRule="exact"/>
              <w:jc w:val="center"/>
              <w:textAlignment w:val="baseline"/>
              <w:rPr>
                <w:rFonts w:hint="eastAsia" w:ascii="宋体" w:hAnsi="宋体" w:cs="宋体"/>
                <w:kern w:val="13"/>
              </w:rPr>
            </w:pPr>
            <w:r>
              <w:rPr>
                <w:rFonts w:hint="eastAsia" w:ascii="宋体" w:hAnsi="宋体" w:cs="宋体"/>
                <w:szCs w:val="21"/>
              </w:rPr>
              <w:t>ND</w:t>
            </w:r>
          </w:p>
        </w:tc>
        <w:tc>
          <w:tcPr>
            <w:tcW w:w="410" w:type="pct"/>
            <w:noWrap/>
            <w:vAlign w:val="center"/>
          </w:tcPr>
          <w:p w14:paraId="43C8CE4A">
            <w:pPr>
              <w:spacing w:line="360" w:lineRule="exact"/>
              <w:jc w:val="center"/>
              <w:textAlignment w:val="baseline"/>
              <w:rPr>
                <w:rFonts w:hint="eastAsia" w:ascii="宋体" w:hAnsi="宋体" w:cs="宋体"/>
                <w:kern w:val="13"/>
              </w:rPr>
            </w:pPr>
            <w:r>
              <w:rPr>
                <w:rFonts w:hint="eastAsia" w:ascii="宋体" w:hAnsi="宋体" w:cs="宋体"/>
                <w:kern w:val="13"/>
              </w:rPr>
              <w:t>/</w:t>
            </w:r>
          </w:p>
        </w:tc>
        <w:tc>
          <w:tcPr>
            <w:tcW w:w="584" w:type="pct"/>
            <w:noWrap/>
            <w:vAlign w:val="center"/>
          </w:tcPr>
          <w:p w14:paraId="099EB2F2">
            <w:pPr>
              <w:spacing w:line="240" w:lineRule="exact"/>
              <w:jc w:val="center"/>
              <w:textAlignment w:val="baseline"/>
              <w:rPr>
                <w:rFonts w:hint="eastAsia" w:ascii="宋体" w:hAnsi="宋体" w:cs="宋体"/>
                <w:kern w:val="13"/>
              </w:rPr>
            </w:pPr>
            <w:r>
              <w:rPr>
                <w:rFonts w:hint="eastAsia" w:ascii="宋体" w:hAnsi="宋体" w:cs="宋体"/>
                <w:szCs w:val="21"/>
              </w:rPr>
              <w:t>ND</w:t>
            </w:r>
          </w:p>
        </w:tc>
        <w:tc>
          <w:tcPr>
            <w:tcW w:w="410" w:type="pct"/>
            <w:noWrap/>
            <w:vAlign w:val="center"/>
          </w:tcPr>
          <w:p w14:paraId="28439B06">
            <w:pPr>
              <w:spacing w:line="360" w:lineRule="exact"/>
              <w:jc w:val="center"/>
              <w:textAlignment w:val="baseline"/>
              <w:rPr>
                <w:rFonts w:hint="eastAsia" w:ascii="宋体" w:hAnsi="宋体" w:cs="宋体"/>
                <w:kern w:val="13"/>
              </w:rPr>
            </w:pPr>
            <w:r>
              <w:rPr>
                <w:rFonts w:hint="eastAsia" w:ascii="宋体" w:hAnsi="宋体" w:cs="宋体"/>
                <w:kern w:val="13"/>
              </w:rPr>
              <w:t>/</w:t>
            </w:r>
          </w:p>
        </w:tc>
        <w:tc>
          <w:tcPr>
            <w:tcW w:w="584" w:type="pct"/>
            <w:noWrap/>
            <w:vAlign w:val="center"/>
          </w:tcPr>
          <w:p w14:paraId="449EF5FE">
            <w:pPr>
              <w:spacing w:line="240" w:lineRule="exact"/>
              <w:jc w:val="center"/>
              <w:textAlignment w:val="baseline"/>
              <w:rPr>
                <w:rFonts w:hint="eastAsia" w:ascii="宋体" w:hAnsi="宋体" w:cs="宋体"/>
                <w:kern w:val="13"/>
                <w:szCs w:val="21"/>
              </w:rPr>
            </w:pPr>
            <w:r>
              <w:rPr>
                <w:rFonts w:hint="eastAsia" w:ascii="宋体" w:hAnsi="宋体" w:cs="宋体"/>
                <w:color w:val="000000"/>
                <w:szCs w:val="21"/>
              </w:rPr>
              <w:t>1.00</w:t>
            </w:r>
          </w:p>
        </w:tc>
      </w:tr>
      <w:tr w14:paraId="6C0B161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9" w:hRule="atLeast"/>
          <w:jc w:val="center"/>
        </w:trPr>
        <w:tc>
          <w:tcPr>
            <w:tcW w:w="352" w:type="pct"/>
            <w:noWrap/>
            <w:vAlign w:val="center"/>
          </w:tcPr>
          <w:p w14:paraId="12AAE152">
            <w:pPr>
              <w:spacing w:line="240" w:lineRule="exact"/>
              <w:jc w:val="center"/>
              <w:textAlignment w:val="baseline"/>
              <w:rPr>
                <w:rFonts w:hint="eastAsia" w:ascii="宋体" w:hAnsi="宋体" w:cs="宋体"/>
                <w:kern w:val="13"/>
              </w:rPr>
            </w:pPr>
            <w:r>
              <w:rPr>
                <w:rFonts w:hint="eastAsia" w:ascii="宋体" w:hAnsi="宋体" w:cs="宋体"/>
                <w:kern w:val="13"/>
              </w:rPr>
              <w:t>23</w:t>
            </w:r>
          </w:p>
        </w:tc>
        <w:tc>
          <w:tcPr>
            <w:tcW w:w="382" w:type="pct"/>
            <w:vAlign w:val="center"/>
          </w:tcPr>
          <w:p w14:paraId="4092CAF9">
            <w:pPr>
              <w:spacing w:line="240" w:lineRule="exact"/>
              <w:jc w:val="center"/>
              <w:textAlignment w:val="baseline"/>
              <w:rPr>
                <w:rFonts w:hint="eastAsia" w:ascii="宋体" w:hAnsi="宋体" w:cs="宋体"/>
                <w:kern w:val="13"/>
              </w:rPr>
            </w:pPr>
            <w:r>
              <w:rPr>
                <w:rFonts w:hint="eastAsia" w:ascii="宋体" w:hAnsi="宋体" w:cs="宋体"/>
                <w:color w:val="000000"/>
                <w:szCs w:val="21"/>
              </w:rPr>
              <w:t>锌</w:t>
            </w:r>
          </w:p>
        </w:tc>
        <w:tc>
          <w:tcPr>
            <w:tcW w:w="642" w:type="pct"/>
            <w:noWrap/>
            <w:vAlign w:val="center"/>
          </w:tcPr>
          <w:p w14:paraId="5A819789">
            <w:pPr>
              <w:spacing w:line="240" w:lineRule="exact"/>
              <w:jc w:val="center"/>
              <w:textAlignment w:val="baseline"/>
              <w:rPr>
                <w:rFonts w:hint="eastAsia" w:ascii="宋体" w:hAnsi="宋体" w:cs="宋体"/>
                <w:kern w:val="13"/>
              </w:rPr>
            </w:pPr>
            <w:r>
              <w:rPr>
                <w:rFonts w:hint="eastAsia" w:ascii="宋体" w:hAnsi="宋体" w:cs="宋体"/>
                <w:color w:val="000000"/>
                <w:szCs w:val="21"/>
              </w:rPr>
              <w:t>mg/L</w:t>
            </w:r>
          </w:p>
        </w:tc>
        <w:tc>
          <w:tcPr>
            <w:tcW w:w="584" w:type="pct"/>
            <w:noWrap/>
            <w:vAlign w:val="center"/>
          </w:tcPr>
          <w:p w14:paraId="389F3DE2">
            <w:pPr>
              <w:spacing w:line="240" w:lineRule="exact"/>
              <w:jc w:val="center"/>
              <w:textAlignment w:val="baseline"/>
              <w:rPr>
                <w:rFonts w:hint="eastAsia" w:ascii="宋体" w:hAnsi="宋体" w:cs="宋体"/>
                <w:kern w:val="13"/>
              </w:rPr>
            </w:pPr>
            <w:r>
              <w:rPr>
                <w:rFonts w:hint="eastAsia" w:ascii="宋体" w:hAnsi="宋体" w:cs="宋体"/>
                <w:szCs w:val="21"/>
              </w:rPr>
              <w:t>ND</w:t>
            </w:r>
          </w:p>
        </w:tc>
        <w:tc>
          <w:tcPr>
            <w:tcW w:w="468" w:type="pct"/>
            <w:noWrap/>
            <w:vAlign w:val="center"/>
          </w:tcPr>
          <w:p w14:paraId="5015DC25">
            <w:pPr>
              <w:spacing w:line="240" w:lineRule="exact"/>
              <w:jc w:val="center"/>
              <w:textAlignment w:val="baseline"/>
              <w:rPr>
                <w:rFonts w:hint="eastAsia" w:ascii="宋体" w:hAnsi="宋体" w:cs="宋体"/>
                <w:b/>
                <w:kern w:val="13"/>
              </w:rPr>
            </w:pPr>
            <w:r>
              <w:rPr>
                <w:rFonts w:hint="eastAsia" w:ascii="宋体" w:hAnsi="宋体" w:cs="宋体"/>
                <w:b/>
                <w:kern w:val="13"/>
              </w:rPr>
              <w:t>/</w:t>
            </w:r>
          </w:p>
        </w:tc>
        <w:tc>
          <w:tcPr>
            <w:tcW w:w="584" w:type="pct"/>
            <w:noWrap/>
            <w:vAlign w:val="center"/>
          </w:tcPr>
          <w:p w14:paraId="71AB577F">
            <w:pPr>
              <w:spacing w:line="240" w:lineRule="exact"/>
              <w:jc w:val="center"/>
              <w:textAlignment w:val="baseline"/>
              <w:rPr>
                <w:rFonts w:hint="eastAsia" w:ascii="宋体" w:hAnsi="宋体" w:cs="宋体"/>
                <w:kern w:val="13"/>
              </w:rPr>
            </w:pPr>
            <w:r>
              <w:rPr>
                <w:rFonts w:hint="eastAsia" w:ascii="宋体" w:hAnsi="宋体" w:cs="宋体"/>
                <w:szCs w:val="21"/>
              </w:rPr>
              <w:t>ND</w:t>
            </w:r>
          </w:p>
        </w:tc>
        <w:tc>
          <w:tcPr>
            <w:tcW w:w="410" w:type="pct"/>
            <w:noWrap/>
            <w:vAlign w:val="center"/>
          </w:tcPr>
          <w:p w14:paraId="55489E18">
            <w:pPr>
              <w:spacing w:line="360" w:lineRule="exact"/>
              <w:jc w:val="center"/>
              <w:textAlignment w:val="baseline"/>
              <w:rPr>
                <w:rFonts w:hint="eastAsia" w:ascii="宋体" w:hAnsi="宋体" w:cs="宋体"/>
                <w:kern w:val="13"/>
              </w:rPr>
            </w:pPr>
            <w:r>
              <w:rPr>
                <w:rFonts w:hint="eastAsia" w:ascii="宋体" w:hAnsi="宋体" w:cs="宋体"/>
                <w:kern w:val="13"/>
              </w:rPr>
              <w:t>/</w:t>
            </w:r>
          </w:p>
        </w:tc>
        <w:tc>
          <w:tcPr>
            <w:tcW w:w="584" w:type="pct"/>
            <w:noWrap/>
            <w:vAlign w:val="center"/>
          </w:tcPr>
          <w:p w14:paraId="5DE5DB67">
            <w:pPr>
              <w:spacing w:line="240" w:lineRule="exact"/>
              <w:jc w:val="center"/>
              <w:textAlignment w:val="baseline"/>
              <w:rPr>
                <w:rFonts w:hint="eastAsia" w:ascii="宋体" w:hAnsi="宋体" w:cs="宋体"/>
                <w:kern w:val="13"/>
              </w:rPr>
            </w:pPr>
            <w:r>
              <w:rPr>
                <w:rFonts w:hint="eastAsia" w:ascii="宋体" w:hAnsi="宋体" w:cs="宋体"/>
                <w:szCs w:val="21"/>
              </w:rPr>
              <w:t>ND</w:t>
            </w:r>
          </w:p>
        </w:tc>
        <w:tc>
          <w:tcPr>
            <w:tcW w:w="410" w:type="pct"/>
            <w:noWrap/>
            <w:vAlign w:val="center"/>
          </w:tcPr>
          <w:p w14:paraId="561EF2B5">
            <w:pPr>
              <w:spacing w:line="360" w:lineRule="exact"/>
              <w:jc w:val="center"/>
              <w:textAlignment w:val="baseline"/>
              <w:rPr>
                <w:rFonts w:hint="eastAsia" w:ascii="宋体" w:hAnsi="宋体" w:cs="宋体"/>
                <w:b/>
                <w:kern w:val="13"/>
              </w:rPr>
            </w:pPr>
            <w:r>
              <w:rPr>
                <w:rFonts w:hint="eastAsia" w:ascii="宋体" w:hAnsi="宋体" w:cs="宋体"/>
                <w:b/>
                <w:kern w:val="13"/>
              </w:rPr>
              <w:t>/</w:t>
            </w:r>
          </w:p>
        </w:tc>
        <w:tc>
          <w:tcPr>
            <w:tcW w:w="584" w:type="pct"/>
            <w:noWrap/>
            <w:vAlign w:val="center"/>
          </w:tcPr>
          <w:p w14:paraId="7C51DFFE">
            <w:pPr>
              <w:spacing w:line="240" w:lineRule="exact"/>
              <w:jc w:val="center"/>
              <w:textAlignment w:val="baseline"/>
              <w:rPr>
                <w:rFonts w:hint="eastAsia" w:ascii="宋体" w:hAnsi="宋体" w:cs="宋体"/>
                <w:kern w:val="13"/>
              </w:rPr>
            </w:pPr>
            <w:r>
              <w:rPr>
                <w:rFonts w:hint="eastAsia" w:ascii="宋体" w:hAnsi="宋体" w:cs="宋体"/>
                <w:color w:val="000000"/>
                <w:szCs w:val="21"/>
              </w:rPr>
              <w:t>1.00</w:t>
            </w:r>
          </w:p>
        </w:tc>
      </w:tr>
      <w:tr w14:paraId="55721FC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352" w:type="pct"/>
            <w:noWrap/>
            <w:vAlign w:val="center"/>
          </w:tcPr>
          <w:p w14:paraId="005B9C9F">
            <w:pPr>
              <w:spacing w:line="240" w:lineRule="exact"/>
              <w:jc w:val="center"/>
              <w:textAlignment w:val="baseline"/>
              <w:rPr>
                <w:rFonts w:hint="eastAsia" w:ascii="宋体" w:hAnsi="宋体" w:cs="宋体"/>
                <w:kern w:val="13"/>
              </w:rPr>
            </w:pPr>
            <w:r>
              <w:rPr>
                <w:rFonts w:hint="eastAsia" w:ascii="宋体" w:hAnsi="宋体" w:cs="宋体"/>
                <w:kern w:val="13"/>
              </w:rPr>
              <w:t>24</w:t>
            </w:r>
          </w:p>
        </w:tc>
        <w:tc>
          <w:tcPr>
            <w:tcW w:w="382" w:type="pct"/>
            <w:vAlign w:val="center"/>
          </w:tcPr>
          <w:p w14:paraId="559423A7">
            <w:pPr>
              <w:spacing w:line="240" w:lineRule="exact"/>
              <w:jc w:val="center"/>
              <w:textAlignment w:val="baseline"/>
              <w:rPr>
                <w:rFonts w:hint="eastAsia" w:ascii="宋体" w:hAnsi="宋体" w:cs="宋体"/>
                <w:kern w:val="13"/>
              </w:rPr>
            </w:pPr>
            <w:r>
              <w:rPr>
                <w:rFonts w:hint="eastAsia" w:ascii="宋体" w:hAnsi="宋体" w:cs="宋体"/>
                <w:color w:val="000000"/>
                <w:szCs w:val="21"/>
              </w:rPr>
              <w:t>铅</w:t>
            </w:r>
          </w:p>
        </w:tc>
        <w:tc>
          <w:tcPr>
            <w:tcW w:w="642" w:type="pct"/>
            <w:noWrap/>
            <w:vAlign w:val="center"/>
          </w:tcPr>
          <w:p w14:paraId="2F2897BC">
            <w:pPr>
              <w:spacing w:line="240" w:lineRule="exact"/>
              <w:jc w:val="center"/>
              <w:textAlignment w:val="baseline"/>
              <w:rPr>
                <w:rFonts w:hint="eastAsia" w:ascii="宋体" w:hAnsi="宋体" w:cs="宋体"/>
                <w:kern w:val="13"/>
              </w:rPr>
            </w:pPr>
            <w:r>
              <w:rPr>
                <w:rFonts w:hint="eastAsia" w:ascii="宋体" w:hAnsi="宋体" w:cs="宋体"/>
                <w:color w:val="000000"/>
                <w:szCs w:val="21"/>
              </w:rPr>
              <w:t>mg/L</w:t>
            </w:r>
          </w:p>
        </w:tc>
        <w:tc>
          <w:tcPr>
            <w:tcW w:w="584" w:type="pct"/>
            <w:noWrap/>
            <w:vAlign w:val="center"/>
          </w:tcPr>
          <w:p w14:paraId="4351D5E6">
            <w:pPr>
              <w:spacing w:line="240" w:lineRule="exact"/>
              <w:jc w:val="center"/>
              <w:textAlignment w:val="baseline"/>
              <w:rPr>
                <w:rFonts w:hint="eastAsia" w:ascii="宋体" w:hAnsi="宋体" w:cs="宋体"/>
                <w:kern w:val="13"/>
              </w:rPr>
            </w:pPr>
            <w:r>
              <w:rPr>
                <w:rFonts w:hint="eastAsia" w:ascii="宋体" w:hAnsi="宋体" w:cs="宋体"/>
                <w:szCs w:val="21"/>
                <w:lang w:val="en-US" w:eastAsia="zh-CN"/>
              </w:rPr>
              <w:t>81-</w:t>
            </w:r>
            <w:r>
              <w:rPr>
                <w:rFonts w:hint="eastAsia" w:ascii="宋体" w:hAnsi="宋体" w:cs="宋体"/>
                <w:szCs w:val="21"/>
              </w:rPr>
              <w:t>ND</w:t>
            </w:r>
          </w:p>
        </w:tc>
        <w:tc>
          <w:tcPr>
            <w:tcW w:w="468" w:type="pct"/>
            <w:noWrap/>
          </w:tcPr>
          <w:p w14:paraId="3587A0C9">
            <w:pPr>
              <w:spacing w:line="240" w:lineRule="exact"/>
              <w:jc w:val="center"/>
              <w:textAlignment w:val="baseline"/>
              <w:rPr>
                <w:rFonts w:hint="eastAsia" w:ascii="宋体" w:hAnsi="宋体" w:cs="宋体"/>
                <w:kern w:val="13"/>
              </w:rPr>
            </w:pPr>
            <w:r>
              <w:rPr>
                <w:rFonts w:hint="eastAsia" w:ascii="宋体" w:hAnsi="宋体" w:cs="宋体"/>
                <w:kern w:val="13"/>
              </w:rPr>
              <w:t>/</w:t>
            </w:r>
          </w:p>
        </w:tc>
        <w:tc>
          <w:tcPr>
            <w:tcW w:w="584" w:type="pct"/>
            <w:noWrap/>
            <w:vAlign w:val="center"/>
          </w:tcPr>
          <w:p w14:paraId="2F301CC2">
            <w:pPr>
              <w:spacing w:line="240" w:lineRule="exact"/>
              <w:jc w:val="center"/>
              <w:textAlignment w:val="baseline"/>
              <w:rPr>
                <w:rFonts w:hint="eastAsia" w:ascii="宋体" w:hAnsi="宋体" w:cs="宋体"/>
                <w:kern w:val="13"/>
              </w:rPr>
            </w:pPr>
            <w:r>
              <w:rPr>
                <w:rFonts w:hint="eastAsia" w:ascii="宋体" w:hAnsi="宋体" w:cs="宋体"/>
                <w:szCs w:val="21"/>
              </w:rPr>
              <w:t>ND</w:t>
            </w:r>
          </w:p>
        </w:tc>
        <w:tc>
          <w:tcPr>
            <w:tcW w:w="410" w:type="pct"/>
            <w:noWrap/>
          </w:tcPr>
          <w:p w14:paraId="63CBFADE">
            <w:pPr>
              <w:spacing w:line="360" w:lineRule="exact"/>
              <w:jc w:val="center"/>
              <w:textAlignment w:val="baseline"/>
              <w:rPr>
                <w:rFonts w:hint="eastAsia" w:ascii="宋体" w:hAnsi="宋体" w:cs="宋体"/>
                <w:kern w:val="13"/>
              </w:rPr>
            </w:pPr>
            <w:r>
              <w:rPr>
                <w:rFonts w:hint="eastAsia" w:ascii="宋体" w:hAnsi="宋体" w:cs="宋体"/>
                <w:kern w:val="13"/>
              </w:rPr>
              <w:t>/</w:t>
            </w:r>
          </w:p>
        </w:tc>
        <w:tc>
          <w:tcPr>
            <w:tcW w:w="584" w:type="pct"/>
            <w:noWrap/>
            <w:vAlign w:val="center"/>
          </w:tcPr>
          <w:p w14:paraId="2363FFED">
            <w:pPr>
              <w:spacing w:line="240" w:lineRule="exact"/>
              <w:jc w:val="center"/>
              <w:textAlignment w:val="baseline"/>
              <w:rPr>
                <w:rFonts w:hint="eastAsia" w:ascii="宋体" w:hAnsi="宋体" w:cs="宋体"/>
                <w:kern w:val="13"/>
              </w:rPr>
            </w:pPr>
            <w:r>
              <w:rPr>
                <w:rFonts w:hint="eastAsia" w:ascii="宋体" w:hAnsi="宋体" w:cs="宋体"/>
                <w:szCs w:val="21"/>
              </w:rPr>
              <w:t>ND</w:t>
            </w:r>
          </w:p>
        </w:tc>
        <w:tc>
          <w:tcPr>
            <w:tcW w:w="410" w:type="pct"/>
            <w:noWrap/>
            <w:vAlign w:val="center"/>
          </w:tcPr>
          <w:p w14:paraId="4E5DE271">
            <w:pPr>
              <w:spacing w:line="360" w:lineRule="exact"/>
              <w:jc w:val="center"/>
              <w:textAlignment w:val="baseline"/>
              <w:rPr>
                <w:rFonts w:hint="eastAsia" w:ascii="宋体" w:hAnsi="宋体" w:cs="宋体"/>
                <w:kern w:val="13"/>
              </w:rPr>
            </w:pPr>
            <w:r>
              <w:rPr>
                <w:rFonts w:hint="eastAsia" w:ascii="宋体" w:hAnsi="宋体" w:cs="宋体"/>
                <w:kern w:val="13"/>
              </w:rPr>
              <w:t>/</w:t>
            </w:r>
          </w:p>
        </w:tc>
        <w:tc>
          <w:tcPr>
            <w:tcW w:w="584" w:type="pct"/>
            <w:noWrap/>
            <w:vAlign w:val="center"/>
          </w:tcPr>
          <w:p w14:paraId="02C4DD80">
            <w:pPr>
              <w:spacing w:line="240" w:lineRule="exact"/>
              <w:jc w:val="center"/>
              <w:textAlignment w:val="baseline"/>
              <w:rPr>
                <w:rFonts w:hint="eastAsia" w:ascii="宋体" w:hAnsi="宋体" w:cs="宋体"/>
                <w:kern w:val="13"/>
                <w:szCs w:val="21"/>
              </w:rPr>
            </w:pPr>
            <w:r>
              <w:rPr>
                <w:rFonts w:hint="eastAsia" w:ascii="宋体" w:hAnsi="宋体" w:cs="宋体"/>
                <w:color w:val="000000"/>
                <w:szCs w:val="21"/>
              </w:rPr>
              <w:t>0.01</w:t>
            </w:r>
          </w:p>
        </w:tc>
      </w:tr>
      <w:tr w14:paraId="2EDE0B0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4" w:hRule="atLeast"/>
          <w:jc w:val="center"/>
        </w:trPr>
        <w:tc>
          <w:tcPr>
            <w:tcW w:w="352" w:type="pct"/>
            <w:noWrap/>
            <w:vAlign w:val="center"/>
          </w:tcPr>
          <w:p w14:paraId="163B3DC4">
            <w:pPr>
              <w:spacing w:line="240" w:lineRule="exact"/>
              <w:jc w:val="center"/>
              <w:textAlignment w:val="baseline"/>
              <w:rPr>
                <w:rFonts w:hint="eastAsia" w:ascii="宋体" w:hAnsi="宋体" w:cs="宋体"/>
                <w:kern w:val="13"/>
              </w:rPr>
            </w:pPr>
            <w:r>
              <w:rPr>
                <w:rFonts w:hint="eastAsia" w:ascii="宋体" w:hAnsi="宋体" w:cs="宋体"/>
                <w:kern w:val="13"/>
              </w:rPr>
              <w:t>25</w:t>
            </w:r>
          </w:p>
        </w:tc>
        <w:tc>
          <w:tcPr>
            <w:tcW w:w="382" w:type="pct"/>
            <w:vAlign w:val="center"/>
          </w:tcPr>
          <w:p w14:paraId="79BD5274">
            <w:pPr>
              <w:spacing w:line="240" w:lineRule="exact"/>
              <w:jc w:val="center"/>
              <w:textAlignment w:val="baseline"/>
              <w:rPr>
                <w:rFonts w:hint="eastAsia" w:ascii="宋体" w:hAnsi="宋体" w:cs="宋体"/>
                <w:kern w:val="13"/>
              </w:rPr>
            </w:pPr>
            <w:r>
              <w:rPr>
                <w:rFonts w:hint="eastAsia" w:ascii="宋体" w:hAnsi="宋体" w:cs="宋体"/>
                <w:color w:val="000000"/>
                <w:szCs w:val="21"/>
              </w:rPr>
              <w:t>镉</w:t>
            </w:r>
          </w:p>
        </w:tc>
        <w:tc>
          <w:tcPr>
            <w:tcW w:w="642" w:type="pct"/>
            <w:noWrap/>
            <w:vAlign w:val="center"/>
          </w:tcPr>
          <w:p w14:paraId="6F112C91">
            <w:pPr>
              <w:spacing w:line="240" w:lineRule="exact"/>
              <w:jc w:val="center"/>
              <w:textAlignment w:val="baseline"/>
              <w:rPr>
                <w:rFonts w:hint="eastAsia" w:ascii="宋体" w:hAnsi="宋体" w:cs="宋体"/>
                <w:kern w:val="13"/>
              </w:rPr>
            </w:pPr>
            <w:r>
              <w:rPr>
                <w:rFonts w:hint="eastAsia" w:ascii="宋体" w:hAnsi="宋体" w:cs="宋体"/>
                <w:color w:val="000000"/>
                <w:szCs w:val="21"/>
              </w:rPr>
              <w:t>mg/L</w:t>
            </w:r>
          </w:p>
        </w:tc>
        <w:tc>
          <w:tcPr>
            <w:tcW w:w="584" w:type="pct"/>
            <w:noWrap/>
            <w:vAlign w:val="center"/>
          </w:tcPr>
          <w:p w14:paraId="00E79D68">
            <w:pPr>
              <w:spacing w:line="360" w:lineRule="exact"/>
              <w:jc w:val="center"/>
              <w:textAlignment w:val="baseline"/>
              <w:rPr>
                <w:rFonts w:hint="eastAsia" w:ascii="宋体" w:hAnsi="宋体" w:cs="宋体"/>
                <w:szCs w:val="21"/>
              </w:rPr>
            </w:pPr>
            <w:r>
              <w:rPr>
                <w:rFonts w:hint="eastAsia" w:ascii="宋体" w:hAnsi="宋体" w:cs="宋体"/>
                <w:szCs w:val="21"/>
              </w:rPr>
              <w:t>ND</w:t>
            </w:r>
          </w:p>
        </w:tc>
        <w:tc>
          <w:tcPr>
            <w:tcW w:w="468" w:type="pct"/>
            <w:noWrap/>
          </w:tcPr>
          <w:p w14:paraId="508E5375">
            <w:pPr>
              <w:spacing w:line="360" w:lineRule="exact"/>
              <w:jc w:val="center"/>
              <w:textAlignment w:val="baseline"/>
              <w:rPr>
                <w:rFonts w:hint="eastAsia" w:ascii="宋体" w:hAnsi="宋体" w:cs="宋体"/>
                <w:szCs w:val="21"/>
              </w:rPr>
            </w:pPr>
            <w:r>
              <w:rPr>
                <w:rFonts w:hint="eastAsia" w:ascii="宋体" w:hAnsi="宋体" w:cs="宋体"/>
                <w:szCs w:val="21"/>
              </w:rPr>
              <w:t>/</w:t>
            </w:r>
          </w:p>
        </w:tc>
        <w:tc>
          <w:tcPr>
            <w:tcW w:w="584" w:type="pct"/>
            <w:noWrap/>
            <w:vAlign w:val="center"/>
          </w:tcPr>
          <w:p w14:paraId="7F247D94">
            <w:pPr>
              <w:spacing w:line="360" w:lineRule="exact"/>
              <w:jc w:val="center"/>
              <w:textAlignment w:val="baseline"/>
              <w:rPr>
                <w:rFonts w:hint="eastAsia" w:ascii="宋体" w:hAnsi="宋体" w:cs="宋体"/>
                <w:szCs w:val="21"/>
              </w:rPr>
            </w:pPr>
            <w:r>
              <w:rPr>
                <w:rFonts w:hint="eastAsia" w:ascii="宋体" w:hAnsi="宋体" w:cs="宋体"/>
                <w:szCs w:val="21"/>
              </w:rPr>
              <w:t>ND</w:t>
            </w:r>
          </w:p>
        </w:tc>
        <w:tc>
          <w:tcPr>
            <w:tcW w:w="410" w:type="pct"/>
            <w:noWrap/>
          </w:tcPr>
          <w:p w14:paraId="35F28669">
            <w:pPr>
              <w:spacing w:line="360" w:lineRule="exact"/>
              <w:jc w:val="center"/>
              <w:textAlignment w:val="baseline"/>
              <w:rPr>
                <w:rFonts w:hint="eastAsia" w:ascii="宋体" w:hAnsi="宋体" w:cs="宋体"/>
                <w:szCs w:val="21"/>
              </w:rPr>
            </w:pPr>
            <w:r>
              <w:rPr>
                <w:rFonts w:hint="eastAsia" w:ascii="宋体" w:hAnsi="宋体" w:cs="宋体"/>
                <w:szCs w:val="21"/>
              </w:rPr>
              <w:t>/</w:t>
            </w:r>
          </w:p>
        </w:tc>
        <w:tc>
          <w:tcPr>
            <w:tcW w:w="584" w:type="pct"/>
            <w:noWrap/>
            <w:vAlign w:val="center"/>
          </w:tcPr>
          <w:p w14:paraId="341B367F">
            <w:pPr>
              <w:spacing w:line="360" w:lineRule="exact"/>
              <w:jc w:val="center"/>
              <w:textAlignment w:val="baseline"/>
              <w:rPr>
                <w:rFonts w:hint="eastAsia" w:ascii="宋体" w:hAnsi="宋体" w:cs="宋体"/>
                <w:szCs w:val="21"/>
              </w:rPr>
            </w:pPr>
            <w:r>
              <w:rPr>
                <w:rFonts w:hint="eastAsia" w:ascii="宋体" w:hAnsi="宋体" w:cs="宋体"/>
                <w:szCs w:val="21"/>
              </w:rPr>
              <w:t>ND</w:t>
            </w:r>
          </w:p>
        </w:tc>
        <w:tc>
          <w:tcPr>
            <w:tcW w:w="410" w:type="pct"/>
            <w:noWrap/>
            <w:vAlign w:val="center"/>
          </w:tcPr>
          <w:p w14:paraId="13068380">
            <w:pPr>
              <w:spacing w:line="360" w:lineRule="exact"/>
              <w:jc w:val="center"/>
              <w:textAlignment w:val="baseline"/>
              <w:rPr>
                <w:rFonts w:hint="eastAsia" w:ascii="宋体" w:hAnsi="宋体" w:cs="宋体"/>
                <w:szCs w:val="21"/>
              </w:rPr>
            </w:pPr>
            <w:r>
              <w:rPr>
                <w:rFonts w:hint="eastAsia" w:ascii="宋体" w:hAnsi="宋体" w:cs="宋体"/>
                <w:szCs w:val="21"/>
              </w:rPr>
              <w:t>/</w:t>
            </w:r>
          </w:p>
        </w:tc>
        <w:tc>
          <w:tcPr>
            <w:tcW w:w="584" w:type="pct"/>
            <w:noWrap/>
            <w:vAlign w:val="center"/>
          </w:tcPr>
          <w:p w14:paraId="7BEF8569">
            <w:pPr>
              <w:spacing w:line="360" w:lineRule="exact"/>
              <w:jc w:val="center"/>
              <w:textAlignment w:val="baseline"/>
              <w:rPr>
                <w:rFonts w:hint="eastAsia" w:ascii="宋体" w:hAnsi="宋体" w:cs="宋体"/>
                <w:szCs w:val="21"/>
              </w:rPr>
            </w:pPr>
            <w:r>
              <w:rPr>
                <w:rFonts w:hint="eastAsia" w:ascii="宋体" w:hAnsi="宋体" w:cs="宋体"/>
                <w:szCs w:val="21"/>
              </w:rPr>
              <w:t>0.005</w:t>
            </w:r>
          </w:p>
        </w:tc>
      </w:tr>
      <w:tr w14:paraId="44C8E5E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352" w:type="pct"/>
            <w:noWrap/>
            <w:vAlign w:val="center"/>
          </w:tcPr>
          <w:p w14:paraId="1759C504">
            <w:pPr>
              <w:spacing w:line="240" w:lineRule="exact"/>
              <w:jc w:val="center"/>
              <w:textAlignment w:val="baseline"/>
              <w:rPr>
                <w:rFonts w:hint="eastAsia" w:ascii="宋体" w:hAnsi="宋体" w:cs="宋体"/>
                <w:kern w:val="13"/>
              </w:rPr>
            </w:pPr>
            <w:r>
              <w:rPr>
                <w:rFonts w:hint="eastAsia" w:ascii="宋体" w:hAnsi="宋体" w:cs="宋体"/>
                <w:kern w:val="13"/>
              </w:rPr>
              <w:t>26</w:t>
            </w:r>
          </w:p>
        </w:tc>
        <w:tc>
          <w:tcPr>
            <w:tcW w:w="382" w:type="pct"/>
            <w:vAlign w:val="center"/>
          </w:tcPr>
          <w:p w14:paraId="69E7EA24">
            <w:pPr>
              <w:spacing w:line="240" w:lineRule="exact"/>
              <w:jc w:val="center"/>
              <w:textAlignment w:val="baseline"/>
              <w:rPr>
                <w:rFonts w:hint="eastAsia" w:ascii="宋体" w:hAnsi="宋体" w:cs="宋体"/>
                <w:kern w:val="13"/>
              </w:rPr>
            </w:pPr>
            <w:r>
              <w:rPr>
                <w:rFonts w:hint="eastAsia" w:ascii="宋体" w:hAnsi="宋体" w:cs="宋体"/>
                <w:color w:val="000000"/>
                <w:szCs w:val="21"/>
              </w:rPr>
              <w:t>铁</w:t>
            </w:r>
          </w:p>
        </w:tc>
        <w:tc>
          <w:tcPr>
            <w:tcW w:w="642" w:type="pct"/>
            <w:noWrap/>
            <w:vAlign w:val="center"/>
          </w:tcPr>
          <w:p w14:paraId="010E500F">
            <w:pPr>
              <w:spacing w:line="240" w:lineRule="exact"/>
              <w:jc w:val="center"/>
              <w:textAlignment w:val="baseline"/>
              <w:rPr>
                <w:rFonts w:hint="eastAsia" w:ascii="宋体" w:hAnsi="宋体" w:cs="宋体"/>
                <w:kern w:val="13"/>
              </w:rPr>
            </w:pPr>
            <w:r>
              <w:rPr>
                <w:rFonts w:hint="eastAsia" w:ascii="宋体" w:hAnsi="宋体" w:cs="宋体"/>
                <w:color w:val="000000"/>
                <w:szCs w:val="21"/>
              </w:rPr>
              <w:t>mg/L</w:t>
            </w:r>
          </w:p>
        </w:tc>
        <w:tc>
          <w:tcPr>
            <w:tcW w:w="584" w:type="pct"/>
            <w:noWrap/>
            <w:vAlign w:val="center"/>
          </w:tcPr>
          <w:p w14:paraId="1D21EEEC">
            <w:pPr>
              <w:spacing w:line="360" w:lineRule="exact"/>
              <w:jc w:val="center"/>
              <w:textAlignment w:val="baseline"/>
              <w:rPr>
                <w:rFonts w:hint="eastAsia" w:ascii="宋体" w:hAnsi="宋体" w:cs="宋体"/>
                <w:szCs w:val="21"/>
              </w:rPr>
            </w:pPr>
            <w:r>
              <w:rPr>
                <w:rFonts w:hint="eastAsia" w:ascii="宋体" w:hAnsi="宋体" w:cs="宋体"/>
                <w:szCs w:val="21"/>
              </w:rPr>
              <w:t>ND</w:t>
            </w:r>
          </w:p>
        </w:tc>
        <w:tc>
          <w:tcPr>
            <w:tcW w:w="468" w:type="pct"/>
            <w:noWrap/>
          </w:tcPr>
          <w:p w14:paraId="39D7924D">
            <w:pPr>
              <w:spacing w:line="360" w:lineRule="exact"/>
              <w:jc w:val="center"/>
              <w:textAlignment w:val="baseline"/>
              <w:rPr>
                <w:rFonts w:hint="eastAsia" w:ascii="宋体" w:hAnsi="宋体" w:cs="宋体"/>
                <w:szCs w:val="21"/>
              </w:rPr>
            </w:pPr>
            <w:r>
              <w:rPr>
                <w:rFonts w:hint="eastAsia" w:ascii="宋体" w:hAnsi="宋体" w:cs="宋体"/>
                <w:szCs w:val="21"/>
              </w:rPr>
              <w:t>/</w:t>
            </w:r>
          </w:p>
        </w:tc>
        <w:tc>
          <w:tcPr>
            <w:tcW w:w="584" w:type="pct"/>
            <w:noWrap/>
            <w:vAlign w:val="center"/>
          </w:tcPr>
          <w:p w14:paraId="1E146CA7">
            <w:pPr>
              <w:spacing w:line="360" w:lineRule="exact"/>
              <w:jc w:val="center"/>
              <w:textAlignment w:val="baseline"/>
              <w:rPr>
                <w:rFonts w:hint="eastAsia" w:ascii="宋体" w:hAnsi="宋体" w:cs="宋体"/>
                <w:szCs w:val="21"/>
              </w:rPr>
            </w:pPr>
            <w:r>
              <w:rPr>
                <w:rFonts w:hint="eastAsia" w:ascii="宋体" w:hAnsi="宋体" w:cs="宋体"/>
                <w:szCs w:val="21"/>
              </w:rPr>
              <w:t>ND</w:t>
            </w:r>
          </w:p>
        </w:tc>
        <w:tc>
          <w:tcPr>
            <w:tcW w:w="410" w:type="pct"/>
            <w:noWrap/>
          </w:tcPr>
          <w:p w14:paraId="10990834">
            <w:pPr>
              <w:spacing w:line="360" w:lineRule="exact"/>
              <w:jc w:val="center"/>
              <w:textAlignment w:val="baseline"/>
              <w:rPr>
                <w:rFonts w:hint="eastAsia" w:ascii="宋体" w:hAnsi="宋体" w:cs="宋体"/>
                <w:szCs w:val="21"/>
              </w:rPr>
            </w:pPr>
            <w:r>
              <w:rPr>
                <w:rFonts w:hint="eastAsia" w:ascii="宋体" w:hAnsi="宋体" w:cs="宋体"/>
                <w:szCs w:val="21"/>
              </w:rPr>
              <w:t>/</w:t>
            </w:r>
          </w:p>
        </w:tc>
        <w:tc>
          <w:tcPr>
            <w:tcW w:w="584" w:type="pct"/>
            <w:noWrap/>
            <w:vAlign w:val="center"/>
          </w:tcPr>
          <w:p w14:paraId="59DC7BF2">
            <w:pPr>
              <w:spacing w:line="360" w:lineRule="exact"/>
              <w:jc w:val="center"/>
              <w:textAlignment w:val="baseline"/>
              <w:rPr>
                <w:rFonts w:hint="eastAsia" w:ascii="宋体" w:hAnsi="宋体" w:cs="宋体"/>
                <w:szCs w:val="21"/>
              </w:rPr>
            </w:pPr>
            <w:r>
              <w:rPr>
                <w:rFonts w:hint="eastAsia" w:ascii="宋体" w:hAnsi="宋体" w:cs="宋体"/>
                <w:szCs w:val="21"/>
              </w:rPr>
              <w:t>ND</w:t>
            </w:r>
          </w:p>
        </w:tc>
        <w:tc>
          <w:tcPr>
            <w:tcW w:w="410" w:type="pct"/>
            <w:noWrap/>
            <w:vAlign w:val="center"/>
          </w:tcPr>
          <w:p w14:paraId="7A8BD092">
            <w:pPr>
              <w:spacing w:line="360" w:lineRule="exact"/>
              <w:jc w:val="center"/>
              <w:textAlignment w:val="baseline"/>
              <w:rPr>
                <w:rFonts w:hint="eastAsia" w:ascii="宋体" w:hAnsi="宋体" w:cs="宋体"/>
                <w:szCs w:val="21"/>
              </w:rPr>
            </w:pPr>
            <w:r>
              <w:rPr>
                <w:rFonts w:hint="eastAsia" w:ascii="宋体" w:hAnsi="宋体" w:cs="宋体"/>
                <w:szCs w:val="21"/>
              </w:rPr>
              <w:t>/</w:t>
            </w:r>
          </w:p>
        </w:tc>
        <w:tc>
          <w:tcPr>
            <w:tcW w:w="584" w:type="pct"/>
            <w:noWrap/>
            <w:vAlign w:val="center"/>
          </w:tcPr>
          <w:p w14:paraId="60CD7330">
            <w:pPr>
              <w:spacing w:line="360" w:lineRule="exact"/>
              <w:jc w:val="center"/>
              <w:textAlignment w:val="baseline"/>
              <w:rPr>
                <w:rFonts w:hint="eastAsia" w:ascii="宋体" w:hAnsi="宋体" w:cs="宋体"/>
                <w:szCs w:val="21"/>
              </w:rPr>
            </w:pPr>
            <w:r>
              <w:rPr>
                <w:rFonts w:hint="eastAsia" w:ascii="宋体" w:hAnsi="宋体" w:cs="宋体"/>
                <w:szCs w:val="21"/>
              </w:rPr>
              <w:t>0.3</w:t>
            </w:r>
          </w:p>
        </w:tc>
      </w:tr>
      <w:tr w14:paraId="5518C5B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352" w:type="pct"/>
            <w:noWrap/>
            <w:vAlign w:val="center"/>
          </w:tcPr>
          <w:p w14:paraId="6A28DD94">
            <w:pPr>
              <w:spacing w:line="240" w:lineRule="exact"/>
              <w:jc w:val="center"/>
              <w:textAlignment w:val="baseline"/>
              <w:rPr>
                <w:rFonts w:hint="eastAsia" w:ascii="宋体" w:hAnsi="宋体" w:cs="宋体"/>
                <w:kern w:val="13"/>
              </w:rPr>
            </w:pPr>
            <w:r>
              <w:rPr>
                <w:rFonts w:hint="eastAsia" w:ascii="宋体" w:hAnsi="宋体" w:cs="宋体"/>
                <w:kern w:val="13"/>
              </w:rPr>
              <w:t>27</w:t>
            </w:r>
          </w:p>
        </w:tc>
        <w:tc>
          <w:tcPr>
            <w:tcW w:w="382" w:type="pct"/>
            <w:vAlign w:val="center"/>
          </w:tcPr>
          <w:p w14:paraId="3CC970F9">
            <w:pPr>
              <w:spacing w:line="240" w:lineRule="exact"/>
              <w:jc w:val="center"/>
              <w:textAlignment w:val="baseline"/>
              <w:rPr>
                <w:rFonts w:hint="eastAsia" w:ascii="宋体" w:hAnsi="宋体" w:cs="宋体"/>
                <w:kern w:val="13"/>
              </w:rPr>
            </w:pPr>
            <w:r>
              <w:rPr>
                <w:rFonts w:hint="eastAsia" w:ascii="宋体" w:hAnsi="宋体" w:cs="宋体"/>
                <w:color w:val="000000"/>
                <w:szCs w:val="21"/>
              </w:rPr>
              <w:t>锰</w:t>
            </w:r>
          </w:p>
        </w:tc>
        <w:tc>
          <w:tcPr>
            <w:tcW w:w="642" w:type="pct"/>
            <w:noWrap/>
            <w:vAlign w:val="center"/>
          </w:tcPr>
          <w:p w14:paraId="16FFE41D">
            <w:pPr>
              <w:spacing w:line="240" w:lineRule="exact"/>
              <w:jc w:val="center"/>
              <w:textAlignment w:val="baseline"/>
              <w:rPr>
                <w:rFonts w:hint="eastAsia" w:ascii="宋体" w:hAnsi="宋体" w:cs="宋体"/>
                <w:kern w:val="13"/>
              </w:rPr>
            </w:pPr>
            <w:r>
              <w:rPr>
                <w:rFonts w:hint="eastAsia" w:ascii="宋体" w:hAnsi="宋体" w:cs="宋体"/>
                <w:color w:val="000000"/>
                <w:szCs w:val="21"/>
              </w:rPr>
              <w:t>mg/L</w:t>
            </w:r>
          </w:p>
        </w:tc>
        <w:tc>
          <w:tcPr>
            <w:tcW w:w="584" w:type="pct"/>
            <w:noWrap/>
            <w:vAlign w:val="center"/>
          </w:tcPr>
          <w:p w14:paraId="71DEF656">
            <w:pPr>
              <w:spacing w:line="360" w:lineRule="exact"/>
              <w:jc w:val="center"/>
              <w:textAlignment w:val="baseline"/>
              <w:rPr>
                <w:rFonts w:hint="eastAsia" w:ascii="宋体" w:hAnsi="宋体" w:cs="宋体"/>
                <w:szCs w:val="21"/>
              </w:rPr>
            </w:pPr>
            <w:r>
              <w:rPr>
                <w:rFonts w:hint="eastAsia" w:ascii="宋体" w:hAnsi="宋体" w:cs="宋体"/>
                <w:szCs w:val="21"/>
              </w:rPr>
              <w:t>ND</w:t>
            </w:r>
          </w:p>
        </w:tc>
        <w:tc>
          <w:tcPr>
            <w:tcW w:w="468" w:type="pct"/>
            <w:noWrap/>
          </w:tcPr>
          <w:p w14:paraId="119D3E3A">
            <w:pPr>
              <w:spacing w:line="360" w:lineRule="exact"/>
              <w:jc w:val="center"/>
              <w:textAlignment w:val="baseline"/>
              <w:rPr>
                <w:rFonts w:hint="eastAsia" w:ascii="宋体" w:hAnsi="宋体" w:cs="宋体"/>
                <w:szCs w:val="21"/>
              </w:rPr>
            </w:pPr>
            <w:r>
              <w:rPr>
                <w:rFonts w:hint="eastAsia" w:ascii="宋体" w:hAnsi="宋体" w:cs="宋体"/>
                <w:szCs w:val="21"/>
              </w:rPr>
              <w:t>/</w:t>
            </w:r>
          </w:p>
        </w:tc>
        <w:tc>
          <w:tcPr>
            <w:tcW w:w="584" w:type="pct"/>
            <w:noWrap/>
            <w:vAlign w:val="center"/>
          </w:tcPr>
          <w:p w14:paraId="5868E9A5">
            <w:pPr>
              <w:spacing w:line="360" w:lineRule="exact"/>
              <w:jc w:val="center"/>
              <w:textAlignment w:val="baseline"/>
              <w:rPr>
                <w:rFonts w:hint="eastAsia" w:ascii="宋体" w:hAnsi="宋体" w:cs="宋体"/>
                <w:szCs w:val="21"/>
              </w:rPr>
            </w:pPr>
            <w:r>
              <w:rPr>
                <w:rFonts w:hint="eastAsia" w:ascii="宋体" w:hAnsi="宋体" w:cs="宋体"/>
                <w:szCs w:val="21"/>
              </w:rPr>
              <w:t>ND</w:t>
            </w:r>
          </w:p>
        </w:tc>
        <w:tc>
          <w:tcPr>
            <w:tcW w:w="410" w:type="pct"/>
            <w:noWrap/>
          </w:tcPr>
          <w:p w14:paraId="4BD85015">
            <w:pPr>
              <w:spacing w:line="360" w:lineRule="exact"/>
              <w:jc w:val="center"/>
              <w:textAlignment w:val="baseline"/>
              <w:rPr>
                <w:rFonts w:hint="eastAsia" w:ascii="宋体" w:hAnsi="宋体" w:cs="宋体"/>
                <w:szCs w:val="21"/>
              </w:rPr>
            </w:pPr>
            <w:r>
              <w:rPr>
                <w:rFonts w:hint="eastAsia" w:ascii="宋体" w:hAnsi="宋体" w:cs="宋体"/>
                <w:szCs w:val="21"/>
              </w:rPr>
              <w:t>/</w:t>
            </w:r>
          </w:p>
        </w:tc>
        <w:tc>
          <w:tcPr>
            <w:tcW w:w="584" w:type="pct"/>
            <w:noWrap/>
            <w:vAlign w:val="center"/>
          </w:tcPr>
          <w:p w14:paraId="44851A1C">
            <w:pPr>
              <w:spacing w:line="360" w:lineRule="exact"/>
              <w:jc w:val="center"/>
              <w:textAlignment w:val="baseline"/>
              <w:rPr>
                <w:rFonts w:hint="eastAsia" w:ascii="宋体" w:hAnsi="宋体" w:cs="宋体"/>
                <w:szCs w:val="21"/>
              </w:rPr>
            </w:pPr>
            <w:r>
              <w:rPr>
                <w:rFonts w:hint="eastAsia" w:ascii="宋体" w:hAnsi="宋体" w:cs="宋体"/>
                <w:szCs w:val="21"/>
              </w:rPr>
              <w:t>ND</w:t>
            </w:r>
          </w:p>
        </w:tc>
        <w:tc>
          <w:tcPr>
            <w:tcW w:w="410" w:type="pct"/>
            <w:noWrap/>
          </w:tcPr>
          <w:p w14:paraId="41476DE7">
            <w:pPr>
              <w:spacing w:line="360" w:lineRule="exact"/>
              <w:jc w:val="center"/>
              <w:textAlignment w:val="baseline"/>
              <w:rPr>
                <w:rFonts w:hint="eastAsia" w:ascii="宋体" w:hAnsi="宋体" w:cs="宋体"/>
                <w:szCs w:val="21"/>
              </w:rPr>
            </w:pPr>
            <w:r>
              <w:rPr>
                <w:rFonts w:hint="eastAsia" w:ascii="宋体" w:hAnsi="宋体" w:cs="宋体"/>
                <w:szCs w:val="21"/>
              </w:rPr>
              <w:t>/</w:t>
            </w:r>
          </w:p>
        </w:tc>
        <w:tc>
          <w:tcPr>
            <w:tcW w:w="584" w:type="pct"/>
            <w:noWrap/>
            <w:vAlign w:val="center"/>
          </w:tcPr>
          <w:p w14:paraId="6C500690">
            <w:pPr>
              <w:spacing w:line="360" w:lineRule="exact"/>
              <w:jc w:val="center"/>
              <w:textAlignment w:val="baseline"/>
              <w:rPr>
                <w:rFonts w:hint="eastAsia" w:ascii="宋体" w:hAnsi="宋体" w:cs="宋体"/>
                <w:szCs w:val="21"/>
              </w:rPr>
            </w:pPr>
            <w:r>
              <w:rPr>
                <w:rFonts w:hint="eastAsia" w:ascii="宋体" w:hAnsi="宋体" w:cs="宋体"/>
                <w:szCs w:val="21"/>
              </w:rPr>
              <w:t>0.10</w:t>
            </w:r>
          </w:p>
        </w:tc>
      </w:tr>
      <w:tr w14:paraId="55BC971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8" w:hRule="atLeast"/>
          <w:jc w:val="center"/>
        </w:trPr>
        <w:tc>
          <w:tcPr>
            <w:tcW w:w="352" w:type="pct"/>
            <w:noWrap/>
            <w:vAlign w:val="center"/>
          </w:tcPr>
          <w:p w14:paraId="3266AE37">
            <w:pPr>
              <w:spacing w:line="240" w:lineRule="exact"/>
              <w:jc w:val="center"/>
              <w:textAlignment w:val="baseline"/>
              <w:rPr>
                <w:rFonts w:hint="eastAsia" w:ascii="宋体" w:hAnsi="宋体" w:cs="宋体"/>
                <w:kern w:val="13"/>
              </w:rPr>
            </w:pPr>
            <w:r>
              <w:rPr>
                <w:rFonts w:hint="eastAsia" w:ascii="宋体" w:hAnsi="宋体" w:cs="宋体"/>
                <w:kern w:val="13"/>
              </w:rPr>
              <w:t>28</w:t>
            </w:r>
          </w:p>
        </w:tc>
        <w:tc>
          <w:tcPr>
            <w:tcW w:w="382" w:type="pct"/>
            <w:vAlign w:val="center"/>
          </w:tcPr>
          <w:p w14:paraId="2836438E">
            <w:pPr>
              <w:spacing w:line="240" w:lineRule="exact"/>
              <w:jc w:val="center"/>
              <w:textAlignment w:val="baseline"/>
              <w:rPr>
                <w:rFonts w:hint="eastAsia" w:ascii="宋体" w:hAnsi="宋体" w:cs="宋体"/>
                <w:kern w:val="13"/>
              </w:rPr>
            </w:pPr>
            <w:r>
              <w:rPr>
                <w:rFonts w:hint="eastAsia" w:ascii="宋体" w:hAnsi="宋体" w:cs="宋体"/>
                <w:color w:val="000000"/>
                <w:szCs w:val="21"/>
              </w:rPr>
              <w:t>钾</w:t>
            </w:r>
          </w:p>
        </w:tc>
        <w:tc>
          <w:tcPr>
            <w:tcW w:w="642" w:type="pct"/>
            <w:noWrap/>
            <w:vAlign w:val="center"/>
          </w:tcPr>
          <w:p w14:paraId="44CA74AE">
            <w:pPr>
              <w:spacing w:line="240" w:lineRule="exact"/>
              <w:jc w:val="center"/>
              <w:textAlignment w:val="baseline"/>
              <w:rPr>
                <w:rFonts w:hint="eastAsia" w:ascii="宋体" w:hAnsi="宋体" w:cs="宋体"/>
                <w:kern w:val="13"/>
              </w:rPr>
            </w:pPr>
            <w:r>
              <w:rPr>
                <w:rFonts w:hint="eastAsia" w:ascii="宋体" w:hAnsi="宋体" w:cs="宋体"/>
                <w:color w:val="000000"/>
                <w:szCs w:val="21"/>
              </w:rPr>
              <w:t>mg/L</w:t>
            </w:r>
          </w:p>
        </w:tc>
        <w:tc>
          <w:tcPr>
            <w:tcW w:w="584" w:type="pct"/>
            <w:noWrap/>
          </w:tcPr>
          <w:p w14:paraId="25EB05BD">
            <w:pPr>
              <w:spacing w:line="360" w:lineRule="exact"/>
              <w:jc w:val="center"/>
              <w:textAlignment w:val="baseline"/>
              <w:rPr>
                <w:rFonts w:hint="eastAsia" w:ascii="宋体" w:hAnsi="宋体" w:cs="宋体"/>
                <w:szCs w:val="21"/>
              </w:rPr>
            </w:pPr>
            <w:r>
              <w:rPr>
                <w:rFonts w:hint="eastAsia" w:ascii="宋体" w:hAnsi="宋体" w:cs="宋体"/>
                <w:szCs w:val="21"/>
              </w:rPr>
              <w:t>215</w:t>
            </w:r>
          </w:p>
        </w:tc>
        <w:tc>
          <w:tcPr>
            <w:tcW w:w="468" w:type="pct"/>
            <w:noWrap/>
          </w:tcPr>
          <w:p w14:paraId="4447E4EC">
            <w:pPr>
              <w:spacing w:line="360" w:lineRule="exact"/>
              <w:jc w:val="center"/>
              <w:textAlignment w:val="baseline"/>
              <w:rPr>
                <w:rFonts w:hint="eastAsia" w:ascii="宋体" w:hAnsi="宋体" w:cs="宋体"/>
                <w:szCs w:val="21"/>
              </w:rPr>
            </w:pPr>
            <w:r>
              <w:rPr>
                <w:rFonts w:hint="eastAsia" w:ascii="宋体" w:hAnsi="宋体" w:cs="宋体"/>
                <w:szCs w:val="21"/>
              </w:rPr>
              <w:t>/</w:t>
            </w:r>
          </w:p>
        </w:tc>
        <w:tc>
          <w:tcPr>
            <w:tcW w:w="584" w:type="pct"/>
            <w:noWrap/>
          </w:tcPr>
          <w:p w14:paraId="15261398">
            <w:pPr>
              <w:spacing w:line="360" w:lineRule="exact"/>
              <w:jc w:val="center"/>
              <w:textAlignment w:val="baseline"/>
              <w:rPr>
                <w:rFonts w:hint="eastAsia" w:ascii="宋体" w:hAnsi="宋体" w:cs="宋体"/>
                <w:szCs w:val="21"/>
              </w:rPr>
            </w:pPr>
            <w:r>
              <w:rPr>
                <w:rFonts w:hint="eastAsia" w:ascii="宋体" w:hAnsi="宋体" w:cs="宋体"/>
                <w:szCs w:val="21"/>
              </w:rPr>
              <w:t>208</w:t>
            </w:r>
          </w:p>
        </w:tc>
        <w:tc>
          <w:tcPr>
            <w:tcW w:w="410" w:type="pct"/>
            <w:noWrap/>
          </w:tcPr>
          <w:p w14:paraId="70CA6A3C">
            <w:pPr>
              <w:spacing w:line="360" w:lineRule="exact"/>
              <w:jc w:val="center"/>
              <w:textAlignment w:val="baseline"/>
              <w:rPr>
                <w:rFonts w:hint="eastAsia" w:ascii="宋体" w:hAnsi="宋体" w:cs="宋体"/>
                <w:szCs w:val="21"/>
              </w:rPr>
            </w:pPr>
            <w:r>
              <w:rPr>
                <w:rFonts w:hint="eastAsia" w:ascii="宋体" w:hAnsi="宋体" w:cs="宋体"/>
                <w:szCs w:val="21"/>
              </w:rPr>
              <w:t>/</w:t>
            </w:r>
          </w:p>
        </w:tc>
        <w:tc>
          <w:tcPr>
            <w:tcW w:w="584" w:type="pct"/>
            <w:noWrap/>
          </w:tcPr>
          <w:p w14:paraId="205A6C98">
            <w:pPr>
              <w:spacing w:line="360" w:lineRule="exact"/>
              <w:jc w:val="center"/>
              <w:textAlignment w:val="baseline"/>
              <w:rPr>
                <w:rFonts w:hint="eastAsia" w:ascii="宋体" w:hAnsi="宋体" w:cs="宋体"/>
                <w:szCs w:val="21"/>
              </w:rPr>
            </w:pPr>
            <w:r>
              <w:rPr>
                <w:rFonts w:hint="eastAsia" w:ascii="宋体" w:hAnsi="宋体" w:cs="宋体"/>
                <w:szCs w:val="21"/>
              </w:rPr>
              <w:t>228</w:t>
            </w:r>
          </w:p>
        </w:tc>
        <w:tc>
          <w:tcPr>
            <w:tcW w:w="410" w:type="pct"/>
            <w:noWrap/>
          </w:tcPr>
          <w:p w14:paraId="4804D32B">
            <w:pPr>
              <w:spacing w:line="360" w:lineRule="exact"/>
              <w:jc w:val="center"/>
              <w:textAlignment w:val="baseline"/>
              <w:rPr>
                <w:rFonts w:hint="eastAsia" w:ascii="宋体" w:hAnsi="宋体" w:cs="宋体"/>
                <w:szCs w:val="21"/>
              </w:rPr>
            </w:pPr>
            <w:r>
              <w:rPr>
                <w:rFonts w:hint="eastAsia" w:ascii="宋体" w:hAnsi="宋体" w:cs="宋体"/>
                <w:szCs w:val="21"/>
              </w:rPr>
              <w:t>/</w:t>
            </w:r>
          </w:p>
        </w:tc>
        <w:tc>
          <w:tcPr>
            <w:tcW w:w="584" w:type="pct"/>
            <w:noWrap/>
            <w:vAlign w:val="center"/>
          </w:tcPr>
          <w:p w14:paraId="7C25EB30">
            <w:pPr>
              <w:spacing w:line="360" w:lineRule="exact"/>
              <w:jc w:val="center"/>
              <w:textAlignment w:val="baseline"/>
              <w:rPr>
                <w:rFonts w:hint="eastAsia" w:ascii="宋体" w:hAnsi="宋体" w:cs="宋体"/>
                <w:szCs w:val="21"/>
              </w:rPr>
            </w:pPr>
            <w:r>
              <w:rPr>
                <w:rFonts w:hint="eastAsia" w:ascii="宋体" w:hAnsi="宋体" w:cs="宋体"/>
                <w:szCs w:val="21"/>
              </w:rPr>
              <w:t>-</w:t>
            </w:r>
          </w:p>
        </w:tc>
      </w:tr>
      <w:tr w14:paraId="2F26C03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352" w:type="pct"/>
            <w:noWrap/>
            <w:vAlign w:val="center"/>
          </w:tcPr>
          <w:p w14:paraId="3EFCEA34">
            <w:pPr>
              <w:keepNext w:val="0"/>
              <w:keepLines w:val="0"/>
              <w:pageBreakBefore w:val="0"/>
              <w:widowControl w:val="0"/>
              <w:kinsoku/>
              <w:wordWrap/>
              <w:overflowPunct/>
              <w:topLinePunct w:val="0"/>
              <w:autoSpaceDE/>
              <w:autoSpaceDN/>
              <w:bidi w:val="0"/>
              <w:adjustRightInd/>
              <w:snapToGrid/>
              <w:spacing w:line="240" w:lineRule="auto"/>
              <w:jc w:val="center"/>
              <w:textAlignment w:val="baseline"/>
              <w:rPr>
                <w:rFonts w:hint="eastAsia" w:ascii="宋体" w:hAnsi="宋体" w:cs="宋体"/>
                <w:kern w:val="13"/>
              </w:rPr>
            </w:pPr>
            <w:r>
              <w:rPr>
                <w:rFonts w:hint="eastAsia" w:ascii="宋体" w:hAnsi="宋体" w:cs="宋体"/>
                <w:kern w:val="13"/>
              </w:rPr>
              <w:t>29</w:t>
            </w:r>
          </w:p>
        </w:tc>
        <w:tc>
          <w:tcPr>
            <w:tcW w:w="382" w:type="pct"/>
            <w:vAlign w:val="center"/>
          </w:tcPr>
          <w:p w14:paraId="07B1A41C">
            <w:pPr>
              <w:keepNext w:val="0"/>
              <w:keepLines w:val="0"/>
              <w:pageBreakBefore w:val="0"/>
              <w:widowControl w:val="0"/>
              <w:kinsoku/>
              <w:wordWrap/>
              <w:overflowPunct/>
              <w:topLinePunct w:val="0"/>
              <w:autoSpaceDE/>
              <w:autoSpaceDN/>
              <w:bidi w:val="0"/>
              <w:adjustRightInd/>
              <w:snapToGrid/>
              <w:spacing w:line="240" w:lineRule="auto"/>
              <w:jc w:val="center"/>
              <w:textAlignment w:val="baseline"/>
              <w:rPr>
                <w:rFonts w:hint="eastAsia" w:ascii="宋体" w:hAnsi="宋体" w:cs="宋体"/>
                <w:kern w:val="13"/>
              </w:rPr>
            </w:pPr>
            <w:r>
              <w:rPr>
                <w:rFonts w:hint="eastAsia" w:ascii="宋体" w:hAnsi="宋体" w:cs="宋体"/>
                <w:color w:val="000000"/>
                <w:szCs w:val="21"/>
              </w:rPr>
              <w:t>钠</w:t>
            </w:r>
          </w:p>
        </w:tc>
        <w:tc>
          <w:tcPr>
            <w:tcW w:w="642" w:type="pct"/>
            <w:noWrap/>
            <w:vAlign w:val="center"/>
          </w:tcPr>
          <w:p w14:paraId="44F18A22">
            <w:pPr>
              <w:keepNext w:val="0"/>
              <w:keepLines w:val="0"/>
              <w:pageBreakBefore w:val="0"/>
              <w:widowControl w:val="0"/>
              <w:kinsoku/>
              <w:wordWrap/>
              <w:overflowPunct/>
              <w:topLinePunct w:val="0"/>
              <w:autoSpaceDE/>
              <w:autoSpaceDN/>
              <w:bidi w:val="0"/>
              <w:adjustRightInd/>
              <w:snapToGrid/>
              <w:spacing w:line="240" w:lineRule="auto"/>
              <w:jc w:val="center"/>
              <w:textAlignment w:val="baseline"/>
              <w:rPr>
                <w:rFonts w:hint="eastAsia" w:ascii="宋体" w:hAnsi="宋体" w:cs="宋体"/>
                <w:kern w:val="13"/>
              </w:rPr>
            </w:pPr>
            <w:r>
              <w:rPr>
                <w:rFonts w:hint="eastAsia" w:ascii="宋体" w:hAnsi="宋体" w:cs="宋体"/>
                <w:color w:val="000000"/>
                <w:szCs w:val="21"/>
              </w:rPr>
              <w:t>mg/L</w:t>
            </w:r>
          </w:p>
        </w:tc>
        <w:tc>
          <w:tcPr>
            <w:tcW w:w="584" w:type="pct"/>
            <w:noWrap/>
            <w:vAlign w:val="center"/>
          </w:tcPr>
          <w:p w14:paraId="014D0A87">
            <w:pPr>
              <w:keepNext w:val="0"/>
              <w:keepLines w:val="0"/>
              <w:pageBreakBefore w:val="0"/>
              <w:widowControl w:val="0"/>
              <w:kinsoku/>
              <w:wordWrap/>
              <w:overflowPunct/>
              <w:topLinePunct w:val="0"/>
              <w:autoSpaceDE/>
              <w:autoSpaceDN/>
              <w:bidi w:val="0"/>
              <w:adjustRightInd/>
              <w:snapToGrid/>
              <w:spacing w:line="240" w:lineRule="auto"/>
              <w:jc w:val="center"/>
              <w:textAlignment w:val="baseline"/>
              <w:rPr>
                <w:rFonts w:hint="eastAsia" w:ascii="宋体" w:hAnsi="宋体" w:cs="宋体"/>
                <w:kern w:val="13"/>
              </w:rPr>
            </w:pPr>
            <w:r>
              <w:rPr>
                <w:rFonts w:hint="eastAsia" w:ascii="宋体" w:hAnsi="宋体" w:cs="宋体"/>
                <w:color w:val="000000"/>
                <w:szCs w:val="21"/>
              </w:rPr>
              <w:t>1.35</w:t>
            </w:r>
            <w:r>
              <w:rPr>
                <w:rFonts w:ascii="Arial" w:hAnsi="Arial" w:cs="Arial"/>
                <w:color w:val="000000"/>
                <w:szCs w:val="21"/>
              </w:rPr>
              <w:t>×</w:t>
            </w:r>
            <w:r>
              <w:rPr>
                <w:rFonts w:hint="eastAsia" w:ascii="宋体" w:hAnsi="宋体" w:cs="宋体"/>
                <w:szCs w:val="21"/>
              </w:rPr>
              <w:t>10</w:t>
            </w:r>
            <w:r>
              <w:rPr>
                <w:rFonts w:hint="eastAsia" w:ascii="宋体" w:hAnsi="宋体" w:cs="宋体"/>
                <w:szCs w:val="21"/>
                <w:vertAlign w:val="superscript"/>
              </w:rPr>
              <w:t>3</w:t>
            </w:r>
          </w:p>
        </w:tc>
        <w:tc>
          <w:tcPr>
            <w:tcW w:w="468" w:type="pct"/>
            <w:noWrap/>
            <w:vAlign w:val="center"/>
          </w:tcPr>
          <w:p w14:paraId="03999E29">
            <w:pPr>
              <w:keepNext w:val="0"/>
              <w:keepLines w:val="0"/>
              <w:pageBreakBefore w:val="0"/>
              <w:widowControl w:val="0"/>
              <w:kinsoku/>
              <w:wordWrap/>
              <w:overflowPunct/>
              <w:topLinePunct w:val="0"/>
              <w:autoSpaceDE/>
              <w:autoSpaceDN/>
              <w:bidi w:val="0"/>
              <w:adjustRightInd/>
              <w:snapToGrid/>
              <w:spacing w:line="240" w:lineRule="auto"/>
              <w:jc w:val="center"/>
              <w:textAlignment w:val="baseline"/>
              <w:rPr>
                <w:rFonts w:hint="eastAsia" w:ascii="宋体" w:hAnsi="宋体" w:cs="宋体"/>
                <w:kern w:val="13"/>
                <w:szCs w:val="21"/>
              </w:rPr>
            </w:pPr>
            <w:r>
              <w:rPr>
                <w:rFonts w:hint="eastAsia" w:ascii="宋体" w:hAnsi="宋体" w:cs="宋体"/>
                <w:kern w:val="13"/>
                <w:szCs w:val="21"/>
                <w:shd w:val="pct15" w:color="auto" w:fill="FFFFFF"/>
              </w:rPr>
              <w:t>1.75</w:t>
            </w:r>
          </w:p>
        </w:tc>
        <w:tc>
          <w:tcPr>
            <w:tcW w:w="584" w:type="pct"/>
            <w:noWrap/>
            <w:vAlign w:val="center"/>
          </w:tcPr>
          <w:p w14:paraId="37553874">
            <w:pPr>
              <w:keepNext w:val="0"/>
              <w:keepLines w:val="0"/>
              <w:pageBreakBefore w:val="0"/>
              <w:widowControl w:val="0"/>
              <w:kinsoku/>
              <w:wordWrap/>
              <w:overflowPunct/>
              <w:topLinePunct w:val="0"/>
              <w:autoSpaceDE/>
              <w:autoSpaceDN/>
              <w:bidi w:val="0"/>
              <w:adjustRightInd/>
              <w:snapToGrid/>
              <w:spacing w:line="240" w:lineRule="auto"/>
              <w:jc w:val="center"/>
              <w:textAlignment w:val="baseline"/>
              <w:rPr>
                <w:rFonts w:hint="eastAsia" w:ascii="宋体" w:hAnsi="宋体" w:cs="宋体"/>
                <w:kern w:val="13"/>
              </w:rPr>
            </w:pPr>
            <w:r>
              <w:rPr>
                <w:rFonts w:hint="eastAsia" w:ascii="宋体" w:hAnsi="宋体" w:cs="宋体"/>
                <w:color w:val="000000"/>
                <w:szCs w:val="21"/>
              </w:rPr>
              <w:t>1.37</w:t>
            </w:r>
            <w:r>
              <w:rPr>
                <w:rFonts w:ascii="Arial" w:hAnsi="Arial" w:cs="Arial"/>
                <w:color w:val="000000"/>
                <w:szCs w:val="21"/>
              </w:rPr>
              <w:t>×</w:t>
            </w:r>
            <w:r>
              <w:rPr>
                <w:rFonts w:hint="eastAsia" w:ascii="宋体" w:hAnsi="宋体" w:cs="宋体"/>
                <w:szCs w:val="21"/>
              </w:rPr>
              <w:t>10</w:t>
            </w:r>
            <w:r>
              <w:rPr>
                <w:rFonts w:hint="eastAsia" w:ascii="宋体" w:hAnsi="宋体" w:cs="宋体"/>
                <w:szCs w:val="21"/>
                <w:vertAlign w:val="superscript"/>
              </w:rPr>
              <w:t>3</w:t>
            </w:r>
          </w:p>
        </w:tc>
        <w:tc>
          <w:tcPr>
            <w:tcW w:w="410" w:type="pct"/>
            <w:noWrap/>
            <w:vAlign w:val="center"/>
          </w:tcPr>
          <w:p w14:paraId="5B6389E5">
            <w:pPr>
              <w:keepNext w:val="0"/>
              <w:keepLines w:val="0"/>
              <w:pageBreakBefore w:val="0"/>
              <w:widowControl w:val="0"/>
              <w:kinsoku/>
              <w:wordWrap/>
              <w:overflowPunct/>
              <w:topLinePunct w:val="0"/>
              <w:autoSpaceDE/>
              <w:autoSpaceDN/>
              <w:bidi w:val="0"/>
              <w:adjustRightInd/>
              <w:snapToGrid/>
              <w:spacing w:line="240" w:lineRule="auto"/>
              <w:jc w:val="center"/>
              <w:textAlignment w:val="baseline"/>
              <w:rPr>
                <w:rFonts w:hint="eastAsia" w:ascii="宋体" w:hAnsi="宋体" w:cs="宋体"/>
                <w:kern w:val="13"/>
                <w:szCs w:val="21"/>
              </w:rPr>
            </w:pPr>
            <w:r>
              <w:rPr>
                <w:rFonts w:hint="eastAsia" w:ascii="宋体" w:hAnsi="宋体" w:cs="宋体"/>
                <w:kern w:val="13"/>
                <w:szCs w:val="21"/>
                <w:shd w:val="pct15" w:color="auto" w:fill="FFFFFF"/>
              </w:rPr>
              <w:t>6.85</w:t>
            </w:r>
          </w:p>
        </w:tc>
        <w:tc>
          <w:tcPr>
            <w:tcW w:w="584" w:type="pct"/>
            <w:noWrap/>
            <w:vAlign w:val="center"/>
          </w:tcPr>
          <w:p w14:paraId="14AE0949">
            <w:pPr>
              <w:keepNext w:val="0"/>
              <w:keepLines w:val="0"/>
              <w:pageBreakBefore w:val="0"/>
              <w:widowControl w:val="0"/>
              <w:kinsoku/>
              <w:wordWrap/>
              <w:overflowPunct/>
              <w:topLinePunct w:val="0"/>
              <w:autoSpaceDE/>
              <w:autoSpaceDN/>
              <w:bidi w:val="0"/>
              <w:adjustRightInd/>
              <w:snapToGrid/>
              <w:spacing w:line="240" w:lineRule="auto"/>
              <w:jc w:val="center"/>
              <w:textAlignment w:val="baseline"/>
              <w:rPr>
                <w:rFonts w:hint="eastAsia" w:ascii="宋体" w:hAnsi="宋体" w:cs="宋体"/>
                <w:kern w:val="13"/>
              </w:rPr>
            </w:pPr>
            <w:r>
              <w:rPr>
                <w:rFonts w:hint="eastAsia" w:ascii="宋体" w:hAnsi="宋体" w:cs="宋体"/>
                <w:color w:val="000000"/>
                <w:szCs w:val="21"/>
              </w:rPr>
              <w:t>1.52</w:t>
            </w:r>
            <w:r>
              <w:rPr>
                <w:rFonts w:ascii="Arial" w:hAnsi="Arial" w:cs="Arial"/>
                <w:color w:val="000000"/>
                <w:szCs w:val="21"/>
              </w:rPr>
              <w:t>×</w:t>
            </w:r>
            <w:r>
              <w:rPr>
                <w:rFonts w:hint="eastAsia" w:ascii="宋体" w:hAnsi="宋体" w:cs="宋体"/>
                <w:szCs w:val="21"/>
              </w:rPr>
              <w:t>10</w:t>
            </w:r>
            <w:r>
              <w:rPr>
                <w:rFonts w:hint="eastAsia" w:ascii="宋体" w:hAnsi="宋体" w:cs="宋体"/>
                <w:szCs w:val="21"/>
                <w:vertAlign w:val="superscript"/>
              </w:rPr>
              <w:t>3</w:t>
            </w:r>
          </w:p>
        </w:tc>
        <w:tc>
          <w:tcPr>
            <w:tcW w:w="410" w:type="pct"/>
            <w:noWrap/>
            <w:vAlign w:val="center"/>
          </w:tcPr>
          <w:p w14:paraId="73A6E8FE">
            <w:pPr>
              <w:keepNext w:val="0"/>
              <w:keepLines w:val="0"/>
              <w:pageBreakBefore w:val="0"/>
              <w:widowControl w:val="0"/>
              <w:kinsoku/>
              <w:wordWrap/>
              <w:overflowPunct/>
              <w:topLinePunct w:val="0"/>
              <w:autoSpaceDE/>
              <w:autoSpaceDN/>
              <w:bidi w:val="0"/>
              <w:adjustRightInd/>
              <w:snapToGrid/>
              <w:spacing w:line="240" w:lineRule="auto"/>
              <w:jc w:val="center"/>
              <w:textAlignment w:val="baseline"/>
              <w:rPr>
                <w:rFonts w:hint="eastAsia" w:ascii="宋体" w:hAnsi="宋体" w:cs="宋体"/>
                <w:kern w:val="13"/>
                <w:szCs w:val="21"/>
              </w:rPr>
            </w:pPr>
            <w:r>
              <w:rPr>
                <w:rFonts w:hint="eastAsia" w:ascii="宋体" w:hAnsi="宋体" w:cs="宋体"/>
                <w:kern w:val="13"/>
                <w:szCs w:val="21"/>
                <w:shd w:val="pct15" w:color="auto" w:fill="FFFFFF"/>
              </w:rPr>
              <w:t>7.6</w:t>
            </w:r>
          </w:p>
        </w:tc>
        <w:tc>
          <w:tcPr>
            <w:tcW w:w="584" w:type="pct"/>
            <w:noWrap/>
            <w:vAlign w:val="center"/>
          </w:tcPr>
          <w:p w14:paraId="6545504E">
            <w:pPr>
              <w:keepNext w:val="0"/>
              <w:keepLines w:val="0"/>
              <w:pageBreakBefore w:val="0"/>
              <w:widowControl w:val="0"/>
              <w:kinsoku/>
              <w:wordWrap/>
              <w:overflowPunct/>
              <w:topLinePunct w:val="0"/>
              <w:autoSpaceDE/>
              <w:autoSpaceDN/>
              <w:bidi w:val="0"/>
              <w:adjustRightInd/>
              <w:snapToGrid/>
              <w:spacing w:line="240" w:lineRule="auto"/>
              <w:jc w:val="center"/>
              <w:textAlignment w:val="baseline"/>
              <w:rPr>
                <w:rFonts w:hint="eastAsia" w:ascii="宋体" w:hAnsi="宋体" w:cs="宋体"/>
                <w:kern w:val="13"/>
                <w:szCs w:val="21"/>
              </w:rPr>
            </w:pPr>
            <w:r>
              <w:rPr>
                <w:rFonts w:hint="eastAsia" w:ascii="宋体" w:hAnsi="宋体" w:cs="宋体"/>
                <w:color w:val="000000"/>
                <w:szCs w:val="21"/>
              </w:rPr>
              <w:t>200</w:t>
            </w:r>
          </w:p>
        </w:tc>
      </w:tr>
    </w:tbl>
    <w:p w14:paraId="7CA9C052">
      <w:pPr>
        <w:pStyle w:val="233"/>
        <w:spacing w:line="360" w:lineRule="auto"/>
        <w:ind w:firstLine="482"/>
        <w:rPr>
          <w:rFonts w:hint="eastAsia" w:ascii="宋体" w:hAnsi="宋体"/>
          <w:kern w:val="2"/>
          <w:sz w:val="24"/>
          <w:szCs w:val="24"/>
        </w:rPr>
      </w:pPr>
      <w:r>
        <w:rPr>
          <w:rFonts w:hint="eastAsia" w:ascii="宋体" w:hAnsi="宋体"/>
          <w:kern w:val="2"/>
          <w:sz w:val="24"/>
          <w:szCs w:val="24"/>
        </w:rPr>
        <w:t>由上表可知，监测点位中项目区上游、项目区、项目区下游点位中总硬度、溶解性总固体、</w:t>
      </w:r>
      <w:r>
        <w:rPr>
          <w:rFonts w:hint="eastAsia" w:ascii="宋体" w:hAnsi="宋体"/>
          <w:sz w:val="24"/>
          <w:szCs w:val="24"/>
        </w:rPr>
        <w:t>硫酸盐、</w:t>
      </w:r>
      <w:r>
        <w:rPr>
          <w:rFonts w:hint="eastAsia" w:ascii="宋体" w:hAnsi="宋体"/>
          <w:kern w:val="2"/>
          <w:sz w:val="24"/>
          <w:szCs w:val="24"/>
        </w:rPr>
        <w:t>氯化物、氟化物（除项目区下游点）、</w:t>
      </w:r>
      <w:r>
        <w:rPr>
          <w:rFonts w:hint="eastAsia" w:ascii="宋体" w:hAnsi="宋体"/>
          <w:sz w:val="24"/>
          <w:szCs w:val="24"/>
        </w:rPr>
        <w:t>Na</w:t>
      </w:r>
      <w:r>
        <w:rPr>
          <w:rFonts w:hint="eastAsia" w:ascii="宋体" w:hAnsi="宋体"/>
          <w:sz w:val="24"/>
          <w:szCs w:val="24"/>
          <w:vertAlign w:val="superscript"/>
        </w:rPr>
        <w:t>+</w:t>
      </w:r>
      <w:r>
        <w:rPr>
          <w:rFonts w:hint="eastAsia" w:ascii="宋体" w:hAnsi="宋体"/>
          <w:sz w:val="24"/>
          <w:szCs w:val="24"/>
        </w:rPr>
        <w:t>等</w:t>
      </w:r>
      <w:r>
        <w:rPr>
          <w:rFonts w:hint="eastAsia" w:ascii="宋体" w:hAnsi="宋体"/>
          <w:kern w:val="2"/>
          <w:sz w:val="24"/>
          <w:szCs w:val="24"/>
        </w:rPr>
        <w:t>均出现超标现象</w:t>
      </w:r>
      <w:r>
        <w:rPr>
          <w:rFonts w:hint="eastAsia" w:ascii="宋体" w:hAnsi="宋体"/>
          <w:sz w:val="24"/>
          <w:szCs w:val="24"/>
        </w:rPr>
        <w:t>。</w:t>
      </w:r>
    </w:p>
    <w:p w14:paraId="1743F3AA">
      <w:pPr>
        <w:spacing w:line="360" w:lineRule="auto"/>
        <w:ind w:firstLine="482"/>
        <w:rPr>
          <w:rFonts w:hint="eastAsia" w:ascii="宋体" w:hAnsi="宋体" w:cs="宋体"/>
          <w:sz w:val="24"/>
          <w:szCs w:val="24"/>
        </w:rPr>
      </w:pPr>
      <w:r>
        <w:rPr>
          <w:rFonts w:hint="eastAsia" w:ascii="宋体" w:hAnsi="宋体" w:cs="宋体"/>
          <w:sz w:val="24"/>
          <w:szCs w:val="24"/>
        </w:rPr>
        <w:t>本项目地下水环境质量现状监测数据中总硬度、溶解性总固体、硫酸盐、</w:t>
      </w:r>
      <w:r>
        <w:rPr>
          <w:rFonts w:hint="eastAsia" w:ascii="宋体" w:hAnsi="宋体"/>
          <w:sz w:val="24"/>
          <w:szCs w:val="24"/>
        </w:rPr>
        <w:t>氟化物</w:t>
      </w:r>
      <w:r>
        <w:rPr>
          <w:rFonts w:hint="eastAsia" w:ascii="宋体" w:hAnsi="宋体" w:cs="宋体"/>
          <w:sz w:val="24"/>
          <w:szCs w:val="24"/>
        </w:rPr>
        <w:t>超标主要与项目区域地质条件有关，氯化物和Na</w:t>
      </w:r>
      <w:r>
        <w:rPr>
          <w:rFonts w:hint="eastAsia" w:ascii="宋体" w:hAnsi="宋体" w:cs="宋体"/>
          <w:sz w:val="24"/>
          <w:szCs w:val="24"/>
          <w:vertAlign w:val="superscript"/>
        </w:rPr>
        <w:t>+</w:t>
      </w:r>
      <w:r>
        <w:rPr>
          <w:rFonts w:hint="eastAsia" w:ascii="宋体" w:hAnsi="宋体" w:cs="宋体"/>
          <w:sz w:val="24"/>
          <w:szCs w:val="24"/>
        </w:rPr>
        <w:t>超标主要与当地地下水过度开采易造成水中含盐量升高有关。</w:t>
      </w:r>
    </w:p>
    <w:p w14:paraId="693688E8">
      <w:pPr>
        <w:pStyle w:val="5"/>
        <w:rPr>
          <w:rFonts w:hint="eastAsia" w:ascii="Times New Roman" w:hAnsi="Times New Roman" w:eastAsia="宋体" w:cs="Times New Roman"/>
          <w:color w:val="000000"/>
          <w:lang w:val="en-US" w:eastAsia="zh-CN"/>
        </w:rPr>
      </w:pPr>
      <w:r>
        <w:rPr>
          <w:rFonts w:hint="eastAsia" w:ascii="Times New Roman" w:hAnsi="Times New Roman" w:eastAsia="宋体" w:cs="Times New Roman"/>
          <w:color w:val="000000"/>
          <w:lang w:val="en-US" w:eastAsia="zh-CN"/>
        </w:rPr>
        <w:t>4.3.3.2地下水水位动态监测和调查</w:t>
      </w:r>
    </w:p>
    <w:p w14:paraId="2CCF0AC8">
      <w:pPr>
        <w:spacing w:line="360" w:lineRule="auto"/>
        <w:ind w:firstLine="482"/>
        <w:rPr>
          <w:rFonts w:hint="eastAsia" w:ascii="宋体" w:hAnsi="宋体" w:eastAsia="宋体" w:cs="宋体"/>
          <w:sz w:val="24"/>
          <w:szCs w:val="24"/>
        </w:rPr>
      </w:pPr>
      <w:r>
        <w:rPr>
          <w:rFonts w:hint="eastAsia" w:ascii="宋体" w:hAnsi="宋体" w:eastAsia="宋体" w:cs="宋体"/>
          <w:sz w:val="24"/>
          <w:szCs w:val="24"/>
        </w:rPr>
        <w:t>本次工作于2025年</w:t>
      </w:r>
      <w:r>
        <w:rPr>
          <w:rFonts w:hint="eastAsia" w:ascii="宋体" w:hAnsi="宋体" w:eastAsia="宋体" w:cs="宋体"/>
          <w:sz w:val="24"/>
          <w:szCs w:val="24"/>
          <w:lang w:val="en-US" w:eastAsia="zh-CN"/>
        </w:rPr>
        <w:t>6</w:t>
      </w:r>
      <w:r>
        <w:rPr>
          <w:rFonts w:hint="eastAsia" w:ascii="宋体" w:hAnsi="宋体" w:eastAsia="宋体" w:cs="宋体"/>
          <w:sz w:val="24"/>
          <w:szCs w:val="24"/>
        </w:rPr>
        <w:t>月</w:t>
      </w:r>
      <w:r>
        <w:rPr>
          <w:rFonts w:hint="eastAsia" w:ascii="宋体" w:hAnsi="宋体" w:eastAsia="宋体" w:cs="宋体"/>
          <w:sz w:val="24"/>
          <w:szCs w:val="24"/>
          <w:lang w:val="en-US" w:eastAsia="zh-CN"/>
        </w:rPr>
        <w:t>5</w:t>
      </w:r>
      <w:r>
        <w:rPr>
          <w:rFonts w:hint="eastAsia" w:ascii="宋体" w:hAnsi="宋体" w:eastAsia="宋体" w:cs="宋体"/>
          <w:sz w:val="24"/>
          <w:szCs w:val="24"/>
        </w:rPr>
        <w:t>日新疆中测测试有限责任公司对评价范围内的</w:t>
      </w:r>
      <w:r>
        <w:rPr>
          <w:rFonts w:hint="eastAsia" w:ascii="宋体" w:hAnsi="宋体" w:eastAsia="宋体" w:cs="宋体"/>
          <w:sz w:val="24"/>
          <w:szCs w:val="24"/>
          <w:lang w:val="en-US" w:eastAsia="zh-CN"/>
        </w:rPr>
        <w:t>3</w:t>
      </w:r>
      <w:r>
        <w:rPr>
          <w:rFonts w:hint="eastAsia" w:ascii="宋体" w:hAnsi="宋体" w:eastAsia="宋体" w:cs="宋体"/>
          <w:sz w:val="24"/>
          <w:szCs w:val="24"/>
        </w:rPr>
        <w:t>口水井进行了水位测量工作，</w:t>
      </w:r>
      <w:r>
        <w:rPr>
          <w:rFonts w:hint="eastAsia" w:ascii="宋体" w:hAnsi="宋体" w:eastAsia="宋体" w:cs="宋体"/>
          <w:sz w:val="24"/>
          <w:szCs w:val="24"/>
          <w:lang w:val="en-US" w:eastAsia="zh-CN"/>
        </w:rPr>
        <w:t>2025年12月20日环境影响评价编制单位走访当地居民和实地调查对评价范围内的另外3</w:t>
      </w:r>
      <w:r>
        <w:rPr>
          <w:rFonts w:hint="eastAsia" w:ascii="宋体" w:hAnsi="宋体" w:eastAsia="宋体" w:cs="宋体"/>
          <w:sz w:val="24"/>
          <w:szCs w:val="24"/>
        </w:rPr>
        <w:t>口水井</w:t>
      </w:r>
      <w:r>
        <w:rPr>
          <w:rFonts w:hint="eastAsia" w:ascii="宋体" w:hAnsi="宋体" w:eastAsia="宋体" w:cs="宋体"/>
          <w:sz w:val="24"/>
          <w:szCs w:val="24"/>
          <w:lang w:eastAsia="zh-CN"/>
        </w:rPr>
        <w:t>进行了水位测量工作，</w:t>
      </w:r>
      <w:r>
        <w:rPr>
          <w:rFonts w:hint="eastAsia" w:ascii="宋体" w:hAnsi="宋体" w:eastAsia="宋体" w:cs="宋体"/>
          <w:sz w:val="24"/>
          <w:szCs w:val="24"/>
        </w:rPr>
        <w:t>结果见表4.2-9。根据水位调查结果，评价范围水力坡度约为1.</w:t>
      </w:r>
      <w:r>
        <w:rPr>
          <w:rFonts w:hint="eastAsia" w:ascii="宋体" w:hAnsi="宋体" w:eastAsia="宋体" w:cs="宋体"/>
          <w:sz w:val="24"/>
          <w:szCs w:val="24"/>
          <w:lang w:val="en-US" w:eastAsia="zh-CN"/>
        </w:rPr>
        <w:t>2</w:t>
      </w:r>
      <w:r>
        <w:rPr>
          <w:rFonts w:hint="eastAsia" w:ascii="宋体" w:hAnsi="宋体" w:eastAsia="宋体" w:cs="宋体"/>
          <w:sz w:val="24"/>
          <w:szCs w:val="24"/>
        </w:rPr>
        <w:t>‰，地下水流向为</w:t>
      </w:r>
      <w:r>
        <w:rPr>
          <w:rFonts w:hint="eastAsia" w:ascii="宋体" w:hAnsi="宋体" w:eastAsia="宋体" w:cs="宋体"/>
          <w:sz w:val="24"/>
          <w:szCs w:val="24"/>
          <w:lang w:eastAsia="zh-CN"/>
        </w:rPr>
        <w:t>西北</w:t>
      </w:r>
      <w:r>
        <w:rPr>
          <w:rFonts w:hint="eastAsia" w:ascii="宋体" w:hAnsi="宋体" w:eastAsia="宋体" w:cs="宋体"/>
          <w:sz w:val="24"/>
          <w:szCs w:val="24"/>
        </w:rPr>
        <w:t>向</w:t>
      </w:r>
      <w:r>
        <w:rPr>
          <w:rFonts w:hint="eastAsia" w:ascii="宋体" w:hAnsi="宋体" w:eastAsia="宋体" w:cs="宋体"/>
          <w:sz w:val="24"/>
          <w:szCs w:val="24"/>
          <w:lang w:eastAsia="zh-CN"/>
        </w:rPr>
        <w:t>东南</w:t>
      </w:r>
      <w:r>
        <w:rPr>
          <w:rFonts w:hint="eastAsia" w:ascii="宋体" w:hAnsi="宋体" w:eastAsia="宋体" w:cs="宋体"/>
          <w:sz w:val="24"/>
          <w:szCs w:val="24"/>
        </w:rPr>
        <w:t>。</w:t>
      </w:r>
    </w:p>
    <w:p w14:paraId="23078B73">
      <w:pPr>
        <w:ind w:firstLine="422"/>
        <w:jc w:val="center"/>
        <w:rPr>
          <w:rFonts w:hint="eastAsia" w:ascii="宋体" w:hAnsi="宋体" w:cs="宋体"/>
          <w:b/>
          <w:bCs/>
          <w:color w:val="auto"/>
          <w:sz w:val="21"/>
          <w:szCs w:val="21"/>
        </w:rPr>
      </w:pPr>
      <w:r>
        <w:rPr>
          <w:rFonts w:hint="eastAsia" w:ascii="宋体" w:hAnsi="宋体" w:cs="宋体"/>
          <w:b/>
          <w:bCs/>
          <w:color w:val="auto"/>
          <w:sz w:val="21"/>
          <w:szCs w:val="21"/>
        </w:rPr>
        <w:t xml:space="preserve">表4.2-9   </w:t>
      </w:r>
      <w:r>
        <w:rPr>
          <w:rFonts w:ascii="宋体" w:hAnsi="宋体" w:cs="宋体"/>
          <w:b/>
          <w:bCs/>
          <w:color w:val="auto"/>
          <w:sz w:val="21"/>
          <w:szCs w:val="21"/>
        </w:rPr>
        <w:t>地下水水位调查表</w:t>
      </w:r>
    </w:p>
    <w:tbl>
      <w:tblPr>
        <w:tblStyle w:val="49"/>
        <w:tblW w:w="4981" w:type="pct"/>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963"/>
        <w:gridCol w:w="3405"/>
        <w:gridCol w:w="2613"/>
        <w:gridCol w:w="2100"/>
      </w:tblGrid>
      <w:tr w14:paraId="78EE14E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530" w:type="pct"/>
            <w:tcBorders>
              <w:tl2br w:val="nil"/>
              <w:tr2bl w:val="nil"/>
            </w:tcBorders>
            <w:vAlign w:val="bottom"/>
          </w:tcPr>
          <w:p w14:paraId="7F166381">
            <w:pPr>
              <w:spacing w:line="320" w:lineRule="exact"/>
              <w:ind w:firstLine="0" w:firstLineChars="0"/>
              <w:jc w:val="center"/>
              <w:textAlignment w:val="baseline"/>
              <w:rPr>
                <w:rFonts w:hint="eastAsia" w:ascii="宋体" w:hAnsi="宋体" w:cs="宋体"/>
                <w:color w:val="auto"/>
                <w:kern w:val="13"/>
                <w:sz w:val="21"/>
                <w:szCs w:val="20"/>
              </w:rPr>
            </w:pPr>
            <w:r>
              <w:rPr>
                <w:rFonts w:hint="eastAsia" w:ascii="宋体" w:hAnsi="宋体" w:cs="宋体"/>
                <w:color w:val="auto"/>
                <w:kern w:val="13"/>
                <w:sz w:val="21"/>
                <w:szCs w:val="20"/>
              </w:rPr>
              <w:t>点位</w:t>
            </w:r>
          </w:p>
        </w:tc>
        <w:tc>
          <w:tcPr>
            <w:tcW w:w="1874" w:type="pct"/>
            <w:tcBorders>
              <w:tl2br w:val="nil"/>
              <w:tr2bl w:val="nil"/>
            </w:tcBorders>
            <w:vAlign w:val="bottom"/>
          </w:tcPr>
          <w:p w14:paraId="18F43F1B">
            <w:pPr>
              <w:spacing w:line="320" w:lineRule="exact"/>
              <w:ind w:firstLine="0" w:firstLineChars="0"/>
              <w:jc w:val="center"/>
              <w:textAlignment w:val="baseline"/>
              <w:rPr>
                <w:rFonts w:hint="eastAsia" w:ascii="宋体" w:hAnsi="宋体" w:cs="宋体"/>
                <w:color w:val="auto"/>
                <w:kern w:val="13"/>
                <w:sz w:val="21"/>
                <w:szCs w:val="20"/>
              </w:rPr>
            </w:pPr>
            <w:r>
              <w:rPr>
                <w:rFonts w:hint="eastAsia" w:ascii="宋体" w:hAnsi="宋体" w:cs="宋体"/>
                <w:color w:val="auto"/>
                <w:kern w:val="13"/>
                <w:sz w:val="21"/>
                <w:szCs w:val="20"/>
              </w:rPr>
              <w:t>经纬度</w:t>
            </w:r>
          </w:p>
        </w:tc>
        <w:tc>
          <w:tcPr>
            <w:tcW w:w="1438" w:type="pct"/>
            <w:tcBorders>
              <w:tl2br w:val="nil"/>
              <w:tr2bl w:val="nil"/>
            </w:tcBorders>
            <w:vAlign w:val="bottom"/>
          </w:tcPr>
          <w:p w14:paraId="59EC03E0">
            <w:pPr>
              <w:spacing w:line="320" w:lineRule="exact"/>
              <w:ind w:firstLine="0" w:firstLineChars="0"/>
              <w:jc w:val="center"/>
              <w:textAlignment w:val="baseline"/>
              <w:rPr>
                <w:rFonts w:hint="eastAsia" w:ascii="宋体" w:hAnsi="宋体" w:cs="宋体"/>
                <w:color w:val="auto"/>
                <w:kern w:val="13"/>
                <w:sz w:val="21"/>
                <w:szCs w:val="20"/>
              </w:rPr>
            </w:pPr>
            <w:r>
              <w:rPr>
                <w:rFonts w:hint="eastAsia" w:ascii="宋体" w:hAnsi="宋体" w:cs="宋体"/>
                <w:color w:val="auto"/>
                <w:kern w:val="13"/>
                <w:sz w:val="21"/>
                <w:szCs w:val="20"/>
              </w:rPr>
              <w:t>水位</w:t>
            </w:r>
          </w:p>
        </w:tc>
        <w:tc>
          <w:tcPr>
            <w:tcW w:w="1156" w:type="pct"/>
            <w:tcBorders>
              <w:tl2br w:val="nil"/>
              <w:tr2bl w:val="nil"/>
            </w:tcBorders>
            <w:vAlign w:val="bottom"/>
          </w:tcPr>
          <w:p w14:paraId="4E5DA0C9">
            <w:pPr>
              <w:spacing w:line="320" w:lineRule="exact"/>
              <w:ind w:firstLine="0" w:firstLineChars="0"/>
              <w:jc w:val="center"/>
              <w:textAlignment w:val="baseline"/>
              <w:rPr>
                <w:rFonts w:hint="eastAsia" w:ascii="宋体" w:hAnsi="宋体" w:cs="宋体"/>
                <w:color w:val="auto"/>
                <w:kern w:val="13"/>
                <w:sz w:val="21"/>
                <w:szCs w:val="20"/>
              </w:rPr>
            </w:pPr>
            <w:r>
              <w:rPr>
                <w:rFonts w:hint="eastAsia" w:ascii="宋体" w:hAnsi="宋体" w:cs="宋体"/>
                <w:color w:val="auto"/>
                <w:kern w:val="13"/>
                <w:sz w:val="21"/>
                <w:szCs w:val="20"/>
              </w:rPr>
              <w:t>与项目位置关系</w:t>
            </w:r>
          </w:p>
        </w:tc>
      </w:tr>
      <w:tr w14:paraId="34E744E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530" w:type="pct"/>
            <w:tcBorders>
              <w:tl2br w:val="nil"/>
              <w:tr2bl w:val="nil"/>
            </w:tcBorders>
            <w:vAlign w:val="center"/>
          </w:tcPr>
          <w:p w14:paraId="60A42872">
            <w:pPr>
              <w:spacing w:line="320" w:lineRule="exact"/>
              <w:ind w:firstLine="0" w:firstLineChars="0"/>
              <w:jc w:val="center"/>
              <w:textAlignment w:val="baseline"/>
              <w:rPr>
                <w:rFonts w:hint="eastAsia" w:ascii="宋体" w:hAnsi="宋体" w:cs="宋体"/>
                <w:color w:val="auto"/>
                <w:kern w:val="13"/>
                <w:sz w:val="21"/>
                <w:szCs w:val="20"/>
              </w:rPr>
            </w:pPr>
            <w:r>
              <w:rPr>
                <w:rFonts w:hint="eastAsia" w:ascii="宋体" w:hAnsi="宋体" w:cs="宋体"/>
                <w:color w:val="auto"/>
                <w:kern w:val="13"/>
                <w:sz w:val="21"/>
                <w:szCs w:val="20"/>
              </w:rPr>
              <w:t>1#</w:t>
            </w:r>
          </w:p>
        </w:tc>
        <w:tc>
          <w:tcPr>
            <w:tcW w:w="1874" w:type="pct"/>
            <w:tcBorders>
              <w:tl2br w:val="nil"/>
              <w:tr2bl w:val="nil"/>
            </w:tcBorders>
            <w:vAlign w:val="center"/>
          </w:tcPr>
          <w:p w14:paraId="06EC73DA">
            <w:pPr>
              <w:keepNext w:val="0"/>
              <w:keepLines w:val="0"/>
              <w:pageBreakBefore w:val="0"/>
              <w:widowControl w:val="0"/>
              <w:kinsoku/>
              <w:wordWrap/>
              <w:overflowPunct/>
              <w:topLinePunct w:val="0"/>
              <w:autoSpaceDE/>
              <w:autoSpaceDN/>
              <w:bidi w:val="0"/>
              <w:adjustRightInd/>
              <w:snapToGrid/>
              <w:spacing w:line="280" w:lineRule="exact"/>
              <w:jc w:val="center"/>
              <w:rPr>
                <w:rFonts w:hint="eastAsia" w:ascii="宋体" w:hAnsi="宋体" w:cs="宋体"/>
                <w:color w:val="auto"/>
                <w:kern w:val="13"/>
                <w:sz w:val="21"/>
                <w:szCs w:val="20"/>
              </w:rPr>
            </w:pPr>
            <w:r>
              <w:rPr>
                <w:rFonts w:hint="eastAsia" w:ascii="宋体" w:hAnsi="宋体" w:cs="宋体"/>
                <w:szCs w:val="21"/>
              </w:rPr>
              <w:t>经度85.828349</w:t>
            </w:r>
            <w:r>
              <w:rPr>
                <w:rFonts w:hint="eastAsia" w:ascii="宋体" w:hAnsi="宋体" w:cs="宋体"/>
                <w:szCs w:val="21"/>
                <w:lang w:eastAsia="zh-CN"/>
              </w:rPr>
              <w:t>、</w:t>
            </w:r>
            <w:r>
              <w:rPr>
                <w:rFonts w:hint="eastAsia" w:ascii="宋体" w:hAnsi="宋体" w:cs="宋体"/>
                <w:szCs w:val="21"/>
              </w:rPr>
              <w:t>纬度41.420222</w:t>
            </w:r>
          </w:p>
        </w:tc>
        <w:tc>
          <w:tcPr>
            <w:tcW w:w="1438" w:type="pct"/>
            <w:tcBorders>
              <w:tl2br w:val="nil"/>
              <w:tr2bl w:val="nil"/>
            </w:tcBorders>
            <w:vAlign w:val="center"/>
          </w:tcPr>
          <w:p w14:paraId="5F30F1A4">
            <w:pPr>
              <w:keepNext w:val="0"/>
              <w:keepLines w:val="0"/>
              <w:pageBreakBefore w:val="0"/>
              <w:widowControl w:val="0"/>
              <w:kinsoku/>
              <w:wordWrap/>
              <w:overflowPunct/>
              <w:topLinePunct w:val="0"/>
              <w:autoSpaceDE/>
              <w:autoSpaceDN/>
              <w:bidi w:val="0"/>
              <w:adjustRightInd/>
              <w:snapToGrid/>
              <w:spacing w:line="280" w:lineRule="exact"/>
              <w:jc w:val="center"/>
              <w:textAlignment w:val="baseline"/>
              <w:rPr>
                <w:rFonts w:hint="eastAsia" w:ascii="宋体" w:hAnsi="宋体" w:cs="宋体"/>
                <w:color w:val="auto"/>
                <w:kern w:val="13"/>
                <w:sz w:val="21"/>
                <w:szCs w:val="20"/>
              </w:rPr>
            </w:pPr>
            <w:r>
              <w:rPr>
                <w:rFonts w:hint="eastAsia" w:ascii="宋体" w:hAnsi="宋体" w:cs="宋体"/>
                <w:kern w:val="13"/>
              </w:rPr>
              <w:t>4.5</w:t>
            </w:r>
          </w:p>
        </w:tc>
        <w:tc>
          <w:tcPr>
            <w:tcW w:w="1156" w:type="pct"/>
            <w:tcBorders>
              <w:tl2br w:val="nil"/>
              <w:tr2bl w:val="nil"/>
            </w:tcBorders>
            <w:vAlign w:val="center"/>
          </w:tcPr>
          <w:p w14:paraId="73B2FED6">
            <w:pPr>
              <w:keepNext w:val="0"/>
              <w:keepLines w:val="0"/>
              <w:pageBreakBefore w:val="0"/>
              <w:widowControl w:val="0"/>
              <w:kinsoku/>
              <w:wordWrap/>
              <w:overflowPunct/>
              <w:topLinePunct w:val="0"/>
              <w:autoSpaceDE/>
              <w:autoSpaceDN/>
              <w:bidi w:val="0"/>
              <w:adjustRightInd/>
              <w:snapToGrid/>
              <w:spacing w:line="280" w:lineRule="exact"/>
              <w:jc w:val="center"/>
              <w:textAlignment w:val="baseline"/>
              <w:rPr>
                <w:rFonts w:hint="eastAsia" w:ascii="宋体" w:hAnsi="宋体" w:cs="宋体"/>
                <w:color w:val="auto"/>
                <w:kern w:val="13"/>
                <w:sz w:val="21"/>
                <w:szCs w:val="20"/>
              </w:rPr>
            </w:pPr>
            <w:r>
              <w:rPr>
                <w:rFonts w:hint="eastAsia" w:ascii="宋体" w:hAnsi="宋体" w:cs="宋体"/>
                <w:kern w:val="13"/>
              </w:rPr>
              <w:t>项目区上游</w:t>
            </w:r>
          </w:p>
        </w:tc>
      </w:tr>
      <w:tr w14:paraId="0068DAA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530" w:type="pct"/>
            <w:tcBorders>
              <w:tl2br w:val="nil"/>
              <w:tr2bl w:val="nil"/>
            </w:tcBorders>
            <w:vAlign w:val="center"/>
          </w:tcPr>
          <w:p w14:paraId="274B9183">
            <w:pPr>
              <w:spacing w:line="320" w:lineRule="exact"/>
              <w:ind w:firstLine="0" w:firstLineChars="0"/>
              <w:jc w:val="center"/>
              <w:textAlignment w:val="baseline"/>
              <w:rPr>
                <w:rFonts w:hint="eastAsia" w:ascii="宋体" w:hAnsi="宋体" w:cs="宋体"/>
                <w:color w:val="auto"/>
                <w:kern w:val="13"/>
                <w:sz w:val="21"/>
                <w:szCs w:val="20"/>
              </w:rPr>
            </w:pPr>
            <w:r>
              <w:rPr>
                <w:rFonts w:hint="eastAsia" w:ascii="宋体" w:hAnsi="宋体" w:cs="宋体"/>
                <w:color w:val="auto"/>
                <w:kern w:val="13"/>
                <w:sz w:val="21"/>
                <w:szCs w:val="20"/>
              </w:rPr>
              <w:t>2#</w:t>
            </w:r>
          </w:p>
        </w:tc>
        <w:tc>
          <w:tcPr>
            <w:tcW w:w="1874" w:type="pct"/>
            <w:tcBorders>
              <w:tl2br w:val="nil"/>
              <w:tr2bl w:val="nil"/>
            </w:tcBorders>
            <w:vAlign w:val="center"/>
          </w:tcPr>
          <w:p w14:paraId="38099453">
            <w:pPr>
              <w:keepNext w:val="0"/>
              <w:keepLines w:val="0"/>
              <w:pageBreakBefore w:val="0"/>
              <w:widowControl w:val="0"/>
              <w:kinsoku/>
              <w:wordWrap/>
              <w:overflowPunct/>
              <w:topLinePunct w:val="0"/>
              <w:autoSpaceDE/>
              <w:autoSpaceDN/>
              <w:bidi w:val="0"/>
              <w:adjustRightInd/>
              <w:snapToGrid/>
              <w:spacing w:line="280" w:lineRule="exact"/>
              <w:jc w:val="center"/>
              <w:rPr>
                <w:rFonts w:hint="eastAsia" w:ascii="宋体" w:hAnsi="宋体" w:cs="宋体"/>
                <w:color w:val="auto"/>
                <w:kern w:val="13"/>
                <w:sz w:val="21"/>
                <w:szCs w:val="20"/>
              </w:rPr>
            </w:pPr>
            <w:r>
              <w:rPr>
                <w:rFonts w:hint="eastAsia" w:ascii="宋体" w:hAnsi="宋体" w:cs="宋体"/>
                <w:szCs w:val="21"/>
              </w:rPr>
              <w:t>经度85.838871</w:t>
            </w:r>
            <w:r>
              <w:rPr>
                <w:rFonts w:hint="eastAsia" w:ascii="宋体" w:hAnsi="宋体" w:cs="宋体"/>
                <w:szCs w:val="21"/>
                <w:lang w:eastAsia="zh-CN"/>
              </w:rPr>
              <w:t>、</w:t>
            </w:r>
            <w:r>
              <w:rPr>
                <w:rFonts w:hint="eastAsia" w:ascii="宋体" w:hAnsi="宋体" w:cs="宋体"/>
                <w:szCs w:val="21"/>
              </w:rPr>
              <w:t>纬度41.418164</w:t>
            </w:r>
          </w:p>
        </w:tc>
        <w:tc>
          <w:tcPr>
            <w:tcW w:w="1438" w:type="pct"/>
            <w:tcBorders>
              <w:tl2br w:val="nil"/>
              <w:tr2bl w:val="nil"/>
            </w:tcBorders>
            <w:vAlign w:val="center"/>
          </w:tcPr>
          <w:p w14:paraId="7C8C19BE">
            <w:pPr>
              <w:keepNext w:val="0"/>
              <w:keepLines w:val="0"/>
              <w:pageBreakBefore w:val="0"/>
              <w:widowControl w:val="0"/>
              <w:kinsoku/>
              <w:wordWrap/>
              <w:overflowPunct/>
              <w:topLinePunct w:val="0"/>
              <w:autoSpaceDE/>
              <w:autoSpaceDN/>
              <w:bidi w:val="0"/>
              <w:adjustRightInd/>
              <w:snapToGrid/>
              <w:spacing w:line="280" w:lineRule="exact"/>
              <w:jc w:val="center"/>
              <w:textAlignment w:val="baseline"/>
              <w:rPr>
                <w:rFonts w:hint="eastAsia" w:ascii="宋体" w:hAnsi="宋体" w:cs="宋体"/>
                <w:color w:val="auto"/>
                <w:kern w:val="13"/>
                <w:sz w:val="21"/>
                <w:szCs w:val="20"/>
              </w:rPr>
            </w:pPr>
            <w:r>
              <w:rPr>
                <w:rFonts w:hint="eastAsia" w:ascii="宋体" w:hAnsi="宋体" w:cs="宋体"/>
                <w:kern w:val="13"/>
              </w:rPr>
              <w:t>4.3</w:t>
            </w:r>
          </w:p>
        </w:tc>
        <w:tc>
          <w:tcPr>
            <w:tcW w:w="1156" w:type="pct"/>
            <w:tcBorders>
              <w:tl2br w:val="nil"/>
              <w:tr2bl w:val="nil"/>
            </w:tcBorders>
            <w:vAlign w:val="center"/>
          </w:tcPr>
          <w:p w14:paraId="25C48D2E">
            <w:pPr>
              <w:keepNext w:val="0"/>
              <w:keepLines w:val="0"/>
              <w:pageBreakBefore w:val="0"/>
              <w:widowControl w:val="0"/>
              <w:kinsoku/>
              <w:wordWrap/>
              <w:overflowPunct/>
              <w:topLinePunct w:val="0"/>
              <w:autoSpaceDE/>
              <w:autoSpaceDN/>
              <w:bidi w:val="0"/>
              <w:adjustRightInd/>
              <w:snapToGrid/>
              <w:spacing w:line="280" w:lineRule="exact"/>
              <w:jc w:val="center"/>
              <w:textAlignment w:val="baseline"/>
              <w:rPr>
                <w:rFonts w:hint="eastAsia" w:ascii="宋体" w:hAnsi="宋体" w:cs="宋体"/>
                <w:color w:val="auto"/>
                <w:kern w:val="13"/>
                <w:sz w:val="21"/>
                <w:szCs w:val="20"/>
              </w:rPr>
            </w:pPr>
            <w:r>
              <w:rPr>
                <w:rFonts w:hint="eastAsia" w:ascii="宋体" w:hAnsi="宋体" w:cs="宋体"/>
                <w:kern w:val="13"/>
              </w:rPr>
              <w:t>项目区</w:t>
            </w:r>
          </w:p>
        </w:tc>
      </w:tr>
      <w:tr w14:paraId="5B69305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530" w:type="pct"/>
            <w:tcBorders>
              <w:tl2br w:val="nil"/>
              <w:tr2bl w:val="nil"/>
            </w:tcBorders>
            <w:vAlign w:val="center"/>
          </w:tcPr>
          <w:p w14:paraId="51981FD0">
            <w:pPr>
              <w:spacing w:line="320" w:lineRule="exact"/>
              <w:ind w:firstLine="0" w:firstLineChars="0"/>
              <w:jc w:val="center"/>
              <w:textAlignment w:val="baseline"/>
              <w:rPr>
                <w:rFonts w:hint="eastAsia" w:ascii="宋体" w:hAnsi="宋体" w:cs="宋体"/>
                <w:color w:val="auto"/>
                <w:kern w:val="13"/>
                <w:sz w:val="21"/>
                <w:szCs w:val="20"/>
              </w:rPr>
            </w:pPr>
            <w:r>
              <w:rPr>
                <w:rFonts w:hint="eastAsia" w:ascii="宋体" w:hAnsi="宋体" w:cs="宋体"/>
                <w:color w:val="auto"/>
                <w:kern w:val="13"/>
                <w:sz w:val="21"/>
                <w:szCs w:val="20"/>
              </w:rPr>
              <w:t>3#</w:t>
            </w:r>
          </w:p>
        </w:tc>
        <w:tc>
          <w:tcPr>
            <w:tcW w:w="1874" w:type="pct"/>
            <w:tcBorders>
              <w:tl2br w:val="nil"/>
              <w:tr2bl w:val="nil"/>
            </w:tcBorders>
            <w:vAlign w:val="center"/>
          </w:tcPr>
          <w:p w14:paraId="4F28B11D">
            <w:pPr>
              <w:keepNext w:val="0"/>
              <w:keepLines w:val="0"/>
              <w:pageBreakBefore w:val="0"/>
              <w:widowControl w:val="0"/>
              <w:kinsoku/>
              <w:wordWrap/>
              <w:overflowPunct/>
              <w:topLinePunct w:val="0"/>
              <w:autoSpaceDE/>
              <w:autoSpaceDN/>
              <w:bidi w:val="0"/>
              <w:adjustRightInd/>
              <w:snapToGrid/>
              <w:spacing w:line="280" w:lineRule="exact"/>
              <w:jc w:val="center"/>
              <w:rPr>
                <w:rFonts w:hint="eastAsia" w:ascii="宋体" w:hAnsi="宋体" w:cs="宋体"/>
                <w:color w:val="auto"/>
                <w:kern w:val="13"/>
                <w:sz w:val="21"/>
                <w:szCs w:val="20"/>
              </w:rPr>
            </w:pPr>
            <w:r>
              <w:rPr>
                <w:rFonts w:hint="eastAsia" w:ascii="宋体" w:hAnsi="宋体" w:cs="宋体"/>
                <w:szCs w:val="21"/>
              </w:rPr>
              <w:t>经度85.848861</w:t>
            </w:r>
            <w:r>
              <w:rPr>
                <w:rFonts w:hint="eastAsia" w:ascii="宋体" w:hAnsi="宋体" w:cs="宋体"/>
                <w:szCs w:val="21"/>
                <w:lang w:eastAsia="zh-CN"/>
              </w:rPr>
              <w:t>、</w:t>
            </w:r>
            <w:r>
              <w:rPr>
                <w:rFonts w:hint="eastAsia" w:ascii="宋体" w:hAnsi="宋体" w:cs="宋体"/>
                <w:szCs w:val="21"/>
              </w:rPr>
              <w:t>纬度41.414155</w:t>
            </w:r>
          </w:p>
        </w:tc>
        <w:tc>
          <w:tcPr>
            <w:tcW w:w="1438" w:type="pct"/>
            <w:tcBorders>
              <w:tl2br w:val="nil"/>
              <w:tr2bl w:val="nil"/>
            </w:tcBorders>
            <w:vAlign w:val="center"/>
          </w:tcPr>
          <w:p w14:paraId="25634E8D">
            <w:pPr>
              <w:keepNext w:val="0"/>
              <w:keepLines w:val="0"/>
              <w:pageBreakBefore w:val="0"/>
              <w:widowControl w:val="0"/>
              <w:kinsoku/>
              <w:wordWrap/>
              <w:overflowPunct/>
              <w:topLinePunct w:val="0"/>
              <w:autoSpaceDE/>
              <w:autoSpaceDN/>
              <w:bidi w:val="0"/>
              <w:adjustRightInd/>
              <w:snapToGrid/>
              <w:spacing w:line="280" w:lineRule="exact"/>
              <w:jc w:val="center"/>
              <w:textAlignment w:val="baseline"/>
              <w:rPr>
                <w:rFonts w:hint="eastAsia" w:ascii="宋体" w:hAnsi="宋体" w:cs="宋体"/>
                <w:color w:val="auto"/>
                <w:kern w:val="13"/>
                <w:sz w:val="21"/>
                <w:szCs w:val="20"/>
              </w:rPr>
            </w:pPr>
            <w:r>
              <w:rPr>
                <w:rFonts w:hint="eastAsia" w:ascii="宋体" w:hAnsi="宋体" w:cs="宋体"/>
                <w:kern w:val="13"/>
              </w:rPr>
              <w:t>3.8</w:t>
            </w:r>
          </w:p>
        </w:tc>
        <w:tc>
          <w:tcPr>
            <w:tcW w:w="1156" w:type="pct"/>
            <w:tcBorders>
              <w:tl2br w:val="nil"/>
              <w:tr2bl w:val="nil"/>
            </w:tcBorders>
            <w:vAlign w:val="center"/>
          </w:tcPr>
          <w:p w14:paraId="6DC937A9">
            <w:pPr>
              <w:keepNext w:val="0"/>
              <w:keepLines w:val="0"/>
              <w:pageBreakBefore w:val="0"/>
              <w:widowControl w:val="0"/>
              <w:kinsoku/>
              <w:wordWrap/>
              <w:overflowPunct/>
              <w:topLinePunct w:val="0"/>
              <w:autoSpaceDE/>
              <w:autoSpaceDN/>
              <w:bidi w:val="0"/>
              <w:adjustRightInd/>
              <w:snapToGrid/>
              <w:spacing w:line="280" w:lineRule="exact"/>
              <w:jc w:val="center"/>
              <w:textAlignment w:val="baseline"/>
              <w:rPr>
                <w:rFonts w:hint="eastAsia" w:ascii="宋体" w:hAnsi="宋体" w:cs="宋体"/>
                <w:color w:val="auto"/>
                <w:kern w:val="13"/>
                <w:sz w:val="21"/>
                <w:szCs w:val="20"/>
              </w:rPr>
            </w:pPr>
            <w:r>
              <w:rPr>
                <w:rFonts w:hint="eastAsia" w:ascii="宋体" w:hAnsi="宋体" w:cs="宋体"/>
                <w:kern w:val="13"/>
              </w:rPr>
              <w:t>项目区下游</w:t>
            </w:r>
          </w:p>
        </w:tc>
      </w:tr>
      <w:tr w14:paraId="6AFB13F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530" w:type="pct"/>
            <w:tcBorders>
              <w:tl2br w:val="nil"/>
              <w:tr2bl w:val="nil"/>
            </w:tcBorders>
            <w:vAlign w:val="center"/>
          </w:tcPr>
          <w:p w14:paraId="6D6FC993">
            <w:pPr>
              <w:spacing w:line="320" w:lineRule="exact"/>
              <w:ind w:firstLine="0" w:firstLineChars="0"/>
              <w:jc w:val="center"/>
              <w:textAlignment w:val="baseline"/>
              <w:rPr>
                <w:rFonts w:hint="eastAsia" w:ascii="宋体" w:hAnsi="宋体" w:cs="宋体"/>
                <w:color w:val="auto"/>
                <w:kern w:val="13"/>
                <w:sz w:val="21"/>
                <w:szCs w:val="20"/>
              </w:rPr>
            </w:pPr>
            <w:r>
              <w:rPr>
                <w:rFonts w:hint="eastAsia" w:ascii="宋体" w:hAnsi="宋体" w:cs="宋体"/>
                <w:color w:val="auto"/>
                <w:kern w:val="13"/>
                <w:sz w:val="21"/>
                <w:szCs w:val="20"/>
              </w:rPr>
              <w:t>4#</w:t>
            </w:r>
          </w:p>
        </w:tc>
        <w:tc>
          <w:tcPr>
            <w:tcW w:w="1874" w:type="pct"/>
            <w:tcBorders>
              <w:tl2br w:val="nil"/>
              <w:tr2bl w:val="nil"/>
            </w:tcBorders>
            <w:vAlign w:val="center"/>
          </w:tcPr>
          <w:p w14:paraId="65DF9292">
            <w:pPr>
              <w:keepNext w:val="0"/>
              <w:keepLines w:val="0"/>
              <w:pageBreakBefore w:val="0"/>
              <w:widowControl w:val="0"/>
              <w:kinsoku/>
              <w:wordWrap/>
              <w:overflowPunct/>
              <w:topLinePunct w:val="0"/>
              <w:autoSpaceDE/>
              <w:autoSpaceDN/>
              <w:bidi w:val="0"/>
              <w:adjustRightInd/>
              <w:snapToGrid/>
              <w:spacing w:line="280" w:lineRule="exact"/>
              <w:jc w:val="center"/>
              <w:rPr>
                <w:rFonts w:hint="default" w:ascii="宋体" w:hAnsi="宋体" w:eastAsia="宋体" w:cs="宋体"/>
                <w:color w:val="auto"/>
                <w:kern w:val="13"/>
                <w:sz w:val="21"/>
                <w:szCs w:val="20"/>
                <w:lang w:val="en-US" w:eastAsia="zh-CN"/>
              </w:rPr>
            </w:pPr>
            <w:r>
              <w:rPr>
                <w:rFonts w:hint="eastAsia" w:ascii="宋体" w:hAnsi="宋体" w:cs="宋体"/>
                <w:szCs w:val="21"/>
              </w:rPr>
              <w:t>经度85.</w:t>
            </w:r>
            <w:r>
              <w:rPr>
                <w:rFonts w:hint="eastAsia" w:ascii="宋体" w:hAnsi="宋体" w:cs="宋体"/>
                <w:szCs w:val="21"/>
                <w:lang w:val="en-US" w:eastAsia="zh-CN"/>
              </w:rPr>
              <w:t>833485、</w:t>
            </w:r>
            <w:r>
              <w:rPr>
                <w:rFonts w:hint="eastAsia" w:ascii="宋体" w:hAnsi="宋体" w:cs="宋体"/>
                <w:szCs w:val="21"/>
              </w:rPr>
              <w:t>纬度41.</w:t>
            </w:r>
            <w:r>
              <w:rPr>
                <w:rFonts w:hint="eastAsia" w:ascii="宋体" w:hAnsi="宋体" w:cs="宋体"/>
                <w:szCs w:val="21"/>
                <w:lang w:val="en-US" w:eastAsia="zh-CN"/>
              </w:rPr>
              <w:t>416351</w:t>
            </w:r>
          </w:p>
        </w:tc>
        <w:tc>
          <w:tcPr>
            <w:tcW w:w="1438" w:type="pct"/>
            <w:tcBorders>
              <w:tl2br w:val="nil"/>
              <w:tr2bl w:val="nil"/>
            </w:tcBorders>
            <w:vAlign w:val="center"/>
          </w:tcPr>
          <w:p w14:paraId="250B378E">
            <w:pPr>
              <w:spacing w:line="320" w:lineRule="exact"/>
              <w:ind w:firstLine="0" w:firstLineChars="0"/>
              <w:jc w:val="center"/>
              <w:textAlignment w:val="baseline"/>
              <w:rPr>
                <w:rFonts w:hint="default" w:ascii="宋体" w:hAnsi="宋体" w:eastAsia="宋体" w:cs="宋体"/>
                <w:color w:val="auto"/>
                <w:kern w:val="13"/>
                <w:sz w:val="21"/>
                <w:szCs w:val="20"/>
                <w:lang w:val="en-US" w:eastAsia="zh-CN"/>
              </w:rPr>
            </w:pPr>
            <w:r>
              <w:rPr>
                <w:rFonts w:hint="eastAsia" w:ascii="宋体" w:hAnsi="宋体" w:cs="宋体"/>
                <w:color w:val="auto"/>
                <w:kern w:val="13"/>
                <w:sz w:val="21"/>
                <w:szCs w:val="20"/>
                <w:lang w:val="en-US" w:eastAsia="zh-CN"/>
              </w:rPr>
              <w:t>3.7</w:t>
            </w:r>
          </w:p>
        </w:tc>
        <w:tc>
          <w:tcPr>
            <w:tcW w:w="1156" w:type="pct"/>
            <w:tcBorders>
              <w:tl2br w:val="nil"/>
              <w:tr2bl w:val="nil"/>
            </w:tcBorders>
            <w:vAlign w:val="center"/>
          </w:tcPr>
          <w:p w14:paraId="3A5F0978">
            <w:pPr>
              <w:spacing w:line="320" w:lineRule="exact"/>
              <w:ind w:firstLine="0" w:firstLineChars="0"/>
              <w:jc w:val="center"/>
              <w:textAlignment w:val="baseline"/>
              <w:rPr>
                <w:rFonts w:hint="eastAsia" w:ascii="宋体" w:hAnsi="宋体" w:cs="宋体"/>
                <w:color w:val="auto"/>
                <w:kern w:val="13"/>
                <w:sz w:val="21"/>
                <w:szCs w:val="20"/>
              </w:rPr>
            </w:pPr>
            <w:r>
              <w:rPr>
                <w:rFonts w:hint="eastAsia" w:ascii="宋体" w:hAnsi="宋体" w:cs="宋体"/>
                <w:color w:val="auto"/>
                <w:kern w:val="13"/>
                <w:sz w:val="21"/>
                <w:szCs w:val="20"/>
              </w:rPr>
              <w:t>项目区</w:t>
            </w:r>
            <w:r>
              <w:rPr>
                <w:rFonts w:hint="eastAsia" w:ascii="宋体" w:hAnsi="宋体" w:cs="宋体"/>
                <w:color w:val="auto"/>
                <w:kern w:val="13"/>
                <w:sz w:val="21"/>
                <w:szCs w:val="20"/>
                <w:lang w:eastAsia="zh-CN"/>
              </w:rPr>
              <w:t>南</w:t>
            </w:r>
            <w:r>
              <w:rPr>
                <w:rFonts w:hint="eastAsia" w:ascii="宋体" w:hAnsi="宋体" w:cs="宋体"/>
                <w:color w:val="auto"/>
                <w:kern w:val="13"/>
                <w:sz w:val="21"/>
                <w:szCs w:val="20"/>
              </w:rPr>
              <w:t>侧</w:t>
            </w:r>
          </w:p>
        </w:tc>
      </w:tr>
      <w:tr w14:paraId="7A881FA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530" w:type="pct"/>
            <w:tcBorders>
              <w:tl2br w:val="nil"/>
              <w:tr2bl w:val="nil"/>
            </w:tcBorders>
            <w:vAlign w:val="center"/>
          </w:tcPr>
          <w:p w14:paraId="3D3AB11E">
            <w:pPr>
              <w:spacing w:line="320" w:lineRule="exact"/>
              <w:ind w:firstLine="0" w:firstLineChars="0"/>
              <w:jc w:val="center"/>
              <w:textAlignment w:val="baseline"/>
              <w:rPr>
                <w:rFonts w:hint="eastAsia" w:ascii="宋体" w:hAnsi="宋体" w:cs="宋体"/>
                <w:color w:val="auto"/>
                <w:kern w:val="13"/>
                <w:sz w:val="21"/>
                <w:szCs w:val="20"/>
              </w:rPr>
            </w:pPr>
            <w:r>
              <w:rPr>
                <w:rFonts w:hint="eastAsia" w:ascii="宋体" w:hAnsi="宋体" w:cs="宋体"/>
                <w:color w:val="auto"/>
                <w:kern w:val="13"/>
                <w:sz w:val="21"/>
                <w:szCs w:val="20"/>
              </w:rPr>
              <w:t>5#</w:t>
            </w:r>
          </w:p>
        </w:tc>
        <w:tc>
          <w:tcPr>
            <w:tcW w:w="1874" w:type="pct"/>
            <w:tcBorders>
              <w:tl2br w:val="nil"/>
              <w:tr2bl w:val="nil"/>
            </w:tcBorders>
            <w:vAlign w:val="center"/>
          </w:tcPr>
          <w:p w14:paraId="18BE429B">
            <w:pPr>
              <w:keepNext w:val="0"/>
              <w:keepLines w:val="0"/>
              <w:pageBreakBefore w:val="0"/>
              <w:widowControl w:val="0"/>
              <w:kinsoku/>
              <w:wordWrap/>
              <w:overflowPunct/>
              <w:topLinePunct w:val="0"/>
              <w:autoSpaceDE/>
              <w:autoSpaceDN/>
              <w:bidi w:val="0"/>
              <w:adjustRightInd/>
              <w:snapToGrid/>
              <w:spacing w:line="280" w:lineRule="exact"/>
              <w:jc w:val="center"/>
              <w:rPr>
                <w:rFonts w:hint="default" w:ascii="宋体" w:hAnsi="宋体" w:eastAsia="宋体" w:cs="宋体"/>
                <w:color w:val="auto"/>
                <w:kern w:val="13"/>
                <w:sz w:val="21"/>
                <w:szCs w:val="20"/>
                <w:lang w:val="en-US" w:eastAsia="zh-CN"/>
              </w:rPr>
            </w:pPr>
            <w:r>
              <w:rPr>
                <w:rFonts w:hint="eastAsia" w:ascii="宋体" w:hAnsi="宋体" w:cs="宋体"/>
                <w:szCs w:val="21"/>
              </w:rPr>
              <w:t>经度85.83</w:t>
            </w:r>
            <w:r>
              <w:rPr>
                <w:rFonts w:hint="eastAsia" w:ascii="宋体" w:hAnsi="宋体" w:cs="宋体"/>
                <w:szCs w:val="21"/>
                <w:lang w:val="en-US" w:eastAsia="zh-CN"/>
              </w:rPr>
              <w:t>9064、</w:t>
            </w:r>
            <w:r>
              <w:rPr>
                <w:rFonts w:hint="eastAsia" w:ascii="宋体" w:hAnsi="宋体" w:cs="宋体"/>
                <w:szCs w:val="21"/>
              </w:rPr>
              <w:t>纬度41.4</w:t>
            </w:r>
            <w:r>
              <w:rPr>
                <w:rFonts w:hint="eastAsia" w:ascii="宋体" w:hAnsi="宋体" w:cs="宋体"/>
                <w:szCs w:val="21"/>
                <w:lang w:val="en-US" w:eastAsia="zh-CN"/>
              </w:rPr>
              <w:t>11887</w:t>
            </w:r>
          </w:p>
        </w:tc>
        <w:tc>
          <w:tcPr>
            <w:tcW w:w="1438" w:type="pct"/>
            <w:tcBorders>
              <w:tl2br w:val="nil"/>
              <w:tr2bl w:val="nil"/>
            </w:tcBorders>
            <w:vAlign w:val="center"/>
          </w:tcPr>
          <w:p w14:paraId="324F3296">
            <w:pPr>
              <w:spacing w:line="320" w:lineRule="exact"/>
              <w:ind w:firstLine="0" w:firstLineChars="0"/>
              <w:jc w:val="center"/>
              <w:textAlignment w:val="baseline"/>
              <w:rPr>
                <w:rFonts w:hint="default" w:ascii="宋体" w:hAnsi="宋体" w:eastAsia="宋体" w:cs="宋体"/>
                <w:color w:val="auto"/>
                <w:kern w:val="13"/>
                <w:sz w:val="21"/>
                <w:szCs w:val="20"/>
                <w:lang w:val="en-US" w:eastAsia="zh-CN"/>
              </w:rPr>
            </w:pPr>
            <w:r>
              <w:rPr>
                <w:rFonts w:hint="eastAsia" w:ascii="宋体" w:hAnsi="宋体" w:cs="宋体"/>
                <w:color w:val="auto"/>
                <w:kern w:val="13"/>
                <w:sz w:val="21"/>
                <w:szCs w:val="20"/>
                <w:lang w:val="en-US" w:eastAsia="zh-CN"/>
              </w:rPr>
              <w:t>3.6</w:t>
            </w:r>
          </w:p>
        </w:tc>
        <w:tc>
          <w:tcPr>
            <w:tcW w:w="1156" w:type="pct"/>
            <w:tcBorders>
              <w:tl2br w:val="nil"/>
              <w:tr2bl w:val="nil"/>
            </w:tcBorders>
            <w:vAlign w:val="center"/>
          </w:tcPr>
          <w:p w14:paraId="235477E4">
            <w:pPr>
              <w:spacing w:line="320" w:lineRule="exact"/>
              <w:ind w:firstLine="0" w:firstLineChars="0"/>
              <w:jc w:val="center"/>
              <w:textAlignment w:val="baseline"/>
              <w:rPr>
                <w:rFonts w:hint="eastAsia" w:ascii="宋体" w:hAnsi="宋体" w:cs="宋体"/>
                <w:color w:val="auto"/>
                <w:kern w:val="13"/>
                <w:sz w:val="21"/>
                <w:szCs w:val="20"/>
              </w:rPr>
            </w:pPr>
            <w:r>
              <w:rPr>
                <w:rFonts w:hint="eastAsia" w:ascii="宋体" w:hAnsi="宋体" w:cs="宋体"/>
                <w:color w:val="auto"/>
                <w:kern w:val="13"/>
                <w:sz w:val="21"/>
                <w:szCs w:val="20"/>
              </w:rPr>
              <w:t>项目区下游</w:t>
            </w:r>
          </w:p>
        </w:tc>
      </w:tr>
      <w:tr w14:paraId="69B7855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8" w:hRule="atLeast"/>
        </w:trPr>
        <w:tc>
          <w:tcPr>
            <w:tcW w:w="530" w:type="pct"/>
            <w:tcBorders>
              <w:tl2br w:val="nil"/>
              <w:tr2bl w:val="nil"/>
            </w:tcBorders>
            <w:vAlign w:val="center"/>
          </w:tcPr>
          <w:p w14:paraId="5333EC04">
            <w:pPr>
              <w:spacing w:line="320" w:lineRule="exact"/>
              <w:ind w:firstLine="0" w:firstLineChars="0"/>
              <w:jc w:val="center"/>
              <w:textAlignment w:val="baseline"/>
              <w:rPr>
                <w:rFonts w:hint="eastAsia" w:ascii="宋体" w:hAnsi="宋体" w:cs="宋体"/>
                <w:color w:val="auto"/>
                <w:kern w:val="13"/>
                <w:sz w:val="21"/>
                <w:szCs w:val="20"/>
              </w:rPr>
            </w:pPr>
            <w:r>
              <w:rPr>
                <w:rFonts w:hint="eastAsia" w:ascii="宋体" w:hAnsi="宋体" w:cs="宋体"/>
                <w:color w:val="auto"/>
                <w:kern w:val="13"/>
                <w:sz w:val="21"/>
                <w:szCs w:val="20"/>
              </w:rPr>
              <w:t>6#</w:t>
            </w:r>
          </w:p>
        </w:tc>
        <w:tc>
          <w:tcPr>
            <w:tcW w:w="1874" w:type="pct"/>
            <w:tcBorders>
              <w:tl2br w:val="nil"/>
              <w:tr2bl w:val="nil"/>
            </w:tcBorders>
            <w:vAlign w:val="center"/>
          </w:tcPr>
          <w:p w14:paraId="653A469B">
            <w:pPr>
              <w:keepNext w:val="0"/>
              <w:keepLines w:val="0"/>
              <w:pageBreakBefore w:val="0"/>
              <w:widowControl w:val="0"/>
              <w:kinsoku/>
              <w:wordWrap/>
              <w:overflowPunct/>
              <w:topLinePunct w:val="0"/>
              <w:autoSpaceDE/>
              <w:autoSpaceDN/>
              <w:bidi w:val="0"/>
              <w:adjustRightInd/>
              <w:snapToGrid/>
              <w:spacing w:line="280" w:lineRule="exact"/>
              <w:jc w:val="center"/>
              <w:rPr>
                <w:rFonts w:hint="default" w:ascii="宋体" w:hAnsi="宋体" w:eastAsia="宋体" w:cs="宋体"/>
                <w:color w:val="auto"/>
                <w:kern w:val="13"/>
                <w:sz w:val="21"/>
                <w:szCs w:val="20"/>
                <w:lang w:val="en-US" w:eastAsia="zh-CN"/>
              </w:rPr>
            </w:pPr>
            <w:r>
              <w:rPr>
                <w:rFonts w:hint="eastAsia" w:ascii="宋体" w:hAnsi="宋体" w:cs="宋体"/>
                <w:szCs w:val="21"/>
              </w:rPr>
              <w:t>经度85.</w:t>
            </w:r>
            <w:r>
              <w:rPr>
                <w:rFonts w:hint="eastAsia" w:ascii="宋体" w:hAnsi="宋体" w:cs="宋体"/>
                <w:szCs w:val="21"/>
                <w:lang w:val="en-US" w:eastAsia="zh-CN"/>
              </w:rPr>
              <w:t>844299、</w:t>
            </w:r>
            <w:r>
              <w:rPr>
                <w:rFonts w:hint="eastAsia" w:ascii="宋体" w:hAnsi="宋体" w:cs="宋体"/>
                <w:szCs w:val="21"/>
              </w:rPr>
              <w:t>纬度41.</w:t>
            </w:r>
            <w:r>
              <w:rPr>
                <w:rFonts w:hint="eastAsia" w:ascii="宋体" w:hAnsi="宋体" w:cs="宋体"/>
                <w:szCs w:val="21"/>
                <w:lang w:val="en-US" w:eastAsia="zh-CN"/>
              </w:rPr>
              <w:t>411072</w:t>
            </w:r>
          </w:p>
        </w:tc>
        <w:tc>
          <w:tcPr>
            <w:tcW w:w="1438" w:type="pct"/>
            <w:tcBorders>
              <w:tl2br w:val="nil"/>
              <w:tr2bl w:val="nil"/>
            </w:tcBorders>
            <w:vAlign w:val="center"/>
          </w:tcPr>
          <w:p w14:paraId="2E0D45A2">
            <w:pPr>
              <w:spacing w:line="320" w:lineRule="exact"/>
              <w:ind w:firstLine="0" w:firstLineChars="0"/>
              <w:jc w:val="center"/>
              <w:textAlignment w:val="baseline"/>
              <w:rPr>
                <w:rFonts w:hint="default" w:ascii="宋体" w:hAnsi="宋体" w:eastAsia="宋体" w:cs="宋体"/>
                <w:color w:val="auto"/>
                <w:kern w:val="13"/>
                <w:sz w:val="21"/>
                <w:szCs w:val="20"/>
                <w:lang w:val="en-US" w:eastAsia="zh-CN"/>
              </w:rPr>
            </w:pPr>
            <w:r>
              <w:rPr>
                <w:rFonts w:hint="eastAsia" w:ascii="宋体" w:hAnsi="宋体" w:cs="宋体"/>
                <w:color w:val="auto"/>
                <w:kern w:val="13"/>
                <w:sz w:val="21"/>
                <w:szCs w:val="20"/>
                <w:lang w:val="en-US" w:eastAsia="zh-CN"/>
              </w:rPr>
              <w:t>3.8</w:t>
            </w:r>
          </w:p>
        </w:tc>
        <w:tc>
          <w:tcPr>
            <w:tcW w:w="1156" w:type="pct"/>
            <w:tcBorders>
              <w:tl2br w:val="nil"/>
              <w:tr2bl w:val="nil"/>
            </w:tcBorders>
            <w:vAlign w:val="center"/>
          </w:tcPr>
          <w:p w14:paraId="4E353177">
            <w:pPr>
              <w:spacing w:line="320" w:lineRule="exact"/>
              <w:ind w:firstLine="0" w:firstLineChars="0"/>
              <w:jc w:val="center"/>
              <w:textAlignment w:val="baseline"/>
              <w:rPr>
                <w:rFonts w:hint="eastAsia" w:ascii="宋体" w:hAnsi="宋体" w:cs="宋体"/>
                <w:color w:val="auto"/>
                <w:kern w:val="13"/>
                <w:sz w:val="21"/>
                <w:szCs w:val="20"/>
              </w:rPr>
            </w:pPr>
            <w:r>
              <w:rPr>
                <w:rFonts w:hint="eastAsia" w:ascii="宋体" w:hAnsi="宋体" w:cs="宋体"/>
                <w:color w:val="auto"/>
                <w:kern w:val="13"/>
                <w:sz w:val="21"/>
                <w:szCs w:val="20"/>
              </w:rPr>
              <w:t>项目区下游</w:t>
            </w:r>
          </w:p>
        </w:tc>
      </w:tr>
    </w:tbl>
    <w:p w14:paraId="776CD187">
      <w:pPr>
        <w:pStyle w:val="35"/>
        <w:rPr>
          <w:rFonts w:hint="eastAsia"/>
        </w:rPr>
      </w:pPr>
    </w:p>
    <w:p w14:paraId="79578A5B">
      <w:pPr>
        <w:pStyle w:val="4"/>
        <w:autoSpaceDE w:val="0"/>
        <w:autoSpaceDN w:val="0"/>
        <w:spacing w:before="0" w:after="0" w:line="360" w:lineRule="auto"/>
        <w:jc w:val="left"/>
        <w:rPr>
          <w:kern w:val="0"/>
          <w:sz w:val="24"/>
          <w:lang w:val="en-US" w:bidi="zh-CN"/>
        </w:rPr>
      </w:pPr>
      <w:r>
        <w:rPr>
          <w:rFonts w:hint="eastAsia"/>
          <w:kern w:val="0"/>
          <w:sz w:val="24"/>
          <w:lang w:val="en-US" w:bidi="zh-CN"/>
        </w:rPr>
        <w:t>4.3.4声环境现状调查与评价</w:t>
      </w:r>
    </w:p>
    <w:bookmarkEnd w:id="246"/>
    <w:p w14:paraId="2E63CD0E">
      <w:pPr>
        <w:pStyle w:val="5"/>
        <w:rPr>
          <w:rFonts w:ascii="Times New Roman" w:hAnsi="Times New Roman"/>
          <w:color w:val="000000"/>
          <w:lang w:val="en-US"/>
        </w:rPr>
      </w:pPr>
      <w:bookmarkStart w:id="248" w:name="_Toc370112271"/>
      <w:bookmarkStart w:id="249" w:name="_Toc385255906"/>
      <w:bookmarkStart w:id="250" w:name="_Toc385255571"/>
      <w:bookmarkStart w:id="251" w:name="_Toc20379"/>
      <w:r>
        <w:rPr>
          <w:rFonts w:hint="eastAsia" w:ascii="Times New Roman" w:hAnsi="Times New Roman"/>
          <w:color w:val="000000"/>
          <w:lang w:val="en-US"/>
        </w:rPr>
        <w:t>4.3.4.1监测点位布设</w:t>
      </w:r>
      <w:bookmarkEnd w:id="248"/>
      <w:bookmarkEnd w:id="249"/>
      <w:bookmarkEnd w:id="250"/>
    </w:p>
    <w:p w14:paraId="45BE5FA3">
      <w:pPr>
        <w:spacing w:line="360" w:lineRule="auto"/>
        <w:ind w:firstLine="482"/>
        <w:rPr>
          <w:rFonts w:hint="eastAsia" w:ascii="宋体" w:hAnsi="宋体" w:cs="宋体"/>
          <w:sz w:val="24"/>
          <w:szCs w:val="24"/>
        </w:rPr>
      </w:pPr>
      <w:r>
        <w:rPr>
          <w:rFonts w:hint="eastAsia" w:ascii="宋体" w:hAnsi="宋体" w:cs="宋体"/>
          <w:sz w:val="24"/>
          <w:szCs w:val="24"/>
        </w:rPr>
        <w:t>在厂区用地边界外1m处东、南、西、北各设1个点，共布设4个噪声监测点位进行检测，监测点位示意图见图4.3-1。</w:t>
      </w:r>
    </w:p>
    <w:p w14:paraId="3367C9FB">
      <w:pPr>
        <w:pStyle w:val="5"/>
        <w:rPr>
          <w:rFonts w:ascii="Times New Roman" w:hAnsi="Times New Roman"/>
          <w:color w:val="000000"/>
          <w:lang w:val="en-US"/>
        </w:rPr>
      </w:pPr>
      <w:r>
        <w:rPr>
          <w:rFonts w:hint="eastAsia" w:ascii="Times New Roman" w:hAnsi="Times New Roman"/>
          <w:color w:val="000000"/>
          <w:lang w:val="en-US"/>
        </w:rPr>
        <w:t>4.3.4.2监测时间及频率</w:t>
      </w:r>
      <w:bookmarkEnd w:id="251"/>
    </w:p>
    <w:p w14:paraId="2FBC6CE3">
      <w:pPr>
        <w:spacing w:line="360" w:lineRule="auto"/>
        <w:ind w:firstLine="482"/>
        <w:rPr>
          <w:rFonts w:hint="eastAsia" w:ascii="宋体" w:hAnsi="宋体" w:cs="宋体"/>
          <w:sz w:val="24"/>
          <w:szCs w:val="24"/>
        </w:rPr>
      </w:pPr>
      <w:bookmarkStart w:id="252" w:name="_Toc12870"/>
      <w:r>
        <w:rPr>
          <w:rFonts w:hint="eastAsia"/>
          <w:color w:val="000000"/>
          <w:kern w:val="0"/>
          <w:sz w:val="24"/>
          <w:szCs w:val="24"/>
        </w:rPr>
        <w:t>新疆中测测试有限责任公司</w:t>
      </w:r>
      <w:r>
        <w:rPr>
          <w:rFonts w:hint="eastAsia" w:ascii="宋体" w:hAnsi="宋体" w:cs="宋体"/>
          <w:sz w:val="24"/>
          <w:szCs w:val="24"/>
        </w:rPr>
        <w:t>于2025年6月5日-6月6日，对区域环境噪声进行监测，每天昼夜各一次，监测1天。</w:t>
      </w:r>
    </w:p>
    <w:p w14:paraId="6AAA1DF9">
      <w:pPr>
        <w:pStyle w:val="5"/>
        <w:rPr>
          <w:rFonts w:ascii="Times New Roman" w:hAnsi="Times New Roman"/>
          <w:color w:val="000000"/>
          <w:lang w:val="en-US"/>
        </w:rPr>
      </w:pPr>
      <w:r>
        <w:rPr>
          <w:rFonts w:hint="eastAsia" w:ascii="Times New Roman" w:hAnsi="Times New Roman"/>
          <w:color w:val="000000"/>
          <w:lang w:val="en-US"/>
        </w:rPr>
        <w:t>4.3.4.3监测项目</w:t>
      </w:r>
      <w:bookmarkEnd w:id="252"/>
    </w:p>
    <w:p w14:paraId="1B4CCDAC">
      <w:pPr>
        <w:spacing w:line="360" w:lineRule="auto"/>
        <w:ind w:firstLine="482"/>
        <w:rPr>
          <w:rFonts w:hint="eastAsia" w:ascii="宋体" w:hAnsi="宋体" w:cs="宋体"/>
          <w:sz w:val="24"/>
          <w:szCs w:val="24"/>
        </w:rPr>
      </w:pPr>
      <w:r>
        <w:rPr>
          <w:rFonts w:hint="eastAsia" w:ascii="宋体" w:hAnsi="宋体" w:cs="宋体"/>
          <w:sz w:val="24"/>
          <w:szCs w:val="24"/>
        </w:rPr>
        <w:t>连续等效A声级。</w:t>
      </w:r>
    </w:p>
    <w:p w14:paraId="6C7B0EC2">
      <w:pPr>
        <w:pStyle w:val="5"/>
        <w:rPr>
          <w:rFonts w:ascii="Times New Roman" w:hAnsi="Times New Roman"/>
          <w:color w:val="000000"/>
          <w:lang w:val="en-US"/>
        </w:rPr>
      </w:pPr>
      <w:bookmarkStart w:id="253" w:name="_Toc20531"/>
      <w:r>
        <w:rPr>
          <w:rFonts w:hint="eastAsia" w:ascii="Times New Roman" w:hAnsi="Times New Roman"/>
          <w:color w:val="000000"/>
          <w:lang w:val="en-US"/>
        </w:rPr>
        <w:t>4.3.4.4监测方法及质控措施</w:t>
      </w:r>
      <w:bookmarkEnd w:id="253"/>
    </w:p>
    <w:p w14:paraId="47F2090F">
      <w:pPr>
        <w:spacing w:line="360" w:lineRule="auto"/>
        <w:ind w:firstLine="482"/>
        <w:rPr>
          <w:rFonts w:hint="eastAsia" w:ascii="宋体" w:hAnsi="宋体" w:cs="宋体"/>
          <w:sz w:val="24"/>
          <w:szCs w:val="24"/>
        </w:rPr>
      </w:pPr>
      <w:r>
        <w:rPr>
          <w:rFonts w:hint="eastAsia" w:ascii="宋体" w:hAnsi="宋体" w:cs="宋体"/>
          <w:sz w:val="24"/>
          <w:szCs w:val="24"/>
        </w:rPr>
        <w:t>噪声检测严格按照《声环境质量标准》（GB3096-2008）相关技术规范进行。噪声测量仪器在使用前后均按照相关技术规范进行校准，示值偏差均小于等于0.5dB（A），校准合格。检测仪器的传声器距地面高度为1.2m以上。</w:t>
      </w:r>
    </w:p>
    <w:p w14:paraId="2B526389">
      <w:pPr>
        <w:pStyle w:val="5"/>
        <w:rPr>
          <w:rFonts w:ascii="Times New Roman" w:hAnsi="Times New Roman"/>
          <w:color w:val="000000"/>
          <w:lang w:val="en-US"/>
        </w:rPr>
      </w:pPr>
      <w:bookmarkStart w:id="254" w:name="_Toc4887"/>
      <w:r>
        <w:rPr>
          <w:rFonts w:hint="eastAsia" w:ascii="Times New Roman" w:hAnsi="Times New Roman"/>
          <w:color w:val="000000"/>
          <w:lang w:val="en-US"/>
        </w:rPr>
        <w:t>4.3.4.5监测结果统计与评价</w:t>
      </w:r>
      <w:bookmarkEnd w:id="254"/>
    </w:p>
    <w:p w14:paraId="12C14581">
      <w:pPr>
        <w:spacing w:line="360" w:lineRule="auto"/>
        <w:ind w:firstLine="482"/>
        <w:rPr>
          <w:rFonts w:hint="eastAsia" w:ascii="宋体" w:hAnsi="宋体" w:cs="宋体"/>
          <w:sz w:val="24"/>
          <w:szCs w:val="24"/>
        </w:rPr>
      </w:pPr>
      <w:r>
        <w:rPr>
          <w:rFonts w:hint="eastAsia" w:ascii="宋体" w:hAnsi="宋体" w:cs="宋体"/>
          <w:sz w:val="24"/>
          <w:szCs w:val="24"/>
        </w:rPr>
        <w:t>厂界声环境质量现状监测结果统计见表</w:t>
      </w:r>
      <w:r>
        <w:rPr>
          <w:rFonts w:hint="eastAsia" w:ascii="宋体" w:hAnsi="宋体" w:cs="宋体"/>
          <w:kern w:val="0"/>
          <w:sz w:val="24"/>
          <w:szCs w:val="24"/>
          <w:lang w:bidi="ar"/>
        </w:rPr>
        <w:t>4.3-10</w:t>
      </w:r>
      <w:r>
        <w:rPr>
          <w:rFonts w:hint="eastAsia" w:ascii="宋体" w:hAnsi="宋体" w:cs="宋体"/>
          <w:sz w:val="24"/>
          <w:szCs w:val="24"/>
        </w:rPr>
        <w:t>。</w:t>
      </w:r>
    </w:p>
    <w:p w14:paraId="1B942B53">
      <w:pPr>
        <w:adjustRightInd w:val="0"/>
        <w:jc w:val="center"/>
        <w:rPr>
          <w:rFonts w:hint="eastAsia" w:ascii="宋体" w:hAnsi="宋体" w:cs="宋体"/>
          <w:b/>
          <w:bCs/>
          <w:szCs w:val="21"/>
          <w:lang w:val="de-DE"/>
        </w:rPr>
      </w:pPr>
      <w:r>
        <w:rPr>
          <w:rFonts w:hint="eastAsia" w:ascii="宋体" w:hAnsi="宋体" w:cs="宋体"/>
          <w:b/>
          <w:bCs/>
          <w:szCs w:val="21"/>
          <w:lang w:val="de-DE"/>
        </w:rPr>
        <w:t>表</w:t>
      </w:r>
      <w:r>
        <w:rPr>
          <w:rFonts w:hint="eastAsia" w:ascii="宋体" w:hAnsi="宋体" w:cs="宋体"/>
          <w:b/>
          <w:bCs/>
          <w:szCs w:val="21"/>
        </w:rPr>
        <w:t>4</w:t>
      </w:r>
      <w:r>
        <w:rPr>
          <w:rFonts w:hint="eastAsia" w:ascii="宋体" w:hAnsi="宋体" w:cs="宋体"/>
          <w:b/>
          <w:bCs/>
          <w:szCs w:val="21"/>
          <w:lang w:val="de-DE"/>
        </w:rPr>
        <w:t>.</w:t>
      </w:r>
      <w:r>
        <w:rPr>
          <w:rFonts w:hint="eastAsia" w:ascii="宋体" w:hAnsi="宋体" w:cs="宋体"/>
          <w:b/>
          <w:bCs/>
          <w:szCs w:val="21"/>
        </w:rPr>
        <w:t>3</w:t>
      </w:r>
      <w:r>
        <w:rPr>
          <w:rFonts w:hint="eastAsia" w:ascii="宋体" w:hAnsi="宋体" w:cs="宋体"/>
          <w:b/>
          <w:bCs/>
          <w:szCs w:val="21"/>
          <w:lang w:val="de-DE"/>
        </w:rPr>
        <w:t>-</w:t>
      </w:r>
      <w:r>
        <w:rPr>
          <w:rFonts w:hint="eastAsia" w:ascii="宋体" w:hAnsi="宋体" w:cs="宋体"/>
          <w:b/>
          <w:bCs/>
          <w:szCs w:val="21"/>
        </w:rPr>
        <w:t>10</w:t>
      </w:r>
      <w:r>
        <w:rPr>
          <w:rFonts w:hint="eastAsia" w:ascii="宋体" w:hAnsi="宋体" w:cs="宋体"/>
          <w:b/>
          <w:bCs/>
          <w:szCs w:val="21"/>
          <w:lang w:val="de-DE"/>
        </w:rPr>
        <w:t xml:space="preserve">    环境噪声检测结果统计一览表   单位：dB（A）</w:t>
      </w:r>
    </w:p>
    <w:tbl>
      <w:tblPr>
        <w:tblStyle w:val="49"/>
        <w:tblW w:w="4957"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332"/>
        <w:gridCol w:w="3698"/>
        <w:gridCol w:w="1985"/>
        <w:gridCol w:w="2023"/>
      </w:tblGrid>
      <w:tr w14:paraId="6F98E84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737" w:type="pct"/>
            <w:vMerge w:val="restart"/>
            <w:tcBorders>
              <w:tl2br w:val="nil"/>
              <w:tr2bl w:val="nil"/>
            </w:tcBorders>
            <w:vAlign w:val="center"/>
          </w:tcPr>
          <w:p w14:paraId="1E4ED13E">
            <w:pPr>
              <w:jc w:val="center"/>
              <w:rPr>
                <w:rFonts w:hint="eastAsia" w:ascii="宋体" w:hAnsi="宋体" w:cs="宋体"/>
                <w:szCs w:val="21"/>
              </w:rPr>
            </w:pPr>
            <w:r>
              <w:rPr>
                <w:rFonts w:hint="eastAsia" w:ascii="宋体" w:hAnsi="宋体" w:cs="宋体"/>
                <w:szCs w:val="21"/>
              </w:rPr>
              <w:t>检测时间</w:t>
            </w:r>
          </w:p>
        </w:tc>
        <w:tc>
          <w:tcPr>
            <w:tcW w:w="2046" w:type="pct"/>
            <w:vMerge w:val="restart"/>
            <w:tcBorders>
              <w:tl2br w:val="nil"/>
              <w:tr2bl w:val="nil"/>
            </w:tcBorders>
            <w:vAlign w:val="center"/>
          </w:tcPr>
          <w:p w14:paraId="50BDF2F1">
            <w:pPr>
              <w:jc w:val="center"/>
              <w:rPr>
                <w:rFonts w:hint="eastAsia" w:ascii="宋体" w:hAnsi="宋体" w:cs="宋体"/>
                <w:szCs w:val="21"/>
              </w:rPr>
            </w:pPr>
            <w:r>
              <w:rPr>
                <w:rFonts w:hint="eastAsia" w:ascii="宋体" w:hAnsi="宋体" w:cs="宋体"/>
                <w:szCs w:val="21"/>
              </w:rPr>
              <w:t>检测点位</w:t>
            </w:r>
          </w:p>
        </w:tc>
        <w:tc>
          <w:tcPr>
            <w:tcW w:w="2217" w:type="pct"/>
            <w:gridSpan w:val="2"/>
            <w:tcBorders>
              <w:tl2br w:val="nil"/>
              <w:tr2bl w:val="nil"/>
            </w:tcBorders>
            <w:vAlign w:val="center"/>
          </w:tcPr>
          <w:p w14:paraId="221DE2F7">
            <w:pPr>
              <w:jc w:val="center"/>
              <w:rPr>
                <w:rFonts w:hint="eastAsia" w:ascii="宋体" w:hAnsi="宋体" w:cs="宋体"/>
                <w:szCs w:val="21"/>
              </w:rPr>
            </w:pPr>
            <w:r>
              <w:rPr>
                <w:rFonts w:hint="eastAsia" w:ascii="宋体" w:hAnsi="宋体" w:cs="宋体"/>
                <w:szCs w:val="21"/>
              </w:rPr>
              <w:t>检测结果</w:t>
            </w:r>
          </w:p>
        </w:tc>
      </w:tr>
      <w:tr w14:paraId="301FAEA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737" w:type="pct"/>
            <w:vMerge w:val="continue"/>
            <w:tcBorders>
              <w:tl2br w:val="nil"/>
              <w:tr2bl w:val="nil"/>
            </w:tcBorders>
            <w:vAlign w:val="center"/>
          </w:tcPr>
          <w:p w14:paraId="58140818">
            <w:pPr>
              <w:jc w:val="center"/>
              <w:rPr>
                <w:rFonts w:hint="eastAsia" w:ascii="宋体" w:hAnsi="宋体" w:cs="宋体"/>
                <w:szCs w:val="21"/>
              </w:rPr>
            </w:pPr>
          </w:p>
        </w:tc>
        <w:tc>
          <w:tcPr>
            <w:tcW w:w="2046" w:type="pct"/>
            <w:vMerge w:val="continue"/>
            <w:tcBorders>
              <w:tl2br w:val="nil"/>
              <w:tr2bl w:val="nil"/>
            </w:tcBorders>
            <w:vAlign w:val="center"/>
          </w:tcPr>
          <w:p w14:paraId="138756F7">
            <w:pPr>
              <w:jc w:val="center"/>
              <w:rPr>
                <w:rFonts w:hint="eastAsia" w:ascii="宋体" w:hAnsi="宋体" w:cs="宋体"/>
                <w:szCs w:val="21"/>
              </w:rPr>
            </w:pPr>
          </w:p>
        </w:tc>
        <w:tc>
          <w:tcPr>
            <w:tcW w:w="1098" w:type="pct"/>
            <w:tcBorders>
              <w:tl2br w:val="nil"/>
              <w:tr2bl w:val="nil"/>
            </w:tcBorders>
            <w:vAlign w:val="center"/>
          </w:tcPr>
          <w:p w14:paraId="4A1FF7D4">
            <w:pPr>
              <w:jc w:val="center"/>
              <w:rPr>
                <w:rFonts w:hint="eastAsia" w:ascii="宋体" w:hAnsi="宋体" w:cs="宋体"/>
                <w:szCs w:val="21"/>
              </w:rPr>
            </w:pPr>
            <w:r>
              <w:rPr>
                <w:rFonts w:hint="eastAsia" w:ascii="宋体" w:hAnsi="宋体" w:cs="宋体"/>
                <w:szCs w:val="21"/>
              </w:rPr>
              <w:t>昼间</w:t>
            </w:r>
          </w:p>
        </w:tc>
        <w:tc>
          <w:tcPr>
            <w:tcW w:w="1119" w:type="pct"/>
            <w:tcBorders>
              <w:tl2br w:val="nil"/>
              <w:tr2bl w:val="nil"/>
            </w:tcBorders>
            <w:vAlign w:val="center"/>
          </w:tcPr>
          <w:p w14:paraId="47735F66">
            <w:pPr>
              <w:jc w:val="center"/>
              <w:rPr>
                <w:rFonts w:hint="eastAsia" w:ascii="宋体" w:hAnsi="宋体" w:cs="宋体"/>
                <w:szCs w:val="21"/>
              </w:rPr>
            </w:pPr>
            <w:r>
              <w:rPr>
                <w:rFonts w:hint="eastAsia" w:ascii="宋体" w:hAnsi="宋体" w:cs="宋体"/>
                <w:szCs w:val="21"/>
              </w:rPr>
              <w:t>夜间</w:t>
            </w:r>
          </w:p>
        </w:tc>
      </w:tr>
      <w:tr w14:paraId="25DF4A1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737" w:type="pct"/>
            <w:vMerge w:val="restart"/>
            <w:tcBorders>
              <w:tl2br w:val="nil"/>
              <w:tr2bl w:val="nil"/>
            </w:tcBorders>
            <w:vAlign w:val="center"/>
          </w:tcPr>
          <w:p w14:paraId="4A7C64BB">
            <w:pPr>
              <w:jc w:val="center"/>
              <w:rPr>
                <w:rFonts w:hint="eastAsia" w:ascii="宋体" w:hAnsi="宋体" w:cs="宋体"/>
                <w:szCs w:val="21"/>
              </w:rPr>
            </w:pPr>
            <w:r>
              <w:rPr>
                <w:rFonts w:hint="eastAsia" w:ascii="宋体" w:hAnsi="宋体" w:cs="宋体"/>
                <w:szCs w:val="21"/>
              </w:rPr>
              <w:t>6月5日</w:t>
            </w:r>
          </w:p>
        </w:tc>
        <w:tc>
          <w:tcPr>
            <w:tcW w:w="2046" w:type="pct"/>
            <w:tcBorders>
              <w:tl2br w:val="nil"/>
              <w:tr2bl w:val="nil"/>
            </w:tcBorders>
            <w:vAlign w:val="center"/>
          </w:tcPr>
          <w:p w14:paraId="2B14FF51">
            <w:pPr>
              <w:jc w:val="center"/>
              <w:rPr>
                <w:rFonts w:hint="eastAsia" w:ascii="宋体" w:hAnsi="宋体" w:cs="宋体"/>
                <w:szCs w:val="21"/>
              </w:rPr>
            </w:pPr>
            <w:r>
              <w:rPr>
                <w:rFonts w:hint="eastAsia" w:ascii="宋体" w:hAnsi="宋体" w:cs="宋体"/>
                <w:szCs w:val="21"/>
              </w:rPr>
              <w:t>厂界东侧</w:t>
            </w:r>
          </w:p>
          <w:p w14:paraId="213143E2">
            <w:pPr>
              <w:jc w:val="center"/>
              <w:rPr>
                <w:rFonts w:hint="eastAsia" w:ascii="宋体" w:hAnsi="宋体" w:cs="宋体"/>
                <w:szCs w:val="21"/>
              </w:rPr>
            </w:pPr>
            <w:r>
              <w:rPr>
                <w:rFonts w:hint="eastAsia" w:ascii="宋体" w:hAnsi="宋体" w:cs="宋体"/>
                <w:szCs w:val="21"/>
              </w:rPr>
              <w:t>(经度85.837700，纬度41.417041)</w:t>
            </w:r>
          </w:p>
        </w:tc>
        <w:tc>
          <w:tcPr>
            <w:tcW w:w="1098" w:type="pct"/>
            <w:tcBorders>
              <w:tl2br w:val="nil"/>
              <w:tr2bl w:val="nil"/>
            </w:tcBorders>
            <w:vAlign w:val="center"/>
          </w:tcPr>
          <w:p w14:paraId="7A0608CB">
            <w:pPr>
              <w:jc w:val="center"/>
              <w:rPr>
                <w:rFonts w:hint="eastAsia" w:ascii="宋体" w:hAnsi="宋体" w:cs="宋体"/>
                <w:szCs w:val="21"/>
              </w:rPr>
            </w:pPr>
            <w:r>
              <w:rPr>
                <w:rFonts w:hint="eastAsia" w:ascii="宋体" w:hAnsi="宋体" w:cs="宋体"/>
                <w:szCs w:val="21"/>
              </w:rPr>
              <w:t>48</w:t>
            </w:r>
          </w:p>
        </w:tc>
        <w:tc>
          <w:tcPr>
            <w:tcW w:w="1119" w:type="pct"/>
            <w:tcBorders>
              <w:tl2br w:val="nil"/>
              <w:tr2bl w:val="nil"/>
            </w:tcBorders>
            <w:vAlign w:val="center"/>
          </w:tcPr>
          <w:p w14:paraId="548C4FD4">
            <w:pPr>
              <w:jc w:val="center"/>
              <w:rPr>
                <w:rFonts w:hint="eastAsia" w:ascii="宋体" w:hAnsi="宋体" w:cs="宋体"/>
                <w:szCs w:val="21"/>
              </w:rPr>
            </w:pPr>
            <w:r>
              <w:rPr>
                <w:rFonts w:hint="eastAsia" w:ascii="宋体" w:hAnsi="宋体" w:cs="宋体"/>
                <w:szCs w:val="21"/>
              </w:rPr>
              <w:t>43</w:t>
            </w:r>
          </w:p>
        </w:tc>
      </w:tr>
      <w:tr w14:paraId="44FBBAB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4" w:hRule="atLeast"/>
          <w:jc w:val="center"/>
        </w:trPr>
        <w:tc>
          <w:tcPr>
            <w:tcW w:w="737" w:type="pct"/>
            <w:vMerge w:val="continue"/>
            <w:tcBorders>
              <w:tl2br w:val="nil"/>
              <w:tr2bl w:val="nil"/>
            </w:tcBorders>
            <w:vAlign w:val="center"/>
          </w:tcPr>
          <w:p w14:paraId="02291DAF">
            <w:pPr>
              <w:jc w:val="center"/>
              <w:rPr>
                <w:rFonts w:hint="eastAsia" w:ascii="宋体" w:hAnsi="宋体" w:cs="宋体"/>
                <w:szCs w:val="21"/>
              </w:rPr>
            </w:pPr>
          </w:p>
        </w:tc>
        <w:tc>
          <w:tcPr>
            <w:tcW w:w="2046" w:type="pct"/>
            <w:tcBorders>
              <w:tl2br w:val="nil"/>
              <w:tr2bl w:val="nil"/>
            </w:tcBorders>
            <w:vAlign w:val="center"/>
          </w:tcPr>
          <w:p w14:paraId="6DA828FC">
            <w:pPr>
              <w:jc w:val="center"/>
              <w:rPr>
                <w:rFonts w:hint="eastAsia" w:ascii="宋体" w:hAnsi="宋体" w:cs="宋体"/>
                <w:szCs w:val="21"/>
              </w:rPr>
            </w:pPr>
            <w:r>
              <w:rPr>
                <w:rFonts w:hint="eastAsia" w:ascii="宋体" w:hAnsi="宋体" w:cs="宋体"/>
                <w:szCs w:val="21"/>
              </w:rPr>
              <w:t>厂界南侧</w:t>
            </w:r>
          </w:p>
          <w:p w14:paraId="7E647C31">
            <w:pPr>
              <w:jc w:val="center"/>
              <w:rPr>
                <w:rFonts w:hint="eastAsia" w:ascii="宋体" w:hAnsi="宋体" w:cs="宋体"/>
                <w:szCs w:val="21"/>
              </w:rPr>
            </w:pPr>
            <w:r>
              <w:rPr>
                <w:rFonts w:hint="eastAsia" w:ascii="宋体" w:hAnsi="宋体" w:cs="宋体"/>
                <w:szCs w:val="21"/>
              </w:rPr>
              <w:t>(经度85.838134，纬度41.415742)</w:t>
            </w:r>
          </w:p>
        </w:tc>
        <w:tc>
          <w:tcPr>
            <w:tcW w:w="1098" w:type="pct"/>
            <w:tcBorders>
              <w:tl2br w:val="nil"/>
              <w:tr2bl w:val="nil"/>
            </w:tcBorders>
            <w:vAlign w:val="center"/>
          </w:tcPr>
          <w:p w14:paraId="6FFD57CA">
            <w:pPr>
              <w:jc w:val="center"/>
              <w:rPr>
                <w:rFonts w:hint="eastAsia" w:ascii="宋体" w:hAnsi="宋体" w:cs="宋体"/>
                <w:szCs w:val="21"/>
              </w:rPr>
            </w:pPr>
            <w:r>
              <w:rPr>
                <w:rFonts w:hint="eastAsia" w:ascii="宋体" w:hAnsi="宋体" w:cs="宋体"/>
                <w:szCs w:val="21"/>
              </w:rPr>
              <w:t>46</w:t>
            </w:r>
          </w:p>
        </w:tc>
        <w:tc>
          <w:tcPr>
            <w:tcW w:w="1119" w:type="pct"/>
            <w:tcBorders>
              <w:tl2br w:val="nil"/>
              <w:tr2bl w:val="nil"/>
            </w:tcBorders>
            <w:vAlign w:val="center"/>
          </w:tcPr>
          <w:p w14:paraId="651DD831">
            <w:pPr>
              <w:jc w:val="center"/>
              <w:rPr>
                <w:rFonts w:hint="eastAsia" w:ascii="宋体" w:hAnsi="宋体" w:cs="宋体"/>
                <w:szCs w:val="21"/>
              </w:rPr>
            </w:pPr>
            <w:r>
              <w:rPr>
                <w:rFonts w:hint="eastAsia" w:ascii="宋体" w:hAnsi="宋体" w:cs="宋体"/>
                <w:szCs w:val="21"/>
              </w:rPr>
              <w:t>43</w:t>
            </w:r>
          </w:p>
        </w:tc>
      </w:tr>
      <w:tr w14:paraId="7778088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737" w:type="pct"/>
            <w:vMerge w:val="continue"/>
            <w:tcBorders>
              <w:tl2br w:val="nil"/>
              <w:tr2bl w:val="nil"/>
            </w:tcBorders>
            <w:vAlign w:val="center"/>
          </w:tcPr>
          <w:p w14:paraId="08372CC4">
            <w:pPr>
              <w:jc w:val="center"/>
              <w:rPr>
                <w:rFonts w:hint="eastAsia" w:ascii="宋体" w:hAnsi="宋体" w:cs="宋体"/>
                <w:szCs w:val="21"/>
              </w:rPr>
            </w:pPr>
          </w:p>
        </w:tc>
        <w:tc>
          <w:tcPr>
            <w:tcW w:w="2046" w:type="pct"/>
            <w:tcBorders>
              <w:tl2br w:val="nil"/>
              <w:tr2bl w:val="nil"/>
            </w:tcBorders>
            <w:vAlign w:val="center"/>
          </w:tcPr>
          <w:p w14:paraId="085C99B8">
            <w:pPr>
              <w:jc w:val="center"/>
              <w:rPr>
                <w:rFonts w:hint="eastAsia" w:ascii="宋体" w:hAnsi="宋体" w:cs="宋体"/>
                <w:szCs w:val="21"/>
              </w:rPr>
            </w:pPr>
            <w:r>
              <w:rPr>
                <w:rFonts w:hint="eastAsia" w:ascii="宋体" w:hAnsi="宋体" w:cs="宋体"/>
                <w:szCs w:val="21"/>
              </w:rPr>
              <w:t>厂界西侧</w:t>
            </w:r>
          </w:p>
          <w:p w14:paraId="47BD21B6">
            <w:pPr>
              <w:jc w:val="center"/>
            </w:pPr>
            <w:r>
              <w:rPr>
                <w:rFonts w:hint="eastAsia" w:ascii="宋体" w:hAnsi="宋体" w:cs="宋体"/>
                <w:szCs w:val="21"/>
              </w:rPr>
              <w:t>(经度85.836171，纬度41.417035)</w:t>
            </w:r>
          </w:p>
        </w:tc>
        <w:tc>
          <w:tcPr>
            <w:tcW w:w="1098" w:type="pct"/>
            <w:tcBorders>
              <w:tl2br w:val="nil"/>
              <w:tr2bl w:val="nil"/>
            </w:tcBorders>
            <w:vAlign w:val="center"/>
          </w:tcPr>
          <w:p w14:paraId="3DC31A09">
            <w:pPr>
              <w:jc w:val="center"/>
              <w:rPr>
                <w:rFonts w:hint="eastAsia" w:ascii="宋体" w:hAnsi="宋体" w:cs="宋体"/>
                <w:szCs w:val="21"/>
              </w:rPr>
            </w:pPr>
            <w:r>
              <w:rPr>
                <w:rFonts w:hint="eastAsia" w:ascii="宋体" w:hAnsi="宋体" w:cs="宋体"/>
                <w:szCs w:val="21"/>
              </w:rPr>
              <w:t>43</w:t>
            </w:r>
          </w:p>
        </w:tc>
        <w:tc>
          <w:tcPr>
            <w:tcW w:w="1119" w:type="pct"/>
            <w:tcBorders>
              <w:tl2br w:val="nil"/>
              <w:tr2bl w:val="nil"/>
            </w:tcBorders>
            <w:vAlign w:val="center"/>
          </w:tcPr>
          <w:p w14:paraId="00CA99B9">
            <w:pPr>
              <w:jc w:val="center"/>
              <w:rPr>
                <w:rFonts w:hint="eastAsia" w:ascii="宋体" w:hAnsi="宋体" w:cs="宋体"/>
                <w:szCs w:val="21"/>
              </w:rPr>
            </w:pPr>
            <w:r>
              <w:rPr>
                <w:rFonts w:hint="eastAsia" w:ascii="宋体" w:hAnsi="宋体" w:cs="宋体"/>
                <w:szCs w:val="21"/>
              </w:rPr>
              <w:t>39</w:t>
            </w:r>
          </w:p>
        </w:tc>
      </w:tr>
      <w:tr w14:paraId="68325FE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737" w:type="pct"/>
            <w:vMerge w:val="continue"/>
            <w:tcBorders>
              <w:tl2br w:val="nil"/>
              <w:tr2bl w:val="nil"/>
            </w:tcBorders>
            <w:vAlign w:val="center"/>
          </w:tcPr>
          <w:p w14:paraId="52EAFC7A">
            <w:pPr>
              <w:jc w:val="center"/>
              <w:rPr>
                <w:rFonts w:hint="eastAsia" w:ascii="宋体" w:hAnsi="宋体" w:cs="宋体"/>
                <w:szCs w:val="21"/>
              </w:rPr>
            </w:pPr>
          </w:p>
        </w:tc>
        <w:tc>
          <w:tcPr>
            <w:tcW w:w="2046" w:type="pct"/>
            <w:tcBorders>
              <w:tl2br w:val="nil"/>
              <w:tr2bl w:val="nil"/>
            </w:tcBorders>
            <w:vAlign w:val="center"/>
          </w:tcPr>
          <w:p w14:paraId="4598E64A">
            <w:pPr>
              <w:jc w:val="center"/>
              <w:rPr>
                <w:rFonts w:hint="eastAsia" w:ascii="宋体" w:hAnsi="宋体" w:cs="宋体"/>
                <w:szCs w:val="21"/>
              </w:rPr>
            </w:pPr>
            <w:r>
              <w:rPr>
                <w:rFonts w:hint="eastAsia" w:ascii="宋体" w:hAnsi="宋体" w:cs="宋体"/>
                <w:szCs w:val="21"/>
              </w:rPr>
              <w:t>厂界北侧</w:t>
            </w:r>
          </w:p>
          <w:p w14:paraId="1BE4C1F1">
            <w:pPr>
              <w:jc w:val="center"/>
              <w:rPr>
                <w:rFonts w:hint="eastAsia" w:ascii="宋体" w:hAnsi="宋体" w:cs="宋体"/>
                <w:szCs w:val="21"/>
              </w:rPr>
            </w:pPr>
            <w:r>
              <w:rPr>
                <w:rFonts w:hint="eastAsia" w:ascii="宋体" w:hAnsi="宋体" w:cs="宋体"/>
                <w:szCs w:val="21"/>
              </w:rPr>
              <w:t>(经度85.836316，纬度41.418022)</w:t>
            </w:r>
          </w:p>
        </w:tc>
        <w:tc>
          <w:tcPr>
            <w:tcW w:w="1098" w:type="pct"/>
            <w:tcBorders>
              <w:tl2br w:val="nil"/>
              <w:tr2bl w:val="nil"/>
            </w:tcBorders>
            <w:vAlign w:val="center"/>
          </w:tcPr>
          <w:p w14:paraId="31F10A6D">
            <w:pPr>
              <w:jc w:val="center"/>
              <w:rPr>
                <w:rFonts w:hint="eastAsia" w:ascii="宋体" w:hAnsi="宋体" w:cs="宋体"/>
                <w:szCs w:val="21"/>
              </w:rPr>
            </w:pPr>
            <w:r>
              <w:rPr>
                <w:rFonts w:hint="eastAsia" w:ascii="宋体" w:hAnsi="宋体" w:cs="宋体"/>
                <w:szCs w:val="21"/>
              </w:rPr>
              <w:t>45</w:t>
            </w:r>
          </w:p>
        </w:tc>
        <w:tc>
          <w:tcPr>
            <w:tcW w:w="1119" w:type="pct"/>
            <w:tcBorders>
              <w:tl2br w:val="nil"/>
              <w:tr2bl w:val="nil"/>
            </w:tcBorders>
            <w:vAlign w:val="center"/>
          </w:tcPr>
          <w:p w14:paraId="0729C334">
            <w:pPr>
              <w:jc w:val="center"/>
              <w:rPr>
                <w:rFonts w:hint="eastAsia" w:ascii="宋体" w:hAnsi="宋体" w:cs="宋体"/>
                <w:szCs w:val="21"/>
              </w:rPr>
            </w:pPr>
            <w:r>
              <w:rPr>
                <w:rFonts w:hint="eastAsia" w:ascii="宋体" w:hAnsi="宋体" w:cs="宋体"/>
                <w:szCs w:val="21"/>
              </w:rPr>
              <w:t>42</w:t>
            </w:r>
          </w:p>
        </w:tc>
      </w:tr>
      <w:tr w14:paraId="3C09A66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2783" w:type="pct"/>
            <w:gridSpan w:val="2"/>
            <w:tcBorders>
              <w:tl2br w:val="nil"/>
              <w:tr2bl w:val="nil"/>
            </w:tcBorders>
            <w:vAlign w:val="center"/>
          </w:tcPr>
          <w:p w14:paraId="48624CF8">
            <w:pPr>
              <w:jc w:val="center"/>
              <w:rPr>
                <w:rFonts w:hint="eastAsia" w:ascii="宋体" w:hAnsi="宋体" w:cs="宋体"/>
                <w:kern w:val="0"/>
                <w:szCs w:val="21"/>
              </w:rPr>
            </w:pPr>
            <w:r>
              <w:rPr>
                <w:rFonts w:hint="eastAsia" w:ascii="宋体" w:hAnsi="宋体" w:cs="宋体"/>
                <w:kern w:val="0"/>
                <w:szCs w:val="21"/>
              </w:rPr>
              <w:t>标准限值</w:t>
            </w:r>
          </w:p>
        </w:tc>
        <w:tc>
          <w:tcPr>
            <w:tcW w:w="1098" w:type="pct"/>
            <w:tcBorders>
              <w:tl2br w:val="nil"/>
              <w:tr2bl w:val="nil"/>
            </w:tcBorders>
            <w:vAlign w:val="center"/>
          </w:tcPr>
          <w:p w14:paraId="7E2F9BF5">
            <w:pPr>
              <w:widowControl/>
              <w:jc w:val="center"/>
              <w:rPr>
                <w:rFonts w:hint="eastAsia" w:ascii="宋体" w:hAnsi="宋体" w:cs="宋体"/>
                <w:kern w:val="0"/>
                <w:szCs w:val="21"/>
              </w:rPr>
            </w:pPr>
            <w:r>
              <w:rPr>
                <w:rFonts w:hint="eastAsia" w:ascii="宋体" w:hAnsi="宋体" w:cs="宋体"/>
                <w:kern w:val="0"/>
                <w:szCs w:val="21"/>
              </w:rPr>
              <w:t>60</w:t>
            </w:r>
          </w:p>
        </w:tc>
        <w:tc>
          <w:tcPr>
            <w:tcW w:w="1119" w:type="pct"/>
            <w:tcBorders>
              <w:tl2br w:val="nil"/>
              <w:tr2bl w:val="nil"/>
            </w:tcBorders>
            <w:vAlign w:val="center"/>
          </w:tcPr>
          <w:p w14:paraId="037F0C5B">
            <w:pPr>
              <w:widowControl/>
              <w:jc w:val="center"/>
              <w:rPr>
                <w:rFonts w:hint="eastAsia" w:ascii="宋体" w:hAnsi="宋体" w:cs="宋体"/>
                <w:kern w:val="0"/>
                <w:szCs w:val="21"/>
              </w:rPr>
            </w:pPr>
            <w:r>
              <w:rPr>
                <w:rFonts w:hint="eastAsia" w:ascii="宋体" w:hAnsi="宋体" w:cs="宋体"/>
                <w:kern w:val="0"/>
                <w:szCs w:val="21"/>
              </w:rPr>
              <w:t>50</w:t>
            </w:r>
          </w:p>
        </w:tc>
      </w:tr>
      <w:tr w14:paraId="46EBE5C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2783" w:type="pct"/>
            <w:gridSpan w:val="2"/>
            <w:tcBorders>
              <w:tl2br w:val="nil"/>
              <w:tr2bl w:val="nil"/>
            </w:tcBorders>
            <w:vAlign w:val="center"/>
          </w:tcPr>
          <w:p w14:paraId="59415864">
            <w:pPr>
              <w:jc w:val="center"/>
              <w:rPr>
                <w:rFonts w:hint="eastAsia" w:ascii="宋体" w:hAnsi="宋体" w:cs="宋体"/>
                <w:kern w:val="0"/>
                <w:szCs w:val="21"/>
              </w:rPr>
            </w:pPr>
            <w:r>
              <w:rPr>
                <w:rFonts w:hint="eastAsia" w:ascii="宋体" w:hAnsi="宋体" w:cs="宋体"/>
                <w:kern w:val="0"/>
                <w:szCs w:val="21"/>
              </w:rPr>
              <w:t>达标情况</w:t>
            </w:r>
          </w:p>
        </w:tc>
        <w:tc>
          <w:tcPr>
            <w:tcW w:w="1098" w:type="pct"/>
            <w:tcBorders>
              <w:tl2br w:val="nil"/>
              <w:tr2bl w:val="nil"/>
            </w:tcBorders>
            <w:vAlign w:val="center"/>
          </w:tcPr>
          <w:p w14:paraId="3AE8DD27">
            <w:pPr>
              <w:widowControl/>
              <w:jc w:val="center"/>
              <w:rPr>
                <w:rFonts w:hint="eastAsia" w:ascii="宋体" w:hAnsi="宋体" w:cs="宋体"/>
                <w:kern w:val="0"/>
                <w:szCs w:val="21"/>
              </w:rPr>
            </w:pPr>
            <w:r>
              <w:rPr>
                <w:rFonts w:hint="eastAsia" w:ascii="宋体" w:hAnsi="宋体" w:cs="宋体"/>
                <w:kern w:val="0"/>
                <w:szCs w:val="21"/>
              </w:rPr>
              <w:t>达标</w:t>
            </w:r>
          </w:p>
        </w:tc>
        <w:tc>
          <w:tcPr>
            <w:tcW w:w="1119" w:type="pct"/>
            <w:tcBorders>
              <w:tl2br w:val="nil"/>
              <w:tr2bl w:val="nil"/>
            </w:tcBorders>
            <w:vAlign w:val="center"/>
          </w:tcPr>
          <w:p w14:paraId="1278FF6E">
            <w:pPr>
              <w:widowControl/>
              <w:jc w:val="center"/>
              <w:rPr>
                <w:rFonts w:hint="eastAsia" w:ascii="宋体" w:hAnsi="宋体" w:cs="宋体"/>
                <w:kern w:val="0"/>
                <w:szCs w:val="21"/>
              </w:rPr>
            </w:pPr>
            <w:r>
              <w:rPr>
                <w:rFonts w:hint="eastAsia" w:ascii="宋体" w:hAnsi="宋体" w:cs="宋体"/>
                <w:kern w:val="0"/>
                <w:szCs w:val="21"/>
              </w:rPr>
              <w:t>达标</w:t>
            </w:r>
          </w:p>
        </w:tc>
      </w:tr>
      <w:tr w14:paraId="73E02E9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5" w:hRule="atLeast"/>
          <w:jc w:val="center"/>
        </w:trPr>
        <w:tc>
          <w:tcPr>
            <w:tcW w:w="5000" w:type="pct"/>
            <w:gridSpan w:val="4"/>
            <w:tcBorders>
              <w:tl2br w:val="nil"/>
              <w:tr2bl w:val="nil"/>
            </w:tcBorders>
            <w:vAlign w:val="center"/>
          </w:tcPr>
          <w:p w14:paraId="62DA82FE">
            <w:pPr>
              <w:widowControl/>
              <w:jc w:val="left"/>
              <w:rPr>
                <w:rFonts w:hint="eastAsia" w:ascii="宋体" w:hAnsi="宋体" w:cs="宋体"/>
                <w:kern w:val="0"/>
                <w:szCs w:val="21"/>
              </w:rPr>
            </w:pPr>
            <w:r>
              <w:rPr>
                <w:rFonts w:hint="eastAsia" w:ascii="宋体" w:hAnsi="宋体" w:cs="宋体"/>
                <w:kern w:val="0"/>
                <w:szCs w:val="21"/>
              </w:rPr>
              <w:t>备注：标准限值来源于《声环境质量标准》（GB3096-2008）表1中2类标准限值。</w:t>
            </w:r>
          </w:p>
        </w:tc>
      </w:tr>
    </w:tbl>
    <w:p w14:paraId="7A68AC19">
      <w:pPr>
        <w:spacing w:line="360" w:lineRule="auto"/>
        <w:ind w:firstLine="482"/>
        <w:rPr>
          <w:rFonts w:hint="eastAsia" w:ascii="宋体" w:hAnsi="宋体" w:cs="宋体"/>
          <w:sz w:val="24"/>
          <w:szCs w:val="24"/>
        </w:rPr>
      </w:pPr>
      <w:r>
        <w:rPr>
          <w:rFonts w:hint="eastAsia" w:ascii="宋体" w:hAnsi="宋体" w:cs="宋体"/>
          <w:sz w:val="24"/>
          <w:szCs w:val="24"/>
        </w:rPr>
        <w:t>由上表可以看出，厂址周围声环境现状监测值均满足《声环境质量标准》（GB3096-2008）2类标准要求。</w:t>
      </w:r>
    </w:p>
    <w:p w14:paraId="1C9F397D">
      <w:pPr>
        <w:pStyle w:val="4"/>
        <w:autoSpaceDE w:val="0"/>
        <w:autoSpaceDN w:val="0"/>
        <w:spacing w:before="0" w:after="0" w:line="360" w:lineRule="auto"/>
        <w:jc w:val="left"/>
        <w:rPr>
          <w:kern w:val="0"/>
          <w:sz w:val="24"/>
          <w:lang w:val="en-US" w:bidi="zh-CN"/>
        </w:rPr>
      </w:pPr>
      <w:bookmarkStart w:id="255" w:name="_Toc29560"/>
      <w:bookmarkStart w:id="256" w:name="_Toc32321"/>
      <w:bookmarkStart w:id="257" w:name="_Toc6155"/>
      <w:bookmarkStart w:id="258" w:name="_Toc7338"/>
      <w:bookmarkStart w:id="259" w:name="_Toc17573"/>
      <w:bookmarkStart w:id="260" w:name="_Toc15141"/>
      <w:bookmarkStart w:id="261" w:name="_Toc20981"/>
      <w:bookmarkStart w:id="262" w:name="_Toc15516"/>
      <w:r>
        <w:rPr>
          <w:rFonts w:hint="eastAsia"/>
          <w:kern w:val="0"/>
          <w:sz w:val="24"/>
          <w:lang w:val="en-US" w:bidi="zh-CN"/>
        </w:rPr>
        <w:t>4.3.5土壤环境调查与评价</w:t>
      </w:r>
    </w:p>
    <w:bookmarkEnd w:id="255"/>
    <w:bookmarkEnd w:id="256"/>
    <w:bookmarkEnd w:id="257"/>
    <w:bookmarkEnd w:id="258"/>
    <w:bookmarkEnd w:id="259"/>
    <w:bookmarkEnd w:id="260"/>
    <w:bookmarkEnd w:id="261"/>
    <w:bookmarkEnd w:id="262"/>
    <w:p w14:paraId="236D345F">
      <w:pPr>
        <w:pStyle w:val="5"/>
        <w:rPr>
          <w:rFonts w:ascii="Times New Roman" w:hAnsi="Times New Roman"/>
          <w:color w:val="000000"/>
          <w:lang w:val="en-US"/>
        </w:rPr>
      </w:pPr>
      <w:r>
        <w:rPr>
          <w:rFonts w:hint="eastAsia" w:ascii="Times New Roman" w:hAnsi="Times New Roman"/>
          <w:color w:val="000000"/>
          <w:lang w:val="en-US"/>
        </w:rPr>
        <w:t>4.3.5.1土壤环境质量现状监测</w:t>
      </w:r>
    </w:p>
    <w:p w14:paraId="2F7EF0B0">
      <w:pPr>
        <w:spacing w:line="360" w:lineRule="auto"/>
        <w:ind w:firstLine="480"/>
        <w:rPr>
          <w:rFonts w:hint="eastAsia" w:ascii="宋体" w:hAnsi="宋体" w:cs="宋体"/>
          <w:sz w:val="24"/>
          <w:szCs w:val="24"/>
          <w:lang w:bidi="en-US"/>
        </w:rPr>
      </w:pPr>
      <w:r>
        <w:rPr>
          <w:rFonts w:hint="eastAsia" w:ascii="宋体" w:hAnsi="宋体" w:cs="宋体"/>
          <w:sz w:val="24"/>
          <w:szCs w:val="24"/>
        </w:rPr>
        <w:t>采用现场监测的方法对所在区域的土壤环境质量现状进行评价。委托新疆中测测试有限责任公司</w:t>
      </w:r>
      <w:r>
        <w:rPr>
          <w:rFonts w:hint="eastAsia" w:ascii="宋体" w:hAnsi="宋体" w:cs="宋体"/>
          <w:sz w:val="24"/>
          <w:szCs w:val="24"/>
          <w:lang w:val="en-US" w:eastAsia="zh-CN"/>
        </w:rPr>
        <w:t>2025年6月5日</w:t>
      </w:r>
      <w:r>
        <w:rPr>
          <w:rFonts w:hint="eastAsia" w:ascii="宋体" w:hAnsi="宋体" w:cs="宋体"/>
          <w:sz w:val="24"/>
          <w:szCs w:val="24"/>
        </w:rPr>
        <w:t>对本项目区域进行了土壤环境质量现状监测。</w:t>
      </w:r>
    </w:p>
    <w:p w14:paraId="33E4510D">
      <w:pPr>
        <w:spacing w:line="360" w:lineRule="auto"/>
        <w:ind w:firstLine="480"/>
        <w:rPr>
          <w:rFonts w:hint="eastAsia" w:ascii="宋体" w:hAnsi="宋体" w:cs="宋体"/>
          <w:sz w:val="24"/>
          <w:szCs w:val="24"/>
          <w:lang w:bidi="en-US"/>
        </w:rPr>
      </w:pPr>
      <w:r>
        <w:rPr>
          <w:rFonts w:hint="eastAsia" w:ascii="宋体" w:hAnsi="宋体" w:cs="宋体"/>
          <w:sz w:val="24"/>
          <w:szCs w:val="24"/>
          <w:lang w:bidi="en-US"/>
        </w:rPr>
        <w:t>（1）监测布点及监测因子</w:t>
      </w:r>
    </w:p>
    <w:p w14:paraId="590633A4">
      <w:pPr>
        <w:spacing w:line="360" w:lineRule="auto"/>
        <w:ind w:firstLine="480"/>
        <w:rPr>
          <w:rFonts w:hint="eastAsia" w:ascii="宋体" w:hAnsi="宋体" w:cs="宋体"/>
          <w:color w:val="3A00FF"/>
          <w:sz w:val="24"/>
          <w:szCs w:val="24"/>
        </w:rPr>
      </w:pPr>
      <w:r>
        <w:rPr>
          <w:rFonts w:hint="eastAsia" w:ascii="宋体" w:hAnsi="宋体" w:cs="宋体"/>
          <w:sz w:val="24"/>
          <w:szCs w:val="24"/>
        </w:rPr>
        <w:t>根据项目区域土壤类型及工程特点，参照《环境影响评价技术导则-土壤环境(试行)》（HJ 964-2018）要求，本次评价在拟建项目占地范围内设3个表层样点（0-0.2m）进行现状监测，</w:t>
      </w:r>
      <w:r>
        <w:rPr>
          <w:rFonts w:hint="eastAsia" w:ascii="宋体" w:hAnsi="宋体" w:cs="宋体"/>
          <w:sz w:val="24"/>
          <w:szCs w:val="24"/>
          <w:lang w:eastAsia="zh-CN"/>
        </w:rPr>
        <w:t>根据</w:t>
      </w:r>
      <w:r>
        <w:rPr>
          <w:rFonts w:hint="eastAsia" w:ascii="宋体" w:hAnsi="宋体" w:cs="宋体"/>
          <w:sz w:val="24"/>
          <w:szCs w:val="24"/>
        </w:rPr>
        <w:t>《环境影响评价技术导则-土壤环境(试行)》（HJ 964-2018）</w:t>
      </w:r>
      <w:r>
        <w:rPr>
          <w:rFonts w:hint="eastAsia" w:ascii="宋体" w:hAnsi="宋体" w:cs="宋体"/>
          <w:sz w:val="24"/>
          <w:szCs w:val="24"/>
          <w:lang w:eastAsia="zh-CN"/>
        </w:rPr>
        <w:t>中</w:t>
      </w:r>
      <w:r>
        <w:rPr>
          <w:rFonts w:hint="eastAsia" w:ascii="宋体" w:hAnsi="宋体" w:cs="宋体"/>
          <w:sz w:val="24"/>
          <w:szCs w:val="24"/>
          <w:lang w:val="en-US" w:eastAsia="zh-CN"/>
        </w:rPr>
        <w:t>7.4.5现状监测因子一节中c)7.4.2.2和7.4.2.10中规定的点位须监测基本因子与特征因子；其他监测位可仅监测特征因子。根据上述要求项目区内只有一种土壤类型，因此选取项目区1#点做了全项45项，项目区内2#和3#点考虑到项目南侧、西南侧、东侧为农田，选取了重金属为监测因子，</w:t>
      </w:r>
      <w:r>
        <w:rPr>
          <w:rFonts w:hint="eastAsia" w:ascii="宋体" w:hAnsi="宋体" w:cs="宋体"/>
          <w:sz w:val="24"/>
          <w:szCs w:val="24"/>
        </w:rPr>
        <w:t>并选取其中一个点进行土壤理化性质调查，说明土壤环境的状况</w:t>
      </w:r>
      <w:r>
        <w:rPr>
          <w:rFonts w:hint="eastAsia" w:ascii="宋体" w:hAnsi="宋体" w:cs="宋体"/>
          <w:sz w:val="24"/>
          <w:szCs w:val="24"/>
          <w:lang w:eastAsia="zh-CN"/>
        </w:rPr>
        <w:t>；符合</w:t>
      </w:r>
      <w:r>
        <w:rPr>
          <w:rFonts w:hint="eastAsia" w:ascii="宋体" w:hAnsi="宋体" w:cs="宋体"/>
          <w:sz w:val="24"/>
          <w:szCs w:val="24"/>
        </w:rPr>
        <w:t>《环境影响评价技术导则-土壤环境(试行)》（HJ 964-2018）</w:t>
      </w:r>
      <w:r>
        <w:rPr>
          <w:rFonts w:hint="eastAsia" w:ascii="宋体" w:hAnsi="宋体" w:cs="宋体"/>
          <w:sz w:val="24"/>
          <w:szCs w:val="24"/>
          <w:lang w:eastAsia="zh-CN"/>
        </w:rPr>
        <w:t>中现状监测因子的选取要求。</w:t>
      </w:r>
      <w:r>
        <w:rPr>
          <w:rFonts w:hint="eastAsia" w:ascii="宋体" w:hAnsi="宋体" w:cs="宋体"/>
          <w:sz w:val="24"/>
          <w:szCs w:val="24"/>
        </w:rPr>
        <w:t>具体点位布设情况及采样情况详见下表。监测点位示意图见附图4.3-1i。</w:t>
      </w:r>
    </w:p>
    <w:p w14:paraId="68E245C3">
      <w:pPr>
        <w:pStyle w:val="247"/>
        <w:adjustRightInd w:val="0"/>
        <w:snapToGrid w:val="0"/>
        <w:jc w:val="center"/>
        <w:rPr>
          <w:rFonts w:hint="eastAsia" w:ascii="宋体" w:hAnsi="宋体" w:eastAsia="宋体" w:cs="宋体"/>
          <w:b/>
          <w:bCs/>
          <w:kern w:val="2"/>
          <w:szCs w:val="21"/>
        </w:rPr>
      </w:pPr>
    </w:p>
    <w:p w14:paraId="5DF80533">
      <w:pPr>
        <w:pStyle w:val="247"/>
        <w:adjustRightInd w:val="0"/>
        <w:snapToGrid w:val="0"/>
        <w:jc w:val="center"/>
        <w:rPr>
          <w:rFonts w:hint="eastAsia" w:ascii="宋体" w:hAnsi="宋体" w:eastAsia="宋体" w:cs="宋体"/>
          <w:b/>
          <w:bCs/>
          <w:kern w:val="2"/>
          <w:szCs w:val="21"/>
        </w:rPr>
      </w:pPr>
      <w:r>
        <w:rPr>
          <w:rFonts w:hint="eastAsia" w:ascii="宋体" w:hAnsi="宋体" w:eastAsia="宋体" w:cs="宋体"/>
          <w:b/>
          <w:bCs/>
          <w:kern w:val="2"/>
          <w:szCs w:val="21"/>
        </w:rPr>
        <w:t>表4.3-11  土壤监测点位及采样情况表</w:t>
      </w:r>
    </w:p>
    <w:tbl>
      <w:tblPr>
        <w:tblStyle w:val="50"/>
        <w:tblW w:w="4855" w:type="pct"/>
        <w:tblInd w:w="255" w:type="dxa"/>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autofit"/>
        <w:tblCellMar>
          <w:top w:w="0" w:type="dxa"/>
          <w:left w:w="108" w:type="dxa"/>
          <w:bottom w:w="0" w:type="dxa"/>
          <w:right w:w="108" w:type="dxa"/>
        </w:tblCellMar>
      </w:tblPr>
      <w:tblGrid>
        <w:gridCol w:w="586"/>
        <w:gridCol w:w="1222"/>
        <w:gridCol w:w="4444"/>
        <w:gridCol w:w="983"/>
        <w:gridCol w:w="1617"/>
      </w:tblGrid>
      <w:tr w14:paraId="415FF94B">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108" w:type="dxa"/>
            <w:bottom w:w="0" w:type="dxa"/>
            <w:right w:w="108" w:type="dxa"/>
          </w:tblCellMar>
        </w:tblPrEx>
        <w:tc>
          <w:tcPr>
            <w:tcW w:w="331" w:type="pct"/>
            <w:vAlign w:val="center"/>
          </w:tcPr>
          <w:p w14:paraId="0EEC6194">
            <w:pPr>
              <w:pStyle w:val="242"/>
              <w:rPr>
                <w:rFonts w:hint="eastAsia" w:ascii="宋体" w:hAnsi="宋体" w:cs="宋体"/>
              </w:rPr>
            </w:pPr>
            <w:r>
              <w:rPr>
                <w:rFonts w:hint="eastAsia" w:ascii="宋体" w:hAnsi="宋体" w:cs="宋体"/>
              </w:rPr>
              <w:t>编号</w:t>
            </w:r>
          </w:p>
        </w:tc>
        <w:tc>
          <w:tcPr>
            <w:tcW w:w="690" w:type="pct"/>
            <w:vAlign w:val="center"/>
          </w:tcPr>
          <w:p w14:paraId="1D681B66">
            <w:pPr>
              <w:pStyle w:val="242"/>
              <w:rPr>
                <w:rFonts w:hint="eastAsia" w:ascii="宋体" w:hAnsi="宋体" w:cs="宋体"/>
              </w:rPr>
            </w:pPr>
            <w:r>
              <w:rPr>
                <w:rFonts w:hint="eastAsia" w:ascii="宋体" w:hAnsi="宋体" w:cs="宋体"/>
              </w:rPr>
              <w:t>监测点名称</w:t>
            </w:r>
          </w:p>
        </w:tc>
        <w:tc>
          <w:tcPr>
            <w:tcW w:w="2509" w:type="pct"/>
            <w:vAlign w:val="center"/>
          </w:tcPr>
          <w:p w14:paraId="3DEFC71C">
            <w:pPr>
              <w:pStyle w:val="242"/>
              <w:rPr>
                <w:rFonts w:hint="eastAsia" w:ascii="宋体" w:hAnsi="宋体" w:cs="宋体"/>
              </w:rPr>
            </w:pPr>
            <w:r>
              <w:rPr>
                <w:rFonts w:hint="eastAsia" w:ascii="宋体" w:hAnsi="宋体" w:cs="宋体"/>
              </w:rPr>
              <w:t>监测因子</w:t>
            </w:r>
          </w:p>
        </w:tc>
        <w:tc>
          <w:tcPr>
            <w:tcW w:w="555" w:type="pct"/>
            <w:vAlign w:val="center"/>
          </w:tcPr>
          <w:p w14:paraId="32B659B6">
            <w:pPr>
              <w:pStyle w:val="242"/>
              <w:rPr>
                <w:rFonts w:hint="eastAsia" w:ascii="宋体" w:hAnsi="宋体" w:cs="宋体"/>
              </w:rPr>
            </w:pPr>
            <w:r>
              <w:rPr>
                <w:rFonts w:hint="eastAsia" w:ascii="宋体" w:hAnsi="宋体" w:cs="宋体"/>
              </w:rPr>
              <w:t>采样点类型</w:t>
            </w:r>
          </w:p>
        </w:tc>
        <w:tc>
          <w:tcPr>
            <w:tcW w:w="913" w:type="pct"/>
            <w:vAlign w:val="center"/>
          </w:tcPr>
          <w:p w14:paraId="189C5B1C">
            <w:pPr>
              <w:pStyle w:val="242"/>
              <w:rPr>
                <w:rFonts w:hint="eastAsia" w:ascii="宋体" w:hAnsi="宋体" w:cs="宋体"/>
              </w:rPr>
            </w:pPr>
            <w:r>
              <w:rPr>
                <w:rFonts w:hint="eastAsia" w:ascii="宋体" w:hAnsi="宋体" w:cs="宋体"/>
              </w:rPr>
              <w:t>监测点坐标</w:t>
            </w:r>
          </w:p>
        </w:tc>
      </w:tr>
      <w:tr w14:paraId="70B2FAA9">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108" w:type="dxa"/>
            <w:bottom w:w="0" w:type="dxa"/>
            <w:right w:w="108" w:type="dxa"/>
          </w:tblCellMar>
        </w:tblPrEx>
        <w:tc>
          <w:tcPr>
            <w:tcW w:w="331" w:type="pct"/>
            <w:vAlign w:val="center"/>
          </w:tcPr>
          <w:p w14:paraId="19EB8DF6">
            <w:pPr>
              <w:pStyle w:val="242"/>
              <w:rPr>
                <w:rFonts w:hint="eastAsia" w:ascii="宋体" w:hAnsi="宋体" w:cs="宋体"/>
              </w:rPr>
            </w:pPr>
            <w:r>
              <w:rPr>
                <w:rFonts w:hint="eastAsia" w:ascii="宋体" w:hAnsi="宋体" w:cs="宋体"/>
              </w:rPr>
              <w:t>1#</w:t>
            </w:r>
          </w:p>
        </w:tc>
        <w:tc>
          <w:tcPr>
            <w:tcW w:w="690" w:type="pct"/>
            <w:vAlign w:val="center"/>
          </w:tcPr>
          <w:p w14:paraId="7CB1D66D">
            <w:pPr>
              <w:pStyle w:val="242"/>
              <w:rPr>
                <w:rFonts w:hint="eastAsia" w:ascii="宋体" w:hAnsi="宋体" w:cs="宋体"/>
              </w:rPr>
            </w:pPr>
            <w:r>
              <w:rPr>
                <w:rFonts w:hint="eastAsia" w:ascii="宋体" w:hAnsi="宋体" w:cs="宋体"/>
              </w:rPr>
              <w:t>项目区1#</w:t>
            </w:r>
          </w:p>
        </w:tc>
        <w:tc>
          <w:tcPr>
            <w:tcW w:w="2509" w:type="pct"/>
            <w:vAlign w:val="center"/>
          </w:tcPr>
          <w:p w14:paraId="2DCDFD40">
            <w:pPr>
              <w:pStyle w:val="242"/>
              <w:rPr>
                <w:rFonts w:hint="eastAsia" w:ascii="宋体" w:hAnsi="宋体" w:cs="宋体"/>
              </w:rPr>
            </w:pPr>
            <w:r>
              <w:rPr>
                <w:rFonts w:hint="eastAsia" w:ascii="宋体" w:hAnsi="宋体" w:cs="宋体"/>
              </w:rPr>
              <w:t>铬（六价）、汞、砷、铜、镍、镉、铅、四氯化碳、氯仿、氯甲烷、1,1-二氯、乙烷、1,2-二氯乙烷、1,1-二氯乙烯、顺-1,2-二氯乙烯、反-1,2-二氯乙烯、二氯甲烷、1,2-二氯丙烷、1,1,1,2-四氯乙烷、1,1,2,2-四氯乙烷、四氯乙烯、1,1,1-三氯乙烷、1,1,2-三氯乙烷、三氯乙烯、1,2,3-三氯丙烷、氯乙烯、苯、氯苯、1,2-二氯苯、1,4-二氯苯、乙苯、苯乙烯、甲苯、间二甲苯+对二甲苯、邻二甲苯、硝基苯、苯胺、2-氯酚、苯并[ａ]蒽、苯并[ａ]芘、苯并[b]荧蒽、苯并[k]荧蒽、䓛、二苯并[ａ，h]蒽、茚苯并[1,2,3-cd]芘、萘</w:t>
            </w:r>
          </w:p>
        </w:tc>
        <w:tc>
          <w:tcPr>
            <w:tcW w:w="555" w:type="pct"/>
            <w:vAlign w:val="center"/>
          </w:tcPr>
          <w:p w14:paraId="52794EA0">
            <w:pPr>
              <w:pStyle w:val="242"/>
              <w:rPr>
                <w:rFonts w:hint="eastAsia" w:ascii="宋体" w:hAnsi="宋体" w:cs="宋体"/>
              </w:rPr>
            </w:pPr>
            <w:r>
              <w:rPr>
                <w:rFonts w:hint="eastAsia" w:ascii="宋体" w:hAnsi="宋体" w:cs="宋体"/>
              </w:rPr>
              <w:t>表层土</w:t>
            </w:r>
          </w:p>
        </w:tc>
        <w:tc>
          <w:tcPr>
            <w:tcW w:w="913" w:type="pct"/>
            <w:vAlign w:val="center"/>
          </w:tcPr>
          <w:p w14:paraId="2E067303">
            <w:pPr>
              <w:pStyle w:val="242"/>
              <w:rPr>
                <w:rFonts w:hint="eastAsia" w:ascii="宋体" w:hAnsi="宋体" w:cs="宋体"/>
                <w:color w:val="000000"/>
                <w:szCs w:val="21"/>
              </w:rPr>
            </w:pPr>
            <w:r>
              <w:rPr>
                <w:rFonts w:hint="eastAsia" w:ascii="宋体" w:hAnsi="宋体" w:cs="宋体"/>
                <w:color w:val="000000"/>
                <w:szCs w:val="21"/>
              </w:rPr>
              <w:t>经度85.836994</w:t>
            </w:r>
          </w:p>
          <w:p w14:paraId="12CA29D1">
            <w:pPr>
              <w:pStyle w:val="242"/>
              <w:rPr>
                <w:rFonts w:hint="eastAsia" w:ascii="宋体" w:hAnsi="宋体" w:cs="宋体"/>
              </w:rPr>
            </w:pPr>
            <w:r>
              <w:rPr>
                <w:rFonts w:hint="eastAsia" w:ascii="宋体" w:hAnsi="宋体" w:cs="宋体"/>
                <w:color w:val="000000"/>
                <w:szCs w:val="21"/>
              </w:rPr>
              <w:t>纬度41.416965</w:t>
            </w:r>
          </w:p>
        </w:tc>
      </w:tr>
      <w:tr w14:paraId="427A5531">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108" w:type="dxa"/>
            <w:bottom w:w="0" w:type="dxa"/>
            <w:right w:w="108" w:type="dxa"/>
          </w:tblCellMar>
        </w:tblPrEx>
        <w:tc>
          <w:tcPr>
            <w:tcW w:w="331" w:type="pct"/>
            <w:vAlign w:val="center"/>
          </w:tcPr>
          <w:p w14:paraId="1D470707">
            <w:pPr>
              <w:pStyle w:val="242"/>
              <w:rPr>
                <w:rFonts w:hint="eastAsia" w:ascii="宋体" w:hAnsi="宋体" w:cs="宋体"/>
              </w:rPr>
            </w:pPr>
            <w:r>
              <w:rPr>
                <w:rFonts w:hint="eastAsia" w:ascii="宋体" w:hAnsi="宋体" w:cs="宋体"/>
              </w:rPr>
              <w:t>2#</w:t>
            </w:r>
          </w:p>
        </w:tc>
        <w:tc>
          <w:tcPr>
            <w:tcW w:w="690" w:type="pct"/>
            <w:vAlign w:val="center"/>
          </w:tcPr>
          <w:p w14:paraId="48E56518">
            <w:pPr>
              <w:pStyle w:val="242"/>
              <w:rPr>
                <w:rFonts w:hint="eastAsia" w:ascii="宋体" w:hAnsi="宋体" w:cs="宋体"/>
              </w:rPr>
            </w:pPr>
            <w:r>
              <w:rPr>
                <w:rFonts w:hint="eastAsia" w:ascii="宋体" w:hAnsi="宋体" w:cs="宋体"/>
              </w:rPr>
              <w:t>项目区2#</w:t>
            </w:r>
          </w:p>
        </w:tc>
        <w:tc>
          <w:tcPr>
            <w:tcW w:w="2509" w:type="pct"/>
            <w:vAlign w:val="center"/>
          </w:tcPr>
          <w:p w14:paraId="2364237C">
            <w:pPr>
              <w:widowControl/>
              <w:jc w:val="center"/>
              <w:rPr>
                <w:rFonts w:hint="eastAsia" w:ascii="宋体" w:hAnsi="宋体" w:cs="宋体"/>
              </w:rPr>
            </w:pPr>
            <w:r>
              <w:rPr>
                <w:rFonts w:hint="eastAsia"/>
                <w:color w:val="000000"/>
                <w:kern w:val="0"/>
                <w:szCs w:val="21"/>
                <w:lang w:bidi="ar"/>
              </w:rPr>
              <w:t>六价铬、铅、镉、铜、镍、汞、砷</w:t>
            </w:r>
          </w:p>
        </w:tc>
        <w:tc>
          <w:tcPr>
            <w:tcW w:w="555" w:type="pct"/>
            <w:vAlign w:val="center"/>
          </w:tcPr>
          <w:p w14:paraId="53B216C0">
            <w:pPr>
              <w:pStyle w:val="242"/>
              <w:rPr>
                <w:rFonts w:hint="eastAsia" w:ascii="宋体" w:hAnsi="宋体" w:cs="宋体"/>
              </w:rPr>
            </w:pPr>
            <w:r>
              <w:rPr>
                <w:rFonts w:hint="eastAsia" w:ascii="宋体" w:hAnsi="宋体" w:cs="宋体"/>
              </w:rPr>
              <w:t>表层土</w:t>
            </w:r>
          </w:p>
        </w:tc>
        <w:tc>
          <w:tcPr>
            <w:tcW w:w="913" w:type="pct"/>
            <w:vAlign w:val="center"/>
          </w:tcPr>
          <w:p w14:paraId="706DA0B2">
            <w:pPr>
              <w:jc w:val="center"/>
              <w:rPr>
                <w:rFonts w:hint="eastAsia" w:ascii="宋体" w:hAnsi="宋体" w:cs="宋体"/>
                <w:color w:val="000000"/>
                <w:szCs w:val="21"/>
              </w:rPr>
            </w:pPr>
            <w:r>
              <w:rPr>
                <w:rFonts w:hint="eastAsia" w:ascii="宋体" w:hAnsi="宋体" w:cs="宋体"/>
                <w:color w:val="000000"/>
                <w:szCs w:val="21"/>
              </w:rPr>
              <w:t>经度85.837048</w:t>
            </w:r>
          </w:p>
          <w:p w14:paraId="721FA142">
            <w:pPr>
              <w:pStyle w:val="242"/>
              <w:rPr>
                <w:rFonts w:hint="eastAsia" w:ascii="宋体" w:hAnsi="宋体" w:cs="宋体"/>
              </w:rPr>
            </w:pPr>
            <w:r>
              <w:rPr>
                <w:rFonts w:hint="eastAsia" w:ascii="宋体" w:hAnsi="宋体" w:cs="宋体"/>
                <w:color w:val="000000"/>
                <w:szCs w:val="21"/>
              </w:rPr>
              <w:t>纬度41.416598</w:t>
            </w:r>
          </w:p>
        </w:tc>
      </w:tr>
      <w:tr w14:paraId="19100FEF">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108" w:type="dxa"/>
            <w:bottom w:w="0" w:type="dxa"/>
            <w:right w:w="108" w:type="dxa"/>
          </w:tblCellMar>
        </w:tblPrEx>
        <w:tc>
          <w:tcPr>
            <w:tcW w:w="331" w:type="pct"/>
            <w:vAlign w:val="center"/>
          </w:tcPr>
          <w:p w14:paraId="6A230826">
            <w:pPr>
              <w:pStyle w:val="242"/>
              <w:rPr>
                <w:rFonts w:hint="eastAsia" w:ascii="宋体" w:hAnsi="宋体" w:cs="宋体"/>
              </w:rPr>
            </w:pPr>
            <w:r>
              <w:rPr>
                <w:rFonts w:hint="eastAsia" w:ascii="宋体" w:hAnsi="宋体" w:cs="宋体"/>
              </w:rPr>
              <w:t>3#</w:t>
            </w:r>
          </w:p>
        </w:tc>
        <w:tc>
          <w:tcPr>
            <w:tcW w:w="690" w:type="pct"/>
            <w:vAlign w:val="center"/>
          </w:tcPr>
          <w:p w14:paraId="5CFC815B">
            <w:pPr>
              <w:pStyle w:val="242"/>
              <w:rPr>
                <w:rFonts w:hint="eastAsia" w:ascii="宋体" w:hAnsi="宋体" w:cs="宋体"/>
              </w:rPr>
            </w:pPr>
            <w:r>
              <w:rPr>
                <w:rFonts w:hint="eastAsia" w:ascii="宋体" w:hAnsi="宋体" w:cs="宋体"/>
              </w:rPr>
              <w:t>项目区3#</w:t>
            </w:r>
          </w:p>
        </w:tc>
        <w:tc>
          <w:tcPr>
            <w:tcW w:w="2509" w:type="pct"/>
            <w:vAlign w:val="center"/>
          </w:tcPr>
          <w:p w14:paraId="5DFB5AF2">
            <w:pPr>
              <w:widowControl/>
              <w:jc w:val="center"/>
              <w:rPr>
                <w:rFonts w:hint="eastAsia" w:ascii="宋体" w:hAnsi="宋体" w:cs="宋体"/>
              </w:rPr>
            </w:pPr>
            <w:r>
              <w:rPr>
                <w:rFonts w:hint="eastAsia"/>
                <w:color w:val="000000"/>
                <w:kern w:val="0"/>
                <w:szCs w:val="21"/>
                <w:lang w:bidi="ar"/>
              </w:rPr>
              <w:t>六价铬、铅、镉、铜、镍、汞、砷</w:t>
            </w:r>
          </w:p>
        </w:tc>
        <w:tc>
          <w:tcPr>
            <w:tcW w:w="555" w:type="pct"/>
            <w:vAlign w:val="center"/>
          </w:tcPr>
          <w:p w14:paraId="0EDCDC6B">
            <w:pPr>
              <w:pStyle w:val="242"/>
              <w:rPr>
                <w:rFonts w:hint="eastAsia" w:ascii="宋体" w:hAnsi="宋体" w:cs="宋体"/>
              </w:rPr>
            </w:pPr>
            <w:r>
              <w:rPr>
                <w:rFonts w:hint="eastAsia" w:ascii="宋体" w:hAnsi="宋体" w:cs="宋体"/>
              </w:rPr>
              <w:t>表层土</w:t>
            </w:r>
          </w:p>
        </w:tc>
        <w:tc>
          <w:tcPr>
            <w:tcW w:w="913" w:type="pct"/>
            <w:vAlign w:val="center"/>
          </w:tcPr>
          <w:p w14:paraId="65B5B2A2">
            <w:pPr>
              <w:jc w:val="center"/>
              <w:rPr>
                <w:rFonts w:hint="eastAsia" w:ascii="宋体" w:hAnsi="宋体" w:cs="宋体"/>
                <w:color w:val="000000"/>
                <w:szCs w:val="21"/>
              </w:rPr>
            </w:pPr>
            <w:r>
              <w:rPr>
                <w:rFonts w:hint="eastAsia" w:ascii="宋体" w:hAnsi="宋体" w:cs="宋体"/>
                <w:color w:val="000000"/>
                <w:szCs w:val="21"/>
              </w:rPr>
              <w:t>经度85.837793</w:t>
            </w:r>
          </w:p>
          <w:p w14:paraId="4A00BAEE">
            <w:pPr>
              <w:pStyle w:val="242"/>
              <w:rPr>
                <w:rFonts w:hint="eastAsia" w:ascii="宋体" w:hAnsi="宋体" w:cs="宋体"/>
              </w:rPr>
            </w:pPr>
            <w:r>
              <w:rPr>
                <w:rFonts w:hint="eastAsia" w:ascii="宋体" w:hAnsi="宋体" w:cs="宋体"/>
                <w:color w:val="000000"/>
                <w:szCs w:val="21"/>
              </w:rPr>
              <w:t>纬度41.416372</w:t>
            </w:r>
          </w:p>
        </w:tc>
      </w:tr>
    </w:tbl>
    <w:p w14:paraId="184004A4">
      <w:pPr>
        <w:spacing w:line="360" w:lineRule="auto"/>
        <w:ind w:firstLine="480"/>
        <w:rPr>
          <w:rFonts w:hint="eastAsia" w:ascii="宋体" w:hAnsi="宋体" w:cs="宋体"/>
          <w:sz w:val="24"/>
          <w:szCs w:val="24"/>
        </w:rPr>
      </w:pPr>
      <w:r>
        <w:rPr>
          <w:rFonts w:hint="eastAsia" w:ascii="宋体" w:hAnsi="宋体" w:cs="宋体"/>
          <w:sz w:val="24"/>
          <w:szCs w:val="24"/>
        </w:rPr>
        <w:t>（2）监测时间与频率</w:t>
      </w:r>
    </w:p>
    <w:p w14:paraId="6AFEBF9F">
      <w:pPr>
        <w:spacing w:line="360" w:lineRule="auto"/>
        <w:ind w:firstLine="480"/>
        <w:rPr>
          <w:rFonts w:hint="eastAsia" w:ascii="宋体" w:hAnsi="宋体" w:cs="宋体"/>
          <w:sz w:val="24"/>
          <w:szCs w:val="24"/>
        </w:rPr>
      </w:pPr>
      <w:r>
        <w:rPr>
          <w:rFonts w:hint="eastAsia" w:ascii="宋体" w:hAnsi="宋体" w:cs="宋体"/>
          <w:sz w:val="24"/>
          <w:szCs w:val="24"/>
        </w:rPr>
        <w:t>2025年6月5日，进行采样1次。</w:t>
      </w:r>
    </w:p>
    <w:p w14:paraId="4A0A31DE">
      <w:pPr>
        <w:pStyle w:val="5"/>
        <w:rPr>
          <w:rFonts w:ascii="Times New Roman" w:hAnsi="Times New Roman"/>
          <w:color w:val="000000"/>
          <w:lang w:val="en-US"/>
        </w:rPr>
      </w:pPr>
      <w:r>
        <w:rPr>
          <w:rFonts w:hint="eastAsia" w:ascii="Times New Roman" w:hAnsi="Times New Roman"/>
          <w:color w:val="000000"/>
          <w:lang w:val="en-US"/>
        </w:rPr>
        <w:t>4.3.5.2土壤环境质量现状评价</w:t>
      </w:r>
    </w:p>
    <w:p w14:paraId="0427FC46">
      <w:pPr>
        <w:spacing w:line="360" w:lineRule="auto"/>
        <w:ind w:firstLine="480"/>
        <w:rPr>
          <w:rFonts w:hint="eastAsia" w:ascii="宋体" w:hAnsi="宋体" w:cs="宋体"/>
          <w:sz w:val="24"/>
          <w:szCs w:val="24"/>
        </w:rPr>
      </w:pPr>
      <w:r>
        <w:rPr>
          <w:rFonts w:hint="eastAsia" w:ascii="宋体" w:hAnsi="宋体" w:cs="宋体"/>
          <w:sz w:val="24"/>
          <w:szCs w:val="24"/>
        </w:rPr>
        <w:t>（1）评价方法</w:t>
      </w:r>
    </w:p>
    <w:p w14:paraId="0D05CF1E">
      <w:pPr>
        <w:spacing w:line="360" w:lineRule="auto"/>
        <w:ind w:firstLine="480"/>
        <w:rPr>
          <w:rFonts w:hint="eastAsia" w:ascii="宋体" w:hAnsi="宋体" w:cs="宋体"/>
          <w:sz w:val="24"/>
          <w:szCs w:val="24"/>
        </w:rPr>
      </w:pPr>
      <w:r>
        <w:rPr>
          <w:rFonts w:hint="eastAsia" w:ascii="宋体" w:hAnsi="宋体" w:cs="宋体"/>
          <w:sz w:val="24"/>
          <w:szCs w:val="24"/>
        </w:rPr>
        <w:t>土壤环境质量现状评价应采用标准指数法。</w:t>
      </w:r>
    </w:p>
    <w:p w14:paraId="32E76287">
      <w:pPr>
        <w:spacing w:line="360" w:lineRule="auto"/>
        <w:ind w:firstLine="480"/>
        <w:rPr>
          <w:rFonts w:hint="eastAsia" w:ascii="宋体" w:hAnsi="宋体" w:cs="宋体"/>
          <w:sz w:val="24"/>
          <w:szCs w:val="24"/>
        </w:rPr>
      </w:pPr>
      <w:r>
        <w:rPr>
          <w:rFonts w:hint="eastAsia" w:ascii="宋体" w:hAnsi="宋体" w:cs="宋体"/>
          <w:sz w:val="24"/>
          <w:szCs w:val="24"/>
        </w:rPr>
        <w:t>（2）评价标准</w:t>
      </w:r>
    </w:p>
    <w:p w14:paraId="71BBAA75">
      <w:pPr>
        <w:spacing w:line="360" w:lineRule="auto"/>
        <w:ind w:firstLine="480"/>
        <w:rPr>
          <w:rFonts w:hint="eastAsia" w:ascii="宋体" w:hAnsi="宋体" w:cs="宋体"/>
          <w:sz w:val="24"/>
          <w:szCs w:val="24"/>
        </w:rPr>
      </w:pPr>
      <w:r>
        <w:rPr>
          <w:rFonts w:hint="eastAsia" w:ascii="宋体" w:hAnsi="宋体" w:cs="宋体"/>
          <w:sz w:val="24"/>
          <w:szCs w:val="24"/>
        </w:rPr>
        <w:t>各监测点均执行《土壤环境质量  建设用地土壤污染风险管控标准》（GB36600-2018）筛选值标准。</w:t>
      </w:r>
    </w:p>
    <w:p w14:paraId="47874D67">
      <w:pPr>
        <w:spacing w:line="360" w:lineRule="auto"/>
        <w:ind w:firstLine="480"/>
        <w:rPr>
          <w:rFonts w:hint="eastAsia" w:ascii="宋体" w:hAnsi="宋体" w:cs="宋体"/>
          <w:sz w:val="24"/>
          <w:szCs w:val="24"/>
        </w:rPr>
      </w:pPr>
      <w:r>
        <w:rPr>
          <w:rFonts w:hint="eastAsia" w:ascii="宋体" w:hAnsi="宋体" w:cs="宋体"/>
          <w:sz w:val="24"/>
          <w:szCs w:val="24"/>
        </w:rPr>
        <w:t>（3）监测结果统计</w:t>
      </w:r>
    </w:p>
    <w:p w14:paraId="2CB14ED9">
      <w:pPr>
        <w:spacing w:line="360" w:lineRule="auto"/>
        <w:ind w:firstLine="480"/>
        <w:rPr>
          <w:rFonts w:hint="eastAsia" w:ascii="宋体" w:hAnsi="宋体" w:cs="宋体"/>
          <w:sz w:val="24"/>
          <w:szCs w:val="24"/>
        </w:rPr>
      </w:pPr>
      <w:r>
        <w:rPr>
          <w:rFonts w:hint="eastAsia" w:ascii="宋体" w:hAnsi="宋体" w:cs="宋体"/>
          <w:sz w:val="24"/>
          <w:szCs w:val="24"/>
        </w:rPr>
        <w:t>土壤监测结果见表4.3-12。</w:t>
      </w:r>
    </w:p>
    <w:p w14:paraId="292A99EC">
      <w:pPr>
        <w:sectPr>
          <w:headerReference r:id="rId12" w:type="default"/>
          <w:footerReference r:id="rId13" w:type="default"/>
          <w:pgSz w:w="11906" w:h="16838"/>
          <w:pgMar w:top="1418" w:right="1588" w:bottom="1418" w:left="1418" w:header="851" w:footer="992" w:gutter="0"/>
          <w:pgBorders>
            <w:top w:val="none" w:sz="0" w:space="0"/>
            <w:left w:val="none" w:sz="0" w:space="0"/>
            <w:bottom w:val="none" w:sz="0" w:space="0"/>
            <w:right w:val="none" w:sz="0" w:space="0"/>
          </w:pgBorders>
          <w:cols w:space="425" w:num="1"/>
          <w:docGrid w:type="lines" w:linePitch="312" w:charSpace="0"/>
        </w:sectPr>
      </w:pPr>
    </w:p>
    <w:p w14:paraId="625FCA53">
      <w:pPr>
        <w:pStyle w:val="241"/>
        <w:rPr>
          <w:rFonts w:hint="eastAsia" w:ascii="宋体" w:hAnsi="宋体" w:cs="宋体"/>
          <w:szCs w:val="21"/>
        </w:rPr>
      </w:pPr>
      <w:r>
        <w:rPr>
          <w:rFonts w:hint="eastAsia" w:ascii="宋体" w:hAnsi="宋体" w:cs="宋体"/>
          <w:szCs w:val="21"/>
        </w:rPr>
        <w:t>表4.3-12    土壤监测及评价结果</w:t>
      </w:r>
    </w:p>
    <w:tbl>
      <w:tblPr>
        <w:tblStyle w:val="50"/>
        <w:tblW w:w="4977" w:type="pct"/>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108" w:type="dxa"/>
          <w:bottom w:w="0" w:type="dxa"/>
          <w:right w:w="108" w:type="dxa"/>
        </w:tblCellMar>
      </w:tblPr>
      <w:tblGrid>
        <w:gridCol w:w="2114"/>
        <w:gridCol w:w="911"/>
        <w:gridCol w:w="1050"/>
        <w:gridCol w:w="1110"/>
        <w:gridCol w:w="1110"/>
        <w:gridCol w:w="1112"/>
        <w:gridCol w:w="1110"/>
        <w:gridCol w:w="1180"/>
        <w:gridCol w:w="1112"/>
        <w:gridCol w:w="1110"/>
        <w:gridCol w:w="1110"/>
        <w:gridCol w:w="1124"/>
      </w:tblGrid>
      <w:tr w14:paraId="2D3675E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747" w:type="pct"/>
            <w:vMerge w:val="restart"/>
            <w:vAlign w:val="center"/>
          </w:tcPr>
          <w:p w14:paraId="0FE1B8F5">
            <w:pPr>
              <w:pStyle w:val="242"/>
              <w:rPr>
                <w:rFonts w:hint="eastAsia" w:ascii="宋体" w:hAnsi="宋体" w:cs="宋体"/>
              </w:rPr>
            </w:pPr>
            <w:r>
              <w:rPr>
                <w:rFonts w:hint="eastAsia" w:ascii="宋体" w:hAnsi="宋体" w:cs="宋体"/>
              </w:rPr>
              <w:t>检测项目</w:t>
            </w:r>
          </w:p>
        </w:tc>
        <w:tc>
          <w:tcPr>
            <w:tcW w:w="322" w:type="pct"/>
            <w:vMerge w:val="restart"/>
            <w:vAlign w:val="center"/>
          </w:tcPr>
          <w:p w14:paraId="61814A92">
            <w:pPr>
              <w:pStyle w:val="242"/>
              <w:rPr>
                <w:rFonts w:hint="eastAsia" w:ascii="宋体" w:hAnsi="宋体" w:cs="宋体"/>
              </w:rPr>
            </w:pPr>
            <w:r>
              <w:rPr>
                <w:rFonts w:hint="eastAsia" w:ascii="宋体" w:hAnsi="宋体" w:cs="宋体"/>
              </w:rPr>
              <w:t>单位</w:t>
            </w:r>
          </w:p>
        </w:tc>
        <w:tc>
          <w:tcPr>
            <w:tcW w:w="371" w:type="pct"/>
            <w:vMerge w:val="restart"/>
            <w:vAlign w:val="center"/>
          </w:tcPr>
          <w:p w14:paraId="3816AC64">
            <w:pPr>
              <w:pStyle w:val="242"/>
              <w:rPr>
                <w:rFonts w:hint="eastAsia" w:ascii="宋体" w:hAnsi="宋体" w:cs="宋体"/>
              </w:rPr>
            </w:pPr>
            <w:r>
              <w:rPr>
                <w:rFonts w:hint="eastAsia" w:ascii="宋体" w:hAnsi="宋体" w:cs="宋体"/>
              </w:rPr>
              <w:t>标准值</w:t>
            </w:r>
          </w:p>
        </w:tc>
        <w:tc>
          <w:tcPr>
            <w:tcW w:w="3561" w:type="pct"/>
            <w:gridSpan w:val="9"/>
            <w:vAlign w:val="center"/>
          </w:tcPr>
          <w:p w14:paraId="58E03AA3">
            <w:pPr>
              <w:pStyle w:val="242"/>
              <w:rPr>
                <w:rFonts w:hint="eastAsia" w:ascii="宋体" w:hAnsi="宋体" w:cs="宋体"/>
              </w:rPr>
            </w:pPr>
            <w:r>
              <w:rPr>
                <w:rFonts w:hint="eastAsia" w:ascii="宋体" w:hAnsi="宋体" w:cs="宋体"/>
              </w:rPr>
              <w:t>监测结果</w:t>
            </w:r>
          </w:p>
        </w:tc>
      </w:tr>
      <w:tr w14:paraId="7C73DCF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747" w:type="pct"/>
            <w:vMerge w:val="continue"/>
            <w:vAlign w:val="center"/>
          </w:tcPr>
          <w:p w14:paraId="1D55EDF8">
            <w:pPr>
              <w:pStyle w:val="242"/>
              <w:rPr>
                <w:rFonts w:hint="eastAsia" w:ascii="宋体" w:hAnsi="宋体" w:cs="宋体"/>
              </w:rPr>
            </w:pPr>
          </w:p>
        </w:tc>
        <w:tc>
          <w:tcPr>
            <w:tcW w:w="322" w:type="pct"/>
            <w:vMerge w:val="continue"/>
            <w:vAlign w:val="center"/>
          </w:tcPr>
          <w:p w14:paraId="04970EC6">
            <w:pPr>
              <w:pStyle w:val="242"/>
              <w:rPr>
                <w:rFonts w:hint="eastAsia" w:ascii="宋体" w:hAnsi="宋体" w:cs="宋体"/>
              </w:rPr>
            </w:pPr>
          </w:p>
        </w:tc>
        <w:tc>
          <w:tcPr>
            <w:tcW w:w="371" w:type="pct"/>
            <w:vMerge w:val="continue"/>
            <w:vAlign w:val="center"/>
          </w:tcPr>
          <w:p w14:paraId="321E86F1">
            <w:pPr>
              <w:pStyle w:val="242"/>
              <w:rPr>
                <w:rFonts w:hint="eastAsia" w:ascii="宋体" w:hAnsi="宋体" w:cs="宋体"/>
              </w:rPr>
            </w:pPr>
          </w:p>
        </w:tc>
        <w:tc>
          <w:tcPr>
            <w:tcW w:w="1177" w:type="pct"/>
            <w:gridSpan w:val="3"/>
            <w:vAlign w:val="center"/>
          </w:tcPr>
          <w:p w14:paraId="582B8A31">
            <w:pPr>
              <w:pStyle w:val="242"/>
              <w:rPr>
                <w:rFonts w:hint="eastAsia" w:ascii="宋体" w:hAnsi="宋体" w:cs="宋体"/>
              </w:rPr>
            </w:pPr>
            <w:r>
              <w:rPr>
                <w:rFonts w:hint="eastAsia" w:ascii="宋体" w:hAnsi="宋体" w:cs="宋体"/>
              </w:rPr>
              <w:t>1#</w:t>
            </w:r>
          </w:p>
        </w:tc>
        <w:tc>
          <w:tcPr>
            <w:tcW w:w="1202" w:type="pct"/>
            <w:gridSpan w:val="3"/>
            <w:vAlign w:val="center"/>
          </w:tcPr>
          <w:p w14:paraId="19614DF3">
            <w:pPr>
              <w:pStyle w:val="242"/>
              <w:rPr>
                <w:rFonts w:hint="eastAsia" w:ascii="宋体" w:hAnsi="宋体" w:cs="宋体"/>
              </w:rPr>
            </w:pPr>
            <w:r>
              <w:rPr>
                <w:rFonts w:hint="eastAsia" w:ascii="宋体" w:hAnsi="宋体" w:cs="宋体"/>
              </w:rPr>
              <w:t>2#</w:t>
            </w:r>
          </w:p>
        </w:tc>
        <w:tc>
          <w:tcPr>
            <w:tcW w:w="1182" w:type="pct"/>
            <w:gridSpan w:val="3"/>
            <w:vAlign w:val="center"/>
          </w:tcPr>
          <w:p w14:paraId="44F81614">
            <w:pPr>
              <w:pStyle w:val="242"/>
              <w:rPr>
                <w:rFonts w:hint="eastAsia" w:ascii="宋体" w:hAnsi="宋体" w:cs="宋体"/>
              </w:rPr>
            </w:pPr>
            <w:r>
              <w:rPr>
                <w:rFonts w:hint="eastAsia" w:ascii="宋体" w:hAnsi="宋体" w:cs="宋体"/>
              </w:rPr>
              <w:t>3#</w:t>
            </w:r>
          </w:p>
        </w:tc>
      </w:tr>
      <w:tr w14:paraId="4E12B1A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747" w:type="pct"/>
            <w:vMerge w:val="continue"/>
            <w:vAlign w:val="center"/>
          </w:tcPr>
          <w:p w14:paraId="03F02E66">
            <w:pPr>
              <w:pStyle w:val="242"/>
              <w:rPr>
                <w:rFonts w:hint="eastAsia" w:ascii="宋体" w:hAnsi="宋体" w:cs="宋体"/>
              </w:rPr>
            </w:pPr>
          </w:p>
        </w:tc>
        <w:tc>
          <w:tcPr>
            <w:tcW w:w="322" w:type="pct"/>
            <w:vMerge w:val="continue"/>
            <w:vAlign w:val="center"/>
          </w:tcPr>
          <w:p w14:paraId="3030A38C">
            <w:pPr>
              <w:pStyle w:val="242"/>
              <w:rPr>
                <w:rFonts w:hint="eastAsia" w:ascii="宋体" w:hAnsi="宋体" w:cs="宋体"/>
              </w:rPr>
            </w:pPr>
          </w:p>
        </w:tc>
        <w:tc>
          <w:tcPr>
            <w:tcW w:w="371" w:type="pct"/>
            <w:vMerge w:val="continue"/>
            <w:vAlign w:val="center"/>
          </w:tcPr>
          <w:p w14:paraId="54FEF6F1">
            <w:pPr>
              <w:pStyle w:val="242"/>
              <w:rPr>
                <w:rFonts w:hint="eastAsia" w:ascii="宋体" w:hAnsi="宋体" w:cs="宋体"/>
              </w:rPr>
            </w:pPr>
          </w:p>
        </w:tc>
        <w:tc>
          <w:tcPr>
            <w:tcW w:w="392" w:type="pct"/>
            <w:vAlign w:val="center"/>
          </w:tcPr>
          <w:p w14:paraId="54546786">
            <w:pPr>
              <w:pStyle w:val="242"/>
              <w:rPr>
                <w:rFonts w:hint="eastAsia" w:ascii="宋体" w:hAnsi="宋体" w:cs="宋体"/>
              </w:rPr>
            </w:pPr>
            <w:r>
              <w:rPr>
                <w:rFonts w:hint="eastAsia" w:ascii="宋体" w:hAnsi="宋体" w:cs="宋体"/>
              </w:rPr>
              <w:t>监测结果</w:t>
            </w:r>
          </w:p>
        </w:tc>
        <w:tc>
          <w:tcPr>
            <w:tcW w:w="392" w:type="pct"/>
            <w:vAlign w:val="center"/>
          </w:tcPr>
          <w:p w14:paraId="45144FB4">
            <w:pPr>
              <w:pStyle w:val="242"/>
              <w:rPr>
                <w:rFonts w:hint="eastAsia" w:ascii="宋体" w:hAnsi="宋体" w:cs="宋体"/>
              </w:rPr>
            </w:pPr>
            <w:r>
              <w:rPr>
                <w:rFonts w:hint="eastAsia" w:ascii="宋体" w:hAnsi="宋体" w:cs="宋体"/>
              </w:rPr>
              <w:t>评价指数</w:t>
            </w:r>
          </w:p>
        </w:tc>
        <w:tc>
          <w:tcPr>
            <w:tcW w:w="393" w:type="pct"/>
            <w:vAlign w:val="center"/>
          </w:tcPr>
          <w:p w14:paraId="374285EE">
            <w:pPr>
              <w:pStyle w:val="242"/>
              <w:rPr>
                <w:rFonts w:hint="eastAsia" w:ascii="宋体" w:hAnsi="宋体" w:cs="宋体"/>
              </w:rPr>
            </w:pPr>
            <w:r>
              <w:rPr>
                <w:rFonts w:hint="eastAsia" w:ascii="宋体" w:hAnsi="宋体" w:cs="宋体"/>
              </w:rPr>
              <w:t>达标情况</w:t>
            </w:r>
          </w:p>
        </w:tc>
        <w:tc>
          <w:tcPr>
            <w:tcW w:w="392" w:type="pct"/>
            <w:vAlign w:val="center"/>
          </w:tcPr>
          <w:p w14:paraId="0E18D7A0">
            <w:pPr>
              <w:pStyle w:val="242"/>
              <w:rPr>
                <w:rFonts w:hint="eastAsia" w:ascii="宋体" w:hAnsi="宋体" w:cs="宋体"/>
              </w:rPr>
            </w:pPr>
            <w:r>
              <w:rPr>
                <w:rFonts w:hint="eastAsia" w:ascii="宋体" w:hAnsi="宋体" w:cs="宋体"/>
              </w:rPr>
              <w:t>监测结果</w:t>
            </w:r>
          </w:p>
        </w:tc>
        <w:tc>
          <w:tcPr>
            <w:tcW w:w="417" w:type="pct"/>
            <w:vAlign w:val="center"/>
          </w:tcPr>
          <w:p w14:paraId="6A14D8A2">
            <w:pPr>
              <w:pStyle w:val="242"/>
              <w:rPr>
                <w:rFonts w:hint="eastAsia" w:ascii="宋体" w:hAnsi="宋体" w:cs="宋体"/>
              </w:rPr>
            </w:pPr>
            <w:r>
              <w:rPr>
                <w:rFonts w:hint="eastAsia" w:ascii="宋体" w:hAnsi="宋体" w:cs="宋体"/>
              </w:rPr>
              <w:t>评价指数</w:t>
            </w:r>
          </w:p>
        </w:tc>
        <w:tc>
          <w:tcPr>
            <w:tcW w:w="393" w:type="pct"/>
            <w:vAlign w:val="center"/>
          </w:tcPr>
          <w:p w14:paraId="3CC7B1F1">
            <w:pPr>
              <w:pStyle w:val="242"/>
              <w:rPr>
                <w:rFonts w:hint="eastAsia" w:ascii="宋体" w:hAnsi="宋体" w:cs="宋体"/>
              </w:rPr>
            </w:pPr>
            <w:r>
              <w:rPr>
                <w:rFonts w:hint="eastAsia" w:ascii="宋体" w:hAnsi="宋体" w:cs="宋体"/>
              </w:rPr>
              <w:t>达标情况</w:t>
            </w:r>
          </w:p>
        </w:tc>
        <w:tc>
          <w:tcPr>
            <w:tcW w:w="392" w:type="pct"/>
            <w:vAlign w:val="center"/>
          </w:tcPr>
          <w:p w14:paraId="54024464">
            <w:pPr>
              <w:pStyle w:val="242"/>
              <w:rPr>
                <w:rFonts w:hint="eastAsia" w:ascii="宋体" w:hAnsi="宋体" w:cs="宋体"/>
              </w:rPr>
            </w:pPr>
            <w:r>
              <w:rPr>
                <w:rFonts w:hint="eastAsia" w:ascii="宋体" w:hAnsi="宋体" w:cs="宋体"/>
              </w:rPr>
              <w:t>监测结果</w:t>
            </w:r>
          </w:p>
        </w:tc>
        <w:tc>
          <w:tcPr>
            <w:tcW w:w="392" w:type="pct"/>
            <w:vAlign w:val="center"/>
          </w:tcPr>
          <w:p w14:paraId="760681FF">
            <w:pPr>
              <w:pStyle w:val="242"/>
              <w:rPr>
                <w:rFonts w:hint="eastAsia" w:ascii="宋体" w:hAnsi="宋体" w:cs="宋体"/>
              </w:rPr>
            </w:pPr>
            <w:r>
              <w:rPr>
                <w:rFonts w:hint="eastAsia" w:ascii="宋体" w:hAnsi="宋体" w:cs="宋体"/>
              </w:rPr>
              <w:t>评价指数</w:t>
            </w:r>
          </w:p>
        </w:tc>
        <w:tc>
          <w:tcPr>
            <w:tcW w:w="398" w:type="pct"/>
            <w:vAlign w:val="center"/>
          </w:tcPr>
          <w:p w14:paraId="72B61363">
            <w:pPr>
              <w:pStyle w:val="242"/>
              <w:rPr>
                <w:rFonts w:hint="eastAsia" w:ascii="宋体" w:hAnsi="宋体" w:cs="宋体"/>
              </w:rPr>
            </w:pPr>
            <w:r>
              <w:rPr>
                <w:rFonts w:hint="eastAsia" w:ascii="宋体" w:hAnsi="宋体" w:cs="宋体"/>
              </w:rPr>
              <w:t>达标情况</w:t>
            </w:r>
          </w:p>
        </w:tc>
      </w:tr>
      <w:tr w14:paraId="6555454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747" w:type="pct"/>
            <w:vAlign w:val="center"/>
          </w:tcPr>
          <w:p w14:paraId="3E354049">
            <w:pPr>
              <w:pStyle w:val="249"/>
              <w:rPr>
                <w:szCs w:val="21"/>
              </w:rPr>
            </w:pPr>
            <w:r>
              <w:rPr>
                <w:rFonts w:hint="eastAsia" w:ascii="宋体" w:hAnsi="宋体" w:cs="宋体"/>
                <w:color w:val="000000" w:themeColor="text1"/>
                <w:szCs w:val="21"/>
                <w14:textFill>
                  <w14:solidFill>
                    <w14:schemeClr w14:val="tx1"/>
                  </w14:solidFill>
                </w14:textFill>
              </w:rPr>
              <w:t>六价铬</w:t>
            </w:r>
          </w:p>
        </w:tc>
        <w:tc>
          <w:tcPr>
            <w:tcW w:w="322" w:type="pct"/>
            <w:vAlign w:val="center"/>
          </w:tcPr>
          <w:p w14:paraId="1BEFFF59">
            <w:pPr>
              <w:jc w:val="center"/>
              <w:rPr>
                <w:rFonts w:hint="eastAsia" w:ascii="宋体" w:hAnsi="宋体" w:cs="宋体"/>
              </w:rPr>
            </w:pPr>
            <w:r>
              <w:rPr>
                <w:rFonts w:hint="eastAsia" w:ascii="宋体" w:hAnsi="宋体" w:cs="宋体"/>
                <w:bCs/>
                <w:color w:val="000000" w:themeColor="text1"/>
                <w:kern w:val="0"/>
                <w:szCs w:val="21"/>
                <w:lang w:bidi="ar"/>
                <w14:textFill>
                  <w14:solidFill>
                    <w14:schemeClr w14:val="tx1"/>
                  </w14:solidFill>
                </w14:textFill>
              </w:rPr>
              <w:t>mg/kg</w:t>
            </w:r>
          </w:p>
        </w:tc>
        <w:tc>
          <w:tcPr>
            <w:tcW w:w="371" w:type="pct"/>
            <w:vAlign w:val="center"/>
          </w:tcPr>
          <w:p w14:paraId="6123B01A">
            <w:pPr>
              <w:pStyle w:val="249"/>
              <w:rPr>
                <w:szCs w:val="21"/>
              </w:rPr>
            </w:pPr>
            <w:r>
              <w:rPr>
                <w:rFonts w:hint="eastAsia" w:ascii="宋体" w:hAnsi="宋体" w:cs="宋体"/>
                <w:color w:val="000000" w:themeColor="text1"/>
                <w:szCs w:val="21"/>
                <w14:textFill>
                  <w14:solidFill>
                    <w14:schemeClr w14:val="tx1"/>
                  </w14:solidFill>
                </w14:textFill>
              </w:rPr>
              <w:t>5.7</w:t>
            </w:r>
          </w:p>
        </w:tc>
        <w:tc>
          <w:tcPr>
            <w:tcW w:w="392" w:type="pct"/>
            <w:vAlign w:val="center"/>
          </w:tcPr>
          <w:p w14:paraId="3127CD2F">
            <w:pPr>
              <w:pStyle w:val="242"/>
              <w:rPr>
                <w:rFonts w:hint="eastAsia" w:ascii="宋体" w:hAnsi="宋体" w:cs="宋体"/>
                <w:szCs w:val="22"/>
              </w:rPr>
            </w:pPr>
            <w:r>
              <w:rPr>
                <w:rFonts w:hint="eastAsia" w:ascii="宋体" w:hAnsi="宋体" w:cs="宋体"/>
                <w:color w:val="000000" w:themeColor="text1"/>
                <w:szCs w:val="21"/>
                <w14:textFill>
                  <w14:solidFill>
                    <w14:schemeClr w14:val="tx1"/>
                  </w14:solidFill>
                </w14:textFill>
              </w:rPr>
              <w:t>ND</w:t>
            </w:r>
          </w:p>
        </w:tc>
        <w:tc>
          <w:tcPr>
            <w:tcW w:w="392" w:type="pct"/>
            <w:vAlign w:val="center"/>
          </w:tcPr>
          <w:p w14:paraId="5EF74197">
            <w:pPr>
              <w:pStyle w:val="242"/>
              <w:rPr>
                <w:rFonts w:hint="eastAsia" w:ascii="宋体" w:hAnsi="宋体" w:cs="宋体"/>
              </w:rPr>
            </w:pPr>
            <w:r>
              <w:rPr>
                <w:rFonts w:hint="eastAsia" w:ascii="宋体" w:hAnsi="宋体" w:cs="宋体"/>
              </w:rPr>
              <w:t>/</w:t>
            </w:r>
          </w:p>
        </w:tc>
        <w:tc>
          <w:tcPr>
            <w:tcW w:w="393" w:type="pct"/>
            <w:vAlign w:val="center"/>
          </w:tcPr>
          <w:p w14:paraId="4E9C1C90">
            <w:pPr>
              <w:pStyle w:val="242"/>
              <w:rPr>
                <w:rFonts w:hint="eastAsia" w:ascii="宋体" w:hAnsi="宋体" w:cs="宋体"/>
              </w:rPr>
            </w:pPr>
            <w:r>
              <w:rPr>
                <w:rFonts w:hint="eastAsia" w:ascii="宋体" w:hAnsi="宋体" w:cs="宋体"/>
              </w:rPr>
              <w:t>达标</w:t>
            </w:r>
          </w:p>
        </w:tc>
        <w:tc>
          <w:tcPr>
            <w:tcW w:w="392" w:type="pct"/>
            <w:vAlign w:val="center"/>
          </w:tcPr>
          <w:p w14:paraId="5600B0EE">
            <w:pPr>
              <w:pStyle w:val="242"/>
              <w:rPr>
                <w:rFonts w:hint="eastAsia" w:ascii="宋体" w:hAnsi="宋体" w:cs="宋体"/>
                <w:szCs w:val="22"/>
              </w:rPr>
            </w:pPr>
            <w:r>
              <w:rPr>
                <w:rFonts w:hint="eastAsia" w:ascii="宋体" w:hAnsi="宋体" w:cs="宋体"/>
                <w:color w:val="000000" w:themeColor="text1"/>
                <w:szCs w:val="21"/>
                <w14:textFill>
                  <w14:solidFill>
                    <w14:schemeClr w14:val="tx1"/>
                  </w14:solidFill>
                </w14:textFill>
              </w:rPr>
              <w:t>ND</w:t>
            </w:r>
          </w:p>
        </w:tc>
        <w:tc>
          <w:tcPr>
            <w:tcW w:w="417" w:type="pct"/>
            <w:vAlign w:val="center"/>
          </w:tcPr>
          <w:p w14:paraId="73907486">
            <w:pPr>
              <w:pStyle w:val="242"/>
              <w:rPr>
                <w:rFonts w:hint="eastAsia" w:ascii="宋体" w:hAnsi="宋体" w:cs="宋体"/>
              </w:rPr>
            </w:pPr>
            <w:r>
              <w:rPr>
                <w:rFonts w:hint="eastAsia" w:ascii="宋体" w:hAnsi="宋体" w:cs="宋体"/>
              </w:rPr>
              <w:t>/</w:t>
            </w:r>
          </w:p>
        </w:tc>
        <w:tc>
          <w:tcPr>
            <w:tcW w:w="393" w:type="pct"/>
          </w:tcPr>
          <w:p w14:paraId="07D31F43">
            <w:pPr>
              <w:pStyle w:val="242"/>
              <w:rPr>
                <w:rFonts w:hint="eastAsia" w:ascii="宋体" w:hAnsi="宋体" w:cs="宋体"/>
              </w:rPr>
            </w:pPr>
            <w:r>
              <w:rPr>
                <w:rFonts w:hint="eastAsia" w:ascii="宋体" w:hAnsi="宋体" w:cs="宋体"/>
              </w:rPr>
              <w:t>达标</w:t>
            </w:r>
          </w:p>
        </w:tc>
        <w:tc>
          <w:tcPr>
            <w:tcW w:w="392" w:type="pct"/>
            <w:vAlign w:val="center"/>
          </w:tcPr>
          <w:p w14:paraId="4962F414">
            <w:pPr>
              <w:pStyle w:val="242"/>
              <w:rPr>
                <w:rFonts w:hint="eastAsia" w:ascii="宋体" w:hAnsi="宋体" w:cs="宋体"/>
              </w:rPr>
            </w:pPr>
            <w:r>
              <w:rPr>
                <w:rFonts w:hint="eastAsia" w:ascii="宋体" w:hAnsi="宋体" w:cs="宋体"/>
                <w:color w:val="000000" w:themeColor="text1"/>
                <w:szCs w:val="21"/>
                <w14:textFill>
                  <w14:solidFill>
                    <w14:schemeClr w14:val="tx1"/>
                  </w14:solidFill>
                </w14:textFill>
              </w:rPr>
              <w:t>ND</w:t>
            </w:r>
          </w:p>
        </w:tc>
        <w:tc>
          <w:tcPr>
            <w:tcW w:w="392" w:type="pct"/>
            <w:vAlign w:val="center"/>
          </w:tcPr>
          <w:p w14:paraId="743A7995">
            <w:pPr>
              <w:pStyle w:val="242"/>
              <w:rPr>
                <w:rFonts w:hint="eastAsia" w:ascii="宋体" w:hAnsi="宋体" w:cs="宋体"/>
              </w:rPr>
            </w:pPr>
            <w:r>
              <w:rPr>
                <w:rFonts w:hint="eastAsia" w:ascii="宋体" w:hAnsi="宋体" w:cs="宋体"/>
              </w:rPr>
              <w:t>/</w:t>
            </w:r>
          </w:p>
        </w:tc>
        <w:tc>
          <w:tcPr>
            <w:tcW w:w="398" w:type="pct"/>
          </w:tcPr>
          <w:p w14:paraId="02572C90">
            <w:pPr>
              <w:pStyle w:val="242"/>
              <w:rPr>
                <w:rFonts w:hint="eastAsia" w:ascii="宋体" w:hAnsi="宋体" w:cs="宋体"/>
              </w:rPr>
            </w:pPr>
            <w:r>
              <w:rPr>
                <w:rFonts w:hint="eastAsia" w:ascii="宋体" w:hAnsi="宋体" w:cs="宋体"/>
              </w:rPr>
              <w:t>达标</w:t>
            </w:r>
          </w:p>
        </w:tc>
      </w:tr>
      <w:tr w14:paraId="00D410A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747" w:type="pct"/>
            <w:vAlign w:val="center"/>
          </w:tcPr>
          <w:p w14:paraId="134FEB79">
            <w:pPr>
              <w:pStyle w:val="249"/>
              <w:rPr>
                <w:szCs w:val="21"/>
              </w:rPr>
            </w:pPr>
            <w:r>
              <w:rPr>
                <w:rFonts w:hint="eastAsia" w:ascii="宋体" w:hAnsi="宋体" w:cs="宋体"/>
                <w:color w:val="000000" w:themeColor="text1"/>
                <w:szCs w:val="21"/>
                <w14:textFill>
                  <w14:solidFill>
                    <w14:schemeClr w14:val="tx1"/>
                  </w14:solidFill>
                </w14:textFill>
              </w:rPr>
              <w:t>铅</w:t>
            </w:r>
          </w:p>
        </w:tc>
        <w:tc>
          <w:tcPr>
            <w:tcW w:w="322" w:type="pct"/>
            <w:vAlign w:val="center"/>
          </w:tcPr>
          <w:p w14:paraId="7C09454A">
            <w:pPr>
              <w:jc w:val="center"/>
              <w:rPr>
                <w:rFonts w:hint="eastAsia" w:ascii="宋体" w:hAnsi="宋体" w:cs="宋体"/>
              </w:rPr>
            </w:pPr>
            <w:r>
              <w:rPr>
                <w:rFonts w:hint="eastAsia" w:ascii="宋体" w:hAnsi="宋体" w:cs="宋体"/>
                <w:bCs/>
                <w:color w:val="000000" w:themeColor="text1"/>
                <w:kern w:val="0"/>
                <w:szCs w:val="21"/>
                <w:lang w:bidi="ar"/>
                <w14:textFill>
                  <w14:solidFill>
                    <w14:schemeClr w14:val="tx1"/>
                  </w14:solidFill>
                </w14:textFill>
              </w:rPr>
              <w:t>mg/kg</w:t>
            </w:r>
          </w:p>
        </w:tc>
        <w:tc>
          <w:tcPr>
            <w:tcW w:w="371" w:type="pct"/>
            <w:vAlign w:val="center"/>
          </w:tcPr>
          <w:p w14:paraId="0AB41AE7">
            <w:pPr>
              <w:pStyle w:val="249"/>
              <w:rPr>
                <w:szCs w:val="21"/>
              </w:rPr>
            </w:pPr>
            <w:r>
              <w:rPr>
                <w:rFonts w:hint="eastAsia" w:ascii="宋体" w:hAnsi="宋体" w:cs="宋体"/>
                <w:color w:val="000000" w:themeColor="text1"/>
                <w:szCs w:val="21"/>
                <w14:textFill>
                  <w14:solidFill>
                    <w14:schemeClr w14:val="tx1"/>
                  </w14:solidFill>
                </w14:textFill>
              </w:rPr>
              <w:t>800</w:t>
            </w:r>
          </w:p>
        </w:tc>
        <w:tc>
          <w:tcPr>
            <w:tcW w:w="392" w:type="pct"/>
            <w:vAlign w:val="center"/>
          </w:tcPr>
          <w:p w14:paraId="3A78BC80">
            <w:pPr>
              <w:pStyle w:val="242"/>
              <w:rPr>
                <w:rFonts w:hint="eastAsia" w:ascii="宋体" w:hAnsi="宋体" w:cs="宋体"/>
                <w:szCs w:val="22"/>
              </w:rPr>
            </w:pPr>
            <w:r>
              <w:rPr>
                <w:rFonts w:hint="eastAsia" w:ascii="宋体" w:hAnsi="宋体" w:cs="宋体"/>
                <w:color w:val="000000" w:themeColor="text1"/>
                <w:szCs w:val="21"/>
                <w14:textFill>
                  <w14:solidFill>
                    <w14:schemeClr w14:val="tx1"/>
                  </w14:solidFill>
                </w14:textFill>
              </w:rPr>
              <w:t>10.9</w:t>
            </w:r>
          </w:p>
        </w:tc>
        <w:tc>
          <w:tcPr>
            <w:tcW w:w="392" w:type="pct"/>
            <w:vAlign w:val="center"/>
          </w:tcPr>
          <w:p w14:paraId="44E45743">
            <w:pPr>
              <w:pStyle w:val="242"/>
              <w:rPr>
                <w:rFonts w:hint="eastAsia" w:ascii="宋体" w:hAnsi="宋体" w:cs="宋体"/>
              </w:rPr>
            </w:pPr>
            <w:r>
              <w:rPr>
                <w:rFonts w:hint="eastAsia" w:ascii="宋体" w:hAnsi="宋体" w:cs="宋体"/>
              </w:rPr>
              <w:t>0.0136</w:t>
            </w:r>
          </w:p>
        </w:tc>
        <w:tc>
          <w:tcPr>
            <w:tcW w:w="393" w:type="pct"/>
          </w:tcPr>
          <w:p w14:paraId="06F47A3D">
            <w:pPr>
              <w:pStyle w:val="242"/>
              <w:rPr>
                <w:rFonts w:hint="eastAsia" w:ascii="宋体" w:hAnsi="宋体" w:cs="宋体"/>
              </w:rPr>
            </w:pPr>
            <w:r>
              <w:rPr>
                <w:rFonts w:hint="eastAsia" w:ascii="宋体" w:hAnsi="宋体" w:cs="宋体"/>
              </w:rPr>
              <w:t>达标</w:t>
            </w:r>
          </w:p>
        </w:tc>
        <w:tc>
          <w:tcPr>
            <w:tcW w:w="392" w:type="pct"/>
            <w:vAlign w:val="center"/>
          </w:tcPr>
          <w:p w14:paraId="6C0221EA">
            <w:pPr>
              <w:pStyle w:val="242"/>
              <w:rPr>
                <w:rFonts w:hint="eastAsia" w:ascii="宋体" w:hAnsi="宋体" w:cs="宋体"/>
                <w:szCs w:val="22"/>
              </w:rPr>
            </w:pPr>
            <w:r>
              <w:rPr>
                <w:rFonts w:hint="eastAsia" w:ascii="宋体" w:hAnsi="宋体" w:cs="宋体"/>
                <w:color w:val="000000" w:themeColor="text1"/>
                <w:szCs w:val="21"/>
                <w14:textFill>
                  <w14:solidFill>
                    <w14:schemeClr w14:val="tx1"/>
                  </w14:solidFill>
                </w14:textFill>
              </w:rPr>
              <w:t>9.3</w:t>
            </w:r>
          </w:p>
        </w:tc>
        <w:tc>
          <w:tcPr>
            <w:tcW w:w="417" w:type="pct"/>
            <w:vAlign w:val="center"/>
          </w:tcPr>
          <w:p w14:paraId="28DC1136">
            <w:pPr>
              <w:pStyle w:val="242"/>
              <w:rPr>
                <w:rFonts w:hint="eastAsia" w:ascii="宋体" w:hAnsi="宋体" w:cs="宋体"/>
              </w:rPr>
            </w:pPr>
            <w:r>
              <w:rPr>
                <w:rFonts w:hint="eastAsia" w:ascii="宋体" w:hAnsi="宋体" w:cs="宋体"/>
              </w:rPr>
              <w:t>0.0116</w:t>
            </w:r>
          </w:p>
        </w:tc>
        <w:tc>
          <w:tcPr>
            <w:tcW w:w="393" w:type="pct"/>
          </w:tcPr>
          <w:p w14:paraId="1D8CFA31">
            <w:pPr>
              <w:pStyle w:val="242"/>
              <w:rPr>
                <w:rFonts w:hint="eastAsia" w:ascii="宋体" w:hAnsi="宋体" w:cs="宋体"/>
              </w:rPr>
            </w:pPr>
            <w:r>
              <w:rPr>
                <w:rFonts w:hint="eastAsia" w:ascii="宋体" w:hAnsi="宋体" w:cs="宋体"/>
              </w:rPr>
              <w:t>达标</w:t>
            </w:r>
          </w:p>
        </w:tc>
        <w:tc>
          <w:tcPr>
            <w:tcW w:w="392" w:type="pct"/>
            <w:vAlign w:val="center"/>
          </w:tcPr>
          <w:p w14:paraId="4466FEC5">
            <w:pPr>
              <w:pStyle w:val="242"/>
              <w:rPr>
                <w:rFonts w:hint="eastAsia" w:ascii="宋体" w:hAnsi="宋体" w:cs="宋体"/>
              </w:rPr>
            </w:pPr>
            <w:r>
              <w:rPr>
                <w:rFonts w:hint="eastAsia" w:ascii="宋体" w:hAnsi="宋体" w:cs="宋体"/>
                <w:color w:val="000000" w:themeColor="text1"/>
                <w:szCs w:val="21"/>
                <w14:textFill>
                  <w14:solidFill>
                    <w14:schemeClr w14:val="tx1"/>
                  </w14:solidFill>
                </w14:textFill>
              </w:rPr>
              <w:t>8.9</w:t>
            </w:r>
          </w:p>
        </w:tc>
        <w:tc>
          <w:tcPr>
            <w:tcW w:w="392" w:type="pct"/>
            <w:vAlign w:val="center"/>
          </w:tcPr>
          <w:p w14:paraId="3E48A4A8">
            <w:pPr>
              <w:pStyle w:val="242"/>
              <w:rPr>
                <w:rFonts w:hint="eastAsia" w:ascii="宋体" w:hAnsi="宋体" w:cs="宋体"/>
              </w:rPr>
            </w:pPr>
            <w:r>
              <w:rPr>
                <w:rFonts w:hint="eastAsia" w:ascii="宋体" w:hAnsi="宋体" w:cs="宋体"/>
              </w:rPr>
              <w:t>0.01113</w:t>
            </w:r>
          </w:p>
        </w:tc>
        <w:tc>
          <w:tcPr>
            <w:tcW w:w="398" w:type="pct"/>
          </w:tcPr>
          <w:p w14:paraId="03E199C0">
            <w:pPr>
              <w:pStyle w:val="242"/>
              <w:rPr>
                <w:rFonts w:hint="eastAsia" w:ascii="宋体" w:hAnsi="宋体" w:cs="宋体"/>
              </w:rPr>
            </w:pPr>
            <w:r>
              <w:rPr>
                <w:rFonts w:hint="eastAsia" w:ascii="宋体" w:hAnsi="宋体" w:cs="宋体"/>
              </w:rPr>
              <w:t>达标</w:t>
            </w:r>
          </w:p>
        </w:tc>
      </w:tr>
      <w:tr w14:paraId="5F9125C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747" w:type="pct"/>
            <w:vAlign w:val="center"/>
          </w:tcPr>
          <w:p w14:paraId="628E949A">
            <w:pPr>
              <w:pStyle w:val="249"/>
              <w:rPr>
                <w:szCs w:val="21"/>
              </w:rPr>
            </w:pPr>
            <w:r>
              <w:rPr>
                <w:rFonts w:hint="eastAsia" w:ascii="宋体" w:hAnsi="宋体" w:cs="宋体"/>
                <w:color w:val="000000" w:themeColor="text1"/>
                <w:kern w:val="1"/>
                <w:szCs w:val="21"/>
                <w14:textFill>
                  <w14:solidFill>
                    <w14:schemeClr w14:val="tx1"/>
                  </w14:solidFill>
                </w14:textFill>
              </w:rPr>
              <w:t>镉</w:t>
            </w:r>
          </w:p>
        </w:tc>
        <w:tc>
          <w:tcPr>
            <w:tcW w:w="322" w:type="pct"/>
            <w:vAlign w:val="center"/>
          </w:tcPr>
          <w:p w14:paraId="12E7C6EB">
            <w:pPr>
              <w:jc w:val="center"/>
              <w:rPr>
                <w:rFonts w:hint="eastAsia" w:ascii="宋体" w:hAnsi="宋体" w:cs="宋体"/>
              </w:rPr>
            </w:pPr>
            <w:r>
              <w:rPr>
                <w:rFonts w:hint="eastAsia" w:ascii="宋体" w:hAnsi="宋体" w:cs="宋体"/>
                <w:bCs/>
                <w:color w:val="000000" w:themeColor="text1"/>
                <w:kern w:val="0"/>
                <w:szCs w:val="21"/>
                <w:lang w:bidi="ar"/>
                <w14:textFill>
                  <w14:solidFill>
                    <w14:schemeClr w14:val="tx1"/>
                  </w14:solidFill>
                </w14:textFill>
              </w:rPr>
              <w:t>mg/kg</w:t>
            </w:r>
          </w:p>
        </w:tc>
        <w:tc>
          <w:tcPr>
            <w:tcW w:w="371" w:type="pct"/>
            <w:vAlign w:val="center"/>
          </w:tcPr>
          <w:p w14:paraId="60C6E4AF">
            <w:pPr>
              <w:pStyle w:val="249"/>
              <w:rPr>
                <w:szCs w:val="21"/>
              </w:rPr>
            </w:pPr>
            <w:r>
              <w:rPr>
                <w:rFonts w:hint="eastAsia" w:ascii="宋体" w:hAnsi="宋体" w:cs="宋体"/>
                <w:color w:val="000000" w:themeColor="text1"/>
                <w:szCs w:val="21"/>
                <w14:textFill>
                  <w14:solidFill>
                    <w14:schemeClr w14:val="tx1"/>
                  </w14:solidFill>
                </w14:textFill>
              </w:rPr>
              <w:t>65</w:t>
            </w:r>
          </w:p>
        </w:tc>
        <w:tc>
          <w:tcPr>
            <w:tcW w:w="392" w:type="pct"/>
            <w:vAlign w:val="center"/>
          </w:tcPr>
          <w:p w14:paraId="493FFA12">
            <w:pPr>
              <w:pStyle w:val="242"/>
              <w:rPr>
                <w:rFonts w:hint="eastAsia" w:ascii="宋体" w:hAnsi="宋体" w:cs="宋体"/>
                <w:szCs w:val="22"/>
              </w:rPr>
            </w:pPr>
            <w:r>
              <w:rPr>
                <w:rFonts w:hint="eastAsia" w:ascii="宋体" w:hAnsi="宋体" w:cs="宋体"/>
                <w:color w:val="000000" w:themeColor="text1"/>
                <w:szCs w:val="21"/>
                <w14:textFill>
                  <w14:solidFill>
                    <w14:schemeClr w14:val="tx1"/>
                  </w14:solidFill>
                </w14:textFill>
              </w:rPr>
              <w:t>0.11</w:t>
            </w:r>
          </w:p>
        </w:tc>
        <w:tc>
          <w:tcPr>
            <w:tcW w:w="392" w:type="pct"/>
            <w:vAlign w:val="center"/>
          </w:tcPr>
          <w:p w14:paraId="36695EFA">
            <w:pPr>
              <w:pStyle w:val="242"/>
              <w:rPr>
                <w:rFonts w:hint="eastAsia" w:ascii="宋体" w:hAnsi="宋体" w:cs="宋体"/>
              </w:rPr>
            </w:pPr>
            <w:r>
              <w:rPr>
                <w:rFonts w:hint="eastAsia" w:ascii="宋体" w:hAnsi="宋体" w:cs="宋体"/>
              </w:rPr>
              <w:t>0.00169</w:t>
            </w:r>
          </w:p>
        </w:tc>
        <w:tc>
          <w:tcPr>
            <w:tcW w:w="393" w:type="pct"/>
          </w:tcPr>
          <w:p w14:paraId="036D7FE1">
            <w:pPr>
              <w:pStyle w:val="242"/>
              <w:rPr>
                <w:rFonts w:hint="eastAsia" w:ascii="宋体" w:hAnsi="宋体" w:cs="宋体"/>
              </w:rPr>
            </w:pPr>
            <w:r>
              <w:rPr>
                <w:rFonts w:hint="eastAsia" w:ascii="宋体" w:hAnsi="宋体" w:cs="宋体"/>
              </w:rPr>
              <w:t>达标</w:t>
            </w:r>
          </w:p>
        </w:tc>
        <w:tc>
          <w:tcPr>
            <w:tcW w:w="392" w:type="pct"/>
            <w:vAlign w:val="center"/>
          </w:tcPr>
          <w:p w14:paraId="1ACF9329">
            <w:pPr>
              <w:pStyle w:val="242"/>
              <w:rPr>
                <w:rFonts w:hint="eastAsia" w:ascii="宋体" w:hAnsi="宋体" w:cs="宋体"/>
                <w:szCs w:val="22"/>
              </w:rPr>
            </w:pPr>
            <w:r>
              <w:rPr>
                <w:rFonts w:hint="eastAsia" w:ascii="宋体" w:hAnsi="宋体" w:cs="宋体"/>
                <w:color w:val="000000" w:themeColor="text1"/>
                <w:szCs w:val="21"/>
                <w14:textFill>
                  <w14:solidFill>
                    <w14:schemeClr w14:val="tx1"/>
                  </w14:solidFill>
                </w14:textFill>
              </w:rPr>
              <w:t>0.09</w:t>
            </w:r>
          </w:p>
        </w:tc>
        <w:tc>
          <w:tcPr>
            <w:tcW w:w="417" w:type="pct"/>
            <w:vAlign w:val="center"/>
          </w:tcPr>
          <w:p w14:paraId="284D5D1E">
            <w:pPr>
              <w:pStyle w:val="242"/>
              <w:rPr>
                <w:rFonts w:hint="eastAsia" w:ascii="宋体" w:hAnsi="宋体" w:cs="宋体"/>
              </w:rPr>
            </w:pPr>
            <w:r>
              <w:rPr>
                <w:rFonts w:hint="eastAsia" w:ascii="宋体" w:hAnsi="宋体" w:cs="宋体"/>
              </w:rPr>
              <w:t>0.00138</w:t>
            </w:r>
          </w:p>
        </w:tc>
        <w:tc>
          <w:tcPr>
            <w:tcW w:w="393" w:type="pct"/>
          </w:tcPr>
          <w:p w14:paraId="3AFA1DD8">
            <w:pPr>
              <w:pStyle w:val="242"/>
              <w:rPr>
                <w:rFonts w:hint="eastAsia" w:ascii="宋体" w:hAnsi="宋体" w:cs="宋体"/>
              </w:rPr>
            </w:pPr>
            <w:r>
              <w:rPr>
                <w:rFonts w:hint="eastAsia" w:ascii="宋体" w:hAnsi="宋体" w:cs="宋体"/>
              </w:rPr>
              <w:t>达标</w:t>
            </w:r>
          </w:p>
        </w:tc>
        <w:tc>
          <w:tcPr>
            <w:tcW w:w="392" w:type="pct"/>
            <w:vAlign w:val="center"/>
          </w:tcPr>
          <w:p w14:paraId="2857A80F">
            <w:pPr>
              <w:pStyle w:val="242"/>
              <w:rPr>
                <w:rFonts w:hint="eastAsia" w:ascii="宋体" w:hAnsi="宋体" w:cs="宋体"/>
              </w:rPr>
            </w:pPr>
            <w:r>
              <w:rPr>
                <w:rFonts w:hint="eastAsia" w:ascii="宋体" w:hAnsi="宋体" w:cs="宋体"/>
                <w:color w:val="000000" w:themeColor="text1"/>
                <w:szCs w:val="21"/>
                <w14:textFill>
                  <w14:solidFill>
                    <w14:schemeClr w14:val="tx1"/>
                  </w14:solidFill>
                </w14:textFill>
              </w:rPr>
              <w:t>0.08</w:t>
            </w:r>
          </w:p>
        </w:tc>
        <w:tc>
          <w:tcPr>
            <w:tcW w:w="392" w:type="pct"/>
            <w:vAlign w:val="center"/>
          </w:tcPr>
          <w:p w14:paraId="45D710F4">
            <w:pPr>
              <w:pStyle w:val="242"/>
              <w:rPr>
                <w:rFonts w:hint="eastAsia" w:ascii="宋体" w:hAnsi="宋体" w:cs="宋体"/>
              </w:rPr>
            </w:pPr>
            <w:r>
              <w:rPr>
                <w:rFonts w:hint="eastAsia" w:ascii="宋体" w:hAnsi="宋体" w:cs="宋体"/>
              </w:rPr>
              <w:t>0.00123</w:t>
            </w:r>
          </w:p>
        </w:tc>
        <w:tc>
          <w:tcPr>
            <w:tcW w:w="398" w:type="pct"/>
          </w:tcPr>
          <w:p w14:paraId="66B241BF">
            <w:pPr>
              <w:pStyle w:val="242"/>
              <w:rPr>
                <w:rFonts w:hint="eastAsia" w:ascii="宋体" w:hAnsi="宋体" w:cs="宋体"/>
              </w:rPr>
            </w:pPr>
            <w:r>
              <w:rPr>
                <w:rFonts w:hint="eastAsia" w:ascii="宋体" w:hAnsi="宋体" w:cs="宋体"/>
              </w:rPr>
              <w:t>达标</w:t>
            </w:r>
          </w:p>
        </w:tc>
      </w:tr>
      <w:tr w14:paraId="32E8C96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747" w:type="pct"/>
            <w:vAlign w:val="center"/>
          </w:tcPr>
          <w:p w14:paraId="5E6465D7">
            <w:pPr>
              <w:pStyle w:val="249"/>
              <w:rPr>
                <w:szCs w:val="21"/>
              </w:rPr>
            </w:pPr>
            <w:r>
              <w:rPr>
                <w:rFonts w:hint="eastAsia" w:ascii="宋体" w:hAnsi="宋体" w:cs="宋体"/>
                <w:color w:val="000000" w:themeColor="text1"/>
                <w:kern w:val="1"/>
                <w:szCs w:val="21"/>
                <w14:textFill>
                  <w14:solidFill>
                    <w14:schemeClr w14:val="tx1"/>
                  </w14:solidFill>
                </w14:textFill>
              </w:rPr>
              <w:t>铜</w:t>
            </w:r>
          </w:p>
        </w:tc>
        <w:tc>
          <w:tcPr>
            <w:tcW w:w="322" w:type="pct"/>
            <w:vAlign w:val="center"/>
          </w:tcPr>
          <w:p w14:paraId="4CA3DBAC">
            <w:pPr>
              <w:jc w:val="center"/>
              <w:rPr>
                <w:rFonts w:hint="eastAsia" w:ascii="宋体" w:hAnsi="宋体" w:cs="宋体"/>
              </w:rPr>
            </w:pPr>
            <w:r>
              <w:rPr>
                <w:rFonts w:hint="eastAsia" w:ascii="宋体" w:hAnsi="宋体" w:cs="宋体"/>
                <w:bCs/>
                <w:color w:val="000000" w:themeColor="text1"/>
                <w:kern w:val="0"/>
                <w:szCs w:val="21"/>
                <w:lang w:bidi="ar"/>
                <w14:textFill>
                  <w14:solidFill>
                    <w14:schemeClr w14:val="tx1"/>
                  </w14:solidFill>
                </w14:textFill>
              </w:rPr>
              <w:t>mg/kg</w:t>
            </w:r>
          </w:p>
        </w:tc>
        <w:tc>
          <w:tcPr>
            <w:tcW w:w="371" w:type="pct"/>
            <w:vAlign w:val="center"/>
          </w:tcPr>
          <w:p w14:paraId="452F24E9">
            <w:pPr>
              <w:pStyle w:val="249"/>
              <w:rPr>
                <w:szCs w:val="21"/>
              </w:rPr>
            </w:pPr>
            <w:r>
              <w:rPr>
                <w:rFonts w:hint="eastAsia" w:ascii="宋体" w:hAnsi="宋体" w:cs="宋体"/>
                <w:color w:val="000000" w:themeColor="text1"/>
                <w:szCs w:val="21"/>
                <w14:textFill>
                  <w14:solidFill>
                    <w14:schemeClr w14:val="tx1"/>
                  </w14:solidFill>
                </w14:textFill>
              </w:rPr>
              <w:t>18000</w:t>
            </w:r>
          </w:p>
        </w:tc>
        <w:tc>
          <w:tcPr>
            <w:tcW w:w="392" w:type="pct"/>
            <w:vAlign w:val="center"/>
          </w:tcPr>
          <w:p w14:paraId="3CA7C6CD">
            <w:pPr>
              <w:pStyle w:val="242"/>
              <w:rPr>
                <w:rFonts w:hint="eastAsia" w:ascii="宋体" w:hAnsi="宋体" w:cs="宋体"/>
                <w:szCs w:val="22"/>
              </w:rPr>
            </w:pPr>
            <w:r>
              <w:rPr>
                <w:rFonts w:hint="eastAsia" w:ascii="宋体" w:hAnsi="宋体" w:cs="宋体"/>
                <w:color w:val="000000" w:themeColor="text1"/>
                <w:szCs w:val="21"/>
                <w14:textFill>
                  <w14:solidFill>
                    <w14:schemeClr w14:val="tx1"/>
                  </w14:solidFill>
                </w14:textFill>
              </w:rPr>
              <w:t>5</w:t>
            </w:r>
          </w:p>
        </w:tc>
        <w:tc>
          <w:tcPr>
            <w:tcW w:w="392" w:type="pct"/>
            <w:vAlign w:val="center"/>
          </w:tcPr>
          <w:p w14:paraId="0B827D3E">
            <w:pPr>
              <w:pStyle w:val="242"/>
              <w:rPr>
                <w:rFonts w:hint="eastAsia" w:ascii="宋体" w:hAnsi="宋体" w:cs="宋体"/>
              </w:rPr>
            </w:pPr>
            <w:r>
              <w:rPr>
                <w:rFonts w:hint="eastAsia" w:ascii="宋体" w:hAnsi="宋体" w:cs="宋体"/>
              </w:rPr>
              <w:t>0.000278</w:t>
            </w:r>
          </w:p>
        </w:tc>
        <w:tc>
          <w:tcPr>
            <w:tcW w:w="393" w:type="pct"/>
          </w:tcPr>
          <w:p w14:paraId="280B740A">
            <w:pPr>
              <w:pStyle w:val="242"/>
              <w:rPr>
                <w:rFonts w:hint="eastAsia" w:ascii="宋体" w:hAnsi="宋体" w:cs="宋体"/>
              </w:rPr>
            </w:pPr>
            <w:r>
              <w:rPr>
                <w:rFonts w:hint="eastAsia" w:ascii="宋体" w:hAnsi="宋体" w:cs="宋体"/>
              </w:rPr>
              <w:t>达标</w:t>
            </w:r>
          </w:p>
        </w:tc>
        <w:tc>
          <w:tcPr>
            <w:tcW w:w="392" w:type="pct"/>
            <w:vAlign w:val="center"/>
          </w:tcPr>
          <w:p w14:paraId="5A6F662B">
            <w:pPr>
              <w:pStyle w:val="242"/>
              <w:rPr>
                <w:rFonts w:hint="eastAsia" w:ascii="宋体" w:hAnsi="宋体" w:cs="宋体"/>
                <w:szCs w:val="22"/>
              </w:rPr>
            </w:pPr>
            <w:r>
              <w:rPr>
                <w:rFonts w:hint="eastAsia" w:ascii="宋体" w:hAnsi="宋体" w:cs="宋体"/>
                <w:color w:val="000000" w:themeColor="text1"/>
                <w:szCs w:val="21"/>
                <w14:textFill>
                  <w14:solidFill>
                    <w14:schemeClr w14:val="tx1"/>
                  </w14:solidFill>
                </w14:textFill>
              </w:rPr>
              <w:t>5</w:t>
            </w:r>
          </w:p>
        </w:tc>
        <w:tc>
          <w:tcPr>
            <w:tcW w:w="417" w:type="pct"/>
            <w:vAlign w:val="center"/>
          </w:tcPr>
          <w:p w14:paraId="7EAF64D9">
            <w:pPr>
              <w:pStyle w:val="242"/>
              <w:rPr>
                <w:rFonts w:hint="eastAsia" w:ascii="宋体" w:hAnsi="宋体" w:cs="宋体"/>
              </w:rPr>
            </w:pPr>
            <w:r>
              <w:rPr>
                <w:rFonts w:hint="eastAsia" w:ascii="宋体" w:hAnsi="宋体" w:cs="宋体"/>
              </w:rPr>
              <w:t>0.0002778</w:t>
            </w:r>
          </w:p>
        </w:tc>
        <w:tc>
          <w:tcPr>
            <w:tcW w:w="393" w:type="pct"/>
          </w:tcPr>
          <w:p w14:paraId="29BCC1E2">
            <w:pPr>
              <w:pStyle w:val="242"/>
              <w:rPr>
                <w:rFonts w:hint="eastAsia" w:ascii="宋体" w:hAnsi="宋体" w:cs="宋体"/>
              </w:rPr>
            </w:pPr>
            <w:r>
              <w:rPr>
                <w:rFonts w:hint="eastAsia" w:ascii="宋体" w:hAnsi="宋体" w:cs="宋体"/>
              </w:rPr>
              <w:t>达标</w:t>
            </w:r>
          </w:p>
        </w:tc>
        <w:tc>
          <w:tcPr>
            <w:tcW w:w="392" w:type="pct"/>
            <w:vAlign w:val="center"/>
          </w:tcPr>
          <w:p w14:paraId="4966C80D">
            <w:pPr>
              <w:pStyle w:val="242"/>
              <w:rPr>
                <w:rFonts w:hint="eastAsia" w:ascii="宋体" w:hAnsi="宋体" w:cs="宋体"/>
              </w:rPr>
            </w:pPr>
            <w:r>
              <w:rPr>
                <w:rFonts w:hint="eastAsia" w:ascii="宋体" w:hAnsi="宋体" w:cs="宋体"/>
                <w:color w:val="000000" w:themeColor="text1"/>
                <w:szCs w:val="21"/>
                <w14:textFill>
                  <w14:solidFill>
                    <w14:schemeClr w14:val="tx1"/>
                  </w14:solidFill>
                </w14:textFill>
              </w:rPr>
              <w:t>6</w:t>
            </w:r>
          </w:p>
        </w:tc>
        <w:tc>
          <w:tcPr>
            <w:tcW w:w="392" w:type="pct"/>
            <w:vAlign w:val="center"/>
          </w:tcPr>
          <w:p w14:paraId="07158978">
            <w:pPr>
              <w:pStyle w:val="242"/>
              <w:rPr>
                <w:rFonts w:hint="eastAsia" w:ascii="宋体" w:hAnsi="宋体" w:cs="宋体"/>
              </w:rPr>
            </w:pPr>
            <w:r>
              <w:rPr>
                <w:rFonts w:hint="eastAsia" w:ascii="宋体" w:hAnsi="宋体" w:cs="宋体"/>
              </w:rPr>
              <w:t>0.000333</w:t>
            </w:r>
          </w:p>
        </w:tc>
        <w:tc>
          <w:tcPr>
            <w:tcW w:w="398" w:type="pct"/>
          </w:tcPr>
          <w:p w14:paraId="604785E7">
            <w:pPr>
              <w:pStyle w:val="242"/>
              <w:rPr>
                <w:rFonts w:hint="eastAsia" w:ascii="宋体" w:hAnsi="宋体" w:cs="宋体"/>
              </w:rPr>
            </w:pPr>
            <w:r>
              <w:rPr>
                <w:rFonts w:hint="eastAsia" w:ascii="宋体" w:hAnsi="宋体" w:cs="宋体"/>
              </w:rPr>
              <w:t>达标</w:t>
            </w:r>
          </w:p>
        </w:tc>
      </w:tr>
      <w:tr w14:paraId="1542541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747" w:type="pct"/>
            <w:vAlign w:val="center"/>
          </w:tcPr>
          <w:p w14:paraId="27846AFC">
            <w:pPr>
              <w:pStyle w:val="249"/>
              <w:rPr>
                <w:szCs w:val="21"/>
              </w:rPr>
            </w:pPr>
            <w:r>
              <w:rPr>
                <w:rFonts w:hint="eastAsia" w:ascii="宋体" w:hAnsi="宋体" w:cs="宋体"/>
                <w:color w:val="000000" w:themeColor="text1"/>
                <w:kern w:val="1"/>
                <w:szCs w:val="21"/>
                <w14:textFill>
                  <w14:solidFill>
                    <w14:schemeClr w14:val="tx1"/>
                  </w14:solidFill>
                </w14:textFill>
              </w:rPr>
              <w:t>镍</w:t>
            </w:r>
          </w:p>
        </w:tc>
        <w:tc>
          <w:tcPr>
            <w:tcW w:w="322" w:type="pct"/>
            <w:vAlign w:val="center"/>
          </w:tcPr>
          <w:p w14:paraId="1E092036">
            <w:pPr>
              <w:jc w:val="center"/>
              <w:rPr>
                <w:rFonts w:hint="eastAsia" w:ascii="宋体" w:hAnsi="宋体" w:cs="宋体"/>
              </w:rPr>
            </w:pPr>
            <w:r>
              <w:rPr>
                <w:rFonts w:hint="eastAsia" w:ascii="宋体" w:hAnsi="宋体" w:cs="宋体"/>
                <w:bCs/>
                <w:color w:val="000000" w:themeColor="text1"/>
                <w:kern w:val="0"/>
                <w:szCs w:val="21"/>
                <w:lang w:bidi="ar"/>
                <w14:textFill>
                  <w14:solidFill>
                    <w14:schemeClr w14:val="tx1"/>
                  </w14:solidFill>
                </w14:textFill>
              </w:rPr>
              <w:t>mg/kg</w:t>
            </w:r>
          </w:p>
        </w:tc>
        <w:tc>
          <w:tcPr>
            <w:tcW w:w="371" w:type="pct"/>
            <w:vAlign w:val="center"/>
          </w:tcPr>
          <w:p w14:paraId="5F258936">
            <w:pPr>
              <w:pStyle w:val="249"/>
              <w:rPr>
                <w:szCs w:val="21"/>
              </w:rPr>
            </w:pPr>
            <w:r>
              <w:rPr>
                <w:rFonts w:hint="eastAsia" w:ascii="宋体" w:hAnsi="宋体" w:cs="宋体"/>
                <w:color w:val="000000" w:themeColor="text1"/>
                <w:szCs w:val="21"/>
                <w14:textFill>
                  <w14:solidFill>
                    <w14:schemeClr w14:val="tx1"/>
                  </w14:solidFill>
                </w14:textFill>
              </w:rPr>
              <w:t>900</w:t>
            </w:r>
          </w:p>
        </w:tc>
        <w:tc>
          <w:tcPr>
            <w:tcW w:w="392" w:type="pct"/>
            <w:vAlign w:val="center"/>
          </w:tcPr>
          <w:p w14:paraId="3E0DD567">
            <w:pPr>
              <w:pStyle w:val="242"/>
              <w:rPr>
                <w:rFonts w:hint="eastAsia" w:ascii="宋体" w:hAnsi="宋体" w:cs="宋体"/>
                <w:szCs w:val="22"/>
              </w:rPr>
            </w:pPr>
            <w:r>
              <w:rPr>
                <w:rFonts w:hint="eastAsia" w:ascii="宋体" w:hAnsi="宋体" w:cs="宋体"/>
                <w:color w:val="000000" w:themeColor="text1"/>
                <w:szCs w:val="21"/>
                <w14:textFill>
                  <w14:solidFill>
                    <w14:schemeClr w14:val="tx1"/>
                  </w14:solidFill>
                </w14:textFill>
              </w:rPr>
              <w:t>22</w:t>
            </w:r>
          </w:p>
        </w:tc>
        <w:tc>
          <w:tcPr>
            <w:tcW w:w="392" w:type="pct"/>
            <w:vAlign w:val="center"/>
          </w:tcPr>
          <w:p w14:paraId="33C0A2C4">
            <w:pPr>
              <w:pStyle w:val="242"/>
              <w:rPr>
                <w:rFonts w:hint="eastAsia" w:ascii="宋体" w:hAnsi="宋体" w:cs="宋体"/>
              </w:rPr>
            </w:pPr>
            <w:r>
              <w:rPr>
                <w:rFonts w:hint="eastAsia" w:ascii="宋体" w:hAnsi="宋体" w:cs="宋体"/>
              </w:rPr>
              <w:t>0.02444</w:t>
            </w:r>
          </w:p>
        </w:tc>
        <w:tc>
          <w:tcPr>
            <w:tcW w:w="393" w:type="pct"/>
          </w:tcPr>
          <w:p w14:paraId="00310496">
            <w:pPr>
              <w:pStyle w:val="242"/>
              <w:rPr>
                <w:rFonts w:hint="eastAsia" w:ascii="宋体" w:hAnsi="宋体" w:cs="宋体"/>
              </w:rPr>
            </w:pPr>
            <w:r>
              <w:rPr>
                <w:rFonts w:hint="eastAsia" w:ascii="宋体" w:hAnsi="宋体" w:cs="宋体"/>
              </w:rPr>
              <w:t>达标</w:t>
            </w:r>
          </w:p>
        </w:tc>
        <w:tc>
          <w:tcPr>
            <w:tcW w:w="392" w:type="pct"/>
            <w:vAlign w:val="center"/>
          </w:tcPr>
          <w:p w14:paraId="738997A0">
            <w:pPr>
              <w:pStyle w:val="242"/>
              <w:rPr>
                <w:rFonts w:hint="eastAsia" w:ascii="宋体" w:hAnsi="宋体" w:cs="宋体"/>
                <w:szCs w:val="22"/>
              </w:rPr>
            </w:pPr>
            <w:r>
              <w:rPr>
                <w:rFonts w:hint="eastAsia" w:ascii="宋体" w:hAnsi="宋体" w:cs="宋体"/>
                <w:color w:val="000000" w:themeColor="text1"/>
                <w:szCs w:val="21"/>
                <w14:textFill>
                  <w14:solidFill>
                    <w14:schemeClr w14:val="tx1"/>
                  </w14:solidFill>
                </w14:textFill>
              </w:rPr>
              <w:t>21</w:t>
            </w:r>
          </w:p>
        </w:tc>
        <w:tc>
          <w:tcPr>
            <w:tcW w:w="417" w:type="pct"/>
            <w:vAlign w:val="center"/>
          </w:tcPr>
          <w:p w14:paraId="008ACA9E">
            <w:pPr>
              <w:pStyle w:val="242"/>
              <w:rPr>
                <w:rFonts w:hint="eastAsia" w:ascii="宋体" w:hAnsi="宋体" w:cs="宋体"/>
              </w:rPr>
            </w:pPr>
            <w:r>
              <w:rPr>
                <w:rFonts w:hint="eastAsia" w:ascii="宋体" w:hAnsi="宋体" w:cs="宋体"/>
              </w:rPr>
              <w:t>0.023333</w:t>
            </w:r>
          </w:p>
        </w:tc>
        <w:tc>
          <w:tcPr>
            <w:tcW w:w="393" w:type="pct"/>
          </w:tcPr>
          <w:p w14:paraId="678BCA11">
            <w:pPr>
              <w:pStyle w:val="242"/>
              <w:rPr>
                <w:rFonts w:hint="eastAsia" w:ascii="宋体" w:hAnsi="宋体" w:cs="宋体"/>
              </w:rPr>
            </w:pPr>
            <w:r>
              <w:rPr>
                <w:rFonts w:hint="eastAsia" w:ascii="宋体" w:hAnsi="宋体" w:cs="宋体"/>
              </w:rPr>
              <w:t>达标</w:t>
            </w:r>
          </w:p>
        </w:tc>
        <w:tc>
          <w:tcPr>
            <w:tcW w:w="392" w:type="pct"/>
            <w:vAlign w:val="center"/>
          </w:tcPr>
          <w:p w14:paraId="78D3D0A1">
            <w:pPr>
              <w:pStyle w:val="242"/>
              <w:rPr>
                <w:rFonts w:hint="eastAsia" w:ascii="宋体" w:hAnsi="宋体" w:cs="宋体"/>
              </w:rPr>
            </w:pPr>
            <w:r>
              <w:rPr>
                <w:rFonts w:hint="eastAsia" w:ascii="宋体" w:hAnsi="宋体" w:cs="宋体"/>
                <w:color w:val="000000" w:themeColor="text1"/>
                <w:szCs w:val="21"/>
                <w14:textFill>
                  <w14:solidFill>
                    <w14:schemeClr w14:val="tx1"/>
                  </w14:solidFill>
                </w14:textFill>
              </w:rPr>
              <w:t>26</w:t>
            </w:r>
          </w:p>
        </w:tc>
        <w:tc>
          <w:tcPr>
            <w:tcW w:w="392" w:type="pct"/>
            <w:vAlign w:val="center"/>
          </w:tcPr>
          <w:p w14:paraId="70F7AFB7">
            <w:pPr>
              <w:pStyle w:val="242"/>
              <w:rPr>
                <w:rFonts w:hint="eastAsia" w:ascii="宋体" w:hAnsi="宋体" w:cs="宋体"/>
              </w:rPr>
            </w:pPr>
            <w:r>
              <w:rPr>
                <w:rFonts w:hint="eastAsia" w:ascii="宋体" w:hAnsi="宋体" w:cs="宋体"/>
              </w:rPr>
              <w:t>0.02889</w:t>
            </w:r>
          </w:p>
        </w:tc>
        <w:tc>
          <w:tcPr>
            <w:tcW w:w="398" w:type="pct"/>
          </w:tcPr>
          <w:p w14:paraId="691CE9CD">
            <w:pPr>
              <w:pStyle w:val="242"/>
              <w:rPr>
                <w:rFonts w:hint="eastAsia" w:ascii="宋体" w:hAnsi="宋体" w:cs="宋体"/>
              </w:rPr>
            </w:pPr>
            <w:r>
              <w:rPr>
                <w:rFonts w:hint="eastAsia" w:ascii="宋体" w:hAnsi="宋体" w:cs="宋体"/>
              </w:rPr>
              <w:t>达标</w:t>
            </w:r>
          </w:p>
        </w:tc>
      </w:tr>
      <w:tr w14:paraId="7B0CEA5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747" w:type="pct"/>
            <w:vAlign w:val="center"/>
          </w:tcPr>
          <w:p w14:paraId="2CA09813">
            <w:pPr>
              <w:pStyle w:val="249"/>
              <w:rPr>
                <w:szCs w:val="21"/>
              </w:rPr>
            </w:pPr>
            <w:r>
              <w:rPr>
                <w:rFonts w:hint="eastAsia" w:ascii="宋体" w:hAnsi="宋体" w:cs="宋体"/>
                <w:color w:val="000000"/>
                <w:kern w:val="1"/>
                <w:szCs w:val="21"/>
              </w:rPr>
              <w:t>汞</w:t>
            </w:r>
          </w:p>
        </w:tc>
        <w:tc>
          <w:tcPr>
            <w:tcW w:w="322" w:type="pct"/>
            <w:vAlign w:val="center"/>
          </w:tcPr>
          <w:p w14:paraId="27F6E0B4">
            <w:pPr>
              <w:jc w:val="center"/>
              <w:rPr>
                <w:rFonts w:hint="eastAsia" w:ascii="宋体" w:hAnsi="宋体" w:cs="宋体"/>
              </w:rPr>
            </w:pPr>
            <w:r>
              <w:rPr>
                <w:rFonts w:hint="eastAsia" w:ascii="宋体" w:hAnsi="宋体" w:cs="宋体"/>
                <w:bCs/>
                <w:kern w:val="0"/>
                <w:szCs w:val="21"/>
                <w:lang w:bidi="ar"/>
              </w:rPr>
              <w:t>mg/kg</w:t>
            </w:r>
          </w:p>
        </w:tc>
        <w:tc>
          <w:tcPr>
            <w:tcW w:w="371" w:type="pct"/>
            <w:vAlign w:val="center"/>
          </w:tcPr>
          <w:p w14:paraId="45171E06">
            <w:pPr>
              <w:pStyle w:val="249"/>
              <w:rPr>
                <w:szCs w:val="21"/>
              </w:rPr>
            </w:pPr>
            <w:r>
              <w:rPr>
                <w:rFonts w:hint="eastAsia" w:ascii="宋体" w:hAnsi="宋体" w:cs="宋体"/>
                <w:szCs w:val="21"/>
              </w:rPr>
              <w:t>38</w:t>
            </w:r>
          </w:p>
        </w:tc>
        <w:tc>
          <w:tcPr>
            <w:tcW w:w="392" w:type="pct"/>
            <w:vAlign w:val="center"/>
          </w:tcPr>
          <w:p w14:paraId="22E7B4B5">
            <w:pPr>
              <w:pStyle w:val="242"/>
              <w:rPr>
                <w:rFonts w:hint="eastAsia" w:ascii="宋体" w:hAnsi="宋体" w:cs="宋体"/>
                <w:szCs w:val="22"/>
              </w:rPr>
            </w:pPr>
            <w:r>
              <w:rPr>
                <w:rFonts w:hint="eastAsia" w:ascii="宋体" w:hAnsi="宋体" w:cs="宋体"/>
                <w:color w:val="000000"/>
                <w:szCs w:val="21"/>
              </w:rPr>
              <w:t>0.0094</w:t>
            </w:r>
          </w:p>
        </w:tc>
        <w:tc>
          <w:tcPr>
            <w:tcW w:w="392" w:type="pct"/>
            <w:vAlign w:val="center"/>
          </w:tcPr>
          <w:p w14:paraId="2E0C4624">
            <w:pPr>
              <w:pStyle w:val="242"/>
              <w:rPr>
                <w:rFonts w:hint="eastAsia" w:ascii="宋体" w:hAnsi="宋体" w:cs="宋体"/>
              </w:rPr>
            </w:pPr>
            <w:r>
              <w:rPr>
                <w:rFonts w:hint="eastAsia" w:ascii="宋体" w:hAnsi="宋体" w:cs="宋体"/>
              </w:rPr>
              <w:t>0.000247</w:t>
            </w:r>
          </w:p>
        </w:tc>
        <w:tc>
          <w:tcPr>
            <w:tcW w:w="393" w:type="pct"/>
          </w:tcPr>
          <w:p w14:paraId="27EBAA5F">
            <w:pPr>
              <w:pStyle w:val="242"/>
              <w:rPr>
                <w:rFonts w:hint="eastAsia" w:ascii="宋体" w:hAnsi="宋体" w:cs="宋体"/>
              </w:rPr>
            </w:pPr>
            <w:r>
              <w:rPr>
                <w:rFonts w:hint="eastAsia" w:ascii="宋体" w:hAnsi="宋体" w:cs="宋体"/>
              </w:rPr>
              <w:t>达标</w:t>
            </w:r>
          </w:p>
        </w:tc>
        <w:tc>
          <w:tcPr>
            <w:tcW w:w="392" w:type="pct"/>
            <w:vAlign w:val="center"/>
          </w:tcPr>
          <w:p w14:paraId="16F3C971">
            <w:pPr>
              <w:pStyle w:val="242"/>
              <w:rPr>
                <w:rFonts w:hint="eastAsia" w:ascii="宋体" w:hAnsi="宋体" w:cs="宋体"/>
                <w:szCs w:val="22"/>
              </w:rPr>
            </w:pPr>
            <w:r>
              <w:rPr>
                <w:rFonts w:hint="eastAsia" w:ascii="宋体" w:hAnsi="宋体" w:cs="宋体"/>
                <w:color w:val="000000"/>
                <w:szCs w:val="21"/>
              </w:rPr>
              <w:t>0.00816</w:t>
            </w:r>
          </w:p>
        </w:tc>
        <w:tc>
          <w:tcPr>
            <w:tcW w:w="417" w:type="pct"/>
            <w:vAlign w:val="center"/>
          </w:tcPr>
          <w:p w14:paraId="2183C01B">
            <w:pPr>
              <w:pStyle w:val="242"/>
              <w:rPr>
                <w:rFonts w:hint="eastAsia" w:ascii="宋体" w:hAnsi="宋体" w:cs="宋体"/>
              </w:rPr>
            </w:pPr>
            <w:r>
              <w:rPr>
                <w:rFonts w:hint="eastAsia" w:ascii="宋体" w:hAnsi="宋体" w:cs="宋体"/>
              </w:rPr>
              <w:t>0.000215</w:t>
            </w:r>
          </w:p>
        </w:tc>
        <w:tc>
          <w:tcPr>
            <w:tcW w:w="393" w:type="pct"/>
          </w:tcPr>
          <w:p w14:paraId="566D8D4B">
            <w:pPr>
              <w:pStyle w:val="242"/>
              <w:rPr>
                <w:rFonts w:hint="eastAsia" w:ascii="宋体" w:hAnsi="宋体" w:cs="宋体"/>
              </w:rPr>
            </w:pPr>
            <w:r>
              <w:rPr>
                <w:rFonts w:hint="eastAsia" w:ascii="宋体" w:hAnsi="宋体" w:cs="宋体"/>
              </w:rPr>
              <w:t>达标</w:t>
            </w:r>
          </w:p>
        </w:tc>
        <w:tc>
          <w:tcPr>
            <w:tcW w:w="392" w:type="pct"/>
            <w:vAlign w:val="center"/>
          </w:tcPr>
          <w:p w14:paraId="43D26D02">
            <w:pPr>
              <w:pStyle w:val="242"/>
              <w:rPr>
                <w:rFonts w:hint="eastAsia" w:ascii="宋体" w:hAnsi="宋体" w:cs="宋体"/>
              </w:rPr>
            </w:pPr>
            <w:r>
              <w:rPr>
                <w:rFonts w:hint="eastAsia" w:ascii="宋体" w:hAnsi="宋体" w:cs="宋体"/>
                <w:color w:val="000000"/>
                <w:szCs w:val="21"/>
              </w:rPr>
              <w:t>0.0124</w:t>
            </w:r>
          </w:p>
        </w:tc>
        <w:tc>
          <w:tcPr>
            <w:tcW w:w="392" w:type="pct"/>
            <w:vAlign w:val="center"/>
          </w:tcPr>
          <w:p w14:paraId="7AACBBBE">
            <w:pPr>
              <w:pStyle w:val="242"/>
              <w:rPr>
                <w:rFonts w:hint="eastAsia" w:ascii="宋体" w:hAnsi="宋体" w:cs="宋体"/>
              </w:rPr>
            </w:pPr>
            <w:r>
              <w:rPr>
                <w:rFonts w:hint="eastAsia" w:ascii="宋体" w:hAnsi="宋体" w:cs="宋体"/>
              </w:rPr>
              <w:t>0.000326</w:t>
            </w:r>
          </w:p>
        </w:tc>
        <w:tc>
          <w:tcPr>
            <w:tcW w:w="398" w:type="pct"/>
          </w:tcPr>
          <w:p w14:paraId="4FAB55F1">
            <w:pPr>
              <w:pStyle w:val="242"/>
              <w:rPr>
                <w:rFonts w:hint="eastAsia" w:ascii="宋体" w:hAnsi="宋体" w:cs="宋体"/>
              </w:rPr>
            </w:pPr>
            <w:r>
              <w:rPr>
                <w:rFonts w:hint="eastAsia" w:ascii="宋体" w:hAnsi="宋体" w:cs="宋体"/>
              </w:rPr>
              <w:t>达标</w:t>
            </w:r>
          </w:p>
        </w:tc>
      </w:tr>
      <w:tr w14:paraId="38914B0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747" w:type="pct"/>
            <w:vAlign w:val="center"/>
          </w:tcPr>
          <w:p w14:paraId="398826F6">
            <w:pPr>
              <w:pStyle w:val="249"/>
              <w:rPr>
                <w:szCs w:val="21"/>
              </w:rPr>
            </w:pPr>
            <w:r>
              <w:rPr>
                <w:rFonts w:hint="eastAsia" w:ascii="宋体" w:hAnsi="宋体" w:cs="宋体"/>
                <w:color w:val="000000"/>
                <w:kern w:val="1"/>
                <w:szCs w:val="21"/>
              </w:rPr>
              <w:t>砷</w:t>
            </w:r>
          </w:p>
        </w:tc>
        <w:tc>
          <w:tcPr>
            <w:tcW w:w="322" w:type="pct"/>
            <w:vAlign w:val="center"/>
          </w:tcPr>
          <w:p w14:paraId="374B8D4D">
            <w:pPr>
              <w:jc w:val="center"/>
              <w:rPr>
                <w:rFonts w:hint="eastAsia" w:ascii="宋体" w:hAnsi="宋体" w:cs="宋体"/>
              </w:rPr>
            </w:pPr>
            <w:r>
              <w:rPr>
                <w:rFonts w:hint="eastAsia" w:ascii="宋体" w:hAnsi="宋体" w:cs="宋体"/>
                <w:bCs/>
                <w:kern w:val="0"/>
                <w:szCs w:val="21"/>
                <w:lang w:bidi="ar"/>
              </w:rPr>
              <w:t>mg/kg</w:t>
            </w:r>
          </w:p>
        </w:tc>
        <w:tc>
          <w:tcPr>
            <w:tcW w:w="371" w:type="pct"/>
            <w:vAlign w:val="center"/>
          </w:tcPr>
          <w:p w14:paraId="687885F5">
            <w:pPr>
              <w:pStyle w:val="249"/>
              <w:rPr>
                <w:szCs w:val="21"/>
              </w:rPr>
            </w:pPr>
            <w:r>
              <w:rPr>
                <w:rFonts w:hint="eastAsia" w:ascii="宋体" w:hAnsi="宋体" w:cs="宋体"/>
                <w:szCs w:val="21"/>
              </w:rPr>
              <w:t>60</w:t>
            </w:r>
          </w:p>
        </w:tc>
        <w:tc>
          <w:tcPr>
            <w:tcW w:w="392" w:type="pct"/>
            <w:vAlign w:val="center"/>
          </w:tcPr>
          <w:p w14:paraId="72B7F0AD">
            <w:pPr>
              <w:pStyle w:val="242"/>
              <w:rPr>
                <w:rFonts w:hint="eastAsia" w:ascii="宋体" w:hAnsi="宋体" w:cs="宋体"/>
                <w:szCs w:val="22"/>
              </w:rPr>
            </w:pPr>
            <w:r>
              <w:rPr>
                <w:rFonts w:hint="eastAsia" w:ascii="宋体" w:hAnsi="宋体" w:cs="宋体"/>
                <w:color w:val="000000"/>
                <w:szCs w:val="21"/>
              </w:rPr>
              <w:t>11.1</w:t>
            </w:r>
          </w:p>
        </w:tc>
        <w:tc>
          <w:tcPr>
            <w:tcW w:w="392" w:type="pct"/>
            <w:vAlign w:val="center"/>
          </w:tcPr>
          <w:p w14:paraId="15991389">
            <w:pPr>
              <w:pStyle w:val="242"/>
              <w:rPr>
                <w:rFonts w:hint="eastAsia" w:ascii="宋体" w:hAnsi="宋体" w:cs="宋体"/>
              </w:rPr>
            </w:pPr>
            <w:r>
              <w:rPr>
                <w:rFonts w:hint="eastAsia" w:ascii="宋体" w:hAnsi="宋体" w:cs="宋体"/>
              </w:rPr>
              <w:t>0.185</w:t>
            </w:r>
          </w:p>
        </w:tc>
        <w:tc>
          <w:tcPr>
            <w:tcW w:w="393" w:type="pct"/>
          </w:tcPr>
          <w:p w14:paraId="2C8F3DD2">
            <w:pPr>
              <w:pStyle w:val="242"/>
              <w:rPr>
                <w:rFonts w:hint="eastAsia" w:ascii="宋体" w:hAnsi="宋体" w:cs="宋体"/>
              </w:rPr>
            </w:pPr>
            <w:r>
              <w:rPr>
                <w:rFonts w:hint="eastAsia" w:ascii="宋体" w:hAnsi="宋体" w:cs="宋体"/>
              </w:rPr>
              <w:t>达标</w:t>
            </w:r>
          </w:p>
        </w:tc>
        <w:tc>
          <w:tcPr>
            <w:tcW w:w="392" w:type="pct"/>
            <w:vAlign w:val="center"/>
          </w:tcPr>
          <w:p w14:paraId="0E436CF8">
            <w:pPr>
              <w:pStyle w:val="242"/>
              <w:rPr>
                <w:rFonts w:hint="eastAsia" w:ascii="宋体" w:hAnsi="宋体" w:cs="宋体"/>
                <w:szCs w:val="22"/>
              </w:rPr>
            </w:pPr>
            <w:r>
              <w:rPr>
                <w:rFonts w:hint="eastAsia" w:ascii="宋体" w:hAnsi="宋体" w:cs="宋体"/>
                <w:color w:val="000000"/>
                <w:szCs w:val="21"/>
              </w:rPr>
              <w:t>10.1</w:t>
            </w:r>
          </w:p>
        </w:tc>
        <w:tc>
          <w:tcPr>
            <w:tcW w:w="417" w:type="pct"/>
            <w:vAlign w:val="center"/>
          </w:tcPr>
          <w:p w14:paraId="4BB82B1A">
            <w:pPr>
              <w:pStyle w:val="242"/>
              <w:rPr>
                <w:rFonts w:hint="eastAsia" w:ascii="宋体" w:hAnsi="宋体" w:cs="宋体"/>
              </w:rPr>
            </w:pPr>
            <w:r>
              <w:rPr>
                <w:rFonts w:hint="eastAsia" w:ascii="宋体" w:hAnsi="宋体" w:cs="宋体"/>
              </w:rPr>
              <w:t>0.168333</w:t>
            </w:r>
          </w:p>
        </w:tc>
        <w:tc>
          <w:tcPr>
            <w:tcW w:w="393" w:type="pct"/>
          </w:tcPr>
          <w:p w14:paraId="735A6972">
            <w:pPr>
              <w:pStyle w:val="242"/>
              <w:rPr>
                <w:rFonts w:hint="eastAsia" w:ascii="宋体" w:hAnsi="宋体" w:cs="宋体"/>
              </w:rPr>
            </w:pPr>
            <w:r>
              <w:rPr>
                <w:rFonts w:hint="eastAsia" w:ascii="宋体" w:hAnsi="宋体" w:cs="宋体"/>
              </w:rPr>
              <w:t>达标</w:t>
            </w:r>
          </w:p>
        </w:tc>
        <w:tc>
          <w:tcPr>
            <w:tcW w:w="392" w:type="pct"/>
            <w:vAlign w:val="center"/>
          </w:tcPr>
          <w:p w14:paraId="6E8C34EB">
            <w:pPr>
              <w:pStyle w:val="242"/>
              <w:rPr>
                <w:rFonts w:hint="eastAsia" w:ascii="宋体" w:hAnsi="宋体" w:cs="宋体"/>
              </w:rPr>
            </w:pPr>
            <w:r>
              <w:rPr>
                <w:rFonts w:hint="eastAsia" w:ascii="宋体" w:hAnsi="宋体" w:cs="宋体"/>
                <w:color w:val="000000"/>
                <w:szCs w:val="21"/>
              </w:rPr>
              <w:t>12.6</w:t>
            </w:r>
          </w:p>
        </w:tc>
        <w:tc>
          <w:tcPr>
            <w:tcW w:w="392" w:type="pct"/>
            <w:vAlign w:val="center"/>
          </w:tcPr>
          <w:p w14:paraId="13D71AFA">
            <w:pPr>
              <w:pStyle w:val="242"/>
              <w:rPr>
                <w:rFonts w:hint="eastAsia" w:ascii="宋体" w:hAnsi="宋体" w:cs="宋体"/>
              </w:rPr>
            </w:pPr>
            <w:r>
              <w:rPr>
                <w:rFonts w:hint="eastAsia" w:ascii="宋体" w:hAnsi="宋体" w:cs="宋体"/>
              </w:rPr>
              <w:t>0.21</w:t>
            </w:r>
          </w:p>
        </w:tc>
        <w:tc>
          <w:tcPr>
            <w:tcW w:w="398" w:type="pct"/>
          </w:tcPr>
          <w:p w14:paraId="3E32A92F">
            <w:pPr>
              <w:pStyle w:val="242"/>
              <w:rPr>
                <w:rFonts w:hint="eastAsia" w:ascii="宋体" w:hAnsi="宋体" w:cs="宋体"/>
              </w:rPr>
            </w:pPr>
            <w:r>
              <w:rPr>
                <w:rFonts w:hint="eastAsia" w:ascii="宋体" w:hAnsi="宋体" w:cs="宋体"/>
              </w:rPr>
              <w:t>达标</w:t>
            </w:r>
          </w:p>
        </w:tc>
      </w:tr>
      <w:tr w14:paraId="6FDDE50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747" w:type="pct"/>
            <w:vAlign w:val="center"/>
          </w:tcPr>
          <w:p w14:paraId="38F885BE">
            <w:pPr>
              <w:pStyle w:val="249"/>
              <w:rPr>
                <w:szCs w:val="21"/>
              </w:rPr>
            </w:pPr>
            <w:r>
              <w:rPr>
                <w:rFonts w:hint="eastAsia" w:ascii="宋体" w:hAnsi="宋体" w:cs="宋体"/>
                <w:color w:val="000000" w:themeColor="text1"/>
                <w:kern w:val="1"/>
                <w:szCs w:val="21"/>
                <w14:textFill>
                  <w14:solidFill>
                    <w14:schemeClr w14:val="tx1"/>
                  </w14:solidFill>
                </w14:textFill>
              </w:rPr>
              <w:t>四氯化碳</w:t>
            </w:r>
          </w:p>
        </w:tc>
        <w:tc>
          <w:tcPr>
            <w:tcW w:w="322" w:type="pct"/>
            <w:vAlign w:val="center"/>
          </w:tcPr>
          <w:p w14:paraId="312F8BF6">
            <w:pPr>
              <w:jc w:val="center"/>
              <w:rPr>
                <w:rFonts w:hint="eastAsia" w:ascii="宋体" w:hAnsi="宋体" w:cs="宋体"/>
              </w:rPr>
            </w:pPr>
            <w:r>
              <w:rPr>
                <w:rFonts w:hint="eastAsia" w:ascii="宋体" w:hAnsi="宋体" w:cs="宋体"/>
                <w:bCs/>
                <w:color w:val="000000" w:themeColor="text1"/>
                <w:kern w:val="0"/>
                <w:szCs w:val="21"/>
                <w:lang w:bidi="ar"/>
                <w14:textFill>
                  <w14:solidFill>
                    <w14:schemeClr w14:val="tx1"/>
                  </w14:solidFill>
                </w14:textFill>
              </w:rPr>
              <w:t>mg/kg</w:t>
            </w:r>
          </w:p>
        </w:tc>
        <w:tc>
          <w:tcPr>
            <w:tcW w:w="371" w:type="pct"/>
            <w:vAlign w:val="center"/>
          </w:tcPr>
          <w:p w14:paraId="08193037">
            <w:pPr>
              <w:pStyle w:val="249"/>
              <w:rPr>
                <w:szCs w:val="21"/>
              </w:rPr>
            </w:pPr>
            <w:r>
              <w:rPr>
                <w:rFonts w:hint="eastAsia" w:ascii="宋体" w:hAnsi="宋体" w:cs="宋体"/>
                <w:color w:val="000000" w:themeColor="text1"/>
                <w:szCs w:val="21"/>
                <w14:textFill>
                  <w14:solidFill>
                    <w14:schemeClr w14:val="tx1"/>
                  </w14:solidFill>
                </w14:textFill>
              </w:rPr>
              <w:t>2.8</w:t>
            </w:r>
          </w:p>
        </w:tc>
        <w:tc>
          <w:tcPr>
            <w:tcW w:w="392" w:type="pct"/>
            <w:vAlign w:val="center"/>
          </w:tcPr>
          <w:p w14:paraId="495B6B46">
            <w:pPr>
              <w:pStyle w:val="242"/>
              <w:rPr>
                <w:rFonts w:hint="eastAsia" w:ascii="宋体" w:hAnsi="宋体" w:cs="宋体"/>
                <w:szCs w:val="22"/>
              </w:rPr>
            </w:pPr>
            <w:r>
              <w:rPr>
                <w:rFonts w:hint="eastAsia" w:ascii="宋体" w:hAnsi="宋体" w:cs="宋体"/>
                <w:color w:val="000000" w:themeColor="text1"/>
                <w:szCs w:val="21"/>
                <w14:textFill>
                  <w14:solidFill>
                    <w14:schemeClr w14:val="tx1"/>
                  </w14:solidFill>
                </w14:textFill>
              </w:rPr>
              <w:t>ND</w:t>
            </w:r>
          </w:p>
        </w:tc>
        <w:tc>
          <w:tcPr>
            <w:tcW w:w="392" w:type="pct"/>
            <w:vAlign w:val="center"/>
          </w:tcPr>
          <w:p w14:paraId="532F263C">
            <w:pPr>
              <w:pStyle w:val="242"/>
              <w:rPr>
                <w:rFonts w:hint="eastAsia" w:ascii="宋体" w:hAnsi="宋体" w:cs="宋体"/>
              </w:rPr>
            </w:pPr>
            <w:r>
              <w:rPr>
                <w:rFonts w:hint="eastAsia" w:ascii="宋体" w:hAnsi="宋体" w:cs="宋体"/>
              </w:rPr>
              <w:t>/</w:t>
            </w:r>
          </w:p>
        </w:tc>
        <w:tc>
          <w:tcPr>
            <w:tcW w:w="393" w:type="pct"/>
          </w:tcPr>
          <w:p w14:paraId="52DAA26A">
            <w:pPr>
              <w:pStyle w:val="242"/>
              <w:rPr>
                <w:rFonts w:hint="eastAsia" w:ascii="宋体" w:hAnsi="宋体" w:cs="宋体"/>
              </w:rPr>
            </w:pPr>
            <w:r>
              <w:rPr>
                <w:rFonts w:hint="eastAsia" w:ascii="宋体" w:hAnsi="宋体" w:cs="宋体"/>
              </w:rPr>
              <w:t>达标</w:t>
            </w:r>
          </w:p>
        </w:tc>
        <w:tc>
          <w:tcPr>
            <w:tcW w:w="392" w:type="pct"/>
          </w:tcPr>
          <w:p w14:paraId="28959573">
            <w:pPr>
              <w:pStyle w:val="242"/>
              <w:rPr>
                <w:rFonts w:hint="eastAsia" w:ascii="宋体" w:hAnsi="宋体" w:cs="宋体"/>
                <w:szCs w:val="22"/>
              </w:rPr>
            </w:pPr>
            <w:r>
              <w:rPr>
                <w:rFonts w:hint="eastAsia" w:ascii="宋体" w:hAnsi="宋体" w:cs="宋体"/>
                <w:szCs w:val="22"/>
              </w:rPr>
              <w:t>-</w:t>
            </w:r>
          </w:p>
        </w:tc>
        <w:tc>
          <w:tcPr>
            <w:tcW w:w="417" w:type="pct"/>
          </w:tcPr>
          <w:p w14:paraId="0D93278F">
            <w:pPr>
              <w:pStyle w:val="242"/>
              <w:rPr>
                <w:rFonts w:hint="eastAsia" w:ascii="宋体" w:hAnsi="宋体" w:cs="宋体"/>
              </w:rPr>
            </w:pPr>
            <w:r>
              <w:rPr>
                <w:rFonts w:hint="eastAsia" w:ascii="宋体" w:hAnsi="宋体" w:cs="宋体"/>
                <w:szCs w:val="22"/>
              </w:rPr>
              <w:t>-</w:t>
            </w:r>
          </w:p>
        </w:tc>
        <w:tc>
          <w:tcPr>
            <w:tcW w:w="393" w:type="pct"/>
          </w:tcPr>
          <w:p w14:paraId="61615710">
            <w:pPr>
              <w:pStyle w:val="242"/>
              <w:rPr>
                <w:rFonts w:hint="eastAsia" w:ascii="宋体" w:hAnsi="宋体" w:cs="宋体"/>
              </w:rPr>
            </w:pPr>
            <w:r>
              <w:rPr>
                <w:rFonts w:hint="eastAsia" w:ascii="宋体" w:hAnsi="宋体" w:cs="宋体"/>
                <w:szCs w:val="22"/>
              </w:rPr>
              <w:t>-</w:t>
            </w:r>
          </w:p>
        </w:tc>
        <w:tc>
          <w:tcPr>
            <w:tcW w:w="392" w:type="pct"/>
          </w:tcPr>
          <w:p w14:paraId="6E55F0E7">
            <w:pPr>
              <w:pStyle w:val="242"/>
              <w:rPr>
                <w:rFonts w:hint="eastAsia" w:ascii="宋体" w:hAnsi="宋体" w:cs="宋体"/>
              </w:rPr>
            </w:pPr>
            <w:r>
              <w:rPr>
                <w:rFonts w:hint="eastAsia" w:ascii="宋体" w:hAnsi="宋体" w:cs="宋体"/>
                <w:szCs w:val="22"/>
              </w:rPr>
              <w:t>-</w:t>
            </w:r>
          </w:p>
        </w:tc>
        <w:tc>
          <w:tcPr>
            <w:tcW w:w="392" w:type="pct"/>
          </w:tcPr>
          <w:p w14:paraId="7207C3ED">
            <w:pPr>
              <w:pStyle w:val="242"/>
              <w:rPr>
                <w:rFonts w:hint="eastAsia" w:ascii="宋体" w:hAnsi="宋体" w:cs="宋体"/>
              </w:rPr>
            </w:pPr>
            <w:r>
              <w:rPr>
                <w:rFonts w:hint="eastAsia" w:ascii="宋体" w:hAnsi="宋体" w:cs="宋体"/>
                <w:szCs w:val="22"/>
              </w:rPr>
              <w:t>-</w:t>
            </w:r>
          </w:p>
        </w:tc>
        <w:tc>
          <w:tcPr>
            <w:tcW w:w="398" w:type="pct"/>
          </w:tcPr>
          <w:p w14:paraId="2EF45E99">
            <w:pPr>
              <w:pStyle w:val="242"/>
              <w:rPr>
                <w:rFonts w:hint="eastAsia" w:ascii="宋体" w:hAnsi="宋体" w:cs="宋体"/>
              </w:rPr>
            </w:pPr>
            <w:r>
              <w:rPr>
                <w:rFonts w:hint="eastAsia" w:ascii="宋体" w:hAnsi="宋体" w:cs="宋体"/>
                <w:szCs w:val="22"/>
              </w:rPr>
              <w:t>-</w:t>
            </w:r>
          </w:p>
        </w:tc>
      </w:tr>
      <w:tr w14:paraId="75D5C05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747" w:type="pct"/>
            <w:vAlign w:val="center"/>
          </w:tcPr>
          <w:p w14:paraId="2EA82864">
            <w:pPr>
              <w:pStyle w:val="249"/>
              <w:rPr>
                <w:szCs w:val="21"/>
              </w:rPr>
            </w:pPr>
            <w:r>
              <w:rPr>
                <w:rFonts w:hint="eastAsia" w:ascii="宋体" w:hAnsi="宋体" w:cs="宋体"/>
                <w:color w:val="000000" w:themeColor="text1"/>
                <w:kern w:val="1"/>
                <w:szCs w:val="21"/>
                <w14:textFill>
                  <w14:solidFill>
                    <w14:schemeClr w14:val="tx1"/>
                  </w14:solidFill>
                </w14:textFill>
              </w:rPr>
              <w:t>氯仿</w:t>
            </w:r>
          </w:p>
        </w:tc>
        <w:tc>
          <w:tcPr>
            <w:tcW w:w="322" w:type="pct"/>
            <w:vAlign w:val="center"/>
          </w:tcPr>
          <w:p w14:paraId="04225F12">
            <w:pPr>
              <w:jc w:val="center"/>
              <w:rPr>
                <w:rFonts w:hint="eastAsia" w:ascii="宋体" w:hAnsi="宋体" w:cs="宋体"/>
              </w:rPr>
            </w:pPr>
            <w:r>
              <w:rPr>
                <w:rFonts w:hint="eastAsia" w:ascii="宋体" w:hAnsi="宋体" w:cs="宋体"/>
                <w:bCs/>
                <w:color w:val="000000" w:themeColor="text1"/>
                <w:kern w:val="0"/>
                <w:szCs w:val="21"/>
                <w:lang w:bidi="ar"/>
                <w14:textFill>
                  <w14:solidFill>
                    <w14:schemeClr w14:val="tx1"/>
                  </w14:solidFill>
                </w14:textFill>
              </w:rPr>
              <w:t>mg/kg</w:t>
            </w:r>
          </w:p>
        </w:tc>
        <w:tc>
          <w:tcPr>
            <w:tcW w:w="371" w:type="pct"/>
            <w:vAlign w:val="center"/>
          </w:tcPr>
          <w:p w14:paraId="35A5E7BE">
            <w:pPr>
              <w:pStyle w:val="249"/>
              <w:rPr>
                <w:szCs w:val="21"/>
              </w:rPr>
            </w:pPr>
            <w:r>
              <w:rPr>
                <w:rFonts w:hint="eastAsia" w:ascii="宋体" w:hAnsi="宋体" w:cs="宋体"/>
                <w:color w:val="000000" w:themeColor="text1"/>
                <w:szCs w:val="21"/>
                <w14:textFill>
                  <w14:solidFill>
                    <w14:schemeClr w14:val="tx1"/>
                  </w14:solidFill>
                </w14:textFill>
              </w:rPr>
              <w:t>0.9</w:t>
            </w:r>
          </w:p>
        </w:tc>
        <w:tc>
          <w:tcPr>
            <w:tcW w:w="392" w:type="pct"/>
            <w:vAlign w:val="center"/>
          </w:tcPr>
          <w:p w14:paraId="38B83253">
            <w:pPr>
              <w:pStyle w:val="242"/>
              <w:rPr>
                <w:rFonts w:hint="eastAsia" w:ascii="宋体" w:hAnsi="宋体" w:cs="宋体"/>
                <w:szCs w:val="22"/>
              </w:rPr>
            </w:pPr>
            <w:r>
              <w:rPr>
                <w:rFonts w:hint="eastAsia" w:ascii="宋体" w:hAnsi="宋体" w:cs="宋体"/>
                <w:color w:val="000000" w:themeColor="text1"/>
                <w:szCs w:val="21"/>
                <w14:textFill>
                  <w14:solidFill>
                    <w14:schemeClr w14:val="tx1"/>
                  </w14:solidFill>
                </w14:textFill>
              </w:rPr>
              <w:t>ND</w:t>
            </w:r>
          </w:p>
        </w:tc>
        <w:tc>
          <w:tcPr>
            <w:tcW w:w="392" w:type="pct"/>
            <w:vAlign w:val="center"/>
          </w:tcPr>
          <w:p w14:paraId="0D6F6CE0">
            <w:pPr>
              <w:pStyle w:val="242"/>
              <w:rPr>
                <w:rFonts w:hint="eastAsia" w:ascii="宋体" w:hAnsi="宋体" w:cs="宋体"/>
              </w:rPr>
            </w:pPr>
            <w:r>
              <w:rPr>
                <w:rFonts w:hint="eastAsia" w:ascii="宋体" w:hAnsi="宋体" w:cs="宋体"/>
              </w:rPr>
              <w:t>/</w:t>
            </w:r>
          </w:p>
        </w:tc>
        <w:tc>
          <w:tcPr>
            <w:tcW w:w="393" w:type="pct"/>
          </w:tcPr>
          <w:p w14:paraId="06B0953C">
            <w:pPr>
              <w:pStyle w:val="242"/>
              <w:rPr>
                <w:rFonts w:hint="eastAsia" w:ascii="宋体" w:hAnsi="宋体" w:cs="宋体"/>
              </w:rPr>
            </w:pPr>
            <w:r>
              <w:rPr>
                <w:rFonts w:hint="eastAsia" w:ascii="宋体" w:hAnsi="宋体" w:cs="宋体"/>
              </w:rPr>
              <w:t>达标</w:t>
            </w:r>
          </w:p>
        </w:tc>
        <w:tc>
          <w:tcPr>
            <w:tcW w:w="392" w:type="pct"/>
          </w:tcPr>
          <w:p w14:paraId="3F59D9B1">
            <w:pPr>
              <w:pStyle w:val="242"/>
              <w:rPr>
                <w:rFonts w:hint="eastAsia" w:ascii="宋体" w:hAnsi="宋体" w:cs="宋体"/>
                <w:szCs w:val="22"/>
              </w:rPr>
            </w:pPr>
            <w:r>
              <w:rPr>
                <w:rFonts w:hint="eastAsia" w:ascii="宋体" w:hAnsi="宋体" w:cs="宋体"/>
                <w:szCs w:val="22"/>
              </w:rPr>
              <w:t>-</w:t>
            </w:r>
          </w:p>
        </w:tc>
        <w:tc>
          <w:tcPr>
            <w:tcW w:w="417" w:type="pct"/>
          </w:tcPr>
          <w:p w14:paraId="75012C4C">
            <w:pPr>
              <w:pStyle w:val="242"/>
              <w:rPr>
                <w:rFonts w:hint="eastAsia" w:ascii="宋体" w:hAnsi="宋体" w:cs="宋体"/>
              </w:rPr>
            </w:pPr>
            <w:r>
              <w:rPr>
                <w:rFonts w:hint="eastAsia" w:ascii="宋体" w:hAnsi="宋体" w:cs="宋体"/>
                <w:szCs w:val="22"/>
              </w:rPr>
              <w:t>-</w:t>
            </w:r>
          </w:p>
        </w:tc>
        <w:tc>
          <w:tcPr>
            <w:tcW w:w="393" w:type="pct"/>
          </w:tcPr>
          <w:p w14:paraId="490D4703">
            <w:pPr>
              <w:pStyle w:val="242"/>
              <w:rPr>
                <w:rFonts w:hint="eastAsia" w:ascii="宋体" w:hAnsi="宋体" w:cs="宋体"/>
              </w:rPr>
            </w:pPr>
            <w:r>
              <w:rPr>
                <w:rFonts w:hint="eastAsia" w:ascii="宋体" w:hAnsi="宋体" w:cs="宋体"/>
                <w:szCs w:val="22"/>
              </w:rPr>
              <w:t>-</w:t>
            </w:r>
          </w:p>
        </w:tc>
        <w:tc>
          <w:tcPr>
            <w:tcW w:w="392" w:type="pct"/>
          </w:tcPr>
          <w:p w14:paraId="1D6A0B0B">
            <w:pPr>
              <w:pStyle w:val="242"/>
              <w:rPr>
                <w:rFonts w:hint="eastAsia" w:ascii="宋体" w:hAnsi="宋体" w:cs="宋体"/>
              </w:rPr>
            </w:pPr>
            <w:r>
              <w:rPr>
                <w:rFonts w:hint="eastAsia" w:ascii="宋体" w:hAnsi="宋体" w:cs="宋体"/>
                <w:szCs w:val="22"/>
              </w:rPr>
              <w:t>-</w:t>
            </w:r>
          </w:p>
        </w:tc>
        <w:tc>
          <w:tcPr>
            <w:tcW w:w="392" w:type="pct"/>
          </w:tcPr>
          <w:p w14:paraId="08366D61">
            <w:pPr>
              <w:pStyle w:val="242"/>
              <w:rPr>
                <w:rFonts w:hint="eastAsia" w:ascii="宋体" w:hAnsi="宋体" w:cs="宋体"/>
              </w:rPr>
            </w:pPr>
            <w:r>
              <w:rPr>
                <w:rFonts w:hint="eastAsia" w:ascii="宋体" w:hAnsi="宋体" w:cs="宋体"/>
                <w:szCs w:val="22"/>
              </w:rPr>
              <w:t>-</w:t>
            </w:r>
          </w:p>
        </w:tc>
        <w:tc>
          <w:tcPr>
            <w:tcW w:w="398" w:type="pct"/>
          </w:tcPr>
          <w:p w14:paraId="2B0EE78C">
            <w:pPr>
              <w:pStyle w:val="242"/>
              <w:rPr>
                <w:rFonts w:hint="eastAsia" w:ascii="宋体" w:hAnsi="宋体" w:cs="宋体"/>
              </w:rPr>
            </w:pPr>
            <w:r>
              <w:rPr>
                <w:rFonts w:hint="eastAsia" w:ascii="宋体" w:hAnsi="宋体" w:cs="宋体"/>
                <w:szCs w:val="22"/>
              </w:rPr>
              <w:t>-</w:t>
            </w:r>
          </w:p>
        </w:tc>
      </w:tr>
      <w:tr w14:paraId="085D75E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747" w:type="pct"/>
            <w:vAlign w:val="center"/>
          </w:tcPr>
          <w:p w14:paraId="2441E68A">
            <w:pPr>
              <w:pStyle w:val="249"/>
              <w:rPr>
                <w:szCs w:val="21"/>
              </w:rPr>
            </w:pPr>
            <w:r>
              <w:rPr>
                <w:rFonts w:hint="eastAsia" w:ascii="宋体" w:hAnsi="宋体" w:cs="宋体"/>
                <w:color w:val="000000" w:themeColor="text1"/>
                <w:kern w:val="1"/>
                <w:szCs w:val="21"/>
                <w14:textFill>
                  <w14:solidFill>
                    <w14:schemeClr w14:val="tx1"/>
                  </w14:solidFill>
                </w14:textFill>
              </w:rPr>
              <w:t>氯甲烷</w:t>
            </w:r>
          </w:p>
        </w:tc>
        <w:tc>
          <w:tcPr>
            <w:tcW w:w="322" w:type="pct"/>
            <w:vAlign w:val="center"/>
          </w:tcPr>
          <w:p w14:paraId="0F35F083">
            <w:pPr>
              <w:jc w:val="center"/>
              <w:rPr>
                <w:rFonts w:hint="eastAsia" w:ascii="宋体" w:hAnsi="宋体" w:cs="宋体"/>
              </w:rPr>
            </w:pPr>
            <w:r>
              <w:rPr>
                <w:rFonts w:hint="eastAsia" w:ascii="宋体" w:hAnsi="宋体" w:cs="宋体"/>
                <w:bCs/>
                <w:color w:val="000000" w:themeColor="text1"/>
                <w:kern w:val="0"/>
                <w:szCs w:val="21"/>
                <w:lang w:bidi="ar"/>
                <w14:textFill>
                  <w14:solidFill>
                    <w14:schemeClr w14:val="tx1"/>
                  </w14:solidFill>
                </w14:textFill>
              </w:rPr>
              <w:t>mg/kg</w:t>
            </w:r>
          </w:p>
        </w:tc>
        <w:tc>
          <w:tcPr>
            <w:tcW w:w="371" w:type="pct"/>
            <w:vAlign w:val="center"/>
          </w:tcPr>
          <w:p w14:paraId="235883CB">
            <w:pPr>
              <w:pStyle w:val="249"/>
              <w:rPr>
                <w:szCs w:val="21"/>
              </w:rPr>
            </w:pPr>
            <w:r>
              <w:rPr>
                <w:rFonts w:hint="eastAsia" w:ascii="宋体" w:hAnsi="宋体" w:cs="宋体"/>
                <w:color w:val="000000" w:themeColor="text1"/>
                <w:szCs w:val="21"/>
                <w14:textFill>
                  <w14:solidFill>
                    <w14:schemeClr w14:val="tx1"/>
                  </w14:solidFill>
                </w14:textFill>
              </w:rPr>
              <w:t>37</w:t>
            </w:r>
          </w:p>
        </w:tc>
        <w:tc>
          <w:tcPr>
            <w:tcW w:w="392" w:type="pct"/>
            <w:vAlign w:val="center"/>
          </w:tcPr>
          <w:p w14:paraId="15C4D10D">
            <w:pPr>
              <w:pStyle w:val="242"/>
              <w:rPr>
                <w:rFonts w:hint="eastAsia" w:ascii="宋体" w:hAnsi="宋体" w:cs="宋体"/>
                <w:szCs w:val="22"/>
              </w:rPr>
            </w:pPr>
            <w:r>
              <w:rPr>
                <w:rFonts w:hint="eastAsia" w:ascii="宋体" w:hAnsi="宋体" w:cs="宋体"/>
                <w:color w:val="000000" w:themeColor="text1"/>
                <w:szCs w:val="21"/>
                <w14:textFill>
                  <w14:solidFill>
                    <w14:schemeClr w14:val="tx1"/>
                  </w14:solidFill>
                </w14:textFill>
              </w:rPr>
              <w:t>ND</w:t>
            </w:r>
          </w:p>
        </w:tc>
        <w:tc>
          <w:tcPr>
            <w:tcW w:w="392" w:type="pct"/>
            <w:vAlign w:val="center"/>
          </w:tcPr>
          <w:p w14:paraId="3A948C15">
            <w:pPr>
              <w:pStyle w:val="242"/>
              <w:rPr>
                <w:rFonts w:hint="eastAsia" w:ascii="宋体" w:hAnsi="宋体" w:cs="宋体"/>
              </w:rPr>
            </w:pPr>
            <w:r>
              <w:rPr>
                <w:rFonts w:hint="eastAsia" w:ascii="宋体" w:hAnsi="宋体" w:cs="宋体"/>
              </w:rPr>
              <w:t>/</w:t>
            </w:r>
          </w:p>
        </w:tc>
        <w:tc>
          <w:tcPr>
            <w:tcW w:w="393" w:type="pct"/>
          </w:tcPr>
          <w:p w14:paraId="6FCEC97C">
            <w:pPr>
              <w:pStyle w:val="242"/>
              <w:rPr>
                <w:rFonts w:hint="eastAsia" w:ascii="宋体" w:hAnsi="宋体" w:cs="宋体"/>
              </w:rPr>
            </w:pPr>
            <w:r>
              <w:rPr>
                <w:rFonts w:hint="eastAsia" w:ascii="宋体" w:hAnsi="宋体" w:cs="宋体"/>
              </w:rPr>
              <w:t>达标</w:t>
            </w:r>
          </w:p>
        </w:tc>
        <w:tc>
          <w:tcPr>
            <w:tcW w:w="392" w:type="pct"/>
          </w:tcPr>
          <w:p w14:paraId="6B147B4D">
            <w:pPr>
              <w:pStyle w:val="242"/>
              <w:rPr>
                <w:rFonts w:hint="eastAsia" w:ascii="宋体" w:hAnsi="宋体" w:cs="宋体"/>
                <w:szCs w:val="22"/>
              </w:rPr>
            </w:pPr>
            <w:r>
              <w:rPr>
                <w:rFonts w:hint="eastAsia" w:ascii="宋体" w:hAnsi="宋体" w:cs="宋体"/>
                <w:szCs w:val="22"/>
              </w:rPr>
              <w:t>-</w:t>
            </w:r>
          </w:p>
        </w:tc>
        <w:tc>
          <w:tcPr>
            <w:tcW w:w="417" w:type="pct"/>
          </w:tcPr>
          <w:p w14:paraId="0BCB307D">
            <w:pPr>
              <w:pStyle w:val="242"/>
              <w:rPr>
                <w:rFonts w:hint="eastAsia" w:ascii="宋体" w:hAnsi="宋体" w:cs="宋体"/>
              </w:rPr>
            </w:pPr>
            <w:r>
              <w:rPr>
                <w:rFonts w:hint="eastAsia" w:ascii="宋体" w:hAnsi="宋体" w:cs="宋体"/>
                <w:szCs w:val="22"/>
              </w:rPr>
              <w:t>-</w:t>
            </w:r>
          </w:p>
        </w:tc>
        <w:tc>
          <w:tcPr>
            <w:tcW w:w="393" w:type="pct"/>
          </w:tcPr>
          <w:p w14:paraId="0D0FD41A">
            <w:pPr>
              <w:pStyle w:val="242"/>
              <w:rPr>
                <w:rFonts w:hint="eastAsia" w:ascii="宋体" w:hAnsi="宋体" w:cs="宋体"/>
              </w:rPr>
            </w:pPr>
            <w:r>
              <w:rPr>
                <w:rFonts w:hint="eastAsia" w:ascii="宋体" w:hAnsi="宋体" w:cs="宋体"/>
                <w:szCs w:val="22"/>
              </w:rPr>
              <w:t>-</w:t>
            </w:r>
          </w:p>
        </w:tc>
        <w:tc>
          <w:tcPr>
            <w:tcW w:w="392" w:type="pct"/>
          </w:tcPr>
          <w:p w14:paraId="33488EC3">
            <w:pPr>
              <w:pStyle w:val="242"/>
              <w:rPr>
                <w:rFonts w:hint="eastAsia" w:ascii="宋体" w:hAnsi="宋体" w:cs="宋体"/>
              </w:rPr>
            </w:pPr>
            <w:r>
              <w:rPr>
                <w:rFonts w:hint="eastAsia" w:ascii="宋体" w:hAnsi="宋体" w:cs="宋体"/>
                <w:szCs w:val="22"/>
              </w:rPr>
              <w:t>-</w:t>
            </w:r>
          </w:p>
        </w:tc>
        <w:tc>
          <w:tcPr>
            <w:tcW w:w="392" w:type="pct"/>
          </w:tcPr>
          <w:p w14:paraId="019993DA">
            <w:pPr>
              <w:pStyle w:val="242"/>
              <w:rPr>
                <w:rFonts w:hint="eastAsia" w:ascii="宋体" w:hAnsi="宋体" w:cs="宋体"/>
              </w:rPr>
            </w:pPr>
            <w:r>
              <w:rPr>
                <w:rFonts w:hint="eastAsia" w:ascii="宋体" w:hAnsi="宋体" w:cs="宋体"/>
                <w:szCs w:val="22"/>
              </w:rPr>
              <w:t>-</w:t>
            </w:r>
          </w:p>
        </w:tc>
        <w:tc>
          <w:tcPr>
            <w:tcW w:w="398" w:type="pct"/>
          </w:tcPr>
          <w:p w14:paraId="7BC9D0D5">
            <w:pPr>
              <w:pStyle w:val="242"/>
              <w:rPr>
                <w:rFonts w:hint="eastAsia" w:ascii="宋体" w:hAnsi="宋体" w:cs="宋体"/>
              </w:rPr>
            </w:pPr>
            <w:r>
              <w:rPr>
                <w:rFonts w:hint="eastAsia" w:ascii="宋体" w:hAnsi="宋体" w:cs="宋体"/>
                <w:szCs w:val="22"/>
              </w:rPr>
              <w:t>-</w:t>
            </w:r>
          </w:p>
        </w:tc>
      </w:tr>
      <w:tr w14:paraId="4A6CF47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747" w:type="pct"/>
            <w:vAlign w:val="center"/>
          </w:tcPr>
          <w:p w14:paraId="04806A3F">
            <w:pPr>
              <w:pStyle w:val="249"/>
              <w:rPr>
                <w:szCs w:val="21"/>
              </w:rPr>
            </w:pPr>
            <w:r>
              <w:rPr>
                <w:rFonts w:hint="eastAsia" w:ascii="宋体" w:hAnsi="宋体" w:cs="宋体"/>
                <w:color w:val="000000" w:themeColor="text1"/>
                <w:kern w:val="1"/>
                <w:szCs w:val="21"/>
                <w14:textFill>
                  <w14:solidFill>
                    <w14:schemeClr w14:val="tx1"/>
                  </w14:solidFill>
                </w14:textFill>
              </w:rPr>
              <w:t>1,1-二氯乙烷</w:t>
            </w:r>
          </w:p>
        </w:tc>
        <w:tc>
          <w:tcPr>
            <w:tcW w:w="322" w:type="pct"/>
            <w:vAlign w:val="center"/>
          </w:tcPr>
          <w:p w14:paraId="4D78B220">
            <w:pPr>
              <w:jc w:val="center"/>
              <w:rPr>
                <w:rFonts w:hint="eastAsia" w:ascii="宋体" w:hAnsi="宋体" w:cs="宋体"/>
              </w:rPr>
            </w:pPr>
            <w:r>
              <w:rPr>
                <w:rFonts w:hint="eastAsia" w:ascii="宋体" w:hAnsi="宋体" w:cs="宋体"/>
                <w:bCs/>
                <w:color w:val="000000" w:themeColor="text1"/>
                <w:kern w:val="0"/>
                <w:szCs w:val="21"/>
                <w:lang w:bidi="ar"/>
                <w14:textFill>
                  <w14:solidFill>
                    <w14:schemeClr w14:val="tx1"/>
                  </w14:solidFill>
                </w14:textFill>
              </w:rPr>
              <w:t>mg/kg</w:t>
            </w:r>
          </w:p>
        </w:tc>
        <w:tc>
          <w:tcPr>
            <w:tcW w:w="371" w:type="pct"/>
            <w:vAlign w:val="center"/>
          </w:tcPr>
          <w:p w14:paraId="2A565B28">
            <w:pPr>
              <w:pStyle w:val="249"/>
              <w:rPr>
                <w:szCs w:val="21"/>
              </w:rPr>
            </w:pPr>
            <w:r>
              <w:rPr>
                <w:rFonts w:hint="eastAsia" w:ascii="宋体" w:hAnsi="宋体" w:cs="宋体"/>
                <w:color w:val="000000" w:themeColor="text1"/>
                <w:szCs w:val="21"/>
                <w14:textFill>
                  <w14:solidFill>
                    <w14:schemeClr w14:val="tx1"/>
                  </w14:solidFill>
                </w14:textFill>
              </w:rPr>
              <w:t>9</w:t>
            </w:r>
          </w:p>
        </w:tc>
        <w:tc>
          <w:tcPr>
            <w:tcW w:w="392" w:type="pct"/>
            <w:vAlign w:val="center"/>
          </w:tcPr>
          <w:p w14:paraId="4DF3C5BA">
            <w:pPr>
              <w:pStyle w:val="242"/>
              <w:rPr>
                <w:rFonts w:hint="eastAsia" w:ascii="宋体" w:hAnsi="宋体" w:cs="宋体"/>
                <w:szCs w:val="22"/>
              </w:rPr>
            </w:pPr>
            <w:r>
              <w:rPr>
                <w:rFonts w:hint="eastAsia" w:ascii="宋体" w:hAnsi="宋体" w:cs="宋体"/>
                <w:color w:val="000000" w:themeColor="text1"/>
                <w:szCs w:val="21"/>
                <w14:textFill>
                  <w14:solidFill>
                    <w14:schemeClr w14:val="tx1"/>
                  </w14:solidFill>
                </w14:textFill>
              </w:rPr>
              <w:t>ND</w:t>
            </w:r>
          </w:p>
        </w:tc>
        <w:tc>
          <w:tcPr>
            <w:tcW w:w="392" w:type="pct"/>
            <w:vAlign w:val="center"/>
          </w:tcPr>
          <w:p w14:paraId="1BF55341">
            <w:pPr>
              <w:pStyle w:val="242"/>
              <w:rPr>
                <w:rFonts w:hint="eastAsia" w:ascii="宋体" w:hAnsi="宋体" w:cs="宋体"/>
              </w:rPr>
            </w:pPr>
            <w:r>
              <w:rPr>
                <w:rFonts w:hint="eastAsia" w:ascii="宋体" w:hAnsi="宋体" w:cs="宋体"/>
              </w:rPr>
              <w:t>/</w:t>
            </w:r>
          </w:p>
        </w:tc>
        <w:tc>
          <w:tcPr>
            <w:tcW w:w="393" w:type="pct"/>
          </w:tcPr>
          <w:p w14:paraId="2D87A08F">
            <w:pPr>
              <w:pStyle w:val="242"/>
              <w:rPr>
                <w:rFonts w:hint="eastAsia" w:ascii="宋体" w:hAnsi="宋体" w:cs="宋体"/>
              </w:rPr>
            </w:pPr>
            <w:r>
              <w:rPr>
                <w:rFonts w:hint="eastAsia" w:ascii="宋体" w:hAnsi="宋体" w:cs="宋体"/>
              </w:rPr>
              <w:t>达标</w:t>
            </w:r>
          </w:p>
        </w:tc>
        <w:tc>
          <w:tcPr>
            <w:tcW w:w="392" w:type="pct"/>
          </w:tcPr>
          <w:p w14:paraId="47274D6A">
            <w:pPr>
              <w:pStyle w:val="242"/>
              <w:rPr>
                <w:rFonts w:hint="eastAsia" w:ascii="宋体" w:hAnsi="宋体" w:cs="宋体"/>
                <w:szCs w:val="22"/>
              </w:rPr>
            </w:pPr>
            <w:r>
              <w:rPr>
                <w:rFonts w:hint="eastAsia" w:ascii="宋体" w:hAnsi="宋体" w:cs="宋体"/>
                <w:szCs w:val="22"/>
              </w:rPr>
              <w:t>-</w:t>
            </w:r>
          </w:p>
        </w:tc>
        <w:tc>
          <w:tcPr>
            <w:tcW w:w="417" w:type="pct"/>
          </w:tcPr>
          <w:p w14:paraId="49D1AF94">
            <w:pPr>
              <w:pStyle w:val="242"/>
              <w:rPr>
                <w:rFonts w:hint="eastAsia" w:ascii="宋体" w:hAnsi="宋体" w:cs="宋体"/>
              </w:rPr>
            </w:pPr>
            <w:r>
              <w:rPr>
                <w:rFonts w:hint="eastAsia" w:ascii="宋体" w:hAnsi="宋体" w:cs="宋体"/>
                <w:szCs w:val="22"/>
              </w:rPr>
              <w:t>-</w:t>
            </w:r>
          </w:p>
        </w:tc>
        <w:tc>
          <w:tcPr>
            <w:tcW w:w="393" w:type="pct"/>
          </w:tcPr>
          <w:p w14:paraId="0C4992F7">
            <w:pPr>
              <w:pStyle w:val="242"/>
              <w:rPr>
                <w:rFonts w:hint="eastAsia" w:ascii="宋体" w:hAnsi="宋体" w:cs="宋体"/>
              </w:rPr>
            </w:pPr>
            <w:r>
              <w:rPr>
                <w:rFonts w:hint="eastAsia" w:ascii="宋体" w:hAnsi="宋体" w:cs="宋体"/>
                <w:szCs w:val="22"/>
              </w:rPr>
              <w:t>-</w:t>
            </w:r>
          </w:p>
        </w:tc>
        <w:tc>
          <w:tcPr>
            <w:tcW w:w="392" w:type="pct"/>
          </w:tcPr>
          <w:p w14:paraId="7D97CB2B">
            <w:pPr>
              <w:pStyle w:val="242"/>
              <w:rPr>
                <w:rFonts w:hint="eastAsia" w:ascii="宋体" w:hAnsi="宋体" w:cs="宋体"/>
              </w:rPr>
            </w:pPr>
            <w:r>
              <w:rPr>
                <w:rFonts w:hint="eastAsia" w:ascii="宋体" w:hAnsi="宋体" w:cs="宋体"/>
                <w:szCs w:val="22"/>
              </w:rPr>
              <w:t>-</w:t>
            </w:r>
          </w:p>
        </w:tc>
        <w:tc>
          <w:tcPr>
            <w:tcW w:w="392" w:type="pct"/>
          </w:tcPr>
          <w:p w14:paraId="435A2EBA">
            <w:pPr>
              <w:pStyle w:val="242"/>
              <w:rPr>
                <w:rFonts w:hint="eastAsia" w:ascii="宋体" w:hAnsi="宋体" w:cs="宋体"/>
              </w:rPr>
            </w:pPr>
            <w:r>
              <w:rPr>
                <w:rFonts w:hint="eastAsia" w:ascii="宋体" w:hAnsi="宋体" w:cs="宋体"/>
                <w:szCs w:val="22"/>
              </w:rPr>
              <w:t>-</w:t>
            </w:r>
          </w:p>
        </w:tc>
        <w:tc>
          <w:tcPr>
            <w:tcW w:w="398" w:type="pct"/>
          </w:tcPr>
          <w:p w14:paraId="75BF6404">
            <w:pPr>
              <w:pStyle w:val="242"/>
              <w:rPr>
                <w:rFonts w:hint="eastAsia" w:ascii="宋体" w:hAnsi="宋体" w:cs="宋体"/>
              </w:rPr>
            </w:pPr>
            <w:r>
              <w:rPr>
                <w:rFonts w:hint="eastAsia" w:ascii="宋体" w:hAnsi="宋体" w:cs="宋体"/>
                <w:szCs w:val="22"/>
              </w:rPr>
              <w:t>-</w:t>
            </w:r>
          </w:p>
        </w:tc>
      </w:tr>
      <w:tr w14:paraId="6AE72C2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747" w:type="pct"/>
            <w:vAlign w:val="center"/>
          </w:tcPr>
          <w:p w14:paraId="50EBAC15">
            <w:pPr>
              <w:pStyle w:val="249"/>
              <w:rPr>
                <w:szCs w:val="21"/>
              </w:rPr>
            </w:pPr>
            <w:r>
              <w:rPr>
                <w:rFonts w:hint="eastAsia" w:ascii="宋体" w:hAnsi="宋体" w:cs="宋体"/>
                <w:color w:val="000000" w:themeColor="text1"/>
                <w:kern w:val="1"/>
                <w:szCs w:val="21"/>
                <w14:textFill>
                  <w14:solidFill>
                    <w14:schemeClr w14:val="tx1"/>
                  </w14:solidFill>
                </w14:textFill>
              </w:rPr>
              <w:t>1,2-二氯乙烷</w:t>
            </w:r>
          </w:p>
        </w:tc>
        <w:tc>
          <w:tcPr>
            <w:tcW w:w="322" w:type="pct"/>
            <w:vAlign w:val="center"/>
          </w:tcPr>
          <w:p w14:paraId="7C359192">
            <w:pPr>
              <w:jc w:val="center"/>
              <w:rPr>
                <w:rFonts w:hint="eastAsia" w:ascii="宋体" w:hAnsi="宋体" w:cs="宋体"/>
              </w:rPr>
            </w:pPr>
            <w:r>
              <w:rPr>
                <w:rFonts w:hint="eastAsia" w:ascii="宋体" w:hAnsi="宋体" w:cs="宋体"/>
                <w:bCs/>
                <w:color w:val="000000" w:themeColor="text1"/>
                <w:kern w:val="0"/>
                <w:szCs w:val="21"/>
                <w:lang w:bidi="ar"/>
                <w14:textFill>
                  <w14:solidFill>
                    <w14:schemeClr w14:val="tx1"/>
                  </w14:solidFill>
                </w14:textFill>
              </w:rPr>
              <w:t>mg/kg</w:t>
            </w:r>
          </w:p>
        </w:tc>
        <w:tc>
          <w:tcPr>
            <w:tcW w:w="371" w:type="pct"/>
            <w:vAlign w:val="center"/>
          </w:tcPr>
          <w:p w14:paraId="2E1E761E">
            <w:pPr>
              <w:pStyle w:val="249"/>
              <w:rPr>
                <w:szCs w:val="21"/>
              </w:rPr>
            </w:pPr>
            <w:r>
              <w:rPr>
                <w:rFonts w:hint="eastAsia" w:ascii="宋体" w:hAnsi="宋体" w:cs="宋体"/>
                <w:color w:val="000000" w:themeColor="text1"/>
                <w:szCs w:val="21"/>
                <w14:textFill>
                  <w14:solidFill>
                    <w14:schemeClr w14:val="tx1"/>
                  </w14:solidFill>
                </w14:textFill>
              </w:rPr>
              <w:t>5</w:t>
            </w:r>
          </w:p>
        </w:tc>
        <w:tc>
          <w:tcPr>
            <w:tcW w:w="392" w:type="pct"/>
            <w:vAlign w:val="center"/>
          </w:tcPr>
          <w:p w14:paraId="61A61BE9">
            <w:pPr>
              <w:pStyle w:val="242"/>
              <w:rPr>
                <w:rFonts w:hint="eastAsia" w:ascii="宋体" w:hAnsi="宋体" w:cs="宋体"/>
                <w:szCs w:val="22"/>
              </w:rPr>
            </w:pPr>
            <w:r>
              <w:rPr>
                <w:rFonts w:hint="eastAsia" w:ascii="宋体" w:hAnsi="宋体" w:cs="宋体"/>
                <w:color w:val="000000" w:themeColor="text1"/>
                <w:szCs w:val="21"/>
                <w14:textFill>
                  <w14:solidFill>
                    <w14:schemeClr w14:val="tx1"/>
                  </w14:solidFill>
                </w14:textFill>
              </w:rPr>
              <w:t>ND</w:t>
            </w:r>
          </w:p>
        </w:tc>
        <w:tc>
          <w:tcPr>
            <w:tcW w:w="392" w:type="pct"/>
            <w:vAlign w:val="center"/>
          </w:tcPr>
          <w:p w14:paraId="3C89B0A2">
            <w:pPr>
              <w:pStyle w:val="242"/>
              <w:rPr>
                <w:rFonts w:hint="eastAsia" w:ascii="宋体" w:hAnsi="宋体" w:cs="宋体"/>
              </w:rPr>
            </w:pPr>
            <w:r>
              <w:rPr>
                <w:rFonts w:hint="eastAsia" w:ascii="宋体" w:hAnsi="宋体" w:cs="宋体"/>
              </w:rPr>
              <w:t>/</w:t>
            </w:r>
          </w:p>
        </w:tc>
        <w:tc>
          <w:tcPr>
            <w:tcW w:w="393" w:type="pct"/>
          </w:tcPr>
          <w:p w14:paraId="0949FB6A">
            <w:pPr>
              <w:pStyle w:val="242"/>
              <w:rPr>
                <w:rFonts w:hint="eastAsia" w:ascii="宋体" w:hAnsi="宋体" w:cs="宋体"/>
              </w:rPr>
            </w:pPr>
            <w:r>
              <w:rPr>
                <w:rFonts w:hint="eastAsia" w:ascii="宋体" w:hAnsi="宋体" w:cs="宋体"/>
              </w:rPr>
              <w:t>达标</w:t>
            </w:r>
          </w:p>
        </w:tc>
        <w:tc>
          <w:tcPr>
            <w:tcW w:w="392" w:type="pct"/>
          </w:tcPr>
          <w:p w14:paraId="763ECCB3">
            <w:pPr>
              <w:pStyle w:val="242"/>
              <w:rPr>
                <w:rFonts w:hint="eastAsia" w:ascii="宋体" w:hAnsi="宋体" w:cs="宋体"/>
                <w:szCs w:val="22"/>
              </w:rPr>
            </w:pPr>
            <w:r>
              <w:rPr>
                <w:rFonts w:hint="eastAsia" w:ascii="宋体" w:hAnsi="宋体" w:cs="宋体"/>
                <w:szCs w:val="22"/>
              </w:rPr>
              <w:t>-</w:t>
            </w:r>
          </w:p>
        </w:tc>
        <w:tc>
          <w:tcPr>
            <w:tcW w:w="417" w:type="pct"/>
          </w:tcPr>
          <w:p w14:paraId="623FDBE5">
            <w:pPr>
              <w:pStyle w:val="242"/>
              <w:rPr>
                <w:rFonts w:hint="eastAsia" w:ascii="宋体" w:hAnsi="宋体" w:cs="宋体"/>
              </w:rPr>
            </w:pPr>
            <w:r>
              <w:rPr>
                <w:rFonts w:hint="eastAsia" w:ascii="宋体" w:hAnsi="宋体" w:cs="宋体"/>
                <w:szCs w:val="22"/>
              </w:rPr>
              <w:t>-</w:t>
            </w:r>
          </w:p>
        </w:tc>
        <w:tc>
          <w:tcPr>
            <w:tcW w:w="393" w:type="pct"/>
          </w:tcPr>
          <w:p w14:paraId="46E3DD8C">
            <w:pPr>
              <w:pStyle w:val="242"/>
              <w:rPr>
                <w:rFonts w:hint="eastAsia" w:ascii="宋体" w:hAnsi="宋体" w:cs="宋体"/>
              </w:rPr>
            </w:pPr>
            <w:r>
              <w:rPr>
                <w:rFonts w:hint="eastAsia" w:ascii="宋体" w:hAnsi="宋体" w:cs="宋体"/>
                <w:szCs w:val="22"/>
              </w:rPr>
              <w:t>-</w:t>
            </w:r>
          </w:p>
        </w:tc>
        <w:tc>
          <w:tcPr>
            <w:tcW w:w="392" w:type="pct"/>
          </w:tcPr>
          <w:p w14:paraId="2EB71947">
            <w:pPr>
              <w:pStyle w:val="242"/>
              <w:rPr>
                <w:rFonts w:hint="eastAsia" w:ascii="宋体" w:hAnsi="宋体" w:cs="宋体"/>
              </w:rPr>
            </w:pPr>
            <w:r>
              <w:rPr>
                <w:rFonts w:hint="eastAsia" w:ascii="宋体" w:hAnsi="宋体" w:cs="宋体"/>
                <w:szCs w:val="22"/>
              </w:rPr>
              <w:t>-</w:t>
            </w:r>
          </w:p>
        </w:tc>
        <w:tc>
          <w:tcPr>
            <w:tcW w:w="392" w:type="pct"/>
          </w:tcPr>
          <w:p w14:paraId="41519554">
            <w:pPr>
              <w:pStyle w:val="242"/>
              <w:rPr>
                <w:rFonts w:hint="eastAsia" w:ascii="宋体" w:hAnsi="宋体" w:cs="宋体"/>
              </w:rPr>
            </w:pPr>
            <w:r>
              <w:rPr>
                <w:rFonts w:hint="eastAsia" w:ascii="宋体" w:hAnsi="宋体" w:cs="宋体"/>
                <w:szCs w:val="22"/>
              </w:rPr>
              <w:t>-</w:t>
            </w:r>
          </w:p>
        </w:tc>
        <w:tc>
          <w:tcPr>
            <w:tcW w:w="398" w:type="pct"/>
          </w:tcPr>
          <w:p w14:paraId="71DA9DDD">
            <w:pPr>
              <w:pStyle w:val="242"/>
              <w:rPr>
                <w:rFonts w:hint="eastAsia" w:ascii="宋体" w:hAnsi="宋体" w:cs="宋体"/>
              </w:rPr>
            </w:pPr>
            <w:r>
              <w:rPr>
                <w:rFonts w:hint="eastAsia" w:ascii="宋体" w:hAnsi="宋体" w:cs="宋体"/>
                <w:szCs w:val="22"/>
              </w:rPr>
              <w:t>-</w:t>
            </w:r>
          </w:p>
        </w:tc>
      </w:tr>
      <w:tr w14:paraId="637EB2F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747" w:type="pct"/>
            <w:vAlign w:val="center"/>
          </w:tcPr>
          <w:p w14:paraId="4194F024">
            <w:pPr>
              <w:pStyle w:val="249"/>
              <w:rPr>
                <w:szCs w:val="21"/>
              </w:rPr>
            </w:pPr>
            <w:r>
              <w:rPr>
                <w:rFonts w:hint="eastAsia" w:ascii="宋体" w:hAnsi="宋体" w:cs="宋体"/>
                <w:color w:val="000000" w:themeColor="text1"/>
                <w:kern w:val="1"/>
                <w:szCs w:val="21"/>
                <w14:textFill>
                  <w14:solidFill>
                    <w14:schemeClr w14:val="tx1"/>
                  </w14:solidFill>
                </w14:textFill>
              </w:rPr>
              <w:t>1,1-二氯乙烯</w:t>
            </w:r>
          </w:p>
        </w:tc>
        <w:tc>
          <w:tcPr>
            <w:tcW w:w="322" w:type="pct"/>
            <w:vAlign w:val="center"/>
          </w:tcPr>
          <w:p w14:paraId="09CD5C30">
            <w:pPr>
              <w:jc w:val="center"/>
              <w:rPr>
                <w:rFonts w:hint="eastAsia" w:ascii="宋体" w:hAnsi="宋体" w:cs="宋体"/>
              </w:rPr>
            </w:pPr>
            <w:r>
              <w:rPr>
                <w:rFonts w:hint="eastAsia" w:ascii="宋体" w:hAnsi="宋体" w:cs="宋体"/>
                <w:bCs/>
                <w:color w:val="000000" w:themeColor="text1"/>
                <w:kern w:val="0"/>
                <w:szCs w:val="21"/>
                <w:lang w:bidi="ar"/>
                <w14:textFill>
                  <w14:solidFill>
                    <w14:schemeClr w14:val="tx1"/>
                  </w14:solidFill>
                </w14:textFill>
              </w:rPr>
              <w:t>mg/kg</w:t>
            </w:r>
          </w:p>
        </w:tc>
        <w:tc>
          <w:tcPr>
            <w:tcW w:w="371" w:type="pct"/>
            <w:vAlign w:val="center"/>
          </w:tcPr>
          <w:p w14:paraId="26565F60">
            <w:pPr>
              <w:pStyle w:val="249"/>
              <w:rPr>
                <w:szCs w:val="21"/>
              </w:rPr>
            </w:pPr>
            <w:r>
              <w:rPr>
                <w:rFonts w:hint="eastAsia" w:ascii="宋体" w:hAnsi="宋体" w:cs="宋体"/>
                <w:color w:val="000000" w:themeColor="text1"/>
                <w:szCs w:val="21"/>
                <w14:textFill>
                  <w14:solidFill>
                    <w14:schemeClr w14:val="tx1"/>
                  </w14:solidFill>
                </w14:textFill>
              </w:rPr>
              <w:t>66</w:t>
            </w:r>
          </w:p>
        </w:tc>
        <w:tc>
          <w:tcPr>
            <w:tcW w:w="392" w:type="pct"/>
            <w:vAlign w:val="center"/>
          </w:tcPr>
          <w:p w14:paraId="5A95B9B8">
            <w:pPr>
              <w:pStyle w:val="242"/>
              <w:rPr>
                <w:rFonts w:hint="eastAsia" w:ascii="宋体" w:hAnsi="宋体" w:cs="宋体"/>
                <w:szCs w:val="22"/>
              </w:rPr>
            </w:pPr>
            <w:r>
              <w:rPr>
                <w:rFonts w:hint="eastAsia" w:ascii="宋体" w:hAnsi="宋体" w:cs="宋体"/>
                <w:color w:val="000000" w:themeColor="text1"/>
                <w:szCs w:val="21"/>
                <w14:textFill>
                  <w14:solidFill>
                    <w14:schemeClr w14:val="tx1"/>
                  </w14:solidFill>
                </w14:textFill>
              </w:rPr>
              <w:t>ND</w:t>
            </w:r>
          </w:p>
        </w:tc>
        <w:tc>
          <w:tcPr>
            <w:tcW w:w="392" w:type="pct"/>
            <w:vAlign w:val="center"/>
          </w:tcPr>
          <w:p w14:paraId="3D02AB80">
            <w:pPr>
              <w:pStyle w:val="242"/>
              <w:rPr>
                <w:rFonts w:hint="eastAsia" w:ascii="宋体" w:hAnsi="宋体" w:cs="宋体"/>
              </w:rPr>
            </w:pPr>
            <w:r>
              <w:rPr>
                <w:rFonts w:hint="eastAsia" w:ascii="宋体" w:hAnsi="宋体" w:cs="宋体"/>
              </w:rPr>
              <w:t>/</w:t>
            </w:r>
          </w:p>
        </w:tc>
        <w:tc>
          <w:tcPr>
            <w:tcW w:w="393" w:type="pct"/>
          </w:tcPr>
          <w:p w14:paraId="2A7A174E">
            <w:pPr>
              <w:pStyle w:val="242"/>
              <w:rPr>
                <w:rFonts w:hint="eastAsia" w:ascii="宋体" w:hAnsi="宋体" w:cs="宋体"/>
              </w:rPr>
            </w:pPr>
            <w:r>
              <w:rPr>
                <w:rFonts w:hint="eastAsia" w:ascii="宋体" w:hAnsi="宋体" w:cs="宋体"/>
              </w:rPr>
              <w:t>达标</w:t>
            </w:r>
          </w:p>
        </w:tc>
        <w:tc>
          <w:tcPr>
            <w:tcW w:w="392" w:type="pct"/>
          </w:tcPr>
          <w:p w14:paraId="28DCE1F4">
            <w:pPr>
              <w:pStyle w:val="242"/>
              <w:rPr>
                <w:rFonts w:hint="eastAsia" w:ascii="宋体" w:hAnsi="宋体" w:cs="宋体"/>
                <w:szCs w:val="22"/>
              </w:rPr>
            </w:pPr>
            <w:r>
              <w:rPr>
                <w:rFonts w:hint="eastAsia" w:ascii="宋体" w:hAnsi="宋体" w:cs="宋体"/>
                <w:szCs w:val="22"/>
              </w:rPr>
              <w:t>-</w:t>
            </w:r>
          </w:p>
        </w:tc>
        <w:tc>
          <w:tcPr>
            <w:tcW w:w="417" w:type="pct"/>
          </w:tcPr>
          <w:p w14:paraId="3CD52695">
            <w:pPr>
              <w:pStyle w:val="242"/>
              <w:rPr>
                <w:rFonts w:hint="eastAsia" w:ascii="宋体" w:hAnsi="宋体" w:cs="宋体"/>
              </w:rPr>
            </w:pPr>
            <w:r>
              <w:rPr>
                <w:rFonts w:hint="eastAsia" w:ascii="宋体" w:hAnsi="宋体" w:cs="宋体"/>
                <w:szCs w:val="22"/>
              </w:rPr>
              <w:t>-</w:t>
            </w:r>
          </w:p>
        </w:tc>
        <w:tc>
          <w:tcPr>
            <w:tcW w:w="393" w:type="pct"/>
          </w:tcPr>
          <w:p w14:paraId="5835ECE8">
            <w:pPr>
              <w:pStyle w:val="242"/>
              <w:rPr>
                <w:rFonts w:hint="eastAsia" w:ascii="宋体" w:hAnsi="宋体" w:cs="宋体"/>
              </w:rPr>
            </w:pPr>
            <w:r>
              <w:rPr>
                <w:rFonts w:hint="eastAsia" w:ascii="宋体" w:hAnsi="宋体" w:cs="宋体"/>
                <w:szCs w:val="22"/>
              </w:rPr>
              <w:t>-</w:t>
            </w:r>
          </w:p>
        </w:tc>
        <w:tc>
          <w:tcPr>
            <w:tcW w:w="392" w:type="pct"/>
          </w:tcPr>
          <w:p w14:paraId="27CE64C3">
            <w:pPr>
              <w:pStyle w:val="242"/>
              <w:rPr>
                <w:rFonts w:hint="eastAsia" w:ascii="宋体" w:hAnsi="宋体" w:cs="宋体"/>
              </w:rPr>
            </w:pPr>
            <w:r>
              <w:rPr>
                <w:rFonts w:hint="eastAsia" w:ascii="宋体" w:hAnsi="宋体" w:cs="宋体"/>
                <w:szCs w:val="22"/>
              </w:rPr>
              <w:t>-</w:t>
            </w:r>
          </w:p>
        </w:tc>
        <w:tc>
          <w:tcPr>
            <w:tcW w:w="392" w:type="pct"/>
          </w:tcPr>
          <w:p w14:paraId="33FC5692">
            <w:pPr>
              <w:pStyle w:val="242"/>
              <w:rPr>
                <w:rFonts w:hint="eastAsia" w:ascii="宋体" w:hAnsi="宋体" w:cs="宋体"/>
              </w:rPr>
            </w:pPr>
            <w:r>
              <w:rPr>
                <w:rFonts w:hint="eastAsia" w:ascii="宋体" w:hAnsi="宋体" w:cs="宋体"/>
                <w:szCs w:val="22"/>
              </w:rPr>
              <w:t>-</w:t>
            </w:r>
          </w:p>
        </w:tc>
        <w:tc>
          <w:tcPr>
            <w:tcW w:w="398" w:type="pct"/>
          </w:tcPr>
          <w:p w14:paraId="7291EEAF">
            <w:pPr>
              <w:pStyle w:val="242"/>
              <w:rPr>
                <w:rFonts w:hint="eastAsia" w:ascii="宋体" w:hAnsi="宋体" w:cs="宋体"/>
              </w:rPr>
            </w:pPr>
            <w:r>
              <w:rPr>
                <w:rFonts w:hint="eastAsia" w:ascii="宋体" w:hAnsi="宋体" w:cs="宋体"/>
                <w:szCs w:val="22"/>
              </w:rPr>
              <w:t>-</w:t>
            </w:r>
          </w:p>
        </w:tc>
      </w:tr>
      <w:tr w14:paraId="54F575B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747" w:type="pct"/>
            <w:vAlign w:val="center"/>
          </w:tcPr>
          <w:p w14:paraId="0EA5D18F">
            <w:pPr>
              <w:pStyle w:val="249"/>
              <w:rPr>
                <w:szCs w:val="21"/>
              </w:rPr>
            </w:pPr>
            <w:r>
              <w:rPr>
                <w:rFonts w:hint="eastAsia" w:ascii="宋体" w:hAnsi="宋体" w:cs="宋体"/>
                <w:color w:val="000000" w:themeColor="text1"/>
                <w:kern w:val="1"/>
                <w:szCs w:val="21"/>
                <w14:textFill>
                  <w14:solidFill>
                    <w14:schemeClr w14:val="tx1"/>
                  </w14:solidFill>
                </w14:textFill>
              </w:rPr>
              <w:t>顺-1,2-二氯乙烯</w:t>
            </w:r>
          </w:p>
        </w:tc>
        <w:tc>
          <w:tcPr>
            <w:tcW w:w="322" w:type="pct"/>
            <w:vAlign w:val="center"/>
          </w:tcPr>
          <w:p w14:paraId="0A65042A">
            <w:pPr>
              <w:jc w:val="center"/>
              <w:rPr>
                <w:rFonts w:hint="eastAsia" w:ascii="宋体" w:hAnsi="宋体" w:cs="宋体"/>
              </w:rPr>
            </w:pPr>
            <w:r>
              <w:rPr>
                <w:rFonts w:hint="eastAsia" w:ascii="宋体" w:hAnsi="宋体" w:cs="宋体"/>
                <w:bCs/>
                <w:color w:val="000000" w:themeColor="text1"/>
                <w:kern w:val="0"/>
                <w:szCs w:val="21"/>
                <w:lang w:bidi="ar"/>
                <w14:textFill>
                  <w14:solidFill>
                    <w14:schemeClr w14:val="tx1"/>
                  </w14:solidFill>
                </w14:textFill>
              </w:rPr>
              <w:t>mg/kg</w:t>
            </w:r>
          </w:p>
        </w:tc>
        <w:tc>
          <w:tcPr>
            <w:tcW w:w="371" w:type="pct"/>
            <w:vAlign w:val="center"/>
          </w:tcPr>
          <w:p w14:paraId="605D6EFC">
            <w:pPr>
              <w:pStyle w:val="249"/>
              <w:rPr>
                <w:szCs w:val="21"/>
              </w:rPr>
            </w:pPr>
            <w:r>
              <w:rPr>
                <w:rFonts w:hint="eastAsia" w:ascii="宋体" w:hAnsi="宋体" w:cs="宋体"/>
                <w:color w:val="000000" w:themeColor="text1"/>
                <w:szCs w:val="21"/>
                <w14:textFill>
                  <w14:solidFill>
                    <w14:schemeClr w14:val="tx1"/>
                  </w14:solidFill>
                </w14:textFill>
              </w:rPr>
              <w:t>596</w:t>
            </w:r>
          </w:p>
        </w:tc>
        <w:tc>
          <w:tcPr>
            <w:tcW w:w="392" w:type="pct"/>
            <w:vAlign w:val="center"/>
          </w:tcPr>
          <w:p w14:paraId="7B77AE6F">
            <w:pPr>
              <w:pStyle w:val="242"/>
              <w:rPr>
                <w:rFonts w:hint="eastAsia" w:ascii="宋体" w:hAnsi="宋体" w:cs="宋体"/>
                <w:szCs w:val="22"/>
              </w:rPr>
            </w:pPr>
            <w:r>
              <w:rPr>
                <w:rFonts w:hint="eastAsia" w:ascii="宋体" w:hAnsi="宋体" w:cs="宋体"/>
                <w:color w:val="000000" w:themeColor="text1"/>
                <w:szCs w:val="21"/>
                <w14:textFill>
                  <w14:solidFill>
                    <w14:schemeClr w14:val="tx1"/>
                  </w14:solidFill>
                </w14:textFill>
              </w:rPr>
              <w:t>ND</w:t>
            </w:r>
          </w:p>
        </w:tc>
        <w:tc>
          <w:tcPr>
            <w:tcW w:w="392" w:type="pct"/>
            <w:vAlign w:val="center"/>
          </w:tcPr>
          <w:p w14:paraId="396BBFF3">
            <w:pPr>
              <w:pStyle w:val="242"/>
              <w:rPr>
                <w:rFonts w:hint="eastAsia" w:ascii="宋体" w:hAnsi="宋体" w:cs="宋体"/>
              </w:rPr>
            </w:pPr>
            <w:r>
              <w:rPr>
                <w:rFonts w:hint="eastAsia" w:ascii="宋体" w:hAnsi="宋体" w:cs="宋体"/>
              </w:rPr>
              <w:t>/</w:t>
            </w:r>
          </w:p>
        </w:tc>
        <w:tc>
          <w:tcPr>
            <w:tcW w:w="393" w:type="pct"/>
          </w:tcPr>
          <w:p w14:paraId="75AFAF35">
            <w:pPr>
              <w:pStyle w:val="242"/>
              <w:rPr>
                <w:rFonts w:hint="eastAsia" w:ascii="宋体" w:hAnsi="宋体" w:cs="宋体"/>
              </w:rPr>
            </w:pPr>
            <w:r>
              <w:rPr>
                <w:rFonts w:hint="eastAsia" w:ascii="宋体" w:hAnsi="宋体" w:cs="宋体"/>
              </w:rPr>
              <w:t>达标</w:t>
            </w:r>
          </w:p>
        </w:tc>
        <w:tc>
          <w:tcPr>
            <w:tcW w:w="392" w:type="pct"/>
          </w:tcPr>
          <w:p w14:paraId="6FE16D9A">
            <w:pPr>
              <w:pStyle w:val="242"/>
              <w:rPr>
                <w:rFonts w:hint="eastAsia" w:ascii="宋体" w:hAnsi="宋体" w:cs="宋体"/>
                <w:szCs w:val="22"/>
              </w:rPr>
            </w:pPr>
            <w:r>
              <w:rPr>
                <w:rFonts w:hint="eastAsia" w:ascii="宋体" w:hAnsi="宋体" w:cs="宋体"/>
                <w:szCs w:val="22"/>
              </w:rPr>
              <w:t>-</w:t>
            </w:r>
          </w:p>
        </w:tc>
        <w:tc>
          <w:tcPr>
            <w:tcW w:w="417" w:type="pct"/>
          </w:tcPr>
          <w:p w14:paraId="363695C5">
            <w:pPr>
              <w:pStyle w:val="242"/>
              <w:rPr>
                <w:rFonts w:hint="eastAsia" w:ascii="宋体" w:hAnsi="宋体" w:cs="宋体"/>
              </w:rPr>
            </w:pPr>
            <w:r>
              <w:rPr>
                <w:rFonts w:hint="eastAsia" w:ascii="宋体" w:hAnsi="宋体" w:cs="宋体"/>
                <w:szCs w:val="22"/>
              </w:rPr>
              <w:t>-</w:t>
            </w:r>
          </w:p>
        </w:tc>
        <w:tc>
          <w:tcPr>
            <w:tcW w:w="393" w:type="pct"/>
          </w:tcPr>
          <w:p w14:paraId="671C84E6">
            <w:pPr>
              <w:pStyle w:val="242"/>
              <w:rPr>
                <w:rFonts w:hint="eastAsia" w:ascii="宋体" w:hAnsi="宋体" w:cs="宋体"/>
              </w:rPr>
            </w:pPr>
            <w:r>
              <w:rPr>
                <w:rFonts w:hint="eastAsia" w:ascii="宋体" w:hAnsi="宋体" w:cs="宋体"/>
                <w:szCs w:val="22"/>
              </w:rPr>
              <w:t>-</w:t>
            </w:r>
          </w:p>
        </w:tc>
        <w:tc>
          <w:tcPr>
            <w:tcW w:w="392" w:type="pct"/>
          </w:tcPr>
          <w:p w14:paraId="4C235FB1">
            <w:pPr>
              <w:pStyle w:val="242"/>
              <w:rPr>
                <w:rFonts w:hint="eastAsia" w:ascii="宋体" w:hAnsi="宋体" w:cs="宋体"/>
              </w:rPr>
            </w:pPr>
            <w:r>
              <w:rPr>
                <w:rFonts w:hint="eastAsia" w:ascii="宋体" w:hAnsi="宋体" w:cs="宋体"/>
                <w:szCs w:val="22"/>
              </w:rPr>
              <w:t>-</w:t>
            </w:r>
          </w:p>
        </w:tc>
        <w:tc>
          <w:tcPr>
            <w:tcW w:w="392" w:type="pct"/>
          </w:tcPr>
          <w:p w14:paraId="041AF7F9">
            <w:pPr>
              <w:pStyle w:val="242"/>
              <w:rPr>
                <w:rFonts w:hint="eastAsia" w:ascii="宋体" w:hAnsi="宋体" w:cs="宋体"/>
              </w:rPr>
            </w:pPr>
            <w:r>
              <w:rPr>
                <w:rFonts w:hint="eastAsia" w:ascii="宋体" w:hAnsi="宋体" w:cs="宋体"/>
                <w:szCs w:val="22"/>
              </w:rPr>
              <w:t>-</w:t>
            </w:r>
          </w:p>
        </w:tc>
        <w:tc>
          <w:tcPr>
            <w:tcW w:w="398" w:type="pct"/>
          </w:tcPr>
          <w:p w14:paraId="19A7C9CD">
            <w:pPr>
              <w:pStyle w:val="242"/>
              <w:rPr>
                <w:rFonts w:hint="eastAsia" w:ascii="宋体" w:hAnsi="宋体" w:cs="宋体"/>
              </w:rPr>
            </w:pPr>
            <w:r>
              <w:rPr>
                <w:rFonts w:hint="eastAsia" w:ascii="宋体" w:hAnsi="宋体" w:cs="宋体"/>
                <w:szCs w:val="22"/>
              </w:rPr>
              <w:t>-</w:t>
            </w:r>
          </w:p>
        </w:tc>
      </w:tr>
      <w:tr w14:paraId="157617C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747" w:type="pct"/>
            <w:vAlign w:val="center"/>
          </w:tcPr>
          <w:p w14:paraId="67B2E3AC">
            <w:pPr>
              <w:pStyle w:val="249"/>
              <w:rPr>
                <w:szCs w:val="21"/>
              </w:rPr>
            </w:pPr>
            <w:r>
              <w:rPr>
                <w:rFonts w:hint="eastAsia" w:ascii="宋体" w:hAnsi="宋体" w:cs="宋体"/>
                <w:color w:val="000000" w:themeColor="text1"/>
                <w:kern w:val="1"/>
                <w:szCs w:val="21"/>
                <w14:textFill>
                  <w14:solidFill>
                    <w14:schemeClr w14:val="tx1"/>
                  </w14:solidFill>
                </w14:textFill>
              </w:rPr>
              <w:t>反-1,2-二氯乙烯</w:t>
            </w:r>
          </w:p>
        </w:tc>
        <w:tc>
          <w:tcPr>
            <w:tcW w:w="322" w:type="pct"/>
            <w:vAlign w:val="center"/>
          </w:tcPr>
          <w:p w14:paraId="54D51BAB">
            <w:pPr>
              <w:jc w:val="center"/>
              <w:rPr>
                <w:rFonts w:hint="eastAsia" w:ascii="宋体" w:hAnsi="宋体" w:cs="宋体"/>
              </w:rPr>
            </w:pPr>
            <w:r>
              <w:rPr>
                <w:rFonts w:hint="eastAsia" w:ascii="宋体" w:hAnsi="宋体" w:cs="宋体"/>
                <w:bCs/>
                <w:color w:val="000000" w:themeColor="text1"/>
                <w:kern w:val="0"/>
                <w:szCs w:val="21"/>
                <w:lang w:bidi="ar"/>
                <w14:textFill>
                  <w14:solidFill>
                    <w14:schemeClr w14:val="tx1"/>
                  </w14:solidFill>
                </w14:textFill>
              </w:rPr>
              <w:t>mg/kg</w:t>
            </w:r>
          </w:p>
        </w:tc>
        <w:tc>
          <w:tcPr>
            <w:tcW w:w="371" w:type="pct"/>
            <w:vAlign w:val="center"/>
          </w:tcPr>
          <w:p w14:paraId="0E935554">
            <w:pPr>
              <w:pStyle w:val="249"/>
              <w:rPr>
                <w:szCs w:val="21"/>
              </w:rPr>
            </w:pPr>
            <w:r>
              <w:rPr>
                <w:rFonts w:hint="eastAsia" w:ascii="宋体" w:hAnsi="宋体" w:cs="宋体"/>
                <w:color w:val="000000" w:themeColor="text1"/>
                <w:szCs w:val="21"/>
                <w14:textFill>
                  <w14:solidFill>
                    <w14:schemeClr w14:val="tx1"/>
                  </w14:solidFill>
                </w14:textFill>
              </w:rPr>
              <w:t>54</w:t>
            </w:r>
          </w:p>
        </w:tc>
        <w:tc>
          <w:tcPr>
            <w:tcW w:w="392" w:type="pct"/>
            <w:vAlign w:val="center"/>
          </w:tcPr>
          <w:p w14:paraId="453D21B3">
            <w:pPr>
              <w:pStyle w:val="242"/>
              <w:rPr>
                <w:rFonts w:hint="eastAsia" w:ascii="宋体" w:hAnsi="宋体" w:cs="宋体"/>
                <w:szCs w:val="22"/>
              </w:rPr>
            </w:pPr>
            <w:r>
              <w:rPr>
                <w:rFonts w:hint="eastAsia" w:ascii="宋体" w:hAnsi="宋体" w:cs="宋体"/>
                <w:color w:val="000000" w:themeColor="text1"/>
                <w:szCs w:val="21"/>
                <w14:textFill>
                  <w14:solidFill>
                    <w14:schemeClr w14:val="tx1"/>
                  </w14:solidFill>
                </w14:textFill>
              </w:rPr>
              <w:t>ND</w:t>
            </w:r>
          </w:p>
        </w:tc>
        <w:tc>
          <w:tcPr>
            <w:tcW w:w="392" w:type="pct"/>
            <w:vAlign w:val="center"/>
          </w:tcPr>
          <w:p w14:paraId="5542B3FB">
            <w:pPr>
              <w:pStyle w:val="242"/>
              <w:rPr>
                <w:rFonts w:hint="eastAsia" w:ascii="宋体" w:hAnsi="宋体" w:cs="宋体"/>
              </w:rPr>
            </w:pPr>
            <w:r>
              <w:rPr>
                <w:rFonts w:hint="eastAsia" w:ascii="宋体" w:hAnsi="宋体" w:cs="宋体"/>
              </w:rPr>
              <w:t>/</w:t>
            </w:r>
          </w:p>
        </w:tc>
        <w:tc>
          <w:tcPr>
            <w:tcW w:w="393" w:type="pct"/>
          </w:tcPr>
          <w:p w14:paraId="7AFF89DC">
            <w:pPr>
              <w:pStyle w:val="242"/>
              <w:rPr>
                <w:rFonts w:hint="eastAsia" w:ascii="宋体" w:hAnsi="宋体" w:cs="宋体"/>
              </w:rPr>
            </w:pPr>
            <w:r>
              <w:rPr>
                <w:rFonts w:hint="eastAsia" w:ascii="宋体" w:hAnsi="宋体" w:cs="宋体"/>
              </w:rPr>
              <w:t>达标</w:t>
            </w:r>
          </w:p>
        </w:tc>
        <w:tc>
          <w:tcPr>
            <w:tcW w:w="392" w:type="pct"/>
          </w:tcPr>
          <w:p w14:paraId="3858A96B">
            <w:pPr>
              <w:pStyle w:val="242"/>
              <w:rPr>
                <w:rFonts w:hint="eastAsia" w:ascii="宋体" w:hAnsi="宋体" w:cs="宋体"/>
                <w:szCs w:val="22"/>
              </w:rPr>
            </w:pPr>
            <w:r>
              <w:rPr>
                <w:rFonts w:hint="eastAsia" w:ascii="宋体" w:hAnsi="宋体" w:cs="宋体"/>
                <w:szCs w:val="22"/>
              </w:rPr>
              <w:t>-</w:t>
            </w:r>
          </w:p>
        </w:tc>
        <w:tc>
          <w:tcPr>
            <w:tcW w:w="417" w:type="pct"/>
          </w:tcPr>
          <w:p w14:paraId="3C68484F">
            <w:pPr>
              <w:pStyle w:val="242"/>
              <w:rPr>
                <w:rFonts w:hint="eastAsia" w:ascii="宋体" w:hAnsi="宋体" w:cs="宋体"/>
              </w:rPr>
            </w:pPr>
            <w:r>
              <w:rPr>
                <w:rFonts w:hint="eastAsia" w:ascii="宋体" w:hAnsi="宋体" w:cs="宋体"/>
                <w:szCs w:val="22"/>
              </w:rPr>
              <w:t>-</w:t>
            </w:r>
          </w:p>
        </w:tc>
        <w:tc>
          <w:tcPr>
            <w:tcW w:w="393" w:type="pct"/>
          </w:tcPr>
          <w:p w14:paraId="07AAE1C2">
            <w:pPr>
              <w:pStyle w:val="242"/>
              <w:rPr>
                <w:rFonts w:hint="eastAsia" w:ascii="宋体" w:hAnsi="宋体" w:cs="宋体"/>
              </w:rPr>
            </w:pPr>
            <w:r>
              <w:rPr>
                <w:rFonts w:hint="eastAsia" w:ascii="宋体" w:hAnsi="宋体" w:cs="宋体"/>
                <w:szCs w:val="22"/>
              </w:rPr>
              <w:t>-</w:t>
            </w:r>
          </w:p>
        </w:tc>
        <w:tc>
          <w:tcPr>
            <w:tcW w:w="392" w:type="pct"/>
          </w:tcPr>
          <w:p w14:paraId="41A387E6">
            <w:pPr>
              <w:pStyle w:val="242"/>
              <w:rPr>
                <w:rFonts w:hint="eastAsia" w:ascii="宋体" w:hAnsi="宋体" w:cs="宋体"/>
              </w:rPr>
            </w:pPr>
            <w:r>
              <w:rPr>
                <w:rFonts w:hint="eastAsia" w:ascii="宋体" w:hAnsi="宋体" w:cs="宋体"/>
                <w:szCs w:val="22"/>
              </w:rPr>
              <w:t>-</w:t>
            </w:r>
          </w:p>
        </w:tc>
        <w:tc>
          <w:tcPr>
            <w:tcW w:w="392" w:type="pct"/>
          </w:tcPr>
          <w:p w14:paraId="39A153C7">
            <w:pPr>
              <w:pStyle w:val="242"/>
              <w:rPr>
                <w:rFonts w:hint="eastAsia" w:ascii="宋体" w:hAnsi="宋体" w:cs="宋体"/>
              </w:rPr>
            </w:pPr>
            <w:r>
              <w:rPr>
                <w:rFonts w:hint="eastAsia" w:ascii="宋体" w:hAnsi="宋体" w:cs="宋体"/>
                <w:szCs w:val="22"/>
              </w:rPr>
              <w:t>-</w:t>
            </w:r>
          </w:p>
        </w:tc>
        <w:tc>
          <w:tcPr>
            <w:tcW w:w="398" w:type="pct"/>
          </w:tcPr>
          <w:p w14:paraId="7D17CF3B">
            <w:pPr>
              <w:pStyle w:val="242"/>
              <w:rPr>
                <w:rFonts w:hint="eastAsia" w:ascii="宋体" w:hAnsi="宋体" w:cs="宋体"/>
              </w:rPr>
            </w:pPr>
            <w:r>
              <w:rPr>
                <w:rFonts w:hint="eastAsia" w:ascii="宋体" w:hAnsi="宋体" w:cs="宋体"/>
                <w:szCs w:val="22"/>
              </w:rPr>
              <w:t>-</w:t>
            </w:r>
          </w:p>
        </w:tc>
      </w:tr>
      <w:tr w14:paraId="176F1C9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747" w:type="pct"/>
            <w:vAlign w:val="center"/>
          </w:tcPr>
          <w:p w14:paraId="6E79EA67">
            <w:pPr>
              <w:pStyle w:val="249"/>
              <w:rPr>
                <w:szCs w:val="21"/>
              </w:rPr>
            </w:pPr>
            <w:r>
              <w:rPr>
                <w:rFonts w:hint="eastAsia" w:ascii="宋体" w:hAnsi="宋体" w:cs="宋体"/>
                <w:color w:val="000000" w:themeColor="text1"/>
                <w:kern w:val="1"/>
                <w:szCs w:val="21"/>
                <w14:textFill>
                  <w14:solidFill>
                    <w14:schemeClr w14:val="tx1"/>
                  </w14:solidFill>
                </w14:textFill>
              </w:rPr>
              <w:t>二氯甲烷</w:t>
            </w:r>
          </w:p>
        </w:tc>
        <w:tc>
          <w:tcPr>
            <w:tcW w:w="322" w:type="pct"/>
            <w:vAlign w:val="center"/>
          </w:tcPr>
          <w:p w14:paraId="56226076">
            <w:pPr>
              <w:jc w:val="center"/>
              <w:rPr>
                <w:rFonts w:hint="eastAsia" w:ascii="宋体" w:hAnsi="宋体" w:cs="宋体"/>
              </w:rPr>
            </w:pPr>
            <w:r>
              <w:rPr>
                <w:rFonts w:hint="eastAsia" w:ascii="宋体" w:hAnsi="宋体" w:cs="宋体"/>
                <w:bCs/>
                <w:color w:val="000000" w:themeColor="text1"/>
                <w:kern w:val="0"/>
                <w:szCs w:val="21"/>
                <w:lang w:bidi="ar"/>
                <w14:textFill>
                  <w14:solidFill>
                    <w14:schemeClr w14:val="tx1"/>
                  </w14:solidFill>
                </w14:textFill>
              </w:rPr>
              <w:t>mg/kg</w:t>
            </w:r>
          </w:p>
        </w:tc>
        <w:tc>
          <w:tcPr>
            <w:tcW w:w="371" w:type="pct"/>
            <w:vAlign w:val="center"/>
          </w:tcPr>
          <w:p w14:paraId="7FDB7032">
            <w:pPr>
              <w:pStyle w:val="249"/>
              <w:rPr>
                <w:szCs w:val="21"/>
              </w:rPr>
            </w:pPr>
            <w:r>
              <w:rPr>
                <w:rFonts w:hint="eastAsia" w:ascii="宋体" w:hAnsi="宋体" w:cs="宋体"/>
                <w:color w:val="000000" w:themeColor="text1"/>
                <w:szCs w:val="21"/>
                <w14:textFill>
                  <w14:solidFill>
                    <w14:schemeClr w14:val="tx1"/>
                  </w14:solidFill>
                </w14:textFill>
              </w:rPr>
              <w:t>616</w:t>
            </w:r>
          </w:p>
        </w:tc>
        <w:tc>
          <w:tcPr>
            <w:tcW w:w="392" w:type="pct"/>
            <w:vAlign w:val="center"/>
          </w:tcPr>
          <w:p w14:paraId="206C2C7F">
            <w:pPr>
              <w:pStyle w:val="242"/>
              <w:rPr>
                <w:rFonts w:hint="eastAsia" w:ascii="宋体" w:hAnsi="宋体" w:cs="宋体"/>
                <w:szCs w:val="22"/>
              </w:rPr>
            </w:pPr>
            <w:r>
              <w:rPr>
                <w:rFonts w:hint="eastAsia" w:ascii="宋体" w:hAnsi="宋体" w:cs="宋体"/>
                <w:color w:val="000000" w:themeColor="text1"/>
                <w:szCs w:val="21"/>
                <w14:textFill>
                  <w14:solidFill>
                    <w14:schemeClr w14:val="tx1"/>
                  </w14:solidFill>
                </w14:textFill>
              </w:rPr>
              <w:t>ND</w:t>
            </w:r>
          </w:p>
        </w:tc>
        <w:tc>
          <w:tcPr>
            <w:tcW w:w="392" w:type="pct"/>
            <w:vAlign w:val="center"/>
          </w:tcPr>
          <w:p w14:paraId="70F3C133">
            <w:pPr>
              <w:pStyle w:val="242"/>
              <w:rPr>
                <w:rFonts w:hint="eastAsia" w:ascii="宋体" w:hAnsi="宋体" w:cs="宋体"/>
              </w:rPr>
            </w:pPr>
            <w:r>
              <w:rPr>
                <w:rFonts w:hint="eastAsia" w:ascii="宋体" w:hAnsi="宋体" w:cs="宋体"/>
              </w:rPr>
              <w:t>/</w:t>
            </w:r>
          </w:p>
        </w:tc>
        <w:tc>
          <w:tcPr>
            <w:tcW w:w="393" w:type="pct"/>
          </w:tcPr>
          <w:p w14:paraId="5247C327">
            <w:pPr>
              <w:pStyle w:val="242"/>
              <w:rPr>
                <w:rFonts w:hint="eastAsia" w:ascii="宋体" w:hAnsi="宋体" w:cs="宋体"/>
              </w:rPr>
            </w:pPr>
            <w:r>
              <w:rPr>
                <w:rFonts w:hint="eastAsia" w:ascii="宋体" w:hAnsi="宋体" w:cs="宋体"/>
              </w:rPr>
              <w:t>达标</w:t>
            </w:r>
          </w:p>
        </w:tc>
        <w:tc>
          <w:tcPr>
            <w:tcW w:w="392" w:type="pct"/>
          </w:tcPr>
          <w:p w14:paraId="2616924D">
            <w:pPr>
              <w:pStyle w:val="242"/>
              <w:rPr>
                <w:rFonts w:hint="eastAsia" w:ascii="宋体" w:hAnsi="宋体" w:cs="宋体"/>
                <w:szCs w:val="22"/>
              </w:rPr>
            </w:pPr>
            <w:r>
              <w:rPr>
                <w:rFonts w:hint="eastAsia" w:ascii="宋体" w:hAnsi="宋体" w:cs="宋体"/>
                <w:szCs w:val="22"/>
              </w:rPr>
              <w:t>-</w:t>
            </w:r>
          </w:p>
        </w:tc>
        <w:tc>
          <w:tcPr>
            <w:tcW w:w="417" w:type="pct"/>
          </w:tcPr>
          <w:p w14:paraId="4AF7535D">
            <w:pPr>
              <w:pStyle w:val="242"/>
              <w:rPr>
                <w:rFonts w:hint="eastAsia" w:ascii="宋体" w:hAnsi="宋体" w:cs="宋体"/>
              </w:rPr>
            </w:pPr>
            <w:r>
              <w:rPr>
                <w:rFonts w:hint="eastAsia" w:ascii="宋体" w:hAnsi="宋体" w:cs="宋体"/>
                <w:szCs w:val="22"/>
              </w:rPr>
              <w:t>-</w:t>
            </w:r>
          </w:p>
        </w:tc>
        <w:tc>
          <w:tcPr>
            <w:tcW w:w="393" w:type="pct"/>
          </w:tcPr>
          <w:p w14:paraId="0D45E3E4">
            <w:pPr>
              <w:pStyle w:val="242"/>
              <w:rPr>
                <w:rFonts w:hint="eastAsia" w:ascii="宋体" w:hAnsi="宋体" w:cs="宋体"/>
              </w:rPr>
            </w:pPr>
            <w:r>
              <w:rPr>
                <w:rFonts w:hint="eastAsia" w:ascii="宋体" w:hAnsi="宋体" w:cs="宋体"/>
                <w:szCs w:val="22"/>
              </w:rPr>
              <w:t>-</w:t>
            </w:r>
          </w:p>
        </w:tc>
        <w:tc>
          <w:tcPr>
            <w:tcW w:w="392" w:type="pct"/>
          </w:tcPr>
          <w:p w14:paraId="4D4451C8">
            <w:pPr>
              <w:pStyle w:val="242"/>
              <w:rPr>
                <w:rFonts w:hint="eastAsia" w:ascii="宋体" w:hAnsi="宋体" w:cs="宋体"/>
              </w:rPr>
            </w:pPr>
            <w:r>
              <w:rPr>
                <w:rFonts w:hint="eastAsia" w:ascii="宋体" w:hAnsi="宋体" w:cs="宋体"/>
                <w:szCs w:val="22"/>
              </w:rPr>
              <w:t>-</w:t>
            </w:r>
          </w:p>
        </w:tc>
        <w:tc>
          <w:tcPr>
            <w:tcW w:w="392" w:type="pct"/>
          </w:tcPr>
          <w:p w14:paraId="51024916">
            <w:pPr>
              <w:pStyle w:val="242"/>
              <w:rPr>
                <w:rFonts w:hint="eastAsia" w:ascii="宋体" w:hAnsi="宋体" w:cs="宋体"/>
              </w:rPr>
            </w:pPr>
            <w:r>
              <w:rPr>
                <w:rFonts w:hint="eastAsia" w:ascii="宋体" w:hAnsi="宋体" w:cs="宋体"/>
                <w:szCs w:val="22"/>
              </w:rPr>
              <w:t>-</w:t>
            </w:r>
          </w:p>
        </w:tc>
        <w:tc>
          <w:tcPr>
            <w:tcW w:w="398" w:type="pct"/>
          </w:tcPr>
          <w:p w14:paraId="5FBAAC41">
            <w:pPr>
              <w:pStyle w:val="242"/>
              <w:rPr>
                <w:rFonts w:hint="eastAsia" w:ascii="宋体" w:hAnsi="宋体" w:cs="宋体"/>
              </w:rPr>
            </w:pPr>
            <w:r>
              <w:rPr>
                <w:rFonts w:hint="eastAsia" w:ascii="宋体" w:hAnsi="宋体" w:cs="宋体"/>
                <w:szCs w:val="22"/>
              </w:rPr>
              <w:t>-</w:t>
            </w:r>
          </w:p>
        </w:tc>
      </w:tr>
      <w:tr w14:paraId="6DA3165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747" w:type="pct"/>
            <w:vAlign w:val="center"/>
          </w:tcPr>
          <w:p w14:paraId="1CA8CB0A">
            <w:pPr>
              <w:pStyle w:val="249"/>
              <w:rPr>
                <w:szCs w:val="21"/>
              </w:rPr>
            </w:pPr>
            <w:r>
              <w:rPr>
                <w:rFonts w:hint="eastAsia" w:ascii="宋体" w:hAnsi="宋体" w:cs="宋体"/>
                <w:color w:val="000000" w:themeColor="text1"/>
                <w:kern w:val="1"/>
                <w:szCs w:val="21"/>
                <w14:textFill>
                  <w14:solidFill>
                    <w14:schemeClr w14:val="tx1"/>
                  </w14:solidFill>
                </w14:textFill>
              </w:rPr>
              <w:t>1,2-二氯丙烷</w:t>
            </w:r>
          </w:p>
        </w:tc>
        <w:tc>
          <w:tcPr>
            <w:tcW w:w="322" w:type="pct"/>
            <w:vAlign w:val="center"/>
          </w:tcPr>
          <w:p w14:paraId="1281ED9E">
            <w:pPr>
              <w:jc w:val="center"/>
              <w:rPr>
                <w:rFonts w:hint="eastAsia" w:ascii="宋体" w:hAnsi="宋体" w:cs="宋体"/>
              </w:rPr>
            </w:pPr>
            <w:r>
              <w:rPr>
                <w:rFonts w:hint="eastAsia" w:ascii="宋体" w:hAnsi="宋体" w:cs="宋体"/>
                <w:bCs/>
                <w:color w:val="000000" w:themeColor="text1"/>
                <w:kern w:val="0"/>
                <w:szCs w:val="21"/>
                <w:lang w:bidi="ar"/>
                <w14:textFill>
                  <w14:solidFill>
                    <w14:schemeClr w14:val="tx1"/>
                  </w14:solidFill>
                </w14:textFill>
              </w:rPr>
              <w:t>mg/kg</w:t>
            </w:r>
          </w:p>
        </w:tc>
        <w:tc>
          <w:tcPr>
            <w:tcW w:w="371" w:type="pct"/>
            <w:vAlign w:val="center"/>
          </w:tcPr>
          <w:p w14:paraId="1D85759B">
            <w:pPr>
              <w:pStyle w:val="249"/>
              <w:rPr>
                <w:szCs w:val="21"/>
              </w:rPr>
            </w:pPr>
            <w:r>
              <w:rPr>
                <w:rFonts w:hint="eastAsia" w:ascii="宋体" w:hAnsi="宋体" w:cs="宋体"/>
                <w:color w:val="000000" w:themeColor="text1"/>
                <w:szCs w:val="21"/>
                <w14:textFill>
                  <w14:solidFill>
                    <w14:schemeClr w14:val="tx1"/>
                  </w14:solidFill>
                </w14:textFill>
              </w:rPr>
              <w:t>5</w:t>
            </w:r>
          </w:p>
        </w:tc>
        <w:tc>
          <w:tcPr>
            <w:tcW w:w="392" w:type="pct"/>
            <w:vAlign w:val="center"/>
          </w:tcPr>
          <w:p w14:paraId="23FD7F6C">
            <w:pPr>
              <w:pStyle w:val="242"/>
              <w:rPr>
                <w:rFonts w:hint="eastAsia" w:ascii="宋体" w:hAnsi="宋体" w:cs="宋体"/>
                <w:szCs w:val="22"/>
              </w:rPr>
            </w:pPr>
            <w:r>
              <w:rPr>
                <w:rFonts w:hint="eastAsia" w:ascii="宋体" w:hAnsi="宋体" w:cs="宋体"/>
                <w:color w:val="000000" w:themeColor="text1"/>
                <w:szCs w:val="21"/>
                <w14:textFill>
                  <w14:solidFill>
                    <w14:schemeClr w14:val="tx1"/>
                  </w14:solidFill>
                </w14:textFill>
              </w:rPr>
              <w:t>ND</w:t>
            </w:r>
          </w:p>
        </w:tc>
        <w:tc>
          <w:tcPr>
            <w:tcW w:w="392" w:type="pct"/>
            <w:vAlign w:val="center"/>
          </w:tcPr>
          <w:p w14:paraId="4F0E09FB">
            <w:pPr>
              <w:pStyle w:val="242"/>
              <w:rPr>
                <w:rFonts w:hint="eastAsia" w:ascii="宋体" w:hAnsi="宋体" w:cs="宋体"/>
              </w:rPr>
            </w:pPr>
            <w:r>
              <w:rPr>
                <w:rFonts w:hint="eastAsia" w:ascii="宋体" w:hAnsi="宋体" w:cs="宋体"/>
              </w:rPr>
              <w:t>/</w:t>
            </w:r>
          </w:p>
        </w:tc>
        <w:tc>
          <w:tcPr>
            <w:tcW w:w="393" w:type="pct"/>
          </w:tcPr>
          <w:p w14:paraId="68A1C16A">
            <w:pPr>
              <w:pStyle w:val="242"/>
              <w:rPr>
                <w:rFonts w:hint="eastAsia" w:ascii="宋体" w:hAnsi="宋体" w:cs="宋体"/>
              </w:rPr>
            </w:pPr>
            <w:r>
              <w:rPr>
                <w:rFonts w:hint="eastAsia" w:ascii="宋体" w:hAnsi="宋体" w:cs="宋体"/>
              </w:rPr>
              <w:t>达标</w:t>
            </w:r>
          </w:p>
        </w:tc>
        <w:tc>
          <w:tcPr>
            <w:tcW w:w="392" w:type="pct"/>
          </w:tcPr>
          <w:p w14:paraId="2085FA8B">
            <w:pPr>
              <w:pStyle w:val="242"/>
              <w:rPr>
                <w:rFonts w:hint="eastAsia" w:ascii="宋体" w:hAnsi="宋体" w:cs="宋体"/>
                <w:szCs w:val="22"/>
              </w:rPr>
            </w:pPr>
            <w:r>
              <w:rPr>
                <w:rFonts w:hint="eastAsia" w:ascii="宋体" w:hAnsi="宋体" w:cs="宋体"/>
                <w:szCs w:val="22"/>
              </w:rPr>
              <w:t>-</w:t>
            </w:r>
          </w:p>
        </w:tc>
        <w:tc>
          <w:tcPr>
            <w:tcW w:w="417" w:type="pct"/>
          </w:tcPr>
          <w:p w14:paraId="4EE963B6">
            <w:pPr>
              <w:pStyle w:val="242"/>
              <w:rPr>
                <w:rFonts w:hint="eastAsia" w:ascii="宋体" w:hAnsi="宋体" w:cs="宋体"/>
              </w:rPr>
            </w:pPr>
            <w:r>
              <w:rPr>
                <w:rFonts w:hint="eastAsia" w:ascii="宋体" w:hAnsi="宋体" w:cs="宋体"/>
                <w:szCs w:val="22"/>
              </w:rPr>
              <w:t>-</w:t>
            </w:r>
          </w:p>
        </w:tc>
        <w:tc>
          <w:tcPr>
            <w:tcW w:w="393" w:type="pct"/>
          </w:tcPr>
          <w:p w14:paraId="6AA32650">
            <w:pPr>
              <w:pStyle w:val="242"/>
              <w:rPr>
                <w:rFonts w:hint="eastAsia" w:ascii="宋体" w:hAnsi="宋体" w:cs="宋体"/>
              </w:rPr>
            </w:pPr>
            <w:r>
              <w:rPr>
                <w:rFonts w:hint="eastAsia" w:ascii="宋体" w:hAnsi="宋体" w:cs="宋体"/>
                <w:szCs w:val="22"/>
              </w:rPr>
              <w:t>-</w:t>
            </w:r>
          </w:p>
        </w:tc>
        <w:tc>
          <w:tcPr>
            <w:tcW w:w="392" w:type="pct"/>
          </w:tcPr>
          <w:p w14:paraId="1001CC2B">
            <w:pPr>
              <w:pStyle w:val="242"/>
              <w:rPr>
                <w:rFonts w:hint="eastAsia" w:ascii="宋体" w:hAnsi="宋体" w:cs="宋体"/>
              </w:rPr>
            </w:pPr>
            <w:r>
              <w:rPr>
                <w:rFonts w:hint="eastAsia" w:ascii="宋体" w:hAnsi="宋体" w:cs="宋体"/>
                <w:szCs w:val="22"/>
              </w:rPr>
              <w:t>-</w:t>
            </w:r>
          </w:p>
        </w:tc>
        <w:tc>
          <w:tcPr>
            <w:tcW w:w="392" w:type="pct"/>
          </w:tcPr>
          <w:p w14:paraId="30023FD3">
            <w:pPr>
              <w:pStyle w:val="242"/>
              <w:rPr>
                <w:rFonts w:hint="eastAsia" w:ascii="宋体" w:hAnsi="宋体" w:cs="宋体"/>
              </w:rPr>
            </w:pPr>
            <w:r>
              <w:rPr>
                <w:rFonts w:hint="eastAsia" w:ascii="宋体" w:hAnsi="宋体" w:cs="宋体"/>
                <w:szCs w:val="22"/>
              </w:rPr>
              <w:t>-</w:t>
            </w:r>
          </w:p>
        </w:tc>
        <w:tc>
          <w:tcPr>
            <w:tcW w:w="398" w:type="pct"/>
          </w:tcPr>
          <w:p w14:paraId="61574FF3">
            <w:pPr>
              <w:pStyle w:val="242"/>
              <w:rPr>
                <w:rFonts w:hint="eastAsia" w:ascii="宋体" w:hAnsi="宋体" w:cs="宋体"/>
              </w:rPr>
            </w:pPr>
            <w:r>
              <w:rPr>
                <w:rFonts w:hint="eastAsia" w:ascii="宋体" w:hAnsi="宋体" w:cs="宋体"/>
                <w:szCs w:val="22"/>
              </w:rPr>
              <w:t>-</w:t>
            </w:r>
          </w:p>
        </w:tc>
      </w:tr>
      <w:tr w14:paraId="59458D9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747" w:type="pct"/>
            <w:vAlign w:val="center"/>
          </w:tcPr>
          <w:p w14:paraId="249DB5A5">
            <w:pPr>
              <w:pStyle w:val="249"/>
              <w:rPr>
                <w:szCs w:val="21"/>
              </w:rPr>
            </w:pPr>
            <w:r>
              <w:rPr>
                <w:rFonts w:hint="eastAsia" w:ascii="宋体" w:hAnsi="宋体" w:cs="宋体"/>
                <w:color w:val="000000" w:themeColor="text1"/>
                <w:kern w:val="1"/>
                <w:szCs w:val="21"/>
                <w14:textFill>
                  <w14:solidFill>
                    <w14:schemeClr w14:val="tx1"/>
                  </w14:solidFill>
                </w14:textFill>
              </w:rPr>
              <w:t>1,1,1,2-四氯乙烷</w:t>
            </w:r>
          </w:p>
        </w:tc>
        <w:tc>
          <w:tcPr>
            <w:tcW w:w="322" w:type="pct"/>
            <w:vAlign w:val="center"/>
          </w:tcPr>
          <w:p w14:paraId="514E35E9">
            <w:pPr>
              <w:jc w:val="center"/>
              <w:rPr>
                <w:rFonts w:hint="eastAsia" w:ascii="宋体" w:hAnsi="宋体" w:cs="宋体"/>
              </w:rPr>
            </w:pPr>
            <w:r>
              <w:rPr>
                <w:rFonts w:hint="eastAsia" w:ascii="宋体" w:hAnsi="宋体" w:cs="宋体"/>
                <w:bCs/>
                <w:color w:val="000000" w:themeColor="text1"/>
                <w:kern w:val="0"/>
                <w:szCs w:val="21"/>
                <w:lang w:bidi="ar"/>
                <w14:textFill>
                  <w14:solidFill>
                    <w14:schemeClr w14:val="tx1"/>
                  </w14:solidFill>
                </w14:textFill>
              </w:rPr>
              <w:t>mg/kg</w:t>
            </w:r>
          </w:p>
        </w:tc>
        <w:tc>
          <w:tcPr>
            <w:tcW w:w="371" w:type="pct"/>
            <w:vAlign w:val="center"/>
          </w:tcPr>
          <w:p w14:paraId="4077039C">
            <w:pPr>
              <w:pStyle w:val="249"/>
              <w:rPr>
                <w:szCs w:val="21"/>
              </w:rPr>
            </w:pPr>
            <w:r>
              <w:rPr>
                <w:rFonts w:hint="eastAsia" w:ascii="宋体" w:hAnsi="宋体" w:cs="宋体"/>
                <w:color w:val="000000" w:themeColor="text1"/>
                <w:szCs w:val="21"/>
                <w14:textFill>
                  <w14:solidFill>
                    <w14:schemeClr w14:val="tx1"/>
                  </w14:solidFill>
                </w14:textFill>
              </w:rPr>
              <w:t>10</w:t>
            </w:r>
          </w:p>
        </w:tc>
        <w:tc>
          <w:tcPr>
            <w:tcW w:w="392" w:type="pct"/>
            <w:vAlign w:val="center"/>
          </w:tcPr>
          <w:p w14:paraId="30D25AF4">
            <w:pPr>
              <w:pStyle w:val="242"/>
              <w:rPr>
                <w:rFonts w:hint="eastAsia" w:ascii="宋体" w:hAnsi="宋体" w:cs="宋体"/>
                <w:szCs w:val="22"/>
              </w:rPr>
            </w:pPr>
            <w:r>
              <w:rPr>
                <w:rFonts w:hint="eastAsia" w:ascii="宋体" w:hAnsi="宋体" w:cs="宋体"/>
                <w:color w:val="000000" w:themeColor="text1"/>
                <w:szCs w:val="21"/>
                <w14:textFill>
                  <w14:solidFill>
                    <w14:schemeClr w14:val="tx1"/>
                  </w14:solidFill>
                </w14:textFill>
              </w:rPr>
              <w:t>ND</w:t>
            </w:r>
          </w:p>
        </w:tc>
        <w:tc>
          <w:tcPr>
            <w:tcW w:w="392" w:type="pct"/>
            <w:vAlign w:val="center"/>
          </w:tcPr>
          <w:p w14:paraId="10F80FF8">
            <w:pPr>
              <w:pStyle w:val="242"/>
              <w:rPr>
                <w:rFonts w:hint="eastAsia" w:ascii="宋体" w:hAnsi="宋体" w:cs="宋体"/>
              </w:rPr>
            </w:pPr>
            <w:r>
              <w:rPr>
                <w:rFonts w:hint="eastAsia" w:ascii="宋体" w:hAnsi="宋体" w:cs="宋体"/>
              </w:rPr>
              <w:t>/</w:t>
            </w:r>
          </w:p>
        </w:tc>
        <w:tc>
          <w:tcPr>
            <w:tcW w:w="393" w:type="pct"/>
          </w:tcPr>
          <w:p w14:paraId="178961F5">
            <w:pPr>
              <w:pStyle w:val="242"/>
              <w:rPr>
                <w:rFonts w:hint="eastAsia" w:ascii="宋体" w:hAnsi="宋体" w:cs="宋体"/>
              </w:rPr>
            </w:pPr>
            <w:r>
              <w:rPr>
                <w:rFonts w:hint="eastAsia" w:ascii="宋体" w:hAnsi="宋体" w:cs="宋体"/>
              </w:rPr>
              <w:t>达标</w:t>
            </w:r>
          </w:p>
        </w:tc>
        <w:tc>
          <w:tcPr>
            <w:tcW w:w="392" w:type="pct"/>
          </w:tcPr>
          <w:p w14:paraId="0C7FA4B6">
            <w:pPr>
              <w:pStyle w:val="242"/>
              <w:rPr>
                <w:rFonts w:hint="eastAsia" w:ascii="宋体" w:hAnsi="宋体" w:cs="宋体"/>
                <w:szCs w:val="22"/>
              </w:rPr>
            </w:pPr>
            <w:r>
              <w:rPr>
                <w:rFonts w:hint="eastAsia" w:ascii="宋体" w:hAnsi="宋体" w:cs="宋体"/>
                <w:szCs w:val="22"/>
              </w:rPr>
              <w:t>-</w:t>
            </w:r>
          </w:p>
        </w:tc>
        <w:tc>
          <w:tcPr>
            <w:tcW w:w="417" w:type="pct"/>
          </w:tcPr>
          <w:p w14:paraId="17DE9025">
            <w:pPr>
              <w:pStyle w:val="242"/>
              <w:rPr>
                <w:rFonts w:hint="eastAsia" w:ascii="宋体" w:hAnsi="宋体" w:cs="宋体"/>
              </w:rPr>
            </w:pPr>
            <w:r>
              <w:rPr>
                <w:rFonts w:hint="eastAsia" w:ascii="宋体" w:hAnsi="宋体" w:cs="宋体"/>
                <w:szCs w:val="22"/>
              </w:rPr>
              <w:t>-</w:t>
            </w:r>
          </w:p>
        </w:tc>
        <w:tc>
          <w:tcPr>
            <w:tcW w:w="393" w:type="pct"/>
          </w:tcPr>
          <w:p w14:paraId="504C8D7E">
            <w:pPr>
              <w:pStyle w:val="242"/>
              <w:rPr>
                <w:rFonts w:hint="eastAsia" w:ascii="宋体" w:hAnsi="宋体" w:cs="宋体"/>
              </w:rPr>
            </w:pPr>
            <w:r>
              <w:rPr>
                <w:rFonts w:hint="eastAsia" w:ascii="宋体" w:hAnsi="宋体" w:cs="宋体"/>
                <w:szCs w:val="22"/>
              </w:rPr>
              <w:t>-</w:t>
            </w:r>
          </w:p>
        </w:tc>
        <w:tc>
          <w:tcPr>
            <w:tcW w:w="392" w:type="pct"/>
          </w:tcPr>
          <w:p w14:paraId="23DD0181">
            <w:pPr>
              <w:pStyle w:val="242"/>
              <w:rPr>
                <w:rFonts w:hint="eastAsia" w:ascii="宋体" w:hAnsi="宋体" w:cs="宋体"/>
              </w:rPr>
            </w:pPr>
            <w:r>
              <w:rPr>
                <w:rFonts w:hint="eastAsia" w:ascii="宋体" w:hAnsi="宋体" w:cs="宋体"/>
                <w:szCs w:val="22"/>
              </w:rPr>
              <w:t>-</w:t>
            </w:r>
          </w:p>
        </w:tc>
        <w:tc>
          <w:tcPr>
            <w:tcW w:w="392" w:type="pct"/>
          </w:tcPr>
          <w:p w14:paraId="708F6676">
            <w:pPr>
              <w:pStyle w:val="242"/>
              <w:rPr>
                <w:rFonts w:hint="eastAsia" w:ascii="宋体" w:hAnsi="宋体" w:cs="宋体"/>
              </w:rPr>
            </w:pPr>
            <w:r>
              <w:rPr>
                <w:rFonts w:hint="eastAsia" w:ascii="宋体" w:hAnsi="宋体" w:cs="宋体"/>
                <w:szCs w:val="22"/>
              </w:rPr>
              <w:t>-</w:t>
            </w:r>
          </w:p>
        </w:tc>
        <w:tc>
          <w:tcPr>
            <w:tcW w:w="398" w:type="pct"/>
          </w:tcPr>
          <w:p w14:paraId="485AAA56">
            <w:pPr>
              <w:pStyle w:val="242"/>
              <w:rPr>
                <w:rFonts w:hint="eastAsia" w:ascii="宋体" w:hAnsi="宋体" w:cs="宋体"/>
              </w:rPr>
            </w:pPr>
            <w:r>
              <w:rPr>
                <w:rFonts w:hint="eastAsia" w:ascii="宋体" w:hAnsi="宋体" w:cs="宋体"/>
                <w:szCs w:val="22"/>
              </w:rPr>
              <w:t>-</w:t>
            </w:r>
          </w:p>
        </w:tc>
      </w:tr>
      <w:tr w14:paraId="05E46D6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747" w:type="pct"/>
            <w:vAlign w:val="center"/>
          </w:tcPr>
          <w:p w14:paraId="5C56C136">
            <w:pPr>
              <w:pStyle w:val="249"/>
              <w:rPr>
                <w:szCs w:val="21"/>
              </w:rPr>
            </w:pPr>
            <w:r>
              <w:rPr>
                <w:rFonts w:hint="eastAsia" w:ascii="宋体" w:hAnsi="宋体" w:cs="宋体"/>
                <w:color w:val="000000" w:themeColor="text1"/>
                <w:kern w:val="1"/>
                <w:szCs w:val="21"/>
                <w14:textFill>
                  <w14:solidFill>
                    <w14:schemeClr w14:val="tx1"/>
                  </w14:solidFill>
                </w14:textFill>
              </w:rPr>
              <w:t>1,1,2,2-四氯乙烷</w:t>
            </w:r>
          </w:p>
        </w:tc>
        <w:tc>
          <w:tcPr>
            <w:tcW w:w="322" w:type="pct"/>
            <w:vAlign w:val="center"/>
          </w:tcPr>
          <w:p w14:paraId="073F1428">
            <w:pPr>
              <w:jc w:val="center"/>
              <w:rPr>
                <w:rFonts w:hint="eastAsia" w:ascii="宋体" w:hAnsi="宋体" w:cs="宋体"/>
              </w:rPr>
            </w:pPr>
            <w:r>
              <w:rPr>
                <w:rFonts w:hint="eastAsia" w:ascii="宋体" w:hAnsi="宋体" w:cs="宋体"/>
                <w:bCs/>
                <w:color w:val="000000" w:themeColor="text1"/>
                <w:kern w:val="0"/>
                <w:szCs w:val="21"/>
                <w:lang w:bidi="ar"/>
                <w14:textFill>
                  <w14:solidFill>
                    <w14:schemeClr w14:val="tx1"/>
                  </w14:solidFill>
                </w14:textFill>
              </w:rPr>
              <w:t>mg/kg</w:t>
            </w:r>
          </w:p>
        </w:tc>
        <w:tc>
          <w:tcPr>
            <w:tcW w:w="371" w:type="pct"/>
            <w:vAlign w:val="center"/>
          </w:tcPr>
          <w:p w14:paraId="19F4E65A">
            <w:pPr>
              <w:pStyle w:val="249"/>
              <w:rPr>
                <w:szCs w:val="21"/>
              </w:rPr>
            </w:pPr>
            <w:r>
              <w:rPr>
                <w:rFonts w:hint="eastAsia" w:ascii="宋体" w:hAnsi="宋体" w:cs="宋体"/>
                <w:color w:val="000000" w:themeColor="text1"/>
                <w:szCs w:val="21"/>
                <w14:textFill>
                  <w14:solidFill>
                    <w14:schemeClr w14:val="tx1"/>
                  </w14:solidFill>
                </w14:textFill>
              </w:rPr>
              <w:t>6.8</w:t>
            </w:r>
          </w:p>
        </w:tc>
        <w:tc>
          <w:tcPr>
            <w:tcW w:w="392" w:type="pct"/>
            <w:vAlign w:val="center"/>
          </w:tcPr>
          <w:p w14:paraId="6335B76D">
            <w:pPr>
              <w:pStyle w:val="242"/>
              <w:rPr>
                <w:rFonts w:hint="eastAsia" w:ascii="宋体" w:hAnsi="宋体" w:cs="宋体"/>
                <w:szCs w:val="22"/>
              </w:rPr>
            </w:pPr>
            <w:r>
              <w:rPr>
                <w:rFonts w:hint="eastAsia" w:ascii="宋体" w:hAnsi="宋体" w:cs="宋体"/>
                <w:color w:val="000000" w:themeColor="text1"/>
                <w:szCs w:val="21"/>
                <w14:textFill>
                  <w14:solidFill>
                    <w14:schemeClr w14:val="tx1"/>
                  </w14:solidFill>
                </w14:textFill>
              </w:rPr>
              <w:t>ND</w:t>
            </w:r>
          </w:p>
        </w:tc>
        <w:tc>
          <w:tcPr>
            <w:tcW w:w="392" w:type="pct"/>
            <w:vAlign w:val="center"/>
          </w:tcPr>
          <w:p w14:paraId="1ECABB4C">
            <w:pPr>
              <w:pStyle w:val="242"/>
              <w:rPr>
                <w:rFonts w:hint="eastAsia" w:ascii="宋体" w:hAnsi="宋体" w:cs="宋体"/>
              </w:rPr>
            </w:pPr>
            <w:r>
              <w:rPr>
                <w:rFonts w:hint="eastAsia" w:ascii="宋体" w:hAnsi="宋体" w:cs="宋体"/>
              </w:rPr>
              <w:t>/</w:t>
            </w:r>
          </w:p>
        </w:tc>
        <w:tc>
          <w:tcPr>
            <w:tcW w:w="393" w:type="pct"/>
          </w:tcPr>
          <w:p w14:paraId="62801F42">
            <w:pPr>
              <w:pStyle w:val="242"/>
              <w:rPr>
                <w:rFonts w:hint="eastAsia" w:ascii="宋体" w:hAnsi="宋体" w:cs="宋体"/>
              </w:rPr>
            </w:pPr>
            <w:r>
              <w:rPr>
                <w:rFonts w:hint="eastAsia" w:ascii="宋体" w:hAnsi="宋体" w:cs="宋体"/>
              </w:rPr>
              <w:t>达标</w:t>
            </w:r>
          </w:p>
        </w:tc>
        <w:tc>
          <w:tcPr>
            <w:tcW w:w="392" w:type="pct"/>
          </w:tcPr>
          <w:p w14:paraId="683C2035">
            <w:pPr>
              <w:pStyle w:val="242"/>
              <w:rPr>
                <w:rFonts w:hint="eastAsia" w:ascii="宋体" w:hAnsi="宋体" w:cs="宋体"/>
                <w:szCs w:val="22"/>
              </w:rPr>
            </w:pPr>
            <w:r>
              <w:rPr>
                <w:rFonts w:hint="eastAsia" w:ascii="宋体" w:hAnsi="宋体" w:cs="宋体"/>
                <w:szCs w:val="22"/>
              </w:rPr>
              <w:t>-</w:t>
            </w:r>
          </w:p>
        </w:tc>
        <w:tc>
          <w:tcPr>
            <w:tcW w:w="417" w:type="pct"/>
          </w:tcPr>
          <w:p w14:paraId="65AC8D68">
            <w:pPr>
              <w:pStyle w:val="242"/>
              <w:rPr>
                <w:rFonts w:hint="eastAsia" w:ascii="宋体" w:hAnsi="宋体" w:cs="宋体"/>
              </w:rPr>
            </w:pPr>
            <w:r>
              <w:rPr>
                <w:rFonts w:hint="eastAsia" w:ascii="宋体" w:hAnsi="宋体" w:cs="宋体"/>
                <w:szCs w:val="22"/>
              </w:rPr>
              <w:t>-</w:t>
            </w:r>
          </w:p>
        </w:tc>
        <w:tc>
          <w:tcPr>
            <w:tcW w:w="393" w:type="pct"/>
          </w:tcPr>
          <w:p w14:paraId="27B9CE29">
            <w:pPr>
              <w:pStyle w:val="242"/>
              <w:rPr>
                <w:rFonts w:hint="eastAsia" w:ascii="宋体" w:hAnsi="宋体" w:cs="宋体"/>
              </w:rPr>
            </w:pPr>
            <w:r>
              <w:rPr>
                <w:rFonts w:hint="eastAsia" w:ascii="宋体" w:hAnsi="宋体" w:cs="宋体"/>
                <w:szCs w:val="22"/>
              </w:rPr>
              <w:t>-</w:t>
            </w:r>
          </w:p>
        </w:tc>
        <w:tc>
          <w:tcPr>
            <w:tcW w:w="392" w:type="pct"/>
          </w:tcPr>
          <w:p w14:paraId="1E26CCA5">
            <w:pPr>
              <w:pStyle w:val="242"/>
              <w:rPr>
                <w:rFonts w:hint="eastAsia" w:ascii="宋体" w:hAnsi="宋体" w:cs="宋体"/>
              </w:rPr>
            </w:pPr>
            <w:r>
              <w:rPr>
                <w:rFonts w:hint="eastAsia" w:ascii="宋体" w:hAnsi="宋体" w:cs="宋体"/>
                <w:szCs w:val="22"/>
              </w:rPr>
              <w:t>-</w:t>
            </w:r>
          </w:p>
        </w:tc>
        <w:tc>
          <w:tcPr>
            <w:tcW w:w="392" w:type="pct"/>
          </w:tcPr>
          <w:p w14:paraId="51858FEF">
            <w:pPr>
              <w:pStyle w:val="242"/>
              <w:rPr>
                <w:rFonts w:hint="eastAsia" w:ascii="宋体" w:hAnsi="宋体" w:cs="宋体"/>
              </w:rPr>
            </w:pPr>
            <w:r>
              <w:rPr>
                <w:rFonts w:hint="eastAsia" w:ascii="宋体" w:hAnsi="宋体" w:cs="宋体"/>
                <w:szCs w:val="22"/>
              </w:rPr>
              <w:t>-</w:t>
            </w:r>
          </w:p>
        </w:tc>
        <w:tc>
          <w:tcPr>
            <w:tcW w:w="398" w:type="pct"/>
          </w:tcPr>
          <w:p w14:paraId="0BEFB44C">
            <w:pPr>
              <w:pStyle w:val="242"/>
              <w:rPr>
                <w:rFonts w:hint="eastAsia" w:ascii="宋体" w:hAnsi="宋体" w:cs="宋体"/>
              </w:rPr>
            </w:pPr>
            <w:r>
              <w:rPr>
                <w:rFonts w:hint="eastAsia" w:ascii="宋体" w:hAnsi="宋体" w:cs="宋体"/>
                <w:szCs w:val="22"/>
              </w:rPr>
              <w:t>-</w:t>
            </w:r>
          </w:p>
        </w:tc>
      </w:tr>
      <w:tr w14:paraId="0EEE998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747" w:type="pct"/>
            <w:vAlign w:val="center"/>
          </w:tcPr>
          <w:p w14:paraId="2744C455">
            <w:pPr>
              <w:pStyle w:val="249"/>
              <w:rPr>
                <w:szCs w:val="21"/>
              </w:rPr>
            </w:pPr>
            <w:r>
              <w:rPr>
                <w:rFonts w:hint="eastAsia" w:ascii="宋体" w:hAnsi="宋体" w:cs="宋体"/>
                <w:color w:val="000000" w:themeColor="text1"/>
                <w:szCs w:val="21"/>
                <w14:textFill>
                  <w14:solidFill>
                    <w14:schemeClr w14:val="tx1"/>
                  </w14:solidFill>
                </w14:textFill>
              </w:rPr>
              <w:t>四氯乙烯</w:t>
            </w:r>
          </w:p>
        </w:tc>
        <w:tc>
          <w:tcPr>
            <w:tcW w:w="322" w:type="pct"/>
            <w:vAlign w:val="center"/>
          </w:tcPr>
          <w:p w14:paraId="142CBD29">
            <w:pPr>
              <w:jc w:val="center"/>
              <w:rPr>
                <w:rFonts w:hint="eastAsia" w:ascii="宋体" w:hAnsi="宋体" w:cs="宋体"/>
              </w:rPr>
            </w:pPr>
            <w:r>
              <w:rPr>
                <w:rFonts w:hint="eastAsia" w:ascii="宋体" w:hAnsi="宋体" w:cs="宋体"/>
                <w:bCs/>
                <w:color w:val="000000" w:themeColor="text1"/>
                <w:kern w:val="0"/>
                <w:szCs w:val="21"/>
                <w:lang w:bidi="ar"/>
                <w14:textFill>
                  <w14:solidFill>
                    <w14:schemeClr w14:val="tx1"/>
                  </w14:solidFill>
                </w14:textFill>
              </w:rPr>
              <w:t>mg/kg</w:t>
            </w:r>
          </w:p>
        </w:tc>
        <w:tc>
          <w:tcPr>
            <w:tcW w:w="371" w:type="pct"/>
            <w:vAlign w:val="center"/>
          </w:tcPr>
          <w:p w14:paraId="13617DED">
            <w:pPr>
              <w:pStyle w:val="249"/>
              <w:rPr>
                <w:szCs w:val="21"/>
              </w:rPr>
            </w:pPr>
            <w:r>
              <w:rPr>
                <w:rFonts w:hint="eastAsia" w:ascii="宋体" w:hAnsi="宋体" w:cs="宋体"/>
                <w:color w:val="000000" w:themeColor="text1"/>
                <w:szCs w:val="21"/>
                <w14:textFill>
                  <w14:solidFill>
                    <w14:schemeClr w14:val="tx1"/>
                  </w14:solidFill>
                </w14:textFill>
              </w:rPr>
              <w:t>53</w:t>
            </w:r>
          </w:p>
        </w:tc>
        <w:tc>
          <w:tcPr>
            <w:tcW w:w="392" w:type="pct"/>
            <w:vAlign w:val="center"/>
          </w:tcPr>
          <w:p w14:paraId="1E28B123">
            <w:pPr>
              <w:pStyle w:val="242"/>
              <w:rPr>
                <w:rFonts w:hint="eastAsia" w:ascii="宋体" w:hAnsi="宋体" w:cs="宋体"/>
                <w:szCs w:val="22"/>
              </w:rPr>
            </w:pPr>
            <w:r>
              <w:rPr>
                <w:rFonts w:hint="eastAsia" w:ascii="宋体" w:hAnsi="宋体" w:cs="宋体"/>
                <w:color w:val="000000" w:themeColor="text1"/>
                <w:szCs w:val="21"/>
                <w14:textFill>
                  <w14:solidFill>
                    <w14:schemeClr w14:val="tx1"/>
                  </w14:solidFill>
                </w14:textFill>
              </w:rPr>
              <w:t>ND</w:t>
            </w:r>
          </w:p>
        </w:tc>
        <w:tc>
          <w:tcPr>
            <w:tcW w:w="392" w:type="pct"/>
            <w:vAlign w:val="center"/>
          </w:tcPr>
          <w:p w14:paraId="1A203C7F">
            <w:pPr>
              <w:pStyle w:val="242"/>
              <w:rPr>
                <w:rFonts w:hint="eastAsia" w:ascii="宋体" w:hAnsi="宋体" w:cs="宋体"/>
              </w:rPr>
            </w:pPr>
            <w:r>
              <w:rPr>
                <w:rFonts w:hint="eastAsia" w:ascii="宋体" w:hAnsi="宋体" w:cs="宋体"/>
              </w:rPr>
              <w:t>/</w:t>
            </w:r>
          </w:p>
        </w:tc>
        <w:tc>
          <w:tcPr>
            <w:tcW w:w="393" w:type="pct"/>
          </w:tcPr>
          <w:p w14:paraId="61BD9120">
            <w:pPr>
              <w:pStyle w:val="242"/>
              <w:rPr>
                <w:rFonts w:hint="eastAsia" w:ascii="宋体" w:hAnsi="宋体" w:cs="宋体"/>
              </w:rPr>
            </w:pPr>
            <w:r>
              <w:rPr>
                <w:rFonts w:hint="eastAsia" w:ascii="宋体" w:hAnsi="宋体" w:cs="宋体"/>
              </w:rPr>
              <w:t>达标</w:t>
            </w:r>
          </w:p>
        </w:tc>
        <w:tc>
          <w:tcPr>
            <w:tcW w:w="392" w:type="pct"/>
          </w:tcPr>
          <w:p w14:paraId="40757348">
            <w:pPr>
              <w:pStyle w:val="242"/>
              <w:rPr>
                <w:rFonts w:hint="eastAsia" w:ascii="宋体" w:hAnsi="宋体" w:cs="宋体"/>
                <w:szCs w:val="22"/>
              </w:rPr>
            </w:pPr>
            <w:r>
              <w:rPr>
                <w:rFonts w:hint="eastAsia" w:ascii="宋体" w:hAnsi="宋体" w:cs="宋体"/>
                <w:szCs w:val="22"/>
              </w:rPr>
              <w:t>-</w:t>
            </w:r>
          </w:p>
        </w:tc>
        <w:tc>
          <w:tcPr>
            <w:tcW w:w="417" w:type="pct"/>
          </w:tcPr>
          <w:p w14:paraId="74D47841">
            <w:pPr>
              <w:pStyle w:val="242"/>
              <w:rPr>
                <w:rFonts w:hint="eastAsia" w:ascii="宋体" w:hAnsi="宋体" w:cs="宋体"/>
              </w:rPr>
            </w:pPr>
            <w:r>
              <w:rPr>
                <w:rFonts w:hint="eastAsia" w:ascii="宋体" w:hAnsi="宋体" w:cs="宋体"/>
                <w:szCs w:val="22"/>
              </w:rPr>
              <w:t>-</w:t>
            </w:r>
          </w:p>
        </w:tc>
        <w:tc>
          <w:tcPr>
            <w:tcW w:w="393" w:type="pct"/>
          </w:tcPr>
          <w:p w14:paraId="1616536C">
            <w:pPr>
              <w:pStyle w:val="242"/>
              <w:rPr>
                <w:rFonts w:hint="eastAsia" w:ascii="宋体" w:hAnsi="宋体" w:cs="宋体"/>
              </w:rPr>
            </w:pPr>
            <w:r>
              <w:rPr>
                <w:rFonts w:hint="eastAsia" w:ascii="宋体" w:hAnsi="宋体" w:cs="宋体"/>
                <w:szCs w:val="22"/>
              </w:rPr>
              <w:t>-</w:t>
            </w:r>
          </w:p>
        </w:tc>
        <w:tc>
          <w:tcPr>
            <w:tcW w:w="392" w:type="pct"/>
          </w:tcPr>
          <w:p w14:paraId="718B08CF">
            <w:pPr>
              <w:pStyle w:val="242"/>
              <w:rPr>
                <w:rFonts w:hint="eastAsia" w:ascii="宋体" w:hAnsi="宋体" w:cs="宋体"/>
              </w:rPr>
            </w:pPr>
            <w:r>
              <w:rPr>
                <w:rFonts w:hint="eastAsia" w:ascii="宋体" w:hAnsi="宋体" w:cs="宋体"/>
                <w:szCs w:val="22"/>
              </w:rPr>
              <w:t>-</w:t>
            </w:r>
          </w:p>
        </w:tc>
        <w:tc>
          <w:tcPr>
            <w:tcW w:w="392" w:type="pct"/>
          </w:tcPr>
          <w:p w14:paraId="7DDDDE56">
            <w:pPr>
              <w:pStyle w:val="242"/>
              <w:rPr>
                <w:rFonts w:hint="eastAsia" w:ascii="宋体" w:hAnsi="宋体" w:cs="宋体"/>
              </w:rPr>
            </w:pPr>
            <w:r>
              <w:rPr>
                <w:rFonts w:hint="eastAsia" w:ascii="宋体" w:hAnsi="宋体" w:cs="宋体"/>
                <w:szCs w:val="22"/>
              </w:rPr>
              <w:t>-</w:t>
            </w:r>
          </w:p>
        </w:tc>
        <w:tc>
          <w:tcPr>
            <w:tcW w:w="398" w:type="pct"/>
          </w:tcPr>
          <w:p w14:paraId="43A7943C">
            <w:pPr>
              <w:pStyle w:val="242"/>
              <w:rPr>
                <w:rFonts w:hint="eastAsia" w:ascii="宋体" w:hAnsi="宋体" w:cs="宋体"/>
              </w:rPr>
            </w:pPr>
            <w:r>
              <w:rPr>
                <w:rFonts w:hint="eastAsia" w:ascii="宋体" w:hAnsi="宋体" w:cs="宋体"/>
                <w:szCs w:val="22"/>
              </w:rPr>
              <w:t>-</w:t>
            </w:r>
          </w:p>
        </w:tc>
      </w:tr>
      <w:tr w14:paraId="536BAD0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747" w:type="pct"/>
            <w:vAlign w:val="center"/>
          </w:tcPr>
          <w:p w14:paraId="72851181">
            <w:pPr>
              <w:pStyle w:val="249"/>
              <w:rPr>
                <w:szCs w:val="21"/>
              </w:rPr>
            </w:pPr>
            <w:r>
              <w:rPr>
                <w:rFonts w:hint="eastAsia" w:ascii="宋体" w:hAnsi="宋体" w:cs="宋体"/>
                <w:color w:val="000000" w:themeColor="text1"/>
                <w:szCs w:val="21"/>
                <w14:textFill>
                  <w14:solidFill>
                    <w14:schemeClr w14:val="tx1"/>
                  </w14:solidFill>
                </w14:textFill>
              </w:rPr>
              <w:t>1,1,1-三氯乙烷</w:t>
            </w:r>
          </w:p>
        </w:tc>
        <w:tc>
          <w:tcPr>
            <w:tcW w:w="322" w:type="pct"/>
            <w:vAlign w:val="center"/>
          </w:tcPr>
          <w:p w14:paraId="75FD81EA">
            <w:pPr>
              <w:jc w:val="center"/>
              <w:rPr>
                <w:rFonts w:hint="eastAsia" w:ascii="宋体" w:hAnsi="宋体" w:cs="宋体"/>
              </w:rPr>
            </w:pPr>
            <w:r>
              <w:rPr>
                <w:rFonts w:hint="eastAsia" w:ascii="宋体" w:hAnsi="宋体" w:cs="宋体"/>
                <w:bCs/>
                <w:color w:val="000000" w:themeColor="text1"/>
                <w:kern w:val="0"/>
                <w:szCs w:val="21"/>
                <w:lang w:bidi="ar"/>
                <w14:textFill>
                  <w14:solidFill>
                    <w14:schemeClr w14:val="tx1"/>
                  </w14:solidFill>
                </w14:textFill>
              </w:rPr>
              <w:t>mg/kg</w:t>
            </w:r>
          </w:p>
        </w:tc>
        <w:tc>
          <w:tcPr>
            <w:tcW w:w="371" w:type="pct"/>
            <w:vAlign w:val="center"/>
          </w:tcPr>
          <w:p w14:paraId="196DD82F">
            <w:pPr>
              <w:pStyle w:val="249"/>
              <w:rPr>
                <w:szCs w:val="21"/>
              </w:rPr>
            </w:pPr>
            <w:r>
              <w:rPr>
                <w:rFonts w:hint="eastAsia" w:ascii="宋体" w:hAnsi="宋体" w:cs="宋体"/>
                <w:color w:val="000000" w:themeColor="text1"/>
                <w:szCs w:val="21"/>
                <w14:textFill>
                  <w14:solidFill>
                    <w14:schemeClr w14:val="tx1"/>
                  </w14:solidFill>
                </w14:textFill>
              </w:rPr>
              <w:t>840</w:t>
            </w:r>
          </w:p>
        </w:tc>
        <w:tc>
          <w:tcPr>
            <w:tcW w:w="392" w:type="pct"/>
            <w:vAlign w:val="center"/>
          </w:tcPr>
          <w:p w14:paraId="260B4563">
            <w:pPr>
              <w:pStyle w:val="242"/>
              <w:rPr>
                <w:rFonts w:hint="eastAsia" w:ascii="宋体" w:hAnsi="宋体" w:cs="宋体"/>
                <w:szCs w:val="22"/>
              </w:rPr>
            </w:pPr>
            <w:r>
              <w:rPr>
                <w:rFonts w:hint="eastAsia" w:ascii="宋体" w:hAnsi="宋体" w:cs="宋体"/>
                <w:color w:val="000000" w:themeColor="text1"/>
                <w:szCs w:val="21"/>
                <w14:textFill>
                  <w14:solidFill>
                    <w14:schemeClr w14:val="tx1"/>
                  </w14:solidFill>
                </w14:textFill>
              </w:rPr>
              <w:t>ND</w:t>
            </w:r>
          </w:p>
        </w:tc>
        <w:tc>
          <w:tcPr>
            <w:tcW w:w="392" w:type="pct"/>
            <w:vAlign w:val="center"/>
          </w:tcPr>
          <w:p w14:paraId="1971B74A">
            <w:pPr>
              <w:pStyle w:val="242"/>
              <w:rPr>
                <w:rFonts w:hint="eastAsia" w:ascii="宋体" w:hAnsi="宋体" w:cs="宋体"/>
              </w:rPr>
            </w:pPr>
            <w:r>
              <w:rPr>
                <w:rFonts w:hint="eastAsia" w:ascii="宋体" w:hAnsi="宋体" w:cs="宋体"/>
              </w:rPr>
              <w:t>/</w:t>
            </w:r>
          </w:p>
        </w:tc>
        <w:tc>
          <w:tcPr>
            <w:tcW w:w="393" w:type="pct"/>
          </w:tcPr>
          <w:p w14:paraId="3A9160EF">
            <w:pPr>
              <w:pStyle w:val="242"/>
              <w:rPr>
                <w:rFonts w:hint="eastAsia" w:ascii="宋体" w:hAnsi="宋体" w:cs="宋体"/>
              </w:rPr>
            </w:pPr>
            <w:r>
              <w:rPr>
                <w:rFonts w:hint="eastAsia" w:ascii="宋体" w:hAnsi="宋体" w:cs="宋体"/>
              </w:rPr>
              <w:t>达标</w:t>
            </w:r>
          </w:p>
        </w:tc>
        <w:tc>
          <w:tcPr>
            <w:tcW w:w="392" w:type="pct"/>
          </w:tcPr>
          <w:p w14:paraId="76407C80">
            <w:pPr>
              <w:pStyle w:val="242"/>
              <w:rPr>
                <w:rFonts w:hint="eastAsia" w:ascii="宋体" w:hAnsi="宋体" w:cs="宋体"/>
                <w:szCs w:val="22"/>
              </w:rPr>
            </w:pPr>
            <w:r>
              <w:rPr>
                <w:rFonts w:hint="eastAsia" w:ascii="宋体" w:hAnsi="宋体" w:cs="宋体"/>
                <w:szCs w:val="22"/>
              </w:rPr>
              <w:t>-</w:t>
            </w:r>
          </w:p>
        </w:tc>
        <w:tc>
          <w:tcPr>
            <w:tcW w:w="417" w:type="pct"/>
          </w:tcPr>
          <w:p w14:paraId="22F525E0">
            <w:pPr>
              <w:pStyle w:val="242"/>
              <w:rPr>
                <w:rFonts w:hint="eastAsia" w:ascii="宋体" w:hAnsi="宋体" w:cs="宋体"/>
              </w:rPr>
            </w:pPr>
            <w:r>
              <w:rPr>
                <w:rFonts w:hint="eastAsia" w:ascii="宋体" w:hAnsi="宋体" w:cs="宋体"/>
                <w:szCs w:val="22"/>
              </w:rPr>
              <w:t>-</w:t>
            </w:r>
          </w:p>
        </w:tc>
        <w:tc>
          <w:tcPr>
            <w:tcW w:w="393" w:type="pct"/>
          </w:tcPr>
          <w:p w14:paraId="31BAC117">
            <w:pPr>
              <w:pStyle w:val="242"/>
              <w:rPr>
                <w:rFonts w:hint="eastAsia" w:ascii="宋体" w:hAnsi="宋体" w:cs="宋体"/>
              </w:rPr>
            </w:pPr>
            <w:r>
              <w:rPr>
                <w:rFonts w:hint="eastAsia" w:ascii="宋体" w:hAnsi="宋体" w:cs="宋体"/>
                <w:szCs w:val="22"/>
              </w:rPr>
              <w:t>-</w:t>
            </w:r>
          </w:p>
        </w:tc>
        <w:tc>
          <w:tcPr>
            <w:tcW w:w="392" w:type="pct"/>
          </w:tcPr>
          <w:p w14:paraId="648E6A77">
            <w:pPr>
              <w:pStyle w:val="242"/>
              <w:rPr>
                <w:rFonts w:hint="eastAsia" w:ascii="宋体" w:hAnsi="宋体" w:cs="宋体"/>
              </w:rPr>
            </w:pPr>
            <w:r>
              <w:rPr>
                <w:rFonts w:hint="eastAsia" w:ascii="宋体" w:hAnsi="宋体" w:cs="宋体"/>
                <w:szCs w:val="22"/>
              </w:rPr>
              <w:t>-</w:t>
            </w:r>
          </w:p>
        </w:tc>
        <w:tc>
          <w:tcPr>
            <w:tcW w:w="392" w:type="pct"/>
          </w:tcPr>
          <w:p w14:paraId="469752A3">
            <w:pPr>
              <w:pStyle w:val="242"/>
              <w:rPr>
                <w:rFonts w:hint="eastAsia" w:ascii="宋体" w:hAnsi="宋体" w:cs="宋体"/>
              </w:rPr>
            </w:pPr>
            <w:r>
              <w:rPr>
                <w:rFonts w:hint="eastAsia" w:ascii="宋体" w:hAnsi="宋体" w:cs="宋体"/>
                <w:szCs w:val="22"/>
              </w:rPr>
              <w:t>-</w:t>
            </w:r>
          </w:p>
        </w:tc>
        <w:tc>
          <w:tcPr>
            <w:tcW w:w="398" w:type="pct"/>
          </w:tcPr>
          <w:p w14:paraId="364A1746">
            <w:pPr>
              <w:pStyle w:val="242"/>
              <w:rPr>
                <w:rFonts w:hint="eastAsia" w:ascii="宋体" w:hAnsi="宋体" w:cs="宋体"/>
              </w:rPr>
            </w:pPr>
            <w:r>
              <w:rPr>
                <w:rFonts w:hint="eastAsia" w:ascii="宋体" w:hAnsi="宋体" w:cs="宋体"/>
                <w:szCs w:val="22"/>
              </w:rPr>
              <w:t>-</w:t>
            </w:r>
          </w:p>
        </w:tc>
      </w:tr>
      <w:tr w14:paraId="78E1031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747" w:type="pct"/>
            <w:vAlign w:val="center"/>
          </w:tcPr>
          <w:p w14:paraId="64D99BCA">
            <w:pPr>
              <w:pStyle w:val="249"/>
              <w:rPr>
                <w:szCs w:val="21"/>
              </w:rPr>
            </w:pPr>
            <w:r>
              <w:rPr>
                <w:rFonts w:hint="eastAsia" w:ascii="宋体" w:hAnsi="宋体" w:cs="宋体"/>
                <w:color w:val="000000" w:themeColor="text1"/>
                <w:szCs w:val="21"/>
                <w14:textFill>
                  <w14:solidFill>
                    <w14:schemeClr w14:val="tx1"/>
                  </w14:solidFill>
                </w14:textFill>
              </w:rPr>
              <w:t>1,1,2-三氯乙烷</w:t>
            </w:r>
          </w:p>
        </w:tc>
        <w:tc>
          <w:tcPr>
            <w:tcW w:w="322" w:type="pct"/>
            <w:vAlign w:val="center"/>
          </w:tcPr>
          <w:p w14:paraId="0B3A81B5">
            <w:pPr>
              <w:jc w:val="center"/>
              <w:rPr>
                <w:rFonts w:hint="eastAsia" w:ascii="宋体" w:hAnsi="宋体" w:cs="宋体"/>
              </w:rPr>
            </w:pPr>
            <w:r>
              <w:rPr>
                <w:rFonts w:hint="eastAsia" w:ascii="宋体" w:hAnsi="宋体" w:cs="宋体"/>
                <w:bCs/>
                <w:color w:val="000000" w:themeColor="text1"/>
                <w:kern w:val="0"/>
                <w:szCs w:val="21"/>
                <w:lang w:bidi="ar"/>
                <w14:textFill>
                  <w14:solidFill>
                    <w14:schemeClr w14:val="tx1"/>
                  </w14:solidFill>
                </w14:textFill>
              </w:rPr>
              <w:t>mg/kg</w:t>
            </w:r>
          </w:p>
        </w:tc>
        <w:tc>
          <w:tcPr>
            <w:tcW w:w="371" w:type="pct"/>
            <w:vAlign w:val="center"/>
          </w:tcPr>
          <w:p w14:paraId="5E8EB0C1">
            <w:pPr>
              <w:pStyle w:val="249"/>
              <w:rPr>
                <w:szCs w:val="21"/>
              </w:rPr>
            </w:pPr>
            <w:r>
              <w:rPr>
                <w:rFonts w:hint="eastAsia" w:ascii="宋体" w:hAnsi="宋体" w:cs="宋体"/>
                <w:color w:val="000000" w:themeColor="text1"/>
                <w:szCs w:val="21"/>
                <w14:textFill>
                  <w14:solidFill>
                    <w14:schemeClr w14:val="tx1"/>
                  </w14:solidFill>
                </w14:textFill>
              </w:rPr>
              <w:t>2.8</w:t>
            </w:r>
          </w:p>
        </w:tc>
        <w:tc>
          <w:tcPr>
            <w:tcW w:w="392" w:type="pct"/>
            <w:vAlign w:val="center"/>
          </w:tcPr>
          <w:p w14:paraId="231FB834">
            <w:pPr>
              <w:pStyle w:val="242"/>
              <w:rPr>
                <w:rFonts w:hint="eastAsia" w:ascii="宋体" w:hAnsi="宋体" w:cs="宋体"/>
                <w:szCs w:val="22"/>
              </w:rPr>
            </w:pPr>
            <w:r>
              <w:rPr>
                <w:rFonts w:hint="eastAsia" w:ascii="宋体" w:hAnsi="宋体" w:cs="宋体"/>
                <w:color w:val="000000" w:themeColor="text1"/>
                <w:szCs w:val="21"/>
                <w14:textFill>
                  <w14:solidFill>
                    <w14:schemeClr w14:val="tx1"/>
                  </w14:solidFill>
                </w14:textFill>
              </w:rPr>
              <w:t>ND</w:t>
            </w:r>
          </w:p>
        </w:tc>
        <w:tc>
          <w:tcPr>
            <w:tcW w:w="392" w:type="pct"/>
            <w:vAlign w:val="center"/>
          </w:tcPr>
          <w:p w14:paraId="12EA5F70">
            <w:pPr>
              <w:pStyle w:val="242"/>
              <w:rPr>
                <w:rFonts w:hint="eastAsia" w:ascii="宋体" w:hAnsi="宋体" w:cs="宋体"/>
              </w:rPr>
            </w:pPr>
            <w:r>
              <w:rPr>
                <w:rFonts w:hint="eastAsia" w:ascii="宋体" w:hAnsi="宋体" w:cs="宋体"/>
              </w:rPr>
              <w:t>/</w:t>
            </w:r>
          </w:p>
        </w:tc>
        <w:tc>
          <w:tcPr>
            <w:tcW w:w="393" w:type="pct"/>
          </w:tcPr>
          <w:p w14:paraId="445BF62C">
            <w:pPr>
              <w:pStyle w:val="242"/>
              <w:rPr>
                <w:rFonts w:hint="eastAsia" w:ascii="宋体" w:hAnsi="宋体" w:cs="宋体"/>
              </w:rPr>
            </w:pPr>
            <w:r>
              <w:rPr>
                <w:rFonts w:hint="eastAsia" w:ascii="宋体" w:hAnsi="宋体" w:cs="宋体"/>
              </w:rPr>
              <w:t>达标</w:t>
            </w:r>
          </w:p>
        </w:tc>
        <w:tc>
          <w:tcPr>
            <w:tcW w:w="392" w:type="pct"/>
          </w:tcPr>
          <w:p w14:paraId="16FFCF74">
            <w:pPr>
              <w:pStyle w:val="242"/>
              <w:rPr>
                <w:rFonts w:hint="eastAsia" w:ascii="宋体" w:hAnsi="宋体" w:cs="宋体"/>
                <w:szCs w:val="22"/>
              </w:rPr>
            </w:pPr>
            <w:r>
              <w:rPr>
                <w:rFonts w:hint="eastAsia" w:ascii="宋体" w:hAnsi="宋体" w:cs="宋体"/>
                <w:szCs w:val="22"/>
              </w:rPr>
              <w:t>-</w:t>
            </w:r>
          </w:p>
        </w:tc>
        <w:tc>
          <w:tcPr>
            <w:tcW w:w="417" w:type="pct"/>
          </w:tcPr>
          <w:p w14:paraId="6EC643F8">
            <w:pPr>
              <w:pStyle w:val="242"/>
              <w:rPr>
                <w:rFonts w:hint="eastAsia" w:ascii="宋体" w:hAnsi="宋体" w:cs="宋体"/>
              </w:rPr>
            </w:pPr>
            <w:r>
              <w:rPr>
                <w:rFonts w:hint="eastAsia" w:ascii="宋体" w:hAnsi="宋体" w:cs="宋体"/>
                <w:szCs w:val="22"/>
              </w:rPr>
              <w:t>-</w:t>
            </w:r>
          </w:p>
        </w:tc>
        <w:tc>
          <w:tcPr>
            <w:tcW w:w="393" w:type="pct"/>
          </w:tcPr>
          <w:p w14:paraId="472A6F17">
            <w:pPr>
              <w:pStyle w:val="242"/>
              <w:rPr>
                <w:rFonts w:hint="eastAsia" w:ascii="宋体" w:hAnsi="宋体" w:cs="宋体"/>
              </w:rPr>
            </w:pPr>
            <w:r>
              <w:rPr>
                <w:rFonts w:hint="eastAsia" w:ascii="宋体" w:hAnsi="宋体" w:cs="宋体"/>
                <w:szCs w:val="22"/>
              </w:rPr>
              <w:t>-</w:t>
            </w:r>
          </w:p>
        </w:tc>
        <w:tc>
          <w:tcPr>
            <w:tcW w:w="392" w:type="pct"/>
          </w:tcPr>
          <w:p w14:paraId="41F491B5">
            <w:pPr>
              <w:pStyle w:val="242"/>
              <w:rPr>
                <w:rFonts w:hint="eastAsia" w:ascii="宋体" w:hAnsi="宋体" w:cs="宋体"/>
              </w:rPr>
            </w:pPr>
            <w:r>
              <w:rPr>
                <w:rFonts w:hint="eastAsia" w:ascii="宋体" w:hAnsi="宋体" w:cs="宋体"/>
                <w:szCs w:val="22"/>
              </w:rPr>
              <w:t>-</w:t>
            </w:r>
          </w:p>
        </w:tc>
        <w:tc>
          <w:tcPr>
            <w:tcW w:w="392" w:type="pct"/>
          </w:tcPr>
          <w:p w14:paraId="5E86AA1D">
            <w:pPr>
              <w:pStyle w:val="242"/>
              <w:rPr>
                <w:rFonts w:hint="eastAsia" w:ascii="宋体" w:hAnsi="宋体" w:cs="宋体"/>
              </w:rPr>
            </w:pPr>
            <w:r>
              <w:rPr>
                <w:rFonts w:hint="eastAsia" w:ascii="宋体" w:hAnsi="宋体" w:cs="宋体"/>
                <w:szCs w:val="22"/>
              </w:rPr>
              <w:t>-</w:t>
            </w:r>
          </w:p>
        </w:tc>
        <w:tc>
          <w:tcPr>
            <w:tcW w:w="398" w:type="pct"/>
          </w:tcPr>
          <w:p w14:paraId="6F3900CF">
            <w:pPr>
              <w:pStyle w:val="242"/>
              <w:rPr>
                <w:rFonts w:hint="eastAsia" w:ascii="宋体" w:hAnsi="宋体" w:cs="宋体"/>
              </w:rPr>
            </w:pPr>
            <w:r>
              <w:rPr>
                <w:rFonts w:hint="eastAsia" w:ascii="宋体" w:hAnsi="宋体" w:cs="宋体"/>
                <w:szCs w:val="22"/>
              </w:rPr>
              <w:t>-</w:t>
            </w:r>
          </w:p>
        </w:tc>
      </w:tr>
      <w:tr w14:paraId="682EF68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747" w:type="pct"/>
            <w:vAlign w:val="center"/>
          </w:tcPr>
          <w:p w14:paraId="6B3FF619">
            <w:pPr>
              <w:pStyle w:val="249"/>
              <w:rPr>
                <w:szCs w:val="21"/>
              </w:rPr>
            </w:pPr>
            <w:r>
              <w:rPr>
                <w:rFonts w:hint="eastAsia" w:ascii="宋体" w:hAnsi="宋体" w:cs="宋体"/>
                <w:color w:val="000000" w:themeColor="text1"/>
                <w:szCs w:val="21"/>
                <w14:textFill>
                  <w14:solidFill>
                    <w14:schemeClr w14:val="tx1"/>
                  </w14:solidFill>
                </w14:textFill>
              </w:rPr>
              <w:t>三氯乙烯</w:t>
            </w:r>
          </w:p>
        </w:tc>
        <w:tc>
          <w:tcPr>
            <w:tcW w:w="322" w:type="pct"/>
            <w:vAlign w:val="center"/>
          </w:tcPr>
          <w:p w14:paraId="0FD10336">
            <w:pPr>
              <w:jc w:val="center"/>
              <w:rPr>
                <w:rFonts w:hint="eastAsia" w:ascii="宋体" w:hAnsi="宋体" w:cs="宋体"/>
              </w:rPr>
            </w:pPr>
            <w:r>
              <w:rPr>
                <w:rFonts w:hint="eastAsia" w:ascii="宋体" w:hAnsi="宋体" w:cs="宋体"/>
                <w:bCs/>
                <w:color w:val="000000" w:themeColor="text1"/>
                <w:kern w:val="0"/>
                <w:szCs w:val="21"/>
                <w:lang w:bidi="ar"/>
                <w14:textFill>
                  <w14:solidFill>
                    <w14:schemeClr w14:val="tx1"/>
                  </w14:solidFill>
                </w14:textFill>
              </w:rPr>
              <w:t>mg/kg</w:t>
            </w:r>
          </w:p>
        </w:tc>
        <w:tc>
          <w:tcPr>
            <w:tcW w:w="371" w:type="pct"/>
            <w:vAlign w:val="center"/>
          </w:tcPr>
          <w:p w14:paraId="6074F845">
            <w:pPr>
              <w:pStyle w:val="249"/>
              <w:rPr>
                <w:szCs w:val="21"/>
              </w:rPr>
            </w:pPr>
            <w:r>
              <w:rPr>
                <w:rFonts w:hint="eastAsia" w:ascii="宋体" w:hAnsi="宋体" w:cs="宋体"/>
                <w:color w:val="000000" w:themeColor="text1"/>
                <w:szCs w:val="21"/>
                <w14:textFill>
                  <w14:solidFill>
                    <w14:schemeClr w14:val="tx1"/>
                  </w14:solidFill>
                </w14:textFill>
              </w:rPr>
              <w:t>2.8</w:t>
            </w:r>
          </w:p>
        </w:tc>
        <w:tc>
          <w:tcPr>
            <w:tcW w:w="392" w:type="pct"/>
            <w:vAlign w:val="center"/>
          </w:tcPr>
          <w:p w14:paraId="02655E1D">
            <w:pPr>
              <w:pStyle w:val="242"/>
              <w:rPr>
                <w:rFonts w:hint="eastAsia" w:ascii="宋体" w:hAnsi="宋体" w:cs="宋体"/>
                <w:szCs w:val="22"/>
              </w:rPr>
            </w:pPr>
            <w:r>
              <w:rPr>
                <w:rFonts w:hint="eastAsia" w:ascii="宋体" w:hAnsi="宋体" w:cs="宋体"/>
                <w:color w:val="000000" w:themeColor="text1"/>
                <w:szCs w:val="21"/>
                <w14:textFill>
                  <w14:solidFill>
                    <w14:schemeClr w14:val="tx1"/>
                  </w14:solidFill>
                </w14:textFill>
              </w:rPr>
              <w:t>ND</w:t>
            </w:r>
          </w:p>
        </w:tc>
        <w:tc>
          <w:tcPr>
            <w:tcW w:w="392" w:type="pct"/>
            <w:vAlign w:val="center"/>
          </w:tcPr>
          <w:p w14:paraId="05D8395C">
            <w:pPr>
              <w:pStyle w:val="242"/>
              <w:rPr>
                <w:rFonts w:hint="eastAsia" w:ascii="宋体" w:hAnsi="宋体" w:cs="宋体"/>
              </w:rPr>
            </w:pPr>
            <w:r>
              <w:rPr>
                <w:rFonts w:hint="eastAsia" w:ascii="宋体" w:hAnsi="宋体" w:cs="宋体"/>
              </w:rPr>
              <w:t>/</w:t>
            </w:r>
          </w:p>
        </w:tc>
        <w:tc>
          <w:tcPr>
            <w:tcW w:w="393" w:type="pct"/>
          </w:tcPr>
          <w:p w14:paraId="531D2217">
            <w:pPr>
              <w:pStyle w:val="242"/>
              <w:rPr>
                <w:rFonts w:hint="eastAsia" w:ascii="宋体" w:hAnsi="宋体" w:cs="宋体"/>
              </w:rPr>
            </w:pPr>
            <w:r>
              <w:rPr>
                <w:rFonts w:hint="eastAsia" w:ascii="宋体" w:hAnsi="宋体" w:cs="宋体"/>
              </w:rPr>
              <w:t>达标</w:t>
            </w:r>
          </w:p>
        </w:tc>
        <w:tc>
          <w:tcPr>
            <w:tcW w:w="392" w:type="pct"/>
          </w:tcPr>
          <w:p w14:paraId="1FB1A883">
            <w:pPr>
              <w:pStyle w:val="242"/>
              <w:rPr>
                <w:rFonts w:hint="eastAsia" w:ascii="宋体" w:hAnsi="宋体" w:cs="宋体"/>
                <w:szCs w:val="22"/>
              </w:rPr>
            </w:pPr>
            <w:r>
              <w:rPr>
                <w:rFonts w:hint="eastAsia" w:ascii="宋体" w:hAnsi="宋体" w:cs="宋体"/>
                <w:szCs w:val="22"/>
              </w:rPr>
              <w:t>-</w:t>
            </w:r>
          </w:p>
        </w:tc>
        <w:tc>
          <w:tcPr>
            <w:tcW w:w="417" w:type="pct"/>
          </w:tcPr>
          <w:p w14:paraId="7D9A5DD0">
            <w:pPr>
              <w:pStyle w:val="242"/>
              <w:rPr>
                <w:rFonts w:hint="eastAsia" w:ascii="宋体" w:hAnsi="宋体" w:cs="宋体"/>
              </w:rPr>
            </w:pPr>
            <w:r>
              <w:rPr>
                <w:rFonts w:hint="eastAsia" w:ascii="宋体" w:hAnsi="宋体" w:cs="宋体"/>
                <w:szCs w:val="22"/>
              </w:rPr>
              <w:t>-</w:t>
            </w:r>
          </w:p>
        </w:tc>
        <w:tc>
          <w:tcPr>
            <w:tcW w:w="393" w:type="pct"/>
          </w:tcPr>
          <w:p w14:paraId="260DE58E">
            <w:pPr>
              <w:pStyle w:val="242"/>
              <w:rPr>
                <w:rFonts w:hint="eastAsia" w:ascii="宋体" w:hAnsi="宋体" w:cs="宋体"/>
              </w:rPr>
            </w:pPr>
            <w:r>
              <w:rPr>
                <w:rFonts w:hint="eastAsia" w:ascii="宋体" w:hAnsi="宋体" w:cs="宋体"/>
                <w:szCs w:val="22"/>
              </w:rPr>
              <w:t>-</w:t>
            </w:r>
          </w:p>
        </w:tc>
        <w:tc>
          <w:tcPr>
            <w:tcW w:w="392" w:type="pct"/>
          </w:tcPr>
          <w:p w14:paraId="7E2C4F20">
            <w:pPr>
              <w:pStyle w:val="242"/>
              <w:rPr>
                <w:rFonts w:hint="eastAsia" w:ascii="宋体" w:hAnsi="宋体" w:cs="宋体"/>
              </w:rPr>
            </w:pPr>
            <w:r>
              <w:rPr>
                <w:rFonts w:hint="eastAsia" w:ascii="宋体" w:hAnsi="宋体" w:cs="宋体"/>
                <w:szCs w:val="22"/>
              </w:rPr>
              <w:t>-</w:t>
            </w:r>
          </w:p>
        </w:tc>
        <w:tc>
          <w:tcPr>
            <w:tcW w:w="392" w:type="pct"/>
          </w:tcPr>
          <w:p w14:paraId="04E476F7">
            <w:pPr>
              <w:pStyle w:val="242"/>
              <w:rPr>
                <w:rFonts w:hint="eastAsia" w:ascii="宋体" w:hAnsi="宋体" w:cs="宋体"/>
              </w:rPr>
            </w:pPr>
            <w:r>
              <w:rPr>
                <w:rFonts w:hint="eastAsia" w:ascii="宋体" w:hAnsi="宋体" w:cs="宋体"/>
                <w:szCs w:val="22"/>
              </w:rPr>
              <w:t>-</w:t>
            </w:r>
          </w:p>
        </w:tc>
        <w:tc>
          <w:tcPr>
            <w:tcW w:w="398" w:type="pct"/>
          </w:tcPr>
          <w:p w14:paraId="4BB48A6B">
            <w:pPr>
              <w:pStyle w:val="242"/>
              <w:rPr>
                <w:rFonts w:hint="eastAsia" w:ascii="宋体" w:hAnsi="宋体" w:cs="宋体"/>
              </w:rPr>
            </w:pPr>
            <w:r>
              <w:rPr>
                <w:rFonts w:hint="eastAsia" w:ascii="宋体" w:hAnsi="宋体" w:cs="宋体"/>
                <w:szCs w:val="22"/>
              </w:rPr>
              <w:t>-</w:t>
            </w:r>
          </w:p>
        </w:tc>
      </w:tr>
      <w:tr w14:paraId="18997D2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747" w:type="pct"/>
            <w:vAlign w:val="center"/>
          </w:tcPr>
          <w:p w14:paraId="6CB5443B">
            <w:pPr>
              <w:pStyle w:val="249"/>
              <w:rPr>
                <w:szCs w:val="21"/>
              </w:rPr>
            </w:pPr>
            <w:r>
              <w:rPr>
                <w:rFonts w:hint="eastAsia" w:ascii="宋体" w:hAnsi="宋体" w:cs="宋体"/>
                <w:color w:val="000000" w:themeColor="text1"/>
                <w:szCs w:val="21"/>
                <w14:textFill>
                  <w14:solidFill>
                    <w14:schemeClr w14:val="tx1"/>
                  </w14:solidFill>
                </w14:textFill>
              </w:rPr>
              <w:t>1,2,3-三氯丙烷</w:t>
            </w:r>
          </w:p>
        </w:tc>
        <w:tc>
          <w:tcPr>
            <w:tcW w:w="322" w:type="pct"/>
            <w:vAlign w:val="center"/>
          </w:tcPr>
          <w:p w14:paraId="01077071">
            <w:pPr>
              <w:jc w:val="center"/>
              <w:rPr>
                <w:rFonts w:hint="eastAsia" w:ascii="宋体" w:hAnsi="宋体" w:cs="宋体"/>
              </w:rPr>
            </w:pPr>
            <w:r>
              <w:rPr>
                <w:rFonts w:hint="eastAsia" w:ascii="宋体" w:hAnsi="宋体" w:cs="宋体"/>
                <w:bCs/>
                <w:color w:val="000000" w:themeColor="text1"/>
                <w:kern w:val="0"/>
                <w:szCs w:val="21"/>
                <w:lang w:bidi="ar"/>
                <w14:textFill>
                  <w14:solidFill>
                    <w14:schemeClr w14:val="tx1"/>
                  </w14:solidFill>
                </w14:textFill>
              </w:rPr>
              <w:t>mg/kg</w:t>
            </w:r>
          </w:p>
        </w:tc>
        <w:tc>
          <w:tcPr>
            <w:tcW w:w="371" w:type="pct"/>
            <w:vAlign w:val="center"/>
          </w:tcPr>
          <w:p w14:paraId="15714CD6">
            <w:pPr>
              <w:pStyle w:val="249"/>
              <w:rPr>
                <w:szCs w:val="21"/>
              </w:rPr>
            </w:pPr>
            <w:r>
              <w:rPr>
                <w:rFonts w:hint="eastAsia" w:ascii="宋体" w:hAnsi="宋体" w:cs="宋体"/>
                <w:color w:val="000000" w:themeColor="text1"/>
                <w:szCs w:val="21"/>
                <w14:textFill>
                  <w14:solidFill>
                    <w14:schemeClr w14:val="tx1"/>
                  </w14:solidFill>
                </w14:textFill>
              </w:rPr>
              <w:t>0.5</w:t>
            </w:r>
          </w:p>
        </w:tc>
        <w:tc>
          <w:tcPr>
            <w:tcW w:w="392" w:type="pct"/>
            <w:vAlign w:val="center"/>
          </w:tcPr>
          <w:p w14:paraId="369D608C">
            <w:pPr>
              <w:pStyle w:val="242"/>
              <w:rPr>
                <w:rFonts w:hint="eastAsia" w:ascii="宋体" w:hAnsi="宋体" w:cs="宋体"/>
                <w:szCs w:val="22"/>
              </w:rPr>
            </w:pPr>
            <w:r>
              <w:rPr>
                <w:rFonts w:hint="eastAsia" w:ascii="宋体" w:hAnsi="宋体" w:cs="宋体"/>
                <w:color w:val="000000" w:themeColor="text1"/>
                <w:szCs w:val="21"/>
                <w14:textFill>
                  <w14:solidFill>
                    <w14:schemeClr w14:val="tx1"/>
                  </w14:solidFill>
                </w14:textFill>
              </w:rPr>
              <w:t>ND</w:t>
            </w:r>
          </w:p>
        </w:tc>
        <w:tc>
          <w:tcPr>
            <w:tcW w:w="392" w:type="pct"/>
            <w:vAlign w:val="center"/>
          </w:tcPr>
          <w:p w14:paraId="4E8D9FAE">
            <w:pPr>
              <w:pStyle w:val="242"/>
              <w:rPr>
                <w:rFonts w:hint="eastAsia" w:ascii="宋体" w:hAnsi="宋体" w:cs="宋体"/>
              </w:rPr>
            </w:pPr>
            <w:r>
              <w:rPr>
                <w:rFonts w:hint="eastAsia" w:ascii="宋体" w:hAnsi="宋体" w:cs="宋体"/>
              </w:rPr>
              <w:t>/</w:t>
            </w:r>
          </w:p>
        </w:tc>
        <w:tc>
          <w:tcPr>
            <w:tcW w:w="393" w:type="pct"/>
          </w:tcPr>
          <w:p w14:paraId="2A33BD04">
            <w:pPr>
              <w:pStyle w:val="242"/>
              <w:rPr>
                <w:rFonts w:hint="eastAsia" w:ascii="宋体" w:hAnsi="宋体" w:cs="宋体"/>
              </w:rPr>
            </w:pPr>
            <w:r>
              <w:rPr>
                <w:rFonts w:hint="eastAsia" w:ascii="宋体" w:hAnsi="宋体" w:cs="宋体"/>
              </w:rPr>
              <w:t>达标</w:t>
            </w:r>
          </w:p>
        </w:tc>
        <w:tc>
          <w:tcPr>
            <w:tcW w:w="392" w:type="pct"/>
          </w:tcPr>
          <w:p w14:paraId="1DE6FE06">
            <w:pPr>
              <w:pStyle w:val="242"/>
              <w:rPr>
                <w:rFonts w:hint="eastAsia" w:ascii="宋体" w:hAnsi="宋体" w:cs="宋体"/>
                <w:szCs w:val="22"/>
              </w:rPr>
            </w:pPr>
            <w:r>
              <w:rPr>
                <w:rFonts w:hint="eastAsia" w:ascii="宋体" w:hAnsi="宋体" w:cs="宋体"/>
                <w:szCs w:val="22"/>
              </w:rPr>
              <w:t>-</w:t>
            </w:r>
          </w:p>
        </w:tc>
        <w:tc>
          <w:tcPr>
            <w:tcW w:w="417" w:type="pct"/>
          </w:tcPr>
          <w:p w14:paraId="41ABEF2A">
            <w:pPr>
              <w:pStyle w:val="242"/>
              <w:rPr>
                <w:rFonts w:hint="eastAsia" w:ascii="宋体" w:hAnsi="宋体" w:cs="宋体"/>
              </w:rPr>
            </w:pPr>
            <w:r>
              <w:rPr>
                <w:rFonts w:hint="eastAsia" w:ascii="宋体" w:hAnsi="宋体" w:cs="宋体"/>
                <w:szCs w:val="22"/>
              </w:rPr>
              <w:t>-</w:t>
            </w:r>
          </w:p>
        </w:tc>
        <w:tc>
          <w:tcPr>
            <w:tcW w:w="393" w:type="pct"/>
          </w:tcPr>
          <w:p w14:paraId="7C0306EE">
            <w:pPr>
              <w:pStyle w:val="242"/>
              <w:rPr>
                <w:rFonts w:hint="eastAsia" w:ascii="宋体" w:hAnsi="宋体" w:cs="宋体"/>
              </w:rPr>
            </w:pPr>
            <w:r>
              <w:rPr>
                <w:rFonts w:hint="eastAsia" w:ascii="宋体" w:hAnsi="宋体" w:cs="宋体"/>
                <w:szCs w:val="22"/>
              </w:rPr>
              <w:t>-</w:t>
            </w:r>
          </w:p>
        </w:tc>
        <w:tc>
          <w:tcPr>
            <w:tcW w:w="392" w:type="pct"/>
          </w:tcPr>
          <w:p w14:paraId="1B2DCF26">
            <w:pPr>
              <w:pStyle w:val="242"/>
              <w:rPr>
                <w:rFonts w:hint="eastAsia" w:ascii="宋体" w:hAnsi="宋体" w:cs="宋体"/>
              </w:rPr>
            </w:pPr>
            <w:r>
              <w:rPr>
                <w:rFonts w:hint="eastAsia" w:ascii="宋体" w:hAnsi="宋体" w:cs="宋体"/>
                <w:szCs w:val="22"/>
              </w:rPr>
              <w:t>-</w:t>
            </w:r>
          </w:p>
        </w:tc>
        <w:tc>
          <w:tcPr>
            <w:tcW w:w="392" w:type="pct"/>
          </w:tcPr>
          <w:p w14:paraId="4770B3DB">
            <w:pPr>
              <w:pStyle w:val="242"/>
              <w:rPr>
                <w:rFonts w:hint="eastAsia" w:ascii="宋体" w:hAnsi="宋体" w:cs="宋体"/>
              </w:rPr>
            </w:pPr>
            <w:r>
              <w:rPr>
                <w:rFonts w:hint="eastAsia" w:ascii="宋体" w:hAnsi="宋体" w:cs="宋体"/>
                <w:szCs w:val="22"/>
              </w:rPr>
              <w:t>-</w:t>
            </w:r>
          </w:p>
        </w:tc>
        <w:tc>
          <w:tcPr>
            <w:tcW w:w="398" w:type="pct"/>
          </w:tcPr>
          <w:p w14:paraId="49B0A43C">
            <w:pPr>
              <w:pStyle w:val="242"/>
              <w:rPr>
                <w:rFonts w:hint="eastAsia" w:ascii="宋体" w:hAnsi="宋体" w:cs="宋体"/>
              </w:rPr>
            </w:pPr>
            <w:r>
              <w:rPr>
                <w:rFonts w:hint="eastAsia" w:ascii="宋体" w:hAnsi="宋体" w:cs="宋体"/>
                <w:szCs w:val="22"/>
              </w:rPr>
              <w:t>-</w:t>
            </w:r>
          </w:p>
        </w:tc>
      </w:tr>
      <w:tr w14:paraId="602585F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747" w:type="pct"/>
            <w:vAlign w:val="center"/>
          </w:tcPr>
          <w:p w14:paraId="5363BFA0">
            <w:pPr>
              <w:pStyle w:val="249"/>
              <w:rPr>
                <w:szCs w:val="21"/>
              </w:rPr>
            </w:pPr>
            <w:r>
              <w:rPr>
                <w:rFonts w:hint="eastAsia" w:ascii="宋体" w:hAnsi="宋体" w:cs="宋体"/>
                <w:color w:val="000000" w:themeColor="text1"/>
                <w:szCs w:val="21"/>
                <w14:textFill>
                  <w14:solidFill>
                    <w14:schemeClr w14:val="tx1"/>
                  </w14:solidFill>
                </w14:textFill>
              </w:rPr>
              <w:t>氯乙烯</w:t>
            </w:r>
          </w:p>
        </w:tc>
        <w:tc>
          <w:tcPr>
            <w:tcW w:w="322" w:type="pct"/>
            <w:vAlign w:val="center"/>
          </w:tcPr>
          <w:p w14:paraId="34BB3145">
            <w:pPr>
              <w:jc w:val="center"/>
              <w:rPr>
                <w:rFonts w:hint="eastAsia" w:ascii="宋体" w:hAnsi="宋体" w:cs="宋体"/>
              </w:rPr>
            </w:pPr>
            <w:r>
              <w:rPr>
                <w:rFonts w:hint="eastAsia" w:ascii="宋体" w:hAnsi="宋体" w:cs="宋体"/>
                <w:bCs/>
                <w:color w:val="000000" w:themeColor="text1"/>
                <w:kern w:val="0"/>
                <w:szCs w:val="21"/>
                <w:lang w:bidi="ar"/>
                <w14:textFill>
                  <w14:solidFill>
                    <w14:schemeClr w14:val="tx1"/>
                  </w14:solidFill>
                </w14:textFill>
              </w:rPr>
              <w:t>mg/kg</w:t>
            </w:r>
          </w:p>
        </w:tc>
        <w:tc>
          <w:tcPr>
            <w:tcW w:w="371" w:type="pct"/>
            <w:vAlign w:val="center"/>
          </w:tcPr>
          <w:p w14:paraId="0C5DFD3C">
            <w:pPr>
              <w:pStyle w:val="249"/>
              <w:rPr>
                <w:szCs w:val="21"/>
              </w:rPr>
            </w:pPr>
            <w:r>
              <w:rPr>
                <w:rFonts w:hint="eastAsia" w:ascii="宋体" w:hAnsi="宋体" w:cs="宋体"/>
                <w:color w:val="000000" w:themeColor="text1"/>
                <w:szCs w:val="21"/>
                <w14:textFill>
                  <w14:solidFill>
                    <w14:schemeClr w14:val="tx1"/>
                  </w14:solidFill>
                </w14:textFill>
              </w:rPr>
              <w:t>0.43</w:t>
            </w:r>
          </w:p>
        </w:tc>
        <w:tc>
          <w:tcPr>
            <w:tcW w:w="392" w:type="pct"/>
            <w:vAlign w:val="center"/>
          </w:tcPr>
          <w:p w14:paraId="0CC8A01F">
            <w:pPr>
              <w:pStyle w:val="242"/>
              <w:rPr>
                <w:rFonts w:hint="eastAsia" w:ascii="宋体" w:hAnsi="宋体" w:cs="宋体"/>
                <w:szCs w:val="22"/>
              </w:rPr>
            </w:pPr>
            <w:r>
              <w:rPr>
                <w:rFonts w:hint="eastAsia" w:ascii="宋体" w:hAnsi="宋体" w:cs="宋体"/>
                <w:color w:val="000000" w:themeColor="text1"/>
                <w:szCs w:val="21"/>
                <w14:textFill>
                  <w14:solidFill>
                    <w14:schemeClr w14:val="tx1"/>
                  </w14:solidFill>
                </w14:textFill>
              </w:rPr>
              <w:t>ND</w:t>
            </w:r>
          </w:p>
        </w:tc>
        <w:tc>
          <w:tcPr>
            <w:tcW w:w="392" w:type="pct"/>
            <w:vAlign w:val="center"/>
          </w:tcPr>
          <w:p w14:paraId="07B37705">
            <w:pPr>
              <w:pStyle w:val="242"/>
              <w:rPr>
                <w:rFonts w:hint="eastAsia" w:ascii="宋体" w:hAnsi="宋体" w:cs="宋体"/>
              </w:rPr>
            </w:pPr>
            <w:r>
              <w:rPr>
                <w:rFonts w:hint="eastAsia" w:ascii="宋体" w:hAnsi="宋体" w:cs="宋体"/>
              </w:rPr>
              <w:t>/</w:t>
            </w:r>
          </w:p>
        </w:tc>
        <w:tc>
          <w:tcPr>
            <w:tcW w:w="393" w:type="pct"/>
          </w:tcPr>
          <w:p w14:paraId="0AE99F4F">
            <w:pPr>
              <w:pStyle w:val="242"/>
              <w:rPr>
                <w:rFonts w:hint="eastAsia" w:ascii="宋体" w:hAnsi="宋体" w:cs="宋体"/>
              </w:rPr>
            </w:pPr>
            <w:r>
              <w:rPr>
                <w:rFonts w:hint="eastAsia" w:ascii="宋体" w:hAnsi="宋体" w:cs="宋体"/>
              </w:rPr>
              <w:t>达标</w:t>
            </w:r>
          </w:p>
        </w:tc>
        <w:tc>
          <w:tcPr>
            <w:tcW w:w="392" w:type="pct"/>
          </w:tcPr>
          <w:p w14:paraId="3F915EC9">
            <w:pPr>
              <w:pStyle w:val="242"/>
              <w:rPr>
                <w:rFonts w:hint="eastAsia" w:ascii="宋体" w:hAnsi="宋体" w:cs="宋体"/>
                <w:szCs w:val="22"/>
              </w:rPr>
            </w:pPr>
            <w:r>
              <w:rPr>
                <w:rFonts w:hint="eastAsia" w:ascii="宋体" w:hAnsi="宋体" w:cs="宋体"/>
                <w:szCs w:val="22"/>
              </w:rPr>
              <w:t>-</w:t>
            </w:r>
          </w:p>
        </w:tc>
        <w:tc>
          <w:tcPr>
            <w:tcW w:w="417" w:type="pct"/>
          </w:tcPr>
          <w:p w14:paraId="46EE0AA1">
            <w:pPr>
              <w:pStyle w:val="242"/>
              <w:rPr>
                <w:rFonts w:hint="eastAsia" w:ascii="宋体" w:hAnsi="宋体" w:cs="宋体"/>
              </w:rPr>
            </w:pPr>
            <w:r>
              <w:rPr>
                <w:rFonts w:hint="eastAsia" w:ascii="宋体" w:hAnsi="宋体" w:cs="宋体"/>
                <w:szCs w:val="22"/>
              </w:rPr>
              <w:t>-</w:t>
            </w:r>
          </w:p>
        </w:tc>
        <w:tc>
          <w:tcPr>
            <w:tcW w:w="393" w:type="pct"/>
          </w:tcPr>
          <w:p w14:paraId="351A9283">
            <w:pPr>
              <w:pStyle w:val="242"/>
              <w:rPr>
                <w:rFonts w:hint="eastAsia" w:ascii="宋体" w:hAnsi="宋体" w:cs="宋体"/>
              </w:rPr>
            </w:pPr>
            <w:r>
              <w:rPr>
                <w:rFonts w:hint="eastAsia" w:ascii="宋体" w:hAnsi="宋体" w:cs="宋体"/>
                <w:szCs w:val="22"/>
              </w:rPr>
              <w:t>-</w:t>
            </w:r>
          </w:p>
        </w:tc>
        <w:tc>
          <w:tcPr>
            <w:tcW w:w="392" w:type="pct"/>
          </w:tcPr>
          <w:p w14:paraId="57738521">
            <w:pPr>
              <w:pStyle w:val="242"/>
              <w:rPr>
                <w:rFonts w:hint="eastAsia" w:ascii="宋体" w:hAnsi="宋体" w:cs="宋体"/>
              </w:rPr>
            </w:pPr>
            <w:r>
              <w:rPr>
                <w:rFonts w:hint="eastAsia" w:ascii="宋体" w:hAnsi="宋体" w:cs="宋体"/>
                <w:szCs w:val="22"/>
              </w:rPr>
              <w:t>-</w:t>
            </w:r>
          </w:p>
        </w:tc>
        <w:tc>
          <w:tcPr>
            <w:tcW w:w="392" w:type="pct"/>
          </w:tcPr>
          <w:p w14:paraId="05C71F27">
            <w:pPr>
              <w:pStyle w:val="242"/>
              <w:rPr>
                <w:rFonts w:hint="eastAsia" w:ascii="宋体" w:hAnsi="宋体" w:cs="宋体"/>
              </w:rPr>
            </w:pPr>
            <w:r>
              <w:rPr>
                <w:rFonts w:hint="eastAsia" w:ascii="宋体" w:hAnsi="宋体" w:cs="宋体"/>
                <w:szCs w:val="22"/>
              </w:rPr>
              <w:t>-</w:t>
            </w:r>
          </w:p>
        </w:tc>
        <w:tc>
          <w:tcPr>
            <w:tcW w:w="398" w:type="pct"/>
          </w:tcPr>
          <w:p w14:paraId="4302DEAE">
            <w:pPr>
              <w:pStyle w:val="242"/>
              <w:rPr>
                <w:rFonts w:hint="eastAsia" w:ascii="宋体" w:hAnsi="宋体" w:cs="宋体"/>
              </w:rPr>
            </w:pPr>
            <w:r>
              <w:rPr>
                <w:rFonts w:hint="eastAsia" w:ascii="宋体" w:hAnsi="宋体" w:cs="宋体"/>
                <w:szCs w:val="22"/>
              </w:rPr>
              <w:t>-</w:t>
            </w:r>
          </w:p>
        </w:tc>
      </w:tr>
      <w:tr w14:paraId="13AD3BB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747" w:type="pct"/>
            <w:vAlign w:val="center"/>
          </w:tcPr>
          <w:p w14:paraId="1A902207">
            <w:pPr>
              <w:pStyle w:val="249"/>
              <w:rPr>
                <w:szCs w:val="21"/>
              </w:rPr>
            </w:pPr>
            <w:r>
              <w:rPr>
                <w:rFonts w:hint="eastAsia" w:ascii="宋体" w:hAnsi="宋体" w:cs="宋体"/>
                <w:color w:val="000000" w:themeColor="text1"/>
                <w:szCs w:val="21"/>
                <w14:textFill>
                  <w14:solidFill>
                    <w14:schemeClr w14:val="tx1"/>
                  </w14:solidFill>
                </w14:textFill>
              </w:rPr>
              <w:t>苯</w:t>
            </w:r>
          </w:p>
        </w:tc>
        <w:tc>
          <w:tcPr>
            <w:tcW w:w="322" w:type="pct"/>
            <w:vAlign w:val="center"/>
          </w:tcPr>
          <w:p w14:paraId="26763837">
            <w:pPr>
              <w:jc w:val="center"/>
              <w:rPr>
                <w:rFonts w:hint="eastAsia" w:ascii="宋体" w:hAnsi="宋体" w:cs="宋体"/>
              </w:rPr>
            </w:pPr>
            <w:r>
              <w:rPr>
                <w:rFonts w:hint="eastAsia" w:ascii="宋体" w:hAnsi="宋体" w:cs="宋体"/>
                <w:bCs/>
                <w:color w:val="000000" w:themeColor="text1"/>
                <w:kern w:val="0"/>
                <w:szCs w:val="21"/>
                <w:lang w:bidi="ar"/>
                <w14:textFill>
                  <w14:solidFill>
                    <w14:schemeClr w14:val="tx1"/>
                  </w14:solidFill>
                </w14:textFill>
              </w:rPr>
              <w:t>mg/kg</w:t>
            </w:r>
          </w:p>
        </w:tc>
        <w:tc>
          <w:tcPr>
            <w:tcW w:w="371" w:type="pct"/>
            <w:vAlign w:val="center"/>
          </w:tcPr>
          <w:p w14:paraId="20576F5F">
            <w:pPr>
              <w:pStyle w:val="249"/>
              <w:rPr>
                <w:szCs w:val="21"/>
              </w:rPr>
            </w:pPr>
            <w:r>
              <w:rPr>
                <w:rFonts w:hint="eastAsia" w:ascii="宋体" w:hAnsi="宋体" w:cs="宋体"/>
                <w:color w:val="000000" w:themeColor="text1"/>
                <w:szCs w:val="21"/>
                <w14:textFill>
                  <w14:solidFill>
                    <w14:schemeClr w14:val="tx1"/>
                  </w14:solidFill>
                </w14:textFill>
              </w:rPr>
              <w:t>4</w:t>
            </w:r>
          </w:p>
        </w:tc>
        <w:tc>
          <w:tcPr>
            <w:tcW w:w="392" w:type="pct"/>
            <w:vAlign w:val="center"/>
          </w:tcPr>
          <w:p w14:paraId="55585DBC">
            <w:pPr>
              <w:pStyle w:val="242"/>
              <w:rPr>
                <w:rFonts w:hint="eastAsia" w:ascii="宋体" w:hAnsi="宋体" w:cs="宋体"/>
                <w:szCs w:val="22"/>
              </w:rPr>
            </w:pPr>
            <w:r>
              <w:rPr>
                <w:rFonts w:hint="eastAsia" w:ascii="宋体" w:hAnsi="宋体" w:cs="宋体"/>
                <w:color w:val="000000" w:themeColor="text1"/>
                <w:szCs w:val="21"/>
                <w14:textFill>
                  <w14:solidFill>
                    <w14:schemeClr w14:val="tx1"/>
                  </w14:solidFill>
                </w14:textFill>
              </w:rPr>
              <w:t>ND</w:t>
            </w:r>
          </w:p>
        </w:tc>
        <w:tc>
          <w:tcPr>
            <w:tcW w:w="392" w:type="pct"/>
            <w:vAlign w:val="center"/>
          </w:tcPr>
          <w:p w14:paraId="3A10E76A">
            <w:pPr>
              <w:pStyle w:val="242"/>
              <w:rPr>
                <w:rFonts w:hint="eastAsia" w:ascii="宋体" w:hAnsi="宋体" w:cs="宋体"/>
              </w:rPr>
            </w:pPr>
            <w:r>
              <w:rPr>
                <w:rFonts w:hint="eastAsia" w:ascii="宋体" w:hAnsi="宋体" w:cs="宋体"/>
              </w:rPr>
              <w:t>/</w:t>
            </w:r>
          </w:p>
        </w:tc>
        <w:tc>
          <w:tcPr>
            <w:tcW w:w="393" w:type="pct"/>
          </w:tcPr>
          <w:p w14:paraId="358A997C">
            <w:pPr>
              <w:pStyle w:val="242"/>
              <w:rPr>
                <w:rFonts w:hint="eastAsia" w:ascii="宋体" w:hAnsi="宋体" w:cs="宋体"/>
              </w:rPr>
            </w:pPr>
            <w:r>
              <w:rPr>
                <w:rFonts w:hint="eastAsia" w:ascii="宋体" w:hAnsi="宋体" w:cs="宋体"/>
              </w:rPr>
              <w:t>达标</w:t>
            </w:r>
          </w:p>
        </w:tc>
        <w:tc>
          <w:tcPr>
            <w:tcW w:w="392" w:type="pct"/>
          </w:tcPr>
          <w:p w14:paraId="212F0AEE">
            <w:pPr>
              <w:pStyle w:val="242"/>
              <w:rPr>
                <w:rFonts w:hint="eastAsia" w:ascii="宋体" w:hAnsi="宋体" w:cs="宋体"/>
                <w:szCs w:val="22"/>
              </w:rPr>
            </w:pPr>
            <w:r>
              <w:rPr>
                <w:rFonts w:hint="eastAsia" w:ascii="宋体" w:hAnsi="宋体" w:cs="宋体"/>
                <w:szCs w:val="22"/>
              </w:rPr>
              <w:t>-</w:t>
            </w:r>
          </w:p>
        </w:tc>
        <w:tc>
          <w:tcPr>
            <w:tcW w:w="417" w:type="pct"/>
          </w:tcPr>
          <w:p w14:paraId="24C320FB">
            <w:pPr>
              <w:pStyle w:val="242"/>
              <w:rPr>
                <w:rFonts w:hint="eastAsia" w:ascii="宋体" w:hAnsi="宋体" w:cs="宋体"/>
              </w:rPr>
            </w:pPr>
            <w:r>
              <w:rPr>
                <w:rFonts w:hint="eastAsia" w:ascii="宋体" w:hAnsi="宋体" w:cs="宋体"/>
                <w:szCs w:val="22"/>
              </w:rPr>
              <w:t>-</w:t>
            </w:r>
          </w:p>
        </w:tc>
        <w:tc>
          <w:tcPr>
            <w:tcW w:w="393" w:type="pct"/>
          </w:tcPr>
          <w:p w14:paraId="6CD512D3">
            <w:pPr>
              <w:pStyle w:val="242"/>
              <w:rPr>
                <w:rFonts w:hint="eastAsia" w:ascii="宋体" w:hAnsi="宋体" w:cs="宋体"/>
              </w:rPr>
            </w:pPr>
            <w:r>
              <w:rPr>
                <w:rFonts w:hint="eastAsia" w:ascii="宋体" w:hAnsi="宋体" w:cs="宋体"/>
                <w:szCs w:val="22"/>
              </w:rPr>
              <w:t>-</w:t>
            </w:r>
          </w:p>
        </w:tc>
        <w:tc>
          <w:tcPr>
            <w:tcW w:w="392" w:type="pct"/>
          </w:tcPr>
          <w:p w14:paraId="45401A18">
            <w:pPr>
              <w:pStyle w:val="242"/>
              <w:rPr>
                <w:rFonts w:hint="eastAsia" w:ascii="宋体" w:hAnsi="宋体" w:cs="宋体"/>
              </w:rPr>
            </w:pPr>
            <w:r>
              <w:rPr>
                <w:rFonts w:hint="eastAsia" w:ascii="宋体" w:hAnsi="宋体" w:cs="宋体"/>
                <w:szCs w:val="22"/>
              </w:rPr>
              <w:t>-</w:t>
            </w:r>
          </w:p>
        </w:tc>
        <w:tc>
          <w:tcPr>
            <w:tcW w:w="392" w:type="pct"/>
          </w:tcPr>
          <w:p w14:paraId="4735E4DB">
            <w:pPr>
              <w:pStyle w:val="242"/>
              <w:rPr>
                <w:rFonts w:hint="eastAsia" w:ascii="宋体" w:hAnsi="宋体" w:cs="宋体"/>
              </w:rPr>
            </w:pPr>
            <w:r>
              <w:rPr>
                <w:rFonts w:hint="eastAsia" w:ascii="宋体" w:hAnsi="宋体" w:cs="宋体"/>
                <w:szCs w:val="22"/>
              </w:rPr>
              <w:t>-</w:t>
            </w:r>
          </w:p>
        </w:tc>
        <w:tc>
          <w:tcPr>
            <w:tcW w:w="398" w:type="pct"/>
          </w:tcPr>
          <w:p w14:paraId="7999931A">
            <w:pPr>
              <w:pStyle w:val="242"/>
              <w:rPr>
                <w:rFonts w:hint="eastAsia" w:ascii="宋体" w:hAnsi="宋体" w:cs="宋体"/>
              </w:rPr>
            </w:pPr>
            <w:r>
              <w:rPr>
                <w:rFonts w:hint="eastAsia" w:ascii="宋体" w:hAnsi="宋体" w:cs="宋体"/>
                <w:szCs w:val="22"/>
              </w:rPr>
              <w:t>-</w:t>
            </w:r>
          </w:p>
        </w:tc>
      </w:tr>
      <w:tr w14:paraId="62095A9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747" w:type="pct"/>
            <w:vAlign w:val="center"/>
          </w:tcPr>
          <w:p w14:paraId="77D8AB47">
            <w:pPr>
              <w:pStyle w:val="249"/>
              <w:rPr>
                <w:szCs w:val="21"/>
              </w:rPr>
            </w:pPr>
            <w:r>
              <w:rPr>
                <w:rFonts w:hint="eastAsia" w:ascii="宋体" w:hAnsi="宋体" w:cs="宋体"/>
                <w:color w:val="000000" w:themeColor="text1"/>
                <w:szCs w:val="21"/>
                <w14:textFill>
                  <w14:solidFill>
                    <w14:schemeClr w14:val="tx1"/>
                  </w14:solidFill>
                </w14:textFill>
              </w:rPr>
              <w:t>氯苯</w:t>
            </w:r>
          </w:p>
        </w:tc>
        <w:tc>
          <w:tcPr>
            <w:tcW w:w="322" w:type="pct"/>
            <w:vAlign w:val="center"/>
          </w:tcPr>
          <w:p w14:paraId="4E2FADCA">
            <w:pPr>
              <w:jc w:val="center"/>
              <w:rPr>
                <w:rFonts w:hint="eastAsia" w:ascii="宋体" w:hAnsi="宋体" w:cs="宋体"/>
              </w:rPr>
            </w:pPr>
            <w:r>
              <w:rPr>
                <w:rFonts w:hint="eastAsia" w:ascii="宋体" w:hAnsi="宋体" w:cs="宋体"/>
                <w:bCs/>
                <w:color w:val="000000" w:themeColor="text1"/>
                <w:kern w:val="0"/>
                <w:szCs w:val="21"/>
                <w:lang w:bidi="ar"/>
                <w14:textFill>
                  <w14:solidFill>
                    <w14:schemeClr w14:val="tx1"/>
                  </w14:solidFill>
                </w14:textFill>
              </w:rPr>
              <w:t>mg/kg</w:t>
            </w:r>
          </w:p>
        </w:tc>
        <w:tc>
          <w:tcPr>
            <w:tcW w:w="371" w:type="pct"/>
            <w:vAlign w:val="center"/>
          </w:tcPr>
          <w:p w14:paraId="162B06E9">
            <w:pPr>
              <w:pStyle w:val="249"/>
              <w:rPr>
                <w:szCs w:val="21"/>
              </w:rPr>
            </w:pPr>
            <w:r>
              <w:rPr>
                <w:rFonts w:hint="eastAsia" w:ascii="宋体" w:hAnsi="宋体" w:cs="宋体"/>
                <w:color w:val="000000" w:themeColor="text1"/>
                <w:szCs w:val="21"/>
                <w14:textFill>
                  <w14:solidFill>
                    <w14:schemeClr w14:val="tx1"/>
                  </w14:solidFill>
                </w14:textFill>
              </w:rPr>
              <w:t>270</w:t>
            </w:r>
          </w:p>
        </w:tc>
        <w:tc>
          <w:tcPr>
            <w:tcW w:w="392" w:type="pct"/>
            <w:vAlign w:val="center"/>
          </w:tcPr>
          <w:p w14:paraId="0BB4DB09">
            <w:pPr>
              <w:pStyle w:val="242"/>
              <w:rPr>
                <w:rFonts w:hint="eastAsia" w:ascii="宋体" w:hAnsi="宋体" w:cs="宋体"/>
                <w:szCs w:val="22"/>
              </w:rPr>
            </w:pPr>
            <w:r>
              <w:rPr>
                <w:rFonts w:hint="eastAsia" w:ascii="宋体" w:hAnsi="宋体" w:cs="宋体"/>
                <w:color w:val="000000" w:themeColor="text1"/>
                <w:szCs w:val="21"/>
                <w14:textFill>
                  <w14:solidFill>
                    <w14:schemeClr w14:val="tx1"/>
                  </w14:solidFill>
                </w14:textFill>
              </w:rPr>
              <w:t>ND</w:t>
            </w:r>
          </w:p>
        </w:tc>
        <w:tc>
          <w:tcPr>
            <w:tcW w:w="392" w:type="pct"/>
            <w:vAlign w:val="center"/>
          </w:tcPr>
          <w:p w14:paraId="34439933">
            <w:pPr>
              <w:pStyle w:val="242"/>
              <w:rPr>
                <w:rFonts w:hint="eastAsia" w:ascii="宋体" w:hAnsi="宋体" w:cs="宋体"/>
              </w:rPr>
            </w:pPr>
            <w:r>
              <w:rPr>
                <w:rFonts w:hint="eastAsia" w:ascii="宋体" w:hAnsi="宋体" w:cs="宋体"/>
              </w:rPr>
              <w:t>/</w:t>
            </w:r>
          </w:p>
        </w:tc>
        <w:tc>
          <w:tcPr>
            <w:tcW w:w="393" w:type="pct"/>
          </w:tcPr>
          <w:p w14:paraId="20590475">
            <w:pPr>
              <w:pStyle w:val="242"/>
              <w:rPr>
                <w:rFonts w:hint="eastAsia" w:ascii="宋体" w:hAnsi="宋体" w:cs="宋体"/>
              </w:rPr>
            </w:pPr>
            <w:r>
              <w:rPr>
                <w:rFonts w:hint="eastAsia" w:ascii="宋体" w:hAnsi="宋体" w:cs="宋体"/>
              </w:rPr>
              <w:t>达标</w:t>
            </w:r>
          </w:p>
        </w:tc>
        <w:tc>
          <w:tcPr>
            <w:tcW w:w="392" w:type="pct"/>
          </w:tcPr>
          <w:p w14:paraId="120CC88F">
            <w:pPr>
              <w:pStyle w:val="242"/>
              <w:rPr>
                <w:rFonts w:hint="eastAsia" w:ascii="宋体" w:hAnsi="宋体" w:cs="宋体"/>
                <w:szCs w:val="22"/>
              </w:rPr>
            </w:pPr>
            <w:r>
              <w:rPr>
                <w:rFonts w:hint="eastAsia" w:ascii="宋体" w:hAnsi="宋体" w:cs="宋体"/>
                <w:szCs w:val="22"/>
              </w:rPr>
              <w:t>-</w:t>
            </w:r>
          </w:p>
        </w:tc>
        <w:tc>
          <w:tcPr>
            <w:tcW w:w="417" w:type="pct"/>
          </w:tcPr>
          <w:p w14:paraId="0F76D771">
            <w:pPr>
              <w:pStyle w:val="242"/>
              <w:rPr>
                <w:rFonts w:hint="eastAsia" w:ascii="宋体" w:hAnsi="宋体" w:cs="宋体"/>
              </w:rPr>
            </w:pPr>
            <w:r>
              <w:rPr>
                <w:rFonts w:hint="eastAsia" w:ascii="宋体" w:hAnsi="宋体" w:cs="宋体"/>
                <w:szCs w:val="22"/>
              </w:rPr>
              <w:t>-</w:t>
            </w:r>
          </w:p>
        </w:tc>
        <w:tc>
          <w:tcPr>
            <w:tcW w:w="393" w:type="pct"/>
          </w:tcPr>
          <w:p w14:paraId="5D33B416">
            <w:pPr>
              <w:pStyle w:val="242"/>
              <w:rPr>
                <w:rFonts w:hint="eastAsia" w:ascii="宋体" w:hAnsi="宋体" w:cs="宋体"/>
              </w:rPr>
            </w:pPr>
            <w:r>
              <w:rPr>
                <w:rFonts w:hint="eastAsia" w:ascii="宋体" w:hAnsi="宋体" w:cs="宋体"/>
                <w:szCs w:val="22"/>
              </w:rPr>
              <w:t>-</w:t>
            </w:r>
          </w:p>
        </w:tc>
        <w:tc>
          <w:tcPr>
            <w:tcW w:w="392" w:type="pct"/>
          </w:tcPr>
          <w:p w14:paraId="23908603">
            <w:pPr>
              <w:pStyle w:val="242"/>
              <w:rPr>
                <w:rFonts w:hint="eastAsia" w:ascii="宋体" w:hAnsi="宋体" w:cs="宋体"/>
              </w:rPr>
            </w:pPr>
            <w:r>
              <w:rPr>
                <w:rFonts w:hint="eastAsia" w:ascii="宋体" w:hAnsi="宋体" w:cs="宋体"/>
                <w:szCs w:val="22"/>
              </w:rPr>
              <w:t>-</w:t>
            </w:r>
          </w:p>
        </w:tc>
        <w:tc>
          <w:tcPr>
            <w:tcW w:w="392" w:type="pct"/>
          </w:tcPr>
          <w:p w14:paraId="7A71E8A5">
            <w:pPr>
              <w:pStyle w:val="242"/>
              <w:rPr>
                <w:rFonts w:hint="eastAsia" w:ascii="宋体" w:hAnsi="宋体" w:cs="宋体"/>
              </w:rPr>
            </w:pPr>
            <w:r>
              <w:rPr>
                <w:rFonts w:hint="eastAsia" w:ascii="宋体" w:hAnsi="宋体" w:cs="宋体"/>
                <w:szCs w:val="22"/>
              </w:rPr>
              <w:t>-</w:t>
            </w:r>
          </w:p>
        </w:tc>
        <w:tc>
          <w:tcPr>
            <w:tcW w:w="398" w:type="pct"/>
          </w:tcPr>
          <w:p w14:paraId="7EF6EDAF">
            <w:pPr>
              <w:pStyle w:val="242"/>
              <w:rPr>
                <w:rFonts w:hint="eastAsia" w:ascii="宋体" w:hAnsi="宋体" w:cs="宋体"/>
              </w:rPr>
            </w:pPr>
            <w:r>
              <w:rPr>
                <w:rFonts w:hint="eastAsia" w:ascii="宋体" w:hAnsi="宋体" w:cs="宋体"/>
                <w:szCs w:val="22"/>
              </w:rPr>
              <w:t>-</w:t>
            </w:r>
          </w:p>
        </w:tc>
      </w:tr>
      <w:tr w14:paraId="430E992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747" w:type="pct"/>
            <w:vAlign w:val="center"/>
          </w:tcPr>
          <w:p w14:paraId="1BE46098">
            <w:pPr>
              <w:pStyle w:val="249"/>
              <w:rPr>
                <w:szCs w:val="21"/>
              </w:rPr>
            </w:pPr>
            <w:r>
              <w:rPr>
                <w:rFonts w:hint="eastAsia" w:ascii="宋体" w:hAnsi="宋体" w:cs="宋体"/>
                <w:color w:val="000000" w:themeColor="text1"/>
                <w:szCs w:val="21"/>
                <w14:textFill>
                  <w14:solidFill>
                    <w14:schemeClr w14:val="tx1"/>
                  </w14:solidFill>
                </w14:textFill>
              </w:rPr>
              <w:t>1,2-二氯苯</w:t>
            </w:r>
          </w:p>
        </w:tc>
        <w:tc>
          <w:tcPr>
            <w:tcW w:w="322" w:type="pct"/>
            <w:vAlign w:val="center"/>
          </w:tcPr>
          <w:p w14:paraId="235A5A9F">
            <w:pPr>
              <w:jc w:val="center"/>
              <w:rPr>
                <w:rFonts w:hint="eastAsia" w:ascii="宋体" w:hAnsi="宋体" w:cs="宋体"/>
              </w:rPr>
            </w:pPr>
            <w:r>
              <w:rPr>
                <w:rFonts w:hint="eastAsia" w:ascii="宋体" w:hAnsi="宋体" w:cs="宋体"/>
                <w:bCs/>
                <w:color w:val="000000" w:themeColor="text1"/>
                <w:kern w:val="0"/>
                <w:szCs w:val="21"/>
                <w:lang w:bidi="ar"/>
                <w14:textFill>
                  <w14:solidFill>
                    <w14:schemeClr w14:val="tx1"/>
                  </w14:solidFill>
                </w14:textFill>
              </w:rPr>
              <w:t>mg/kg</w:t>
            </w:r>
          </w:p>
        </w:tc>
        <w:tc>
          <w:tcPr>
            <w:tcW w:w="371" w:type="pct"/>
            <w:vAlign w:val="center"/>
          </w:tcPr>
          <w:p w14:paraId="5C535077">
            <w:pPr>
              <w:pStyle w:val="249"/>
              <w:rPr>
                <w:szCs w:val="21"/>
              </w:rPr>
            </w:pPr>
            <w:r>
              <w:rPr>
                <w:rFonts w:hint="eastAsia" w:ascii="宋体" w:hAnsi="宋体" w:cs="宋体"/>
                <w:color w:val="000000" w:themeColor="text1"/>
                <w:szCs w:val="21"/>
                <w14:textFill>
                  <w14:solidFill>
                    <w14:schemeClr w14:val="tx1"/>
                  </w14:solidFill>
                </w14:textFill>
              </w:rPr>
              <w:t>560</w:t>
            </w:r>
          </w:p>
        </w:tc>
        <w:tc>
          <w:tcPr>
            <w:tcW w:w="392" w:type="pct"/>
            <w:vAlign w:val="center"/>
          </w:tcPr>
          <w:p w14:paraId="0342C2BF">
            <w:pPr>
              <w:pStyle w:val="242"/>
              <w:rPr>
                <w:rFonts w:hint="eastAsia" w:ascii="宋体" w:hAnsi="宋体" w:cs="宋体"/>
                <w:szCs w:val="22"/>
              </w:rPr>
            </w:pPr>
            <w:r>
              <w:rPr>
                <w:rFonts w:hint="eastAsia" w:ascii="宋体" w:hAnsi="宋体" w:cs="宋体"/>
                <w:color w:val="000000" w:themeColor="text1"/>
                <w:szCs w:val="21"/>
                <w14:textFill>
                  <w14:solidFill>
                    <w14:schemeClr w14:val="tx1"/>
                  </w14:solidFill>
                </w14:textFill>
              </w:rPr>
              <w:t>ND</w:t>
            </w:r>
          </w:p>
        </w:tc>
        <w:tc>
          <w:tcPr>
            <w:tcW w:w="392" w:type="pct"/>
            <w:vAlign w:val="center"/>
          </w:tcPr>
          <w:p w14:paraId="3335C0E0">
            <w:pPr>
              <w:pStyle w:val="242"/>
              <w:rPr>
                <w:rFonts w:hint="eastAsia" w:ascii="宋体" w:hAnsi="宋体" w:cs="宋体"/>
              </w:rPr>
            </w:pPr>
            <w:r>
              <w:rPr>
                <w:rFonts w:hint="eastAsia" w:ascii="宋体" w:hAnsi="宋体" w:cs="宋体"/>
              </w:rPr>
              <w:t>/</w:t>
            </w:r>
          </w:p>
        </w:tc>
        <w:tc>
          <w:tcPr>
            <w:tcW w:w="393" w:type="pct"/>
          </w:tcPr>
          <w:p w14:paraId="303520A7">
            <w:pPr>
              <w:pStyle w:val="242"/>
              <w:rPr>
                <w:rFonts w:hint="eastAsia" w:ascii="宋体" w:hAnsi="宋体" w:cs="宋体"/>
              </w:rPr>
            </w:pPr>
            <w:r>
              <w:rPr>
                <w:rFonts w:hint="eastAsia" w:ascii="宋体" w:hAnsi="宋体" w:cs="宋体"/>
              </w:rPr>
              <w:t>达标</w:t>
            </w:r>
          </w:p>
        </w:tc>
        <w:tc>
          <w:tcPr>
            <w:tcW w:w="392" w:type="pct"/>
          </w:tcPr>
          <w:p w14:paraId="013277E5">
            <w:pPr>
              <w:pStyle w:val="242"/>
              <w:rPr>
                <w:rFonts w:hint="eastAsia" w:ascii="宋体" w:hAnsi="宋体" w:cs="宋体"/>
                <w:szCs w:val="22"/>
              </w:rPr>
            </w:pPr>
            <w:r>
              <w:rPr>
                <w:rFonts w:hint="eastAsia" w:ascii="宋体" w:hAnsi="宋体" w:cs="宋体"/>
                <w:szCs w:val="22"/>
              </w:rPr>
              <w:t>-</w:t>
            </w:r>
          </w:p>
        </w:tc>
        <w:tc>
          <w:tcPr>
            <w:tcW w:w="417" w:type="pct"/>
          </w:tcPr>
          <w:p w14:paraId="082E3BC6">
            <w:pPr>
              <w:pStyle w:val="242"/>
              <w:rPr>
                <w:rFonts w:hint="eastAsia" w:ascii="宋体" w:hAnsi="宋体" w:cs="宋体"/>
              </w:rPr>
            </w:pPr>
            <w:r>
              <w:rPr>
                <w:rFonts w:hint="eastAsia" w:ascii="宋体" w:hAnsi="宋体" w:cs="宋体"/>
                <w:szCs w:val="22"/>
              </w:rPr>
              <w:t>-</w:t>
            </w:r>
          </w:p>
        </w:tc>
        <w:tc>
          <w:tcPr>
            <w:tcW w:w="393" w:type="pct"/>
          </w:tcPr>
          <w:p w14:paraId="70B7DB84">
            <w:pPr>
              <w:pStyle w:val="242"/>
              <w:rPr>
                <w:rFonts w:hint="eastAsia" w:ascii="宋体" w:hAnsi="宋体" w:cs="宋体"/>
              </w:rPr>
            </w:pPr>
            <w:r>
              <w:rPr>
                <w:rFonts w:hint="eastAsia" w:ascii="宋体" w:hAnsi="宋体" w:cs="宋体"/>
                <w:szCs w:val="22"/>
              </w:rPr>
              <w:t>-</w:t>
            </w:r>
          </w:p>
        </w:tc>
        <w:tc>
          <w:tcPr>
            <w:tcW w:w="392" w:type="pct"/>
          </w:tcPr>
          <w:p w14:paraId="586D5252">
            <w:pPr>
              <w:pStyle w:val="242"/>
              <w:rPr>
                <w:rFonts w:hint="eastAsia" w:ascii="宋体" w:hAnsi="宋体" w:cs="宋体"/>
              </w:rPr>
            </w:pPr>
            <w:r>
              <w:rPr>
                <w:rFonts w:hint="eastAsia" w:ascii="宋体" w:hAnsi="宋体" w:cs="宋体"/>
                <w:szCs w:val="22"/>
              </w:rPr>
              <w:t>-</w:t>
            </w:r>
          </w:p>
        </w:tc>
        <w:tc>
          <w:tcPr>
            <w:tcW w:w="392" w:type="pct"/>
          </w:tcPr>
          <w:p w14:paraId="74FC03A7">
            <w:pPr>
              <w:pStyle w:val="242"/>
              <w:rPr>
                <w:rFonts w:hint="eastAsia" w:ascii="宋体" w:hAnsi="宋体" w:cs="宋体"/>
              </w:rPr>
            </w:pPr>
            <w:r>
              <w:rPr>
                <w:rFonts w:hint="eastAsia" w:ascii="宋体" w:hAnsi="宋体" w:cs="宋体"/>
                <w:szCs w:val="22"/>
              </w:rPr>
              <w:t>-</w:t>
            </w:r>
          </w:p>
        </w:tc>
        <w:tc>
          <w:tcPr>
            <w:tcW w:w="398" w:type="pct"/>
          </w:tcPr>
          <w:p w14:paraId="03252524">
            <w:pPr>
              <w:pStyle w:val="242"/>
              <w:rPr>
                <w:rFonts w:hint="eastAsia" w:ascii="宋体" w:hAnsi="宋体" w:cs="宋体"/>
              </w:rPr>
            </w:pPr>
            <w:r>
              <w:rPr>
                <w:rFonts w:hint="eastAsia" w:ascii="宋体" w:hAnsi="宋体" w:cs="宋体"/>
                <w:szCs w:val="22"/>
              </w:rPr>
              <w:t>-</w:t>
            </w:r>
          </w:p>
        </w:tc>
      </w:tr>
      <w:tr w14:paraId="00053CB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747" w:type="pct"/>
            <w:vAlign w:val="center"/>
          </w:tcPr>
          <w:p w14:paraId="2215C35D">
            <w:pPr>
              <w:pStyle w:val="249"/>
              <w:rPr>
                <w:szCs w:val="21"/>
              </w:rPr>
            </w:pPr>
            <w:r>
              <w:rPr>
                <w:rFonts w:hint="eastAsia" w:ascii="宋体" w:hAnsi="宋体" w:cs="宋体"/>
                <w:color w:val="000000" w:themeColor="text1"/>
                <w:szCs w:val="21"/>
                <w14:textFill>
                  <w14:solidFill>
                    <w14:schemeClr w14:val="tx1"/>
                  </w14:solidFill>
                </w14:textFill>
              </w:rPr>
              <w:t>1,4-二氯苯</w:t>
            </w:r>
          </w:p>
        </w:tc>
        <w:tc>
          <w:tcPr>
            <w:tcW w:w="322" w:type="pct"/>
            <w:vAlign w:val="center"/>
          </w:tcPr>
          <w:p w14:paraId="37F483A1">
            <w:pPr>
              <w:jc w:val="center"/>
              <w:rPr>
                <w:rFonts w:hint="eastAsia" w:ascii="宋体" w:hAnsi="宋体" w:cs="宋体"/>
              </w:rPr>
            </w:pPr>
            <w:r>
              <w:rPr>
                <w:rFonts w:hint="eastAsia" w:ascii="宋体" w:hAnsi="宋体" w:cs="宋体"/>
                <w:bCs/>
                <w:color w:val="000000" w:themeColor="text1"/>
                <w:kern w:val="0"/>
                <w:szCs w:val="21"/>
                <w:lang w:bidi="ar"/>
                <w14:textFill>
                  <w14:solidFill>
                    <w14:schemeClr w14:val="tx1"/>
                  </w14:solidFill>
                </w14:textFill>
              </w:rPr>
              <w:t>mg/kg</w:t>
            </w:r>
          </w:p>
        </w:tc>
        <w:tc>
          <w:tcPr>
            <w:tcW w:w="371" w:type="pct"/>
            <w:vAlign w:val="center"/>
          </w:tcPr>
          <w:p w14:paraId="3A6A7DD9">
            <w:pPr>
              <w:pStyle w:val="249"/>
              <w:rPr>
                <w:szCs w:val="21"/>
              </w:rPr>
            </w:pPr>
            <w:r>
              <w:rPr>
                <w:rFonts w:hint="eastAsia" w:ascii="宋体" w:hAnsi="宋体" w:cs="宋体"/>
                <w:color w:val="000000" w:themeColor="text1"/>
                <w:szCs w:val="21"/>
                <w14:textFill>
                  <w14:solidFill>
                    <w14:schemeClr w14:val="tx1"/>
                  </w14:solidFill>
                </w14:textFill>
              </w:rPr>
              <w:t>20</w:t>
            </w:r>
          </w:p>
        </w:tc>
        <w:tc>
          <w:tcPr>
            <w:tcW w:w="392" w:type="pct"/>
            <w:vAlign w:val="center"/>
          </w:tcPr>
          <w:p w14:paraId="226AB6D0">
            <w:pPr>
              <w:pStyle w:val="242"/>
              <w:rPr>
                <w:rFonts w:hint="eastAsia" w:ascii="宋体" w:hAnsi="宋体" w:cs="宋体"/>
                <w:szCs w:val="22"/>
              </w:rPr>
            </w:pPr>
            <w:r>
              <w:rPr>
                <w:rFonts w:hint="eastAsia" w:ascii="宋体" w:hAnsi="宋体" w:cs="宋体"/>
                <w:color w:val="000000" w:themeColor="text1"/>
                <w:szCs w:val="21"/>
                <w14:textFill>
                  <w14:solidFill>
                    <w14:schemeClr w14:val="tx1"/>
                  </w14:solidFill>
                </w14:textFill>
              </w:rPr>
              <w:t>ND</w:t>
            </w:r>
          </w:p>
        </w:tc>
        <w:tc>
          <w:tcPr>
            <w:tcW w:w="392" w:type="pct"/>
            <w:vAlign w:val="center"/>
          </w:tcPr>
          <w:p w14:paraId="72F42040">
            <w:pPr>
              <w:pStyle w:val="242"/>
              <w:rPr>
                <w:rFonts w:hint="eastAsia" w:ascii="宋体" w:hAnsi="宋体" w:cs="宋体"/>
              </w:rPr>
            </w:pPr>
            <w:r>
              <w:rPr>
                <w:rFonts w:hint="eastAsia" w:ascii="宋体" w:hAnsi="宋体" w:cs="宋体"/>
              </w:rPr>
              <w:t>/</w:t>
            </w:r>
          </w:p>
        </w:tc>
        <w:tc>
          <w:tcPr>
            <w:tcW w:w="393" w:type="pct"/>
          </w:tcPr>
          <w:p w14:paraId="1A863D86">
            <w:pPr>
              <w:pStyle w:val="242"/>
              <w:rPr>
                <w:rFonts w:hint="eastAsia" w:ascii="宋体" w:hAnsi="宋体" w:cs="宋体"/>
              </w:rPr>
            </w:pPr>
            <w:r>
              <w:rPr>
                <w:rFonts w:hint="eastAsia" w:ascii="宋体" w:hAnsi="宋体" w:cs="宋体"/>
              </w:rPr>
              <w:t>达标</w:t>
            </w:r>
          </w:p>
        </w:tc>
        <w:tc>
          <w:tcPr>
            <w:tcW w:w="392" w:type="pct"/>
          </w:tcPr>
          <w:p w14:paraId="2AF30457">
            <w:pPr>
              <w:pStyle w:val="242"/>
              <w:rPr>
                <w:rFonts w:hint="eastAsia" w:ascii="宋体" w:hAnsi="宋体" w:cs="宋体"/>
                <w:szCs w:val="22"/>
              </w:rPr>
            </w:pPr>
            <w:r>
              <w:rPr>
                <w:rFonts w:hint="eastAsia" w:ascii="宋体" w:hAnsi="宋体" w:cs="宋体"/>
                <w:szCs w:val="22"/>
              </w:rPr>
              <w:t>-</w:t>
            </w:r>
          </w:p>
        </w:tc>
        <w:tc>
          <w:tcPr>
            <w:tcW w:w="417" w:type="pct"/>
          </w:tcPr>
          <w:p w14:paraId="47FA3C18">
            <w:pPr>
              <w:pStyle w:val="242"/>
              <w:rPr>
                <w:rFonts w:hint="eastAsia" w:ascii="宋体" w:hAnsi="宋体" w:cs="宋体"/>
              </w:rPr>
            </w:pPr>
            <w:r>
              <w:rPr>
                <w:rFonts w:hint="eastAsia" w:ascii="宋体" w:hAnsi="宋体" w:cs="宋体"/>
                <w:szCs w:val="22"/>
              </w:rPr>
              <w:t>-</w:t>
            </w:r>
          </w:p>
        </w:tc>
        <w:tc>
          <w:tcPr>
            <w:tcW w:w="393" w:type="pct"/>
          </w:tcPr>
          <w:p w14:paraId="65E0514A">
            <w:pPr>
              <w:pStyle w:val="242"/>
              <w:rPr>
                <w:rFonts w:hint="eastAsia" w:ascii="宋体" w:hAnsi="宋体" w:cs="宋体"/>
              </w:rPr>
            </w:pPr>
            <w:r>
              <w:rPr>
                <w:rFonts w:hint="eastAsia" w:ascii="宋体" w:hAnsi="宋体" w:cs="宋体"/>
                <w:szCs w:val="22"/>
              </w:rPr>
              <w:t>-</w:t>
            </w:r>
          </w:p>
        </w:tc>
        <w:tc>
          <w:tcPr>
            <w:tcW w:w="392" w:type="pct"/>
          </w:tcPr>
          <w:p w14:paraId="699B654A">
            <w:pPr>
              <w:pStyle w:val="242"/>
              <w:rPr>
                <w:rFonts w:hint="eastAsia" w:ascii="宋体" w:hAnsi="宋体" w:cs="宋体"/>
              </w:rPr>
            </w:pPr>
            <w:r>
              <w:rPr>
                <w:rFonts w:hint="eastAsia" w:ascii="宋体" w:hAnsi="宋体" w:cs="宋体"/>
                <w:szCs w:val="22"/>
              </w:rPr>
              <w:t>-</w:t>
            </w:r>
          </w:p>
        </w:tc>
        <w:tc>
          <w:tcPr>
            <w:tcW w:w="392" w:type="pct"/>
          </w:tcPr>
          <w:p w14:paraId="0989A6D2">
            <w:pPr>
              <w:pStyle w:val="242"/>
              <w:rPr>
                <w:rFonts w:hint="eastAsia" w:ascii="宋体" w:hAnsi="宋体" w:cs="宋体"/>
              </w:rPr>
            </w:pPr>
            <w:r>
              <w:rPr>
                <w:rFonts w:hint="eastAsia" w:ascii="宋体" w:hAnsi="宋体" w:cs="宋体"/>
                <w:szCs w:val="22"/>
              </w:rPr>
              <w:t>-</w:t>
            </w:r>
          </w:p>
        </w:tc>
        <w:tc>
          <w:tcPr>
            <w:tcW w:w="398" w:type="pct"/>
          </w:tcPr>
          <w:p w14:paraId="00D17F17">
            <w:pPr>
              <w:pStyle w:val="242"/>
              <w:rPr>
                <w:rFonts w:hint="eastAsia" w:ascii="宋体" w:hAnsi="宋体" w:cs="宋体"/>
              </w:rPr>
            </w:pPr>
            <w:r>
              <w:rPr>
                <w:rFonts w:hint="eastAsia" w:ascii="宋体" w:hAnsi="宋体" w:cs="宋体"/>
                <w:szCs w:val="22"/>
              </w:rPr>
              <w:t>-</w:t>
            </w:r>
          </w:p>
        </w:tc>
      </w:tr>
      <w:tr w14:paraId="68AEE7E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747" w:type="pct"/>
            <w:vAlign w:val="center"/>
          </w:tcPr>
          <w:p w14:paraId="63F63A00">
            <w:pPr>
              <w:pStyle w:val="249"/>
              <w:rPr>
                <w:szCs w:val="21"/>
              </w:rPr>
            </w:pPr>
            <w:r>
              <w:rPr>
                <w:rFonts w:hint="eastAsia" w:ascii="宋体" w:hAnsi="宋体" w:cs="宋体"/>
                <w:color w:val="000000" w:themeColor="text1"/>
                <w:kern w:val="1"/>
                <w:szCs w:val="21"/>
                <w14:textFill>
                  <w14:solidFill>
                    <w14:schemeClr w14:val="tx1"/>
                  </w14:solidFill>
                </w14:textFill>
              </w:rPr>
              <w:t>乙苯</w:t>
            </w:r>
          </w:p>
        </w:tc>
        <w:tc>
          <w:tcPr>
            <w:tcW w:w="322" w:type="pct"/>
            <w:vAlign w:val="center"/>
          </w:tcPr>
          <w:p w14:paraId="781C0652">
            <w:pPr>
              <w:jc w:val="center"/>
              <w:rPr>
                <w:rFonts w:hint="eastAsia" w:ascii="宋体" w:hAnsi="宋体" w:cs="宋体"/>
              </w:rPr>
            </w:pPr>
            <w:r>
              <w:rPr>
                <w:rFonts w:hint="eastAsia" w:ascii="宋体" w:hAnsi="宋体" w:cs="宋体"/>
                <w:bCs/>
                <w:color w:val="000000" w:themeColor="text1"/>
                <w:kern w:val="0"/>
                <w:szCs w:val="21"/>
                <w:lang w:bidi="ar"/>
                <w14:textFill>
                  <w14:solidFill>
                    <w14:schemeClr w14:val="tx1"/>
                  </w14:solidFill>
                </w14:textFill>
              </w:rPr>
              <w:t>mg/kg</w:t>
            </w:r>
          </w:p>
        </w:tc>
        <w:tc>
          <w:tcPr>
            <w:tcW w:w="371" w:type="pct"/>
            <w:vAlign w:val="center"/>
          </w:tcPr>
          <w:p w14:paraId="662B766A">
            <w:pPr>
              <w:pStyle w:val="249"/>
              <w:rPr>
                <w:szCs w:val="21"/>
              </w:rPr>
            </w:pPr>
            <w:r>
              <w:rPr>
                <w:rFonts w:hint="eastAsia" w:ascii="宋体" w:hAnsi="宋体" w:cs="宋体"/>
                <w:color w:val="000000" w:themeColor="text1"/>
                <w:szCs w:val="21"/>
                <w14:textFill>
                  <w14:solidFill>
                    <w14:schemeClr w14:val="tx1"/>
                  </w14:solidFill>
                </w14:textFill>
              </w:rPr>
              <w:t>28</w:t>
            </w:r>
          </w:p>
        </w:tc>
        <w:tc>
          <w:tcPr>
            <w:tcW w:w="392" w:type="pct"/>
            <w:vAlign w:val="center"/>
          </w:tcPr>
          <w:p w14:paraId="2C6ABFD0">
            <w:pPr>
              <w:pStyle w:val="242"/>
              <w:rPr>
                <w:rFonts w:hint="eastAsia" w:ascii="宋体" w:hAnsi="宋体" w:cs="宋体"/>
                <w:szCs w:val="22"/>
              </w:rPr>
            </w:pPr>
            <w:r>
              <w:rPr>
                <w:rFonts w:hint="eastAsia" w:ascii="宋体" w:hAnsi="宋体" w:cs="宋体"/>
                <w:color w:val="000000" w:themeColor="text1"/>
                <w:szCs w:val="21"/>
                <w14:textFill>
                  <w14:solidFill>
                    <w14:schemeClr w14:val="tx1"/>
                  </w14:solidFill>
                </w14:textFill>
              </w:rPr>
              <w:t>ND</w:t>
            </w:r>
          </w:p>
        </w:tc>
        <w:tc>
          <w:tcPr>
            <w:tcW w:w="392" w:type="pct"/>
            <w:vAlign w:val="center"/>
          </w:tcPr>
          <w:p w14:paraId="164D5958">
            <w:pPr>
              <w:pStyle w:val="242"/>
              <w:rPr>
                <w:rFonts w:hint="eastAsia" w:ascii="宋体" w:hAnsi="宋体" w:cs="宋体"/>
              </w:rPr>
            </w:pPr>
            <w:r>
              <w:rPr>
                <w:rFonts w:hint="eastAsia" w:ascii="宋体" w:hAnsi="宋体" w:cs="宋体"/>
              </w:rPr>
              <w:t>/</w:t>
            </w:r>
          </w:p>
        </w:tc>
        <w:tc>
          <w:tcPr>
            <w:tcW w:w="393" w:type="pct"/>
          </w:tcPr>
          <w:p w14:paraId="30694316">
            <w:pPr>
              <w:pStyle w:val="242"/>
              <w:rPr>
                <w:rFonts w:hint="eastAsia" w:ascii="宋体" w:hAnsi="宋体" w:cs="宋体"/>
              </w:rPr>
            </w:pPr>
            <w:r>
              <w:rPr>
                <w:rFonts w:hint="eastAsia" w:ascii="宋体" w:hAnsi="宋体" w:cs="宋体"/>
              </w:rPr>
              <w:t>达标</w:t>
            </w:r>
          </w:p>
        </w:tc>
        <w:tc>
          <w:tcPr>
            <w:tcW w:w="392" w:type="pct"/>
          </w:tcPr>
          <w:p w14:paraId="513F6CB9">
            <w:pPr>
              <w:pStyle w:val="242"/>
              <w:rPr>
                <w:rFonts w:hint="eastAsia" w:ascii="宋体" w:hAnsi="宋体" w:cs="宋体"/>
                <w:szCs w:val="22"/>
              </w:rPr>
            </w:pPr>
            <w:r>
              <w:rPr>
                <w:rFonts w:hint="eastAsia" w:ascii="宋体" w:hAnsi="宋体" w:cs="宋体"/>
                <w:szCs w:val="22"/>
              </w:rPr>
              <w:t>-</w:t>
            </w:r>
          </w:p>
        </w:tc>
        <w:tc>
          <w:tcPr>
            <w:tcW w:w="417" w:type="pct"/>
          </w:tcPr>
          <w:p w14:paraId="093AC4DC">
            <w:pPr>
              <w:pStyle w:val="242"/>
              <w:rPr>
                <w:rFonts w:hint="eastAsia" w:ascii="宋体" w:hAnsi="宋体" w:cs="宋体"/>
              </w:rPr>
            </w:pPr>
            <w:r>
              <w:rPr>
                <w:rFonts w:hint="eastAsia" w:ascii="宋体" w:hAnsi="宋体" w:cs="宋体"/>
                <w:szCs w:val="22"/>
              </w:rPr>
              <w:t>-</w:t>
            </w:r>
          </w:p>
        </w:tc>
        <w:tc>
          <w:tcPr>
            <w:tcW w:w="393" w:type="pct"/>
          </w:tcPr>
          <w:p w14:paraId="2E9EE29F">
            <w:pPr>
              <w:pStyle w:val="242"/>
              <w:rPr>
                <w:rFonts w:hint="eastAsia" w:ascii="宋体" w:hAnsi="宋体" w:cs="宋体"/>
              </w:rPr>
            </w:pPr>
            <w:r>
              <w:rPr>
                <w:rFonts w:hint="eastAsia" w:ascii="宋体" w:hAnsi="宋体" w:cs="宋体"/>
                <w:szCs w:val="22"/>
              </w:rPr>
              <w:t>-</w:t>
            </w:r>
          </w:p>
        </w:tc>
        <w:tc>
          <w:tcPr>
            <w:tcW w:w="392" w:type="pct"/>
          </w:tcPr>
          <w:p w14:paraId="2068B82B">
            <w:pPr>
              <w:pStyle w:val="242"/>
              <w:rPr>
                <w:rFonts w:hint="eastAsia" w:ascii="宋体" w:hAnsi="宋体" w:cs="宋体"/>
              </w:rPr>
            </w:pPr>
            <w:r>
              <w:rPr>
                <w:rFonts w:hint="eastAsia" w:ascii="宋体" w:hAnsi="宋体" w:cs="宋体"/>
                <w:szCs w:val="22"/>
              </w:rPr>
              <w:t>-</w:t>
            </w:r>
          </w:p>
        </w:tc>
        <w:tc>
          <w:tcPr>
            <w:tcW w:w="392" w:type="pct"/>
          </w:tcPr>
          <w:p w14:paraId="6C6E0B42">
            <w:pPr>
              <w:pStyle w:val="242"/>
              <w:rPr>
                <w:rFonts w:hint="eastAsia" w:ascii="宋体" w:hAnsi="宋体" w:cs="宋体"/>
              </w:rPr>
            </w:pPr>
            <w:r>
              <w:rPr>
                <w:rFonts w:hint="eastAsia" w:ascii="宋体" w:hAnsi="宋体" w:cs="宋体"/>
                <w:szCs w:val="22"/>
              </w:rPr>
              <w:t>-</w:t>
            </w:r>
          </w:p>
        </w:tc>
        <w:tc>
          <w:tcPr>
            <w:tcW w:w="398" w:type="pct"/>
          </w:tcPr>
          <w:p w14:paraId="54B2C14F">
            <w:pPr>
              <w:pStyle w:val="242"/>
              <w:rPr>
                <w:rFonts w:hint="eastAsia" w:ascii="宋体" w:hAnsi="宋体" w:cs="宋体"/>
              </w:rPr>
            </w:pPr>
            <w:r>
              <w:rPr>
                <w:rFonts w:hint="eastAsia" w:ascii="宋体" w:hAnsi="宋体" w:cs="宋体"/>
                <w:szCs w:val="22"/>
              </w:rPr>
              <w:t>-</w:t>
            </w:r>
          </w:p>
        </w:tc>
      </w:tr>
      <w:tr w14:paraId="7D9CFE7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747" w:type="pct"/>
            <w:vAlign w:val="center"/>
          </w:tcPr>
          <w:p w14:paraId="1903CB49">
            <w:pPr>
              <w:pStyle w:val="249"/>
              <w:rPr>
                <w:szCs w:val="21"/>
              </w:rPr>
            </w:pPr>
            <w:r>
              <w:rPr>
                <w:rFonts w:hint="eastAsia" w:ascii="宋体" w:hAnsi="宋体" w:cs="宋体"/>
                <w:color w:val="000000" w:themeColor="text1"/>
                <w:kern w:val="1"/>
                <w:szCs w:val="21"/>
                <w14:textFill>
                  <w14:solidFill>
                    <w14:schemeClr w14:val="tx1"/>
                  </w14:solidFill>
                </w14:textFill>
              </w:rPr>
              <w:t>苯乙烯</w:t>
            </w:r>
          </w:p>
        </w:tc>
        <w:tc>
          <w:tcPr>
            <w:tcW w:w="322" w:type="pct"/>
            <w:vAlign w:val="center"/>
          </w:tcPr>
          <w:p w14:paraId="419A69BD">
            <w:pPr>
              <w:jc w:val="center"/>
              <w:rPr>
                <w:rFonts w:hint="eastAsia" w:ascii="宋体" w:hAnsi="宋体" w:cs="宋体"/>
              </w:rPr>
            </w:pPr>
            <w:r>
              <w:rPr>
                <w:rFonts w:hint="eastAsia" w:ascii="宋体" w:hAnsi="宋体" w:cs="宋体"/>
                <w:bCs/>
                <w:color w:val="000000" w:themeColor="text1"/>
                <w:kern w:val="0"/>
                <w:szCs w:val="21"/>
                <w:lang w:bidi="ar"/>
                <w14:textFill>
                  <w14:solidFill>
                    <w14:schemeClr w14:val="tx1"/>
                  </w14:solidFill>
                </w14:textFill>
              </w:rPr>
              <w:t>mg/kg</w:t>
            </w:r>
          </w:p>
        </w:tc>
        <w:tc>
          <w:tcPr>
            <w:tcW w:w="371" w:type="pct"/>
            <w:vAlign w:val="center"/>
          </w:tcPr>
          <w:p w14:paraId="5BD756AB">
            <w:pPr>
              <w:pStyle w:val="249"/>
              <w:rPr>
                <w:szCs w:val="21"/>
              </w:rPr>
            </w:pPr>
            <w:r>
              <w:rPr>
                <w:rFonts w:hint="eastAsia" w:ascii="宋体" w:hAnsi="宋体" w:cs="宋体"/>
                <w:color w:val="000000" w:themeColor="text1"/>
                <w:szCs w:val="21"/>
                <w14:textFill>
                  <w14:solidFill>
                    <w14:schemeClr w14:val="tx1"/>
                  </w14:solidFill>
                </w14:textFill>
              </w:rPr>
              <w:t>1290</w:t>
            </w:r>
          </w:p>
        </w:tc>
        <w:tc>
          <w:tcPr>
            <w:tcW w:w="392" w:type="pct"/>
            <w:vAlign w:val="center"/>
          </w:tcPr>
          <w:p w14:paraId="6F24C43F">
            <w:pPr>
              <w:pStyle w:val="242"/>
              <w:rPr>
                <w:rFonts w:hint="eastAsia" w:ascii="宋体" w:hAnsi="宋体" w:cs="宋体"/>
                <w:szCs w:val="22"/>
              </w:rPr>
            </w:pPr>
            <w:r>
              <w:rPr>
                <w:rFonts w:hint="eastAsia" w:ascii="宋体" w:hAnsi="宋体" w:cs="宋体"/>
                <w:color w:val="000000" w:themeColor="text1"/>
                <w:szCs w:val="21"/>
                <w14:textFill>
                  <w14:solidFill>
                    <w14:schemeClr w14:val="tx1"/>
                  </w14:solidFill>
                </w14:textFill>
              </w:rPr>
              <w:t>ND</w:t>
            </w:r>
          </w:p>
        </w:tc>
        <w:tc>
          <w:tcPr>
            <w:tcW w:w="392" w:type="pct"/>
            <w:vAlign w:val="center"/>
          </w:tcPr>
          <w:p w14:paraId="708994D4">
            <w:pPr>
              <w:pStyle w:val="242"/>
              <w:rPr>
                <w:rFonts w:hint="eastAsia" w:ascii="宋体" w:hAnsi="宋体" w:cs="宋体"/>
              </w:rPr>
            </w:pPr>
            <w:r>
              <w:rPr>
                <w:rFonts w:hint="eastAsia" w:ascii="宋体" w:hAnsi="宋体" w:cs="宋体"/>
              </w:rPr>
              <w:t>/</w:t>
            </w:r>
          </w:p>
        </w:tc>
        <w:tc>
          <w:tcPr>
            <w:tcW w:w="393" w:type="pct"/>
          </w:tcPr>
          <w:p w14:paraId="691F713D">
            <w:pPr>
              <w:pStyle w:val="242"/>
              <w:rPr>
                <w:rFonts w:hint="eastAsia" w:ascii="宋体" w:hAnsi="宋体" w:cs="宋体"/>
              </w:rPr>
            </w:pPr>
            <w:r>
              <w:rPr>
                <w:rFonts w:hint="eastAsia" w:ascii="宋体" w:hAnsi="宋体" w:cs="宋体"/>
              </w:rPr>
              <w:t>达标</w:t>
            </w:r>
          </w:p>
        </w:tc>
        <w:tc>
          <w:tcPr>
            <w:tcW w:w="392" w:type="pct"/>
          </w:tcPr>
          <w:p w14:paraId="76482479">
            <w:pPr>
              <w:pStyle w:val="242"/>
              <w:rPr>
                <w:rFonts w:hint="eastAsia" w:ascii="宋体" w:hAnsi="宋体" w:cs="宋体"/>
                <w:szCs w:val="22"/>
              </w:rPr>
            </w:pPr>
            <w:r>
              <w:rPr>
                <w:rFonts w:hint="eastAsia" w:ascii="宋体" w:hAnsi="宋体" w:cs="宋体"/>
                <w:szCs w:val="22"/>
              </w:rPr>
              <w:t>-</w:t>
            </w:r>
          </w:p>
        </w:tc>
        <w:tc>
          <w:tcPr>
            <w:tcW w:w="417" w:type="pct"/>
          </w:tcPr>
          <w:p w14:paraId="48AC24B3">
            <w:pPr>
              <w:pStyle w:val="242"/>
              <w:rPr>
                <w:rFonts w:hint="eastAsia" w:ascii="宋体" w:hAnsi="宋体" w:cs="宋体"/>
              </w:rPr>
            </w:pPr>
            <w:r>
              <w:rPr>
                <w:rFonts w:hint="eastAsia" w:ascii="宋体" w:hAnsi="宋体" w:cs="宋体"/>
                <w:szCs w:val="22"/>
              </w:rPr>
              <w:t>-</w:t>
            </w:r>
          </w:p>
        </w:tc>
        <w:tc>
          <w:tcPr>
            <w:tcW w:w="393" w:type="pct"/>
          </w:tcPr>
          <w:p w14:paraId="0F08D2DA">
            <w:pPr>
              <w:pStyle w:val="242"/>
              <w:rPr>
                <w:rFonts w:hint="eastAsia" w:ascii="宋体" w:hAnsi="宋体" w:cs="宋体"/>
              </w:rPr>
            </w:pPr>
            <w:r>
              <w:rPr>
                <w:rFonts w:hint="eastAsia" w:ascii="宋体" w:hAnsi="宋体" w:cs="宋体"/>
                <w:szCs w:val="22"/>
              </w:rPr>
              <w:t>-</w:t>
            </w:r>
          </w:p>
        </w:tc>
        <w:tc>
          <w:tcPr>
            <w:tcW w:w="392" w:type="pct"/>
          </w:tcPr>
          <w:p w14:paraId="608DB748">
            <w:pPr>
              <w:pStyle w:val="242"/>
              <w:rPr>
                <w:rFonts w:hint="eastAsia" w:ascii="宋体" w:hAnsi="宋体" w:cs="宋体"/>
              </w:rPr>
            </w:pPr>
            <w:r>
              <w:rPr>
                <w:rFonts w:hint="eastAsia" w:ascii="宋体" w:hAnsi="宋体" w:cs="宋体"/>
                <w:szCs w:val="22"/>
              </w:rPr>
              <w:t>-</w:t>
            </w:r>
          </w:p>
        </w:tc>
        <w:tc>
          <w:tcPr>
            <w:tcW w:w="392" w:type="pct"/>
          </w:tcPr>
          <w:p w14:paraId="37BD26F0">
            <w:pPr>
              <w:pStyle w:val="242"/>
              <w:rPr>
                <w:rFonts w:hint="eastAsia" w:ascii="宋体" w:hAnsi="宋体" w:cs="宋体"/>
              </w:rPr>
            </w:pPr>
            <w:r>
              <w:rPr>
                <w:rFonts w:hint="eastAsia" w:ascii="宋体" w:hAnsi="宋体" w:cs="宋体"/>
                <w:szCs w:val="22"/>
              </w:rPr>
              <w:t>-</w:t>
            </w:r>
          </w:p>
        </w:tc>
        <w:tc>
          <w:tcPr>
            <w:tcW w:w="398" w:type="pct"/>
          </w:tcPr>
          <w:p w14:paraId="6E8BA099">
            <w:pPr>
              <w:pStyle w:val="242"/>
              <w:rPr>
                <w:rFonts w:hint="eastAsia" w:ascii="宋体" w:hAnsi="宋体" w:cs="宋体"/>
              </w:rPr>
            </w:pPr>
            <w:r>
              <w:rPr>
                <w:rFonts w:hint="eastAsia" w:ascii="宋体" w:hAnsi="宋体" w:cs="宋体"/>
                <w:szCs w:val="22"/>
              </w:rPr>
              <w:t>-</w:t>
            </w:r>
          </w:p>
        </w:tc>
      </w:tr>
      <w:tr w14:paraId="23DCEF3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0" w:type="auto"/>
            <w:vAlign w:val="center"/>
          </w:tcPr>
          <w:p w14:paraId="0ADC4427">
            <w:pPr>
              <w:pStyle w:val="249"/>
              <w:rPr>
                <w:szCs w:val="21"/>
              </w:rPr>
            </w:pPr>
            <w:r>
              <w:rPr>
                <w:rFonts w:hint="eastAsia" w:ascii="宋体" w:hAnsi="宋体" w:cs="宋体"/>
                <w:color w:val="000000" w:themeColor="text1"/>
                <w:kern w:val="1"/>
                <w:szCs w:val="21"/>
                <w14:textFill>
                  <w14:solidFill>
                    <w14:schemeClr w14:val="tx1"/>
                  </w14:solidFill>
                </w14:textFill>
              </w:rPr>
              <w:t>甲苯</w:t>
            </w:r>
          </w:p>
        </w:tc>
        <w:tc>
          <w:tcPr>
            <w:tcW w:w="0" w:type="auto"/>
            <w:vAlign w:val="center"/>
          </w:tcPr>
          <w:p w14:paraId="3F2F42F1">
            <w:pPr>
              <w:jc w:val="center"/>
              <w:rPr>
                <w:rFonts w:hint="eastAsia" w:ascii="宋体" w:hAnsi="宋体" w:cs="宋体"/>
              </w:rPr>
            </w:pPr>
            <w:r>
              <w:rPr>
                <w:rFonts w:hint="eastAsia" w:ascii="宋体" w:hAnsi="宋体" w:cs="宋体"/>
                <w:bCs/>
                <w:color w:val="000000" w:themeColor="text1"/>
                <w:kern w:val="0"/>
                <w:szCs w:val="21"/>
                <w:lang w:bidi="ar"/>
                <w14:textFill>
                  <w14:solidFill>
                    <w14:schemeClr w14:val="tx1"/>
                  </w14:solidFill>
                </w14:textFill>
              </w:rPr>
              <w:t>mg/kg</w:t>
            </w:r>
          </w:p>
        </w:tc>
        <w:tc>
          <w:tcPr>
            <w:tcW w:w="0" w:type="auto"/>
            <w:vAlign w:val="center"/>
          </w:tcPr>
          <w:p w14:paraId="1327E8ED">
            <w:pPr>
              <w:pStyle w:val="249"/>
              <w:rPr>
                <w:szCs w:val="21"/>
              </w:rPr>
            </w:pPr>
            <w:r>
              <w:rPr>
                <w:rFonts w:hint="eastAsia" w:ascii="宋体" w:hAnsi="宋体" w:cs="宋体"/>
                <w:color w:val="000000" w:themeColor="text1"/>
                <w:szCs w:val="21"/>
                <w14:textFill>
                  <w14:solidFill>
                    <w14:schemeClr w14:val="tx1"/>
                  </w14:solidFill>
                </w14:textFill>
              </w:rPr>
              <w:t>1290</w:t>
            </w:r>
          </w:p>
        </w:tc>
        <w:tc>
          <w:tcPr>
            <w:tcW w:w="0" w:type="auto"/>
            <w:vAlign w:val="center"/>
          </w:tcPr>
          <w:p w14:paraId="7D1F899C">
            <w:pPr>
              <w:pStyle w:val="242"/>
              <w:rPr>
                <w:rFonts w:hint="eastAsia" w:ascii="宋体" w:hAnsi="宋体" w:cs="宋体"/>
                <w:szCs w:val="22"/>
              </w:rPr>
            </w:pPr>
            <w:r>
              <w:rPr>
                <w:rFonts w:hint="eastAsia" w:ascii="宋体" w:hAnsi="宋体" w:cs="宋体"/>
                <w:color w:val="000000" w:themeColor="text1"/>
                <w:szCs w:val="21"/>
                <w14:textFill>
                  <w14:solidFill>
                    <w14:schemeClr w14:val="tx1"/>
                  </w14:solidFill>
                </w14:textFill>
              </w:rPr>
              <w:t>ND</w:t>
            </w:r>
          </w:p>
        </w:tc>
        <w:tc>
          <w:tcPr>
            <w:tcW w:w="0" w:type="auto"/>
            <w:vAlign w:val="center"/>
          </w:tcPr>
          <w:p w14:paraId="3DEF2ABF">
            <w:pPr>
              <w:pStyle w:val="242"/>
              <w:rPr>
                <w:rFonts w:hint="eastAsia" w:ascii="宋体" w:hAnsi="宋体" w:cs="宋体"/>
              </w:rPr>
            </w:pPr>
            <w:r>
              <w:rPr>
                <w:rFonts w:hint="eastAsia" w:ascii="宋体" w:hAnsi="宋体" w:cs="宋体"/>
              </w:rPr>
              <w:t>/</w:t>
            </w:r>
          </w:p>
        </w:tc>
        <w:tc>
          <w:tcPr>
            <w:tcW w:w="0" w:type="auto"/>
          </w:tcPr>
          <w:p w14:paraId="1B47ABA5">
            <w:pPr>
              <w:pStyle w:val="242"/>
              <w:rPr>
                <w:rFonts w:hint="eastAsia" w:ascii="宋体" w:hAnsi="宋体" w:cs="宋体"/>
              </w:rPr>
            </w:pPr>
            <w:r>
              <w:rPr>
                <w:rFonts w:hint="eastAsia" w:ascii="宋体" w:hAnsi="宋体" w:cs="宋体"/>
              </w:rPr>
              <w:t>达标</w:t>
            </w:r>
          </w:p>
        </w:tc>
        <w:tc>
          <w:tcPr>
            <w:tcW w:w="0" w:type="auto"/>
          </w:tcPr>
          <w:p w14:paraId="27908CA5">
            <w:pPr>
              <w:pStyle w:val="242"/>
              <w:rPr>
                <w:rFonts w:hint="eastAsia" w:ascii="宋体" w:hAnsi="宋体" w:cs="宋体"/>
                <w:szCs w:val="22"/>
              </w:rPr>
            </w:pPr>
            <w:r>
              <w:rPr>
                <w:rFonts w:hint="eastAsia" w:ascii="宋体" w:hAnsi="宋体" w:cs="宋体"/>
                <w:szCs w:val="22"/>
              </w:rPr>
              <w:t>-</w:t>
            </w:r>
          </w:p>
        </w:tc>
        <w:tc>
          <w:tcPr>
            <w:tcW w:w="0" w:type="auto"/>
          </w:tcPr>
          <w:p w14:paraId="6F705627">
            <w:pPr>
              <w:pStyle w:val="242"/>
              <w:rPr>
                <w:rFonts w:hint="eastAsia" w:ascii="宋体" w:hAnsi="宋体" w:cs="宋体"/>
              </w:rPr>
            </w:pPr>
            <w:r>
              <w:rPr>
                <w:rFonts w:hint="eastAsia" w:ascii="宋体" w:hAnsi="宋体" w:cs="宋体"/>
                <w:szCs w:val="22"/>
              </w:rPr>
              <w:t>-</w:t>
            </w:r>
          </w:p>
        </w:tc>
        <w:tc>
          <w:tcPr>
            <w:tcW w:w="0" w:type="auto"/>
          </w:tcPr>
          <w:p w14:paraId="43A6098F">
            <w:pPr>
              <w:pStyle w:val="242"/>
              <w:rPr>
                <w:rFonts w:hint="eastAsia" w:ascii="宋体" w:hAnsi="宋体" w:cs="宋体"/>
              </w:rPr>
            </w:pPr>
            <w:r>
              <w:rPr>
                <w:rFonts w:hint="eastAsia" w:ascii="宋体" w:hAnsi="宋体" w:cs="宋体"/>
                <w:szCs w:val="22"/>
              </w:rPr>
              <w:t>-</w:t>
            </w:r>
          </w:p>
        </w:tc>
        <w:tc>
          <w:tcPr>
            <w:tcW w:w="0" w:type="auto"/>
          </w:tcPr>
          <w:p w14:paraId="53C9824C">
            <w:pPr>
              <w:pStyle w:val="242"/>
              <w:rPr>
                <w:rFonts w:hint="eastAsia" w:ascii="宋体" w:hAnsi="宋体" w:cs="宋体"/>
              </w:rPr>
            </w:pPr>
            <w:r>
              <w:rPr>
                <w:rFonts w:hint="eastAsia" w:ascii="宋体" w:hAnsi="宋体" w:cs="宋体"/>
                <w:szCs w:val="22"/>
              </w:rPr>
              <w:t>-</w:t>
            </w:r>
          </w:p>
        </w:tc>
        <w:tc>
          <w:tcPr>
            <w:tcW w:w="0" w:type="auto"/>
          </w:tcPr>
          <w:p w14:paraId="74988528">
            <w:pPr>
              <w:pStyle w:val="242"/>
              <w:rPr>
                <w:rFonts w:hint="eastAsia" w:ascii="宋体" w:hAnsi="宋体" w:cs="宋体"/>
              </w:rPr>
            </w:pPr>
            <w:r>
              <w:rPr>
                <w:rFonts w:hint="eastAsia" w:ascii="宋体" w:hAnsi="宋体" w:cs="宋体"/>
                <w:szCs w:val="22"/>
              </w:rPr>
              <w:t>-</w:t>
            </w:r>
          </w:p>
        </w:tc>
        <w:tc>
          <w:tcPr>
            <w:tcW w:w="0" w:type="auto"/>
          </w:tcPr>
          <w:p w14:paraId="1A3950C9">
            <w:pPr>
              <w:pStyle w:val="242"/>
              <w:rPr>
                <w:rFonts w:hint="eastAsia" w:ascii="宋体" w:hAnsi="宋体" w:cs="宋体"/>
              </w:rPr>
            </w:pPr>
            <w:r>
              <w:rPr>
                <w:rFonts w:hint="eastAsia" w:ascii="宋体" w:hAnsi="宋体" w:cs="宋体"/>
                <w:szCs w:val="22"/>
              </w:rPr>
              <w:t>-</w:t>
            </w:r>
          </w:p>
        </w:tc>
      </w:tr>
      <w:tr w14:paraId="7FBFCB0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0" w:type="auto"/>
            <w:vAlign w:val="center"/>
          </w:tcPr>
          <w:p w14:paraId="6DD29DD2">
            <w:pPr>
              <w:pStyle w:val="249"/>
              <w:rPr>
                <w:szCs w:val="21"/>
              </w:rPr>
            </w:pPr>
            <w:r>
              <w:rPr>
                <w:rFonts w:hint="eastAsia" w:ascii="宋体" w:hAnsi="宋体" w:cs="宋体"/>
                <w:color w:val="000000" w:themeColor="text1"/>
                <w:kern w:val="1"/>
                <w:szCs w:val="21"/>
                <w14:textFill>
                  <w14:solidFill>
                    <w14:schemeClr w14:val="tx1"/>
                  </w14:solidFill>
                </w14:textFill>
              </w:rPr>
              <w:t>间，对-二甲苯</w:t>
            </w:r>
          </w:p>
        </w:tc>
        <w:tc>
          <w:tcPr>
            <w:tcW w:w="0" w:type="auto"/>
            <w:vAlign w:val="center"/>
          </w:tcPr>
          <w:p w14:paraId="43FD7700">
            <w:pPr>
              <w:jc w:val="center"/>
              <w:rPr>
                <w:rFonts w:hint="eastAsia" w:ascii="宋体" w:hAnsi="宋体" w:cs="宋体"/>
              </w:rPr>
            </w:pPr>
            <w:r>
              <w:rPr>
                <w:rFonts w:hint="eastAsia" w:ascii="宋体" w:hAnsi="宋体" w:cs="宋体"/>
                <w:bCs/>
                <w:color w:val="000000" w:themeColor="text1"/>
                <w:kern w:val="0"/>
                <w:szCs w:val="21"/>
                <w:lang w:bidi="ar"/>
                <w14:textFill>
                  <w14:solidFill>
                    <w14:schemeClr w14:val="tx1"/>
                  </w14:solidFill>
                </w14:textFill>
              </w:rPr>
              <w:t>mg/kg</w:t>
            </w:r>
          </w:p>
        </w:tc>
        <w:tc>
          <w:tcPr>
            <w:tcW w:w="0" w:type="auto"/>
            <w:vAlign w:val="center"/>
          </w:tcPr>
          <w:p w14:paraId="6DCB22A0">
            <w:pPr>
              <w:pStyle w:val="249"/>
              <w:rPr>
                <w:szCs w:val="21"/>
              </w:rPr>
            </w:pPr>
            <w:r>
              <w:rPr>
                <w:rFonts w:hint="eastAsia" w:ascii="宋体" w:hAnsi="宋体" w:cs="宋体"/>
                <w:color w:val="000000" w:themeColor="text1"/>
                <w:szCs w:val="21"/>
                <w14:textFill>
                  <w14:solidFill>
                    <w14:schemeClr w14:val="tx1"/>
                  </w14:solidFill>
                </w14:textFill>
              </w:rPr>
              <w:t>570</w:t>
            </w:r>
          </w:p>
        </w:tc>
        <w:tc>
          <w:tcPr>
            <w:tcW w:w="0" w:type="auto"/>
            <w:vAlign w:val="center"/>
          </w:tcPr>
          <w:p w14:paraId="24FC35FC">
            <w:pPr>
              <w:pStyle w:val="242"/>
              <w:rPr>
                <w:rFonts w:hint="eastAsia" w:ascii="宋体" w:hAnsi="宋体" w:cs="宋体"/>
                <w:szCs w:val="22"/>
              </w:rPr>
            </w:pPr>
            <w:r>
              <w:rPr>
                <w:rFonts w:hint="eastAsia" w:ascii="宋体" w:hAnsi="宋体" w:cs="宋体"/>
                <w:color w:val="000000" w:themeColor="text1"/>
                <w:szCs w:val="21"/>
                <w14:textFill>
                  <w14:solidFill>
                    <w14:schemeClr w14:val="tx1"/>
                  </w14:solidFill>
                </w14:textFill>
              </w:rPr>
              <w:t>ND</w:t>
            </w:r>
          </w:p>
        </w:tc>
        <w:tc>
          <w:tcPr>
            <w:tcW w:w="0" w:type="auto"/>
            <w:vAlign w:val="center"/>
          </w:tcPr>
          <w:p w14:paraId="7AAFC0B6">
            <w:pPr>
              <w:pStyle w:val="242"/>
              <w:rPr>
                <w:rFonts w:hint="eastAsia" w:ascii="宋体" w:hAnsi="宋体" w:cs="宋体"/>
              </w:rPr>
            </w:pPr>
            <w:r>
              <w:rPr>
                <w:rFonts w:hint="eastAsia" w:ascii="宋体" w:hAnsi="宋体" w:cs="宋体"/>
              </w:rPr>
              <w:t>/</w:t>
            </w:r>
          </w:p>
        </w:tc>
        <w:tc>
          <w:tcPr>
            <w:tcW w:w="0" w:type="auto"/>
          </w:tcPr>
          <w:p w14:paraId="438100DA">
            <w:pPr>
              <w:pStyle w:val="242"/>
              <w:rPr>
                <w:rFonts w:hint="eastAsia" w:ascii="宋体" w:hAnsi="宋体" w:cs="宋体"/>
              </w:rPr>
            </w:pPr>
            <w:r>
              <w:rPr>
                <w:rFonts w:hint="eastAsia" w:ascii="宋体" w:hAnsi="宋体" w:cs="宋体"/>
              </w:rPr>
              <w:t>达标</w:t>
            </w:r>
          </w:p>
        </w:tc>
        <w:tc>
          <w:tcPr>
            <w:tcW w:w="0" w:type="auto"/>
          </w:tcPr>
          <w:p w14:paraId="470A730D">
            <w:pPr>
              <w:pStyle w:val="242"/>
              <w:rPr>
                <w:rFonts w:hint="eastAsia" w:ascii="宋体" w:hAnsi="宋体" w:cs="宋体"/>
                <w:szCs w:val="22"/>
              </w:rPr>
            </w:pPr>
            <w:r>
              <w:rPr>
                <w:rFonts w:hint="eastAsia" w:ascii="宋体" w:hAnsi="宋体" w:cs="宋体"/>
                <w:szCs w:val="22"/>
              </w:rPr>
              <w:t>-</w:t>
            </w:r>
          </w:p>
        </w:tc>
        <w:tc>
          <w:tcPr>
            <w:tcW w:w="0" w:type="auto"/>
          </w:tcPr>
          <w:p w14:paraId="76EC9AFA">
            <w:pPr>
              <w:pStyle w:val="242"/>
              <w:rPr>
                <w:rFonts w:hint="eastAsia" w:ascii="宋体" w:hAnsi="宋体" w:cs="宋体"/>
              </w:rPr>
            </w:pPr>
            <w:r>
              <w:rPr>
                <w:rFonts w:hint="eastAsia" w:ascii="宋体" w:hAnsi="宋体" w:cs="宋体"/>
                <w:szCs w:val="22"/>
              </w:rPr>
              <w:t>-</w:t>
            </w:r>
          </w:p>
        </w:tc>
        <w:tc>
          <w:tcPr>
            <w:tcW w:w="0" w:type="auto"/>
          </w:tcPr>
          <w:p w14:paraId="6E02602E">
            <w:pPr>
              <w:pStyle w:val="242"/>
              <w:rPr>
                <w:rFonts w:hint="eastAsia" w:ascii="宋体" w:hAnsi="宋体" w:cs="宋体"/>
              </w:rPr>
            </w:pPr>
            <w:r>
              <w:rPr>
                <w:rFonts w:hint="eastAsia" w:ascii="宋体" w:hAnsi="宋体" w:cs="宋体"/>
                <w:szCs w:val="22"/>
              </w:rPr>
              <w:t>-</w:t>
            </w:r>
          </w:p>
        </w:tc>
        <w:tc>
          <w:tcPr>
            <w:tcW w:w="0" w:type="auto"/>
          </w:tcPr>
          <w:p w14:paraId="6C30AC2F">
            <w:pPr>
              <w:pStyle w:val="242"/>
              <w:rPr>
                <w:rFonts w:hint="eastAsia" w:ascii="宋体" w:hAnsi="宋体" w:cs="宋体"/>
              </w:rPr>
            </w:pPr>
            <w:r>
              <w:rPr>
                <w:rFonts w:hint="eastAsia" w:ascii="宋体" w:hAnsi="宋体" w:cs="宋体"/>
                <w:szCs w:val="22"/>
              </w:rPr>
              <w:t>-</w:t>
            </w:r>
          </w:p>
        </w:tc>
        <w:tc>
          <w:tcPr>
            <w:tcW w:w="0" w:type="auto"/>
          </w:tcPr>
          <w:p w14:paraId="224A816F">
            <w:pPr>
              <w:pStyle w:val="242"/>
              <w:rPr>
                <w:rFonts w:hint="eastAsia" w:ascii="宋体" w:hAnsi="宋体" w:cs="宋体"/>
              </w:rPr>
            </w:pPr>
            <w:r>
              <w:rPr>
                <w:rFonts w:hint="eastAsia" w:ascii="宋体" w:hAnsi="宋体" w:cs="宋体"/>
                <w:szCs w:val="22"/>
              </w:rPr>
              <w:t>-</w:t>
            </w:r>
          </w:p>
        </w:tc>
        <w:tc>
          <w:tcPr>
            <w:tcW w:w="0" w:type="auto"/>
          </w:tcPr>
          <w:p w14:paraId="1F544AA1">
            <w:pPr>
              <w:pStyle w:val="242"/>
              <w:rPr>
                <w:rFonts w:hint="eastAsia" w:ascii="宋体" w:hAnsi="宋体" w:cs="宋体"/>
              </w:rPr>
            </w:pPr>
            <w:r>
              <w:rPr>
                <w:rFonts w:hint="eastAsia" w:ascii="宋体" w:hAnsi="宋体" w:cs="宋体"/>
                <w:szCs w:val="22"/>
              </w:rPr>
              <w:t>-</w:t>
            </w:r>
          </w:p>
        </w:tc>
      </w:tr>
      <w:tr w14:paraId="3F56C2C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0" w:type="auto"/>
            <w:vAlign w:val="center"/>
          </w:tcPr>
          <w:p w14:paraId="7BDC520F">
            <w:pPr>
              <w:pStyle w:val="249"/>
              <w:rPr>
                <w:szCs w:val="21"/>
              </w:rPr>
            </w:pPr>
            <w:r>
              <w:rPr>
                <w:rFonts w:hint="eastAsia" w:ascii="宋体" w:hAnsi="宋体" w:cs="宋体"/>
                <w:color w:val="000000" w:themeColor="text1"/>
                <w:kern w:val="1"/>
                <w:szCs w:val="21"/>
                <w14:textFill>
                  <w14:solidFill>
                    <w14:schemeClr w14:val="tx1"/>
                  </w14:solidFill>
                </w14:textFill>
              </w:rPr>
              <w:t>邻二甲苯</w:t>
            </w:r>
          </w:p>
        </w:tc>
        <w:tc>
          <w:tcPr>
            <w:tcW w:w="0" w:type="auto"/>
            <w:vAlign w:val="center"/>
          </w:tcPr>
          <w:p w14:paraId="4E450228">
            <w:pPr>
              <w:jc w:val="center"/>
              <w:rPr>
                <w:rFonts w:hint="eastAsia" w:ascii="宋体" w:hAnsi="宋体" w:cs="宋体"/>
              </w:rPr>
            </w:pPr>
            <w:r>
              <w:rPr>
                <w:rFonts w:hint="eastAsia" w:ascii="宋体" w:hAnsi="宋体" w:cs="宋体"/>
                <w:bCs/>
                <w:color w:val="000000" w:themeColor="text1"/>
                <w:kern w:val="0"/>
                <w:szCs w:val="21"/>
                <w:lang w:bidi="ar"/>
                <w14:textFill>
                  <w14:solidFill>
                    <w14:schemeClr w14:val="tx1"/>
                  </w14:solidFill>
                </w14:textFill>
              </w:rPr>
              <w:t>mg/kg</w:t>
            </w:r>
          </w:p>
        </w:tc>
        <w:tc>
          <w:tcPr>
            <w:tcW w:w="0" w:type="auto"/>
            <w:vAlign w:val="center"/>
          </w:tcPr>
          <w:p w14:paraId="4870AA59">
            <w:pPr>
              <w:pStyle w:val="249"/>
              <w:rPr>
                <w:szCs w:val="21"/>
              </w:rPr>
            </w:pPr>
            <w:r>
              <w:rPr>
                <w:rFonts w:hint="eastAsia" w:ascii="宋体" w:hAnsi="宋体" w:cs="宋体"/>
                <w:color w:val="000000" w:themeColor="text1"/>
                <w:szCs w:val="21"/>
                <w14:textFill>
                  <w14:solidFill>
                    <w14:schemeClr w14:val="tx1"/>
                  </w14:solidFill>
                </w14:textFill>
              </w:rPr>
              <w:t>640</w:t>
            </w:r>
          </w:p>
        </w:tc>
        <w:tc>
          <w:tcPr>
            <w:tcW w:w="0" w:type="auto"/>
            <w:vAlign w:val="center"/>
          </w:tcPr>
          <w:p w14:paraId="2543EECD">
            <w:pPr>
              <w:pStyle w:val="242"/>
              <w:rPr>
                <w:rFonts w:hint="eastAsia" w:ascii="宋体" w:hAnsi="宋体" w:cs="宋体"/>
                <w:szCs w:val="22"/>
              </w:rPr>
            </w:pPr>
            <w:r>
              <w:rPr>
                <w:rFonts w:hint="eastAsia" w:ascii="宋体" w:hAnsi="宋体" w:cs="宋体"/>
                <w:color w:val="000000" w:themeColor="text1"/>
                <w:szCs w:val="21"/>
                <w14:textFill>
                  <w14:solidFill>
                    <w14:schemeClr w14:val="tx1"/>
                  </w14:solidFill>
                </w14:textFill>
              </w:rPr>
              <w:t>ND</w:t>
            </w:r>
          </w:p>
        </w:tc>
        <w:tc>
          <w:tcPr>
            <w:tcW w:w="0" w:type="auto"/>
            <w:vAlign w:val="center"/>
          </w:tcPr>
          <w:p w14:paraId="3A2CF97A">
            <w:pPr>
              <w:pStyle w:val="242"/>
              <w:rPr>
                <w:rFonts w:hint="eastAsia" w:ascii="宋体" w:hAnsi="宋体" w:cs="宋体"/>
              </w:rPr>
            </w:pPr>
            <w:r>
              <w:rPr>
                <w:rFonts w:hint="eastAsia" w:ascii="宋体" w:hAnsi="宋体" w:cs="宋体"/>
              </w:rPr>
              <w:t>/</w:t>
            </w:r>
          </w:p>
        </w:tc>
        <w:tc>
          <w:tcPr>
            <w:tcW w:w="0" w:type="auto"/>
          </w:tcPr>
          <w:p w14:paraId="6A6B9057">
            <w:pPr>
              <w:pStyle w:val="242"/>
              <w:rPr>
                <w:rFonts w:hint="eastAsia" w:ascii="宋体" w:hAnsi="宋体" w:cs="宋体"/>
              </w:rPr>
            </w:pPr>
            <w:r>
              <w:rPr>
                <w:rFonts w:hint="eastAsia" w:ascii="宋体" w:hAnsi="宋体" w:cs="宋体"/>
              </w:rPr>
              <w:t>达标</w:t>
            </w:r>
          </w:p>
        </w:tc>
        <w:tc>
          <w:tcPr>
            <w:tcW w:w="0" w:type="auto"/>
          </w:tcPr>
          <w:p w14:paraId="3B8D3D56">
            <w:pPr>
              <w:pStyle w:val="242"/>
              <w:rPr>
                <w:rFonts w:hint="eastAsia" w:ascii="宋体" w:hAnsi="宋体" w:cs="宋体"/>
                <w:szCs w:val="22"/>
              </w:rPr>
            </w:pPr>
            <w:r>
              <w:rPr>
                <w:rFonts w:hint="eastAsia" w:ascii="宋体" w:hAnsi="宋体" w:cs="宋体"/>
                <w:szCs w:val="22"/>
              </w:rPr>
              <w:t>-</w:t>
            </w:r>
          </w:p>
        </w:tc>
        <w:tc>
          <w:tcPr>
            <w:tcW w:w="0" w:type="auto"/>
          </w:tcPr>
          <w:p w14:paraId="3476DD04">
            <w:pPr>
              <w:pStyle w:val="242"/>
              <w:rPr>
                <w:rFonts w:hint="eastAsia" w:ascii="宋体" w:hAnsi="宋体" w:cs="宋体"/>
              </w:rPr>
            </w:pPr>
            <w:r>
              <w:rPr>
                <w:rFonts w:hint="eastAsia" w:ascii="宋体" w:hAnsi="宋体" w:cs="宋体"/>
                <w:szCs w:val="22"/>
              </w:rPr>
              <w:t>-</w:t>
            </w:r>
          </w:p>
        </w:tc>
        <w:tc>
          <w:tcPr>
            <w:tcW w:w="0" w:type="auto"/>
          </w:tcPr>
          <w:p w14:paraId="4F09B4F3">
            <w:pPr>
              <w:pStyle w:val="242"/>
              <w:rPr>
                <w:rFonts w:hint="eastAsia" w:ascii="宋体" w:hAnsi="宋体" w:cs="宋体"/>
              </w:rPr>
            </w:pPr>
            <w:r>
              <w:rPr>
                <w:rFonts w:hint="eastAsia" w:ascii="宋体" w:hAnsi="宋体" w:cs="宋体"/>
                <w:szCs w:val="22"/>
              </w:rPr>
              <w:t>-</w:t>
            </w:r>
          </w:p>
        </w:tc>
        <w:tc>
          <w:tcPr>
            <w:tcW w:w="0" w:type="auto"/>
          </w:tcPr>
          <w:p w14:paraId="426FA798">
            <w:pPr>
              <w:pStyle w:val="242"/>
              <w:rPr>
                <w:rFonts w:hint="eastAsia" w:ascii="宋体" w:hAnsi="宋体" w:cs="宋体"/>
              </w:rPr>
            </w:pPr>
            <w:r>
              <w:rPr>
                <w:rFonts w:hint="eastAsia" w:ascii="宋体" w:hAnsi="宋体" w:cs="宋体"/>
                <w:szCs w:val="22"/>
              </w:rPr>
              <w:t>-</w:t>
            </w:r>
          </w:p>
        </w:tc>
        <w:tc>
          <w:tcPr>
            <w:tcW w:w="0" w:type="auto"/>
          </w:tcPr>
          <w:p w14:paraId="507D397A">
            <w:pPr>
              <w:pStyle w:val="242"/>
              <w:rPr>
                <w:rFonts w:hint="eastAsia" w:ascii="宋体" w:hAnsi="宋体" w:cs="宋体"/>
              </w:rPr>
            </w:pPr>
            <w:r>
              <w:rPr>
                <w:rFonts w:hint="eastAsia" w:ascii="宋体" w:hAnsi="宋体" w:cs="宋体"/>
                <w:szCs w:val="22"/>
              </w:rPr>
              <w:t>-</w:t>
            </w:r>
          </w:p>
        </w:tc>
        <w:tc>
          <w:tcPr>
            <w:tcW w:w="0" w:type="auto"/>
          </w:tcPr>
          <w:p w14:paraId="6F12CD31">
            <w:pPr>
              <w:pStyle w:val="242"/>
              <w:rPr>
                <w:rFonts w:hint="eastAsia" w:ascii="宋体" w:hAnsi="宋体" w:cs="宋体"/>
              </w:rPr>
            </w:pPr>
            <w:r>
              <w:rPr>
                <w:rFonts w:hint="eastAsia" w:ascii="宋体" w:hAnsi="宋体" w:cs="宋体"/>
                <w:szCs w:val="22"/>
              </w:rPr>
              <w:t>-</w:t>
            </w:r>
          </w:p>
        </w:tc>
      </w:tr>
      <w:tr w14:paraId="77323DE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0" w:type="auto"/>
            <w:vAlign w:val="center"/>
          </w:tcPr>
          <w:p w14:paraId="7E7ABDAE">
            <w:pPr>
              <w:pStyle w:val="249"/>
              <w:rPr>
                <w:szCs w:val="21"/>
              </w:rPr>
            </w:pPr>
            <w:r>
              <w:rPr>
                <w:rFonts w:hint="eastAsia" w:ascii="宋体" w:hAnsi="宋体" w:cs="宋体"/>
                <w:color w:val="000000" w:themeColor="text1"/>
                <w:kern w:val="1"/>
                <w:szCs w:val="21"/>
                <w14:textFill>
                  <w14:solidFill>
                    <w14:schemeClr w14:val="tx1"/>
                  </w14:solidFill>
                </w14:textFill>
              </w:rPr>
              <w:t>硝基苯</w:t>
            </w:r>
          </w:p>
        </w:tc>
        <w:tc>
          <w:tcPr>
            <w:tcW w:w="0" w:type="auto"/>
            <w:vAlign w:val="center"/>
          </w:tcPr>
          <w:p w14:paraId="45CBAC4E">
            <w:pPr>
              <w:jc w:val="center"/>
              <w:rPr>
                <w:rFonts w:hint="eastAsia" w:ascii="宋体" w:hAnsi="宋体" w:cs="宋体"/>
              </w:rPr>
            </w:pPr>
            <w:r>
              <w:rPr>
                <w:rFonts w:hint="eastAsia" w:ascii="宋体" w:hAnsi="宋体" w:cs="宋体"/>
                <w:bCs/>
                <w:color w:val="000000" w:themeColor="text1"/>
                <w:kern w:val="0"/>
                <w:szCs w:val="21"/>
                <w:lang w:bidi="ar"/>
                <w14:textFill>
                  <w14:solidFill>
                    <w14:schemeClr w14:val="tx1"/>
                  </w14:solidFill>
                </w14:textFill>
              </w:rPr>
              <w:t>mg/kg</w:t>
            </w:r>
          </w:p>
        </w:tc>
        <w:tc>
          <w:tcPr>
            <w:tcW w:w="0" w:type="auto"/>
            <w:vAlign w:val="center"/>
          </w:tcPr>
          <w:p w14:paraId="319DFBFC">
            <w:pPr>
              <w:pStyle w:val="249"/>
              <w:rPr>
                <w:szCs w:val="21"/>
              </w:rPr>
            </w:pPr>
            <w:r>
              <w:rPr>
                <w:rFonts w:hint="eastAsia" w:ascii="宋体" w:hAnsi="宋体" w:cs="宋体"/>
                <w:color w:val="000000" w:themeColor="text1"/>
                <w:szCs w:val="21"/>
                <w14:textFill>
                  <w14:solidFill>
                    <w14:schemeClr w14:val="tx1"/>
                  </w14:solidFill>
                </w14:textFill>
              </w:rPr>
              <w:t>76</w:t>
            </w:r>
          </w:p>
        </w:tc>
        <w:tc>
          <w:tcPr>
            <w:tcW w:w="0" w:type="auto"/>
            <w:vAlign w:val="center"/>
          </w:tcPr>
          <w:p w14:paraId="14D8CF9C">
            <w:pPr>
              <w:pStyle w:val="242"/>
              <w:rPr>
                <w:rFonts w:hint="eastAsia" w:ascii="宋体" w:hAnsi="宋体" w:cs="宋体"/>
                <w:szCs w:val="22"/>
              </w:rPr>
            </w:pPr>
            <w:r>
              <w:rPr>
                <w:rFonts w:hint="eastAsia" w:ascii="宋体" w:hAnsi="宋体" w:cs="宋体"/>
                <w:color w:val="000000" w:themeColor="text1"/>
                <w:szCs w:val="21"/>
                <w14:textFill>
                  <w14:solidFill>
                    <w14:schemeClr w14:val="tx1"/>
                  </w14:solidFill>
                </w14:textFill>
              </w:rPr>
              <w:t>ND</w:t>
            </w:r>
          </w:p>
        </w:tc>
        <w:tc>
          <w:tcPr>
            <w:tcW w:w="0" w:type="auto"/>
            <w:vAlign w:val="center"/>
          </w:tcPr>
          <w:p w14:paraId="5CA15E13">
            <w:pPr>
              <w:pStyle w:val="242"/>
              <w:rPr>
                <w:rFonts w:hint="eastAsia" w:ascii="宋体" w:hAnsi="宋体" w:cs="宋体"/>
              </w:rPr>
            </w:pPr>
            <w:r>
              <w:rPr>
                <w:rFonts w:hint="eastAsia" w:ascii="宋体" w:hAnsi="宋体" w:cs="宋体"/>
              </w:rPr>
              <w:t>/</w:t>
            </w:r>
          </w:p>
        </w:tc>
        <w:tc>
          <w:tcPr>
            <w:tcW w:w="0" w:type="auto"/>
          </w:tcPr>
          <w:p w14:paraId="35A2E6E7">
            <w:pPr>
              <w:pStyle w:val="242"/>
              <w:rPr>
                <w:rFonts w:hint="eastAsia" w:ascii="宋体" w:hAnsi="宋体" w:cs="宋体"/>
              </w:rPr>
            </w:pPr>
            <w:r>
              <w:rPr>
                <w:rFonts w:hint="eastAsia" w:ascii="宋体" w:hAnsi="宋体" w:cs="宋体"/>
              </w:rPr>
              <w:t>达标</w:t>
            </w:r>
          </w:p>
        </w:tc>
        <w:tc>
          <w:tcPr>
            <w:tcW w:w="0" w:type="auto"/>
          </w:tcPr>
          <w:p w14:paraId="45810A41">
            <w:pPr>
              <w:pStyle w:val="242"/>
              <w:rPr>
                <w:rFonts w:hint="eastAsia" w:ascii="宋体" w:hAnsi="宋体" w:cs="宋体"/>
                <w:szCs w:val="22"/>
              </w:rPr>
            </w:pPr>
            <w:r>
              <w:rPr>
                <w:rFonts w:hint="eastAsia" w:ascii="宋体" w:hAnsi="宋体" w:cs="宋体"/>
                <w:szCs w:val="22"/>
              </w:rPr>
              <w:t>-</w:t>
            </w:r>
          </w:p>
        </w:tc>
        <w:tc>
          <w:tcPr>
            <w:tcW w:w="0" w:type="auto"/>
          </w:tcPr>
          <w:p w14:paraId="02732D65">
            <w:pPr>
              <w:pStyle w:val="242"/>
              <w:rPr>
                <w:rFonts w:hint="eastAsia" w:ascii="宋体" w:hAnsi="宋体" w:cs="宋体"/>
              </w:rPr>
            </w:pPr>
            <w:r>
              <w:rPr>
                <w:rFonts w:hint="eastAsia" w:ascii="宋体" w:hAnsi="宋体" w:cs="宋体"/>
                <w:szCs w:val="22"/>
              </w:rPr>
              <w:t>-</w:t>
            </w:r>
          </w:p>
        </w:tc>
        <w:tc>
          <w:tcPr>
            <w:tcW w:w="0" w:type="auto"/>
          </w:tcPr>
          <w:p w14:paraId="17A11DA3">
            <w:pPr>
              <w:pStyle w:val="242"/>
              <w:rPr>
                <w:rFonts w:hint="eastAsia" w:ascii="宋体" w:hAnsi="宋体" w:cs="宋体"/>
              </w:rPr>
            </w:pPr>
            <w:r>
              <w:rPr>
                <w:rFonts w:hint="eastAsia" w:ascii="宋体" w:hAnsi="宋体" w:cs="宋体"/>
                <w:szCs w:val="22"/>
              </w:rPr>
              <w:t>-</w:t>
            </w:r>
          </w:p>
        </w:tc>
        <w:tc>
          <w:tcPr>
            <w:tcW w:w="0" w:type="auto"/>
          </w:tcPr>
          <w:p w14:paraId="1AFAB48F">
            <w:pPr>
              <w:pStyle w:val="242"/>
              <w:rPr>
                <w:rFonts w:hint="eastAsia" w:ascii="宋体" w:hAnsi="宋体" w:cs="宋体"/>
              </w:rPr>
            </w:pPr>
            <w:r>
              <w:rPr>
                <w:rFonts w:hint="eastAsia" w:ascii="宋体" w:hAnsi="宋体" w:cs="宋体"/>
                <w:szCs w:val="22"/>
              </w:rPr>
              <w:t>-</w:t>
            </w:r>
          </w:p>
        </w:tc>
        <w:tc>
          <w:tcPr>
            <w:tcW w:w="0" w:type="auto"/>
          </w:tcPr>
          <w:p w14:paraId="1EEDA13A">
            <w:pPr>
              <w:pStyle w:val="242"/>
              <w:rPr>
                <w:rFonts w:hint="eastAsia" w:ascii="宋体" w:hAnsi="宋体" w:cs="宋体"/>
              </w:rPr>
            </w:pPr>
            <w:r>
              <w:rPr>
                <w:rFonts w:hint="eastAsia" w:ascii="宋体" w:hAnsi="宋体" w:cs="宋体"/>
                <w:szCs w:val="22"/>
              </w:rPr>
              <w:t>-</w:t>
            </w:r>
          </w:p>
        </w:tc>
        <w:tc>
          <w:tcPr>
            <w:tcW w:w="0" w:type="auto"/>
          </w:tcPr>
          <w:p w14:paraId="1D4EE84B">
            <w:pPr>
              <w:pStyle w:val="242"/>
              <w:rPr>
                <w:rFonts w:hint="eastAsia" w:ascii="宋体" w:hAnsi="宋体" w:cs="宋体"/>
              </w:rPr>
            </w:pPr>
            <w:r>
              <w:rPr>
                <w:rFonts w:hint="eastAsia" w:ascii="宋体" w:hAnsi="宋体" w:cs="宋体"/>
                <w:szCs w:val="22"/>
              </w:rPr>
              <w:t>-</w:t>
            </w:r>
          </w:p>
        </w:tc>
      </w:tr>
      <w:tr w14:paraId="01ECEE0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0" w:type="auto"/>
            <w:vAlign w:val="center"/>
          </w:tcPr>
          <w:p w14:paraId="5D7D39F4">
            <w:pPr>
              <w:pStyle w:val="249"/>
              <w:rPr>
                <w:szCs w:val="21"/>
              </w:rPr>
            </w:pPr>
            <w:r>
              <w:rPr>
                <w:rFonts w:hint="eastAsia" w:ascii="宋体" w:hAnsi="宋体" w:cs="宋体"/>
                <w:color w:val="000000" w:themeColor="text1"/>
                <w:kern w:val="1"/>
                <w:szCs w:val="21"/>
                <w14:textFill>
                  <w14:solidFill>
                    <w14:schemeClr w14:val="tx1"/>
                  </w14:solidFill>
                </w14:textFill>
              </w:rPr>
              <w:t>苯胺</w:t>
            </w:r>
          </w:p>
        </w:tc>
        <w:tc>
          <w:tcPr>
            <w:tcW w:w="0" w:type="auto"/>
            <w:vAlign w:val="center"/>
          </w:tcPr>
          <w:p w14:paraId="282535A9">
            <w:pPr>
              <w:jc w:val="center"/>
              <w:rPr>
                <w:rFonts w:hint="eastAsia" w:ascii="宋体" w:hAnsi="宋体" w:cs="宋体"/>
              </w:rPr>
            </w:pPr>
            <w:r>
              <w:rPr>
                <w:rFonts w:hint="eastAsia" w:ascii="宋体" w:hAnsi="宋体" w:cs="宋体"/>
                <w:bCs/>
                <w:color w:val="000000" w:themeColor="text1"/>
                <w:kern w:val="0"/>
                <w:szCs w:val="21"/>
                <w:lang w:bidi="ar"/>
                <w14:textFill>
                  <w14:solidFill>
                    <w14:schemeClr w14:val="tx1"/>
                  </w14:solidFill>
                </w14:textFill>
              </w:rPr>
              <w:t>mg/kg</w:t>
            </w:r>
          </w:p>
        </w:tc>
        <w:tc>
          <w:tcPr>
            <w:tcW w:w="0" w:type="auto"/>
            <w:vAlign w:val="center"/>
          </w:tcPr>
          <w:p w14:paraId="36885D13">
            <w:pPr>
              <w:pStyle w:val="249"/>
              <w:rPr>
                <w:szCs w:val="21"/>
              </w:rPr>
            </w:pPr>
            <w:r>
              <w:rPr>
                <w:rFonts w:hint="eastAsia" w:ascii="宋体" w:hAnsi="宋体" w:cs="宋体"/>
                <w:color w:val="000000" w:themeColor="text1"/>
                <w:szCs w:val="21"/>
                <w14:textFill>
                  <w14:solidFill>
                    <w14:schemeClr w14:val="tx1"/>
                  </w14:solidFill>
                </w14:textFill>
              </w:rPr>
              <w:t>260</w:t>
            </w:r>
          </w:p>
        </w:tc>
        <w:tc>
          <w:tcPr>
            <w:tcW w:w="0" w:type="auto"/>
            <w:vAlign w:val="center"/>
          </w:tcPr>
          <w:p w14:paraId="28678316">
            <w:pPr>
              <w:pStyle w:val="242"/>
              <w:rPr>
                <w:rFonts w:hint="eastAsia" w:ascii="宋体" w:hAnsi="宋体" w:cs="宋体"/>
                <w:szCs w:val="22"/>
              </w:rPr>
            </w:pPr>
            <w:r>
              <w:rPr>
                <w:rFonts w:hint="eastAsia" w:ascii="宋体" w:hAnsi="宋体" w:cs="宋体"/>
                <w:color w:val="000000" w:themeColor="text1"/>
                <w:szCs w:val="21"/>
                <w14:textFill>
                  <w14:solidFill>
                    <w14:schemeClr w14:val="tx1"/>
                  </w14:solidFill>
                </w14:textFill>
              </w:rPr>
              <w:t>ND</w:t>
            </w:r>
          </w:p>
        </w:tc>
        <w:tc>
          <w:tcPr>
            <w:tcW w:w="0" w:type="auto"/>
            <w:vAlign w:val="center"/>
          </w:tcPr>
          <w:p w14:paraId="261CAD06">
            <w:pPr>
              <w:pStyle w:val="242"/>
              <w:rPr>
                <w:rFonts w:hint="eastAsia" w:ascii="宋体" w:hAnsi="宋体" w:cs="宋体"/>
              </w:rPr>
            </w:pPr>
            <w:r>
              <w:rPr>
                <w:rFonts w:hint="eastAsia" w:ascii="宋体" w:hAnsi="宋体" w:cs="宋体"/>
              </w:rPr>
              <w:t>/</w:t>
            </w:r>
          </w:p>
        </w:tc>
        <w:tc>
          <w:tcPr>
            <w:tcW w:w="0" w:type="auto"/>
          </w:tcPr>
          <w:p w14:paraId="35268457">
            <w:pPr>
              <w:pStyle w:val="242"/>
              <w:rPr>
                <w:rFonts w:hint="eastAsia" w:ascii="宋体" w:hAnsi="宋体" w:cs="宋体"/>
              </w:rPr>
            </w:pPr>
            <w:r>
              <w:rPr>
                <w:rFonts w:hint="eastAsia" w:ascii="宋体" w:hAnsi="宋体" w:cs="宋体"/>
              </w:rPr>
              <w:t>达标</w:t>
            </w:r>
          </w:p>
        </w:tc>
        <w:tc>
          <w:tcPr>
            <w:tcW w:w="0" w:type="auto"/>
          </w:tcPr>
          <w:p w14:paraId="21AFCA2F">
            <w:pPr>
              <w:pStyle w:val="242"/>
              <w:rPr>
                <w:rFonts w:hint="eastAsia" w:ascii="宋体" w:hAnsi="宋体" w:cs="宋体"/>
                <w:szCs w:val="22"/>
              </w:rPr>
            </w:pPr>
            <w:r>
              <w:rPr>
                <w:rFonts w:hint="eastAsia" w:ascii="宋体" w:hAnsi="宋体" w:cs="宋体"/>
                <w:szCs w:val="22"/>
              </w:rPr>
              <w:t>-</w:t>
            </w:r>
          </w:p>
        </w:tc>
        <w:tc>
          <w:tcPr>
            <w:tcW w:w="0" w:type="auto"/>
          </w:tcPr>
          <w:p w14:paraId="6FEC38F9">
            <w:pPr>
              <w:pStyle w:val="242"/>
              <w:rPr>
                <w:rFonts w:hint="eastAsia" w:ascii="宋体" w:hAnsi="宋体" w:cs="宋体"/>
              </w:rPr>
            </w:pPr>
            <w:r>
              <w:rPr>
                <w:rFonts w:hint="eastAsia" w:ascii="宋体" w:hAnsi="宋体" w:cs="宋体"/>
                <w:szCs w:val="22"/>
              </w:rPr>
              <w:t>-</w:t>
            </w:r>
          </w:p>
        </w:tc>
        <w:tc>
          <w:tcPr>
            <w:tcW w:w="0" w:type="auto"/>
          </w:tcPr>
          <w:p w14:paraId="5452A8BC">
            <w:pPr>
              <w:pStyle w:val="242"/>
              <w:rPr>
                <w:rFonts w:hint="eastAsia" w:ascii="宋体" w:hAnsi="宋体" w:cs="宋体"/>
              </w:rPr>
            </w:pPr>
            <w:r>
              <w:rPr>
                <w:rFonts w:hint="eastAsia" w:ascii="宋体" w:hAnsi="宋体" w:cs="宋体"/>
                <w:szCs w:val="22"/>
              </w:rPr>
              <w:t>-</w:t>
            </w:r>
          </w:p>
        </w:tc>
        <w:tc>
          <w:tcPr>
            <w:tcW w:w="0" w:type="auto"/>
          </w:tcPr>
          <w:p w14:paraId="02200CF1">
            <w:pPr>
              <w:pStyle w:val="242"/>
              <w:rPr>
                <w:rFonts w:hint="eastAsia" w:ascii="宋体" w:hAnsi="宋体" w:cs="宋体"/>
              </w:rPr>
            </w:pPr>
            <w:r>
              <w:rPr>
                <w:rFonts w:hint="eastAsia" w:ascii="宋体" w:hAnsi="宋体" w:cs="宋体"/>
                <w:szCs w:val="22"/>
              </w:rPr>
              <w:t>-</w:t>
            </w:r>
          </w:p>
        </w:tc>
        <w:tc>
          <w:tcPr>
            <w:tcW w:w="0" w:type="auto"/>
          </w:tcPr>
          <w:p w14:paraId="229D2875">
            <w:pPr>
              <w:pStyle w:val="242"/>
              <w:rPr>
                <w:rFonts w:hint="eastAsia" w:ascii="宋体" w:hAnsi="宋体" w:cs="宋体"/>
              </w:rPr>
            </w:pPr>
            <w:r>
              <w:rPr>
                <w:rFonts w:hint="eastAsia" w:ascii="宋体" w:hAnsi="宋体" w:cs="宋体"/>
                <w:szCs w:val="22"/>
              </w:rPr>
              <w:t>-</w:t>
            </w:r>
          </w:p>
        </w:tc>
        <w:tc>
          <w:tcPr>
            <w:tcW w:w="0" w:type="auto"/>
          </w:tcPr>
          <w:p w14:paraId="0225DF1C">
            <w:pPr>
              <w:pStyle w:val="242"/>
              <w:rPr>
                <w:rFonts w:hint="eastAsia" w:ascii="宋体" w:hAnsi="宋体" w:cs="宋体"/>
              </w:rPr>
            </w:pPr>
            <w:r>
              <w:rPr>
                <w:rFonts w:hint="eastAsia" w:ascii="宋体" w:hAnsi="宋体" w:cs="宋体"/>
                <w:szCs w:val="22"/>
              </w:rPr>
              <w:t>-</w:t>
            </w:r>
          </w:p>
        </w:tc>
      </w:tr>
      <w:tr w14:paraId="7211B6F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0" w:type="auto"/>
            <w:vAlign w:val="center"/>
          </w:tcPr>
          <w:p w14:paraId="7974F0AA">
            <w:pPr>
              <w:pStyle w:val="249"/>
              <w:rPr>
                <w:szCs w:val="21"/>
              </w:rPr>
            </w:pPr>
            <w:r>
              <w:rPr>
                <w:rFonts w:hint="eastAsia" w:ascii="宋体" w:hAnsi="宋体" w:cs="宋体"/>
                <w:kern w:val="1"/>
                <w:szCs w:val="21"/>
              </w:rPr>
              <w:t>2-氯酚</w:t>
            </w:r>
          </w:p>
        </w:tc>
        <w:tc>
          <w:tcPr>
            <w:tcW w:w="0" w:type="auto"/>
            <w:vAlign w:val="center"/>
          </w:tcPr>
          <w:p w14:paraId="1641A457">
            <w:pPr>
              <w:jc w:val="center"/>
              <w:rPr>
                <w:rFonts w:hint="eastAsia" w:ascii="宋体" w:hAnsi="宋体" w:cs="宋体"/>
              </w:rPr>
            </w:pPr>
            <w:r>
              <w:rPr>
                <w:rFonts w:hint="eastAsia" w:ascii="宋体" w:hAnsi="宋体" w:cs="宋体"/>
                <w:bCs/>
                <w:kern w:val="0"/>
                <w:szCs w:val="21"/>
                <w:lang w:bidi="ar"/>
              </w:rPr>
              <w:t>mg/kg</w:t>
            </w:r>
          </w:p>
        </w:tc>
        <w:tc>
          <w:tcPr>
            <w:tcW w:w="0" w:type="auto"/>
            <w:vAlign w:val="center"/>
          </w:tcPr>
          <w:p w14:paraId="6F4A4FE1">
            <w:pPr>
              <w:pStyle w:val="249"/>
              <w:rPr>
                <w:szCs w:val="21"/>
              </w:rPr>
            </w:pPr>
            <w:r>
              <w:rPr>
                <w:rFonts w:hint="eastAsia" w:ascii="宋体" w:hAnsi="宋体" w:cs="宋体"/>
                <w:szCs w:val="21"/>
              </w:rPr>
              <w:t>2256</w:t>
            </w:r>
          </w:p>
        </w:tc>
        <w:tc>
          <w:tcPr>
            <w:tcW w:w="0" w:type="auto"/>
            <w:vAlign w:val="center"/>
          </w:tcPr>
          <w:p w14:paraId="10E76660">
            <w:pPr>
              <w:pStyle w:val="242"/>
              <w:rPr>
                <w:rFonts w:hint="eastAsia" w:ascii="宋体" w:hAnsi="宋体" w:cs="宋体"/>
                <w:szCs w:val="22"/>
              </w:rPr>
            </w:pPr>
            <w:r>
              <w:rPr>
                <w:rFonts w:hint="eastAsia" w:ascii="宋体" w:hAnsi="宋体" w:cs="宋体"/>
                <w:color w:val="000000"/>
                <w:szCs w:val="21"/>
              </w:rPr>
              <w:t>ND</w:t>
            </w:r>
          </w:p>
        </w:tc>
        <w:tc>
          <w:tcPr>
            <w:tcW w:w="0" w:type="auto"/>
            <w:vAlign w:val="center"/>
          </w:tcPr>
          <w:p w14:paraId="184F1944">
            <w:pPr>
              <w:pStyle w:val="242"/>
              <w:rPr>
                <w:rFonts w:hint="eastAsia" w:ascii="宋体" w:hAnsi="宋体" w:cs="宋体"/>
              </w:rPr>
            </w:pPr>
            <w:r>
              <w:rPr>
                <w:rFonts w:hint="eastAsia" w:ascii="宋体" w:hAnsi="宋体" w:cs="宋体"/>
              </w:rPr>
              <w:t>/</w:t>
            </w:r>
          </w:p>
        </w:tc>
        <w:tc>
          <w:tcPr>
            <w:tcW w:w="0" w:type="auto"/>
          </w:tcPr>
          <w:p w14:paraId="2D88F582">
            <w:pPr>
              <w:pStyle w:val="242"/>
              <w:rPr>
                <w:rFonts w:hint="eastAsia" w:ascii="宋体" w:hAnsi="宋体" w:cs="宋体"/>
              </w:rPr>
            </w:pPr>
            <w:r>
              <w:rPr>
                <w:rFonts w:hint="eastAsia" w:ascii="宋体" w:hAnsi="宋体" w:cs="宋体"/>
              </w:rPr>
              <w:t>达标</w:t>
            </w:r>
          </w:p>
        </w:tc>
        <w:tc>
          <w:tcPr>
            <w:tcW w:w="0" w:type="auto"/>
          </w:tcPr>
          <w:p w14:paraId="7A3F51B7">
            <w:pPr>
              <w:pStyle w:val="242"/>
              <w:rPr>
                <w:rFonts w:hint="eastAsia" w:ascii="宋体" w:hAnsi="宋体" w:cs="宋体"/>
                <w:szCs w:val="22"/>
              </w:rPr>
            </w:pPr>
            <w:r>
              <w:rPr>
                <w:rFonts w:hint="eastAsia" w:ascii="宋体" w:hAnsi="宋体" w:cs="宋体"/>
                <w:szCs w:val="22"/>
              </w:rPr>
              <w:t>-</w:t>
            </w:r>
          </w:p>
        </w:tc>
        <w:tc>
          <w:tcPr>
            <w:tcW w:w="0" w:type="auto"/>
          </w:tcPr>
          <w:p w14:paraId="6A2EE359">
            <w:pPr>
              <w:pStyle w:val="242"/>
              <w:rPr>
                <w:rFonts w:hint="eastAsia" w:ascii="宋体" w:hAnsi="宋体" w:cs="宋体"/>
              </w:rPr>
            </w:pPr>
            <w:r>
              <w:rPr>
                <w:rFonts w:hint="eastAsia" w:ascii="宋体" w:hAnsi="宋体" w:cs="宋体"/>
                <w:szCs w:val="22"/>
              </w:rPr>
              <w:t>-</w:t>
            </w:r>
          </w:p>
        </w:tc>
        <w:tc>
          <w:tcPr>
            <w:tcW w:w="0" w:type="auto"/>
          </w:tcPr>
          <w:p w14:paraId="23D4AF91">
            <w:pPr>
              <w:pStyle w:val="242"/>
              <w:rPr>
                <w:rFonts w:hint="eastAsia" w:ascii="宋体" w:hAnsi="宋体" w:cs="宋体"/>
              </w:rPr>
            </w:pPr>
            <w:r>
              <w:rPr>
                <w:rFonts w:hint="eastAsia" w:ascii="宋体" w:hAnsi="宋体" w:cs="宋体"/>
                <w:szCs w:val="22"/>
              </w:rPr>
              <w:t>-</w:t>
            </w:r>
          </w:p>
        </w:tc>
        <w:tc>
          <w:tcPr>
            <w:tcW w:w="0" w:type="auto"/>
          </w:tcPr>
          <w:p w14:paraId="3160062C">
            <w:pPr>
              <w:pStyle w:val="242"/>
              <w:rPr>
                <w:rFonts w:hint="eastAsia" w:ascii="宋体" w:hAnsi="宋体" w:cs="宋体"/>
              </w:rPr>
            </w:pPr>
            <w:r>
              <w:rPr>
                <w:rFonts w:hint="eastAsia" w:ascii="宋体" w:hAnsi="宋体" w:cs="宋体"/>
                <w:szCs w:val="22"/>
              </w:rPr>
              <w:t>-</w:t>
            </w:r>
          </w:p>
        </w:tc>
        <w:tc>
          <w:tcPr>
            <w:tcW w:w="0" w:type="auto"/>
          </w:tcPr>
          <w:p w14:paraId="4BD99E2D">
            <w:pPr>
              <w:pStyle w:val="242"/>
              <w:rPr>
                <w:rFonts w:hint="eastAsia" w:ascii="宋体" w:hAnsi="宋体" w:cs="宋体"/>
              </w:rPr>
            </w:pPr>
            <w:r>
              <w:rPr>
                <w:rFonts w:hint="eastAsia" w:ascii="宋体" w:hAnsi="宋体" w:cs="宋体"/>
                <w:szCs w:val="22"/>
              </w:rPr>
              <w:t>-</w:t>
            </w:r>
          </w:p>
        </w:tc>
        <w:tc>
          <w:tcPr>
            <w:tcW w:w="0" w:type="auto"/>
          </w:tcPr>
          <w:p w14:paraId="7695F62B">
            <w:pPr>
              <w:pStyle w:val="242"/>
              <w:rPr>
                <w:rFonts w:hint="eastAsia" w:ascii="宋体" w:hAnsi="宋体" w:cs="宋体"/>
              </w:rPr>
            </w:pPr>
            <w:r>
              <w:rPr>
                <w:rFonts w:hint="eastAsia" w:ascii="宋体" w:hAnsi="宋体" w:cs="宋体"/>
                <w:szCs w:val="22"/>
              </w:rPr>
              <w:t>-</w:t>
            </w:r>
          </w:p>
        </w:tc>
      </w:tr>
      <w:tr w14:paraId="1F3325B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0" w:type="auto"/>
            <w:vAlign w:val="center"/>
          </w:tcPr>
          <w:p w14:paraId="2CA44E56">
            <w:pPr>
              <w:pStyle w:val="249"/>
              <w:rPr>
                <w:szCs w:val="21"/>
              </w:rPr>
            </w:pPr>
            <w:r>
              <w:rPr>
                <w:rFonts w:hint="eastAsia" w:ascii="宋体" w:hAnsi="宋体" w:cs="宋体"/>
                <w:color w:val="000000"/>
                <w:kern w:val="1"/>
                <w:szCs w:val="21"/>
              </w:rPr>
              <w:t>苯并[α]蒽</w:t>
            </w:r>
          </w:p>
        </w:tc>
        <w:tc>
          <w:tcPr>
            <w:tcW w:w="0" w:type="auto"/>
            <w:vAlign w:val="center"/>
          </w:tcPr>
          <w:p w14:paraId="365E0CCA">
            <w:pPr>
              <w:jc w:val="center"/>
              <w:rPr>
                <w:rFonts w:hint="eastAsia" w:ascii="宋体" w:hAnsi="宋体" w:cs="宋体"/>
              </w:rPr>
            </w:pPr>
            <w:r>
              <w:rPr>
                <w:rFonts w:hint="eastAsia" w:ascii="宋体" w:hAnsi="宋体" w:cs="宋体"/>
                <w:bCs/>
                <w:kern w:val="0"/>
                <w:szCs w:val="21"/>
                <w:lang w:bidi="ar"/>
              </w:rPr>
              <w:t>mg/kg</w:t>
            </w:r>
          </w:p>
        </w:tc>
        <w:tc>
          <w:tcPr>
            <w:tcW w:w="0" w:type="auto"/>
            <w:vAlign w:val="center"/>
          </w:tcPr>
          <w:p w14:paraId="511D692A">
            <w:pPr>
              <w:pStyle w:val="249"/>
              <w:rPr>
                <w:szCs w:val="21"/>
              </w:rPr>
            </w:pPr>
            <w:r>
              <w:rPr>
                <w:rFonts w:hint="eastAsia" w:ascii="宋体" w:hAnsi="宋体" w:cs="宋体"/>
                <w:szCs w:val="21"/>
              </w:rPr>
              <w:t>15</w:t>
            </w:r>
          </w:p>
        </w:tc>
        <w:tc>
          <w:tcPr>
            <w:tcW w:w="0" w:type="auto"/>
            <w:vAlign w:val="center"/>
          </w:tcPr>
          <w:p w14:paraId="70584A8B">
            <w:pPr>
              <w:pStyle w:val="242"/>
              <w:rPr>
                <w:rFonts w:hint="eastAsia" w:ascii="宋体" w:hAnsi="宋体" w:cs="宋体"/>
                <w:szCs w:val="22"/>
              </w:rPr>
            </w:pPr>
            <w:r>
              <w:rPr>
                <w:rFonts w:hint="eastAsia" w:ascii="宋体" w:hAnsi="宋体" w:cs="宋体"/>
                <w:color w:val="000000"/>
                <w:szCs w:val="21"/>
              </w:rPr>
              <w:t>ND</w:t>
            </w:r>
          </w:p>
        </w:tc>
        <w:tc>
          <w:tcPr>
            <w:tcW w:w="0" w:type="auto"/>
            <w:vAlign w:val="center"/>
          </w:tcPr>
          <w:p w14:paraId="0630B1FB">
            <w:pPr>
              <w:pStyle w:val="242"/>
              <w:rPr>
                <w:rFonts w:hint="eastAsia" w:ascii="宋体" w:hAnsi="宋体" w:cs="宋体"/>
              </w:rPr>
            </w:pPr>
            <w:r>
              <w:rPr>
                <w:rFonts w:hint="eastAsia" w:ascii="宋体" w:hAnsi="宋体" w:cs="宋体"/>
              </w:rPr>
              <w:t>/</w:t>
            </w:r>
          </w:p>
        </w:tc>
        <w:tc>
          <w:tcPr>
            <w:tcW w:w="0" w:type="auto"/>
          </w:tcPr>
          <w:p w14:paraId="1528AADA">
            <w:pPr>
              <w:pStyle w:val="242"/>
              <w:rPr>
                <w:rFonts w:hint="eastAsia" w:ascii="宋体" w:hAnsi="宋体" w:cs="宋体"/>
              </w:rPr>
            </w:pPr>
            <w:r>
              <w:rPr>
                <w:rFonts w:hint="eastAsia" w:ascii="宋体" w:hAnsi="宋体" w:cs="宋体"/>
              </w:rPr>
              <w:t>达标</w:t>
            </w:r>
          </w:p>
        </w:tc>
        <w:tc>
          <w:tcPr>
            <w:tcW w:w="0" w:type="auto"/>
          </w:tcPr>
          <w:p w14:paraId="542F174E">
            <w:pPr>
              <w:pStyle w:val="242"/>
              <w:rPr>
                <w:rFonts w:hint="eastAsia" w:ascii="宋体" w:hAnsi="宋体" w:cs="宋体"/>
                <w:szCs w:val="22"/>
              </w:rPr>
            </w:pPr>
            <w:r>
              <w:rPr>
                <w:rFonts w:hint="eastAsia" w:ascii="宋体" w:hAnsi="宋体" w:cs="宋体"/>
                <w:szCs w:val="22"/>
              </w:rPr>
              <w:t>-</w:t>
            </w:r>
          </w:p>
        </w:tc>
        <w:tc>
          <w:tcPr>
            <w:tcW w:w="0" w:type="auto"/>
          </w:tcPr>
          <w:p w14:paraId="2D9DE853">
            <w:pPr>
              <w:pStyle w:val="242"/>
              <w:rPr>
                <w:rFonts w:hint="eastAsia" w:ascii="宋体" w:hAnsi="宋体" w:cs="宋体"/>
              </w:rPr>
            </w:pPr>
            <w:r>
              <w:rPr>
                <w:rFonts w:hint="eastAsia" w:ascii="宋体" w:hAnsi="宋体" w:cs="宋体"/>
                <w:szCs w:val="22"/>
              </w:rPr>
              <w:t>-</w:t>
            </w:r>
          </w:p>
        </w:tc>
        <w:tc>
          <w:tcPr>
            <w:tcW w:w="0" w:type="auto"/>
          </w:tcPr>
          <w:p w14:paraId="1DE67B97">
            <w:pPr>
              <w:pStyle w:val="242"/>
              <w:rPr>
                <w:rFonts w:hint="eastAsia" w:ascii="宋体" w:hAnsi="宋体" w:cs="宋体"/>
              </w:rPr>
            </w:pPr>
            <w:r>
              <w:rPr>
                <w:rFonts w:hint="eastAsia" w:ascii="宋体" w:hAnsi="宋体" w:cs="宋体"/>
                <w:szCs w:val="22"/>
              </w:rPr>
              <w:t>-</w:t>
            </w:r>
          </w:p>
        </w:tc>
        <w:tc>
          <w:tcPr>
            <w:tcW w:w="0" w:type="auto"/>
          </w:tcPr>
          <w:p w14:paraId="2E20159D">
            <w:pPr>
              <w:pStyle w:val="242"/>
              <w:rPr>
                <w:rFonts w:hint="eastAsia" w:ascii="宋体" w:hAnsi="宋体" w:cs="宋体"/>
              </w:rPr>
            </w:pPr>
            <w:r>
              <w:rPr>
                <w:rFonts w:hint="eastAsia" w:ascii="宋体" w:hAnsi="宋体" w:cs="宋体"/>
                <w:szCs w:val="22"/>
              </w:rPr>
              <w:t>-</w:t>
            </w:r>
          </w:p>
        </w:tc>
        <w:tc>
          <w:tcPr>
            <w:tcW w:w="0" w:type="auto"/>
          </w:tcPr>
          <w:p w14:paraId="1FEA05FF">
            <w:pPr>
              <w:pStyle w:val="242"/>
              <w:rPr>
                <w:rFonts w:hint="eastAsia" w:ascii="宋体" w:hAnsi="宋体" w:cs="宋体"/>
              </w:rPr>
            </w:pPr>
            <w:r>
              <w:rPr>
                <w:rFonts w:hint="eastAsia" w:ascii="宋体" w:hAnsi="宋体" w:cs="宋体"/>
                <w:szCs w:val="22"/>
              </w:rPr>
              <w:t>-</w:t>
            </w:r>
          </w:p>
        </w:tc>
        <w:tc>
          <w:tcPr>
            <w:tcW w:w="0" w:type="auto"/>
          </w:tcPr>
          <w:p w14:paraId="6FF4D8EE">
            <w:pPr>
              <w:pStyle w:val="242"/>
              <w:rPr>
                <w:rFonts w:hint="eastAsia" w:ascii="宋体" w:hAnsi="宋体" w:cs="宋体"/>
              </w:rPr>
            </w:pPr>
            <w:r>
              <w:rPr>
                <w:rFonts w:hint="eastAsia" w:ascii="宋体" w:hAnsi="宋体" w:cs="宋体"/>
                <w:szCs w:val="22"/>
              </w:rPr>
              <w:t>-</w:t>
            </w:r>
          </w:p>
        </w:tc>
      </w:tr>
      <w:tr w14:paraId="10FB0EB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0" w:type="auto"/>
            <w:vAlign w:val="center"/>
          </w:tcPr>
          <w:p w14:paraId="083B8022">
            <w:pPr>
              <w:pStyle w:val="249"/>
              <w:rPr>
                <w:szCs w:val="21"/>
              </w:rPr>
            </w:pPr>
            <w:r>
              <w:rPr>
                <w:rFonts w:hint="eastAsia" w:ascii="宋体" w:hAnsi="宋体" w:cs="宋体"/>
                <w:color w:val="000000"/>
                <w:kern w:val="1"/>
                <w:szCs w:val="21"/>
              </w:rPr>
              <w:t>苯并[α]芘</w:t>
            </w:r>
          </w:p>
        </w:tc>
        <w:tc>
          <w:tcPr>
            <w:tcW w:w="0" w:type="auto"/>
            <w:vAlign w:val="center"/>
          </w:tcPr>
          <w:p w14:paraId="6DAF3BDD">
            <w:pPr>
              <w:jc w:val="center"/>
              <w:rPr>
                <w:rFonts w:hint="eastAsia" w:ascii="宋体" w:hAnsi="宋体" w:cs="宋体"/>
              </w:rPr>
            </w:pPr>
            <w:r>
              <w:rPr>
                <w:rFonts w:hint="eastAsia" w:ascii="宋体" w:hAnsi="宋体" w:cs="宋体"/>
                <w:bCs/>
                <w:kern w:val="0"/>
                <w:szCs w:val="21"/>
                <w:lang w:bidi="ar"/>
              </w:rPr>
              <w:t>mg/kg</w:t>
            </w:r>
          </w:p>
        </w:tc>
        <w:tc>
          <w:tcPr>
            <w:tcW w:w="0" w:type="auto"/>
            <w:vAlign w:val="center"/>
          </w:tcPr>
          <w:p w14:paraId="7698913B">
            <w:pPr>
              <w:pStyle w:val="249"/>
              <w:rPr>
                <w:szCs w:val="21"/>
              </w:rPr>
            </w:pPr>
            <w:r>
              <w:rPr>
                <w:rFonts w:hint="eastAsia" w:ascii="宋体" w:hAnsi="宋体" w:cs="宋体"/>
                <w:szCs w:val="21"/>
              </w:rPr>
              <w:t>1.5</w:t>
            </w:r>
          </w:p>
        </w:tc>
        <w:tc>
          <w:tcPr>
            <w:tcW w:w="0" w:type="auto"/>
            <w:vAlign w:val="center"/>
          </w:tcPr>
          <w:p w14:paraId="56087FB1">
            <w:pPr>
              <w:pStyle w:val="242"/>
              <w:rPr>
                <w:rFonts w:hint="eastAsia" w:ascii="宋体" w:hAnsi="宋体" w:cs="宋体"/>
                <w:szCs w:val="22"/>
              </w:rPr>
            </w:pPr>
            <w:r>
              <w:rPr>
                <w:rFonts w:hint="eastAsia" w:ascii="宋体" w:hAnsi="宋体" w:cs="宋体"/>
                <w:color w:val="000000"/>
                <w:szCs w:val="21"/>
              </w:rPr>
              <w:t>ND</w:t>
            </w:r>
          </w:p>
        </w:tc>
        <w:tc>
          <w:tcPr>
            <w:tcW w:w="0" w:type="auto"/>
            <w:vAlign w:val="center"/>
          </w:tcPr>
          <w:p w14:paraId="1F177B80">
            <w:pPr>
              <w:pStyle w:val="242"/>
              <w:rPr>
                <w:rFonts w:hint="eastAsia" w:ascii="宋体" w:hAnsi="宋体" w:cs="宋体"/>
              </w:rPr>
            </w:pPr>
            <w:r>
              <w:rPr>
                <w:rFonts w:hint="eastAsia" w:ascii="宋体" w:hAnsi="宋体" w:cs="宋体"/>
              </w:rPr>
              <w:t>/</w:t>
            </w:r>
          </w:p>
        </w:tc>
        <w:tc>
          <w:tcPr>
            <w:tcW w:w="0" w:type="auto"/>
          </w:tcPr>
          <w:p w14:paraId="62E99AF0">
            <w:pPr>
              <w:pStyle w:val="242"/>
              <w:rPr>
                <w:rFonts w:hint="eastAsia" w:ascii="宋体" w:hAnsi="宋体" w:cs="宋体"/>
              </w:rPr>
            </w:pPr>
            <w:r>
              <w:rPr>
                <w:rFonts w:hint="eastAsia" w:ascii="宋体" w:hAnsi="宋体" w:cs="宋体"/>
              </w:rPr>
              <w:t>达标</w:t>
            </w:r>
          </w:p>
        </w:tc>
        <w:tc>
          <w:tcPr>
            <w:tcW w:w="0" w:type="auto"/>
          </w:tcPr>
          <w:p w14:paraId="36E9E74B">
            <w:pPr>
              <w:pStyle w:val="242"/>
              <w:rPr>
                <w:rFonts w:hint="eastAsia" w:ascii="宋体" w:hAnsi="宋体" w:cs="宋体"/>
                <w:szCs w:val="22"/>
              </w:rPr>
            </w:pPr>
            <w:r>
              <w:rPr>
                <w:rFonts w:hint="eastAsia" w:ascii="宋体" w:hAnsi="宋体" w:cs="宋体"/>
                <w:szCs w:val="22"/>
              </w:rPr>
              <w:t>-</w:t>
            </w:r>
          </w:p>
        </w:tc>
        <w:tc>
          <w:tcPr>
            <w:tcW w:w="0" w:type="auto"/>
          </w:tcPr>
          <w:p w14:paraId="465AF69F">
            <w:pPr>
              <w:pStyle w:val="242"/>
              <w:rPr>
                <w:rFonts w:hint="eastAsia" w:ascii="宋体" w:hAnsi="宋体" w:cs="宋体"/>
              </w:rPr>
            </w:pPr>
            <w:r>
              <w:rPr>
                <w:rFonts w:hint="eastAsia" w:ascii="宋体" w:hAnsi="宋体" w:cs="宋体"/>
                <w:szCs w:val="22"/>
              </w:rPr>
              <w:t>-</w:t>
            </w:r>
          </w:p>
        </w:tc>
        <w:tc>
          <w:tcPr>
            <w:tcW w:w="0" w:type="auto"/>
          </w:tcPr>
          <w:p w14:paraId="2AB40B74">
            <w:pPr>
              <w:pStyle w:val="242"/>
              <w:rPr>
                <w:rFonts w:hint="eastAsia" w:ascii="宋体" w:hAnsi="宋体" w:cs="宋体"/>
              </w:rPr>
            </w:pPr>
            <w:r>
              <w:rPr>
                <w:rFonts w:hint="eastAsia" w:ascii="宋体" w:hAnsi="宋体" w:cs="宋体"/>
                <w:szCs w:val="22"/>
              </w:rPr>
              <w:t>-</w:t>
            </w:r>
          </w:p>
        </w:tc>
        <w:tc>
          <w:tcPr>
            <w:tcW w:w="0" w:type="auto"/>
          </w:tcPr>
          <w:p w14:paraId="582824E0">
            <w:pPr>
              <w:pStyle w:val="242"/>
              <w:rPr>
                <w:rFonts w:hint="eastAsia" w:ascii="宋体" w:hAnsi="宋体" w:cs="宋体"/>
              </w:rPr>
            </w:pPr>
            <w:r>
              <w:rPr>
                <w:rFonts w:hint="eastAsia" w:ascii="宋体" w:hAnsi="宋体" w:cs="宋体"/>
                <w:szCs w:val="22"/>
              </w:rPr>
              <w:t>-</w:t>
            </w:r>
          </w:p>
        </w:tc>
        <w:tc>
          <w:tcPr>
            <w:tcW w:w="0" w:type="auto"/>
          </w:tcPr>
          <w:p w14:paraId="171B8702">
            <w:pPr>
              <w:pStyle w:val="242"/>
              <w:rPr>
                <w:rFonts w:hint="eastAsia" w:ascii="宋体" w:hAnsi="宋体" w:cs="宋体"/>
              </w:rPr>
            </w:pPr>
            <w:r>
              <w:rPr>
                <w:rFonts w:hint="eastAsia" w:ascii="宋体" w:hAnsi="宋体" w:cs="宋体"/>
                <w:szCs w:val="22"/>
              </w:rPr>
              <w:t>-</w:t>
            </w:r>
          </w:p>
        </w:tc>
        <w:tc>
          <w:tcPr>
            <w:tcW w:w="0" w:type="auto"/>
          </w:tcPr>
          <w:p w14:paraId="16172535">
            <w:pPr>
              <w:pStyle w:val="242"/>
              <w:rPr>
                <w:rFonts w:hint="eastAsia" w:ascii="宋体" w:hAnsi="宋体" w:cs="宋体"/>
              </w:rPr>
            </w:pPr>
            <w:r>
              <w:rPr>
                <w:rFonts w:hint="eastAsia" w:ascii="宋体" w:hAnsi="宋体" w:cs="宋体"/>
                <w:szCs w:val="22"/>
              </w:rPr>
              <w:t>-</w:t>
            </w:r>
          </w:p>
        </w:tc>
      </w:tr>
      <w:tr w14:paraId="556AEBA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0" w:type="auto"/>
            <w:vAlign w:val="center"/>
          </w:tcPr>
          <w:p w14:paraId="0A6F44C4">
            <w:pPr>
              <w:pStyle w:val="249"/>
              <w:rPr>
                <w:szCs w:val="21"/>
              </w:rPr>
            </w:pPr>
            <w:r>
              <w:rPr>
                <w:rFonts w:hint="eastAsia" w:ascii="宋体" w:hAnsi="宋体" w:cs="宋体"/>
                <w:color w:val="000000"/>
                <w:kern w:val="1"/>
                <w:szCs w:val="21"/>
              </w:rPr>
              <w:t>苯并[b]荧蒽</w:t>
            </w:r>
          </w:p>
        </w:tc>
        <w:tc>
          <w:tcPr>
            <w:tcW w:w="0" w:type="auto"/>
            <w:vAlign w:val="center"/>
          </w:tcPr>
          <w:p w14:paraId="69ADC9F9">
            <w:pPr>
              <w:jc w:val="center"/>
              <w:rPr>
                <w:rFonts w:hint="eastAsia" w:ascii="宋体" w:hAnsi="宋体" w:cs="宋体"/>
              </w:rPr>
            </w:pPr>
            <w:r>
              <w:rPr>
                <w:rFonts w:hint="eastAsia" w:ascii="宋体" w:hAnsi="宋体" w:cs="宋体"/>
                <w:bCs/>
                <w:kern w:val="0"/>
                <w:szCs w:val="21"/>
                <w:lang w:bidi="ar"/>
              </w:rPr>
              <w:t>mg/kg</w:t>
            </w:r>
          </w:p>
        </w:tc>
        <w:tc>
          <w:tcPr>
            <w:tcW w:w="0" w:type="auto"/>
            <w:vAlign w:val="center"/>
          </w:tcPr>
          <w:p w14:paraId="4B2A4D31">
            <w:pPr>
              <w:pStyle w:val="249"/>
              <w:rPr>
                <w:szCs w:val="21"/>
              </w:rPr>
            </w:pPr>
            <w:r>
              <w:rPr>
                <w:rFonts w:hint="eastAsia" w:ascii="宋体" w:hAnsi="宋体" w:cs="宋体"/>
                <w:szCs w:val="21"/>
              </w:rPr>
              <w:t>15</w:t>
            </w:r>
          </w:p>
        </w:tc>
        <w:tc>
          <w:tcPr>
            <w:tcW w:w="0" w:type="auto"/>
            <w:vAlign w:val="center"/>
          </w:tcPr>
          <w:p w14:paraId="30E034AE">
            <w:pPr>
              <w:pStyle w:val="242"/>
              <w:rPr>
                <w:rFonts w:hint="eastAsia" w:ascii="宋体" w:hAnsi="宋体" w:cs="宋体"/>
                <w:szCs w:val="22"/>
              </w:rPr>
            </w:pPr>
            <w:r>
              <w:rPr>
                <w:rFonts w:hint="eastAsia" w:ascii="宋体" w:hAnsi="宋体" w:cs="宋体"/>
                <w:color w:val="000000"/>
                <w:szCs w:val="21"/>
              </w:rPr>
              <w:t>ND</w:t>
            </w:r>
          </w:p>
        </w:tc>
        <w:tc>
          <w:tcPr>
            <w:tcW w:w="0" w:type="auto"/>
            <w:vAlign w:val="center"/>
          </w:tcPr>
          <w:p w14:paraId="2451D5EC">
            <w:pPr>
              <w:pStyle w:val="242"/>
              <w:rPr>
                <w:rFonts w:hint="eastAsia" w:ascii="宋体" w:hAnsi="宋体" w:cs="宋体"/>
              </w:rPr>
            </w:pPr>
            <w:r>
              <w:rPr>
                <w:rFonts w:hint="eastAsia" w:ascii="宋体" w:hAnsi="宋体" w:cs="宋体"/>
              </w:rPr>
              <w:t>/</w:t>
            </w:r>
          </w:p>
        </w:tc>
        <w:tc>
          <w:tcPr>
            <w:tcW w:w="0" w:type="auto"/>
          </w:tcPr>
          <w:p w14:paraId="728888FC">
            <w:pPr>
              <w:pStyle w:val="242"/>
              <w:rPr>
                <w:rFonts w:hint="eastAsia" w:ascii="宋体" w:hAnsi="宋体" w:cs="宋体"/>
              </w:rPr>
            </w:pPr>
            <w:r>
              <w:rPr>
                <w:rFonts w:hint="eastAsia" w:ascii="宋体" w:hAnsi="宋体" w:cs="宋体"/>
              </w:rPr>
              <w:t>达标</w:t>
            </w:r>
          </w:p>
        </w:tc>
        <w:tc>
          <w:tcPr>
            <w:tcW w:w="0" w:type="auto"/>
          </w:tcPr>
          <w:p w14:paraId="7AFC2BF9">
            <w:pPr>
              <w:pStyle w:val="242"/>
              <w:rPr>
                <w:rFonts w:hint="eastAsia" w:ascii="宋体" w:hAnsi="宋体" w:cs="宋体"/>
                <w:szCs w:val="22"/>
              </w:rPr>
            </w:pPr>
            <w:r>
              <w:rPr>
                <w:rFonts w:hint="eastAsia" w:ascii="宋体" w:hAnsi="宋体" w:cs="宋体"/>
                <w:szCs w:val="22"/>
              </w:rPr>
              <w:t>-</w:t>
            </w:r>
          </w:p>
        </w:tc>
        <w:tc>
          <w:tcPr>
            <w:tcW w:w="0" w:type="auto"/>
          </w:tcPr>
          <w:p w14:paraId="372FD62F">
            <w:pPr>
              <w:pStyle w:val="242"/>
              <w:rPr>
                <w:rFonts w:hint="eastAsia" w:ascii="宋体" w:hAnsi="宋体" w:cs="宋体"/>
              </w:rPr>
            </w:pPr>
            <w:r>
              <w:rPr>
                <w:rFonts w:hint="eastAsia" w:ascii="宋体" w:hAnsi="宋体" w:cs="宋体"/>
                <w:szCs w:val="22"/>
              </w:rPr>
              <w:t>-</w:t>
            </w:r>
          </w:p>
        </w:tc>
        <w:tc>
          <w:tcPr>
            <w:tcW w:w="0" w:type="auto"/>
          </w:tcPr>
          <w:p w14:paraId="4138A41D">
            <w:pPr>
              <w:pStyle w:val="242"/>
              <w:rPr>
                <w:rFonts w:hint="eastAsia" w:ascii="宋体" w:hAnsi="宋体" w:cs="宋体"/>
              </w:rPr>
            </w:pPr>
            <w:r>
              <w:rPr>
                <w:rFonts w:hint="eastAsia" w:ascii="宋体" w:hAnsi="宋体" w:cs="宋体"/>
                <w:szCs w:val="22"/>
              </w:rPr>
              <w:t>-</w:t>
            </w:r>
          </w:p>
        </w:tc>
        <w:tc>
          <w:tcPr>
            <w:tcW w:w="0" w:type="auto"/>
          </w:tcPr>
          <w:p w14:paraId="34FCBA9D">
            <w:pPr>
              <w:pStyle w:val="242"/>
              <w:rPr>
                <w:rFonts w:hint="eastAsia" w:ascii="宋体" w:hAnsi="宋体" w:cs="宋体"/>
              </w:rPr>
            </w:pPr>
            <w:r>
              <w:rPr>
                <w:rFonts w:hint="eastAsia" w:ascii="宋体" w:hAnsi="宋体" w:cs="宋体"/>
                <w:szCs w:val="22"/>
              </w:rPr>
              <w:t>-</w:t>
            </w:r>
          </w:p>
        </w:tc>
        <w:tc>
          <w:tcPr>
            <w:tcW w:w="0" w:type="auto"/>
          </w:tcPr>
          <w:p w14:paraId="5E8FD6D9">
            <w:pPr>
              <w:pStyle w:val="242"/>
              <w:rPr>
                <w:rFonts w:hint="eastAsia" w:ascii="宋体" w:hAnsi="宋体" w:cs="宋体"/>
              </w:rPr>
            </w:pPr>
            <w:r>
              <w:rPr>
                <w:rFonts w:hint="eastAsia" w:ascii="宋体" w:hAnsi="宋体" w:cs="宋体"/>
                <w:szCs w:val="22"/>
              </w:rPr>
              <w:t>-</w:t>
            </w:r>
          </w:p>
        </w:tc>
        <w:tc>
          <w:tcPr>
            <w:tcW w:w="0" w:type="auto"/>
          </w:tcPr>
          <w:p w14:paraId="4F323D6A">
            <w:pPr>
              <w:pStyle w:val="242"/>
              <w:rPr>
                <w:rFonts w:hint="eastAsia" w:ascii="宋体" w:hAnsi="宋体" w:cs="宋体"/>
              </w:rPr>
            </w:pPr>
            <w:r>
              <w:rPr>
                <w:rFonts w:hint="eastAsia" w:ascii="宋体" w:hAnsi="宋体" w:cs="宋体"/>
                <w:szCs w:val="22"/>
              </w:rPr>
              <w:t>-</w:t>
            </w:r>
          </w:p>
        </w:tc>
      </w:tr>
      <w:tr w14:paraId="27F7988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0" w:type="auto"/>
            <w:vAlign w:val="center"/>
          </w:tcPr>
          <w:p w14:paraId="01DECE25">
            <w:pPr>
              <w:pStyle w:val="249"/>
              <w:rPr>
                <w:szCs w:val="21"/>
              </w:rPr>
            </w:pPr>
            <w:r>
              <w:rPr>
                <w:rFonts w:hint="eastAsia" w:ascii="宋体" w:hAnsi="宋体" w:cs="宋体"/>
                <w:color w:val="000000"/>
                <w:kern w:val="1"/>
                <w:szCs w:val="21"/>
              </w:rPr>
              <w:t>苯并[k]荧蒽</w:t>
            </w:r>
          </w:p>
        </w:tc>
        <w:tc>
          <w:tcPr>
            <w:tcW w:w="0" w:type="auto"/>
            <w:vAlign w:val="center"/>
          </w:tcPr>
          <w:p w14:paraId="5B971391">
            <w:pPr>
              <w:jc w:val="center"/>
              <w:rPr>
                <w:rFonts w:hint="eastAsia" w:ascii="宋体" w:hAnsi="宋体" w:cs="宋体"/>
              </w:rPr>
            </w:pPr>
            <w:r>
              <w:rPr>
                <w:rFonts w:hint="eastAsia" w:ascii="宋体" w:hAnsi="宋体" w:cs="宋体"/>
                <w:bCs/>
                <w:kern w:val="0"/>
                <w:szCs w:val="21"/>
                <w:lang w:bidi="ar"/>
              </w:rPr>
              <w:t>mg/kg</w:t>
            </w:r>
          </w:p>
        </w:tc>
        <w:tc>
          <w:tcPr>
            <w:tcW w:w="0" w:type="auto"/>
            <w:vAlign w:val="center"/>
          </w:tcPr>
          <w:p w14:paraId="4DD68F5F">
            <w:pPr>
              <w:pStyle w:val="249"/>
              <w:rPr>
                <w:szCs w:val="21"/>
              </w:rPr>
            </w:pPr>
            <w:r>
              <w:rPr>
                <w:rFonts w:hint="eastAsia" w:ascii="宋体" w:hAnsi="宋体" w:cs="宋体"/>
                <w:szCs w:val="21"/>
              </w:rPr>
              <w:t>151</w:t>
            </w:r>
          </w:p>
        </w:tc>
        <w:tc>
          <w:tcPr>
            <w:tcW w:w="0" w:type="auto"/>
            <w:vAlign w:val="center"/>
          </w:tcPr>
          <w:p w14:paraId="3B471D5B">
            <w:pPr>
              <w:pStyle w:val="242"/>
              <w:rPr>
                <w:rFonts w:hint="eastAsia" w:ascii="宋体" w:hAnsi="宋体" w:cs="宋体"/>
                <w:szCs w:val="22"/>
              </w:rPr>
            </w:pPr>
            <w:r>
              <w:rPr>
                <w:rFonts w:hint="eastAsia" w:ascii="宋体" w:hAnsi="宋体" w:cs="宋体"/>
                <w:color w:val="000000"/>
                <w:szCs w:val="21"/>
              </w:rPr>
              <w:t>ND</w:t>
            </w:r>
          </w:p>
        </w:tc>
        <w:tc>
          <w:tcPr>
            <w:tcW w:w="0" w:type="auto"/>
            <w:vAlign w:val="center"/>
          </w:tcPr>
          <w:p w14:paraId="323E10D7">
            <w:pPr>
              <w:pStyle w:val="242"/>
              <w:rPr>
                <w:rFonts w:hint="eastAsia" w:ascii="宋体" w:hAnsi="宋体" w:cs="宋体"/>
              </w:rPr>
            </w:pPr>
            <w:r>
              <w:rPr>
                <w:rFonts w:hint="eastAsia" w:ascii="宋体" w:hAnsi="宋体" w:cs="宋体"/>
              </w:rPr>
              <w:t>/</w:t>
            </w:r>
          </w:p>
        </w:tc>
        <w:tc>
          <w:tcPr>
            <w:tcW w:w="0" w:type="auto"/>
          </w:tcPr>
          <w:p w14:paraId="1218C759">
            <w:pPr>
              <w:pStyle w:val="242"/>
              <w:rPr>
                <w:rFonts w:hint="eastAsia" w:ascii="宋体" w:hAnsi="宋体" w:cs="宋体"/>
              </w:rPr>
            </w:pPr>
            <w:r>
              <w:rPr>
                <w:rFonts w:hint="eastAsia" w:ascii="宋体" w:hAnsi="宋体" w:cs="宋体"/>
              </w:rPr>
              <w:t>达标</w:t>
            </w:r>
          </w:p>
        </w:tc>
        <w:tc>
          <w:tcPr>
            <w:tcW w:w="0" w:type="auto"/>
          </w:tcPr>
          <w:p w14:paraId="5BA4607F">
            <w:pPr>
              <w:pStyle w:val="242"/>
              <w:rPr>
                <w:rFonts w:hint="eastAsia" w:ascii="宋体" w:hAnsi="宋体" w:cs="宋体"/>
                <w:szCs w:val="22"/>
              </w:rPr>
            </w:pPr>
            <w:r>
              <w:rPr>
                <w:rFonts w:hint="eastAsia" w:ascii="宋体" w:hAnsi="宋体" w:cs="宋体"/>
                <w:szCs w:val="22"/>
              </w:rPr>
              <w:t>-</w:t>
            </w:r>
          </w:p>
        </w:tc>
        <w:tc>
          <w:tcPr>
            <w:tcW w:w="0" w:type="auto"/>
          </w:tcPr>
          <w:p w14:paraId="4C16C6B2">
            <w:pPr>
              <w:pStyle w:val="242"/>
              <w:rPr>
                <w:rFonts w:hint="eastAsia" w:ascii="宋体" w:hAnsi="宋体" w:cs="宋体"/>
              </w:rPr>
            </w:pPr>
            <w:r>
              <w:rPr>
                <w:rFonts w:hint="eastAsia" w:ascii="宋体" w:hAnsi="宋体" w:cs="宋体"/>
                <w:szCs w:val="22"/>
              </w:rPr>
              <w:t>-</w:t>
            </w:r>
          </w:p>
        </w:tc>
        <w:tc>
          <w:tcPr>
            <w:tcW w:w="0" w:type="auto"/>
          </w:tcPr>
          <w:p w14:paraId="20D17D59">
            <w:pPr>
              <w:pStyle w:val="242"/>
              <w:rPr>
                <w:rFonts w:hint="eastAsia" w:ascii="宋体" w:hAnsi="宋体" w:cs="宋体"/>
              </w:rPr>
            </w:pPr>
            <w:r>
              <w:rPr>
                <w:rFonts w:hint="eastAsia" w:ascii="宋体" w:hAnsi="宋体" w:cs="宋体"/>
                <w:szCs w:val="22"/>
              </w:rPr>
              <w:t>-</w:t>
            </w:r>
          </w:p>
        </w:tc>
        <w:tc>
          <w:tcPr>
            <w:tcW w:w="0" w:type="auto"/>
          </w:tcPr>
          <w:p w14:paraId="1FC27B47">
            <w:pPr>
              <w:pStyle w:val="242"/>
              <w:rPr>
                <w:rFonts w:hint="eastAsia" w:ascii="宋体" w:hAnsi="宋体" w:cs="宋体"/>
              </w:rPr>
            </w:pPr>
            <w:r>
              <w:rPr>
                <w:rFonts w:hint="eastAsia" w:ascii="宋体" w:hAnsi="宋体" w:cs="宋体"/>
                <w:szCs w:val="22"/>
              </w:rPr>
              <w:t>-</w:t>
            </w:r>
          </w:p>
        </w:tc>
        <w:tc>
          <w:tcPr>
            <w:tcW w:w="0" w:type="auto"/>
          </w:tcPr>
          <w:p w14:paraId="03001243">
            <w:pPr>
              <w:pStyle w:val="242"/>
              <w:rPr>
                <w:rFonts w:hint="eastAsia" w:ascii="宋体" w:hAnsi="宋体" w:cs="宋体"/>
              </w:rPr>
            </w:pPr>
            <w:r>
              <w:rPr>
                <w:rFonts w:hint="eastAsia" w:ascii="宋体" w:hAnsi="宋体" w:cs="宋体"/>
                <w:szCs w:val="22"/>
              </w:rPr>
              <w:t>-</w:t>
            </w:r>
          </w:p>
        </w:tc>
        <w:tc>
          <w:tcPr>
            <w:tcW w:w="0" w:type="auto"/>
          </w:tcPr>
          <w:p w14:paraId="34C9420C">
            <w:pPr>
              <w:pStyle w:val="242"/>
              <w:rPr>
                <w:rFonts w:hint="eastAsia" w:ascii="宋体" w:hAnsi="宋体" w:cs="宋体"/>
              </w:rPr>
            </w:pPr>
            <w:r>
              <w:rPr>
                <w:rFonts w:hint="eastAsia" w:ascii="宋体" w:hAnsi="宋体" w:cs="宋体"/>
                <w:szCs w:val="22"/>
              </w:rPr>
              <w:t>-</w:t>
            </w:r>
          </w:p>
        </w:tc>
      </w:tr>
      <w:tr w14:paraId="26CEA1E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0" w:type="auto"/>
            <w:vAlign w:val="center"/>
          </w:tcPr>
          <w:p w14:paraId="60A47A64">
            <w:pPr>
              <w:pStyle w:val="249"/>
              <w:rPr>
                <w:szCs w:val="21"/>
              </w:rPr>
            </w:pPr>
            <w:r>
              <w:rPr>
                <w:rFonts w:hint="eastAsia" w:ascii="宋体" w:hAnsi="宋体" w:cs="宋体"/>
                <w:szCs w:val="21"/>
              </w:rPr>
              <w:t>䓛</w:t>
            </w:r>
          </w:p>
        </w:tc>
        <w:tc>
          <w:tcPr>
            <w:tcW w:w="0" w:type="auto"/>
            <w:vAlign w:val="center"/>
          </w:tcPr>
          <w:p w14:paraId="20F8435E">
            <w:pPr>
              <w:jc w:val="center"/>
              <w:rPr>
                <w:rFonts w:hint="eastAsia" w:ascii="宋体" w:hAnsi="宋体" w:cs="宋体"/>
              </w:rPr>
            </w:pPr>
            <w:r>
              <w:rPr>
                <w:rFonts w:hint="eastAsia" w:ascii="宋体" w:hAnsi="宋体" w:cs="宋体"/>
                <w:bCs/>
                <w:kern w:val="0"/>
                <w:szCs w:val="21"/>
                <w:lang w:bidi="ar"/>
              </w:rPr>
              <w:t>mg/kg</w:t>
            </w:r>
          </w:p>
        </w:tc>
        <w:tc>
          <w:tcPr>
            <w:tcW w:w="0" w:type="auto"/>
            <w:vAlign w:val="center"/>
          </w:tcPr>
          <w:p w14:paraId="6F3D3C58">
            <w:pPr>
              <w:pStyle w:val="249"/>
              <w:rPr>
                <w:szCs w:val="21"/>
              </w:rPr>
            </w:pPr>
            <w:r>
              <w:rPr>
                <w:rFonts w:hint="eastAsia" w:ascii="宋体" w:hAnsi="宋体" w:cs="宋体"/>
                <w:szCs w:val="21"/>
              </w:rPr>
              <w:t>1293</w:t>
            </w:r>
          </w:p>
        </w:tc>
        <w:tc>
          <w:tcPr>
            <w:tcW w:w="0" w:type="auto"/>
            <w:vAlign w:val="center"/>
          </w:tcPr>
          <w:p w14:paraId="1B40FBF3">
            <w:pPr>
              <w:pStyle w:val="242"/>
              <w:rPr>
                <w:rFonts w:hint="eastAsia" w:ascii="宋体" w:hAnsi="宋体" w:cs="宋体"/>
                <w:szCs w:val="22"/>
              </w:rPr>
            </w:pPr>
            <w:r>
              <w:rPr>
                <w:rFonts w:hint="eastAsia" w:ascii="宋体" w:hAnsi="宋体" w:cs="宋体"/>
                <w:color w:val="000000"/>
                <w:szCs w:val="21"/>
              </w:rPr>
              <w:t>ND</w:t>
            </w:r>
          </w:p>
        </w:tc>
        <w:tc>
          <w:tcPr>
            <w:tcW w:w="0" w:type="auto"/>
            <w:vAlign w:val="center"/>
          </w:tcPr>
          <w:p w14:paraId="270E560C">
            <w:pPr>
              <w:pStyle w:val="242"/>
              <w:rPr>
                <w:rFonts w:hint="eastAsia" w:ascii="宋体" w:hAnsi="宋体" w:cs="宋体"/>
              </w:rPr>
            </w:pPr>
            <w:r>
              <w:rPr>
                <w:rFonts w:hint="eastAsia" w:ascii="宋体" w:hAnsi="宋体" w:cs="宋体"/>
              </w:rPr>
              <w:t>/</w:t>
            </w:r>
          </w:p>
        </w:tc>
        <w:tc>
          <w:tcPr>
            <w:tcW w:w="0" w:type="auto"/>
          </w:tcPr>
          <w:p w14:paraId="6C07C9BF">
            <w:pPr>
              <w:pStyle w:val="242"/>
              <w:rPr>
                <w:rFonts w:hint="eastAsia" w:ascii="宋体" w:hAnsi="宋体" w:cs="宋体"/>
              </w:rPr>
            </w:pPr>
            <w:r>
              <w:rPr>
                <w:rFonts w:hint="eastAsia" w:ascii="宋体" w:hAnsi="宋体" w:cs="宋体"/>
              </w:rPr>
              <w:t>达标</w:t>
            </w:r>
          </w:p>
        </w:tc>
        <w:tc>
          <w:tcPr>
            <w:tcW w:w="0" w:type="auto"/>
          </w:tcPr>
          <w:p w14:paraId="01D397DB">
            <w:pPr>
              <w:pStyle w:val="242"/>
              <w:rPr>
                <w:rFonts w:hint="eastAsia" w:ascii="宋体" w:hAnsi="宋体" w:cs="宋体"/>
                <w:szCs w:val="22"/>
              </w:rPr>
            </w:pPr>
            <w:r>
              <w:rPr>
                <w:rFonts w:hint="eastAsia" w:ascii="宋体" w:hAnsi="宋体" w:cs="宋体"/>
                <w:szCs w:val="22"/>
              </w:rPr>
              <w:t>-</w:t>
            </w:r>
          </w:p>
        </w:tc>
        <w:tc>
          <w:tcPr>
            <w:tcW w:w="0" w:type="auto"/>
          </w:tcPr>
          <w:p w14:paraId="2D755C97">
            <w:pPr>
              <w:pStyle w:val="242"/>
              <w:rPr>
                <w:rFonts w:hint="eastAsia" w:ascii="宋体" w:hAnsi="宋体" w:cs="宋体"/>
              </w:rPr>
            </w:pPr>
            <w:r>
              <w:rPr>
                <w:rFonts w:hint="eastAsia" w:ascii="宋体" w:hAnsi="宋体" w:cs="宋体"/>
                <w:szCs w:val="22"/>
              </w:rPr>
              <w:t>-</w:t>
            </w:r>
          </w:p>
        </w:tc>
        <w:tc>
          <w:tcPr>
            <w:tcW w:w="0" w:type="auto"/>
          </w:tcPr>
          <w:p w14:paraId="0A6DD0E5">
            <w:pPr>
              <w:pStyle w:val="242"/>
              <w:rPr>
                <w:rFonts w:hint="eastAsia" w:ascii="宋体" w:hAnsi="宋体" w:cs="宋体"/>
              </w:rPr>
            </w:pPr>
            <w:r>
              <w:rPr>
                <w:rFonts w:hint="eastAsia" w:ascii="宋体" w:hAnsi="宋体" w:cs="宋体"/>
                <w:szCs w:val="22"/>
              </w:rPr>
              <w:t>-</w:t>
            </w:r>
          </w:p>
        </w:tc>
        <w:tc>
          <w:tcPr>
            <w:tcW w:w="0" w:type="auto"/>
          </w:tcPr>
          <w:p w14:paraId="31F3A8F9">
            <w:pPr>
              <w:pStyle w:val="242"/>
              <w:rPr>
                <w:rFonts w:hint="eastAsia" w:ascii="宋体" w:hAnsi="宋体" w:cs="宋体"/>
              </w:rPr>
            </w:pPr>
            <w:r>
              <w:rPr>
                <w:rFonts w:hint="eastAsia" w:ascii="宋体" w:hAnsi="宋体" w:cs="宋体"/>
                <w:szCs w:val="22"/>
              </w:rPr>
              <w:t>-</w:t>
            </w:r>
          </w:p>
        </w:tc>
        <w:tc>
          <w:tcPr>
            <w:tcW w:w="0" w:type="auto"/>
          </w:tcPr>
          <w:p w14:paraId="6BA632BE">
            <w:pPr>
              <w:pStyle w:val="242"/>
              <w:rPr>
                <w:rFonts w:hint="eastAsia" w:ascii="宋体" w:hAnsi="宋体" w:cs="宋体"/>
              </w:rPr>
            </w:pPr>
            <w:r>
              <w:rPr>
                <w:rFonts w:hint="eastAsia" w:ascii="宋体" w:hAnsi="宋体" w:cs="宋体"/>
                <w:szCs w:val="22"/>
              </w:rPr>
              <w:t>-</w:t>
            </w:r>
          </w:p>
        </w:tc>
        <w:tc>
          <w:tcPr>
            <w:tcW w:w="0" w:type="auto"/>
          </w:tcPr>
          <w:p w14:paraId="61F59E81">
            <w:pPr>
              <w:pStyle w:val="242"/>
              <w:rPr>
                <w:rFonts w:hint="eastAsia" w:ascii="宋体" w:hAnsi="宋体" w:cs="宋体"/>
              </w:rPr>
            </w:pPr>
            <w:r>
              <w:rPr>
                <w:rFonts w:hint="eastAsia" w:ascii="宋体" w:hAnsi="宋体" w:cs="宋体"/>
                <w:szCs w:val="22"/>
              </w:rPr>
              <w:t>-</w:t>
            </w:r>
          </w:p>
        </w:tc>
      </w:tr>
      <w:tr w14:paraId="3AE6E9A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0" w:type="auto"/>
            <w:vAlign w:val="center"/>
          </w:tcPr>
          <w:p w14:paraId="6025784D">
            <w:pPr>
              <w:pStyle w:val="249"/>
              <w:rPr>
                <w:szCs w:val="21"/>
              </w:rPr>
            </w:pPr>
            <w:r>
              <w:rPr>
                <w:rFonts w:hint="eastAsia" w:ascii="宋体" w:hAnsi="宋体" w:cs="宋体"/>
                <w:color w:val="000000"/>
                <w:kern w:val="1"/>
                <w:szCs w:val="21"/>
              </w:rPr>
              <w:t>二苯并[α，h]蒽</w:t>
            </w:r>
          </w:p>
        </w:tc>
        <w:tc>
          <w:tcPr>
            <w:tcW w:w="0" w:type="auto"/>
            <w:vAlign w:val="center"/>
          </w:tcPr>
          <w:p w14:paraId="1884FEF6">
            <w:pPr>
              <w:jc w:val="center"/>
              <w:rPr>
                <w:rFonts w:hint="eastAsia" w:ascii="宋体" w:hAnsi="宋体" w:cs="宋体"/>
              </w:rPr>
            </w:pPr>
            <w:r>
              <w:rPr>
                <w:rFonts w:hint="eastAsia" w:ascii="宋体" w:hAnsi="宋体" w:cs="宋体"/>
                <w:bCs/>
                <w:kern w:val="0"/>
                <w:szCs w:val="21"/>
                <w:lang w:bidi="ar"/>
              </w:rPr>
              <w:t>mg/kg</w:t>
            </w:r>
          </w:p>
        </w:tc>
        <w:tc>
          <w:tcPr>
            <w:tcW w:w="0" w:type="auto"/>
            <w:vAlign w:val="center"/>
          </w:tcPr>
          <w:p w14:paraId="4135E6CE">
            <w:pPr>
              <w:pStyle w:val="249"/>
              <w:rPr>
                <w:szCs w:val="21"/>
              </w:rPr>
            </w:pPr>
            <w:r>
              <w:rPr>
                <w:rFonts w:hint="eastAsia" w:ascii="宋体" w:hAnsi="宋体" w:cs="宋体"/>
                <w:szCs w:val="21"/>
              </w:rPr>
              <w:t>1.5</w:t>
            </w:r>
          </w:p>
        </w:tc>
        <w:tc>
          <w:tcPr>
            <w:tcW w:w="0" w:type="auto"/>
            <w:vAlign w:val="center"/>
          </w:tcPr>
          <w:p w14:paraId="4BE43298">
            <w:pPr>
              <w:pStyle w:val="242"/>
              <w:rPr>
                <w:rFonts w:hint="eastAsia" w:ascii="宋体" w:hAnsi="宋体" w:cs="宋体"/>
                <w:szCs w:val="22"/>
              </w:rPr>
            </w:pPr>
            <w:r>
              <w:rPr>
                <w:rFonts w:hint="eastAsia" w:ascii="宋体" w:hAnsi="宋体" w:cs="宋体"/>
                <w:color w:val="000000"/>
                <w:szCs w:val="21"/>
              </w:rPr>
              <w:t>ND</w:t>
            </w:r>
          </w:p>
        </w:tc>
        <w:tc>
          <w:tcPr>
            <w:tcW w:w="0" w:type="auto"/>
            <w:vAlign w:val="center"/>
          </w:tcPr>
          <w:p w14:paraId="0C75CF2F">
            <w:pPr>
              <w:pStyle w:val="242"/>
              <w:rPr>
                <w:rFonts w:hint="eastAsia" w:ascii="宋体" w:hAnsi="宋体" w:cs="宋体"/>
              </w:rPr>
            </w:pPr>
            <w:r>
              <w:rPr>
                <w:rFonts w:hint="eastAsia" w:ascii="宋体" w:hAnsi="宋体" w:cs="宋体"/>
              </w:rPr>
              <w:t>/</w:t>
            </w:r>
          </w:p>
        </w:tc>
        <w:tc>
          <w:tcPr>
            <w:tcW w:w="0" w:type="auto"/>
          </w:tcPr>
          <w:p w14:paraId="1E99E903">
            <w:pPr>
              <w:pStyle w:val="242"/>
              <w:rPr>
                <w:rFonts w:hint="eastAsia" w:ascii="宋体" w:hAnsi="宋体" w:cs="宋体"/>
              </w:rPr>
            </w:pPr>
            <w:r>
              <w:rPr>
                <w:rFonts w:hint="eastAsia" w:ascii="宋体" w:hAnsi="宋体" w:cs="宋体"/>
              </w:rPr>
              <w:t>达标</w:t>
            </w:r>
          </w:p>
        </w:tc>
        <w:tc>
          <w:tcPr>
            <w:tcW w:w="0" w:type="auto"/>
          </w:tcPr>
          <w:p w14:paraId="118CCEA4">
            <w:pPr>
              <w:pStyle w:val="242"/>
              <w:rPr>
                <w:rFonts w:hint="eastAsia" w:ascii="宋体" w:hAnsi="宋体" w:cs="宋体"/>
                <w:szCs w:val="22"/>
              </w:rPr>
            </w:pPr>
            <w:r>
              <w:rPr>
                <w:rFonts w:hint="eastAsia" w:ascii="宋体" w:hAnsi="宋体" w:cs="宋体"/>
                <w:szCs w:val="22"/>
              </w:rPr>
              <w:t>-</w:t>
            </w:r>
          </w:p>
        </w:tc>
        <w:tc>
          <w:tcPr>
            <w:tcW w:w="0" w:type="auto"/>
          </w:tcPr>
          <w:p w14:paraId="61E0260B">
            <w:pPr>
              <w:pStyle w:val="242"/>
              <w:rPr>
                <w:rFonts w:hint="eastAsia" w:ascii="宋体" w:hAnsi="宋体" w:cs="宋体"/>
              </w:rPr>
            </w:pPr>
            <w:r>
              <w:rPr>
                <w:rFonts w:hint="eastAsia" w:ascii="宋体" w:hAnsi="宋体" w:cs="宋体"/>
                <w:szCs w:val="22"/>
              </w:rPr>
              <w:t>-</w:t>
            </w:r>
          </w:p>
        </w:tc>
        <w:tc>
          <w:tcPr>
            <w:tcW w:w="0" w:type="auto"/>
          </w:tcPr>
          <w:p w14:paraId="6F20643C">
            <w:pPr>
              <w:pStyle w:val="242"/>
              <w:rPr>
                <w:rFonts w:hint="eastAsia" w:ascii="宋体" w:hAnsi="宋体" w:cs="宋体"/>
              </w:rPr>
            </w:pPr>
            <w:r>
              <w:rPr>
                <w:rFonts w:hint="eastAsia" w:ascii="宋体" w:hAnsi="宋体" w:cs="宋体"/>
                <w:szCs w:val="22"/>
              </w:rPr>
              <w:t>-</w:t>
            </w:r>
          </w:p>
        </w:tc>
        <w:tc>
          <w:tcPr>
            <w:tcW w:w="0" w:type="auto"/>
          </w:tcPr>
          <w:p w14:paraId="48B255BF">
            <w:pPr>
              <w:pStyle w:val="242"/>
              <w:rPr>
                <w:rFonts w:hint="eastAsia" w:ascii="宋体" w:hAnsi="宋体" w:cs="宋体"/>
              </w:rPr>
            </w:pPr>
            <w:r>
              <w:rPr>
                <w:rFonts w:hint="eastAsia" w:ascii="宋体" w:hAnsi="宋体" w:cs="宋体"/>
                <w:szCs w:val="22"/>
              </w:rPr>
              <w:t>-</w:t>
            </w:r>
          </w:p>
        </w:tc>
        <w:tc>
          <w:tcPr>
            <w:tcW w:w="0" w:type="auto"/>
          </w:tcPr>
          <w:p w14:paraId="7C905547">
            <w:pPr>
              <w:pStyle w:val="242"/>
              <w:rPr>
                <w:rFonts w:hint="eastAsia" w:ascii="宋体" w:hAnsi="宋体" w:cs="宋体"/>
              </w:rPr>
            </w:pPr>
            <w:r>
              <w:rPr>
                <w:rFonts w:hint="eastAsia" w:ascii="宋体" w:hAnsi="宋体" w:cs="宋体"/>
                <w:szCs w:val="22"/>
              </w:rPr>
              <w:t>-</w:t>
            </w:r>
          </w:p>
        </w:tc>
        <w:tc>
          <w:tcPr>
            <w:tcW w:w="0" w:type="auto"/>
          </w:tcPr>
          <w:p w14:paraId="48247D47">
            <w:pPr>
              <w:pStyle w:val="242"/>
              <w:rPr>
                <w:rFonts w:hint="eastAsia" w:ascii="宋体" w:hAnsi="宋体" w:cs="宋体"/>
              </w:rPr>
            </w:pPr>
            <w:r>
              <w:rPr>
                <w:rFonts w:hint="eastAsia" w:ascii="宋体" w:hAnsi="宋体" w:cs="宋体"/>
                <w:szCs w:val="22"/>
              </w:rPr>
              <w:t>-</w:t>
            </w:r>
          </w:p>
        </w:tc>
      </w:tr>
      <w:tr w14:paraId="0505823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0" w:type="auto"/>
            <w:vAlign w:val="center"/>
          </w:tcPr>
          <w:p w14:paraId="479DA15A">
            <w:pPr>
              <w:pStyle w:val="249"/>
              <w:rPr>
                <w:szCs w:val="21"/>
              </w:rPr>
            </w:pPr>
            <w:r>
              <w:rPr>
                <w:rFonts w:hint="eastAsia" w:ascii="宋体" w:hAnsi="宋体" w:cs="宋体"/>
                <w:color w:val="000000"/>
                <w:kern w:val="1"/>
                <w:szCs w:val="21"/>
              </w:rPr>
              <w:t>茚并[1,2,3-cd]芘</w:t>
            </w:r>
          </w:p>
        </w:tc>
        <w:tc>
          <w:tcPr>
            <w:tcW w:w="0" w:type="auto"/>
            <w:vAlign w:val="center"/>
          </w:tcPr>
          <w:p w14:paraId="0543C7B3">
            <w:pPr>
              <w:jc w:val="center"/>
              <w:rPr>
                <w:rFonts w:hint="eastAsia" w:ascii="宋体" w:hAnsi="宋体" w:cs="宋体"/>
              </w:rPr>
            </w:pPr>
            <w:r>
              <w:rPr>
                <w:rFonts w:hint="eastAsia" w:ascii="宋体" w:hAnsi="宋体" w:cs="宋体"/>
                <w:bCs/>
                <w:kern w:val="0"/>
                <w:szCs w:val="21"/>
                <w:lang w:bidi="ar"/>
              </w:rPr>
              <w:t>mg/kg</w:t>
            </w:r>
          </w:p>
        </w:tc>
        <w:tc>
          <w:tcPr>
            <w:tcW w:w="0" w:type="auto"/>
            <w:vAlign w:val="center"/>
          </w:tcPr>
          <w:p w14:paraId="1450D4E1">
            <w:pPr>
              <w:pStyle w:val="249"/>
              <w:rPr>
                <w:szCs w:val="21"/>
              </w:rPr>
            </w:pPr>
            <w:r>
              <w:rPr>
                <w:rFonts w:hint="eastAsia" w:ascii="宋体" w:hAnsi="宋体" w:cs="宋体"/>
                <w:szCs w:val="21"/>
              </w:rPr>
              <w:t>15</w:t>
            </w:r>
          </w:p>
        </w:tc>
        <w:tc>
          <w:tcPr>
            <w:tcW w:w="0" w:type="auto"/>
            <w:vAlign w:val="center"/>
          </w:tcPr>
          <w:p w14:paraId="7C036DB6">
            <w:pPr>
              <w:pStyle w:val="242"/>
              <w:rPr>
                <w:rFonts w:hint="eastAsia" w:ascii="宋体" w:hAnsi="宋体" w:cs="宋体"/>
                <w:szCs w:val="22"/>
              </w:rPr>
            </w:pPr>
            <w:r>
              <w:rPr>
                <w:rFonts w:hint="eastAsia" w:ascii="宋体" w:hAnsi="宋体" w:cs="宋体"/>
                <w:color w:val="000000"/>
                <w:szCs w:val="21"/>
              </w:rPr>
              <w:t>ND</w:t>
            </w:r>
          </w:p>
        </w:tc>
        <w:tc>
          <w:tcPr>
            <w:tcW w:w="0" w:type="auto"/>
            <w:vAlign w:val="center"/>
          </w:tcPr>
          <w:p w14:paraId="2A94E53E">
            <w:pPr>
              <w:pStyle w:val="242"/>
              <w:rPr>
                <w:rFonts w:hint="eastAsia" w:ascii="宋体" w:hAnsi="宋体" w:cs="宋体"/>
              </w:rPr>
            </w:pPr>
            <w:r>
              <w:rPr>
                <w:rFonts w:hint="eastAsia" w:ascii="宋体" w:hAnsi="宋体" w:cs="宋体"/>
              </w:rPr>
              <w:t>/</w:t>
            </w:r>
          </w:p>
        </w:tc>
        <w:tc>
          <w:tcPr>
            <w:tcW w:w="0" w:type="auto"/>
          </w:tcPr>
          <w:p w14:paraId="2D2B3465">
            <w:pPr>
              <w:pStyle w:val="242"/>
              <w:rPr>
                <w:rFonts w:hint="eastAsia" w:ascii="宋体" w:hAnsi="宋体" w:cs="宋体"/>
              </w:rPr>
            </w:pPr>
            <w:r>
              <w:rPr>
                <w:rFonts w:hint="eastAsia" w:ascii="宋体" w:hAnsi="宋体" w:cs="宋体"/>
              </w:rPr>
              <w:t>达标</w:t>
            </w:r>
          </w:p>
        </w:tc>
        <w:tc>
          <w:tcPr>
            <w:tcW w:w="0" w:type="auto"/>
          </w:tcPr>
          <w:p w14:paraId="6D85DB5C">
            <w:pPr>
              <w:pStyle w:val="242"/>
              <w:rPr>
                <w:rFonts w:hint="eastAsia" w:ascii="宋体" w:hAnsi="宋体" w:cs="宋体"/>
                <w:szCs w:val="22"/>
              </w:rPr>
            </w:pPr>
            <w:r>
              <w:rPr>
                <w:rFonts w:hint="eastAsia" w:ascii="宋体" w:hAnsi="宋体" w:cs="宋体"/>
                <w:szCs w:val="22"/>
              </w:rPr>
              <w:t>-</w:t>
            </w:r>
          </w:p>
        </w:tc>
        <w:tc>
          <w:tcPr>
            <w:tcW w:w="0" w:type="auto"/>
          </w:tcPr>
          <w:p w14:paraId="433D3C00">
            <w:pPr>
              <w:pStyle w:val="242"/>
              <w:rPr>
                <w:rFonts w:hint="eastAsia" w:ascii="宋体" w:hAnsi="宋体" w:cs="宋体"/>
              </w:rPr>
            </w:pPr>
            <w:r>
              <w:rPr>
                <w:rFonts w:hint="eastAsia" w:ascii="宋体" w:hAnsi="宋体" w:cs="宋体"/>
                <w:szCs w:val="22"/>
              </w:rPr>
              <w:t>-</w:t>
            </w:r>
          </w:p>
        </w:tc>
        <w:tc>
          <w:tcPr>
            <w:tcW w:w="0" w:type="auto"/>
          </w:tcPr>
          <w:p w14:paraId="1F33B547">
            <w:pPr>
              <w:pStyle w:val="242"/>
              <w:rPr>
                <w:rFonts w:hint="eastAsia" w:ascii="宋体" w:hAnsi="宋体" w:cs="宋体"/>
              </w:rPr>
            </w:pPr>
            <w:r>
              <w:rPr>
                <w:rFonts w:hint="eastAsia" w:ascii="宋体" w:hAnsi="宋体" w:cs="宋体"/>
                <w:szCs w:val="22"/>
              </w:rPr>
              <w:t>-</w:t>
            </w:r>
          </w:p>
        </w:tc>
        <w:tc>
          <w:tcPr>
            <w:tcW w:w="0" w:type="auto"/>
          </w:tcPr>
          <w:p w14:paraId="1DBE2023">
            <w:pPr>
              <w:pStyle w:val="242"/>
              <w:rPr>
                <w:rFonts w:hint="eastAsia" w:ascii="宋体" w:hAnsi="宋体" w:cs="宋体"/>
              </w:rPr>
            </w:pPr>
            <w:r>
              <w:rPr>
                <w:rFonts w:hint="eastAsia" w:ascii="宋体" w:hAnsi="宋体" w:cs="宋体"/>
                <w:szCs w:val="22"/>
              </w:rPr>
              <w:t>-</w:t>
            </w:r>
          </w:p>
        </w:tc>
        <w:tc>
          <w:tcPr>
            <w:tcW w:w="0" w:type="auto"/>
          </w:tcPr>
          <w:p w14:paraId="21E3B329">
            <w:pPr>
              <w:pStyle w:val="242"/>
              <w:rPr>
                <w:rFonts w:hint="eastAsia" w:ascii="宋体" w:hAnsi="宋体" w:cs="宋体"/>
              </w:rPr>
            </w:pPr>
            <w:r>
              <w:rPr>
                <w:rFonts w:hint="eastAsia" w:ascii="宋体" w:hAnsi="宋体" w:cs="宋体"/>
                <w:szCs w:val="22"/>
              </w:rPr>
              <w:t>-</w:t>
            </w:r>
          </w:p>
        </w:tc>
        <w:tc>
          <w:tcPr>
            <w:tcW w:w="0" w:type="auto"/>
          </w:tcPr>
          <w:p w14:paraId="375CFA92">
            <w:pPr>
              <w:pStyle w:val="242"/>
              <w:rPr>
                <w:rFonts w:hint="eastAsia" w:ascii="宋体" w:hAnsi="宋体" w:cs="宋体"/>
              </w:rPr>
            </w:pPr>
            <w:r>
              <w:rPr>
                <w:rFonts w:hint="eastAsia" w:ascii="宋体" w:hAnsi="宋体" w:cs="宋体"/>
                <w:szCs w:val="22"/>
              </w:rPr>
              <w:t>-</w:t>
            </w:r>
          </w:p>
        </w:tc>
      </w:tr>
      <w:tr w14:paraId="57ABE1E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0" w:type="auto"/>
            <w:vAlign w:val="center"/>
          </w:tcPr>
          <w:p w14:paraId="3F6237C6">
            <w:pPr>
              <w:pStyle w:val="249"/>
              <w:rPr>
                <w:szCs w:val="21"/>
              </w:rPr>
            </w:pPr>
            <w:r>
              <w:rPr>
                <w:rFonts w:hint="eastAsia" w:ascii="宋体" w:hAnsi="宋体" w:cs="宋体"/>
                <w:szCs w:val="21"/>
              </w:rPr>
              <w:t>萘</w:t>
            </w:r>
          </w:p>
        </w:tc>
        <w:tc>
          <w:tcPr>
            <w:tcW w:w="0" w:type="auto"/>
            <w:vAlign w:val="center"/>
          </w:tcPr>
          <w:p w14:paraId="36028A10">
            <w:pPr>
              <w:jc w:val="center"/>
              <w:rPr>
                <w:rFonts w:hint="eastAsia" w:ascii="宋体" w:hAnsi="宋体" w:cs="宋体"/>
              </w:rPr>
            </w:pPr>
            <w:r>
              <w:rPr>
                <w:rFonts w:hint="eastAsia" w:ascii="宋体" w:hAnsi="宋体" w:cs="宋体"/>
                <w:bCs/>
                <w:kern w:val="0"/>
                <w:szCs w:val="21"/>
                <w:lang w:bidi="ar"/>
              </w:rPr>
              <w:t>mg/kg</w:t>
            </w:r>
          </w:p>
        </w:tc>
        <w:tc>
          <w:tcPr>
            <w:tcW w:w="0" w:type="auto"/>
            <w:vAlign w:val="center"/>
          </w:tcPr>
          <w:p w14:paraId="1A774734">
            <w:pPr>
              <w:pStyle w:val="249"/>
              <w:rPr>
                <w:szCs w:val="21"/>
              </w:rPr>
            </w:pPr>
            <w:r>
              <w:rPr>
                <w:rFonts w:hint="eastAsia" w:ascii="宋体" w:hAnsi="宋体" w:cs="宋体"/>
                <w:szCs w:val="21"/>
              </w:rPr>
              <w:t>70</w:t>
            </w:r>
          </w:p>
        </w:tc>
        <w:tc>
          <w:tcPr>
            <w:tcW w:w="0" w:type="auto"/>
            <w:vAlign w:val="center"/>
          </w:tcPr>
          <w:p w14:paraId="6CF362FD">
            <w:pPr>
              <w:pStyle w:val="242"/>
              <w:rPr>
                <w:rFonts w:hint="eastAsia" w:ascii="宋体" w:hAnsi="宋体" w:cs="宋体"/>
                <w:szCs w:val="22"/>
              </w:rPr>
            </w:pPr>
            <w:r>
              <w:rPr>
                <w:rFonts w:hint="eastAsia" w:ascii="宋体" w:hAnsi="宋体" w:cs="宋体"/>
                <w:color w:val="000000"/>
                <w:szCs w:val="21"/>
              </w:rPr>
              <w:t>ND</w:t>
            </w:r>
          </w:p>
        </w:tc>
        <w:tc>
          <w:tcPr>
            <w:tcW w:w="0" w:type="auto"/>
            <w:vAlign w:val="center"/>
          </w:tcPr>
          <w:p w14:paraId="50298097">
            <w:pPr>
              <w:pStyle w:val="242"/>
              <w:rPr>
                <w:rFonts w:hint="eastAsia" w:ascii="宋体" w:hAnsi="宋体" w:cs="宋体"/>
              </w:rPr>
            </w:pPr>
            <w:r>
              <w:rPr>
                <w:rFonts w:hint="eastAsia" w:ascii="宋体" w:hAnsi="宋体" w:cs="宋体"/>
              </w:rPr>
              <w:t>/</w:t>
            </w:r>
          </w:p>
        </w:tc>
        <w:tc>
          <w:tcPr>
            <w:tcW w:w="0" w:type="auto"/>
          </w:tcPr>
          <w:p w14:paraId="63370449">
            <w:pPr>
              <w:pStyle w:val="242"/>
              <w:rPr>
                <w:rFonts w:hint="eastAsia" w:ascii="宋体" w:hAnsi="宋体" w:cs="宋体"/>
              </w:rPr>
            </w:pPr>
            <w:r>
              <w:rPr>
                <w:rFonts w:hint="eastAsia" w:ascii="宋体" w:hAnsi="宋体" w:cs="宋体"/>
              </w:rPr>
              <w:t>达标</w:t>
            </w:r>
          </w:p>
        </w:tc>
        <w:tc>
          <w:tcPr>
            <w:tcW w:w="0" w:type="auto"/>
          </w:tcPr>
          <w:p w14:paraId="50AC3FC8">
            <w:pPr>
              <w:pStyle w:val="242"/>
              <w:rPr>
                <w:rFonts w:hint="eastAsia" w:ascii="宋体" w:hAnsi="宋体" w:cs="宋体"/>
                <w:szCs w:val="22"/>
              </w:rPr>
            </w:pPr>
            <w:r>
              <w:rPr>
                <w:rFonts w:hint="eastAsia" w:ascii="宋体" w:hAnsi="宋体" w:cs="宋体"/>
                <w:szCs w:val="22"/>
              </w:rPr>
              <w:t>-</w:t>
            </w:r>
          </w:p>
        </w:tc>
        <w:tc>
          <w:tcPr>
            <w:tcW w:w="0" w:type="auto"/>
          </w:tcPr>
          <w:p w14:paraId="7B17BEA2">
            <w:pPr>
              <w:pStyle w:val="242"/>
              <w:rPr>
                <w:rFonts w:hint="eastAsia" w:ascii="宋体" w:hAnsi="宋体" w:cs="宋体"/>
              </w:rPr>
            </w:pPr>
            <w:r>
              <w:rPr>
                <w:rFonts w:hint="eastAsia" w:ascii="宋体" w:hAnsi="宋体" w:cs="宋体"/>
                <w:szCs w:val="22"/>
              </w:rPr>
              <w:t>-</w:t>
            </w:r>
          </w:p>
        </w:tc>
        <w:tc>
          <w:tcPr>
            <w:tcW w:w="0" w:type="auto"/>
          </w:tcPr>
          <w:p w14:paraId="58F94B08">
            <w:pPr>
              <w:pStyle w:val="242"/>
              <w:rPr>
                <w:rFonts w:hint="eastAsia" w:ascii="宋体" w:hAnsi="宋体" w:cs="宋体"/>
              </w:rPr>
            </w:pPr>
            <w:r>
              <w:rPr>
                <w:rFonts w:hint="eastAsia" w:ascii="宋体" w:hAnsi="宋体" w:cs="宋体"/>
                <w:szCs w:val="22"/>
              </w:rPr>
              <w:t>-</w:t>
            </w:r>
          </w:p>
        </w:tc>
        <w:tc>
          <w:tcPr>
            <w:tcW w:w="0" w:type="auto"/>
          </w:tcPr>
          <w:p w14:paraId="6EC0473F">
            <w:pPr>
              <w:pStyle w:val="242"/>
              <w:rPr>
                <w:rFonts w:hint="eastAsia" w:ascii="宋体" w:hAnsi="宋体" w:cs="宋体"/>
              </w:rPr>
            </w:pPr>
            <w:r>
              <w:rPr>
                <w:rFonts w:hint="eastAsia" w:ascii="宋体" w:hAnsi="宋体" w:cs="宋体"/>
                <w:szCs w:val="22"/>
              </w:rPr>
              <w:t>-</w:t>
            </w:r>
          </w:p>
        </w:tc>
        <w:tc>
          <w:tcPr>
            <w:tcW w:w="0" w:type="auto"/>
          </w:tcPr>
          <w:p w14:paraId="617A37D1">
            <w:pPr>
              <w:pStyle w:val="242"/>
              <w:rPr>
                <w:rFonts w:hint="eastAsia" w:ascii="宋体" w:hAnsi="宋体" w:cs="宋体"/>
              </w:rPr>
            </w:pPr>
            <w:r>
              <w:rPr>
                <w:rFonts w:hint="eastAsia" w:ascii="宋体" w:hAnsi="宋体" w:cs="宋体"/>
                <w:szCs w:val="22"/>
              </w:rPr>
              <w:t>-</w:t>
            </w:r>
          </w:p>
        </w:tc>
        <w:tc>
          <w:tcPr>
            <w:tcW w:w="0" w:type="auto"/>
          </w:tcPr>
          <w:p w14:paraId="28BC378D">
            <w:pPr>
              <w:pStyle w:val="242"/>
              <w:rPr>
                <w:rFonts w:hint="eastAsia" w:ascii="宋体" w:hAnsi="宋体" w:cs="宋体"/>
              </w:rPr>
            </w:pPr>
            <w:r>
              <w:rPr>
                <w:rFonts w:hint="eastAsia" w:ascii="宋体" w:hAnsi="宋体" w:cs="宋体"/>
                <w:szCs w:val="22"/>
              </w:rPr>
              <w:t>-</w:t>
            </w:r>
          </w:p>
        </w:tc>
      </w:tr>
    </w:tbl>
    <w:p w14:paraId="78065845">
      <w:pPr>
        <w:spacing w:line="360" w:lineRule="auto"/>
        <w:ind w:firstLine="480"/>
        <w:rPr>
          <w:rFonts w:hint="eastAsia" w:ascii="宋体" w:hAnsi="宋体" w:cs="宋体"/>
          <w:color w:val="3A00FF"/>
          <w:sz w:val="24"/>
          <w:szCs w:val="24"/>
        </w:rPr>
      </w:pPr>
      <w:r>
        <w:rPr>
          <w:rFonts w:hint="eastAsia" w:ascii="宋体" w:hAnsi="宋体" w:cs="宋体"/>
          <w:sz w:val="24"/>
          <w:szCs w:val="24"/>
        </w:rPr>
        <w:t>由上表可知，项目区土壤各监测点中各监测项目均满足《土壤环境质量  建设用地土壤污染风险管控标准》（GB36600-2018）筛选值土壤环境质量评价指标限值，说明项目区土壤环境质量良好。</w:t>
      </w:r>
    </w:p>
    <w:p w14:paraId="26754ADA">
      <w:pPr>
        <w:pStyle w:val="241"/>
        <w:spacing w:line="360" w:lineRule="auto"/>
        <w:rPr>
          <w:rFonts w:hint="eastAsia" w:ascii="宋体" w:hAnsi="宋体" w:cs="宋体"/>
          <w:sz w:val="24"/>
          <w:szCs w:val="24"/>
        </w:rPr>
        <w:sectPr>
          <w:pgSz w:w="16838" w:h="11906" w:orient="landscape"/>
          <w:pgMar w:top="1418" w:right="1418" w:bottom="1588" w:left="1418" w:header="851" w:footer="992" w:gutter="0"/>
          <w:pgBorders>
            <w:top w:val="none" w:sz="0" w:space="0"/>
            <w:left w:val="none" w:sz="0" w:space="0"/>
            <w:bottom w:val="none" w:sz="0" w:space="0"/>
            <w:right w:val="none" w:sz="0" w:space="0"/>
          </w:pgBorders>
          <w:cols w:space="425" w:num="1"/>
          <w:docGrid w:type="lines" w:linePitch="312" w:charSpace="0"/>
        </w:sectPr>
      </w:pPr>
    </w:p>
    <w:bookmarkEnd w:id="237"/>
    <w:bookmarkEnd w:id="238"/>
    <w:bookmarkEnd w:id="239"/>
    <w:p w14:paraId="7CC5435D">
      <w:pPr>
        <w:pStyle w:val="4"/>
        <w:autoSpaceDE w:val="0"/>
        <w:autoSpaceDN w:val="0"/>
        <w:spacing w:before="0" w:after="0" w:line="360" w:lineRule="auto"/>
        <w:jc w:val="left"/>
        <w:rPr>
          <w:kern w:val="0"/>
          <w:sz w:val="24"/>
          <w:lang w:val="en-US" w:bidi="zh-CN"/>
        </w:rPr>
      </w:pPr>
      <w:bookmarkStart w:id="263" w:name="_Toc329880339"/>
      <w:bookmarkStart w:id="264" w:name="_Toc363049977"/>
      <w:bookmarkStart w:id="265" w:name="_Toc332727844"/>
      <w:r>
        <w:rPr>
          <w:rFonts w:hint="eastAsia"/>
          <w:kern w:val="0"/>
          <w:sz w:val="24"/>
          <w:lang w:val="en-US" w:bidi="zh-CN"/>
        </w:rPr>
        <w:t>4.3.6生态环境现状与评价</w:t>
      </w:r>
    </w:p>
    <w:p w14:paraId="36B65380">
      <w:pPr>
        <w:pStyle w:val="16"/>
        <w:overflowPunct w:val="0"/>
        <w:topLinePunct/>
        <w:spacing w:after="0" w:line="360" w:lineRule="auto"/>
        <w:ind w:firstLine="482"/>
        <w:rPr>
          <w:rFonts w:hint="eastAsia" w:ascii="宋体" w:hAnsi="宋体"/>
          <w:sz w:val="24"/>
          <w:lang w:val="en-US"/>
        </w:rPr>
      </w:pPr>
      <w:r>
        <w:rPr>
          <w:rFonts w:hint="eastAsia" w:ascii="宋体" w:hAnsi="宋体"/>
          <w:sz w:val="24"/>
          <w:lang w:val="en-US"/>
        </w:rPr>
        <w:t>项目租赁现有厂房，占地为工业用地，根据实际情况，道路及厂房区域已硬化，厂区内无植被，项目周边多为人工植被，项目周边为农田，主要农作物为棉花；受人类开发建设活动的影响，项目区野生动物较为少见，主要为鼠类、鸟类；评价区内无国家和自治区重点保护野生动植物。经调查，项目周边无自然保护区、风景名胜区、森林公园、生态保护红线等生态敏感区。</w:t>
      </w:r>
    </w:p>
    <w:p w14:paraId="0BAE3423">
      <w:pPr>
        <w:rPr>
          <w:rFonts w:hint="eastAsia" w:ascii="宋体" w:hAnsi="宋体"/>
          <w:sz w:val="24"/>
        </w:rPr>
      </w:pPr>
    </w:p>
    <w:p w14:paraId="3512E600">
      <w:pPr>
        <w:rPr>
          <w:rFonts w:hint="eastAsia" w:ascii="宋体" w:hAnsi="宋体"/>
          <w:sz w:val="24"/>
        </w:rPr>
      </w:pPr>
    </w:p>
    <w:p w14:paraId="310E6C30">
      <w:pPr>
        <w:rPr>
          <w:rFonts w:hint="eastAsia" w:ascii="宋体" w:hAnsi="宋体"/>
          <w:sz w:val="24"/>
        </w:rPr>
      </w:pPr>
    </w:p>
    <w:p w14:paraId="11592D48">
      <w:pPr>
        <w:rPr>
          <w:rFonts w:hint="eastAsia" w:ascii="宋体" w:hAnsi="宋体"/>
          <w:sz w:val="24"/>
        </w:rPr>
      </w:pPr>
    </w:p>
    <w:p w14:paraId="252ACD58">
      <w:pPr>
        <w:rPr>
          <w:rFonts w:hint="eastAsia" w:ascii="宋体" w:hAnsi="宋体"/>
          <w:sz w:val="24"/>
        </w:rPr>
      </w:pPr>
    </w:p>
    <w:p w14:paraId="7614668F">
      <w:pPr>
        <w:rPr>
          <w:rFonts w:hint="eastAsia" w:ascii="宋体" w:hAnsi="宋体"/>
          <w:sz w:val="24"/>
        </w:rPr>
      </w:pPr>
    </w:p>
    <w:p w14:paraId="07AF61A1">
      <w:pPr>
        <w:rPr>
          <w:rFonts w:hint="eastAsia" w:ascii="宋体" w:hAnsi="宋体"/>
          <w:sz w:val="24"/>
        </w:rPr>
      </w:pPr>
    </w:p>
    <w:p w14:paraId="6E4123B2">
      <w:pPr>
        <w:rPr>
          <w:rFonts w:hint="eastAsia" w:ascii="宋体" w:hAnsi="宋体"/>
          <w:sz w:val="24"/>
        </w:rPr>
      </w:pPr>
    </w:p>
    <w:p w14:paraId="54034512">
      <w:pPr>
        <w:rPr>
          <w:rFonts w:hint="eastAsia" w:ascii="宋体" w:hAnsi="宋体"/>
          <w:sz w:val="24"/>
        </w:rPr>
      </w:pPr>
    </w:p>
    <w:p w14:paraId="1C7DA27A">
      <w:pPr>
        <w:rPr>
          <w:rFonts w:hint="eastAsia" w:ascii="宋体" w:hAnsi="宋体"/>
          <w:sz w:val="24"/>
        </w:rPr>
      </w:pPr>
    </w:p>
    <w:p w14:paraId="1ACEDB1E">
      <w:pPr>
        <w:rPr>
          <w:rFonts w:hint="eastAsia" w:ascii="宋体" w:hAnsi="宋体"/>
          <w:sz w:val="24"/>
        </w:rPr>
      </w:pPr>
    </w:p>
    <w:p w14:paraId="0CB8DB9A">
      <w:pPr>
        <w:rPr>
          <w:rFonts w:hint="eastAsia" w:ascii="宋体" w:hAnsi="宋体"/>
          <w:sz w:val="24"/>
        </w:rPr>
      </w:pPr>
    </w:p>
    <w:p w14:paraId="2ACD6449">
      <w:pPr>
        <w:rPr>
          <w:rFonts w:hint="eastAsia" w:ascii="宋体" w:hAnsi="宋体"/>
          <w:sz w:val="24"/>
        </w:rPr>
      </w:pPr>
    </w:p>
    <w:p w14:paraId="248D06FC">
      <w:pPr>
        <w:rPr>
          <w:rFonts w:hint="eastAsia" w:ascii="宋体" w:hAnsi="宋体"/>
          <w:sz w:val="24"/>
        </w:rPr>
      </w:pPr>
    </w:p>
    <w:p w14:paraId="5151A971">
      <w:pPr>
        <w:rPr>
          <w:rFonts w:hint="eastAsia" w:ascii="宋体" w:hAnsi="宋体"/>
          <w:sz w:val="24"/>
        </w:rPr>
      </w:pPr>
    </w:p>
    <w:p w14:paraId="44DE4139">
      <w:pPr>
        <w:rPr>
          <w:rFonts w:hint="eastAsia" w:ascii="宋体" w:hAnsi="宋体"/>
          <w:sz w:val="24"/>
        </w:rPr>
      </w:pPr>
    </w:p>
    <w:p w14:paraId="1D78F423">
      <w:pPr>
        <w:rPr>
          <w:rFonts w:hint="eastAsia" w:ascii="宋体" w:hAnsi="宋体"/>
          <w:sz w:val="24"/>
        </w:rPr>
      </w:pPr>
    </w:p>
    <w:p w14:paraId="443AA0AE">
      <w:pPr>
        <w:rPr>
          <w:rFonts w:hint="eastAsia" w:ascii="宋体" w:hAnsi="宋体"/>
          <w:sz w:val="24"/>
        </w:rPr>
      </w:pPr>
    </w:p>
    <w:p w14:paraId="1833155F">
      <w:pPr>
        <w:rPr>
          <w:rFonts w:hint="eastAsia" w:ascii="宋体" w:hAnsi="宋体"/>
          <w:sz w:val="24"/>
        </w:rPr>
      </w:pPr>
    </w:p>
    <w:p w14:paraId="7AC78F09">
      <w:pPr>
        <w:rPr>
          <w:rFonts w:hint="eastAsia" w:ascii="宋体" w:hAnsi="宋体"/>
          <w:sz w:val="24"/>
        </w:rPr>
      </w:pPr>
    </w:p>
    <w:p w14:paraId="54C74EF2">
      <w:pPr>
        <w:rPr>
          <w:rFonts w:hint="eastAsia" w:ascii="宋体" w:hAnsi="宋体"/>
          <w:sz w:val="24"/>
        </w:rPr>
      </w:pPr>
    </w:p>
    <w:p w14:paraId="7D2C6B5C">
      <w:pPr>
        <w:rPr>
          <w:rFonts w:hint="eastAsia" w:ascii="宋体" w:hAnsi="宋体"/>
          <w:sz w:val="24"/>
        </w:rPr>
      </w:pPr>
    </w:p>
    <w:p w14:paraId="2C1F9345">
      <w:pPr>
        <w:rPr>
          <w:rFonts w:hint="eastAsia" w:ascii="宋体" w:hAnsi="宋体"/>
          <w:sz w:val="24"/>
        </w:rPr>
      </w:pPr>
    </w:p>
    <w:p w14:paraId="526198CE">
      <w:pPr>
        <w:rPr>
          <w:rFonts w:hint="eastAsia" w:ascii="宋体" w:hAnsi="宋体"/>
          <w:sz w:val="24"/>
        </w:rPr>
      </w:pPr>
    </w:p>
    <w:p w14:paraId="052FEF68">
      <w:pPr>
        <w:rPr>
          <w:rFonts w:hint="eastAsia" w:ascii="宋体" w:hAnsi="宋体"/>
          <w:sz w:val="24"/>
        </w:rPr>
      </w:pPr>
    </w:p>
    <w:p w14:paraId="1B0010B8">
      <w:pPr>
        <w:rPr>
          <w:rFonts w:hint="eastAsia" w:ascii="宋体" w:hAnsi="宋体"/>
          <w:sz w:val="24"/>
        </w:rPr>
      </w:pPr>
    </w:p>
    <w:p w14:paraId="6C8E3590">
      <w:pPr>
        <w:rPr>
          <w:rFonts w:hint="eastAsia" w:ascii="宋体" w:hAnsi="宋体"/>
          <w:sz w:val="24"/>
        </w:rPr>
      </w:pPr>
    </w:p>
    <w:p w14:paraId="26A9C389">
      <w:pPr>
        <w:rPr>
          <w:rFonts w:hint="eastAsia" w:ascii="宋体" w:hAnsi="宋体"/>
          <w:sz w:val="24"/>
        </w:rPr>
      </w:pPr>
    </w:p>
    <w:p w14:paraId="59BF19BD">
      <w:pPr>
        <w:rPr>
          <w:rFonts w:hint="eastAsia" w:ascii="宋体" w:hAnsi="宋体"/>
          <w:sz w:val="24"/>
        </w:rPr>
      </w:pPr>
    </w:p>
    <w:p w14:paraId="134B3FA1">
      <w:pPr>
        <w:rPr>
          <w:rFonts w:hint="eastAsia" w:ascii="宋体" w:hAnsi="宋体"/>
          <w:sz w:val="24"/>
        </w:rPr>
      </w:pPr>
    </w:p>
    <w:p w14:paraId="48D4C068">
      <w:pPr>
        <w:rPr>
          <w:rFonts w:hint="eastAsia" w:ascii="宋体" w:hAnsi="宋体"/>
          <w:sz w:val="24"/>
        </w:rPr>
      </w:pPr>
    </w:p>
    <w:p w14:paraId="24E6231C">
      <w:pPr>
        <w:rPr>
          <w:rFonts w:hint="eastAsia" w:ascii="宋体" w:hAnsi="宋体"/>
          <w:sz w:val="24"/>
        </w:rPr>
      </w:pPr>
    </w:p>
    <w:p w14:paraId="2BDDAE08">
      <w:pPr>
        <w:rPr>
          <w:rFonts w:hint="eastAsia" w:ascii="宋体" w:hAnsi="宋体"/>
          <w:sz w:val="24"/>
        </w:rPr>
      </w:pPr>
    </w:p>
    <w:p w14:paraId="726A3FF8">
      <w:pPr>
        <w:rPr>
          <w:rFonts w:hint="eastAsia" w:ascii="宋体" w:hAnsi="宋体"/>
          <w:sz w:val="24"/>
        </w:rPr>
      </w:pPr>
    </w:p>
    <w:p w14:paraId="71250FD7">
      <w:pPr>
        <w:rPr>
          <w:rFonts w:hint="eastAsia" w:ascii="宋体" w:hAnsi="宋体"/>
          <w:sz w:val="24"/>
        </w:rPr>
      </w:pPr>
    </w:p>
    <w:p w14:paraId="35DDA9F6">
      <w:pPr>
        <w:pStyle w:val="2"/>
        <w:keepNext w:val="0"/>
        <w:keepLines w:val="0"/>
        <w:autoSpaceDE w:val="0"/>
        <w:autoSpaceDN w:val="0"/>
        <w:spacing w:before="0" w:beforeAutospacing="0" w:after="0" w:afterAutospacing="0" w:line="360" w:lineRule="auto"/>
        <w:jc w:val="left"/>
        <w:rPr>
          <w:kern w:val="0"/>
          <w:sz w:val="28"/>
          <w:szCs w:val="28"/>
          <w:lang w:bidi="zh-CN"/>
        </w:rPr>
      </w:pPr>
      <w:bookmarkStart w:id="266" w:name="_Toc17161"/>
      <w:r>
        <w:rPr>
          <w:rFonts w:hint="eastAsia"/>
          <w:kern w:val="0"/>
          <w:sz w:val="28"/>
          <w:szCs w:val="28"/>
          <w:lang w:val="en-US" w:bidi="zh-CN"/>
        </w:rPr>
        <w:t>5</w:t>
      </w:r>
      <w:r>
        <w:rPr>
          <w:kern w:val="0"/>
          <w:sz w:val="28"/>
          <w:szCs w:val="28"/>
          <w:lang w:bidi="zh-CN"/>
        </w:rPr>
        <w:t>环境影响预测</w:t>
      </w:r>
      <w:bookmarkEnd w:id="263"/>
      <w:bookmarkEnd w:id="264"/>
      <w:bookmarkEnd w:id="265"/>
      <w:r>
        <w:rPr>
          <w:rFonts w:hint="eastAsia"/>
          <w:kern w:val="0"/>
          <w:sz w:val="28"/>
          <w:szCs w:val="28"/>
          <w:lang w:bidi="zh-CN"/>
        </w:rPr>
        <w:t>与评价</w:t>
      </w:r>
      <w:bookmarkEnd w:id="266"/>
    </w:p>
    <w:p w14:paraId="13CE09C7">
      <w:pPr>
        <w:pStyle w:val="3"/>
        <w:keepNext w:val="0"/>
        <w:keepLines w:val="0"/>
        <w:autoSpaceDE w:val="0"/>
        <w:autoSpaceDN w:val="0"/>
        <w:spacing w:before="0" w:after="0" w:line="360" w:lineRule="auto"/>
        <w:jc w:val="left"/>
        <w:rPr>
          <w:rFonts w:ascii="Times New Roman" w:hAnsi="Times New Roman" w:eastAsia="宋体"/>
          <w:kern w:val="0"/>
          <w:sz w:val="24"/>
          <w:szCs w:val="30"/>
          <w:lang w:val="en-US" w:bidi="zh-CN"/>
        </w:rPr>
      </w:pPr>
      <w:bookmarkStart w:id="267" w:name="_Toc332727843"/>
      <w:bookmarkStart w:id="268" w:name="_Toc329880338"/>
      <w:bookmarkStart w:id="269" w:name="_Toc363049976"/>
      <w:bookmarkStart w:id="270" w:name="_Toc14160"/>
      <w:bookmarkStart w:id="271" w:name="_Toc8098"/>
      <w:r>
        <w:rPr>
          <w:rFonts w:hint="eastAsia" w:ascii="Times New Roman" w:hAnsi="Times New Roman" w:eastAsia="宋体"/>
          <w:kern w:val="0"/>
          <w:sz w:val="24"/>
          <w:szCs w:val="30"/>
          <w:lang w:val="en-US" w:bidi="zh-CN"/>
        </w:rPr>
        <w:t>5.1施工期环境影响</w:t>
      </w:r>
      <w:bookmarkEnd w:id="267"/>
      <w:bookmarkEnd w:id="268"/>
      <w:bookmarkEnd w:id="269"/>
      <w:r>
        <w:rPr>
          <w:rFonts w:hint="eastAsia" w:ascii="Times New Roman" w:hAnsi="Times New Roman" w:eastAsia="宋体"/>
          <w:kern w:val="0"/>
          <w:sz w:val="24"/>
          <w:szCs w:val="30"/>
          <w:lang w:val="en-US" w:bidi="zh-CN"/>
        </w:rPr>
        <w:t>分析</w:t>
      </w:r>
      <w:bookmarkEnd w:id="270"/>
      <w:bookmarkEnd w:id="271"/>
    </w:p>
    <w:p w14:paraId="6259CEBD">
      <w:pPr>
        <w:spacing w:line="360" w:lineRule="auto"/>
        <w:ind w:left="61" w:right="29" w:firstLine="458"/>
        <w:rPr>
          <w:rFonts w:hint="eastAsia" w:ascii="宋体" w:hAnsi="宋体" w:cs="宋体"/>
          <w:sz w:val="24"/>
          <w:szCs w:val="24"/>
        </w:rPr>
      </w:pPr>
      <w:r>
        <w:rPr>
          <w:rFonts w:hint="eastAsia" w:ascii="宋体" w:hAnsi="宋体" w:cs="宋体"/>
          <w:spacing w:val="-2"/>
          <w:sz w:val="24"/>
          <w:szCs w:val="24"/>
        </w:rPr>
        <w:t>根据建设特点，项目施工期主要的施工活动为生产设备的安装。无土建工程，在租用的车间内直接安装造粒设备，因此施工期主要为生产设备安装过程</w:t>
      </w:r>
      <w:r>
        <w:rPr>
          <w:rFonts w:hint="eastAsia" w:ascii="宋体" w:hAnsi="宋体" w:cs="宋体"/>
          <w:spacing w:val="-4"/>
          <w:sz w:val="24"/>
          <w:szCs w:val="24"/>
        </w:rPr>
        <w:t>中产生的噪声。</w:t>
      </w:r>
    </w:p>
    <w:p w14:paraId="2A5D1263">
      <w:pPr>
        <w:pStyle w:val="4"/>
        <w:autoSpaceDE w:val="0"/>
        <w:autoSpaceDN w:val="0"/>
        <w:spacing w:before="0" w:after="0" w:line="360" w:lineRule="auto"/>
        <w:jc w:val="left"/>
        <w:rPr>
          <w:kern w:val="0"/>
          <w:sz w:val="24"/>
          <w:lang w:val="en-US" w:bidi="zh-CN"/>
        </w:rPr>
      </w:pPr>
      <w:r>
        <w:rPr>
          <w:rFonts w:hint="eastAsia"/>
          <w:kern w:val="0"/>
          <w:sz w:val="24"/>
          <w:lang w:val="en-US" w:bidi="zh-CN"/>
        </w:rPr>
        <w:t>5.1.1施工期空气环境影响分析</w:t>
      </w:r>
    </w:p>
    <w:p w14:paraId="4F971EC1">
      <w:pPr>
        <w:spacing w:line="360" w:lineRule="auto"/>
        <w:ind w:firstLine="482"/>
        <w:rPr>
          <w:rFonts w:hint="eastAsia" w:ascii="宋体" w:hAnsi="宋体"/>
          <w:sz w:val="24"/>
        </w:rPr>
      </w:pPr>
      <w:r>
        <w:rPr>
          <w:rFonts w:hint="eastAsia" w:ascii="宋体" w:hAnsi="宋体"/>
          <w:sz w:val="24"/>
        </w:rPr>
        <w:t>本项目租用现有厂房和办公用房，施工期间主要大气污染物为设备运进厂区车辆的燃油尾气等。受影响区域包括厂区周围、运输线路的道路两侧。</w:t>
      </w:r>
    </w:p>
    <w:p w14:paraId="7383B431">
      <w:pPr>
        <w:widowControl/>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项目施工期主要为运输车辆产生机动车尾气。机动车尾气主要从三个部位排出，一是内燃机燃烧产生的CO、NO</w:t>
      </w:r>
      <w:r>
        <w:rPr>
          <w:rFonts w:hint="eastAsia" w:ascii="宋体" w:hAnsi="宋体" w:cs="宋体"/>
          <w:color w:val="000000"/>
          <w:sz w:val="24"/>
          <w:szCs w:val="24"/>
          <w:vertAlign w:val="subscript"/>
        </w:rPr>
        <w:t>x</w:t>
      </w:r>
      <w:r>
        <w:rPr>
          <w:rFonts w:hint="eastAsia" w:ascii="宋体" w:hAnsi="宋体" w:cs="宋体"/>
          <w:color w:val="000000"/>
          <w:sz w:val="24"/>
          <w:szCs w:val="24"/>
        </w:rPr>
        <w:t>等废气，从汽车排气管排出，占排放物的60%；二是曲轴箱排出的CO、CO</w:t>
      </w:r>
      <w:r>
        <w:rPr>
          <w:rFonts w:hint="eastAsia" w:ascii="宋体" w:hAnsi="宋体" w:cs="宋体"/>
          <w:color w:val="000000"/>
          <w:sz w:val="24"/>
          <w:szCs w:val="24"/>
          <w:vertAlign w:val="subscript"/>
        </w:rPr>
        <w:t>2</w:t>
      </w:r>
      <w:r>
        <w:rPr>
          <w:rFonts w:hint="eastAsia" w:ascii="宋体" w:hAnsi="宋体" w:cs="宋体"/>
          <w:color w:val="000000"/>
          <w:sz w:val="24"/>
          <w:szCs w:val="24"/>
        </w:rPr>
        <w:t>等气体，占排放物的20%；三是从油箱、汽化器燃烧系统蒸发出来的THC等气体，这部分约占20%。机动车尾气成分很复杂，所含</w:t>
      </w:r>
      <w:r>
        <w:rPr>
          <w:rFonts w:hint="eastAsia" w:ascii="宋体" w:hAnsi="宋体" w:cs="宋体"/>
          <w:color w:val="000000"/>
          <w:sz w:val="24"/>
          <w:szCs w:val="24"/>
          <w:lang w:eastAsia="zh-CN"/>
        </w:rPr>
        <w:t>成分</w:t>
      </w:r>
      <w:r>
        <w:rPr>
          <w:rFonts w:hint="eastAsia" w:ascii="宋体" w:hAnsi="宋体" w:cs="宋体"/>
          <w:color w:val="000000"/>
          <w:sz w:val="24"/>
          <w:szCs w:val="24"/>
        </w:rPr>
        <w:t>有120～200种化合物，但其主要成分为CO、THC和NO</w:t>
      </w:r>
      <w:r>
        <w:rPr>
          <w:rFonts w:hint="eastAsia" w:ascii="宋体" w:hAnsi="宋体" w:cs="宋体"/>
          <w:color w:val="000000"/>
          <w:sz w:val="24"/>
          <w:szCs w:val="24"/>
          <w:vertAlign w:val="subscript"/>
        </w:rPr>
        <w:t>x</w:t>
      </w:r>
      <w:r>
        <w:rPr>
          <w:rFonts w:hint="eastAsia" w:ascii="宋体" w:hAnsi="宋体" w:cs="宋体"/>
          <w:color w:val="000000"/>
          <w:sz w:val="24"/>
          <w:szCs w:val="24"/>
        </w:rPr>
        <w:t>等。项目运输车辆数量较少，机动车尾气产生量较小。根据类比调查，运输车辆运行时产生的燃油尾气的影响范围在50m以内。在施工过程中，建设单位和施工单位通过合理安排运输车辆行驶路线，尽量远离环境敏感点，可减小燃油尾气对敏感点的影响。</w:t>
      </w:r>
    </w:p>
    <w:p w14:paraId="1EA4B317">
      <w:pPr>
        <w:widowControl/>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本项目在施工期间因运输车辆尾气排放量相对较少，不会对区域环境空气质量产生实质性影响。随着施工期的结束，运输车辆将陆续离场，运输车辆尾气造成的影响随之消失。</w:t>
      </w:r>
    </w:p>
    <w:p w14:paraId="2F77336D">
      <w:pPr>
        <w:pStyle w:val="4"/>
        <w:autoSpaceDE w:val="0"/>
        <w:autoSpaceDN w:val="0"/>
        <w:spacing w:before="0" w:after="0" w:line="360" w:lineRule="auto"/>
        <w:jc w:val="left"/>
        <w:rPr>
          <w:kern w:val="0"/>
          <w:sz w:val="24"/>
          <w:lang w:val="en-US" w:bidi="zh-CN"/>
        </w:rPr>
      </w:pPr>
      <w:r>
        <w:rPr>
          <w:rFonts w:hint="eastAsia"/>
          <w:kern w:val="0"/>
          <w:sz w:val="24"/>
          <w:lang w:val="en-US" w:bidi="zh-CN"/>
        </w:rPr>
        <w:t>5.1.2施工期水环境影响分析</w:t>
      </w:r>
    </w:p>
    <w:p w14:paraId="0AFCADAC">
      <w:pPr>
        <w:snapToGrid w:val="0"/>
        <w:spacing w:line="360" w:lineRule="auto"/>
        <w:ind w:firstLine="480" w:firstLineChars="200"/>
        <w:rPr>
          <w:rFonts w:hint="eastAsia" w:ascii="宋体" w:hAnsi="宋体" w:cs="宋体"/>
          <w:sz w:val="24"/>
          <w:szCs w:val="24"/>
        </w:rPr>
      </w:pPr>
      <w:r>
        <w:rPr>
          <w:rFonts w:ascii="宋体" w:hAnsi="宋体"/>
          <w:sz w:val="24"/>
        </w:rPr>
        <w:t>本项目</w:t>
      </w:r>
      <w:r>
        <w:rPr>
          <w:rFonts w:hint="eastAsia" w:ascii="宋体" w:hAnsi="宋体" w:cs="宋体"/>
          <w:spacing w:val="-1"/>
          <w:sz w:val="24"/>
          <w:szCs w:val="24"/>
        </w:rPr>
        <w:t>不设置临时生活区，施工人员</w:t>
      </w:r>
      <w:r>
        <w:rPr>
          <w:rFonts w:hint="eastAsia" w:ascii="宋体" w:hAnsi="宋体" w:cs="宋体"/>
          <w:sz w:val="24"/>
          <w:szCs w:val="24"/>
        </w:rPr>
        <w:t>均不在施工场地食宿，</w:t>
      </w:r>
      <w:r>
        <w:rPr>
          <w:rFonts w:hint="eastAsia" w:ascii="宋体" w:hAnsi="宋体" w:cs="宋体"/>
          <w:sz w:val="24"/>
          <w:szCs w:val="24"/>
          <w:lang w:eastAsia="zh-CN"/>
        </w:rPr>
        <w:t>施工人员废水</w:t>
      </w:r>
      <w:r>
        <w:rPr>
          <w:rFonts w:hint="eastAsia" w:ascii="宋体" w:hAnsi="宋体"/>
          <w:sz w:val="24"/>
          <w:szCs w:val="24"/>
        </w:rPr>
        <w:t>排入</w:t>
      </w:r>
      <w:r>
        <w:rPr>
          <w:rFonts w:hint="eastAsia" w:ascii="宋体" w:hAnsi="宋体"/>
          <w:sz w:val="24"/>
          <w:szCs w:val="24"/>
          <w:lang w:val="en-US" w:eastAsia="zh-CN"/>
        </w:rPr>
        <w:t>10</w:t>
      </w:r>
      <w:r>
        <w:rPr>
          <w:rFonts w:ascii="宋体" w:hAnsi="宋体"/>
          <w:sz w:val="24"/>
          <w:szCs w:val="24"/>
        </w:rPr>
        <w:t>m</w:t>
      </w:r>
      <w:r>
        <w:rPr>
          <w:rFonts w:ascii="宋体" w:hAnsi="宋体"/>
          <w:sz w:val="24"/>
          <w:szCs w:val="24"/>
          <w:vertAlign w:val="superscript"/>
        </w:rPr>
        <w:t>3</w:t>
      </w:r>
      <w:r>
        <w:rPr>
          <w:rFonts w:hint="eastAsia" w:ascii="宋体" w:hAnsi="宋体"/>
          <w:sz w:val="24"/>
          <w:szCs w:val="24"/>
          <w:lang w:val="en-US" w:eastAsia="zh-CN"/>
        </w:rPr>
        <w:t>防渗化粪池</w:t>
      </w:r>
      <w:r>
        <w:rPr>
          <w:rFonts w:hint="eastAsia" w:ascii="宋体" w:hAnsi="宋体"/>
          <w:sz w:val="24"/>
          <w:szCs w:val="24"/>
          <w:lang w:eastAsia="zh-CN"/>
        </w:rPr>
        <w:t>，定期由库尔勒龙润水处理有限公司采用罐车拉运至库尔勒南市区污水处理厂</w:t>
      </w:r>
      <w:r>
        <w:rPr>
          <w:rFonts w:hint="eastAsia" w:ascii="宋体" w:hAnsi="宋体" w:cs="宋体"/>
          <w:sz w:val="24"/>
          <w:szCs w:val="24"/>
        </w:rPr>
        <w:t>。</w:t>
      </w:r>
      <w:r>
        <w:rPr>
          <w:rFonts w:hint="eastAsia" w:ascii="宋体" w:hAnsi="宋体" w:cs="宋体"/>
          <w:spacing w:val="-1"/>
          <w:sz w:val="24"/>
          <w:szCs w:val="24"/>
        </w:rPr>
        <w:t>对水环境不会产生明显的影响。</w:t>
      </w:r>
    </w:p>
    <w:p w14:paraId="1A9F677E">
      <w:pPr>
        <w:pStyle w:val="4"/>
        <w:autoSpaceDE w:val="0"/>
        <w:autoSpaceDN w:val="0"/>
        <w:spacing w:before="0" w:after="0" w:line="360" w:lineRule="auto"/>
        <w:jc w:val="left"/>
        <w:rPr>
          <w:kern w:val="0"/>
          <w:sz w:val="24"/>
          <w:lang w:val="en-US" w:bidi="zh-CN"/>
        </w:rPr>
      </w:pPr>
      <w:r>
        <w:rPr>
          <w:rFonts w:hint="eastAsia"/>
          <w:kern w:val="0"/>
          <w:sz w:val="24"/>
          <w:lang w:val="en-US" w:bidi="zh-CN"/>
        </w:rPr>
        <w:t>5.1.3施工期声环境影响分析</w:t>
      </w:r>
    </w:p>
    <w:p w14:paraId="7052159A">
      <w:pPr>
        <w:pStyle w:val="5"/>
        <w:rPr>
          <w:rFonts w:ascii="Times New Roman" w:hAnsi="Times New Roman"/>
          <w:color w:val="000000"/>
          <w:lang w:val="en-US"/>
        </w:rPr>
      </w:pPr>
      <w:r>
        <w:rPr>
          <w:rFonts w:hint="eastAsia" w:ascii="Times New Roman" w:hAnsi="Times New Roman"/>
          <w:color w:val="000000"/>
          <w:lang w:val="en-US"/>
        </w:rPr>
        <w:t>5.1.3.1</w:t>
      </w:r>
      <w:r>
        <w:rPr>
          <w:rFonts w:ascii="Times New Roman" w:hAnsi="Times New Roman"/>
          <w:color w:val="000000"/>
          <w:lang w:val="en-US"/>
        </w:rPr>
        <w:t>噪声源源强</w:t>
      </w:r>
    </w:p>
    <w:p w14:paraId="1813A411">
      <w:pPr>
        <w:widowControl/>
        <w:kinsoku w:val="0"/>
        <w:autoSpaceDE w:val="0"/>
        <w:autoSpaceDN w:val="0"/>
        <w:adjustRightInd w:val="0"/>
        <w:snapToGrid w:val="0"/>
        <w:spacing w:line="360" w:lineRule="auto"/>
        <w:jc w:val="left"/>
        <w:textAlignment w:val="baseline"/>
        <w:rPr>
          <w:rFonts w:hint="eastAsia" w:ascii="宋体" w:hAnsi="宋体" w:cs="宋体"/>
          <w:snapToGrid w:val="0"/>
          <w:kern w:val="0"/>
          <w:sz w:val="24"/>
          <w:szCs w:val="24"/>
        </w:rPr>
      </w:pPr>
      <w:r>
        <w:rPr>
          <w:rFonts w:hint="eastAsia" w:ascii="Arial" w:hAnsi="Arial" w:eastAsia="Arial" w:cs="Arial"/>
          <w:snapToGrid w:val="0"/>
          <w:kern w:val="0"/>
          <w:szCs w:val="21"/>
        </w:rPr>
        <w:t xml:space="preserve">    </w:t>
      </w:r>
      <w:r>
        <w:rPr>
          <w:rFonts w:hint="eastAsia" w:ascii="宋体" w:hAnsi="宋体" w:cs="宋体"/>
          <w:snapToGrid w:val="0"/>
          <w:kern w:val="0"/>
          <w:sz w:val="24"/>
          <w:szCs w:val="24"/>
        </w:rPr>
        <w:t>施工中的噪声主要来源于施工机械设备，大多为不连续性噪声。施工过程中不进行基础施工，在租用厂房内进行设备安装，主要设备噪声见表5.1-1。</w:t>
      </w:r>
    </w:p>
    <w:p w14:paraId="7206B1C1">
      <w:pPr>
        <w:widowControl/>
        <w:kinsoku w:val="0"/>
        <w:autoSpaceDE w:val="0"/>
        <w:autoSpaceDN w:val="0"/>
        <w:adjustRightInd w:val="0"/>
        <w:snapToGrid w:val="0"/>
        <w:jc w:val="center"/>
        <w:textAlignment w:val="baseline"/>
        <w:rPr>
          <w:rFonts w:hint="eastAsia" w:ascii="宋体" w:hAnsi="宋体" w:cs="宋体"/>
          <w:b/>
          <w:bCs/>
          <w:snapToGrid w:val="0"/>
          <w:kern w:val="0"/>
          <w:szCs w:val="21"/>
        </w:rPr>
      </w:pPr>
      <w:r>
        <w:rPr>
          <w:rFonts w:hint="eastAsia" w:ascii="宋体" w:hAnsi="宋体" w:cs="宋体"/>
          <w:b/>
          <w:bCs/>
          <w:snapToGrid w:val="0"/>
          <w:kern w:val="0"/>
          <w:szCs w:val="21"/>
        </w:rPr>
        <w:t>表5.1-1      施工期主要设备噪声源强一览表</w:t>
      </w:r>
    </w:p>
    <w:tbl>
      <w:tblPr>
        <w:tblStyle w:val="50"/>
        <w:tblW w:w="0" w:type="auto"/>
        <w:tblInd w:w="0" w:type="dxa"/>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autofit"/>
        <w:tblCellMar>
          <w:top w:w="0" w:type="dxa"/>
          <w:left w:w="108" w:type="dxa"/>
          <w:bottom w:w="0" w:type="dxa"/>
          <w:right w:w="108" w:type="dxa"/>
        </w:tblCellMar>
      </w:tblPr>
      <w:tblGrid>
        <w:gridCol w:w="2955"/>
        <w:gridCol w:w="2955"/>
        <w:gridCol w:w="3011"/>
      </w:tblGrid>
      <w:tr w14:paraId="1DB5CE6F">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44" w:hRule="atLeast"/>
        </w:trPr>
        <w:tc>
          <w:tcPr>
            <w:tcW w:w="2955" w:type="dxa"/>
            <w:vAlign w:val="center"/>
          </w:tcPr>
          <w:p w14:paraId="05DE228B">
            <w:pPr>
              <w:kinsoku w:val="0"/>
              <w:adjustRightInd w:val="0"/>
              <w:snapToGrid w:val="0"/>
              <w:spacing w:line="320" w:lineRule="exact"/>
              <w:jc w:val="center"/>
              <w:textAlignment w:val="baseline"/>
              <w:rPr>
                <w:rFonts w:hint="eastAsia" w:ascii="宋体" w:hAnsi="宋体" w:cs="宋体"/>
                <w:snapToGrid w:val="0"/>
                <w:kern w:val="0"/>
                <w:szCs w:val="21"/>
              </w:rPr>
            </w:pPr>
            <w:r>
              <w:rPr>
                <w:rFonts w:hint="eastAsia" w:ascii="宋体" w:hAnsi="宋体" w:cs="宋体"/>
                <w:snapToGrid w:val="0"/>
                <w:kern w:val="0"/>
                <w:szCs w:val="21"/>
              </w:rPr>
              <w:t>施工阶段</w:t>
            </w:r>
          </w:p>
        </w:tc>
        <w:tc>
          <w:tcPr>
            <w:tcW w:w="2955" w:type="dxa"/>
            <w:vAlign w:val="center"/>
          </w:tcPr>
          <w:p w14:paraId="35DFD17D">
            <w:pPr>
              <w:kinsoku w:val="0"/>
              <w:adjustRightInd w:val="0"/>
              <w:snapToGrid w:val="0"/>
              <w:spacing w:line="320" w:lineRule="exact"/>
              <w:jc w:val="center"/>
              <w:textAlignment w:val="baseline"/>
              <w:rPr>
                <w:rFonts w:hint="eastAsia" w:ascii="宋体" w:hAnsi="宋体" w:cs="宋体"/>
                <w:snapToGrid w:val="0"/>
                <w:kern w:val="0"/>
                <w:szCs w:val="21"/>
              </w:rPr>
            </w:pPr>
            <w:r>
              <w:rPr>
                <w:rFonts w:hint="eastAsia" w:ascii="宋体" w:hAnsi="宋体" w:cs="宋体"/>
                <w:snapToGrid w:val="0"/>
                <w:kern w:val="0"/>
                <w:szCs w:val="21"/>
              </w:rPr>
              <w:t>设备名称</w:t>
            </w:r>
          </w:p>
        </w:tc>
        <w:tc>
          <w:tcPr>
            <w:tcW w:w="3011" w:type="dxa"/>
            <w:vAlign w:val="center"/>
          </w:tcPr>
          <w:p w14:paraId="66747B94">
            <w:pPr>
              <w:kinsoku w:val="0"/>
              <w:adjustRightInd w:val="0"/>
              <w:snapToGrid w:val="0"/>
              <w:spacing w:line="320" w:lineRule="exact"/>
              <w:jc w:val="center"/>
              <w:textAlignment w:val="baseline"/>
              <w:rPr>
                <w:rFonts w:hint="eastAsia" w:ascii="宋体" w:hAnsi="宋体" w:cs="宋体"/>
                <w:snapToGrid w:val="0"/>
                <w:kern w:val="0"/>
                <w:szCs w:val="21"/>
              </w:rPr>
            </w:pPr>
            <w:r>
              <w:rPr>
                <w:rFonts w:hint="eastAsia" w:ascii="宋体" w:hAnsi="宋体" w:cs="宋体"/>
                <w:snapToGrid w:val="0"/>
                <w:kern w:val="0"/>
                <w:szCs w:val="21"/>
              </w:rPr>
              <w:t>噪声源5m处源强dB(A)</w:t>
            </w:r>
          </w:p>
        </w:tc>
      </w:tr>
      <w:tr w14:paraId="62D24794">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44" w:hRule="atLeast"/>
        </w:trPr>
        <w:tc>
          <w:tcPr>
            <w:tcW w:w="2955" w:type="dxa"/>
            <w:vMerge w:val="restart"/>
            <w:vAlign w:val="center"/>
          </w:tcPr>
          <w:p w14:paraId="62BD40DA">
            <w:pPr>
              <w:kinsoku w:val="0"/>
              <w:adjustRightInd w:val="0"/>
              <w:snapToGrid w:val="0"/>
              <w:spacing w:line="320" w:lineRule="exact"/>
              <w:jc w:val="center"/>
              <w:textAlignment w:val="baseline"/>
              <w:rPr>
                <w:rFonts w:hint="eastAsia" w:ascii="宋体" w:hAnsi="宋体" w:cs="宋体"/>
                <w:snapToGrid w:val="0"/>
                <w:kern w:val="0"/>
                <w:szCs w:val="21"/>
              </w:rPr>
            </w:pPr>
            <w:r>
              <w:rPr>
                <w:rFonts w:hint="eastAsia" w:ascii="宋体" w:hAnsi="宋体" w:cs="宋体"/>
                <w:snapToGrid w:val="0"/>
                <w:kern w:val="0"/>
                <w:szCs w:val="21"/>
              </w:rPr>
              <w:t>安装施工</w:t>
            </w:r>
          </w:p>
        </w:tc>
        <w:tc>
          <w:tcPr>
            <w:tcW w:w="2955" w:type="dxa"/>
            <w:vAlign w:val="center"/>
          </w:tcPr>
          <w:p w14:paraId="116DE4CF">
            <w:pPr>
              <w:kinsoku w:val="0"/>
              <w:adjustRightInd w:val="0"/>
              <w:snapToGrid w:val="0"/>
              <w:spacing w:line="320" w:lineRule="exact"/>
              <w:jc w:val="center"/>
              <w:textAlignment w:val="baseline"/>
              <w:rPr>
                <w:rFonts w:hint="eastAsia" w:ascii="宋体" w:hAnsi="宋体" w:cs="宋体"/>
                <w:snapToGrid w:val="0"/>
                <w:kern w:val="0"/>
                <w:szCs w:val="21"/>
              </w:rPr>
            </w:pPr>
            <w:r>
              <w:rPr>
                <w:rFonts w:hint="eastAsia" w:ascii="宋体" w:hAnsi="宋体" w:cs="宋体"/>
                <w:snapToGrid w:val="0"/>
                <w:kern w:val="0"/>
                <w:szCs w:val="21"/>
              </w:rPr>
              <w:t>电钻</w:t>
            </w:r>
          </w:p>
        </w:tc>
        <w:tc>
          <w:tcPr>
            <w:tcW w:w="3011" w:type="dxa"/>
            <w:vAlign w:val="center"/>
          </w:tcPr>
          <w:p w14:paraId="3FEF851C">
            <w:pPr>
              <w:kinsoku w:val="0"/>
              <w:adjustRightInd w:val="0"/>
              <w:snapToGrid w:val="0"/>
              <w:spacing w:line="320" w:lineRule="exact"/>
              <w:jc w:val="center"/>
              <w:textAlignment w:val="baseline"/>
              <w:rPr>
                <w:rFonts w:hint="eastAsia" w:ascii="宋体" w:hAnsi="宋体" w:cs="宋体"/>
                <w:snapToGrid w:val="0"/>
                <w:kern w:val="0"/>
                <w:szCs w:val="21"/>
              </w:rPr>
            </w:pPr>
            <w:r>
              <w:rPr>
                <w:rFonts w:hint="eastAsia" w:ascii="宋体" w:hAnsi="宋体" w:cs="宋体"/>
                <w:snapToGrid w:val="0"/>
                <w:kern w:val="0"/>
                <w:szCs w:val="21"/>
              </w:rPr>
              <w:t>100-105</w:t>
            </w:r>
          </w:p>
        </w:tc>
      </w:tr>
      <w:tr w14:paraId="73ADD7C3">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44" w:hRule="atLeast"/>
        </w:trPr>
        <w:tc>
          <w:tcPr>
            <w:tcW w:w="2955" w:type="dxa"/>
            <w:vMerge w:val="continue"/>
            <w:vAlign w:val="center"/>
          </w:tcPr>
          <w:p w14:paraId="3810F2C0">
            <w:pPr>
              <w:kinsoku w:val="0"/>
              <w:adjustRightInd w:val="0"/>
              <w:snapToGrid w:val="0"/>
              <w:spacing w:line="320" w:lineRule="exact"/>
              <w:jc w:val="center"/>
              <w:textAlignment w:val="baseline"/>
              <w:rPr>
                <w:rFonts w:hint="eastAsia" w:ascii="宋体" w:hAnsi="宋体" w:cs="宋体"/>
                <w:snapToGrid w:val="0"/>
                <w:kern w:val="0"/>
                <w:szCs w:val="21"/>
              </w:rPr>
            </w:pPr>
          </w:p>
        </w:tc>
        <w:tc>
          <w:tcPr>
            <w:tcW w:w="2955" w:type="dxa"/>
            <w:vAlign w:val="center"/>
          </w:tcPr>
          <w:p w14:paraId="7D3D7E7F">
            <w:pPr>
              <w:kinsoku w:val="0"/>
              <w:adjustRightInd w:val="0"/>
              <w:snapToGrid w:val="0"/>
              <w:spacing w:line="320" w:lineRule="exact"/>
              <w:jc w:val="center"/>
              <w:textAlignment w:val="baseline"/>
              <w:rPr>
                <w:rFonts w:hint="eastAsia" w:ascii="宋体" w:hAnsi="宋体" w:cs="宋体"/>
                <w:snapToGrid w:val="0"/>
                <w:kern w:val="0"/>
                <w:szCs w:val="21"/>
              </w:rPr>
            </w:pPr>
            <w:r>
              <w:rPr>
                <w:rFonts w:hint="eastAsia" w:ascii="宋体" w:hAnsi="宋体" w:cs="宋体"/>
                <w:snapToGrid w:val="0"/>
                <w:kern w:val="0"/>
                <w:szCs w:val="21"/>
              </w:rPr>
              <w:t>电焊机</w:t>
            </w:r>
          </w:p>
        </w:tc>
        <w:tc>
          <w:tcPr>
            <w:tcW w:w="3011" w:type="dxa"/>
            <w:vAlign w:val="center"/>
          </w:tcPr>
          <w:p w14:paraId="3B2ACAAB">
            <w:pPr>
              <w:kinsoku w:val="0"/>
              <w:adjustRightInd w:val="0"/>
              <w:snapToGrid w:val="0"/>
              <w:spacing w:line="320" w:lineRule="exact"/>
              <w:jc w:val="center"/>
              <w:textAlignment w:val="baseline"/>
              <w:rPr>
                <w:rFonts w:hint="eastAsia" w:ascii="宋体" w:hAnsi="宋体" w:cs="宋体"/>
                <w:snapToGrid w:val="0"/>
                <w:kern w:val="0"/>
                <w:szCs w:val="21"/>
              </w:rPr>
            </w:pPr>
            <w:r>
              <w:rPr>
                <w:rFonts w:hint="eastAsia" w:ascii="宋体" w:hAnsi="宋体" w:cs="宋体"/>
                <w:snapToGrid w:val="0"/>
                <w:kern w:val="0"/>
                <w:szCs w:val="21"/>
              </w:rPr>
              <w:t>90-95</w:t>
            </w:r>
          </w:p>
        </w:tc>
      </w:tr>
      <w:tr w14:paraId="77E57385">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53" w:hRule="atLeast"/>
        </w:trPr>
        <w:tc>
          <w:tcPr>
            <w:tcW w:w="2955" w:type="dxa"/>
            <w:vMerge w:val="continue"/>
            <w:vAlign w:val="center"/>
          </w:tcPr>
          <w:p w14:paraId="6F3B4547">
            <w:pPr>
              <w:kinsoku w:val="0"/>
              <w:adjustRightInd w:val="0"/>
              <w:snapToGrid w:val="0"/>
              <w:spacing w:line="320" w:lineRule="exact"/>
              <w:jc w:val="center"/>
              <w:textAlignment w:val="baseline"/>
              <w:rPr>
                <w:rFonts w:hint="eastAsia" w:ascii="宋体" w:hAnsi="宋体" w:cs="宋体"/>
                <w:snapToGrid w:val="0"/>
                <w:kern w:val="0"/>
                <w:szCs w:val="21"/>
              </w:rPr>
            </w:pPr>
          </w:p>
        </w:tc>
        <w:tc>
          <w:tcPr>
            <w:tcW w:w="2955" w:type="dxa"/>
            <w:vAlign w:val="center"/>
          </w:tcPr>
          <w:p w14:paraId="4FDDB54B">
            <w:pPr>
              <w:kinsoku w:val="0"/>
              <w:adjustRightInd w:val="0"/>
              <w:snapToGrid w:val="0"/>
              <w:spacing w:line="320" w:lineRule="exact"/>
              <w:jc w:val="center"/>
              <w:textAlignment w:val="baseline"/>
              <w:rPr>
                <w:rFonts w:hint="eastAsia" w:ascii="宋体" w:hAnsi="宋体" w:cs="宋体"/>
                <w:snapToGrid w:val="0"/>
                <w:kern w:val="0"/>
                <w:szCs w:val="21"/>
              </w:rPr>
            </w:pPr>
            <w:r>
              <w:rPr>
                <w:rFonts w:hint="eastAsia" w:ascii="宋体" w:hAnsi="宋体" w:cs="宋体"/>
                <w:snapToGrid w:val="0"/>
                <w:kern w:val="0"/>
                <w:szCs w:val="21"/>
              </w:rPr>
              <w:t>电锯</w:t>
            </w:r>
          </w:p>
        </w:tc>
        <w:tc>
          <w:tcPr>
            <w:tcW w:w="3011" w:type="dxa"/>
            <w:vAlign w:val="center"/>
          </w:tcPr>
          <w:p w14:paraId="0780EBDF">
            <w:pPr>
              <w:kinsoku w:val="0"/>
              <w:adjustRightInd w:val="0"/>
              <w:snapToGrid w:val="0"/>
              <w:spacing w:line="320" w:lineRule="exact"/>
              <w:jc w:val="center"/>
              <w:textAlignment w:val="baseline"/>
              <w:rPr>
                <w:rFonts w:hint="eastAsia" w:ascii="宋体" w:hAnsi="宋体" w:cs="宋体"/>
                <w:snapToGrid w:val="0"/>
                <w:kern w:val="0"/>
                <w:szCs w:val="21"/>
              </w:rPr>
            </w:pPr>
            <w:r>
              <w:rPr>
                <w:rFonts w:hint="eastAsia" w:ascii="宋体" w:hAnsi="宋体" w:cs="宋体"/>
                <w:snapToGrid w:val="0"/>
                <w:kern w:val="0"/>
                <w:szCs w:val="21"/>
              </w:rPr>
              <w:t>93-99</w:t>
            </w:r>
          </w:p>
        </w:tc>
      </w:tr>
    </w:tbl>
    <w:p w14:paraId="388DA748">
      <w:pPr>
        <w:pStyle w:val="5"/>
        <w:rPr>
          <w:rFonts w:ascii="Times New Roman" w:hAnsi="Times New Roman"/>
          <w:color w:val="000000"/>
          <w:lang w:val="en-US"/>
        </w:rPr>
      </w:pPr>
      <w:r>
        <w:rPr>
          <w:rFonts w:hint="eastAsia" w:ascii="Times New Roman" w:hAnsi="Times New Roman"/>
          <w:color w:val="000000"/>
          <w:lang w:val="en-US"/>
        </w:rPr>
        <w:t>5.1.3.2</w:t>
      </w:r>
      <w:r>
        <w:rPr>
          <w:rFonts w:ascii="Times New Roman" w:hAnsi="Times New Roman"/>
          <w:color w:val="000000"/>
          <w:lang w:val="en-US"/>
        </w:rPr>
        <w:t>施工噪声影响分析</w:t>
      </w:r>
    </w:p>
    <w:p w14:paraId="2D5759A3">
      <w:pPr>
        <w:widowControl/>
        <w:kinsoku w:val="0"/>
        <w:autoSpaceDE w:val="0"/>
        <w:autoSpaceDN w:val="0"/>
        <w:adjustRightInd w:val="0"/>
        <w:snapToGrid w:val="0"/>
        <w:spacing w:line="360" w:lineRule="auto"/>
        <w:ind w:firstLine="480"/>
        <w:jc w:val="left"/>
        <w:textAlignment w:val="baseline"/>
        <w:rPr>
          <w:rFonts w:hint="eastAsia" w:ascii="宋体" w:hAnsi="宋体" w:cs="宋体"/>
          <w:snapToGrid w:val="0"/>
          <w:kern w:val="0"/>
          <w:sz w:val="24"/>
          <w:szCs w:val="24"/>
        </w:rPr>
      </w:pPr>
      <w:r>
        <w:rPr>
          <w:rFonts w:hint="eastAsia" w:ascii="宋体" w:hAnsi="宋体" w:cs="宋体"/>
          <w:snapToGrid w:val="0"/>
          <w:kern w:val="0"/>
          <w:sz w:val="24"/>
          <w:szCs w:val="24"/>
        </w:rPr>
        <w:t>施工期各种噪声源多为点源，按点声源衰减模式计算施工机械噪声的距离，计算公式为：</w:t>
      </w:r>
    </w:p>
    <w:p w14:paraId="0B168BF3">
      <w:pPr>
        <w:widowControl/>
        <w:kinsoku w:val="0"/>
        <w:autoSpaceDE w:val="0"/>
        <w:autoSpaceDN w:val="0"/>
        <w:adjustRightInd w:val="0"/>
        <w:snapToGrid w:val="0"/>
        <w:spacing w:line="360" w:lineRule="auto"/>
        <w:ind w:firstLine="480"/>
        <w:jc w:val="center"/>
        <w:textAlignment w:val="baseline"/>
        <w:rPr>
          <w:rFonts w:hint="eastAsia" w:ascii="宋体" w:hAnsi="宋体" w:cs="宋体"/>
          <w:snapToGrid w:val="0"/>
          <w:kern w:val="0"/>
          <w:sz w:val="24"/>
          <w:szCs w:val="24"/>
        </w:rPr>
      </w:pPr>
      <w:r>
        <w:rPr>
          <w:rFonts w:ascii="Arial" w:hAnsi="Arial" w:eastAsia="Arial" w:cs="Arial"/>
          <w:snapToGrid w:val="0"/>
          <w:kern w:val="0"/>
          <w:szCs w:val="21"/>
          <w:lang w:eastAsia="en-US"/>
        </w:rPr>
        <w:drawing>
          <wp:inline distT="0" distB="0" distL="114300" distR="114300">
            <wp:extent cx="1822450" cy="342265"/>
            <wp:effectExtent l="0" t="0" r="6350" b="635"/>
            <wp:docPr id="23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图片 1"/>
                    <pic:cNvPicPr>
                      <a:picLocks noChangeAspect="1"/>
                    </pic:cNvPicPr>
                  </pic:nvPicPr>
                  <pic:blipFill>
                    <a:blip r:embed="rId27"/>
                    <a:stretch>
                      <a:fillRect/>
                    </a:stretch>
                  </pic:blipFill>
                  <pic:spPr>
                    <a:xfrm>
                      <a:off x="0" y="0"/>
                      <a:ext cx="1822450" cy="342265"/>
                    </a:xfrm>
                    <a:prstGeom prst="rect">
                      <a:avLst/>
                    </a:prstGeom>
                    <a:noFill/>
                    <a:ln>
                      <a:noFill/>
                    </a:ln>
                  </pic:spPr>
                </pic:pic>
              </a:graphicData>
            </a:graphic>
          </wp:inline>
        </w:drawing>
      </w:r>
    </w:p>
    <w:p w14:paraId="7B03928F">
      <w:pPr>
        <w:widowControl/>
        <w:kinsoku w:val="0"/>
        <w:autoSpaceDE w:val="0"/>
        <w:autoSpaceDN w:val="0"/>
        <w:adjustRightInd w:val="0"/>
        <w:snapToGrid w:val="0"/>
        <w:spacing w:line="360" w:lineRule="auto"/>
        <w:ind w:firstLine="480"/>
        <w:jc w:val="left"/>
        <w:textAlignment w:val="baseline"/>
        <w:rPr>
          <w:rFonts w:hint="eastAsia" w:ascii="宋体" w:hAnsi="宋体" w:cs="宋体"/>
          <w:snapToGrid w:val="0"/>
          <w:kern w:val="0"/>
          <w:sz w:val="24"/>
          <w:szCs w:val="24"/>
        </w:rPr>
      </w:pPr>
      <w:r>
        <w:rPr>
          <w:rFonts w:hint="eastAsia" w:ascii="宋体" w:hAnsi="宋体" w:cs="宋体"/>
          <w:snapToGrid w:val="0"/>
          <w:kern w:val="0"/>
          <w:sz w:val="24"/>
          <w:szCs w:val="24"/>
        </w:rPr>
        <w:t>式中：L</w:t>
      </w:r>
      <w:r>
        <w:rPr>
          <w:rFonts w:hint="eastAsia" w:ascii="宋体" w:hAnsi="宋体" w:cs="宋体"/>
          <w:snapToGrid w:val="0"/>
          <w:kern w:val="0"/>
          <w:sz w:val="24"/>
          <w:szCs w:val="24"/>
          <w:vertAlign w:val="subscript"/>
        </w:rPr>
        <w:t>1</w:t>
      </w:r>
      <w:r>
        <w:rPr>
          <w:rFonts w:hint="eastAsia" w:ascii="宋体" w:hAnsi="宋体" w:cs="宋体"/>
          <w:snapToGrid w:val="0"/>
          <w:kern w:val="0"/>
          <w:sz w:val="24"/>
          <w:szCs w:val="24"/>
        </w:rPr>
        <w:t>、L</w:t>
      </w:r>
      <w:r>
        <w:rPr>
          <w:rFonts w:hint="eastAsia" w:ascii="宋体" w:hAnsi="宋体" w:cs="宋体"/>
          <w:snapToGrid w:val="0"/>
          <w:kern w:val="0"/>
          <w:sz w:val="24"/>
          <w:szCs w:val="24"/>
          <w:vertAlign w:val="subscript"/>
        </w:rPr>
        <w:t>2</w:t>
      </w:r>
      <w:r>
        <w:rPr>
          <w:rFonts w:hint="eastAsia" w:ascii="宋体" w:hAnsi="宋体" w:cs="宋体"/>
          <w:snapToGrid w:val="0"/>
          <w:kern w:val="0"/>
          <w:sz w:val="24"/>
          <w:szCs w:val="24"/>
        </w:rPr>
        <w:t>—为距声源r</w:t>
      </w:r>
      <w:r>
        <w:rPr>
          <w:rFonts w:hint="eastAsia" w:ascii="宋体" w:hAnsi="宋体" w:cs="宋体"/>
          <w:snapToGrid w:val="0"/>
          <w:kern w:val="0"/>
          <w:sz w:val="24"/>
          <w:szCs w:val="24"/>
          <w:vertAlign w:val="subscript"/>
        </w:rPr>
        <w:t>1</w:t>
      </w:r>
      <w:r>
        <w:rPr>
          <w:rFonts w:hint="eastAsia" w:ascii="宋体" w:hAnsi="宋体" w:cs="宋体"/>
          <w:snapToGrid w:val="0"/>
          <w:kern w:val="0"/>
          <w:sz w:val="24"/>
          <w:szCs w:val="24"/>
        </w:rPr>
        <w:t>、r</w:t>
      </w:r>
      <w:r>
        <w:rPr>
          <w:rFonts w:hint="eastAsia" w:ascii="宋体" w:hAnsi="宋体" w:cs="宋体"/>
          <w:snapToGrid w:val="0"/>
          <w:kern w:val="0"/>
          <w:sz w:val="24"/>
          <w:szCs w:val="24"/>
          <w:vertAlign w:val="subscript"/>
        </w:rPr>
        <w:t>2</w:t>
      </w:r>
      <w:r>
        <w:rPr>
          <w:rFonts w:hint="eastAsia" w:ascii="宋体" w:hAnsi="宋体" w:cs="宋体"/>
          <w:snapToGrid w:val="0"/>
          <w:kern w:val="0"/>
          <w:sz w:val="24"/>
          <w:szCs w:val="24"/>
        </w:rPr>
        <w:t>处声级值，dB（A）；</w:t>
      </w:r>
    </w:p>
    <w:p w14:paraId="531A7B5F">
      <w:pPr>
        <w:widowControl/>
        <w:kinsoku w:val="0"/>
        <w:autoSpaceDE w:val="0"/>
        <w:autoSpaceDN w:val="0"/>
        <w:adjustRightInd w:val="0"/>
        <w:snapToGrid w:val="0"/>
        <w:spacing w:line="360" w:lineRule="auto"/>
        <w:ind w:firstLine="480"/>
        <w:jc w:val="left"/>
        <w:textAlignment w:val="baseline"/>
        <w:rPr>
          <w:rFonts w:hint="eastAsia" w:ascii="宋体" w:hAnsi="宋体" w:cs="宋体"/>
          <w:snapToGrid w:val="0"/>
          <w:kern w:val="0"/>
          <w:sz w:val="24"/>
          <w:szCs w:val="24"/>
        </w:rPr>
      </w:pPr>
      <w:r>
        <w:rPr>
          <w:rFonts w:hint="eastAsia" w:ascii="宋体" w:hAnsi="宋体" w:cs="宋体"/>
          <w:snapToGrid w:val="0"/>
          <w:kern w:val="0"/>
          <w:sz w:val="24"/>
          <w:szCs w:val="24"/>
        </w:rPr>
        <w:t xml:space="preserve">      r</w:t>
      </w:r>
      <w:r>
        <w:rPr>
          <w:rFonts w:hint="eastAsia" w:ascii="宋体" w:hAnsi="宋体" w:cs="宋体"/>
          <w:snapToGrid w:val="0"/>
          <w:kern w:val="0"/>
          <w:sz w:val="24"/>
          <w:szCs w:val="24"/>
          <w:vertAlign w:val="subscript"/>
        </w:rPr>
        <w:t>1</w:t>
      </w:r>
      <w:r>
        <w:rPr>
          <w:rFonts w:hint="eastAsia" w:ascii="宋体" w:hAnsi="宋体" w:cs="宋体"/>
          <w:snapToGrid w:val="0"/>
          <w:kern w:val="0"/>
          <w:sz w:val="24"/>
          <w:szCs w:val="24"/>
        </w:rPr>
        <w:t>、r</w:t>
      </w:r>
      <w:r>
        <w:rPr>
          <w:rFonts w:hint="eastAsia" w:ascii="宋体" w:hAnsi="宋体" w:cs="宋体"/>
          <w:snapToGrid w:val="0"/>
          <w:kern w:val="0"/>
          <w:sz w:val="24"/>
          <w:szCs w:val="24"/>
          <w:vertAlign w:val="subscript"/>
        </w:rPr>
        <w:t>2</w:t>
      </w:r>
      <w:r>
        <w:rPr>
          <w:rFonts w:hint="eastAsia" w:ascii="宋体" w:hAnsi="宋体" w:cs="宋体"/>
          <w:snapToGrid w:val="0"/>
          <w:kern w:val="0"/>
          <w:sz w:val="24"/>
          <w:szCs w:val="24"/>
        </w:rPr>
        <w:t>—为距点源的距离，m；</w:t>
      </w:r>
    </w:p>
    <w:p w14:paraId="39FBDC6E">
      <w:pPr>
        <w:widowControl/>
        <w:kinsoku w:val="0"/>
        <w:autoSpaceDE w:val="0"/>
        <w:autoSpaceDN w:val="0"/>
        <w:adjustRightInd w:val="0"/>
        <w:snapToGrid w:val="0"/>
        <w:spacing w:line="360" w:lineRule="auto"/>
        <w:ind w:firstLine="480"/>
        <w:jc w:val="left"/>
        <w:textAlignment w:val="baseline"/>
        <w:rPr>
          <w:rFonts w:hint="eastAsia" w:ascii="宋体" w:hAnsi="宋体" w:cs="宋体"/>
          <w:snapToGrid w:val="0"/>
          <w:kern w:val="0"/>
          <w:sz w:val="24"/>
          <w:szCs w:val="24"/>
        </w:rPr>
      </w:pPr>
      <w:r>
        <w:rPr>
          <w:rFonts w:hint="eastAsia" w:ascii="宋体" w:hAnsi="宋体" w:cs="宋体"/>
          <w:snapToGrid w:val="0"/>
          <w:kern w:val="0"/>
          <w:sz w:val="24"/>
          <w:szCs w:val="24"/>
        </w:rPr>
        <w:t xml:space="preserve">      △L—为</w:t>
      </w:r>
      <w:r>
        <w:rPr>
          <w:rFonts w:hint="eastAsia" w:ascii="宋体" w:hAnsi="宋体" w:cs="宋体"/>
          <w:snapToGrid w:val="0"/>
          <w:kern w:val="0"/>
          <w:sz w:val="24"/>
          <w:szCs w:val="24"/>
          <w:lang w:eastAsia="zh-CN"/>
        </w:rPr>
        <w:t>其他</w:t>
      </w:r>
      <w:r>
        <w:rPr>
          <w:rFonts w:hint="eastAsia" w:ascii="宋体" w:hAnsi="宋体" w:cs="宋体"/>
          <w:snapToGrid w:val="0"/>
          <w:kern w:val="0"/>
          <w:sz w:val="24"/>
          <w:szCs w:val="24"/>
        </w:rPr>
        <w:t>衰减作用的噪声级，dB（A）。</w:t>
      </w:r>
    </w:p>
    <w:p w14:paraId="0E44378A">
      <w:pPr>
        <w:widowControl/>
        <w:kinsoku w:val="0"/>
        <w:autoSpaceDE w:val="0"/>
        <w:autoSpaceDN w:val="0"/>
        <w:adjustRightInd w:val="0"/>
        <w:snapToGrid w:val="0"/>
        <w:spacing w:line="360" w:lineRule="auto"/>
        <w:ind w:firstLine="480"/>
        <w:jc w:val="left"/>
        <w:textAlignment w:val="baseline"/>
        <w:rPr>
          <w:rFonts w:hint="eastAsia" w:ascii="宋体" w:hAnsi="宋体" w:cs="宋体"/>
          <w:snapToGrid w:val="0"/>
          <w:kern w:val="0"/>
          <w:sz w:val="28"/>
          <w:szCs w:val="28"/>
        </w:rPr>
      </w:pPr>
      <w:r>
        <w:rPr>
          <w:rFonts w:hint="eastAsia" w:ascii="宋体" w:hAnsi="宋体" w:cs="宋体"/>
          <w:snapToGrid w:val="0"/>
          <w:kern w:val="0"/>
          <w:sz w:val="24"/>
          <w:szCs w:val="24"/>
        </w:rPr>
        <w:t>预测结果见表5.1-2。</w:t>
      </w:r>
    </w:p>
    <w:p w14:paraId="6A1358DC">
      <w:pPr>
        <w:widowControl/>
        <w:kinsoku w:val="0"/>
        <w:autoSpaceDE w:val="0"/>
        <w:autoSpaceDN w:val="0"/>
        <w:adjustRightInd w:val="0"/>
        <w:snapToGrid w:val="0"/>
        <w:jc w:val="center"/>
        <w:textAlignment w:val="baseline"/>
        <w:rPr>
          <w:rFonts w:hint="eastAsia" w:ascii="宋体" w:hAnsi="宋体" w:cs="宋体"/>
          <w:b/>
          <w:bCs/>
          <w:snapToGrid w:val="0"/>
          <w:kern w:val="0"/>
          <w:szCs w:val="21"/>
        </w:rPr>
      </w:pPr>
      <w:r>
        <w:rPr>
          <w:rFonts w:hint="eastAsia" w:ascii="宋体" w:hAnsi="宋体" w:cs="宋体"/>
          <w:b/>
          <w:bCs/>
          <w:snapToGrid w:val="0"/>
          <w:kern w:val="0"/>
          <w:szCs w:val="21"/>
        </w:rPr>
        <w:t>表5.1-2      施工期噪声预测结果一览表</w:t>
      </w:r>
    </w:p>
    <w:tbl>
      <w:tblPr>
        <w:tblStyle w:val="50"/>
        <w:tblW w:w="0" w:type="auto"/>
        <w:tblInd w:w="0" w:type="dxa"/>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autofit"/>
        <w:tblCellMar>
          <w:top w:w="0" w:type="dxa"/>
          <w:left w:w="108" w:type="dxa"/>
          <w:bottom w:w="0" w:type="dxa"/>
          <w:right w:w="108" w:type="dxa"/>
        </w:tblCellMar>
      </w:tblPr>
      <w:tblGrid>
        <w:gridCol w:w="1260"/>
        <w:gridCol w:w="896"/>
        <w:gridCol w:w="778"/>
        <w:gridCol w:w="774"/>
        <w:gridCol w:w="774"/>
        <w:gridCol w:w="774"/>
        <w:gridCol w:w="774"/>
        <w:gridCol w:w="774"/>
        <w:gridCol w:w="784"/>
        <w:gridCol w:w="774"/>
        <w:gridCol w:w="776"/>
      </w:tblGrid>
      <w:tr w14:paraId="36CC4C6B">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15" w:hRule="atLeast"/>
        </w:trPr>
        <w:tc>
          <w:tcPr>
            <w:tcW w:w="1260" w:type="dxa"/>
            <w:vMerge w:val="restart"/>
            <w:vAlign w:val="center"/>
          </w:tcPr>
          <w:p w14:paraId="0344E4D0">
            <w:pPr>
              <w:kinsoku w:val="0"/>
              <w:autoSpaceDE w:val="0"/>
              <w:autoSpaceDN w:val="0"/>
              <w:adjustRightInd w:val="0"/>
              <w:snapToGrid w:val="0"/>
              <w:spacing w:line="320" w:lineRule="exact"/>
              <w:jc w:val="center"/>
              <w:textAlignment w:val="baseline"/>
              <w:rPr>
                <w:rFonts w:hint="eastAsia" w:ascii="宋体" w:hAnsi="宋体" w:cs="宋体"/>
                <w:snapToGrid w:val="0"/>
                <w:kern w:val="0"/>
                <w:szCs w:val="21"/>
              </w:rPr>
            </w:pPr>
            <w:r>
              <w:rPr>
                <w:rFonts w:hint="eastAsia" w:ascii="宋体" w:hAnsi="宋体" w:cs="宋体"/>
                <w:snapToGrid w:val="0"/>
                <w:kern w:val="0"/>
                <w:szCs w:val="21"/>
              </w:rPr>
              <w:t>施工阶段</w:t>
            </w:r>
          </w:p>
        </w:tc>
        <w:tc>
          <w:tcPr>
            <w:tcW w:w="896" w:type="dxa"/>
            <w:vMerge w:val="restart"/>
            <w:vAlign w:val="center"/>
          </w:tcPr>
          <w:p w14:paraId="050AC0D4">
            <w:pPr>
              <w:kinsoku w:val="0"/>
              <w:autoSpaceDE w:val="0"/>
              <w:autoSpaceDN w:val="0"/>
              <w:adjustRightInd w:val="0"/>
              <w:snapToGrid w:val="0"/>
              <w:spacing w:line="320" w:lineRule="exact"/>
              <w:jc w:val="center"/>
              <w:textAlignment w:val="baseline"/>
              <w:rPr>
                <w:rFonts w:hint="eastAsia" w:ascii="宋体" w:hAnsi="宋体" w:cs="宋体"/>
                <w:snapToGrid w:val="0"/>
                <w:kern w:val="0"/>
                <w:szCs w:val="21"/>
              </w:rPr>
            </w:pPr>
            <w:r>
              <w:rPr>
                <w:rFonts w:hint="eastAsia" w:ascii="宋体" w:hAnsi="宋体" w:cs="宋体"/>
                <w:snapToGrid w:val="0"/>
                <w:kern w:val="0"/>
                <w:szCs w:val="21"/>
              </w:rPr>
              <w:t>施工机械</w:t>
            </w:r>
          </w:p>
        </w:tc>
        <w:tc>
          <w:tcPr>
            <w:tcW w:w="5432" w:type="dxa"/>
            <w:gridSpan w:val="7"/>
            <w:vAlign w:val="center"/>
          </w:tcPr>
          <w:p w14:paraId="08944084">
            <w:pPr>
              <w:kinsoku w:val="0"/>
              <w:autoSpaceDE w:val="0"/>
              <w:autoSpaceDN w:val="0"/>
              <w:adjustRightInd w:val="0"/>
              <w:snapToGrid w:val="0"/>
              <w:spacing w:line="320" w:lineRule="exact"/>
              <w:jc w:val="center"/>
              <w:textAlignment w:val="baseline"/>
              <w:rPr>
                <w:rFonts w:hint="eastAsia" w:ascii="宋体" w:hAnsi="宋体" w:cs="宋体"/>
                <w:snapToGrid w:val="0"/>
                <w:kern w:val="0"/>
                <w:szCs w:val="21"/>
              </w:rPr>
            </w:pPr>
            <w:r>
              <w:rPr>
                <w:rFonts w:hint="eastAsia" w:ascii="宋体" w:hAnsi="宋体" w:cs="宋体"/>
                <w:snapToGrid w:val="0"/>
                <w:kern w:val="0"/>
                <w:szCs w:val="21"/>
              </w:rPr>
              <w:t>X（m）处声压级</w:t>
            </w:r>
            <w:r>
              <w:rPr>
                <w:rFonts w:ascii="宋体" w:hAnsi="宋体" w:cs="宋体"/>
                <w:snapToGrid w:val="0"/>
                <w:kern w:val="0"/>
                <w:szCs w:val="21"/>
              </w:rPr>
              <w:t>dB（A）</w:t>
            </w:r>
          </w:p>
        </w:tc>
        <w:tc>
          <w:tcPr>
            <w:tcW w:w="1550" w:type="dxa"/>
            <w:gridSpan w:val="2"/>
            <w:vAlign w:val="center"/>
          </w:tcPr>
          <w:p w14:paraId="3A7BB49A">
            <w:pPr>
              <w:kinsoku w:val="0"/>
              <w:autoSpaceDE w:val="0"/>
              <w:autoSpaceDN w:val="0"/>
              <w:adjustRightInd w:val="0"/>
              <w:snapToGrid w:val="0"/>
              <w:spacing w:line="320" w:lineRule="exact"/>
              <w:jc w:val="center"/>
              <w:textAlignment w:val="baseline"/>
              <w:rPr>
                <w:rFonts w:hint="eastAsia" w:ascii="宋体" w:hAnsi="宋体" w:cs="宋体"/>
                <w:snapToGrid w:val="0"/>
                <w:kern w:val="0"/>
                <w:szCs w:val="21"/>
              </w:rPr>
            </w:pPr>
            <w:r>
              <w:rPr>
                <w:rFonts w:hint="eastAsia" w:ascii="宋体" w:hAnsi="宋体" w:cs="宋体"/>
                <w:snapToGrid w:val="0"/>
                <w:kern w:val="0"/>
                <w:szCs w:val="21"/>
              </w:rPr>
              <w:t>标准dB（A）</w:t>
            </w:r>
          </w:p>
        </w:tc>
      </w:tr>
      <w:tr w14:paraId="6AFA3DB6">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15" w:hRule="atLeast"/>
        </w:trPr>
        <w:tc>
          <w:tcPr>
            <w:tcW w:w="1260" w:type="dxa"/>
            <w:vMerge w:val="continue"/>
            <w:vAlign w:val="center"/>
          </w:tcPr>
          <w:p w14:paraId="569C7AF6">
            <w:pPr>
              <w:kinsoku w:val="0"/>
              <w:autoSpaceDE w:val="0"/>
              <w:autoSpaceDN w:val="0"/>
              <w:adjustRightInd w:val="0"/>
              <w:snapToGrid w:val="0"/>
              <w:spacing w:line="320" w:lineRule="exact"/>
              <w:jc w:val="center"/>
              <w:textAlignment w:val="baseline"/>
              <w:rPr>
                <w:rFonts w:hint="eastAsia" w:ascii="宋体" w:hAnsi="宋体" w:cs="宋体"/>
                <w:snapToGrid w:val="0"/>
                <w:kern w:val="0"/>
                <w:szCs w:val="21"/>
              </w:rPr>
            </w:pPr>
          </w:p>
        </w:tc>
        <w:tc>
          <w:tcPr>
            <w:tcW w:w="896" w:type="dxa"/>
            <w:vMerge w:val="continue"/>
            <w:vAlign w:val="center"/>
          </w:tcPr>
          <w:p w14:paraId="4C262441">
            <w:pPr>
              <w:kinsoku w:val="0"/>
              <w:autoSpaceDE w:val="0"/>
              <w:autoSpaceDN w:val="0"/>
              <w:adjustRightInd w:val="0"/>
              <w:snapToGrid w:val="0"/>
              <w:spacing w:line="320" w:lineRule="exact"/>
              <w:jc w:val="center"/>
              <w:textAlignment w:val="baseline"/>
              <w:rPr>
                <w:rFonts w:hint="eastAsia" w:ascii="宋体" w:hAnsi="宋体" w:cs="宋体"/>
                <w:snapToGrid w:val="0"/>
                <w:kern w:val="0"/>
                <w:szCs w:val="21"/>
              </w:rPr>
            </w:pPr>
          </w:p>
        </w:tc>
        <w:tc>
          <w:tcPr>
            <w:tcW w:w="778" w:type="dxa"/>
            <w:vAlign w:val="center"/>
          </w:tcPr>
          <w:p w14:paraId="6E49B93D">
            <w:pPr>
              <w:kinsoku w:val="0"/>
              <w:autoSpaceDE w:val="0"/>
              <w:autoSpaceDN w:val="0"/>
              <w:adjustRightInd w:val="0"/>
              <w:snapToGrid w:val="0"/>
              <w:spacing w:line="320" w:lineRule="exact"/>
              <w:jc w:val="center"/>
              <w:textAlignment w:val="baseline"/>
              <w:rPr>
                <w:rFonts w:hint="eastAsia" w:ascii="宋体" w:hAnsi="宋体" w:cs="宋体"/>
                <w:snapToGrid w:val="0"/>
                <w:kern w:val="0"/>
                <w:szCs w:val="21"/>
              </w:rPr>
            </w:pPr>
            <w:r>
              <w:rPr>
                <w:rFonts w:hint="eastAsia" w:ascii="宋体" w:hAnsi="宋体" w:cs="宋体"/>
                <w:snapToGrid w:val="0"/>
                <w:kern w:val="0"/>
                <w:szCs w:val="21"/>
              </w:rPr>
              <w:t>5</w:t>
            </w:r>
          </w:p>
        </w:tc>
        <w:tc>
          <w:tcPr>
            <w:tcW w:w="774" w:type="dxa"/>
            <w:vAlign w:val="center"/>
          </w:tcPr>
          <w:p w14:paraId="1D543B05">
            <w:pPr>
              <w:kinsoku w:val="0"/>
              <w:autoSpaceDE w:val="0"/>
              <w:autoSpaceDN w:val="0"/>
              <w:adjustRightInd w:val="0"/>
              <w:snapToGrid w:val="0"/>
              <w:spacing w:line="320" w:lineRule="exact"/>
              <w:jc w:val="center"/>
              <w:textAlignment w:val="baseline"/>
              <w:rPr>
                <w:rFonts w:hint="eastAsia" w:ascii="宋体" w:hAnsi="宋体" w:cs="宋体"/>
                <w:snapToGrid w:val="0"/>
                <w:kern w:val="0"/>
                <w:szCs w:val="21"/>
              </w:rPr>
            </w:pPr>
            <w:r>
              <w:rPr>
                <w:rFonts w:hint="eastAsia" w:ascii="宋体" w:hAnsi="宋体" w:cs="宋体"/>
                <w:snapToGrid w:val="0"/>
                <w:kern w:val="0"/>
                <w:szCs w:val="21"/>
              </w:rPr>
              <w:t>10</w:t>
            </w:r>
          </w:p>
        </w:tc>
        <w:tc>
          <w:tcPr>
            <w:tcW w:w="774" w:type="dxa"/>
            <w:vAlign w:val="center"/>
          </w:tcPr>
          <w:p w14:paraId="4368EAFC">
            <w:pPr>
              <w:kinsoku w:val="0"/>
              <w:autoSpaceDE w:val="0"/>
              <w:autoSpaceDN w:val="0"/>
              <w:adjustRightInd w:val="0"/>
              <w:snapToGrid w:val="0"/>
              <w:spacing w:line="320" w:lineRule="exact"/>
              <w:jc w:val="center"/>
              <w:textAlignment w:val="baseline"/>
              <w:rPr>
                <w:rFonts w:hint="eastAsia" w:ascii="宋体" w:hAnsi="宋体" w:cs="宋体"/>
                <w:snapToGrid w:val="0"/>
                <w:kern w:val="0"/>
                <w:szCs w:val="21"/>
              </w:rPr>
            </w:pPr>
            <w:r>
              <w:rPr>
                <w:rFonts w:hint="eastAsia" w:ascii="宋体" w:hAnsi="宋体" w:cs="宋体"/>
                <w:snapToGrid w:val="0"/>
                <w:kern w:val="0"/>
                <w:szCs w:val="21"/>
              </w:rPr>
              <w:t>20</w:t>
            </w:r>
          </w:p>
        </w:tc>
        <w:tc>
          <w:tcPr>
            <w:tcW w:w="774" w:type="dxa"/>
            <w:vAlign w:val="center"/>
          </w:tcPr>
          <w:p w14:paraId="2B0B99EB">
            <w:pPr>
              <w:kinsoku w:val="0"/>
              <w:autoSpaceDE w:val="0"/>
              <w:autoSpaceDN w:val="0"/>
              <w:adjustRightInd w:val="0"/>
              <w:snapToGrid w:val="0"/>
              <w:spacing w:line="320" w:lineRule="exact"/>
              <w:jc w:val="center"/>
              <w:textAlignment w:val="baseline"/>
              <w:rPr>
                <w:rFonts w:hint="eastAsia" w:ascii="宋体" w:hAnsi="宋体" w:cs="宋体"/>
                <w:snapToGrid w:val="0"/>
                <w:kern w:val="0"/>
                <w:szCs w:val="21"/>
              </w:rPr>
            </w:pPr>
            <w:r>
              <w:rPr>
                <w:rFonts w:hint="eastAsia" w:ascii="宋体" w:hAnsi="宋体" w:cs="宋体"/>
                <w:snapToGrid w:val="0"/>
                <w:kern w:val="0"/>
                <w:szCs w:val="21"/>
              </w:rPr>
              <w:t>30</w:t>
            </w:r>
          </w:p>
        </w:tc>
        <w:tc>
          <w:tcPr>
            <w:tcW w:w="774" w:type="dxa"/>
            <w:vAlign w:val="center"/>
          </w:tcPr>
          <w:p w14:paraId="771C9413">
            <w:pPr>
              <w:kinsoku w:val="0"/>
              <w:autoSpaceDE w:val="0"/>
              <w:autoSpaceDN w:val="0"/>
              <w:adjustRightInd w:val="0"/>
              <w:snapToGrid w:val="0"/>
              <w:spacing w:line="320" w:lineRule="exact"/>
              <w:jc w:val="center"/>
              <w:textAlignment w:val="baseline"/>
              <w:rPr>
                <w:rFonts w:hint="eastAsia" w:ascii="宋体" w:hAnsi="宋体" w:cs="宋体"/>
                <w:snapToGrid w:val="0"/>
                <w:kern w:val="0"/>
                <w:szCs w:val="21"/>
              </w:rPr>
            </w:pPr>
            <w:r>
              <w:rPr>
                <w:rFonts w:hint="eastAsia" w:ascii="宋体" w:hAnsi="宋体" w:cs="宋体"/>
                <w:snapToGrid w:val="0"/>
                <w:kern w:val="0"/>
                <w:szCs w:val="21"/>
              </w:rPr>
              <w:t>50</w:t>
            </w:r>
          </w:p>
        </w:tc>
        <w:tc>
          <w:tcPr>
            <w:tcW w:w="774" w:type="dxa"/>
            <w:vAlign w:val="center"/>
          </w:tcPr>
          <w:p w14:paraId="1E699697">
            <w:pPr>
              <w:kinsoku w:val="0"/>
              <w:autoSpaceDE w:val="0"/>
              <w:autoSpaceDN w:val="0"/>
              <w:adjustRightInd w:val="0"/>
              <w:snapToGrid w:val="0"/>
              <w:spacing w:line="320" w:lineRule="exact"/>
              <w:jc w:val="center"/>
              <w:textAlignment w:val="baseline"/>
              <w:rPr>
                <w:rFonts w:hint="eastAsia" w:ascii="宋体" w:hAnsi="宋体" w:cs="宋体"/>
                <w:snapToGrid w:val="0"/>
                <w:kern w:val="0"/>
                <w:szCs w:val="21"/>
              </w:rPr>
            </w:pPr>
            <w:r>
              <w:rPr>
                <w:rFonts w:hint="eastAsia" w:ascii="宋体" w:hAnsi="宋体" w:cs="宋体"/>
                <w:snapToGrid w:val="0"/>
                <w:kern w:val="0"/>
                <w:szCs w:val="21"/>
              </w:rPr>
              <w:t>70</w:t>
            </w:r>
          </w:p>
        </w:tc>
        <w:tc>
          <w:tcPr>
            <w:tcW w:w="784" w:type="dxa"/>
            <w:vAlign w:val="center"/>
          </w:tcPr>
          <w:p w14:paraId="53C2D1BB">
            <w:pPr>
              <w:kinsoku w:val="0"/>
              <w:autoSpaceDE w:val="0"/>
              <w:autoSpaceDN w:val="0"/>
              <w:adjustRightInd w:val="0"/>
              <w:snapToGrid w:val="0"/>
              <w:spacing w:line="320" w:lineRule="exact"/>
              <w:jc w:val="center"/>
              <w:textAlignment w:val="baseline"/>
              <w:rPr>
                <w:rFonts w:hint="eastAsia" w:ascii="宋体" w:hAnsi="宋体" w:cs="宋体"/>
                <w:snapToGrid w:val="0"/>
                <w:kern w:val="0"/>
                <w:szCs w:val="21"/>
              </w:rPr>
            </w:pPr>
            <w:r>
              <w:rPr>
                <w:rFonts w:hint="eastAsia" w:ascii="宋体" w:hAnsi="宋体" w:cs="宋体"/>
                <w:snapToGrid w:val="0"/>
                <w:kern w:val="0"/>
                <w:szCs w:val="21"/>
              </w:rPr>
              <w:t>100</w:t>
            </w:r>
          </w:p>
        </w:tc>
        <w:tc>
          <w:tcPr>
            <w:tcW w:w="774" w:type="dxa"/>
            <w:vAlign w:val="center"/>
          </w:tcPr>
          <w:p w14:paraId="73F4D995">
            <w:pPr>
              <w:kinsoku w:val="0"/>
              <w:autoSpaceDE w:val="0"/>
              <w:autoSpaceDN w:val="0"/>
              <w:adjustRightInd w:val="0"/>
              <w:snapToGrid w:val="0"/>
              <w:spacing w:line="320" w:lineRule="exact"/>
              <w:jc w:val="center"/>
              <w:textAlignment w:val="baseline"/>
              <w:rPr>
                <w:rFonts w:hint="eastAsia" w:ascii="宋体" w:hAnsi="宋体" w:cs="宋体"/>
                <w:snapToGrid w:val="0"/>
                <w:kern w:val="0"/>
                <w:szCs w:val="21"/>
              </w:rPr>
            </w:pPr>
            <w:r>
              <w:rPr>
                <w:rFonts w:hint="eastAsia" w:ascii="宋体" w:hAnsi="宋体" w:cs="宋体"/>
                <w:snapToGrid w:val="0"/>
                <w:kern w:val="0"/>
                <w:szCs w:val="21"/>
              </w:rPr>
              <w:t>昼间</w:t>
            </w:r>
          </w:p>
        </w:tc>
        <w:tc>
          <w:tcPr>
            <w:tcW w:w="776" w:type="dxa"/>
            <w:vAlign w:val="center"/>
          </w:tcPr>
          <w:p w14:paraId="134C237D">
            <w:pPr>
              <w:kinsoku w:val="0"/>
              <w:autoSpaceDE w:val="0"/>
              <w:autoSpaceDN w:val="0"/>
              <w:adjustRightInd w:val="0"/>
              <w:snapToGrid w:val="0"/>
              <w:spacing w:line="320" w:lineRule="exact"/>
              <w:jc w:val="center"/>
              <w:textAlignment w:val="baseline"/>
              <w:rPr>
                <w:rFonts w:hint="eastAsia" w:ascii="宋体" w:hAnsi="宋体" w:cs="宋体"/>
                <w:snapToGrid w:val="0"/>
                <w:kern w:val="0"/>
                <w:szCs w:val="21"/>
              </w:rPr>
            </w:pPr>
            <w:r>
              <w:rPr>
                <w:rFonts w:hint="eastAsia" w:ascii="宋体" w:hAnsi="宋体" w:cs="宋体"/>
                <w:snapToGrid w:val="0"/>
                <w:kern w:val="0"/>
                <w:szCs w:val="21"/>
              </w:rPr>
              <w:t>夜间</w:t>
            </w:r>
          </w:p>
        </w:tc>
      </w:tr>
      <w:tr w14:paraId="1FAB1075">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15" w:hRule="atLeast"/>
        </w:trPr>
        <w:tc>
          <w:tcPr>
            <w:tcW w:w="1260" w:type="dxa"/>
            <w:vMerge w:val="restart"/>
            <w:vAlign w:val="center"/>
          </w:tcPr>
          <w:p w14:paraId="1D1E5E03">
            <w:pPr>
              <w:kinsoku w:val="0"/>
              <w:autoSpaceDE w:val="0"/>
              <w:autoSpaceDN w:val="0"/>
              <w:adjustRightInd w:val="0"/>
              <w:snapToGrid w:val="0"/>
              <w:spacing w:line="320" w:lineRule="exact"/>
              <w:jc w:val="center"/>
              <w:textAlignment w:val="baseline"/>
              <w:rPr>
                <w:rFonts w:hint="eastAsia" w:ascii="宋体" w:hAnsi="宋体" w:cs="宋体"/>
                <w:snapToGrid w:val="0"/>
                <w:kern w:val="0"/>
                <w:szCs w:val="21"/>
              </w:rPr>
            </w:pPr>
            <w:r>
              <w:rPr>
                <w:rFonts w:hint="eastAsia" w:ascii="宋体" w:hAnsi="宋体" w:cs="宋体"/>
                <w:snapToGrid w:val="0"/>
                <w:kern w:val="0"/>
                <w:szCs w:val="21"/>
              </w:rPr>
              <w:t>设备安装施工</w:t>
            </w:r>
          </w:p>
        </w:tc>
        <w:tc>
          <w:tcPr>
            <w:tcW w:w="896" w:type="dxa"/>
            <w:vAlign w:val="center"/>
          </w:tcPr>
          <w:p w14:paraId="31096C56">
            <w:pPr>
              <w:kinsoku w:val="0"/>
              <w:autoSpaceDE w:val="0"/>
              <w:autoSpaceDN w:val="0"/>
              <w:adjustRightInd w:val="0"/>
              <w:snapToGrid w:val="0"/>
              <w:spacing w:line="320" w:lineRule="exact"/>
              <w:jc w:val="center"/>
              <w:textAlignment w:val="baseline"/>
              <w:rPr>
                <w:rFonts w:hint="eastAsia" w:ascii="宋体" w:hAnsi="宋体" w:cs="宋体"/>
                <w:snapToGrid w:val="0"/>
                <w:kern w:val="0"/>
                <w:szCs w:val="21"/>
              </w:rPr>
            </w:pPr>
            <w:r>
              <w:rPr>
                <w:rFonts w:hint="eastAsia" w:ascii="宋体" w:hAnsi="宋体" w:cs="宋体"/>
                <w:snapToGrid w:val="0"/>
                <w:kern w:val="0"/>
                <w:szCs w:val="21"/>
              </w:rPr>
              <w:t>电钻</w:t>
            </w:r>
          </w:p>
        </w:tc>
        <w:tc>
          <w:tcPr>
            <w:tcW w:w="778" w:type="dxa"/>
            <w:vAlign w:val="center"/>
          </w:tcPr>
          <w:p w14:paraId="518DF183">
            <w:pPr>
              <w:kinsoku w:val="0"/>
              <w:autoSpaceDE w:val="0"/>
              <w:autoSpaceDN w:val="0"/>
              <w:adjustRightInd w:val="0"/>
              <w:snapToGrid w:val="0"/>
              <w:spacing w:line="320" w:lineRule="exact"/>
              <w:jc w:val="center"/>
              <w:textAlignment w:val="baseline"/>
              <w:rPr>
                <w:rFonts w:hint="eastAsia" w:ascii="宋体" w:hAnsi="宋体" w:cs="宋体"/>
                <w:snapToGrid w:val="0"/>
                <w:kern w:val="0"/>
                <w:szCs w:val="21"/>
              </w:rPr>
            </w:pPr>
            <w:r>
              <w:rPr>
                <w:rFonts w:hint="eastAsia" w:ascii="宋体" w:hAnsi="宋体" w:cs="宋体"/>
                <w:snapToGrid w:val="0"/>
                <w:kern w:val="0"/>
                <w:szCs w:val="21"/>
              </w:rPr>
              <w:t>105</w:t>
            </w:r>
          </w:p>
        </w:tc>
        <w:tc>
          <w:tcPr>
            <w:tcW w:w="774" w:type="dxa"/>
            <w:vAlign w:val="center"/>
          </w:tcPr>
          <w:p w14:paraId="4D77195D">
            <w:pPr>
              <w:kinsoku w:val="0"/>
              <w:autoSpaceDE w:val="0"/>
              <w:autoSpaceDN w:val="0"/>
              <w:adjustRightInd w:val="0"/>
              <w:snapToGrid w:val="0"/>
              <w:spacing w:line="320" w:lineRule="exact"/>
              <w:jc w:val="center"/>
              <w:textAlignment w:val="baseline"/>
              <w:rPr>
                <w:rFonts w:hint="eastAsia" w:ascii="宋体" w:hAnsi="宋体" w:cs="宋体"/>
                <w:snapToGrid w:val="0"/>
                <w:kern w:val="0"/>
                <w:szCs w:val="21"/>
              </w:rPr>
            </w:pPr>
            <w:r>
              <w:rPr>
                <w:rFonts w:hint="eastAsia" w:ascii="宋体" w:hAnsi="宋体" w:cs="宋体"/>
                <w:snapToGrid w:val="0"/>
                <w:kern w:val="0"/>
                <w:szCs w:val="21"/>
              </w:rPr>
              <w:t>85</w:t>
            </w:r>
          </w:p>
        </w:tc>
        <w:tc>
          <w:tcPr>
            <w:tcW w:w="774" w:type="dxa"/>
            <w:vAlign w:val="center"/>
          </w:tcPr>
          <w:p w14:paraId="6D14D867">
            <w:pPr>
              <w:kinsoku w:val="0"/>
              <w:autoSpaceDE w:val="0"/>
              <w:autoSpaceDN w:val="0"/>
              <w:adjustRightInd w:val="0"/>
              <w:snapToGrid w:val="0"/>
              <w:spacing w:line="320" w:lineRule="exact"/>
              <w:jc w:val="center"/>
              <w:textAlignment w:val="baseline"/>
              <w:rPr>
                <w:rFonts w:hint="eastAsia" w:ascii="宋体" w:hAnsi="宋体" w:cs="宋体"/>
                <w:snapToGrid w:val="0"/>
                <w:kern w:val="0"/>
                <w:szCs w:val="21"/>
              </w:rPr>
            </w:pPr>
            <w:r>
              <w:rPr>
                <w:rFonts w:hint="eastAsia" w:ascii="宋体" w:hAnsi="宋体" w:cs="宋体"/>
                <w:snapToGrid w:val="0"/>
                <w:kern w:val="0"/>
                <w:szCs w:val="21"/>
              </w:rPr>
              <w:t>79</w:t>
            </w:r>
          </w:p>
        </w:tc>
        <w:tc>
          <w:tcPr>
            <w:tcW w:w="774" w:type="dxa"/>
            <w:vAlign w:val="center"/>
          </w:tcPr>
          <w:p w14:paraId="53BEDC88">
            <w:pPr>
              <w:kinsoku w:val="0"/>
              <w:autoSpaceDE w:val="0"/>
              <w:autoSpaceDN w:val="0"/>
              <w:adjustRightInd w:val="0"/>
              <w:snapToGrid w:val="0"/>
              <w:spacing w:line="320" w:lineRule="exact"/>
              <w:jc w:val="center"/>
              <w:textAlignment w:val="baseline"/>
              <w:rPr>
                <w:rFonts w:hint="eastAsia" w:ascii="宋体" w:hAnsi="宋体" w:cs="宋体"/>
                <w:snapToGrid w:val="0"/>
                <w:kern w:val="0"/>
                <w:szCs w:val="21"/>
              </w:rPr>
            </w:pPr>
            <w:r>
              <w:rPr>
                <w:rFonts w:hint="eastAsia" w:ascii="宋体" w:hAnsi="宋体" w:cs="宋体"/>
                <w:snapToGrid w:val="0"/>
                <w:kern w:val="0"/>
                <w:szCs w:val="21"/>
              </w:rPr>
              <w:t>75</w:t>
            </w:r>
          </w:p>
        </w:tc>
        <w:tc>
          <w:tcPr>
            <w:tcW w:w="774" w:type="dxa"/>
            <w:vAlign w:val="center"/>
          </w:tcPr>
          <w:p w14:paraId="5C1F23A6">
            <w:pPr>
              <w:kinsoku w:val="0"/>
              <w:autoSpaceDE w:val="0"/>
              <w:autoSpaceDN w:val="0"/>
              <w:adjustRightInd w:val="0"/>
              <w:snapToGrid w:val="0"/>
              <w:spacing w:line="320" w:lineRule="exact"/>
              <w:jc w:val="center"/>
              <w:textAlignment w:val="baseline"/>
              <w:rPr>
                <w:rFonts w:hint="eastAsia" w:ascii="宋体" w:hAnsi="宋体" w:cs="宋体"/>
                <w:snapToGrid w:val="0"/>
                <w:kern w:val="0"/>
                <w:szCs w:val="21"/>
              </w:rPr>
            </w:pPr>
            <w:r>
              <w:rPr>
                <w:rFonts w:hint="eastAsia" w:ascii="宋体" w:hAnsi="宋体" w:cs="宋体"/>
                <w:snapToGrid w:val="0"/>
                <w:kern w:val="0"/>
                <w:szCs w:val="21"/>
              </w:rPr>
              <w:t>71</w:t>
            </w:r>
          </w:p>
        </w:tc>
        <w:tc>
          <w:tcPr>
            <w:tcW w:w="774" w:type="dxa"/>
            <w:vAlign w:val="center"/>
          </w:tcPr>
          <w:p w14:paraId="31A773C4">
            <w:pPr>
              <w:kinsoku w:val="0"/>
              <w:autoSpaceDE w:val="0"/>
              <w:autoSpaceDN w:val="0"/>
              <w:adjustRightInd w:val="0"/>
              <w:snapToGrid w:val="0"/>
              <w:spacing w:line="320" w:lineRule="exact"/>
              <w:jc w:val="center"/>
              <w:textAlignment w:val="baseline"/>
              <w:rPr>
                <w:rFonts w:hint="eastAsia" w:ascii="宋体" w:hAnsi="宋体" w:cs="宋体"/>
                <w:snapToGrid w:val="0"/>
                <w:kern w:val="0"/>
                <w:szCs w:val="21"/>
              </w:rPr>
            </w:pPr>
            <w:r>
              <w:rPr>
                <w:rFonts w:hint="eastAsia" w:ascii="宋体" w:hAnsi="宋体" w:cs="宋体"/>
                <w:snapToGrid w:val="0"/>
                <w:kern w:val="0"/>
                <w:szCs w:val="21"/>
              </w:rPr>
              <w:t>68</w:t>
            </w:r>
          </w:p>
        </w:tc>
        <w:tc>
          <w:tcPr>
            <w:tcW w:w="784" w:type="dxa"/>
            <w:vAlign w:val="center"/>
          </w:tcPr>
          <w:p w14:paraId="00110597">
            <w:pPr>
              <w:kinsoku w:val="0"/>
              <w:autoSpaceDE w:val="0"/>
              <w:autoSpaceDN w:val="0"/>
              <w:adjustRightInd w:val="0"/>
              <w:snapToGrid w:val="0"/>
              <w:spacing w:line="320" w:lineRule="exact"/>
              <w:jc w:val="center"/>
              <w:textAlignment w:val="baseline"/>
              <w:rPr>
                <w:rFonts w:hint="eastAsia" w:ascii="宋体" w:hAnsi="宋体" w:cs="宋体"/>
                <w:snapToGrid w:val="0"/>
                <w:kern w:val="0"/>
                <w:szCs w:val="21"/>
              </w:rPr>
            </w:pPr>
            <w:r>
              <w:rPr>
                <w:rFonts w:hint="eastAsia" w:ascii="宋体" w:hAnsi="宋体" w:cs="宋体"/>
                <w:snapToGrid w:val="0"/>
                <w:kern w:val="0"/>
                <w:szCs w:val="21"/>
              </w:rPr>
              <w:t>65</w:t>
            </w:r>
          </w:p>
        </w:tc>
        <w:tc>
          <w:tcPr>
            <w:tcW w:w="774" w:type="dxa"/>
            <w:vAlign w:val="center"/>
          </w:tcPr>
          <w:p w14:paraId="28102E19">
            <w:pPr>
              <w:kinsoku w:val="0"/>
              <w:autoSpaceDE w:val="0"/>
              <w:autoSpaceDN w:val="0"/>
              <w:adjustRightInd w:val="0"/>
              <w:snapToGrid w:val="0"/>
              <w:spacing w:line="320" w:lineRule="exact"/>
              <w:jc w:val="center"/>
              <w:textAlignment w:val="baseline"/>
              <w:rPr>
                <w:rFonts w:hint="eastAsia" w:ascii="宋体" w:hAnsi="宋体" w:cs="宋体"/>
                <w:snapToGrid w:val="0"/>
                <w:kern w:val="0"/>
                <w:szCs w:val="21"/>
              </w:rPr>
            </w:pPr>
            <w:r>
              <w:rPr>
                <w:rFonts w:hint="eastAsia" w:ascii="宋体" w:hAnsi="宋体" w:cs="宋体"/>
                <w:snapToGrid w:val="0"/>
                <w:kern w:val="0"/>
                <w:szCs w:val="21"/>
              </w:rPr>
              <w:t>70</w:t>
            </w:r>
          </w:p>
        </w:tc>
        <w:tc>
          <w:tcPr>
            <w:tcW w:w="776" w:type="dxa"/>
            <w:vAlign w:val="center"/>
          </w:tcPr>
          <w:p w14:paraId="0FC5506D">
            <w:pPr>
              <w:kinsoku w:val="0"/>
              <w:autoSpaceDE w:val="0"/>
              <w:autoSpaceDN w:val="0"/>
              <w:adjustRightInd w:val="0"/>
              <w:snapToGrid w:val="0"/>
              <w:spacing w:line="320" w:lineRule="exact"/>
              <w:jc w:val="center"/>
              <w:textAlignment w:val="baseline"/>
              <w:rPr>
                <w:rFonts w:hint="eastAsia" w:ascii="宋体" w:hAnsi="宋体" w:cs="宋体"/>
                <w:snapToGrid w:val="0"/>
                <w:kern w:val="0"/>
                <w:szCs w:val="21"/>
              </w:rPr>
            </w:pPr>
            <w:r>
              <w:rPr>
                <w:rFonts w:hint="eastAsia" w:ascii="宋体" w:hAnsi="宋体" w:cs="宋体"/>
                <w:snapToGrid w:val="0"/>
                <w:kern w:val="0"/>
                <w:szCs w:val="21"/>
              </w:rPr>
              <w:t>55</w:t>
            </w:r>
          </w:p>
        </w:tc>
      </w:tr>
      <w:tr w14:paraId="7C5B3181">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15" w:hRule="atLeast"/>
        </w:trPr>
        <w:tc>
          <w:tcPr>
            <w:tcW w:w="1260" w:type="dxa"/>
            <w:vMerge w:val="continue"/>
            <w:vAlign w:val="center"/>
          </w:tcPr>
          <w:p w14:paraId="00A32E73">
            <w:pPr>
              <w:kinsoku w:val="0"/>
              <w:autoSpaceDE w:val="0"/>
              <w:autoSpaceDN w:val="0"/>
              <w:adjustRightInd w:val="0"/>
              <w:snapToGrid w:val="0"/>
              <w:spacing w:line="320" w:lineRule="exact"/>
              <w:jc w:val="center"/>
              <w:textAlignment w:val="baseline"/>
              <w:rPr>
                <w:rFonts w:hint="eastAsia" w:ascii="宋体" w:hAnsi="宋体" w:cs="宋体"/>
                <w:snapToGrid w:val="0"/>
                <w:kern w:val="0"/>
                <w:szCs w:val="21"/>
              </w:rPr>
            </w:pPr>
          </w:p>
        </w:tc>
        <w:tc>
          <w:tcPr>
            <w:tcW w:w="896" w:type="dxa"/>
            <w:vAlign w:val="center"/>
          </w:tcPr>
          <w:p w14:paraId="0F39B25E">
            <w:pPr>
              <w:kinsoku w:val="0"/>
              <w:autoSpaceDE w:val="0"/>
              <w:autoSpaceDN w:val="0"/>
              <w:adjustRightInd w:val="0"/>
              <w:snapToGrid w:val="0"/>
              <w:spacing w:line="320" w:lineRule="exact"/>
              <w:jc w:val="center"/>
              <w:textAlignment w:val="baseline"/>
              <w:rPr>
                <w:rFonts w:hint="eastAsia" w:ascii="宋体" w:hAnsi="宋体" w:cs="宋体"/>
                <w:snapToGrid w:val="0"/>
                <w:kern w:val="0"/>
                <w:szCs w:val="21"/>
              </w:rPr>
            </w:pPr>
            <w:r>
              <w:rPr>
                <w:rFonts w:hint="eastAsia" w:ascii="宋体" w:hAnsi="宋体" w:cs="宋体"/>
                <w:snapToGrid w:val="0"/>
                <w:kern w:val="0"/>
                <w:szCs w:val="21"/>
              </w:rPr>
              <w:t>电焊机</w:t>
            </w:r>
          </w:p>
        </w:tc>
        <w:tc>
          <w:tcPr>
            <w:tcW w:w="778" w:type="dxa"/>
            <w:vAlign w:val="center"/>
          </w:tcPr>
          <w:p w14:paraId="337C89A8">
            <w:pPr>
              <w:kinsoku w:val="0"/>
              <w:autoSpaceDE w:val="0"/>
              <w:autoSpaceDN w:val="0"/>
              <w:adjustRightInd w:val="0"/>
              <w:snapToGrid w:val="0"/>
              <w:spacing w:line="320" w:lineRule="exact"/>
              <w:jc w:val="center"/>
              <w:textAlignment w:val="baseline"/>
              <w:rPr>
                <w:rFonts w:hint="eastAsia" w:ascii="宋体" w:hAnsi="宋体" w:cs="宋体"/>
                <w:snapToGrid w:val="0"/>
                <w:kern w:val="0"/>
                <w:szCs w:val="21"/>
              </w:rPr>
            </w:pPr>
            <w:r>
              <w:rPr>
                <w:rFonts w:hint="eastAsia" w:ascii="宋体" w:hAnsi="宋体" w:cs="宋体"/>
                <w:snapToGrid w:val="0"/>
                <w:kern w:val="0"/>
                <w:szCs w:val="21"/>
              </w:rPr>
              <w:t>95</w:t>
            </w:r>
          </w:p>
        </w:tc>
        <w:tc>
          <w:tcPr>
            <w:tcW w:w="774" w:type="dxa"/>
            <w:vAlign w:val="center"/>
          </w:tcPr>
          <w:p w14:paraId="4BB9B847">
            <w:pPr>
              <w:kinsoku w:val="0"/>
              <w:autoSpaceDE w:val="0"/>
              <w:autoSpaceDN w:val="0"/>
              <w:adjustRightInd w:val="0"/>
              <w:snapToGrid w:val="0"/>
              <w:spacing w:line="320" w:lineRule="exact"/>
              <w:jc w:val="center"/>
              <w:textAlignment w:val="baseline"/>
              <w:rPr>
                <w:rFonts w:hint="eastAsia" w:ascii="宋体" w:hAnsi="宋体" w:cs="宋体"/>
                <w:snapToGrid w:val="0"/>
                <w:kern w:val="0"/>
                <w:szCs w:val="21"/>
              </w:rPr>
            </w:pPr>
            <w:r>
              <w:rPr>
                <w:rFonts w:hint="eastAsia" w:ascii="宋体" w:hAnsi="宋体" w:cs="宋体"/>
                <w:snapToGrid w:val="0"/>
                <w:kern w:val="0"/>
                <w:szCs w:val="21"/>
              </w:rPr>
              <w:t>75</w:t>
            </w:r>
          </w:p>
        </w:tc>
        <w:tc>
          <w:tcPr>
            <w:tcW w:w="774" w:type="dxa"/>
            <w:vAlign w:val="center"/>
          </w:tcPr>
          <w:p w14:paraId="2EDF4D81">
            <w:pPr>
              <w:kinsoku w:val="0"/>
              <w:autoSpaceDE w:val="0"/>
              <w:autoSpaceDN w:val="0"/>
              <w:adjustRightInd w:val="0"/>
              <w:snapToGrid w:val="0"/>
              <w:spacing w:line="320" w:lineRule="exact"/>
              <w:jc w:val="center"/>
              <w:textAlignment w:val="baseline"/>
              <w:rPr>
                <w:rFonts w:hint="eastAsia" w:ascii="宋体" w:hAnsi="宋体" w:cs="宋体"/>
                <w:snapToGrid w:val="0"/>
                <w:kern w:val="0"/>
                <w:szCs w:val="21"/>
              </w:rPr>
            </w:pPr>
            <w:r>
              <w:rPr>
                <w:rFonts w:hint="eastAsia" w:ascii="宋体" w:hAnsi="宋体" w:cs="宋体"/>
                <w:snapToGrid w:val="0"/>
                <w:kern w:val="0"/>
                <w:szCs w:val="21"/>
              </w:rPr>
              <w:t>69</w:t>
            </w:r>
          </w:p>
        </w:tc>
        <w:tc>
          <w:tcPr>
            <w:tcW w:w="774" w:type="dxa"/>
            <w:vAlign w:val="center"/>
          </w:tcPr>
          <w:p w14:paraId="47AD1798">
            <w:pPr>
              <w:kinsoku w:val="0"/>
              <w:autoSpaceDE w:val="0"/>
              <w:autoSpaceDN w:val="0"/>
              <w:adjustRightInd w:val="0"/>
              <w:snapToGrid w:val="0"/>
              <w:spacing w:line="320" w:lineRule="exact"/>
              <w:jc w:val="center"/>
              <w:textAlignment w:val="baseline"/>
              <w:rPr>
                <w:rFonts w:hint="eastAsia" w:ascii="宋体" w:hAnsi="宋体" w:cs="宋体"/>
                <w:snapToGrid w:val="0"/>
                <w:kern w:val="0"/>
                <w:szCs w:val="21"/>
              </w:rPr>
            </w:pPr>
            <w:r>
              <w:rPr>
                <w:rFonts w:hint="eastAsia" w:ascii="宋体" w:hAnsi="宋体" w:cs="宋体"/>
                <w:snapToGrid w:val="0"/>
                <w:kern w:val="0"/>
                <w:szCs w:val="21"/>
              </w:rPr>
              <w:t>65</w:t>
            </w:r>
          </w:p>
        </w:tc>
        <w:tc>
          <w:tcPr>
            <w:tcW w:w="774" w:type="dxa"/>
            <w:vAlign w:val="center"/>
          </w:tcPr>
          <w:p w14:paraId="566EF1DE">
            <w:pPr>
              <w:kinsoku w:val="0"/>
              <w:autoSpaceDE w:val="0"/>
              <w:autoSpaceDN w:val="0"/>
              <w:adjustRightInd w:val="0"/>
              <w:snapToGrid w:val="0"/>
              <w:spacing w:line="320" w:lineRule="exact"/>
              <w:jc w:val="center"/>
              <w:textAlignment w:val="baseline"/>
              <w:rPr>
                <w:rFonts w:hint="eastAsia" w:ascii="宋体" w:hAnsi="宋体" w:cs="宋体"/>
                <w:snapToGrid w:val="0"/>
                <w:kern w:val="0"/>
                <w:szCs w:val="21"/>
              </w:rPr>
            </w:pPr>
            <w:r>
              <w:rPr>
                <w:rFonts w:hint="eastAsia" w:ascii="宋体" w:hAnsi="宋体" w:cs="宋体"/>
                <w:snapToGrid w:val="0"/>
                <w:kern w:val="0"/>
                <w:szCs w:val="21"/>
              </w:rPr>
              <w:t>61</w:t>
            </w:r>
          </w:p>
        </w:tc>
        <w:tc>
          <w:tcPr>
            <w:tcW w:w="774" w:type="dxa"/>
            <w:vAlign w:val="center"/>
          </w:tcPr>
          <w:p w14:paraId="7941AEB5">
            <w:pPr>
              <w:kinsoku w:val="0"/>
              <w:autoSpaceDE w:val="0"/>
              <w:autoSpaceDN w:val="0"/>
              <w:adjustRightInd w:val="0"/>
              <w:snapToGrid w:val="0"/>
              <w:spacing w:line="320" w:lineRule="exact"/>
              <w:jc w:val="center"/>
              <w:textAlignment w:val="baseline"/>
              <w:rPr>
                <w:rFonts w:hint="eastAsia" w:ascii="宋体" w:hAnsi="宋体" w:cs="宋体"/>
                <w:snapToGrid w:val="0"/>
                <w:kern w:val="0"/>
                <w:szCs w:val="21"/>
              </w:rPr>
            </w:pPr>
            <w:r>
              <w:rPr>
                <w:rFonts w:hint="eastAsia" w:ascii="宋体" w:hAnsi="宋体" w:cs="宋体"/>
                <w:snapToGrid w:val="0"/>
                <w:kern w:val="0"/>
                <w:szCs w:val="21"/>
              </w:rPr>
              <w:t>58</w:t>
            </w:r>
          </w:p>
        </w:tc>
        <w:tc>
          <w:tcPr>
            <w:tcW w:w="784" w:type="dxa"/>
            <w:vAlign w:val="center"/>
          </w:tcPr>
          <w:p w14:paraId="67D84685">
            <w:pPr>
              <w:kinsoku w:val="0"/>
              <w:autoSpaceDE w:val="0"/>
              <w:autoSpaceDN w:val="0"/>
              <w:adjustRightInd w:val="0"/>
              <w:snapToGrid w:val="0"/>
              <w:spacing w:line="320" w:lineRule="exact"/>
              <w:jc w:val="center"/>
              <w:textAlignment w:val="baseline"/>
              <w:rPr>
                <w:rFonts w:hint="eastAsia" w:ascii="宋体" w:hAnsi="宋体" w:cs="宋体"/>
                <w:snapToGrid w:val="0"/>
                <w:kern w:val="0"/>
                <w:szCs w:val="21"/>
              </w:rPr>
            </w:pPr>
            <w:r>
              <w:rPr>
                <w:rFonts w:hint="eastAsia" w:ascii="宋体" w:hAnsi="宋体" w:cs="宋体"/>
                <w:snapToGrid w:val="0"/>
                <w:kern w:val="0"/>
                <w:szCs w:val="21"/>
              </w:rPr>
              <w:t>55</w:t>
            </w:r>
          </w:p>
        </w:tc>
        <w:tc>
          <w:tcPr>
            <w:tcW w:w="774" w:type="dxa"/>
            <w:vAlign w:val="center"/>
          </w:tcPr>
          <w:p w14:paraId="6F164464">
            <w:pPr>
              <w:kinsoku w:val="0"/>
              <w:autoSpaceDE w:val="0"/>
              <w:autoSpaceDN w:val="0"/>
              <w:adjustRightInd w:val="0"/>
              <w:snapToGrid w:val="0"/>
              <w:spacing w:line="320" w:lineRule="exact"/>
              <w:jc w:val="center"/>
              <w:textAlignment w:val="baseline"/>
              <w:rPr>
                <w:rFonts w:hint="eastAsia" w:ascii="宋体" w:hAnsi="宋体" w:cs="宋体"/>
                <w:snapToGrid w:val="0"/>
                <w:kern w:val="0"/>
                <w:szCs w:val="21"/>
              </w:rPr>
            </w:pPr>
            <w:r>
              <w:rPr>
                <w:rFonts w:hint="eastAsia" w:ascii="宋体" w:hAnsi="宋体" w:cs="宋体"/>
                <w:snapToGrid w:val="0"/>
                <w:kern w:val="0"/>
                <w:szCs w:val="21"/>
              </w:rPr>
              <w:t>70</w:t>
            </w:r>
          </w:p>
        </w:tc>
        <w:tc>
          <w:tcPr>
            <w:tcW w:w="776" w:type="dxa"/>
            <w:vAlign w:val="center"/>
          </w:tcPr>
          <w:p w14:paraId="444A95A2">
            <w:pPr>
              <w:kinsoku w:val="0"/>
              <w:autoSpaceDE w:val="0"/>
              <w:autoSpaceDN w:val="0"/>
              <w:adjustRightInd w:val="0"/>
              <w:snapToGrid w:val="0"/>
              <w:spacing w:line="320" w:lineRule="exact"/>
              <w:jc w:val="center"/>
              <w:textAlignment w:val="baseline"/>
              <w:rPr>
                <w:rFonts w:hint="eastAsia" w:ascii="宋体" w:hAnsi="宋体" w:cs="宋体"/>
                <w:snapToGrid w:val="0"/>
                <w:kern w:val="0"/>
                <w:szCs w:val="21"/>
              </w:rPr>
            </w:pPr>
            <w:r>
              <w:rPr>
                <w:rFonts w:hint="eastAsia" w:ascii="宋体" w:hAnsi="宋体" w:cs="宋体"/>
                <w:snapToGrid w:val="0"/>
                <w:kern w:val="0"/>
                <w:szCs w:val="21"/>
              </w:rPr>
              <w:t>55</w:t>
            </w:r>
          </w:p>
        </w:tc>
      </w:tr>
      <w:tr w14:paraId="0F6EA72B">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25" w:hRule="atLeast"/>
        </w:trPr>
        <w:tc>
          <w:tcPr>
            <w:tcW w:w="1260" w:type="dxa"/>
            <w:vMerge w:val="continue"/>
            <w:vAlign w:val="center"/>
          </w:tcPr>
          <w:p w14:paraId="518710E8">
            <w:pPr>
              <w:kinsoku w:val="0"/>
              <w:autoSpaceDE w:val="0"/>
              <w:autoSpaceDN w:val="0"/>
              <w:adjustRightInd w:val="0"/>
              <w:snapToGrid w:val="0"/>
              <w:spacing w:line="320" w:lineRule="exact"/>
              <w:jc w:val="center"/>
              <w:textAlignment w:val="baseline"/>
              <w:rPr>
                <w:rFonts w:hint="eastAsia" w:ascii="宋体" w:hAnsi="宋体" w:cs="宋体"/>
                <w:snapToGrid w:val="0"/>
                <w:kern w:val="0"/>
                <w:szCs w:val="21"/>
              </w:rPr>
            </w:pPr>
          </w:p>
        </w:tc>
        <w:tc>
          <w:tcPr>
            <w:tcW w:w="896" w:type="dxa"/>
            <w:vAlign w:val="center"/>
          </w:tcPr>
          <w:p w14:paraId="45A0759D">
            <w:pPr>
              <w:kinsoku w:val="0"/>
              <w:autoSpaceDE w:val="0"/>
              <w:autoSpaceDN w:val="0"/>
              <w:adjustRightInd w:val="0"/>
              <w:snapToGrid w:val="0"/>
              <w:spacing w:line="320" w:lineRule="exact"/>
              <w:jc w:val="center"/>
              <w:textAlignment w:val="baseline"/>
              <w:rPr>
                <w:rFonts w:hint="eastAsia" w:ascii="宋体" w:hAnsi="宋体" w:cs="宋体"/>
                <w:snapToGrid w:val="0"/>
                <w:kern w:val="0"/>
                <w:szCs w:val="21"/>
              </w:rPr>
            </w:pPr>
            <w:r>
              <w:rPr>
                <w:rFonts w:hint="eastAsia" w:ascii="宋体" w:hAnsi="宋体" w:cs="宋体"/>
                <w:snapToGrid w:val="0"/>
                <w:kern w:val="0"/>
                <w:szCs w:val="21"/>
              </w:rPr>
              <w:t>电锯</w:t>
            </w:r>
          </w:p>
        </w:tc>
        <w:tc>
          <w:tcPr>
            <w:tcW w:w="778" w:type="dxa"/>
            <w:vAlign w:val="center"/>
          </w:tcPr>
          <w:p w14:paraId="37CCE000">
            <w:pPr>
              <w:kinsoku w:val="0"/>
              <w:autoSpaceDE w:val="0"/>
              <w:autoSpaceDN w:val="0"/>
              <w:adjustRightInd w:val="0"/>
              <w:snapToGrid w:val="0"/>
              <w:spacing w:line="320" w:lineRule="exact"/>
              <w:jc w:val="center"/>
              <w:textAlignment w:val="baseline"/>
              <w:rPr>
                <w:rFonts w:hint="eastAsia" w:ascii="宋体" w:hAnsi="宋体" w:cs="宋体"/>
                <w:snapToGrid w:val="0"/>
                <w:kern w:val="0"/>
                <w:szCs w:val="21"/>
              </w:rPr>
            </w:pPr>
            <w:r>
              <w:rPr>
                <w:rFonts w:hint="eastAsia" w:ascii="宋体" w:hAnsi="宋体" w:cs="宋体"/>
                <w:snapToGrid w:val="0"/>
                <w:kern w:val="0"/>
                <w:szCs w:val="21"/>
              </w:rPr>
              <w:t>99</w:t>
            </w:r>
          </w:p>
        </w:tc>
        <w:tc>
          <w:tcPr>
            <w:tcW w:w="774" w:type="dxa"/>
            <w:vAlign w:val="center"/>
          </w:tcPr>
          <w:p w14:paraId="49BA4348">
            <w:pPr>
              <w:kinsoku w:val="0"/>
              <w:autoSpaceDE w:val="0"/>
              <w:autoSpaceDN w:val="0"/>
              <w:adjustRightInd w:val="0"/>
              <w:snapToGrid w:val="0"/>
              <w:spacing w:line="320" w:lineRule="exact"/>
              <w:jc w:val="center"/>
              <w:textAlignment w:val="baseline"/>
              <w:rPr>
                <w:rFonts w:hint="eastAsia" w:ascii="宋体" w:hAnsi="宋体" w:cs="宋体"/>
                <w:snapToGrid w:val="0"/>
                <w:kern w:val="0"/>
                <w:szCs w:val="21"/>
              </w:rPr>
            </w:pPr>
            <w:r>
              <w:rPr>
                <w:rFonts w:hint="eastAsia" w:ascii="宋体" w:hAnsi="宋体" w:cs="宋体"/>
                <w:snapToGrid w:val="0"/>
                <w:kern w:val="0"/>
                <w:szCs w:val="21"/>
              </w:rPr>
              <w:t>79</w:t>
            </w:r>
          </w:p>
        </w:tc>
        <w:tc>
          <w:tcPr>
            <w:tcW w:w="774" w:type="dxa"/>
            <w:vAlign w:val="center"/>
          </w:tcPr>
          <w:p w14:paraId="09B3EE7C">
            <w:pPr>
              <w:kinsoku w:val="0"/>
              <w:autoSpaceDE w:val="0"/>
              <w:autoSpaceDN w:val="0"/>
              <w:adjustRightInd w:val="0"/>
              <w:snapToGrid w:val="0"/>
              <w:spacing w:line="320" w:lineRule="exact"/>
              <w:jc w:val="center"/>
              <w:textAlignment w:val="baseline"/>
              <w:rPr>
                <w:rFonts w:hint="eastAsia" w:ascii="宋体" w:hAnsi="宋体" w:cs="宋体"/>
                <w:snapToGrid w:val="0"/>
                <w:kern w:val="0"/>
                <w:szCs w:val="21"/>
              </w:rPr>
            </w:pPr>
            <w:r>
              <w:rPr>
                <w:rFonts w:hint="eastAsia" w:ascii="宋体" w:hAnsi="宋体" w:cs="宋体"/>
                <w:snapToGrid w:val="0"/>
                <w:kern w:val="0"/>
                <w:szCs w:val="21"/>
              </w:rPr>
              <w:t>73</w:t>
            </w:r>
          </w:p>
        </w:tc>
        <w:tc>
          <w:tcPr>
            <w:tcW w:w="774" w:type="dxa"/>
            <w:vAlign w:val="center"/>
          </w:tcPr>
          <w:p w14:paraId="56D0CFE8">
            <w:pPr>
              <w:kinsoku w:val="0"/>
              <w:autoSpaceDE w:val="0"/>
              <w:autoSpaceDN w:val="0"/>
              <w:adjustRightInd w:val="0"/>
              <w:snapToGrid w:val="0"/>
              <w:spacing w:line="320" w:lineRule="exact"/>
              <w:jc w:val="center"/>
              <w:textAlignment w:val="baseline"/>
              <w:rPr>
                <w:rFonts w:hint="eastAsia" w:ascii="宋体" w:hAnsi="宋体" w:cs="宋体"/>
                <w:snapToGrid w:val="0"/>
                <w:kern w:val="0"/>
                <w:szCs w:val="21"/>
              </w:rPr>
            </w:pPr>
            <w:r>
              <w:rPr>
                <w:rFonts w:hint="eastAsia" w:ascii="宋体" w:hAnsi="宋体" w:cs="宋体"/>
                <w:snapToGrid w:val="0"/>
                <w:kern w:val="0"/>
                <w:szCs w:val="21"/>
              </w:rPr>
              <w:t>69</w:t>
            </w:r>
          </w:p>
        </w:tc>
        <w:tc>
          <w:tcPr>
            <w:tcW w:w="774" w:type="dxa"/>
            <w:vAlign w:val="center"/>
          </w:tcPr>
          <w:p w14:paraId="23C4CE5A">
            <w:pPr>
              <w:kinsoku w:val="0"/>
              <w:autoSpaceDE w:val="0"/>
              <w:autoSpaceDN w:val="0"/>
              <w:adjustRightInd w:val="0"/>
              <w:snapToGrid w:val="0"/>
              <w:spacing w:line="320" w:lineRule="exact"/>
              <w:jc w:val="center"/>
              <w:textAlignment w:val="baseline"/>
              <w:rPr>
                <w:rFonts w:hint="eastAsia" w:ascii="宋体" w:hAnsi="宋体" w:cs="宋体"/>
                <w:snapToGrid w:val="0"/>
                <w:kern w:val="0"/>
                <w:szCs w:val="21"/>
              </w:rPr>
            </w:pPr>
            <w:r>
              <w:rPr>
                <w:rFonts w:hint="eastAsia" w:ascii="宋体" w:hAnsi="宋体" w:cs="宋体"/>
                <w:snapToGrid w:val="0"/>
                <w:kern w:val="0"/>
                <w:szCs w:val="21"/>
              </w:rPr>
              <w:t>65</w:t>
            </w:r>
          </w:p>
        </w:tc>
        <w:tc>
          <w:tcPr>
            <w:tcW w:w="774" w:type="dxa"/>
            <w:vAlign w:val="center"/>
          </w:tcPr>
          <w:p w14:paraId="502D08B8">
            <w:pPr>
              <w:kinsoku w:val="0"/>
              <w:autoSpaceDE w:val="0"/>
              <w:autoSpaceDN w:val="0"/>
              <w:adjustRightInd w:val="0"/>
              <w:snapToGrid w:val="0"/>
              <w:spacing w:line="320" w:lineRule="exact"/>
              <w:jc w:val="center"/>
              <w:textAlignment w:val="baseline"/>
              <w:rPr>
                <w:rFonts w:hint="eastAsia" w:ascii="宋体" w:hAnsi="宋体" w:cs="宋体"/>
                <w:snapToGrid w:val="0"/>
                <w:kern w:val="0"/>
                <w:szCs w:val="21"/>
              </w:rPr>
            </w:pPr>
            <w:r>
              <w:rPr>
                <w:rFonts w:hint="eastAsia" w:ascii="宋体" w:hAnsi="宋体" w:cs="宋体"/>
                <w:snapToGrid w:val="0"/>
                <w:kern w:val="0"/>
                <w:szCs w:val="21"/>
              </w:rPr>
              <w:t>62</w:t>
            </w:r>
          </w:p>
        </w:tc>
        <w:tc>
          <w:tcPr>
            <w:tcW w:w="784" w:type="dxa"/>
            <w:vAlign w:val="center"/>
          </w:tcPr>
          <w:p w14:paraId="6AB45342">
            <w:pPr>
              <w:kinsoku w:val="0"/>
              <w:autoSpaceDE w:val="0"/>
              <w:autoSpaceDN w:val="0"/>
              <w:adjustRightInd w:val="0"/>
              <w:snapToGrid w:val="0"/>
              <w:spacing w:line="320" w:lineRule="exact"/>
              <w:jc w:val="center"/>
              <w:textAlignment w:val="baseline"/>
              <w:rPr>
                <w:rFonts w:hint="eastAsia" w:ascii="宋体" w:hAnsi="宋体" w:cs="宋体"/>
                <w:snapToGrid w:val="0"/>
                <w:kern w:val="0"/>
                <w:szCs w:val="21"/>
              </w:rPr>
            </w:pPr>
            <w:r>
              <w:rPr>
                <w:rFonts w:hint="eastAsia" w:ascii="宋体" w:hAnsi="宋体" w:cs="宋体"/>
                <w:snapToGrid w:val="0"/>
                <w:kern w:val="0"/>
                <w:szCs w:val="21"/>
              </w:rPr>
              <w:t>59</w:t>
            </w:r>
          </w:p>
        </w:tc>
        <w:tc>
          <w:tcPr>
            <w:tcW w:w="774" w:type="dxa"/>
            <w:vAlign w:val="center"/>
          </w:tcPr>
          <w:p w14:paraId="22EAF1B5">
            <w:pPr>
              <w:kinsoku w:val="0"/>
              <w:autoSpaceDE w:val="0"/>
              <w:autoSpaceDN w:val="0"/>
              <w:adjustRightInd w:val="0"/>
              <w:snapToGrid w:val="0"/>
              <w:spacing w:line="320" w:lineRule="exact"/>
              <w:jc w:val="center"/>
              <w:textAlignment w:val="baseline"/>
              <w:rPr>
                <w:rFonts w:hint="eastAsia" w:ascii="宋体" w:hAnsi="宋体" w:cs="宋体"/>
                <w:snapToGrid w:val="0"/>
                <w:kern w:val="0"/>
                <w:szCs w:val="21"/>
              </w:rPr>
            </w:pPr>
            <w:r>
              <w:rPr>
                <w:rFonts w:hint="eastAsia" w:ascii="宋体" w:hAnsi="宋体" w:cs="宋体"/>
                <w:snapToGrid w:val="0"/>
                <w:kern w:val="0"/>
                <w:szCs w:val="21"/>
              </w:rPr>
              <w:t>70</w:t>
            </w:r>
          </w:p>
        </w:tc>
        <w:tc>
          <w:tcPr>
            <w:tcW w:w="776" w:type="dxa"/>
            <w:vAlign w:val="center"/>
          </w:tcPr>
          <w:p w14:paraId="2A47615B">
            <w:pPr>
              <w:kinsoku w:val="0"/>
              <w:autoSpaceDE w:val="0"/>
              <w:autoSpaceDN w:val="0"/>
              <w:adjustRightInd w:val="0"/>
              <w:snapToGrid w:val="0"/>
              <w:spacing w:line="320" w:lineRule="exact"/>
              <w:jc w:val="center"/>
              <w:textAlignment w:val="baseline"/>
              <w:rPr>
                <w:rFonts w:hint="eastAsia" w:ascii="宋体" w:hAnsi="宋体" w:cs="宋体"/>
                <w:snapToGrid w:val="0"/>
                <w:kern w:val="0"/>
                <w:szCs w:val="21"/>
              </w:rPr>
            </w:pPr>
            <w:r>
              <w:rPr>
                <w:rFonts w:hint="eastAsia" w:ascii="宋体" w:hAnsi="宋体" w:cs="宋体"/>
                <w:snapToGrid w:val="0"/>
                <w:kern w:val="0"/>
                <w:szCs w:val="21"/>
              </w:rPr>
              <w:t>55</w:t>
            </w:r>
          </w:p>
        </w:tc>
      </w:tr>
    </w:tbl>
    <w:p w14:paraId="230FDE8F">
      <w:pPr>
        <w:widowControl/>
        <w:kinsoku w:val="0"/>
        <w:autoSpaceDE w:val="0"/>
        <w:autoSpaceDN w:val="0"/>
        <w:adjustRightInd w:val="0"/>
        <w:snapToGrid w:val="0"/>
        <w:spacing w:line="360" w:lineRule="auto"/>
        <w:ind w:firstLine="480"/>
        <w:jc w:val="left"/>
        <w:textAlignment w:val="baseline"/>
        <w:rPr>
          <w:rFonts w:hint="eastAsia" w:ascii="宋体" w:hAnsi="宋体" w:cs="宋体"/>
          <w:snapToGrid w:val="0"/>
          <w:kern w:val="0"/>
          <w:sz w:val="24"/>
          <w:szCs w:val="24"/>
        </w:rPr>
      </w:pPr>
      <w:r>
        <w:rPr>
          <w:rFonts w:hint="eastAsia" w:ascii="宋体" w:hAnsi="宋体" w:cs="宋体"/>
          <w:snapToGrid w:val="0"/>
          <w:kern w:val="0"/>
          <w:sz w:val="24"/>
          <w:szCs w:val="24"/>
        </w:rPr>
        <w:t>由表5.1-2可以看出，多台设备同时使用时，在70m左右可以满足《建筑施工场界环境噪声排放标准》（GB12523-2011）标准限值。再者设备安装过程中在昼间且在生产车间内部进行，生产车间也会对噪声起到一定的阻隔作用，可进一步的减轻设备安装过程中产生的噪声对周围环境的影响。因此施工噪声对周围声环境的污染影响将在可接受范围内。</w:t>
      </w:r>
    </w:p>
    <w:p w14:paraId="32D9E7CC">
      <w:pPr>
        <w:pStyle w:val="4"/>
        <w:autoSpaceDE w:val="0"/>
        <w:autoSpaceDN w:val="0"/>
        <w:spacing w:before="0" w:after="0" w:line="360" w:lineRule="auto"/>
        <w:jc w:val="left"/>
        <w:rPr>
          <w:kern w:val="0"/>
          <w:sz w:val="24"/>
          <w:lang w:val="en-US" w:bidi="zh-CN"/>
        </w:rPr>
      </w:pPr>
      <w:r>
        <w:rPr>
          <w:rFonts w:hint="eastAsia"/>
          <w:kern w:val="0"/>
          <w:sz w:val="24"/>
          <w:lang w:val="en-US" w:bidi="zh-CN"/>
        </w:rPr>
        <w:t>5.1.4施工期固体废物影响分析</w:t>
      </w:r>
    </w:p>
    <w:p w14:paraId="6C9E3A66">
      <w:pPr>
        <w:spacing w:line="360" w:lineRule="auto"/>
        <w:ind w:left="39" w:right="29" w:firstLine="480"/>
        <w:rPr>
          <w:rFonts w:hint="eastAsia" w:ascii="宋体" w:hAnsi="宋体" w:cs="宋体"/>
          <w:spacing w:val="-1"/>
          <w:sz w:val="24"/>
          <w:szCs w:val="24"/>
        </w:rPr>
      </w:pPr>
      <w:r>
        <w:rPr>
          <w:rFonts w:hint="eastAsia" w:ascii="宋体" w:hAnsi="宋体" w:cs="宋体"/>
          <w:spacing w:val="5"/>
          <w:sz w:val="24"/>
          <w:szCs w:val="24"/>
        </w:rPr>
        <w:t>本项目施工期的固体废物主要为设备安装时拆除下来的设备包装材料等，这集中收集后出售给废品回收站</w:t>
      </w:r>
      <w:r>
        <w:rPr>
          <w:rFonts w:hint="eastAsia" w:ascii="宋体" w:hAnsi="宋体" w:cs="宋体"/>
          <w:spacing w:val="-1"/>
          <w:sz w:val="24"/>
          <w:szCs w:val="24"/>
        </w:rPr>
        <w:t>，不会对外环境产生影响。</w:t>
      </w:r>
    </w:p>
    <w:p w14:paraId="0D334B3A">
      <w:pPr>
        <w:pStyle w:val="250"/>
        <w:spacing w:line="360" w:lineRule="auto"/>
        <w:ind w:firstLine="480"/>
        <w:rPr>
          <w:rFonts w:ascii="Times New Roman" w:hAnsi="Times New Roman"/>
          <w:color w:val="000000"/>
        </w:rPr>
      </w:pPr>
      <w:r>
        <w:rPr>
          <w:rFonts w:ascii="Times New Roman" w:hAnsi="Times New Roman"/>
          <w:color w:val="000000"/>
        </w:rPr>
        <w:t>施工期施工人员不在施工场地食宿，产生的生活垃圾集中收集后统一</w:t>
      </w:r>
      <w:r>
        <w:rPr>
          <w:rFonts w:hint="eastAsia" w:ascii="Times New Roman" w:hAnsi="Times New Roman"/>
          <w:color w:val="000000"/>
        </w:rPr>
        <w:t>交由环卫部门处理</w:t>
      </w:r>
      <w:r>
        <w:rPr>
          <w:rFonts w:ascii="Times New Roman" w:hAnsi="Times New Roman"/>
          <w:color w:val="000000"/>
        </w:rPr>
        <w:t>。</w:t>
      </w:r>
    </w:p>
    <w:p w14:paraId="03D9A067">
      <w:pPr>
        <w:pStyle w:val="4"/>
        <w:autoSpaceDE w:val="0"/>
        <w:autoSpaceDN w:val="0"/>
        <w:spacing w:before="0" w:after="0" w:line="360" w:lineRule="auto"/>
        <w:jc w:val="left"/>
        <w:rPr>
          <w:kern w:val="0"/>
          <w:sz w:val="24"/>
          <w:lang w:val="en-US" w:bidi="zh-CN"/>
        </w:rPr>
      </w:pPr>
      <w:r>
        <w:rPr>
          <w:rFonts w:hint="eastAsia"/>
          <w:kern w:val="0"/>
          <w:sz w:val="24"/>
          <w:lang w:val="en-US" w:bidi="zh-CN"/>
        </w:rPr>
        <w:t>5.1.5施工期生态环境影响分析</w:t>
      </w:r>
    </w:p>
    <w:p w14:paraId="4EEB48F6">
      <w:pPr>
        <w:spacing w:line="360" w:lineRule="auto"/>
        <w:ind w:left="520"/>
        <w:rPr>
          <w:rFonts w:hint="eastAsia" w:ascii="宋体" w:hAnsi="宋体" w:cs="宋体"/>
          <w:spacing w:val="-1"/>
          <w:sz w:val="24"/>
          <w:szCs w:val="24"/>
        </w:rPr>
      </w:pPr>
      <w:r>
        <w:rPr>
          <w:rFonts w:hint="eastAsia" w:ascii="宋体" w:hAnsi="宋体" w:cs="宋体"/>
          <w:sz w:val="24"/>
          <w:szCs w:val="24"/>
        </w:rPr>
        <w:t>本项目在租用厂房内进行设备安装，基</w:t>
      </w:r>
      <w:r>
        <w:rPr>
          <w:rFonts w:hint="eastAsia" w:ascii="宋体" w:hAnsi="宋体" w:cs="宋体"/>
          <w:spacing w:val="-1"/>
          <w:sz w:val="24"/>
          <w:szCs w:val="24"/>
        </w:rPr>
        <w:t>本无施工期生态环境影响。</w:t>
      </w:r>
    </w:p>
    <w:p w14:paraId="16ECD280">
      <w:pPr>
        <w:pStyle w:val="3"/>
        <w:keepNext w:val="0"/>
        <w:keepLines w:val="0"/>
        <w:autoSpaceDE w:val="0"/>
        <w:autoSpaceDN w:val="0"/>
        <w:spacing w:before="0" w:after="0" w:line="360" w:lineRule="auto"/>
        <w:jc w:val="left"/>
        <w:rPr>
          <w:rFonts w:ascii="Times New Roman" w:hAnsi="Times New Roman" w:eastAsia="宋体"/>
          <w:kern w:val="0"/>
          <w:sz w:val="24"/>
          <w:szCs w:val="30"/>
          <w:lang w:val="en-US" w:bidi="zh-CN"/>
        </w:rPr>
      </w:pPr>
      <w:bookmarkStart w:id="272" w:name="_Toc19416"/>
      <w:r>
        <w:rPr>
          <w:rFonts w:hint="eastAsia" w:ascii="Times New Roman" w:hAnsi="Times New Roman" w:eastAsia="宋体"/>
          <w:kern w:val="0"/>
          <w:sz w:val="24"/>
          <w:szCs w:val="30"/>
          <w:lang w:val="en-US" w:bidi="zh-CN"/>
        </w:rPr>
        <w:t>5.2运营期环境影响预测与评价</w:t>
      </w:r>
      <w:bookmarkEnd w:id="272"/>
    </w:p>
    <w:p w14:paraId="1654338C">
      <w:pPr>
        <w:pStyle w:val="4"/>
        <w:autoSpaceDE w:val="0"/>
        <w:autoSpaceDN w:val="0"/>
        <w:spacing w:before="0" w:after="0" w:line="360" w:lineRule="auto"/>
        <w:jc w:val="left"/>
        <w:rPr>
          <w:kern w:val="0"/>
          <w:sz w:val="24"/>
          <w:lang w:val="en-US" w:bidi="zh-CN"/>
        </w:rPr>
      </w:pPr>
      <w:r>
        <w:rPr>
          <w:rFonts w:hint="eastAsia"/>
          <w:kern w:val="0"/>
          <w:sz w:val="24"/>
          <w:lang w:val="en-US" w:bidi="zh-CN"/>
        </w:rPr>
        <w:t>5.2.1大气</w:t>
      </w:r>
      <w:r>
        <w:rPr>
          <w:rFonts w:hint="eastAsia" w:ascii="宋体" w:hAnsi="宋体" w:cs="宋体"/>
          <w:color w:val="000000"/>
          <w:sz w:val="24"/>
          <w:lang w:val="en-US"/>
        </w:rPr>
        <w:t>环境</w:t>
      </w:r>
      <w:r>
        <w:rPr>
          <w:rFonts w:hint="eastAsia"/>
          <w:kern w:val="0"/>
          <w:sz w:val="24"/>
          <w:lang w:val="en-US" w:bidi="zh-CN"/>
        </w:rPr>
        <w:t>影响预测与评价</w:t>
      </w:r>
    </w:p>
    <w:p w14:paraId="1E3A80A3">
      <w:pPr>
        <w:pStyle w:val="5"/>
        <w:rPr>
          <w:rFonts w:hint="eastAsia" w:ascii="Times New Roman" w:hAnsi="Times New Roman"/>
          <w:color w:val="000000"/>
          <w:lang w:val="en-US"/>
        </w:rPr>
      </w:pPr>
      <w:r>
        <w:rPr>
          <w:rFonts w:hint="eastAsia" w:ascii="Times New Roman" w:hAnsi="Times New Roman"/>
          <w:color w:val="000000"/>
          <w:lang w:val="en-US"/>
        </w:rPr>
        <w:t>5.2.1.1区域气象特征分析</w:t>
      </w:r>
    </w:p>
    <w:p w14:paraId="65ED3F0C">
      <w:pPr>
        <w:autoSpaceDE w:val="0"/>
        <w:autoSpaceDN w:val="0"/>
        <w:bidi w:val="0"/>
        <w:spacing w:line="360" w:lineRule="auto"/>
        <w:ind w:firstLine="482" w:firstLineChars="200"/>
        <w:jc w:val="left"/>
        <w:rPr>
          <w:rFonts w:hint="default" w:ascii="Times New Roman" w:hAnsi="Times New Roman" w:eastAsia="宋体" w:cs="Times New Roman"/>
          <w:b/>
          <w:bCs/>
          <w:kern w:val="0"/>
          <w:sz w:val="24"/>
          <w:szCs w:val="24"/>
          <w:lang w:val="en-US" w:eastAsia="zh-CN" w:bidi="zh-CN"/>
        </w:rPr>
      </w:pPr>
      <w:r>
        <w:rPr>
          <w:rFonts w:hint="eastAsia" w:ascii="Times New Roman" w:hAnsi="Times New Roman" w:eastAsia="宋体" w:cs="Times New Roman"/>
          <w:b/>
          <w:bCs/>
          <w:kern w:val="0"/>
          <w:sz w:val="24"/>
          <w:szCs w:val="24"/>
          <w:lang w:val="en-US" w:eastAsia="zh-CN" w:bidi="zh-CN"/>
        </w:rPr>
        <w:t>1、</w:t>
      </w:r>
      <w:r>
        <w:rPr>
          <w:rFonts w:hint="default" w:ascii="Times New Roman" w:hAnsi="Times New Roman" w:eastAsia="宋体" w:cs="Times New Roman"/>
          <w:b/>
          <w:bCs/>
          <w:kern w:val="0"/>
          <w:sz w:val="24"/>
          <w:szCs w:val="24"/>
          <w:lang w:val="en-US" w:eastAsia="zh-CN" w:bidi="zh-CN"/>
        </w:rPr>
        <w:t>近20年气候统计资料</w:t>
      </w:r>
    </w:p>
    <w:p w14:paraId="52FC5F80">
      <w:pPr>
        <w:autoSpaceDE w:val="0"/>
        <w:autoSpaceDN w:val="0"/>
        <w:bidi w:val="0"/>
        <w:spacing w:line="360" w:lineRule="auto"/>
        <w:ind w:firstLine="480" w:firstLineChars="200"/>
        <w:jc w:val="both"/>
        <w:rPr>
          <w:rFonts w:hint="default" w:ascii="Times New Roman" w:hAnsi="Times New Roman" w:eastAsia="宋体" w:cs="Times New Roman"/>
          <w:kern w:val="0"/>
          <w:sz w:val="24"/>
          <w:szCs w:val="24"/>
          <w:lang w:val="en-US" w:bidi="zh-CN"/>
        </w:rPr>
      </w:pPr>
      <w:r>
        <w:rPr>
          <w:rFonts w:hint="default" w:ascii="Times New Roman" w:hAnsi="Times New Roman" w:eastAsia="宋体" w:cs="Times New Roman"/>
          <w:kern w:val="0"/>
          <w:sz w:val="24"/>
          <w:szCs w:val="24"/>
          <w:lang w:val="en-US" w:eastAsia="zh-CN" w:bidi="zh-CN"/>
        </w:rPr>
        <w:t>库尔勒市位于新疆中部、天山南麓、塔里木盆地东北边缘，北倚天山支脉，南临世界第二大沙漠—塔克拉玛干沙漠。库尔勒市属暖温带大陆性干旱气候，降水量稀少，蒸发量大，年平均降水量63.1mm。光热资源丰富，总日照数2921.5h。年平均气温12.4℃，最高气温为40.5℃，最低气温为–23.9℃。常年主导风向为东北偏东和东风，平均风速2.2m/s。</w:t>
      </w:r>
    </w:p>
    <w:p w14:paraId="205FB1BC">
      <w:pPr>
        <w:autoSpaceDE w:val="0"/>
        <w:autoSpaceDN w:val="0"/>
        <w:bidi w:val="0"/>
        <w:spacing w:line="360" w:lineRule="auto"/>
        <w:ind w:firstLine="482" w:firstLineChars="200"/>
        <w:jc w:val="left"/>
        <w:rPr>
          <w:rFonts w:hint="default" w:ascii="Times New Roman" w:hAnsi="Times New Roman" w:eastAsia="宋体" w:cs="Times New Roman"/>
          <w:b/>
          <w:bCs/>
          <w:kern w:val="0"/>
          <w:sz w:val="24"/>
          <w:szCs w:val="24"/>
          <w:lang w:val="en-US" w:eastAsia="zh-CN" w:bidi="zh-CN"/>
        </w:rPr>
      </w:pPr>
      <w:bookmarkStart w:id="273" w:name="6.3.2 评价基准年污染气象"/>
      <w:bookmarkEnd w:id="273"/>
      <w:r>
        <w:rPr>
          <w:rFonts w:hint="eastAsia" w:ascii="Times New Roman" w:hAnsi="Times New Roman" w:eastAsia="宋体" w:cs="Times New Roman"/>
          <w:b/>
          <w:bCs/>
          <w:kern w:val="0"/>
          <w:sz w:val="24"/>
          <w:szCs w:val="24"/>
          <w:lang w:val="en-US" w:eastAsia="zh-CN" w:bidi="zh-CN"/>
        </w:rPr>
        <w:t>（1）</w:t>
      </w:r>
      <w:r>
        <w:rPr>
          <w:rFonts w:hint="default" w:ascii="Times New Roman" w:hAnsi="Times New Roman" w:eastAsia="宋体" w:cs="Times New Roman"/>
          <w:b/>
          <w:bCs/>
          <w:kern w:val="0"/>
          <w:sz w:val="24"/>
          <w:szCs w:val="24"/>
          <w:lang w:val="en-US" w:eastAsia="zh-CN" w:bidi="zh-CN"/>
        </w:rPr>
        <w:t>评价基准年污染气象</w:t>
      </w:r>
    </w:p>
    <w:p w14:paraId="6253ABA1">
      <w:pPr>
        <w:autoSpaceDE w:val="0"/>
        <w:autoSpaceDN w:val="0"/>
        <w:bidi w:val="0"/>
        <w:spacing w:line="360" w:lineRule="auto"/>
        <w:ind w:firstLine="480" w:firstLineChars="200"/>
        <w:jc w:val="left"/>
        <w:rPr>
          <w:rFonts w:hint="default" w:ascii="Times New Roman" w:hAnsi="Times New Roman" w:eastAsia="宋体" w:cs="Times New Roman"/>
          <w:kern w:val="0"/>
          <w:sz w:val="24"/>
          <w:szCs w:val="24"/>
          <w:lang w:val="en-US" w:eastAsia="zh-CN" w:bidi="zh-CN"/>
        </w:rPr>
      </w:pPr>
      <w:r>
        <w:rPr>
          <w:rFonts w:hint="default" w:ascii="Times New Roman" w:hAnsi="Times New Roman" w:eastAsia="宋体" w:cs="Times New Roman"/>
          <w:color w:val="auto"/>
          <w:kern w:val="0"/>
          <w:sz w:val="24"/>
          <w:szCs w:val="24"/>
          <w:lang w:val="en-US" w:eastAsia="zh-CN" w:bidi="zh-CN"/>
        </w:rPr>
        <w:t>本次评价污染气象资料采用库尔勒气象站（A51656）202</w:t>
      </w:r>
      <w:r>
        <w:rPr>
          <w:rFonts w:hint="eastAsia" w:ascii="Times New Roman" w:hAnsi="Times New Roman" w:eastAsia="宋体" w:cs="Times New Roman"/>
          <w:color w:val="auto"/>
          <w:kern w:val="0"/>
          <w:sz w:val="24"/>
          <w:szCs w:val="24"/>
          <w:lang w:val="en-US" w:eastAsia="zh-CN" w:bidi="zh-CN"/>
        </w:rPr>
        <w:t>4</w:t>
      </w:r>
      <w:r>
        <w:rPr>
          <w:rFonts w:hint="default" w:ascii="Times New Roman" w:hAnsi="Times New Roman" w:eastAsia="宋体" w:cs="Times New Roman"/>
          <w:color w:val="auto"/>
          <w:kern w:val="0"/>
          <w:sz w:val="24"/>
          <w:szCs w:val="24"/>
          <w:lang w:val="en-US" w:eastAsia="zh-CN" w:bidi="zh-CN"/>
        </w:rPr>
        <w:t>年大气常规地面观测资料，气象站地理坐标为：东经85.82°，北纬41.73°。本次评价收集了库尔勒气象站（A51656）</w:t>
      </w:r>
      <w:r>
        <w:rPr>
          <w:rFonts w:hint="default" w:ascii="Times New Roman" w:hAnsi="Times New Roman" w:eastAsia="宋体" w:cs="Times New Roman"/>
          <w:kern w:val="0"/>
          <w:sz w:val="24"/>
          <w:szCs w:val="24"/>
          <w:lang w:val="en-US" w:eastAsia="zh-CN" w:bidi="zh-CN"/>
        </w:rPr>
        <w:t>202</w:t>
      </w:r>
      <w:r>
        <w:rPr>
          <w:rFonts w:hint="eastAsia" w:ascii="Times New Roman" w:hAnsi="Times New Roman" w:eastAsia="宋体" w:cs="Times New Roman"/>
          <w:kern w:val="0"/>
          <w:sz w:val="24"/>
          <w:szCs w:val="24"/>
          <w:lang w:val="en-US" w:eastAsia="zh-CN" w:bidi="zh-CN"/>
        </w:rPr>
        <w:t>4</w:t>
      </w:r>
      <w:r>
        <w:rPr>
          <w:rFonts w:hint="default" w:ascii="Times New Roman" w:hAnsi="Times New Roman" w:eastAsia="宋体" w:cs="Times New Roman"/>
          <w:kern w:val="0"/>
          <w:sz w:val="24"/>
          <w:szCs w:val="24"/>
          <w:lang w:val="en-US" w:eastAsia="zh-CN" w:bidi="zh-CN"/>
        </w:rPr>
        <w:t>年逐日、逐次的常规气象观测资料，观测数据可满足本项目大气环境影响预测分析的需要。</w:t>
      </w:r>
    </w:p>
    <w:p w14:paraId="035C1FF5">
      <w:pPr>
        <w:autoSpaceDE w:val="0"/>
        <w:autoSpaceDN w:val="0"/>
        <w:bidi w:val="0"/>
        <w:spacing w:line="360" w:lineRule="auto"/>
        <w:ind w:firstLine="480" w:firstLineChars="200"/>
        <w:jc w:val="left"/>
        <w:rPr>
          <w:rFonts w:hint="default" w:ascii="Times New Roman" w:hAnsi="Times New Roman" w:eastAsia="宋体" w:cs="Times New Roman"/>
          <w:kern w:val="0"/>
          <w:sz w:val="24"/>
          <w:szCs w:val="24"/>
          <w:lang w:val="en-US" w:eastAsia="zh-CN" w:bidi="zh-CN"/>
        </w:rPr>
      </w:pPr>
      <w:r>
        <w:rPr>
          <w:rFonts w:hint="eastAsia" w:ascii="Times New Roman" w:hAnsi="Times New Roman" w:eastAsia="宋体" w:cs="Times New Roman"/>
          <w:kern w:val="0"/>
          <w:sz w:val="24"/>
          <w:szCs w:val="24"/>
          <w:lang w:val="en-US" w:eastAsia="zh-CN" w:bidi="zh-CN"/>
        </w:rPr>
        <w:t>①</w:t>
      </w:r>
      <w:r>
        <w:rPr>
          <w:rFonts w:hint="default" w:ascii="Times New Roman" w:hAnsi="Times New Roman" w:eastAsia="宋体" w:cs="Times New Roman"/>
          <w:kern w:val="0"/>
          <w:sz w:val="24"/>
          <w:szCs w:val="24"/>
          <w:lang w:val="en-US" w:eastAsia="zh-CN" w:bidi="zh-CN"/>
        </w:rPr>
        <w:t>风向、风频</w:t>
      </w:r>
    </w:p>
    <w:p w14:paraId="4EC39CC0">
      <w:pPr>
        <w:autoSpaceDE w:val="0"/>
        <w:autoSpaceDN w:val="0"/>
        <w:bidi w:val="0"/>
        <w:spacing w:line="360" w:lineRule="auto"/>
        <w:ind w:firstLine="480" w:firstLineChars="200"/>
        <w:jc w:val="left"/>
        <w:rPr>
          <w:rFonts w:hint="default" w:ascii="Times New Roman" w:hAnsi="Times New Roman" w:eastAsia="宋体" w:cs="Times New Roman"/>
          <w:kern w:val="0"/>
          <w:sz w:val="24"/>
          <w:szCs w:val="24"/>
          <w:lang w:val="zh-CN" w:bidi="zh-CN"/>
        </w:rPr>
      </w:pPr>
      <w:r>
        <w:rPr>
          <w:rFonts w:hint="default" w:ascii="Times New Roman" w:hAnsi="Times New Roman" w:eastAsia="宋体" w:cs="Times New Roman"/>
          <w:kern w:val="0"/>
          <w:sz w:val="24"/>
          <w:szCs w:val="24"/>
          <w:lang w:val="en-US" w:eastAsia="zh-CN" w:bidi="zh-CN"/>
        </w:rPr>
        <w:t>评价区202</w:t>
      </w:r>
      <w:r>
        <w:rPr>
          <w:rFonts w:hint="eastAsia" w:ascii="Times New Roman" w:hAnsi="Times New Roman" w:eastAsia="宋体" w:cs="Times New Roman"/>
          <w:kern w:val="0"/>
          <w:sz w:val="24"/>
          <w:szCs w:val="24"/>
          <w:lang w:val="en-US" w:eastAsia="zh-CN" w:bidi="zh-CN"/>
        </w:rPr>
        <w:t>4</w:t>
      </w:r>
      <w:r>
        <w:rPr>
          <w:rFonts w:hint="default" w:ascii="Times New Roman" w:hAnsi="Times New Roman" w:eastAsia="宋体" w:cs="Times New Roman"/>
          <w:kern w:val="0"/>
          <w:sz w:val="24"/>
          <w:szCs w:val="24"/>
          <w:lang w:val="en-US" w:eastAsia="zh-CN" w:bidi="zh-CN"/>
        </w:rPr>
        <w:t>年年均风频的月变化统计见表5.2-1和图5.2-1，年均风频的季变化及年均风频见表5.2-2和图5.2-2。</w:t>
      </w:r>
    </w:p>
    <w:p w14:paraId="7F463BA9">
      <w:pPr>
        <w:keepNext w:val="0"/>
        <w:keepLines w:val="0"/>
        <w:pageBreakBefore w:val="0"/>
        <w:widowControl w:val="0"/>
        <w:kinsoku/>
        <w:wordWrap/>
        <w:overflowPunct/>
        <w:topLinePunct w:val="0"/>
        <w:autoSpaceDE/>
        <w:autoSpaceDN/>
        <w:bidi w:val="0"/>
        <w:adjustRightInd/>
        <w:snapToGrid/>
        <w:spacing w:after="0" w:line="240" w:lineRule="auto"/>
        <w:ind w:firstLine="422" w:firstLineChars="200"/>
        <w:jc w:val="center"/>
        <w:textAlignment w:val="auto"/>
        <w:rPr>
          <w:rFonts w:hint="default" w:ascii="Times New Roman" w:hAnsi="Times New Roman" w:eastAsia="宋体" w:cs="Times New Roman"/>
          <w:b/>
          <w:color w:val="auto"/>
          <w:sz w:val="21"/>
          <w:szCs w:val="21"/>
          <w:lang w:val="zh-CN" w:eastAsia="zh-CN" w:bidi="zh-CN"/>
        </w:rPr>
      </w:pPr>
      <w:r>
        <w:rPr>
          <w:rFonts w:hint="default" w:ascii="Times New Roman" w:hAnsi="Times New Roman" w:eastAsia="宋体" w:cs="Times New Roman"/>
          <w:b/>
          <w:color w:val="auto"/>
          <w:sz w:val="21"/>
          <w:szCs w:val="21"/>
          <w:lang w:val="zh-CN" w:eastAsia="zh-CN" w:bidi="zh-CN"/>
        </w:rPr>
        <w:t>表5.2-1气象站202</w:t>
      </w:r>
      <w:r>
        <w:rPr>
          <w:rFonts w:hint="eastAsia" w:ascii="Times New Roman" w:hAnsi="Times New Roman" w:eastAsia="宋体" w:cs="Times New Roman"/>
          <w:b/>
          <w:color w:val="auto"/>
          <w:sz w:val="21"/>
          <w:szCs w:val="21"/>
          <w:lang w:val="en-US" w:eastAsia="zh-CN" w:bidi="zh-CN"/>
        </w:rPr>
        <w:t>4</w:t>
      </w:r>
      <w:r>
        <w:rPr>
          <w:rFonts w:hint="default" w:ascii="Times New Roman" w:hAnsi="Times New Roman" w:eastAsia="宋体" w:cs="Times New Roman"/>
          <w:b/>
          <w:color w:val="auto"/>
          <w:sz w:val="21"/>
          <w:szCs w:val="21"/>
          <w:lang w:val="zh-CN" w:eastAsia="zh-CN" w:bidi="zh-CN"/>
        </w:rPr>
        <w:t>年年均风频的月变化一览表</w:t>
      </w:r>
    </w:p>
    <w:tbl>
      <w:tblPr>
        <w:tblStyle w:val="49"/>
        <w:tblW w:w="4954" w:type="pct"/>
        <w:tblInd w:w="106"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6" w:type="dxa"/>
          <w:bottom w:w="0" w:type="dxa"/>
          <w:right w:w="6" w:type="dxa"/>
        </w:tblCellMar>
      </w:tblPr>
      <w:tblGrid>
        <w:gridCol w:w="883"/>
        <w:gridCol w:w="488"/>
        <w:gridCol w:w="437"/>
        <w:gridCol w:w="469"/>
        <w:gridCol w:w="475"/>
        <w:gridCol w:w="475"/>
        <w:gridCol w:w="475"/>
        <w:gridCol w:w="469"/>
        <w:gridCol w:w="469"/>
        <w:gridCol w:w="469"/>
        <w:gridCol w:w="469"/>
        <w:gridCol w:w="469"/>
        <w:gridCol w:w="513"/>
        <w:gridCol w:w="475"/>
        <w:gridCol w:w="544"/>
        <w:gridCol w:w="469"/>
        <w:gridCol w:w="503"/>
        <w:gridCol w:w="470"/>
      </w:tblGrid>
      <w:tr w14:paraId="23F298E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6" w:type="dxa"/>
            <w:bottom w:w="0" w:type="dxa"/>
            <w:right w:w="6" w:type="dxa"/>
          </w:tblCellMar>
        </w:tblPrEx>
        <w:trPr>
          <w:trHeight w:val="720" w:hRule="atLeast"/>
        </w:trPr>
        <w:tc>
          <w:tcPr>
            <w:tcW w:w="881" w:type="dxa"/>
            <w:noWrap/>
            <w:vAlign w:val="center"/>
          </w:tcPr>
          <w:p w14:paraId="04CEBEDC">
            <w:pPr>
              <w:widowControl w:val="0"/>
              <w:autoSpaceDE w:val="0"/>
              <w:autoSpaceDN w:val="0"/>
              <w:spacing w:before="63" w:line="257" w:lineRule="exact"/>
              <w:ind w:left="0" w:leftChars="0" w:right="22" w:firstLine="0" w:firstLineChars="0"/>
              <w:jc w:val="center"/>
              <w:rPr>
                <w:rFonts w:hint="eastAsia" w:ascii="Times New Roman" w:hAnsi="Times New Roman" w:eastAsia="宋体" w:cs="Times New Roman"/>
                <w:color w:val="auto"/>
                <w:sz w:val="18"/>
                <w:szCs w:val="18"/>
                <w:lang w:val="zh-CN" w:eastAsia="zh-CN" w:bidi="zh-CN"/>
              </w:rPr>
            </w:pPr>
            <w:r>
              <w:rPr>
                <w:rFonts w:hint="default" w:ascii="Times New Roman" w:hAnsi="Times New Roman" w:eastAsia="宋体" w:cs="Times New Roman"/>
                <w:color w:val="auto"/>
                <w:sz w:val="18"/>
                <w:szCs w:val="18"/>
                <w:lang w:val="zh-CN" w:eastAsia="zh-CN" w:bidi="zh-CN"/>
              </w:rPr>
              <w:t>风频（%</w:t>
            </w:r>
            <w:r>
              <w:rPr>
                <w:rFonts w:hint="eastAsia" w:ascii="Times New Roman" w:hAnsi="Times New Roman" w:eastAsia="宋体" w:cs="Times New Roman"/>
                <w:color w:val="auto"/>
                <w:sz w:val="18"/>
                <w:szCs w:val="18"/>
                <w:lang w:val="zh-CN" w:eastAsia="zh-CN" w:bidi="zh-CN"/>
              </w:rPr>
              <w:t>）</w:t>
            </w:r>
          </w:p>
          <w:p w14:paraId="1801E977">
            <w:pPr>
              <w:widowControl w:val="0"/>
              <w:autoSpaceDE w:val="0"/>
              <w:autoSpaceDN w:val="0"/>
              <w:spacing w:before="63" w:line="257" w:lineRule="exact"/>
              <w:ind w:left="0" w:leftChars="0" w:right="22" w:firstLine="0" w:firstLineChars="0"/>
              <w:jc w:val="center"/>
              <w:rPr>
                <w:rFonts w:hint="default" w:ascii="Times New Roman" w:hAnsi="Times New Roman" w:eastAsia="宋体" w:cs="Times New Roman"/>
                <w:color w:val="auto"/>
                <w:sz w:val="18"/>
                <w:szCs w:val="18"/>
                <w:lang w:val="zh-CN" w:eastAsia="zh-CN" w:bidi="zh-CN"/>
              </w:rPr>
            </w:pPr>
            <w:r>
              <w:rPr>
                <w:rFonts w:hint="default" w:ascii="Times New Roman" w:hAnsi="Times New Roman" w:eastAsia="宋体" w:cs="Times New Roman"/>
                <w:color w:val="auto"/>
                <w:sz w:val="18"/>
                <w:szCs w:val="18"/>
                <w:lang w:val="zh-CN" w:eastAsia="zh-CN" w:bidi="zh-CN"/>
              </w:rPr>
              <w:t>风向</w:t>
            </w:r>
          </w:p>
        </w:tc>
        <w:tc>
          <w:tcPr>
            <w:tcW w:w="487" w:type="dxa"/>
            <w:noWrap/>
            <w:vAlign w:val="center"/>
          </w:tcPr>
          <w:p w14:paraId="161569CD">
            <w:pPr>
              <w:widowControl w:val="0"/>
              <w:autoSpaceDE w:val="0"/>
              <w:autoSpaceDN w:val="0"/>
              <w:spacing w:before="63" w:line="257" w:lineRule="exact"/>
              <w:ind w:left="0" w:leftChars="0" w:right="22" w:firstLine="0" w:firstLineChars="0"/>
              <w:jc w:val="center"/>
              <w:rPr>
                <w:rFonts w:hint="default" w:ascii="Times New Roman" w:hAnsi="Times New Roman" w:eastAsia="宋体" w:cs="Times New Roman"/>
                <w:color w:val="auto"/>
                <w:sz w:val="18"/>
                <w:szCs w:val="18"/>
                <w:lang w:val="zh-CN" w:eastAsia="zh-CN" w:bidi="zh-CN"/>
              </w:rPr>
            </w:pPr>
            <w:r>
              <w:rPr>
                <w:rFonts w:hint="default" w:ascii="Times New Roman" w:hAnsi="Times New Roman" w:eastAsia="宋体" w:cs="Times New Roman"/>
                <w:color w:val="auto"/>
                <w:sz w:val="18"/>
                <w:szCs w:val="18"/>
                <w:lang w:val="zh-CN" w:eastAsia="zh-CN" w:bidi="zh-CN"/>
              </w:rPr>
              <w:t>N</w:t>
            </w:r>
          </w:p>
        </w:tc>
        <w:tc>
          <w:tcPr>
            <w:tcW w:w="436" w:type="dxa"/>
            <w:noWrap/>
            <w:vAlign w:val="center"/>
          </w:tcPr>
          <w:p w14:paraId="65D47355">
            <w:pPr>
              <w:widowControl w:val="0"/>
              <w:autoSpaceDE w:val="0"/>
              <w:autoSpaceDN w:val="0"/>
              <w:spacing w:before="63" w:line="257" w:lineRule="exact"/>
              <w:ind w:left="0" w:leftChars="0" w:right="22" w:firstLine="0" w:firstLineChars="0"/>
              <w:jc w:val="center"/>
              <w:rPr>
                <w:rFonts w:hint="default" w:ascii="Times New Roman" w:hAnsi="Times New Roman" w:eastAsia="宋体" w:cs="Times New Roman"/>
                <w:color w:val="auto"/>
                <w:sz w:val="18"/>
                <w:szCs w:val="18"/>
                <w:lang w:val="zh-CN" w:eastAsia="zh-CN" w:bidi="zh-CN"/>
              </w:rPr>
            </w:pPr>
            <w:r>
              <w:rPr>
                <w:rFonts w:hint="default" w:ascii="Times New Roman" w:hAnsi="Times New Roman" w:eastAsia="宋体" w:cs="Times New Roman"/>
                <w:color w:val="auto"/>
                <w:sz w:val="18"/>
                <w:szCs w:val="18"/>
                <w:lang w:val="zh-CN" w:eastAsia="zh-CN" w:bidi="zh-CN"/>
              </w:rPr>
              <w:t>NNE</w:t>
            </w:r>
          </w:p>
        </w:tc>
        <w:tc>
          <w:tcPr>
            <w:tcW w:w="468" w:type="dxa"/>
            <w:noWrap/>
            <w:vAlign w:val="center"/>
          </w:tcPr>
          <w:p w14:paraId="741EDA3F">
            <w:pPr>
              <w:widowControl w:val="0"/>
              <w:autoSpaceDE w:val="0"/>
              <w:autoSpaceDN w:val="0"/>
              <w:spacing w:before="63" w:line="257" w:lineRule="exact"/>
              <w:ind w:left="0" w:leftChars="0" w:right="22" w:firstLine="0" w:firstLineChars="0"/>
              <w:jc w:val="center"/>
              <w:rPr>
                <w:rFonts w:hint="default" w:ascii="Times New Roman" w:hAnsi="Times New Roman" w:eastAsia="宋体" w:cs="Times New Roman"/>
                <w:color w:val="auto"/>
                <w:sz w:val="18"/>
                <w:szCs w:val="18"/>
                <w:lang w:val="zh-CN" w:eastAsia="zh-CN" w:bidi="zh-CN"/>
              </w:rPr>
            </w:pPr>
            <w:r>
              <w:rPr>
                <w:rFonts w:hint="default" w:ascii="Times New Roman" w:hAnsi="Times New Roman" w:eastAsia="宋体" w:cs="Times New Roman"/>
                <w:color w:val="auto"/>
                <w:sz w:val="18"/>
                <w:szCs w:val="18"/>
                <w:lang w:val="zh-CN" w:eastAsia="zh-CN" w:bidi="zh-CN"/>
              </w:rPr>
              <w:t>NE</w:t>
            </w:r>
          </w:p>
        </w:tc>
        <w:tc>
          <w:tcPr>
            <w:tcW w:w="474" w:type="dxa"/>
            <w:noWrap/>
            <w:vAlign w:val="center"/>
          </w:tcPr>
          <w:p w14:paraId="177C1090">
            <w:pPr>
              <w:widowControl w:val="0"/>
              <w:autoSpaceDE w:val="0"/>
              <w:autoSpaceDN w:val="0"/>
              <w:spacing w:before="63" w:line="257" w:lineRule="exact"/>
              <w:ind w:left="0" w:leftChars="0" w:right="22" w:firstLine="0" w:firstLineChars="0"/>
              <w:jc w:val="center"/>
              <w:rPr>
                <w:rFonts w:hint="default" w:ascii="Times New Roman" w:hAnsi="Times New Roman" w:eastAsia="宋体" w:cs="Times New Roman"/>
                <w:color w:val="auto"/>
                <w:sz w:val="18"/>
                <w:szCs w:val="18"/>
                <w:lang w:val="zh-CN" w:eastAsia="zh-CN" w:bidi="zh-CN"/>
              </w:rPr>
            </w:pPr>
            <w:r>
              <w:rPr>
                <w:rFonts w:hint="default" w:ascii="Times New Roman" w:hAnsi="Times New Roman" w:eastAsia="宋体" w:cs="Times New Roman"/>
                <w:color w:val="auto"/>
                <w:sz w:val="18"/>
                <w:szCs w:val="18"/>
                <w:lang w:val="zh-CN" w:eastAsia="zh-CN" w:bidi="zh-CN"/>
              </w:rPr>
              <w:t>ENE</w:t>
            </w:r>
          </w:p>
        </w:tc>
        <w:tc>
          <w:tcPr>
            <w:tcW w:w="474" w:type="dxa"/>
            <w:noWrap/>
            <w:vAlign w:val="center"/>
          </w:tcPr>
          <w:p w14:paraId="6646C799">
            <w:pPr>
              <w:widowControl w:val="0"/>
              <w:autoSpaceDE w:val="0"/>
              <w:autoSpaceDN w:val="0"/>
              <w:spacing w:before="63" w:line="257" w:lineRule="exact"/>
              <w:ind w:left="0" w:leftChars="0" w:right="22" w:firstLine="0" w:firstLineChars="0"/>
              <w:jc w:val="center"/>
              <w:rPr>
                <w:rFonts w:hint="default" w:ascii="Times New Roman" w:hAnsi="Times New Roman" w:eastAsia="宋体" w:cs="Times New Roman"/>
                <w:color w:val="auto"/>
                <w:sz w:val="18"/>
                <w:szCs w:val="18"/>
                <w:lang w:val="zh-CN" w:eastAsia="zh-CN" w:bidi="zh-CN"/>
              </w:rPr>
            </w:pPr>
            <w:r>
              <w:rPr>
                <w:rFonts w:hint="default" w:ascii="Times New Roman" w:hAnsi="Times New Roman" w:eastAsia="宋体" w:cs="Times New Roman"/>
                <w:color w:val="auto"/>
                <w:sz w:val="18"/>
                <w:szCs w:val="18"/>
                <w:lang w:val="zh-CN" w:eastAsia="zh-CN" w:bidi="zh-CN"/>
              </w:rPr>
              <w:t>E</w:t>
            </w:r>
          </w:p>
        </w:tc>
        <w:tc>
          <w:tcPr>
            <w:tcW w:w="474" w:type="dxa"/>
            <w:noWrap/>
            <w:vAlign w:val="center"/>
          </w:tcPr>
          <w:p w14:paraId="660FB990">
            <w:pPr>
              <w:widowControl w:val="0"/>
              <w:autoSpaceDE w:val="0"/>
              <w:autoSpaceDN w:val="0"/>
              <w:spacing w:before="63" w:line="257" w:lineRule="exact"/>
              <w:ind w:left="0" w:leftChars="0" w:right="22" w:firstLine="0" w:firstLineChars="0"/>
              <w:jc w:val="center"/>
              <w:rPr>
                <w:rFonts w:hint="default" w:ascii="Times New Roman" w:hAnsi="Times New Roman" w:eastAsia="宋体" w:cs="Times New Roman"/>
                <w:color w:val="auto"/>
                <w:sz w:val="18"/>
                <w:szCs w:val="18"/>
                <w:lang w:val="zh-CN" w:eastAsia="zh-CN" w:bidi="zh-CN"/>
              </w:rPr>
            </w:pPr>
            <w:r>
              <w:rPr>
                <w:rFonts w:hint="default" w:ascii="Times New Roman" w:hAnsi="Times New Roman" w:eastAsia="宋体" w:cs="Times New Roman"/>
                <w:color w:val="auto"/>
                <w:sz w:val="18"/>
                <w:szCs w:val="18"/>
                <w:lang w:val="zh-CN" w:eastAsia="zh-CN" w:bidi="zh-CN"/>
              </w:rPr>
              <w:t>ESE</w:t>
            </w:r>
          </w:p>
        </w:tc>
        <w:tc>
          <w:tcPr>
            <w:tcW w:w="468" w:type="dxa"/>
            <w:noWrap/>
            <w:vAlign w:val="center"/>
          </w:tcPr>
          <w:p w14:paraId="6632A847">
            <w:pPr>
              <w:widowControl w:val="0"/>
              <w:autoSpaceDE w:val="0"/>
              <w:autoSpaceDN w:val="0"/>
              <w:spacing w:before="63" w:line="257" w:lineRule="exact"/>
              <w:ind w:left="0" w:leftChars="0" w:right="22" w:firstLine="0" w:firstLineChars="0"/>
              <w:jc w:val="center"/>
              <w:rPr>
                <w:rFonts w:hint="default" w:ascii="Times New Roman" w:hAnsi="Times New Roman" w:eastAsia="宋体" w:cs="Times New Roman"/>
                <w:color w:val="auto"/>
                <w:sz w:val="18"/>
                <w:szCs w:val="18"/>
                <w:lang w:val="zh-CN" w:eastAsia="zh-CN" w:bidi="zh-CN"/>
              </w:rPr>
            </w:pPr>
            <w:r>
              <w:rPr>
                <w:rFonts w:hint="default" w:ascii="Times New Roman" w:hAnsi="Times New Roman" w:eastAsia="宋体" w:cs="Times New Roman"/>
                <w:color w:val="auto"/>
                <w:sz w:val="18"/>
                <w:szCs w:val="18"/>
                <w:lang w:val="zh-CN" w:eastAsia="zh-CN" w:bidi="zh-CN"/>
              </w:rPr>
              <w:t>SE</w:t>
            </w:r>
          </w:p>
        </w:tc>
        <w:tc>
          <w:tcPr>
            <w:tcW w:w="468" w:type="dxa"/>
            <w:noWrap/>
            <w:vAlign w:val="center"/>
          </w:tcPr>
          <w:p w14:paraId="3CF3D89D">
            <w:pPr>
              <w:widowControl w:val="0"/>
              <w:autoSpaceDE w:val="0"/>
              <w:autoSpaceDN w:val="0"/>
              <w:spacing w:before="63" w:line="257" w:lineRule="exact"/>
              <w:ind w:left="0" w:leftChars="0" w:right="22" w:firstLine="0" w:firstLineChars="0"/>
              <w:jc w:val="center"/>
              <w:rPr>
                <w:rFonts w:hint="default" w:ascii="Times New Roman" w:hAnsi="Times New Roman" w:eastAsia="宋体" w:cs="Times New Roman"/>
                <w:color w:val="auto"/>
                <w:sz w:val="18"/>
                <w:szCs w:val="18"/>
                <w:lang w:val="zh-CN" w:eastAsia="zh-CN" w:bidi="zh-CN"/>
              </w:rPr>
            </w:pPr>
            <w:r>
              <w:rPr>
                <w:rFonts w:hint="default" w:ascii="Times New Roman" w:hAnsi="Times New Roman" w:eastAsia="宋体" w:cs="Times New Roman"/>
                <w:color w:val="auto"/>
                <w:sz w:val="18"/>
                <w:szCs w:val="18"/>
                <w:lang w:val="zh-CN" w:eastAsia="zh-CN" w:bidi="zh-CN"/>
              </w:rPr>
              <w:t>SSE</w:t>
            </w:r>
          </w:p>
        </w:tc>
        <w:tc>
          <w:tcPr>
            <w:tcW w:w="468" w:type="dxa"/>
            <w:noWrap/>
            <w:vAlign w:val="center"/>
          </w:tcPr>
          <w:p w14:paraId="44C91308">
            <w:pPr>
              <w:widowControl w:val="0"/>
              <w:autoSpaceDE w:val="0"/>
              <w:autoSpaceDN w:val="0"/>
              <w:spacing w:before="63" w:line="257" w:lineRule="exact"/>
              <w:ind w:left="0" w:leftChars="0" w:right="22" w:firstLine="0" w:firstLineChars="0"/>
              <w:jc w:val="center"/>
              <w:rPr>
                <w:rFonts w:hint="default" w:ascii="Times New Roman" w:hAnsi="Times New Roman" w:eastAsia="宋体" w:cs="Times New Roman"/>
                <w:color w:val="auto"/>
                <w:sz w:val="18"/>
                <w:szCs w:val="18"/>
                <w:lang w:val="zh-CN" w:eastAsia="zh-CN" w:bidi="zh-CN"/>
              </w:rPr>
            </w:pPr>
            <w:r>
              <w:rPr>
                <w:rFonts w:hint="default" w:ascii="Times New Roman" w:hAnsi="Times New Roman" w:eastAsia="宋体" w:cs="Times New Roman"/>
                <w:color w:val="auto"/>
                <w:sz w:val="18"/>
                <w:szCs w:val="18"/>
                <w:lang w:val="zh-CN" w:eastAsia="zh-CN" w:bidi="zh-CN"/>
              </w:rPr>
              <w:t>S</w:t>
            </w:r>
          </w:p>
        </w:tc>
        <w:tc>
          <w:tcPr>
            <w:tcW w:w="468" w:type="dxa"/>
            <w:noWrap/>
            <w:vAlign w:val="center"/>
          </w:tcPr>
          <w:p w14:paraId="0DF1DFD0">
            <w:pPr>
              <w:widowControl w:val="0"/>
              <w:autoSpaceDE w:val="0"/>
              <w:autoSpaceDN w:val="0"/>
              <w:spacing w:before="63" w:line="257" w:lineRule="exact"/>
              <w:ind w:left="0" w:leftChars="0" w:right="22" w:firstLine="0" w:firstLineChars="0"/>
              <w:jc w:val="center"/>
              <w:rPr>
                <w:rFonts w:hint="default" w:ascii="Times New Roman" w:hAnsi="Times New Roman" w:eastAsia="宋体" w:cs="Times New Roman"/>
                <w:color w:val="auto"/>
                <w:sz w:val="18"/>
                <w:szCs w:val="18"/>
                <w:lang w:val="zh-CN" w:eastAsia="zh-CN" w:bidi="zh-CN"/>
              </w:rPr>
            </w:pPr>
            <w:r>
              <w:rPr>
                <w:rFonts w:hint="default" w:ascii="Times New Roman" w:hAnsi="Times New Roman" w:eastAsia="宋体" w:cs="Times New Roman"/>
                <w:color w:val="auto"/>
                <w:sz w:val="18"/>
                <w:szCs w:val="18"/>
                <w:lang w:val="zh-CN" w:eastAsia="zh-CN" w:bidi="zh-CN"/>
              </w:rPr>
              <w:t>SSW</w:t>
            </w:r>
          </w:p>
        </w:tc>
        <w:tc>
          <w:tcPr>
            <w:tcW w:w="468" w:type="dxa"/>
            <w:noWrap/>
            <w:vAlign w:val="center"/>
          </w:tcPr>
          <w:p w14:paraId="4B39B7C1">
            <w:pPr>
              <w:widowControl w:val="0"/>
              <w:autoSpaceDE w:val="0"/>
              <w:autoSpaceDN w:val="0"/>
              <w:spacing w:before="63" w:line="257" w:lineRule="exact"/>
              <w:ind w:left="0" w:leftChars="0" w:right="22" w:firstLine="0" w:firstLineChars="0"/>
              <w:jc w:val="center"/>
              <w:rPr>
                <w:rFonts w:hint="default" w:ascii="Times New Roman" w:hAnsi="Times New Roman" w:eastAsia="宋体" w:cs="Times New Roman"/>
                <w:color w:val="auto"/>
                <w:sz w:val="18"/>
                <w:szCs w:val="18"/>
                <w:lang w:val="zh-CN" w:eastAsia="zh-CN" w:bidi="zh-CN"/>
              </w:rPr>
            </w:pPr>
            <w:r>
              <w:rPr>
                <w:rFonts w:hint="default" w:ascii="Times New Roman" w:hAnsi="Times New Roman" w:eastAsia="宋体" w:cs="Times New Roman"/>
                <w:color w:val="auto"/>
                <w:sz w:val="18"/>
                <w:szCs w:val="18"/>
                <w:lang w:val="zh-CN" w:eastAsia="zh-CN" w:bidi="zh-CN"/>
              </w:rPr>
              <w:t>SW</w:t>
            </w:r>
          </w:p>
        </w:tc>
        <w:tc>
          <w:tcPr>
            <w:tcW w:w="512" w:type="dxa"/>
            <w:noWrap/>
            <w:vAlign w:val="center"/>
          </w:tcPr>
          <w:p w14:paraId="3EDAD378">
            <w:pPr>
              <w:widowControl w:val="0"/>
              <w:autoSpaceDE w:val="0"/>
              <w:autoSpaceDN w:val="0"/>
              <w:spacing w:before="63" w:line="257" w:lineRule="exact"/>
              <w:ind w:left="0" w:leftChars="0" w:right="22" w:firstLine="0" w:firstLineChars="0"/>
              <w:jc w:val="center"/>
              <w:rPr>
                <w:rFonts w:hint="default" w:ascii="Times New Roman" w:hAnsi="Times New Roman" w:eastAsia="宋体" w:cs="Times New Roman"/>
                <w:color w:val="auto"/>
                <w:sz w:val="18"/>
                <w:szCs w:val="18"/>
                <w:lang w:val="zh-CN" w:eastAsia="zh-CN" w:bidi="zh-CN"/>
              </w:rPr>
            </w:pPr>
            <w:r>
              <w:rPr>
                <w:rFonts w:hint="default" w:ascii="Times New Roman" w:hAnsi="Times New Roman" w:eastAsia="宋体" w:cs="Times New Roman"/>
                <w:color w:val="auto"/>
                <w:sz w:val="18"/>
                <w:szCs w:val="18"/>
                <w:lang w:val="zh-CN" w:eastAsia="zh-CN" w:bidi="zh-CN"/>
              </w:rPr>
              <w:t>WSW</w:t>
            </w:r>
          </w:p>
        </w:tc>
        <w:tc>
          <w:tcPr>
            <w:tcW w:w="474" w:type="dxa"/>
            <w:noWrap/>
            <w:vAlign w:val="center"/>
          </w:tcPr>
          <w:p w14:paraId="44CCFCA8">
            <w:pPr>
              <w:widowControl w:val="0"/>
              <w:autoSpaceDE w:val="0"/>
              <w:autoSpaceDN w:val="0"/>
              <w:spacing w:before="63" w:line="257" w:lineRule="exact"/>
              <w:ind w:left="0" w:leftChars="0" w:right="22" w:firstLine="0" w:firstLineChars="0"/>
              <w:jc w:val="center"/>
              <w:rPr>
                <w:rFonts w:hint="default" w:ascii="Times New Roman" w:hAnsi="Times New Roman" w:eastAsia="宋体" w:cs="Times New Roman"/>
                <w:color w:val="auto"/>
                <w:sz w:val="18"/>
                <w:szCs w:val="18"/>
                <w:lang w:val="zh-CN" w:eastAsia="zh-CN" w:bidi="zh-CN"/>
              </w:rPr>
            </w:pPr>
            <w:r>
              <w:rPr>
                <w:rFonts w:hint="default" w:ascii="Times New Roman" w:hAnsi="Times New Roman" w:eastAsia="宋体" w:cs="Times New Roman"/>
                <w:color w:val="auto"/>
                <w:sz w:val="18"/>
                <w:szCs w:val="18"/>
                <w:lang w:val="zh-CN" w:eastAsia="zh-CN" w:bidi="zh-CN"/>
              </w:rPr>
              <w:t>W</w:t>
            </w:r>
          </w:p>
        </w:tc>
        <w:tc>
          <w:tcPr>
            <w:tcW w:w="543" w:type="dxa"/>
            <w:noWrap/>
            <w:vAlign w:val="center"/>
          </w:tcPr>
          <w:p w14:paraId="438CA547">
            <w:pPr>
              <w:widowControl w:val="0"/>
              <w:autoSpaceDE w:val="0"/>
              <w:autoSpaceDN w:val="0"/>
              <w:spacing w:before="63" w:line="257" w:lineRule="exact"/>
              <w:ind w:left="0" w:leftChars="0" w:right="22" w:firstLine="0" w:firstLineChars="0"/>
              <w:jc w:val="center"/>
              <w:rPr>
                <w:rFonts w:hint="default" w:ascii="Times New Roman" w:hAnsi="Times New Roman" w:eastAsia="宋体" w:cs="Times New Roman"/>
                <w:color w:val="auto"/>
                <w:sz w:val="18"/>
                <w:szCs w:val="18"/>
                <w:lang w:val="zh-CN" w:eastAsia="zh-CN" w:bidi="zh-CN"/>
              </w:rPr>
            </w:pPr>
            <w:r>
              <w:rPr>
                <w:rFonts w:hint="default" w:ascii="Times New Roman" w:hAnsi="Times New Roman" w:eastAsia="宋体" w:cs="Times New Roman"/>
                <w:color w:val="auto"/>
                <w:sz w:val="18"/>
                <w:szCs w:val="18"/>
                <w:lang w:val="zh-CN" w:eastAsia="zh-CN" w:bidi="zh-CN"/>
              </w:rPr>
              <w:t>WNW</w:t>
            </w:r>
          </w:p>
        </w:tc>
        <w:tc>
          <w:tcPr>
            <w:tcW w:w="468" w:type="dxa"/>
            <w:noWrap/>
            <w:vAlign w:val="center"/>
          </w:tcPr>
          <w:p w14:paraId="0602534B">
            <w:pPr>
              <w:widowControl w:val="0"/>
              <w:autoSpaceDE w:val="0"/>
              <w:autoSpaceDN w:val="0"/>
              <w:spacing w:before="63" w:line="257" w:lineRule="exact"/>
              <w:ind w:left="0" w:leftChars="0" w:right="22" w:firstLine="0" w:firstLineChars="0"/>
              <w:jc w:val="center"/>
              <w:rPr>
                <w:rFonts w:hint="default" w:ascii="Times New Roman" w:hAnsi="Times New Roman" w:eastAsia="宋体" w:cs="Times New Roman"/>
                <w:color w:val="auto"/>
                <w:sz w:val="18"/>
                <w:szCs w:val="18"/>
                <w:lang w:val="zh-CN" w:eastAsia="zh-CN" w:bidi="zh-CN"/>
              </w:rPr>
            </w:pPr>
            <w:r>
              <w:rPr>
                <w:rFonts w:hint="default" w:ascii="Times New Roman" w:hAnsi="Times New Roman" w:eastAsia="宋体" w:cs="Times New Roman"/>
                <w:color w:val="auto"/>
                <w:sz w:val="18"/>
                <w:szCs w:val="18"/>
                <w:lang w:val="zh-CN" w:eastAsia="zh-CN" w:bidi="zh-CN"/>
              </w:rPr>
              <w:t>NW</w:t>
            </w:r>
          </w:p>
        </w:tc>
        <w:tc>
          <w:tcPr>
            <w:tcW w:w="502" w:type="dxa"/>
            <w:noWrap/>
            <w:vAlign w:val="center"/>
          </w:tcPr>
          <w:p w14:paraId="44327C12">
            <w:pPr>
              <w:widowControl w:val="0"/>
              <w:autoSpaceDE w:val="0"/>
              <w:autoSpaceDN w:val="0"/>
              <w:spacing w:before="63" w:line="257" w:lineRule="exact"/>
              <w:ind w:left="0" w:leftChars="0" w:right="22" w:firstLine="0" w:firstLineChars="0"/>
              <w:jc w:val="center"/>
              <w:rPr>
                <w:rFonts w:hint="default" w:ascii="Times New Roman" w:hAnsi="Times New Roman" w:eastAsia="宋体" w:cs="Times New Roman"/>
                <w:color w:val="auto"/>
                <w:sz w:val="18"/>
                <w:szCs w:val="18"/>
                <w:lang w:val="zh-CN" w:eastAsia="zh-CN" w:bidi="zh-CN"/>
              </w:rPr>
            </w:pPr>
            <w:r>
              <w:rPr>
                <w:rFonts w:hint="default" w:ascii="Times New Roman" w:hAnsi="Times New Roman" w:eastAsia="宋体" w:cs="Times New Roman"/>
                <w:color w:val="auto"/>
                <w:sz w:val="18"/>
                <w:szCs w:val="18"/>
                <w:lang w:val="zh-CN" w:eastAsia="zh-CN" w:bidi="zh-CN"/>
              </w:rPr>
              <w:t>NNW</w:t>
            </w:r>
          </w:p>
        </w:tc>
        <w:tc>
          <w:tcPr>
            <w:tcW w:w="469" w:type="dxa"/>
            <w:noWrap/>
            <w:vAlign w:val="center"/>
          </w:tcPr>
          <w:p w14:paraId="5DC5FB18">
            <w:pPr>
              <w:widowControl w:val="0"/>
              <w:autoSpaceDE w:val="0"/>
              <w:autoSpaceDN w:val="0"/>
              <w:spacing w:before="63" w:line="257" w:lineRule="exact"/>
              <w:ind w:left="0" w:leftChars="0" w:right="22" w:firstLine="0" w:firstLineChars="0"/>
              <w:jc w:val="center"/>
              <w:rPr>
                <w:rFonts w:hint="default" w:ascii="Times New Roman" w:hAnsi="Times New Roman" w:eastAsia="宋体" w:cs="Times New Roman"/>
                <w:color w:val="auto"/>
                <w:sz w:val="18"/>
                <w:szCs w:val="18"/>
                <w:lang w:val="zh-CN" w:eastAsia="zh-CN" w:bidi="zh-CN"/>
              </w:rPr>
            </w:pPr>
            <w:r>
              <w:rPr>
                <w:rFonts w:hint="default" w:ascii="Times New Roman" w:hAnsi="Times New Roman" w:eastAsia="宋体" w:cs="Times New Roman"/>
                <w:color w:val="auto"/>
                <w:sz w:val="18"/>
                <w:szCs w:val="18"/>
                <w:lang w:val="zh-CN" w:eastAsia="zh-CN" w:bidi="zh-CN"/>
              </w:rPr>
              <w:t>C</w:t>
            </w:r>
          </w:p>
        </w:tc>
      </w:tr>
      <w:tr w14:paraId="2889231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6" w:type="dxa"/>
            <w:bottom w:w="0" w:type="dxa"/>
            <w:right w:w="6" w:type="dxa"/>
          </w:tblCellMar>
        </w:tblPrEx>
        <w:trPr>
          <w:trHeight w:val="357" w:hRule="atLeast"/>
        </w:trPr>
        <w:tc>
          <w:tcPr>
            <w:tcW w:w="881" w:type="dxa"/>
            <w:noWrap/>
            <w:vAlign w:val="center"/>
          </w:tcPr>
          <w:p w14:paraId="5804660B">
            <w:pPr>
              <w:widowControl w:val="0"/>
              <w:autoSpaceDE w:val="0"/>
              <w:autoSpaceDN w:val="0"/>
              <w:spacing w:before="63" w:line="257" w:lineRule="exact"/>
              <w:ind w:left="0" w:leftChars="0" w:right="22" w:firstLine="0" w:firstLineChars="0"/>
              <w:jc w:val="center"/>
              <w:rPr>
                <w:rFonts w:hint="default" w:ascii="Times New Roman" w:hAnsi="Times New Roman" w:eastAsia="宋体" w:cs="Times New Roman"/>
                <w:color w:val="auto"/>
                <w:sz w:val="18"/>
                <w:szCs w:val="18"/>
                <w:lang w:val="zh-CN" w:eastAsia="zh-CN" w:bidi="zh-CN"/>
              </w:rPr>
            </w:pPr>
            <w:r>
              <w:rPr>
                <w:rFonts w:hint="default" w:ascii="Times New Roman" w:hAnsi="Times New Roman" w:eastAsia="宋体" w:cs="Times New Roman"/>
                <w:color w:val="auto"/>
                <w:sz w:val="18"/>
                <w:szCs w:val="18"/>
                <w:lang w:val="zh-CN" w:eastAsia="zh-CN" w:bidi="zh-CN"/>
              </w:rPr>
              <w:t>一月</w:t>
            </w:r>
          </w:p>
        </w:tc>
        <w:tc>
          <w:tcPr>
            <w:tcW w:w="487" w:type="dxa"/>
            <w:noWrap/>
            <w:vAlign w:val="center"/>
          </w:tcPr>
          <w:p w14:paraId="2D6E4B0F">
            <w:pPr>
              <w:widowControl w:val="0"/>
              <w:autoSpaceDE w:val="0"/>
              <w:autoSpaceDN w:val="0"/>
              <w:spacing w:before="63" w:line="257" w:lineRule="exact"/>
              <w:ind w:left="0" w:leftChars="0" w:right="22" w:firstLine="0" w:firstLineChars="0"/>
              <w:jc w:val="center"/>
              <w:rPr>
                <w:rFonts w:hint="default" w:ascii="Times New Roman" w:hAnsi="Times New Roman" w:eastAsia="宋体" w:cs="Times New Roman"/>
                <w:color w:val="auto"/>
                <w:sz w:val="18"/>
                <w:szCs w:val="18"/>
                <w:lang w:val="zh-CN" w:eastAsia="zh-CN" w:bidi="zh-CN"/>
              </w:rPr>
            </w:pPr>
            <w:r>
              <w:rPr>
                <w:rFonts w:hint="default" w:ascii="Times New Roman" w:hAnsi="Times New Roman" w:eastAsia="宋体" w:cs="Times New Roman"/>
                <w:color w:val="auto"/>
                <w:sz w:val="18"/>
                <w:szCs w:val="18"/>
                <w:lang w:val="zh-CN" w:eastAsia="zh-CN" w:bidi="zh-CN"/>
              </w:rPr>
              <w:t>6.72</w:t>
            </w:r>
          </w:p>
        </w:tc>
        <w:tc>
          <w:tcPr>
            <w:tcW w:w="436" w:type="dxa"/>
            <w:noWrap/>
            <w:vAlign w:val="center"/>
          </w:tcPr>
          <w:p w14:paraId="6709D3FC">
            <w:pPr>
              <w:widowControl w:val="0"/>
              <w:autoSpaceDE w:val="0"/>
              <w:autoSpaceDN w:val="0"/>
              <w:spacing w:before="63" w:line="257" w:lineRule="exact"/>
              <w:ind w:left="0" w:leftChars="0" w:right="22" w:firstLine="0" w:firstLineChars="0"/>
              <w:jc w:val="center"/>
              <w:rPr>
                <w:rFonts w:hint="default" w:ascii="Times New Roman" w:hAnsi="Times New Roman" w:eastAsia="宋体" w:cs="Times New Roman"/>
                <w:color w:val="auto"/>
                <w:sz w:val="18"/>
                <w:szCs w:val="18"/>
                <w:lang w:val="zh-CN" w:eastAsia="zh-CN" w:bidi="zh-CN"/>
              </w:rPr>
            </w:pPr>
            <w:r>
              <w:rPr>
                <w:rFonts w:hint="default" w:ascii="Times New Roman" w:hAnsi="Times New Roman" w:eastAsia="宋体" w:cs="Times New Roman"/>
                <w:color w:val="auto"/>
                <w:sz w:val="18"/>
                <w:szCs w:val="18"/>
                <w:lang w:val="zh-CN" w:eastAsia="zh-CN" w:bidi="zh-CN"/>
              </w:rPr>
              <w:t>4.70</w:t>
            </w:r>
          </w:p>
        </w:tc>
        <w:tc>
          <w:tcPr>
            <w:tcW w:w="468" w:type="dxa"/>
            <w:noWrap/>
            <w:vAlign w:val="center"/>
          </w:tcPr>
          <w:p w14:paraId="27F82C28">
            <w:pPr>
              <w:widowControl w:val="0"/>
              <w:autoSpaceDE w:val="0"/>
              <w:autoSpaceDN w:val="0"/>
              <w:spacing w:before="63" w:line="257" w:lineRule="exact"/>
              <w:ind w:left="0" w:leftChars="0" w:right="22" w:firstLine="0" w:firstLineChars="0"/>
              <w:jc w:val="center"/>
              <w:rPr>
                <w:rFonts w:hint="default" w:ascii="Times New Roman" w:hAnsi="Times New Roman" w:eastAsia="宋体" w:cs="Times New Roman"/>
                <w:color w:val="auto"/>
                <w:sz w:val="18"/>
                <w:szCs w:val="18"/>
                <w:lang w:val="zh-CN" w:eastAsia="zh-CN" w:bidi="zh-CN"/>
              </w:rPr>
            </w:pPr>
            <w:r>
              <w:rPr>
                <w:rFonts w:hint="default" w:ascii="Times New Roman" w:hAnsi="Times New Roman" w:eastAsia="宋体" w:cs="Times New Roman"/>
                <w:color w:val="auto"/>
                <w:sz w:val="18"/>
                <w:szCs w:val="18"/>
                <w:lang w:val="zh-CN" w:eastAsia="zh-CN" w:bidi="zh-CN"/>
              </w:rPr>
              <w:t>6.59</w:t>
            </w:r>
          </w:p>
        </w:tc>
        <w:tc>
          <w:tcPr>
            <w:tcW w:w="474" w:type="dxa"/>
            <w:noWrap/>
            <w:vAlign w:val="center"/>
          </w:tcPr>
          <w:p w14:paraId="63EC4C80">
            <w:pPr>
              <w:widowControl w:val="0"/>
              <w:autoSpaceDE w:val="0"/>
              <w:autoSpaceDN w:val="0"/>
              <w:spacing w:before="63" w:line="257" w:lineRule="exact"/>
              <w:ind w:left="0" w:leftChars="0" w:right="22" w:firstLine="0" w:firstLineChars="0"/>
              <w:jc w:val="center"/>
              <w:rPr>
                <w:rFonts w:hint="default" w:ascii="Times New Roman" w:hAnsi="Times New Roman" w:eastAsia="宋体" w:cs="Times New Roman"/>
                <w:color w:val="auto"/>
                <w:sz w:val="18"/>
                <w:szCs w:val="18"/>
                <w:lang w:val="zh-CN" w:eastAsia="zh-CN" w:bidi="zh-CN"/>
              </w:rPr>
            </w:pPr>
            <w:r>
              <w:rPr>
                <w:rFonts w:hint="default" w:ascii="Times New Roman" w:hAnsi="Times New Roman" w:eastAsia="宋体" w:cs="Times New Roman"/>
                <w:color w:val="auto"/>
                <w:sz w:val="18"/>
                <w:szCs w:val="18"/>
                <w:lang w:val="zh-CN" w:eastAsia="zh-CN" w:bidi="zh-CN"/>
              </w:rPr>
              <w:t>8.47</w:t>
            </w:r>
          </w:p>
        </w:tc>
        <w:tc>
          <w:tcPr>
            <w:tcW w:w="474" w:type="dxa"/>
            <w:noWrap/>
            <w:vAlign w:val="center"/>
          </w:tcPr>
          <w:p w14:paraId="10A904DC">
            <w:pPr>
              <w:widowControl w:val="0"/>
              <w:autoSpaceDE w:val="0"/>
              <w:autoSpaceDN w:val="0"/>
              <w:spacing w:before="63" w:line="257" w:lineRule="exact"/>
              <w:ind w:left="0" w:leftChars="0" w:right="22" w:firstLine="0" w:firstLineChars="0"/>
              <w:jc w:val="center"/>
              <w:rPr>
                <w:rFonts w:hint="default" w:ascii="Times New Roman" w:hAnsi="Times New Roman" w:eastAsia="宋体" w:cs="Times New Roman"/>
                <w:color w:val="auto"/>
                <w:sz w:val="18"/>
                <w:szCs w:val="18"/>
                <w:lang w:val="zh-CN" w:eastAsia="zh-CN" w:bidi="zh-CN"/>
              </w:rPr>
            </w:pPr>
            <w:r>
              <w:rPr>
                <w:rFonts w:hint="default" w:ascii="Times New Roman" w:hAnsi="Times New Roman" w:eastAsia="宋体" w:cs="Times New Roman"/>
                <w:color w:val="auto"/>
                <w:sz w:val="18"/>
                <w:szCs w:val="18"/>
                <w:lang w:val="zh-CN" w:eastAsia="zh-CN" w:bidi="zh-CN"/>
              </w:rPr>
              <w:t>17.20</w:t>
            </w:r>
          </w:p>
        </w:tc>
        <w:tc>
          <w:tcPr>
            <w:tcW w:w="474" w:type="dxa"/>
            <w:noWrap/>
            <w:vAlign w:val="center"/>
          </w:tcPr>
          <w:p w14:paraId="17AACCBF">
            <w:pPr>
              <w:widowControl w:val="0"/>
              <w:autoSpaceDE w:val="0"/>
              <w:autoSpaceDN w:val="0"/>
              <w:spacing w:before="63" w:line="257" w:lineRule="exact"/>
              <w:ind w:left="0" w:leftChars="0" w:right="22" w:firstLine="0" w:firstLineChars="0"/>
              <w:jc w:val="center"/>
              <w:rPr>
                <w:rFonts w:hint="default" w:ascii="Times New Roman" w:hAnsi="Times New Roman" w:eastAsia="宋体" w:cs="Times New Roman"/>
                <w:color w:val="auto"/>
                <w:sz w:val="18"/>
                <w:szCs w:val="18"/>
                <w:lang w:val="zh-CN" w:eastAsia="zh-CN" w:bidi="zh-CN"/>
              </w:rPr>
            </w:pPr>
            <w:r>
              <w:rPr>
                <w:rFonts w:hint="default" w:ascii="Times New Roman" w:hAnsi="Times New Roman" w:eastAsia="宋体" w:cs="Times New Roman"/>
                <w:color w:val="auto"/>
                <w:sz w:val="18"/>
                <w:szCs w:val="18"/>
                <w:lang w:val="zh-CN" w:eastAsia="zh-CN" w:bidi="zh-CN"/>
              </w:rPr>
              <w:t>6.05</w:t>
            </w:r>
          </w:p>
        </w:tc>
        <w:tc>
          <w:tcPr>
            <w:tcW w:w="468" w:type="dxa"/>
            <w:noWrap/>
            <w:vAlign w:val="center"/>
          </w:tcPr>
          <w:p w14:paraId="1E1C838D">
            <w:pPr>
              <w:widowControl w:val="0"/>
              <w:autoSpaceDE w:val="0"/>
              <w:autoSpaceDN w:val="0"/>
              <w:spacing w:before="63" w:line="257" w:lineRule="exact"/>
              <w:ind w:left="0" w:leftChars="0" w:right="22" w:firstLine="0" w:firstLineChars="0"/>
              <w:jc w:val="center"/>
              <w:rPr>
                <w:rFonts w:hint="default" w:ascii="Times New Roman" w:hAnsi="Times New Roman" w:eastAsia="宋体" w:cs="Times New Roman"/>
                <w:color w:val="auto"/>
                <w:sz w:val="18"/>
                <w:szCs w:val="18"/>
                <w:lang w:val="zh-CN" w:eastAsia="zh-CN" w:bidi="zh-CN"/>
              </w:rPr>
            </w:pPr>
            <w:r>
              <w:rPr>
                <w:rFonts w:hint="default" w:ascii="Times New Roman" w:hAnsi="Times New Roman" w:eastAsia="宋体" w:cs="Times New Roman"/>
                <w:color w:val="auto"/>
                <w:sz w:val="18"/>
                <w:szCs w:val="18"/>
                <w:lang w:val="zh-CN" w:eastAsia="zh-CN" w:bidi="zh-CN"/>
              </w:rPr>
              <w:t>3.36</w:t>
            </w:r>
          </w:p>
        </w:tc>
        <w:tc>
          <w:tcPr>
            <w:tcW w:w="468" w:type="dxa"/>
            <w:noWrap/>
            <w:vAlign w:val="center"/>
          </w:tcPr>
          <w:p w14:paraId="05A8F6C8">
            <w:pPr>
              <w:widowControl w:val="0"/>
              <w:autoSpaceDE w:val="0"/>
              <w:autoSpaceDN w:val="0"/>
              <w:spacing w:before="63" w:line="257" w:lineRule="exact"/>
              <w:ind w:left="0" w:leftChars="0" w:right="22" w:firstLine="0" w:firstLineChars="0"/>
              <w:jc w:val="center"/>
              <w:rPr>
                <w:rFonts w:hint="default" w:ascii="Times New Roman" w:hAnsi="Times New Roman" w:eastAsia="宋体" w:cs="Times New Roman"/>
                <w:color w:val="auto"/>
                <w:sz w:val="18"/>
                <w:szCs w:val="18"/>
                <w:lang w:val="zh-CN" w:eastAsia="zh-CN" w:bidi="zh-CN"/>
              </w:rPr>
            </w:pPr>
            <w:r>
              <w:rPr>
                <w:rFonts w:hint="default" w:ascii="Times New Roman" w:hAnsi="Times New Roman" w:eastAsia="宋体" w:cs="Times New Roman"/>
                <w:color w:val="auto"/>
                <w:sz w:val="18"/>
                <w:szCs w:val="18"/>
                <w:lang w:val="zh-CN" w:eastAsia="zh-CN" w:bidi="zh-CN"/>
              </w:rPr>
              <w:t>2.42</w:t>
            </w:r>
          </w:p>
        </w:tc>
        <w:tc>
          <w:tcPr>
            <w:tcW w:w="468" w:type="dxa"/>
            <w:noWrap/>
            <w:vAlign w:val="center"/>
          </w:tcPr>
          <w:p w14:paraId="58130A0E">
            <w:pPr>
              <w:widowControl w:val="0"/>
              <w:autoSpaceDE w:val="0"/>
              <w:autoSpaceDN w:val="0"/>
              <w:spacing w:before="63" w:line="257" w:lineRule="exact"/>
              <w:ind w:left="0" w:leftChars="0" w:right="22" w:firstLine="0" w:firstLineChars="0"/>
              <w:jc w:val="center"/>
              <w:rPr>
                <w:rFonts w:hint="default" w:ascii="Times New Roman" w:hAnsi="Times New Roman" w:eastAsia="宋体" w:cs="Times New Roman"/>
                <w:color w:val="auto"/>
                <w:sz w:val="18"/>
                <w:szCs w:val="18"/>
                <w:lang w:val="zh-CN" w:eastAsia="zh-CN" w:bidi="zh-CN"/>
              </w:rPr>
            </w:pPr>
            <w:r>
              <w:rPr>
                <w:rFonts w:hint="default" w:ascii="Times New Roman" w:hAnsi="Times New Roman" w:eastAsia="宋体" w:cs="Times New Roman"/>
                <w:color w:val="auto"/>
                <w:sz w:val="18"/>
                <w:szCs w:val="18"/>
                <w:lang w:val="zh-CN" w:eastAsia="zh-CN" w:bidi="zh-CN"/>
              </w:rPr>
              <w:t>3.49</w:t>
            </w:r>
          </w:p>
        </w:tc>
        <w:tc>
          <w:tcPr>
            <w:tcW w:w="468" w:type="dxa"/>
            <w:noWrap/>
            <w:vAlign w:val="center"/>
          </w:tcPr>
          <w:p w14:paraId="7E862B62">
            <w:pPr>
              <w:widowControl w:val="0"/>
              <w:autoSpaceDE w:val="0"/>
              <w:autoSpaceDN w:val="0"/>
              <w:spacing w:before="63" w:line="257" w:lineRule="exact"/>
              <w:ind w:left="0" w:leftChars="0" w:right="22" w:firstLine="0" w:firstLineChars="0"/>
              <w:jc w:val="center"/>
              <w:rPr>
                <w:rFonts w:hint="default" w:ascii="Times New Roman" w:hAnsi="Times New Roman" w:eastAsia="宋体" w:cs="Times New Roman"/>
                <w:color w:val="auto"/>
                <w:sz w:val="18"/>
                <w:szCs w:val="18"/>
                <w:lang w:val="zh-CN" w:eastAsia="zh-CN" w:bidi="zh-CN"/>
              </w:rPr>
            </w:pPr>
            <w:r>
              <w:rPr>
                <w:rFonts w:hint="default" w:ascii="Times New Roman" w:hAnsi="Times New Roman" w:eastAsia="宋体" w:cs="Times New Roman"/>
                <w:color w:val="auto"/>
                <w:sz w:val="18"/>
                <w:szCs w:val="18"/>
                <w:lang w:val="zh-CN" w:eastAsia="zh-CN" w:bidi="zh-CN"/>
              </w:rPr>
              <w:t>2.96</w:t>
            </w:r>
          </w:p>
        </w:tc>
        <w:tc>
          <w:tcPr>
            <w:tcW w:w="468" w:type="dxa"/>
            <w:noWrap/>
            <w:vAlign w:val="center"/>
          </w:tcPr>
          <w:p w14:paraId="0B7FFA88">
            <w:pPr>
              <w:widowControl w:val="0"/>
              <w:autoSpaceDE w:val="0"/>
              <w:autoSpaceDN w:val="0"/>
              <w:spacing w:before="63" w:line="257" w:lineRule="exact"/>
              <w:ind w:left="0" w:leftChars="0" w:right="22" w:firstLine="0" w:firstLineChars="0"/>
              <w:jc w:val="center"/>
              <w:rPr>
                <w:rFonts w:hint="default" w:ascii="Times New Roman" w:hAnsi="Times New Roman" w:eastAsia="宋体" w:cs="Times New Roman"/>
                <w:color w:val="auto"/>
                <w:sz w:val="18"/>
                <w:szCs w:val="18"/>
                <w:lang w:val="zh-CN" w:eastAsia="zh-CN" w:bidi="zh-CN"/>
              </w:rPr>
            </w:pPr>
            <w:r>
              <w:rPr>
                <w:rFonts w:hint="default" w:ascii="Times New Roman" w:hAnsi="Times New Roman" w:eastAsia="宋体" w:cs="Times New Roman"/>
                <w:color w:val="auto"/>
                <w:sz w:val="18"/>
                <w:szCs w:val="18"/>
                <w:lang w:val="zh-CN" w:eastAsia="zh-CN" w:bidi="zh-CN"/>
              </w:rPr>
              <w:t>6.18</w:t>
            </w:r>
          </w:p>
        </w:tc>
        <w:tc>
          <w:tcPr>
            <w:tcW w:w="512" w:type="dxa"/>
            <w:noWrap/>
            <w:vAlign w:val="center"/>
          </w:tcPr>
          <w:p w14:paraId="798757B5">
            <w:pPr>
              <w:widowControl w:val="0"/>
              <w:autoSpaceDE w:val="0"/>
              <w:autoSpaceDN w:val="0"/>
              <w:spacing w:before="63" w:line="257" w:lineRule="exact"/>
              <w:ind w:left="0" w:leftChars="0" w:right="22" w:firstLine="0" w:firstLineChars="0"/>
              <w:jc w:val="center"/>
              <w:rPr>
                <w:rFonts w:hint="default" w:ascii="Times New Roman" w:hAnsi="Times New Roman" w:eastAsia="宋体" w:cs="Times New Roman"/>
                <w:color w:val="auto"/>
                <w:sz w:val="18"/>
                <w:szCs w:val="18"/>
                <w:lang w:val="zh-CN" w:eastAsia="zh-CN" w:bidi="zh-CN"/>
              </w:rPr>
            </w:pPr>
            <w:r>
              <w:rPr>
                <w:rFonts w:hint="default" w:ascii="Times New Roman" w:hAnsi="Times New Roman" w:eastAsia="宋体" w:cs="Times New Roman"/>
                <w:color w:val="auto"/>
                <w:sz w:val="18"/>
                <w:szCs w:val="18"/>
                <w:lang w:val="zh-CN" w:eastAsia="zh-CN" w:bidi="zh-CN"/>
              </w:rPr>
              <w:t>9.01</w:t>
            </w:r>
          </w:p>
        </w:tc>
        <w:tc>
          <w:tcPr>
            <w:tcW w:w="474" w:type="dxa"/>
            <w:noWrap/>
            <w:vAlign w:val="center"/>
          </w:tcPr>
          <w:p w14:paraId="6DC128F4">
            <w:pPr>
              <w:widowControl w:val="0"/>
              <w:autoSpaceDE w:val="0"/>
              <w:autoSpaceDN w:val="0"/>
              <w:spacing w:before="63" w:line="257" w:lineRule="exact"/>
              <w:ind w:left="0" w:leftChars="0" w:right="22" w:firstLine="0" w:firstLineChars="0"/>
              <w:jc w:val="center"/>
              <w:rPr>
                <w:rFonts w:hint="default" w:ascii="Times New Roman" w:hAnsi="Times New Roman" w:eastAsia="宋体" w:cs="Times New Roman"/>
                <w:color w:val="auto"/>
                <w:sz w:val="18"/>
                <w:szCs w:val="18"/>
                <w:lang w:val="zh-CN" w:eastAsia="zh-CN" w:bidi="zh-CN"/>
              </w:rPr>
            </w:pPr>
            <w:r>
              <w:rPr>
                <w:rFonts w:hint="default" w:ascii="Times New Roman" w:hAnsi="Times New Roman" w:eastAsia="宋体" w:cs="Times New Roman"/>
                <w:color w:val="auto"/>
                <w:sz w:val="18"/>
                <w:szCs w:val="18"/>
                <w:lang w:val="zh-CN" w:eastAsia="zh-CN" w:bidi="zh-CN"/>
              </w:rPr>
              <w:t>12.10</w:t>
            </w:r>
          </w:p>
        </w:tc>
        <w:tc>
          <w:tcPr>
            <w:tcW w:w="543" w:type="dxa"/>
            <w:noWrap/>
            <w:vAlign w:val="center"/>
          </w:tcPr>
          <w:p w14:paraId="3D11BF9E">
            <w:pPr>
              <w:widowControl w:val="0"/>
              <w:autoSpaceDE w:val="0"/>
              <w:autoSpaceDN w:val="0"/>
              <w:spacing w:before="63" w:line="257" w:lineRule="exact"/>
              <w:ind w:left="0" w:leftChars="0" w:right="22" w:firstLine="0" w:firstLineChars="0"/>
              <w:jc w:val="center"/>
              <w:rPr>
                <w:rFonts w:hint="default" w:ascii="Times New Roman" w:hAnsi="Times New Roman" w:eastAsia="宋体" w:cs="Times New Roman"/>
                <w:color w:val="auto"/>
                <w:sz w:val="18"/>
                <w:szCs w:val="18"/>
                <w:lang w:val="zh-CN" w:eastAsia="zh-CN" w:bidi="zh-CN"/>
              </w:rPr>
            </w:pPr>
            <w:r>
              <w:rPr>
                <w:rFonts w:hint="default" w:ascii="Times New Roman" w:hAnsi="Times New Roman" w:eastAsia="宋体" w:cs="Times New Roman"/>
                <w:color w:val="auto"/>
                <w:sz w:val="18"/>
                <w:szCs w:val="18"/>
                <w:lang w:val="zh-CN" w:eastAsia="zh-CN" w:bidi="zh-CN"/>
              </w:rPr>
              <w:t>3.23</w:t>
            </w:r>
          </w:p>
        </w:tc>
        <w:tc>
          <w:tcPr>
            <w:tcW w:w="468" w:type="dxa"/>
            <w:noWrap/>
            <w:vAlign w:val="center"/>
          </w:tcPr>
          <w:p w14:paraId="7CC93A67">
            <w:pPr>
              <w:widowControl w:val="0"/>
              <w:autoSpaceDE w:val="0"/>
              <w:autoSpaceDN w:val="0"/>
              <w:spacing w:before="63" w:line="257" w:lineRule="exact"/>
              <w:ind w:left="0" w:leftChars="0" w:right="22" w:firstLine="0" w:firstLineChars="0"/>
              <w:jc w:val="center"/>
              <w:rPr>
                <w:rFonts w:hint="default" w:ascii="Times New Roman" w:hAnsi="Times New Roman" w:eastAsia="宋体" w:cs="Times New Roman"/>
                <w:color w:val="auto"/>
                <w:sz w:val="18"/>
                <w:szCs w:val="18"/>
                <w:lang w:val="zh-CN" w:eastAsia="zh-CN" w:bidi="zh-CN"/>
              </w:rPr>
            </w:pPr>
            <w:r>
              <w:rPr>
                <w:rFonts w:hint="default" w:ascii="Times New Roman" w:hAnsi="Times New Roman" w:eastAsia="宋体" w:cs="Times New Roman"/>
                <w:color w:val="auto"/>
                <w:sz w:val="18"/>
                <w:szCs w:val="18"/>
                <w:lang w:val="zh-CN" w:eastAsia="zh-CN" w:bidi="zh-CN"/>
              </w:rPr>
              <w:t>3.23</w:t>
            </w:r>
          </w:p>
        </w:tc>
        <w:tc>
          <w:tcPr>
            <w:tcW w:w="502" w:type="dxa"/>
            <w:noWrap/>
            <w:vAlign w:val="center"/>
          </w:tcPr>
          <w:p w14:paraId="1BB56DA3">
            <w:pPr>
              <w:widowControl w:val="0"/>
              <w:autoSpaceDE w:val="0"/>
              <w:autoSpaceDN w:val="0"/>
              <w:spacing w:before="63" w:line="257" w:lineRule="exact"/>
              <w:ind w:left="0" w:leftChars="0" w:right="22" w:firstLine="0" w:firstLineChars="0"/>
              <w:jc w:val="center"/>
              <w:rPr>
                <w:rFonts w:hint="default" w:ascii="Times New Roman" w:hAnsi="Times New Roman" w:eastAsia="宋体" w:cs="Times New Roman"/>
                <w:color w:val="auto"/>
                <w:sz w:val="18"/>
                <w:szCs w:val="18"/>
                <w:lang w:val="zh-CN" w:eastAsia="zh-CN" w:bidi="zh-CN"/>
              </w:rPr>
            </w:pPr>
            <w:r>
              <w:rPr>
                <w:rFonts w:hint="default" w:ascii="Times New Roman" w:hAnsi="Times New Roman" w:eastAsia="宋体" w:cs="Times New Roman"/>
                <w:color w:val="auto"/>
                <w:sz w:val="18"/>
                <w:szCs w:val="18"/>
                <w:lang w:val="zh-CN" w:eastAsia="zh-CN" w:bidi="zh-CN"/>
              </w:rPr>
              <w:t>4.30</w:t>
            </w:r>
          </w:p>
        </w:tc>
        <w:tc>
          <w:tcPr>
            <w:tcW w:w="469" w:type="dxa"/>
            <w:noWrap/>
            <w:vAlign w:val="center"/>
          </w:tcPr>
          <w:p w14:paraId="64175E5F">
            <w:pPr>
              <w:widowControl w:val="0"/>
              <w:autoSpaceDE w:val="0"/>
              <w:autoSpaceDN w:val="0"/>
              <w:spacing w:before="63" w:line="257" w:lineRule="exact"/>
              <w:ind w:left="0" w:leftChars="0" w:right="22" w:firstLine="0" w:firstLineChars="0"/>
              <w:jc w:val="center"/>
              <w:rPr>
                <w:rFonts w:hint="default" w:ascii="Times New Roman" w:hAnsi="Times New Roman" w:eastAsia="宋体" w:cs="Times New Roman"/>
                <w:color w:val="auto"/>
                <w:sz w:val="18"/>
                <w:szCs w:val="18"/>
                <w:lang w:val="zh-CN" w:eastAsia="zh-CN" w:bidi="zh-CN"/>
              </w:rPr>
            </w:pPr>
            <w:r>
              <w:rPr>
                <w:rFonts w:hint="default" w:ascii="Times New Roman" w:hAnsi="Times New Roman" w:eastAsia="宋体" w:cs="Times New Roman"/>
                <w:color w:val="auto"/>
                <w:sz w:val="18"/>
                <w:szCs w:val="18"/>
                <w:lang w:val="zh-CN" w:eastAsia="zh-CN" w:bidi="zh-CN"/>
              </w:rPr>
              <w:t>0.00</w:t>
            </w:r>
          </w:p>
        </w:tc>
      </w:tr>
      <w:tr w14:paraId="36635CC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6" w:type="dxa"/>
            <w:bottom w:w="0" w:type="dxa"/>
            <w:right w:w="6" w:type="dxa"/>
          </w:tblCellMar>
        </w:tblPrEx>
        <w:trPr>
          <w:trHeight w:val="357" w:hRule="atLeast"/>
        </w:trPr>
        <w:tc>
          <w:tcPr>
            <w:tcW w:w="881" w:type="dxa"/>
            <w:noWrap/>
            <w:vAlign w:val="center"/>
          </w:tcPr>
          <w:p w14:paraId="0E99D764">
            <w:pPr>
              <w:widowControl w:val="0"/>
              <w:autoSpaceDE w:val="0"/>
              <w:autoSpaceDN w:val="0"/>
              <w:spacing w:before="63" w:line="257" w:lineRule="exact"/>
              <w:ind w:left="0" w:leftChars="0" w:right="22" w:firstLine="0" w:firstLineChars="0"/>
              <w:jc w:val="center"/>
              <w:rPr>
                <w:rFonts w:hint="default" w:ascii="Times New Roman" w:hAnsi="Times New Roman" w:eastAsia="宋体" w:cs="Times New Roman"/>
                <w:color w:val="auto"/>
                <w:sz w:val="18"/>
                <w:szCs w:val="18"/>
                <w:lang w:val="zh-CN" w:eastAsia="zh-CN" w:bidi="zh-CN"/>
              </w:rPr>
            </w:pPr>
            <w:r>
              <w:rPr>
                <w:rFonts w:hint="default" w:ascii="Times New Roman" w:hAnsi="Times New Roman" w:eastAsia="宋体" w:cs="Times New Roman"/>
                <w:color w:val="auto"/>
                <w:sz w:val="18"/>
                <w:szCs w:val="18"/>
                <w:lang w:val="zh-CN" w:eastAsia="zh-CN" w:bidi="zh-CN"/>
              </w:rPr>
              <w:t>二月</w:t>
            </w:r>
          </w:p>
        </w:tc>
        <w:tc>
          <w:tcPr>
            <w:tcW w:w="487" w:type="dxa"/>
            <w:noWrap/>
            <w:vAlign w:val="center"/>
          </w:tcPr>
          <w:p w14:paraId="7B88F8C2">
            <w:pPr>
              <w:widowControl w:val="0"/>
              <w:autoSpaceDE w:val="0"/>
              <w:autoSpaceDN w:val="0"/>
              <w:spacing w:before="63" w:line="257" w:lineRule="exact"/>
              <w:ind w:left="0" w:leftChars="0" w:right="22" w:firstLine="0" w:firstLineChars="0"/>
              <w:jc w:val="center"/>
              <w:rPr>
                <w:rFonts w:hint="default" w:ascii="Times New Roman" w:hAnsi="Times New Roman" w:eastAsia="宋体" w:cs="Times New Roman"/>
                <w:color w:val="auto"/>
                <w:sz w:val="18"/>
                <w:szCs w:val="18"/>
                <w:lang w:val="zh-CN" w:eastAsia="zh-CN" w:bidi="zh-CN"/>
              </w:rPr>
            </w:pPr>
            <w:r>
              <w:rPr>
                <w:rFonts w:hint="default" w:ascii="Times New Roman" w:hAnsi="Times New Roman" w:eastAsia="宋体" w:cs="Times New Roman"/>
                <w:color w:val="auto"/>
                <w:sz w:val="18"/>
                <w:szCs w:val="18"/>
                <w:lang w:val="zh-CN" w:eastAsia="zh-CN" w:bidi="zh-CN"/>
              </w:rPr>
              <w:t>3.30</w:t>
            </w:r>
          </w:p>
        </w:tc>
        <w:tc>
          <w:tcPr>
            <w:tcW w:w="436" w:type="dxa"/>
            <w:noWrap/>
            <w:vAlign w:val="center"/>
          </w:tcPr>
          <w:p w14:paraId="19EBDE6D">
            <w:pPr>
              <w:widowControl w:val="0"/>
              <w:autoSpaceDE w:val="0"/>
              <w:autoSpaceDN w:val="0"/>
              <w:spacing w:before="63" w:line="257" w:lineRule="exact"/>
              <w:ind w:left="0" w:leftChars="0" w:right="22" w:firstLine="0" w:firstLineChars="0"/>
              <w:jc w:val="center"/>
              <w:rPr>
                <w:rFonts w:hint="default" w:ascii="Times New Roman" w:hAnsi="Times New Roman" w:eastAsia="宋体" w:cs="Times New Roman"/>
                <w:color w:val="auto"/>
                <w:sz w:val="18"/>
                <w:szCs w:val="18"/>
                <w:lang w:val="zh-CN" w:eastAsia="zh-CN" w:bidi="zh-CN"/>
              </w:rPr>
            </w:pPr>
            <w:r>
              <w:rPr>
                <w:rFonts w:hint="default" w:ascii="Times New Roman" w:hAnsi="Times New Roman" w:eastAsia="宋体" w:cs="Times New Roman"/>
                <w:color w:val="auto"/>
                <w:sz w:val="18"/>
                <w:szCs w:val="18"/>
                <w:lang w:val="zh-CN" w:eastAsia="zh-CN" w:bidi="zh-CN"/>
              </w:rPr>
              <w:t>4.31</w:t>
            </w:r>
          </w:p>
        </w:tc>
        <w:tc>
          <w:tcPr>
            <w:tcW w:w="468" w:type="dxa"/>
            <w:noWrap/>
            <w:vAlign w:val="center"/>
          </w:tcPr>
          <w:p w14:paraId="205D52FA">
            <w:pPr>
              <w:widowControl w:val="0"/>
              <w:autoSpaceDE w:val="0"/>
              <w:autoSpaceDN w:val="0"/>
              <w:spacing w:before="63" w:line="257" w:lineRule="exact"/>
              <w:ind w:left="0" w:leftChars="0" w:right="22" w:firstLine="0" w:firstLineChars="0"/>
              <w:jc w:val="center"/>
              <w:rPr>
                <w:rFonts w:hint="default" w:ascii="Times New Roman" w:hAnsi="Times New Roman" w:eastAsia="宋体" w:cs="Times New Roman"/>
                <w:color w:val="auto"/>
                <w:sz w:val="18"/>
                <w:szCs w:val="18"/>
                <w:lang w:val="zh-CN" w:eastAsia="zh-CN" w:bidi="zh-CN"/>
              </w:rPr>
            </w:pPr>
            <w:r>
              <w:rPr>
                <w:rFonts w:hint="default" w:ascii="Times New Roman" w:hAnsi="Times New Roman" w:eastAsia="宋体" w:cs="Times New Roman"/>
                <w:color w:val="auto"/>
                <w:sz w:val="18"/>
                <w:szCs w:val="18"/>
                <w:lang w:val="zh-CN" w:eastAsia="zh-CN" w:bidi="zh-CN"/>
              </w:rPr>
              <w:t>4.45</w:t>
            </w:r>
          </w:p>
        </w:tc>
        <w:tc>
          <w:tcPr>
            <w:tcW w:w="474" w:type="dxa"/>
            <w:noWrap/>
            <w:vAlign w:val="center"/>
          </w:tcPr>
          <w:p w14:paraId="72CD966B">
            <w:pPr>
              <w:widowControl w:val="0"/>
              <w:autoSpaceDE w:val="0"/>
              <w:autoSpaceDN w:val="0"/>
              <w:spacing w:before="63" w:line="257" w:lineRule="exact"/>
              <w:ind w:left="0" w:leftChars="0" w:right="22" w:firstLine="0" w:firstLineChars="0"/>
              <w:jc w:val="center"/>
              <w:rPr>
                <w:rFonts w:hint="default" w:ascii="Times New Roman" w:hAnsi="Times New Roman" w:eastAsia="宋体" w:cs="Times New Roman"/>
                <w:color w:val="auto"/>
                <w:sz w:val="18"/>
                <w:szCs w:val="18"/>
                <w:lang w:val="zh-CN" w:eastAsia="zh-CN" w:bidi="zh-CN"/>
              </w:rPr>
            </w:pPr>
            <w:r>
              <w:rPr>
                <w:rFonts w:hint="default" w:ascii="Times New Roman" w:hAnsi="Times New Roman" w:eastAsia="宋体" w:cs="Times New Roman"/>
                <w:color w:val="auto"/>
                <w:sz w:val="18"/>
                <w:szCs w:val="18"/>
                <w:lang w:val="zh-CN" w:eastAsia="zh-CN" w:bidi="zh-CN"/>
              </w:rPr>
              <w:t>8.91</w:t>
            </w:r>
          </w:p>
        </w:tc>
        <w:tc>
          <w:tcPr>
            <w:tcW w:w="474" w:type="dxa"/>
            <w:noWrap/>
            <w:vAlign w:val="center"/>
          </w:tcPr>
          <w:p w14:paraId="2D14E8A4">
            <w:pPr>
              <w:widowControl w:val="0"/>
              <w:autoSpaceDE w:val="0"/>
              <w:autoSpaceDN w:val="0"/>
              <w:spacing w:before="63" w:line="257" w:lineRule="exact"/>
              <w:ind w:left="0" w:leftChars="0" w:right="22" w:firstLine="0" w:firstLineChars="0"/>
              <w:jc w:val="center"/>
              <w:rPr>
                <w:rFonts w:hint="default" w:ascii="Times New Roman" w:hAnsi="Times New Roman" w:eastAsia="宋体" w:cs="Times New Roman"/>
                <w:color w:val="auto"/>
                <w:sz w:val="18"/>
                <w:szCs w:val="18"/>
                <w:lang w:val="zh-CN" w:eastAsia="zh-CN" w:bidi="zh-CN"/>
              </w:rPr>
            </w:pPr>
            <w:r>
              <w:rPr>
                <w:rFonts w:hint="default" w:ascii="Times New Roman" w:hAnsi="Times New Roman" w:eastAsia="宋体" w:cs="Times New Roman"/>
                <w:color w:val="auto"/>
                <w:sz w:val="18"/>
                <w:szCs w:val="18"/>
                <w:lang w:val="zh-CN" w:eastAsia="zh-CN" w:bidi="zh-CN"/>
              </w:rPr>
              <w:t>21.26</w:t>
            </w:r>
          </w:p>
        </w:tc>
        <w:tc>
          <w:tcPr>
            <w:tcW w:w="474" w:type="dxa"/>
            <w:noWrap/>
            <w:vAlign w:val="center"/>
          </w:tcPr>
          <w:p w14:paraId="69401EF1">
            <w:pPr>
              <w:widowControl w:val="0"/>
              <w:autoSpaceDE w:val="0"/>
              <w:autoSpaceDN w:val="0"/>
              <w:spacing w:before="63" w:line="257" w:lineRule="exact"/>
              <w:ind w:left="0" w:leftChars="0" w:right="22" w:firstLine="0" w:firstLineChars="0"/>
              <w:jc w:val="center"/>
              <w:rPr>
                <w:rFonts w:hint="default" w:ascii="Times New Roman" w:hAnsi="Times New Roman" w:eastAsia="宋体" w:cs="Times New Roman"/>
                <w:color w:val="auto"/>
                <w:sz w:val="18"/>
                <w:szCs w:val="18"/>
                <w:lang w:val="zh-CN" w:eastAsia="zh-CN" w:bidi="zh-CN"/>
              </w:rPr>
            </w:pPr>
            <w:r>
              <w:rPr>
                <w:rFonts w:hint="default" w:ascii="Times New Roman" w:hAnsi="Times New Roman" w:eastAsia="宋体" w:cs="Times New Roman"/>
                <w:color w:val="auto"/>
                <w:sz w:val="18"/>
                <w:szCs w:val="18"/>
                <w:lang w:val="zh-CN" w:eastAsia="zh-CN" w:bidi="zh-CN"/>
              </w:rPr>
              <w:t>12.64</w:t>
            </w:r>
          </w:p>
        </w:tc>
        <w:tc>
          <w:tcPr>
            <w:tcW w:w="468" w:type="dxa"/>
            <w:noWrap/>
            <w:vAlign w:val="center"/>
          </w:tcPr>
          <w:p w14:paraId="13D9538F">
            <w:pPr>
              <w:widowControl w:val="0"/>
              <w:autoSpaceDE w:val="0"/>
              <w:autoSpaceDN w:val="0"/>
              <w:spacing w:before="63" w:line="257" w:lineRule="exact"/>
              <w:ind w:left="0" w:leftChars="0" w:right="22" w:firstLine="0" w:firstLineChars="0"/>
              <w:jc w:val="center"/>
              <w:rPr>
                <w:rFonts w:hint="default" w:ascii="Times New Roman" w:hAnsi="Times New Roman" w:eastAsia="宋体" w:cs="Times New Roman"/>
                <w:color w:val="auto"/>
                <w:sz w:val="18"/>
                <w:szCs w:val="18"/>
                <w:lang w:val="zh-CN" w:eastAsia="zh-CN" w:bidi="zh-CN"/>
              </w:rPr>
            </w:pPr>
            <w:r>
              <w:rPr>
                <w:rFonts w:hint="default" w:ascii="Times New Roman" w:hAnsi="Times New Roman" w:eastAsia="宋体" w:cs="Times New Roman"/>
                <w:color w:val="auto"/>
                <w:sz w:val="18"/>
                <w:szCs w:val="18"/>
                <w:lang w:val="zh-CN" w:eastAsia="zh-CN" w:bidi="zh-CN"/>
              </w:rPr>
              <w:t>4.89</w:t>
            </w:r>
          </w:p>
        </w:tc>
        <w:tc>
          <w:tcPr>
            <w:tcW w:w="468" w:type="dxa"/>
            <w:noWrap/>
            <w:vAlign w:val="center"/>
          </w:tcPr>
          <w:p w14:paraId="324D193C">
            <w:pPr>
              <w:widowControl w:val="0"/>
              <w:autoSpaceDE w:val="0"/>
              <w:autoSpaceDN w:val="0"/>
              <w:spacing w:before="63" w:line="257" w:lineRule="exact"/>
              <w:ind w:left="0" w:leftChars="0" w:right="22" w:firstLine="0" w:firstLineChars="0"/>
              <w:jc w:val="center"/>
              <w:rPr>
                <w:rFonts w:hint="default" w:ascii="Times New Roman" w:hAnsi="Times New Roman" w:eastAsia="宋体" w:cs="Times New Roman"/>
                <w:color w:val="auto"/>
                <w:sz w:val="18"/>
                <w:szCs w:val="18"/>
                <w:lang w:val="zh-CN" w:eastAsia="zh-CN" w:bidi="zh-CN"/>
              </w:rPr>
            </w:pPr>
            <w:r>
              <w:rPr>
                <w:rFonts w:hint="default" w:ascii="Times New Roman" w:hAnsi="Times New Roman" w:eastAsia="宋体" w:cs="Times New Roman"/>
                <w:color w:val="auto"/>
                <w:sz w:val="18"/>
                <w:szCs w:val="18"/>
                <w:lang w:val="zh-CN" w:eastAsia="zh-CN" w:bidi="zh-CN"/>
              </w:rPr>
              <w:t>2.87</w:t>
            </w:r>
          </w:p>
        </w:tc>
        <w:tc>
          <w:tcPr>
            <w:tcW w:w="468" w:type="dxa"/>
            <w:noWrap/>
            <w:vAlign w:val="center"/>
          </w:tcPr>
          <w:p w14:paraId="74004BB8">
            <w:pPr>
              <w:widowControl w:val="0"/>
              <w:autoSpaceDE w:val="0"/>
              <w:autoSpaceDN w:val="0"/>
              <w:spacing w:before="63" w:line="257" w:lineRule="exact"/>
              <w:ind w:left="0" w:leftChars="0" w:right="22" w:firstLine="0" w:firstLineChars="0"/>
              <w:jc w:val="center"/>
              <w:rPr>
                <w:rFonts w:hint="default" w:ascii="Times New Roman" w:hAnsi="Times New Roman" w:eastAsia="宋体" w:cs="Times New Roman"/>
                <w:color w:val="auto"/>
                <w:sz w:val="18"/>
                <w:szCs w:val="18"/>
                <w:lang w:val="zh-CN" w:eastAsia="zh-CN" w:bidi="zh-CN"/>
              </w:rPr>
            </w:pPr>
            <w:r>
              <w:rPr>
                <w:rFonts w:hint="default" w:ascii="Times New Roman" w:hAnsi="Times New Roman" w:eastAsia="宋体" w:cs="Times New Roman"/>
                <w:color w:val="auto"/>
                <w:sz w:val="18"/>
                <w:szCs w:val="18"/>
                <w:lang w:val="zh-CN" w:eastAsia="zh-CN" w:bidi="zh-CN"/>
              </w:rPr>
              <w:t>3.16</w:t>
            </w:r>
          </w:p>
        </w:tc>
        <w:tc>
          <w:tcPr>
            <w:tcW w:w="468" w:type="dxa"/>
            <w:noWrap/>
            <w:vAlign w:val="center"/>
          </w:tcPr>
          <w:p w14:paraId="667D5E8E">
            <w:pPr>
              <w:widowControl w:val="0"/>
              <w:autoSpaceDE w:val="0"/>
              <w:autoSpaceDN w:val="0"/>
              <w:spacing w:before="63" w:line="257" w:lineRule="exact"/>
              <w:ind w:left="0" w:leftChars="0" w:right="22" w:firstLine="0" w:firstLineChars="0"/>
              <w:jc w:val="center"/>
              <w:rPr>
                <w:rFonts w:hint="default" w:ascii="Times New Roman" w:hAnsi="Times New Roman" w:eastAsia="宋体" w:cs="Times New Roman"/>
                <w:color w:val="auto"/>
                <w:sz w:val="18"/>
                <w:szCs w:val="18"/>
                <w:lang w:val="zh-CN" w:eastAsia="zh-CN" w:bidi="zh-CN"/>
              </w:rPr>
            </w:pPr>
            <w:r>
              <w:rPr>
                <w:rFonts w:hint="default" w:ascii="Times New Roman" w:hAnsi="Times New Roman" w:eastAsia="宋体" w:cs="Times New Roman"/>
                <w:color w:val="auto"/>
                <w:sz w:val="18"/>
                <w:szCs w:val="18"/>
                <w:lang w:val="zh-CN" w:eastAsia="zh-CN" w:bidi="zh-CN"/>
              </w:rPr>
              <w:t>2.59</w:t>
            </w:r>
          </w:p>
        </w:tc>
        <w:tc>
          <w:tcPr>
            <w:tcW w:w="468" w:type="dxa"/>
            <w:noWrap/>
            <w:vAlign w:val="center"/>
          </w:tcPr>
          <w:p w14:paraId="538F3EA5">
            <w:pPr>
              <w:widowControl w:val="0"/>
              <w:autoSpaceDE w:val="0"/>
              <w:autoSpaceDN w:val="0"/>
              <w:spacing w:before="63" w:line="257" w:lineRule="exact"/>
              <w:ind w:left="0" w:leftChars="0" w:right="22" w:firstLine="0" w:firstLineChars="0"/>
              <w:jc w:val="center"/>
              <w:rPr>
                <w:rFonts w:hint="default" w:ascii="Times New Roman" w:hAnsi="Times New Roman" w:eastAsia="宋体" w:cs="Times New Roman"/>
                <w:color w:val="auto"/>
                <w:sz w:val="18"/>
                <w:szCs w:val="18"/>
                <w:lang w:val="zh-CN" w:eastAsia="zh-CN" w:bidi="zh-CN"/>
              </w:rPr>
            </w:pPr>
            <w:r>
              <w:rPr>
                <w:rFonts w:hint="default" w:ascii="Times New Roman" w:hAnsi="Times New Roman" w:eastAsia="宋体" w:cs="Times New Roman"/>
                <w:color w:val="auto"/>
                <w:sz w:val="18"/>
                <w:szCs w:val="18"/>
                <w:lang w:val="zh-CN" w:eastAsia="zh-CN" w:bidi="zh-CN"/>
              </w:rPr>
              <w:t>3.30</w:t>
            </w:r>
          </w:p>
        </w:tc>
        <w:tc>
          <w:tcPr>
            <w:tcW w:w="512" w:type="dxa"/>
            <w:noWrap/>
            <w:vAlign w:val="center"/>
          </w:tcPr>
          <w:p w14:paraId="341327E8">
            <w:pPr>
              <w:widowControl w:val="0"/>
              <w:autoSpaceDE w:val="0"/>
              <w:autoSpaceDN w:val="0"/>
              <w:spacing w:before="63" w:line="257" w:lineRule="exact"/>
              <w:ind w:left="0" w:leftChars="0" w:right="22" w:firstLine="0" w:firstLineChars="0"/>
              <w:jc w:val="center"/>
              <w:rPr>
                <w:rFonts w:hint="default" w:ascii="Times New Roman" w:hAnsi="Times New Roman" w:eastAsia="宋体" w:cs="Times New Roman"/>
                <w:color w:val="auto"/>
                <w:sz w:val="18"/>
                <w:szCs w:val="18"/>
                <w:lang w:val="zh-CN" w:eastAsia="zh-CN" w:bidi="zh-CN"/>
              </w:rPr>
            </w:pPr>
            <w:r>
              <w:rPr>
                <w:rFonts w:hint="default" w:ascii="Times New Roman" w:hAnsi="Times New Roman" w:eastAsia="宋体" w:cs="Times New Roman"/>
                <w:color w:val="auto"/>
                <w:sz w:val="18"/>
                <w:szCs w:val="18"/>
                <w:lang w:val="zh-CN" w:eastAsia="zh-CN" w:bidi="zh-CN"/>
              </w:rPr>
              <w:t>6.32</w:t>
            </w:r>
          </w:p>
        </w:tc>
        <w:tc>
          <w:tcPr>
            <w:tcW w:w="474" w:type="dxa"/>
            <w:noWrap/>
            <w:vAlign w:val="center"/>
          </w:tcPr>
          <w:p w14:paraId="3FD44FA0">
            <w:pPr>
              <w:widowControl w:val="0"/>
              <w:autoSpaceDE w:val="0"/>
              <w:autoSpaceDN w:val="0"/>
              <w:spacing w:before="63" w:line="257" w:lineRule="exact"/>
              <w:ind w:left="0" w:leftChars="0" w:right="22" w:firstLine="0" w:firstLineChars="0"/>
              <w:jc w:val="center"/>
              <w:rPr>
                <w:rFonts w:hint="default" w:ascii="Times New Roman" w:hAnsi="Times New Roman" w:eastAsia="宋体" w:cs="Times New Roman"/>
                <w:color w:val="auto"/>
                <w:sz w:val="18"/>
                <w:szCs w:val="18"/>
                <w:lang w:val="zh-CN" w:eastAsia="zh-CN" w:bidi="zh-CN"/>
              </w:rPr>
            </w:pPr>
            <w:r>
              <w:rPr>
                <w:rFonts w:hint="default" w:ascii="Times New Roman" w:hAnsi="Times New Roman" w:eastAsia="宋体" w:cs="Times New Roman"/>
                <w:color w:val="auto"/>
                <w:sz w:val="18"/>
                <w:szCs w:val="18"/>
                <w:lang w:val="zh-CN" w:eastAsia="zh-CN" w:bidi="zh-CN"/>
              </w:rPr>
              <w:t>12.21</w:t>
            </w:r>
          </w:p>
        </w:tc>
        <w:tc>
          <w:tcPr>
            <w:tcW w:w="543" w:type="dxa"/>
            <w:noWrap/>
            <w:vAlign w:val="center"/>
          </w:tcPr>
          <w:p w14:paraId="4648C847">
            <w:pPr>
              <w:widowControl w:val="0"/>
              <w:autoSpaceDE w:val="0"/>
              <w:autoSpaceDN w:val="0"/>
              <w:spacing w:before="63" w:line="257" w:lineRule="exact"/>
              <w:ind w:left="0" w:leftChars="0" w:right="22" w:firstLine="0" w:firstLineChars="0"/>
              <w:jc w:val="center"/>
              <w:rPr>
                <w:rFonts w:hint="default" w:ascii="Times New Roman" w:hAnsi="Times New Roman" w:eastAsia="宋体" w:cs="Times New Roman"/>
                <w:color w:val="auto"/>
                <w:sz w:val="18"/>
                <w:szCs w:val="18"/>
                <w:lang w:val="zh-CN" w:eastAsia="zh-CN" w:bidi="zh-CN"/>
              </w:rPr>
            </w:pPr>
            <w:r>
              <w:rPr>
                <w:rFonts w:hint="default" w:ascii="Times New Roman" w:hAnsi="Times New Roman" w:eastAsia="宋体" w:cs="Times New Roman"/>
                <w:color w:val="auto"/>
                <w:sz w:val="18"/>
                <w:szCs w:val="18"/>
                <w:lang w:val="zh-CN" w:eastAsia="zh-CN" w:bidi="zh-CN"/>
              </w:rPr>
              <w:t>3.88</w:t>
            </w:r>
          </w:p>
        </w:tc>
        <w:tc>
          <w:tcPr>
            <w:tcW w:w="468" w:type="dxa"/>
            <w:noWrap/>
            <w:vAlign w:val="center"/>
          </w:tcPr>
          <w:p w14:paraId="7B3B94C9">
            <w:pPr>
              <w:widowControl w:val="0"/>
              <w:autoSpaceDE w:val="0"/>
              <w:autoSpaceDN w:val="0"/>
              <w:spacing w:before="63" w:line="257" w:lineRule="exact"/>
              <w:ind w:left="0" w:leftChars="0" w:right="22" w:firstLine="0" w:firstLineChars="0"/>
              <w:jc w:val="center"/>
              <w:rPr>
                <w:rFonts w:hint="default" w:ascii="Times New Roman" w:hAnsi="Times New Roman" w:eastAsia="宋体" w:cs="Times New Roman"/>
                <w:color w:val="auto"/>
                <w:sz w:val="18"/>
                <w:szCs w:val="18"/>
                <w:lang w:val="zh-CN" w:eastAsia="zh-CN" w:bidi="zh-CN"/>
              </w:rPr>
            </w:pPr>
            <w:r>
              <w:rPr>
                <w:rFonts w:hint="default" w:ascii="Times New Roman" w:hAnsi="Times New Roman" w:eastAsia="宋体" w:cs="Times New Roman"/>
                <w:color w:val="auto"/>
                <w:sz w:val="18"/>
                <w:szCs w:val="18"/>
                <w:lang w:val="zh-CN" w:eastAsia="zh-CN" w:bidi="zh-CN"/>
              </w:rPr>
              <w:t>3.16</w:t>
            </w:r>
          </w:p>
        </w:tc>
        <w:tc>
          <w:tcPr>
            <w:tcW w:w="502" w:type="dxa"/>
            <w:noWrap/>
            <w:vAlign w:val="center"/>
          </w:tcPr>
          <w:p w14:paraId="23758F67">
            <w:pPr>
              <w:widowControl w:val="0"/>
              <w:autoSpaceDE w:val="0"/>
              <w:autoSpaceDN w:val="0"/>
              <w:spacing w:before="63" w:line="257" w:lineRule="exact"/>
              <w:ind w:left="0" w:leftChars="0" w:right="22" w:firstLine="0" w:firstLineChars="0"/>
              <w:jc w:val="center"/>
              <w:rPr>
                <w:rFonts w:hint="default" w:ascii="Times New Roman" w:hAnsi="Times New Roman" w:eastAsia="宋体" w:cs="Times New Roman"/>
                <w:color w:val="auto"/>
                <w:sz w:val="18"/>
                <w:szCs w:val="18"/>
                <w:lang w:val="zh-CN" w:eastAsia="zh-CN" w:bidi="zh-CN"/>
              </w:rPr>
            </w:pPr>
            <w:r>
              <w:rPr>
                <w:rFonts w:hint="default" w:ascii="Times New Roman" w:hAnsi="Times New Roman" w:eastAsia="宋体" w:cs="Times New Roman"/>
                <w:color w:val="auto"/>
                <w:sz w:val="18"/>
                <w:szCs w:val="18"/>
                <w:lang w:val="zh-CN" w:eastAsia="zh-CN" w:bidi="zh-CN"/>
              </w:rPr>
              <w:t>2.59</w:t>
            </w:r>
          </w:p>
        </w:tc>
        <w:tc>
          <w:tcPr>
            <w:tcW w:w="469" w:type="dxa"/>
            <w:noWrap/>
            <w:vAlign w:val="center"/>
          </w:tcPr>
          <w:p w14:paraId="13047FAA">
            <w:pPr>
              <w:widowControl w:val="0"/>
              <w:autoSpaceDE w:val="0"/>
              <w:autoSpaceDN w:val="0"/>
              <w:spacing w:before="63" w:line="257" w:lineRule="exact"/>
              <w:ind w:left="0" w:leftChars="0" w:right="22" w:firstLine="0" w:firstLineChars="0"/>
              <w:jc w:val="center"/>
              <w:rPr>
                <w:rFonts w:hint="default" w:ascii="Times New Roman" w:hAnsi="Times New Roman" w:eastAsia="宋体" w:cs="Times New Roman"/>
                <w:color w:val="auto"/>
                <w:sz w:val="18"/>
                <w:szCs w:val="18"/>
                <w:lang w:val="zh-CN" w:eastAsia="zh-CN" w:bidi="zh-CN"/>
              </w:rPr>
            </w:pPr>
            <w:r>
              <w:rPr>
                <w:rFonts w:hint="default" w:ascii="Times New Roman" w:hAnsi="Times New Roman" w:eastAsia="宋体" w:cs="Times New Roman"/>
                <w:color w:val="auto"/>
                <w:sz w:val="18"/>
                <w:szCs w:val="18"/>
                <w:lang w:val="zh-CN" w:eastAsia="zh-CN" w:bidi="zh-CN"/>
              </w:rPr>
              <w:t>0.14</w:t>
            </w:r>
          </w:p>
        </w:tc>
      </w:tr>
      <w:tr w14:paraId="0EB0861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6" w:type="dxa"/>
            <w:bottom w:w="0" w:type="dxa"/>
            <w:right w:w="6" w:type="dxa"/>
          </w:tblCellMar>
        </w:tblPrEx>
        <w:trPr>
          <w:trHeight w:val="357" w:hRule="atLeast"/>
        </w:trPr>
        <w:tc>
          <w:tcPr>
            <w:tcW w:w="881" w:type="dxa"/>
            <w:noWrap/>
            <w:vAlign w:val="center"/>
          </w:tcPr>
          <w:p w14:paraId="7EDB7626">
            <w:pPr>
              <w:widowControl w:val="0"/>
              <w:autoSpaceDE w:val="0"/>
              <w:autoSpaceDN w:val="0"/>
              <w:spacing w:before="63" w:line="257" w:lineRule="exact"/>
              <w:ind w:left="0" w:leftChars="0" w:right="22" w:firstLine="0" w:firstLineChars="0"/>
              <w:jc w:val="center"/>
              <w:rPr>
                <w:rFonts w:hint="default" w:ascii="Times New Roman" w:hAnsi="Times New Roman" w:eastAsia="宋体" w:cs="Times New Roman"/>
                <w:color w:val="auto"/>
                <w:sz w:val="18"/>
                <w:szCs w:val="18"/>
                <w:lang w:val="zh-CN" w:eastAsia="zh-CN" w:bidi="zh-CN"/>
              </w:rPr>
            </w:pPr>
            <w:r>
              <w:rPr>
                <w:rFonts w:hint="default" w:ascii="Times New Roman" w:hAnsi="Times New Roman" w:eastAsia="宋体" w:cs="Times New Roman"/>
                <w:color w:val="auto"/>
                <w:sz w:val="18"/>
                <w:szCs w:val="18"/>
                <w:lang w:val="zh-CN" w:eastAsia="zh-CN" w:bidi="zh-CN"/>
              </w:rPr>
              <w:t>三月</w:t>
            </w:r>
          </w:p>
        </w:tc>
        <w:tc>
          <w:tcPr>
            <w:tcW w:w="487" w:type="dxa"/>
            <w:noWrap/>
            <w:vAlign w:val="center"/>
          </w:tcPr>
          <w:p w14:paraId="4A560AAA">
            <w:pPr>
              <w:widowControl w:val="0"/>
              <w:autoSpaceDE w:val="0"/>
              <w:autoSpaceDN w:val="0"/>
              <w:spacing w:before="63" w:line="257" w:lineRule="exact"/>
              <w:ind w:left="0" w:leftChars="0" w:right="22" w:firstLine="0" w:firstLineChars="0"/>
              <w:jc w:val="center"/>
              <w:rPr>
                <w:rFonts w:hint="default" w:ascii="Times New Roman" w:hAnsi="Times New Roman" w:eastAsia="宋体" w:cs="Times New Roman"/>
                <w:color w:val="auto"/>
                <w:sz w:val="18"/>
                <w:szCs w:val="18"/>
                <w:lang w:val="zh-CN" w:eastAsia="zh-CN" w:bidi="zh-CN"/>
              </w:rPr>
            </w:pPr>
            <w:r>
              <w:rPr>
                <w:rFonts w:hint="default" w:ascii="Times New Roman" w:hAnsi="Times New Roman" w:eastAsia="宋体" w:cs="Times New Roman"/>
                <w:color w:val="auto"/>
                <w:sz w:val="18"/>
                <w:szCs w:val="18"/>
                <w:lang w:val="zh-CN" w:eastAsia="zh-CN" w:bidi="zh-CN"/>
              </w:rPr>
              <w:t>2.55</w:t>
            </w:r>
          </w:p>
        </w:tc>
        <w:tc>
          <w:tcPr>
            <w:tcW w:w="436" w:type="dxa"/>
            <w:noWrap/>
            <w:vAlign w:val="center"/>
          </w:tcPr>
          <w:p w14:paraId="6EE98C91">
            <w:pPr>
              <w:widowControl w:val="0"/>
              <w:autoSpaceDE w:val="0"/>
              <w:autoSpaceDN w:val="0"/>
              <w:spacing w:before="63" w:line="257" w:lineRule="exact"/>
              <w:ind w:left="0" w:leftChars="0" w:right="22" w:firstLine="0" w:firstLineChars="0"/>
              <w:jc w:val="center"/>
              <w:rPr>
                <w:rFonts w:hint="default" w:ascii="Times New Roman" w:hAnsi="Times New Roman" w:eastAsia="宋体" w:cs="Times New Roman"/>
                <w:color w:val="auto"/>
                <w:sz w:val="18"/>
                <w:szCs w:val="18"/>
                <w:lang w:val="zh-CN" w:eastAsia="zh-CN" w:bidi="zh-CN"/>
              </w:rPr>
            </w:pPr>
            <w:r>
              <w:rPr>
                <w:rFonts w:hint="default" w:ascii="Times New Roman" w:hAnsi="Times New Roman" w:eastAsia="宋体" w:cs="Times New Roman"/>
                <w:color w:val="auto"/>
                <w:sz w:val="18"/>
                <w:szCs w:val="18"/>
                <w:lang w:val="zh-CN" w:eastAsia="zh-CN" w:bidi="zh-CN"/>
              </w:rPr>
              <w:t>2.02</w:t>
            </w:r>
          </w:p>
        </w:tc>
        <w:tc>
          <w:tcPr>
            <w:tcW w:w="468" w:type="dxa"/>
            <w:noWrap/>
            <w:vAlign w:val="center"/>
          </w:tcPr>
          <w:p w14:paraId="04103AAE">
            <w:pPr>
              <w:widowControl w:val="0"/>
              <w:autoSpaceDE w:val="0"/>
              <w:autoSpaceDN w:val="0"/>
              <w:spacing w:before="63" w:line="257" w:lineRule="exact"/>
              <w:ind w:left="0" w:leftChars="0" w:right="22" w:firstLine="0" w:firstLineChars="0"/>
              <w:jc w:val="center"/>
              <w:rPr>
                <w:rFonts w:hint="default" w:ascii="Times New Roman" w:hAnsi="Times New Roman" w:eastAsia="宋体" w:cs="Times New Roman"/>
                <w:color w:val="auto"/>
                <w:sz w:val="18"/>
                <w:szCs w:val="18"/>
                <w:lang w:val="zh-CN" w:eastAsia="zh-CN" w:bidi="zh-CN"/>
              </w:rPr>
            </w:pPr>
            <w:r>
              <w:rPr>
                <w:rFonts w:hint="default" w:ascii="Times New Roman" w:hAnsi="Times New Roman" w:eastAsia="宋体" w:cs="Times New Roman"/>
                <w:color w:val="auto"/>
                <w:sz w:val="18"/>
                <w:szCs w:val="18"/>
                <w:lang w:val="zh-CN" w:eastAsia="zh-CN" w:bidi="zh-CN"/>
              </w:rPr>
              <w:t>5.38</w:t>
            </w:r>
          </w:p>
        </w:tc>
        <w:tc>
          <w:tcPr>
            <w:tcW w:w="474" w:type="dxa"/>
            <w:noWrap/>
            <w:vAlign w:val="center"/>
          </w:tcPr>
          <w:p w14:paraId="29570BC2">
            <w:pPr>
              <w:widowControl w:val="0"/>
              <w:autoSpaceDE w:val="0"/>
              <w:autoSpaceDN w:val="0"/>
              <w:spacing w:before="63" w:line="257" w:lineRule="exact"/>
              <w:ind w:left="0" w:leftChars="0" w:right="22" w:firstLine="0" w:firstLineChars="0"/>
              <w:jc w:val="center"/>
              <w:rPr>
                <w:rFonts w:hint="default" w:ascii="Times New Roman" w:hAnsi="Times New Roman" w:eastAsia="宋体" w:cs="Times New Roman"/>
                <w:color w:val="auto"/>
                <w:sz w:val="18"/>
                <w:szCs w:val="18"/>
                <w:lang w:val="zh-CN" w:eastAsia="zh-CN" w:bidi="zh-CN"/>
              </w:rPr>
            </w:pPr>
            <w:r>
              <w:rPr>
                <w:rFonts w:hint="default" w:ascii="Times New Roman" w:hAnsi="Times New Roman" w:eastAsia="宋体" w:cs="Times New Roman"/>
                <w:color w:val="auto"/>
                <w:sz w:val="18"/>
                <w:szCs w:val="18"/>
                <w:lang w:val="zh-CN" w:eastAsia="zh-CN" w:bidi="zh-CN"/>
              </w:rPr>
              <w:t>8.33</w:t>
            </w:r>
          </w:p>
        </w:tc>
        <w:tc>
          <w:tcPr>
            <w:tcW w:w="474" w:type="dxa"/>
            <w:noWrap/>
            <w:vAlign w:val="center"/>
          </w:tcPr>
          <w:p w14:paraId="01BCDE60">
            <w:pPr>
              <w:widowControl w:val="0"/>
              <w:autoSpaceDE w:val="0"/>
              <w:autoSpaceDN w:val="0"/>
              <w:spacing w:before="63" w:line="257" w:lineRule="exact"/>
              <w:ind w:left="0" w:leftChars="0" w:right="22" w:firstLine="0" w:firstLineChars="0"/>
              <w:jc w:val="center"/>
              <w:rPr>
                <w:rFonts w:hint="default" w:ascii="Times New Roman" w:hAnsi="Times New Roman" w:eastAsia="宋体" w:cs="Times New Roman"/>
                <w:color w:val="auto"/>
                <w:sz w:val="18"/>
                <w:szCs w:val="18"/>
                <w:lang w:val="zh-CN" w:eastAsia="zh-CN" w:bidi="zh-CN"/>
              </w:rPr>
            </w:pPr>
            <w:r>
              <w:rPr>
                <w:rFonts w:hint="default" w:ascii="Times New Roman" w:hAnsi="Times New Roman" w:eastAsia="宋体" w:cs="Times New Roman"/>
                <w:color w:val="auto"/>
                <w:sz w:val="18"/>
                <w:szCs w:val="18"/>
                <w:lang w:val="zh-CN" w:eastAsia="zh-CN" w:bidi="zh-CN"/>
              </w:rPr>
              <w:t>21.24</w:t>
            </w:r>
          </w:p>
        </w:tc>
        <w:tc>
          <w:tcPr>
            <w:tcW w:w="474" w:type="dxa"/>
            <w:noWrap/>
            <w:vAlign w:val="center"/>
          </w:tcPr>
          <w:p w14:paraId="24FDF41F">
            <w:pPr>
              <w:widowControl w:val="0"/>
              <w:autoSpaceDE w:val="0"/>
              <w:autoSpaceDN w:val="0"/>
              <w:spacing w:before="63" w:line="257" w:lineRule="exact"/>
              <w:ind w:left="0" w:leftChars="0" w:right="22" w:firstLine="0" w:firstLineChars="0"/>
              <w:jc w:val="center"/>
              <w:rPr>
                <w:rFonts w:hint="default" w:ascii="Times New Roman" w:hAnsi="Times New Roman" w:eastAsia="宋体" w:cs="Times New Roman"/>
                <w:color w:val="auto"/>
                <w:sz w:val="18"/>
                <w:szCs w:val="18"/>
                <w:lang w:val="zh-CN" w:eastAsia="zh-CN" w:bidi="zh-CN"/>
              </w:rPr>
            </w:pPr>
            <w:r>
              <w:rPr>
                <w:rFonts w:hint="default" w:ascii="Times New Roman" w:hAnsi="Times New Roman" w:eastAsia="宋体" w:cs="Times New Roman"/>
                <w:color w:val="auto"/>
                <w:sz w:val="18"/>
                <w:szCs w:val="18"/>
                <w:lang w:val="zh-CN" w:eastAsia="zh-CN" w:bidi="zh-CN"/>
              </w:rPr>
              <w:t>12.50</w:t>
            </w:r>
          </w:p>
        </w:tc>
        <w:tc>
          <w:tcPr>
            <w:tcW w:w="468" w:type="dxa"/>
            <w:noWrap/>
            <w:vAlign w:val="center"/>
          </w:tcPr>
          <w:p w14:paraId="67C8F558">
            <w:pPr>
              <w:widowControl w:val="0"/>
              <w:autoSpaceDE w:val="0"/>
              <w:autoSpaceDN w:val="0"/>
              <w:spacing w:before="63" w:line="257" w:lineRule="exact"/>
              <w:ind w:left="0" w:leftChars="0" w:right="22" w:firstLine="0" w:firstLineChars="0"/>
              <w:jc w:val="center"/>
              <w:rPr>
                <w:rFonts w:hint="default" w:ascii="Times New Roman" w:hAnsi="Times New Roman" w:eastAsia="宋体" w:cs="Times New Roman"/>
                <w:color w:val="auto"/>
                <w:sz w:val="18"/>
                <w:szCs w:val="18"/>
                <w:lang w:val="zh-CN" w:eastAsia="zh-CN" w:bidi="zh-CN"/>
              </w:rPr>
            </w:pPr>
            <w:r>
              <w:rPr>
                <w:rFonts w:hint="default" w:ascii="Times New Roman" w:hAnsi="Times New Roman" w:eastAsia="宋体" w:cs="Times New Roman"/>
                <w:color w:val="auto"/>
                <w:sz w:val="18"/>
                <w:szCs w:val="18"/>
                <w:lang w:val="zh-CN" w:eastAsia="zh-CN" w:bidi="zh-CN"/>
              </w:rPr>
              <w:t>7.12</w:t>
            </w:r>
          </w:p>
        </w:tc>
        <w:tc>
          <w:tcPr>
            <w:tcW w:w="468" w:type="dxa"/>
            <w:noWrap/>
            <w:vAlign w:val="center"/>
          </w:tcPr>
          <w:p w14:paraId="4C30D590">
            <w:pPr>
              <w:widowControl w:val="0"/>
              <w:autoSpaceDE w:val="0"/>
              <w:autoSpaceDN w:val="0"/>
              <w:spacing w:before="63" w:line="257" w:lineRule="exact"/>
              <w:ind w:left="0" w:leftChars="0" w:right="22" w:firstLine="0" w:firstLineChars="0"/>
              <w:jc w:val="center"/>
              <w:rPr>
                <w:rFonts w:hint="default" w:ascii="Times New Roman" w:hAnsi="Times New Roman" w:eastAsia="宋体" w:cs="Times New Roman"/>
                <w:color w:val="auto"/>
                <w:sz w:val="18"/>
                <w:szCs w:val="18"/>
                <w:lang w:val="zh-CN" w:eastAsia="zh-CN" w:bidi="zh-CN"/>
              </w:rPr>
            </w:pPr>
            <w:r>
              <w:rPr>
                <w:rFonts w:hint="default" w:ascii="Times New Roman" w:hAnsi="Times New Roman" w:eastAsia="宋体" w:cs="Times New Roman"/>
                <w:color w:val="auto"/>
                <w:sz w:val="18"/>
                <w:szCs w:val="18"/>
                <w:lang w:val="zh-CN" w:eastAsia="zh-CN" w:bidi="zh-CN"/>
              </w:rPr>
              <w:t>2.15</w:t>
            </w:r>
          </w:p>
        </w:tc>
        <w:tc>
          <w:tcPr>
            <w:tcW w:w="468" w:type="dxa"/>
            <w:noWrap/>
            <w:vAlign w:val="center"/>
          </w:tcPr>
          <w:p w14:paraId="05D9D867">
            <w:pPr>
              <w:widowControl w:val="0"/>
              <w:autoSpaceDE w:val="0"/>
              <w:autoSpaceDN w:val="0"/>
              <w:spacing w:before="63" w:line="257" w:lineRule="exact"/>
              <w:ind w:left="0" w:leftChars="0" w:right="22" w:firstLine="0" w:firstLineChars="0"/>
              <w:jc w:val="center"/>
              <w:rPr>
                <w:rFonts w:hint="default" w:ascii="Times New Roman" w:hAnsi="Times New Roman" w:eastAsia="宋体" w:cs="Times New Roman"/>
                <w:color w:val="auto"/>
                <w:sz w:val="18"/>
                <w:szCs w:val="18"/>
                <w:lang w:val="zh-CN" w:eastAsia="zh-CN" w:bidi="zh-CN"/>
              </w:rPr>
            </w:pPr>
            <w:r>
              <w:rPr>
                <w:rFonts w:hint="default" w:ascii="Times New Roman" w:hAnsi="Times New Roman" w:eastAsia="宋体" w:cs="Times New Roman"/>
                <w:color w:val="auto"/>
                <w:sz w:val="18"/>
                <w:szCs w:val="18"/>
                <w:lang w:val="zh-CN" w:eastAsia="zh-CN" w:bidi="zh-CN"/>
              </w:rPr>
              <w:t>4.17</w:t>
            </w:r>
          </w:p>
        </w:tc>
        <w:tc>
          <w:tcPr>
            <w:tcW w:w="468" w:type="dxa"/>
            <w:noWrap/>
            <w:vAlign w:val="center"/>
          </w:tcPr>
          <w:p w14:paraId="0E7960DD">
            <w:pPr>
              <w:widowControl w:val="0"/>
              <w:autoSpaceDE w:val="0"/>
              <w:autoSpaceDN w:val="0"/>
              <w:spacing w:before="63" w:line="257" w:lineRule="exact"/>
              <w:ind w:left="0" w:leftChars="0" w:right="22" w:firstLine="0" w:firstLineChars="0"/>
              <w:jc w:val="center"/>
              <w:rPr>
                <w:rFonts w:hint="default" w:ascii="Times New Roman" w:hAnsi="Times New Roman" w:eastAsia="宋体" w:cs="Times New Roman"/>
                <w:color w:val="auto"/>
                <w:sz w:val="18"/>
                <w:szCs w:val="18"/>
                <w:lang w:val="zh-CN" w:eastAsia="zh-CN" w:bidi="zh-CN"/>
              </w:rPr>
            </w:pPr>
            <w:r>
              <w:rPr>
                <w:rFonts w:hint="default" w:ascii="Times New Roman" w:hAnsi="Times New Roman" w:eastAsia="宋体" w:cs="Times New Roman"/>
                <w:color w:val="auto"/>
                <w:sz w:val="18"/>
                <w:szCs w:val="18"/>
                <w:lang w:val="zh-CN" w:eastAsia="zh-CN" w:bidi="zh-CN"/>
              </w:rPr>
              <w:t>3.09</w:t>
            </w:r>
          </w:p>
        </w:tc>
        <w:tc>
          <w:tcPr>
            <w:tcW w:w="468" w:type="dxa"/>
            <w:noWrap/>
            <w:vAlign w:val="center"/>
          </w:tcPr>
          <w:p w14:paraId="62855A08">
            <w:pPr>
              <w:widowControl w:val="0"/>
              <w:autoSpaceDE w:val="0"/>
              <w:autoSpaceDN w:val="0"/>
              <w:spacing w:before="63" w:line="257" w:lineRule="exact"/>
              <w:ind w:left="0" w:leftChars="0" w:right="22" w:firstLine="0" w:firstLineChars="0"/>
              <w:jc w:val="center"/>
              <w:rPr>
                <w:rFonts w:hint="default" w:ascii="Times New Roman" w:hAnsi="Times New Roman" w:eastAsia="宋体" w:cs="Times New Roman"/>
                <w:color w:val="auto"/>
                <w:sz w:val="18"/>
                <w:szCs w:val="18"/>
                <w:lang w:val="zh-CN" w:eastAsia="zh-CN" w:bidi="zh-CN"/>
              </w:rPr>
            </w:pPr>
            <w:r>
              <w:rPr>
                <w:rFonts w:hint="default" w:ascii="Times New Roman" w:hAnsi="Times New Roman" w:eastAsia="宋体" w:cs="Times New Roman"/>
                <w:color w:val="auto"/>
                <w:sz w:val="18"/>
                <w:szCs w:val="18"/>
                <w:lang w:val="zh-CN" w:eastAsia="zh-CN" w:bidi="zh-CN"/>
              </w:rPr>
              <w:t>3.49</w:t>
            </w:r>
          </w:p>
        </w:tc>
        <w:tc>
          <w:tcPr>
            <w:tcW w:w="512" w:type="dxa"/>
            <w:noWrap/>
            <w:vAlign w:val="center"/>
          </w:tcPr>
          <w:p w14:paraId="5951A93F">
            <w:pPr>
              <w:widowControl w:val="0"/>
              <w:autoSpaceDE w:val="0"/>
              <w:autoSpaceDN w:val="0"/>
              <w:spacing w:before="63" w:line="257" w:lineRule="exact"/>
              <w:ind w:left="0" w:leftChars="0" w:right="22" w:firstLine="0" w:firstLineChars="0"/>
              <w:jc w:val="center"/>
              <w:rPr>
                <w:rFonts w:hint="default" w:ascii="Times New Roman" w:hAnsi="Times New Roman" w:eastAsia="宋体" w:cs="Times New Roman"/>
                <w:color w:val="auto"/>
                <w:sz w:val="18"/>
                <w:szCs w:val="18"/>
                <w:lang w:val="zh-CN" w:eastAsia="zh-CN" w:bidi="zh-CN"/>
              </w:rPr>
            </w:pPr>
            <w:r>
              <w:rPr>
                <w:rFonts w:hint="default" w:ascii="Times New Roman" w:hAnsi="Times New Roman" w:eastAsia="宋体" w:cs="Times New Roman"/>
                <w:color w:val="auto"/>
                <w:sz w:val="18"/>
                <w:szCs w:val="18"/>
                <w:lang w:val="zh-CN" w:eastAsia="zh-CN" w:bidi="zh-CN"/>
              </w:rPr>
              <w:t>5.38</w:t>
            </w:r>
          </w:p>
        </w:tc>
        <w:tc>
          <w:tcPr>
            <w:tcW w:w="474" w:type="dxa"/>
            <w:noWrap/>
            <w:vAlign w:val="center"/>
          </w:tcPr>
          <w:p w14:paraId="3153ABC2">
            <w:pPr>
              <w:widowControl w:val="0"/>
              <w:autoSpaceDE w:val="0"/>
              <w:autoSpaceDN w:val="0"/>
              <w:spacing w:before="63" w:line="257" w:lineRule="exact"/>
              <w:ind w:left="0" w:leftChars="0" w:right="22" w:firstLine="0" w:firstLineChars="0"/>
              <w:jc w:val="center"/>
              <w:rPr>
                <w:rFonts w:hint="default" w:ascii="Times New Roman" w:hAnsi="Times New Roman" w:eastAsia="宋体" w:cs="Times New Roman"/>
                <w:color w:val="auto"/>
                <w:sz w:val="18"/>
                <w:szCs w:val="18"/>
                <w:lang w:val="zh-CN" w:eastAsia="zh-CN" w:bidi="zh-CN"/>
              </w:rPr>
            </w:pPr>
            <w:r>
              <w:rPr>
                <w:rFonts w:hint="default" w:ascii="Times New Roman" w:hAnsi="Times New Roman" w:eastAsia="宋体" w:cs="Times New Roman"/>
                <w:color w:val="auto"/>
                <w:sz w:val="18"/>
                <w:szCs w:val="18"/>
                <w:lang w:val="zh-CN" w:eastAsia="zh-CN" w:bidi="zh-CN"/>
              </w:rPr>
              <w:t>13.58</w:t>
            </w:r>
          </w:p>
        </w:tc>
        <w:tc>
          <w:tcPr>
            <w:tcW w:w="543" w:type="dxa"/>
            <w:noWrap/>
            <w:vAlign w:val="center"/>
          </w:tcPr>
          <w:p w14:paraId="576E3906">
            <w:pPr>
              <w:widowControl w:val="0"/>
              <w:autoSpaceDE w:val="0"/>
              <w:autoSpaceDN w:val="0"/>
              <w:spacing w:before="63" w:line="257" w:lineRule="exact"/>
              <w:ind w:left="0" w:leftChars="0" w:right="22" w:firstLine="0" w:firstLineChars="0"/>
              <w:jc w:val="center"/>
              <w:rPr>
                <w:rFonts w:hint="default" w:ascii="Times New Roman" w:hAnsi="Times New Roman" w:eastAsia="宋体" w:cs="Times New Roman"/>
                <w:color w:val="auto"/>
                <w:sz w:val="18"/>
                <w:szCs w:val="18"/>
                <w:lang w:val="zh-CN" w:eastAsia="zh-CN" w:bidi="zh-CN"/>
              </w:rPr>
            </w:pPr>
            <w:r>
              <w:rPr>
                <w:rFonts w:hint="default" w:ascii="Times New Roman" w:hAnsi="Times New Roman" w:eastAsia="宋体" w:cs="Times New Roman"/>
                <w:color w:val="auto"/>
                <w:sz w:val="18"/>
                <w:szCs w:val="18"/>
                <w:lang w:val="zh-CN" w:eastAsia="zh-CN" w:bidi="zh-CN"/>
              </w:rPr>
              <w:t>4.97</w:t>
            </w:r>
          </w:p>
        </w:tc>
        <w:tc>
          <w:tcPr>
            <w:tcW w:w="468" w:type="dxa"/>
            <w:noWrap/>
            <w:vAlign w:val="center"/>
          </w:tcPr>
          <w:p w14:paraId="2F171492">
            <w:pPr>
              <w:widowControl w:val="0"/>
              <w:autoSpaceDE w:val="0"/>
              <w:autoSpaceDN w:val="0"/>
              <w:spacing w:before="63" w:line="257" w:lineRule="exact"/>
              <w:ind w:left="0" w:leftChars="0" w:right="22" w:firstLine="0" w:firstLineChars="0"/>
              <w:jc w:val="center"/>
              <w:rPr>
                <w:rFonts w:hint="default" w:ascii="Times New Roman" w:hAnsi="Times New Roman" w:eastAsia="宋体" w:cs="Times New Roman"/>
                <w:color w:val="auto"/>
                <w:sz w:val="18"/>
                <w:szCs w:val="18"/>
                <w:lang w:val="zh-CN" w:eastAsia="zh-CN" w:bidi="zh-CN"/>
              </w:rPr>
            </w:pPr>
            <w:r>
              <w:rPr>
                <w:rFonts w:hint="default" w:ascii="Times New Roman" w:hAnsi="Times New Roman" w:eastAsia="宋体" w:cs="Times New Roman"/>
                <w:color w:val="auto"/>
                <w:sz w:val="18"/>
                <w:szCs w:val="18"/>
                <w:lang w:val="zh-CN" w:eastAsia="zh-CN" w:bidi="zh-CN"/>
              </w:rPr>
              <w:t>2.55</w:t>
            </w:r>
          </w:p>
        </w:tc>
        <w:tc>
          <w:tcPr>
            <w:tcW w:w="502" w:type="dxa"/>
            <w:noWrap/>
            <w:vAlign w:val="center"/>
          </w:tcPr>
          <w:p w14:paraId="6BCEDA89">
            <w:pPr>
              <w:widowControl w:val="0"/>
              <w:autoSpaceDE w:val="0"/>
              <w:autoSpaceDN w:val="0"/>
              <w:spacing w:before="63" w:line="257" w:lineRule="exact"/>
              <w:ind w:left="0" w:leftChars="0" w:right="22" w:firstLine="0" w:firstLineChars="0"/>
              <w:jc w:val="center"/>
              <w:rPr>
                <w:rFonts w:hint="default" w:ascii="Times New Roman" w:hAnsi="Times New Roman" w:eastAsia="宋体" w:cs="Times New Roman"/>
                <w:color w:val="auto"/>
                <w:sz w:val="18"/>
                <w:szCs w:val="18"/>
                <w:lang w:val="zh-CN" w:eastAsia="zh-CN" w:bidi="zh-CN"/>
              </w:rPr>
            </w:pPr>
            <w:r>
              <w:rPr>
                <w:rFonts w:hint="default" w:ascii="Times New Roman" w:hAnsi="Times New Roman" w:eastAsia="宋体" w:cs="Times New Roman"/>
                <w:color w:val="auto"/>
                <w:sz w:val="18"/>
                <w:szCs w:val="18"/>
                <w:lang w:val="zh-CN" w:eastAsia="zh-CN" w:bidi="zh-CN"/>
              </w:rPr>
              <w:t>1.48</w:t>
            </w:r>
          </w:p>
        </w:tc>
        <w:tc>
          <w:tcPr>
            <w:tcW w:w="469" w:type="dxa"/>
            <w:noWrap/>
            <w:vAlign w:val="center"/>
          </w:tcPr>
          <w:p w14:paraId="363304B9">
            <w:pPr>
              <w:widowControl w:val="0"/>
              <w:autoSpaceDE w:val="0"/>
              <w:autoSpaceDN w:val="0"/>
              <w:spacing w:before="63" w:line="257" w:lineRule="exact"/>
              <w:ind w:left="0" w:leftChars="0" w:right="22" w:firstLine="0" w:firstLineChars="0"/>
              <w:jc w:val="center"/>
              <w:rPr>
                <w:rFonts w:hint="default" w:ascii="Times New Roman" w:hAnsi="Times New Roman" w:eastAsia="宋体" w:cs="Times New Roman"/>
                <w:color w:val="auto"/>
                <w:sz w:val="18"/>
                <w:szCs w:val="18"/>
                <w:lang w:val="zh-CN" w:eastAsia="zh-CN" w:bidi="zh-CN"/>
              </w:rPr>
            </w:pPr>
            <w:r>
              <w:rPr>
                <w:rFonts w:hint="default" w:ascii="Times New Roman" w:hAnsi="Times New Roman" w:eastAsia="宋体" w:cs="Times New Roman"/>
                <w:color w:val="auto"/>
                <w:sz w:val="18"/>
                <w:szCs w:val="18"/>
                <w:lang w:val="zh-CN" w:eastAsia="zh-CN" w:bidi="zh-CN"/>
              </w:rPr>
              <w:t>0.00</w:t>
            </w:r>
          </w:p>
        </w:tc>
      </w:tr>
      <w:tr w14:paraId="02BC9AC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6" w:type="dxa"/>
            <w:bottom w:w="0" w:type="dxa"/>
            <w:right w:w="6" w:type="dxa"/>
          </w:tblCellMar>
        </w:tblPrEx>
        <w:trPr>
          <w:trHeight w:val="357" w:hRule="atLeast"/>
        </w:trPr>
        <w:tc>
          <w:tcPr>
            <w:tcW w:w="881" w:type="dxa"/>
            <w:noWrap/>
            <w:vAlign w:val="center"/>
          </w:tcPr>
          <w:p w14:paraId="7E77C705">
            <w:pPr>
              <w:widowControl w:val="0"/>
              <w:autoSpaceDE w:val="0"/>
              <w:autoSpaceDN w:val="0"/>
              <w:spacing w:before="63" w:line="257" w:lineRule="exact"/>
              <w:ind w:left="0" w:leftChars="0" w:right="22" w:firstLine="0" w:firstLineChars="0"/>
              <w:jc w:val="center"/>
              <w:rPr>
                <w:rFonts w:hint="default" w:ascii="Times New Roman" w:hAnsi="Times New Roman" w:eastAsia="宋体" w:cs="Times New Roman"/>
                <w:color w:val="auto"/>
                <w:sz w:val="18"/>
                <w:szCs w:val="18"/>
                <w:lang w:val="zh-CN" w:eastAsia="zh-CN" w:bidi="zh-CN"/>
              </w:rPr>
            </w:pPr>
            <w:r>
              <w:rPr>
                <w:rFonts w:hint="default" w:ascii="Times New Roman" w:hAnsi="Times New Roman" w:eastAsia="宋体" w:cs="Times New Roman"/>
                <w:color w:val="auto"/>
                <w:sz w:val="18"/>
                <w:szCs w:val="18"/>
                <w:lang w:val="zh-CN" w:eastAsia="zh-CN" w:bidi="zh-CN"/>
              </w:rPr>
              <w:t>四月</w:t>
            </w:r>
          </w:p>
        </w:tc>
        <w:tc>
          <w:tcPr>
            <w:tcW w:w="487" w:type="dxa"/>
            <w:noWrap/>
            <w:vAlign w:val="center"/>
          </w:tcPr>
          <w:p w14:paraId="06998FCB">
            <w:pPr>
              <w:widowControl w:val="0"/>
              <w:autoSpaceDE w:val="0"/>
              <w:autoSpaceDN w:val="0"/>
              <w:spacing w:before="63" w:line="257" w:lineRule="exact"/>
              <w:ind w:left="0" w:leftChars="0" w:right="22" w:firstLine="0" w:firstLineChars="0"/>
              <w:jc w:val="center"/>
              <w:rPr>
                <w:rFonts w:hint="default" w:ascii="Times New Roman" w:hAnsi="Times New Roman" w:eastAsia="宋体" w:cs="Times New Roman"/>
                <w:color w:val="auto"/>
                <w:sz w:val="18"/>
                <w:szCs w:val="18"/>
                <w:lang w:val="zh-CN" w:eastAsia="zh-CN" w:bidi="zh-CN"/>
              </w:rPr>
            </w:pPr>
            <w:r>
              <w:rPr>
                <w:rFonts w:hint="default" w:ascii="Times New Roman" w:hAnsi="Times New Roman" w:eastAsia="宋体" w:cs="Times New Roman"/>
                <w:color w:val="auto"/>
                <w:sz w:val="18"/>
                <w:szCs w:val="18"/>
                <w:lang w:val="zh-CN" w:eastAsia="zh-CN" w:bidi="zh-CN"/>
              </w:rPr>
              <w:t>2.78</w:t>
            </w:r>
          </w:p>
        </w:tc>
        <w:tc>
          <w:tcPr>
            <w:tcW w:w="436" w:type="dxa"/>
            <w:noWrap/>
            <w:vAlign w:val="center"/>
          </w:tcPr>
          <w:p w14:paraId="6DF178E7">
            <w:pPr>
              <w:widowControl w:val="0"/>
              <w:autoSpaceDE w:val="0"/>
              <w:autoSpaceDN w:val="0"/>
              <w:spacing w:before="63" w:line="257" w:lineRule="exact"/>
              <w:ind w:left="0" w:leftChars="0" w:right="22" w:firstLine="0" w:firstLineChars="0"/>
              <w:jc w:val="center"/>
              <w:rPr>
                <w:rFonts w:hint="default" w:ascii="Times New Roman" w:hAnsi="Times New Roman" w:eastAsia="宋体" w:cs="Times New Roman"/>
                <w:color w:val="auto"/>
                <w:sz w:val="18"/>
                <w:szCs w:val="18"/>
                <w:lang w:val="zh-CN" w:eastAsia="zh-CN" w:bidi="zh-CN"/>
              </w:rPr>
            </w:pPr>
            <w:r>
              <w:rPr>
                <w:rFonts w:hint="default" w:ascii="Times New Roman" w:hAnsi="Times New Roman" w:eastAsia="宋体" w:cs="Times New Roman"/>
                <w:color w:val="auto"/>
                <w:sz w:val="18"/>
                <w:szCs w:val="18"/>
                <w:lang w:val="zh-CN" w:eastAsia="zh-CN" w:bidi="zh-CN"/>
              </w:rPr>
              <w:t>2.64</w:t>
            </w:r>
          </w:p>
        </w:tc>
        <w:tc>
          <w:tcPr>
            <w:tcW w:w="468" w:type="dxa"/>
            <w:noWrap/>
            <w:vAlign w:val="center"/>
          </w:tcPr>
          <w:p w14:paraId="4CF1B684">
            <w:pPr>
              <w:widowControl w:val="0"/>
              <w:autoSpaceDE w:val="0"/>
              <w:autoSpaceDN w:val="0"/>
              <w:spacing w:before="63" w:line="257" w:lineRule="exact"/>
              <w:ind w:left="0" w:leftChars="0" w:right="22" w:firstLine="0" w:firstLineChars="0"/>
              <w:jc w:val="center"/>
              <w:rPr>
                <w:rFonts w:hint="default" w:ascii="Times New Roman" w:hAnsi="Times New Roman" w:eastAsia="宋体" w:cs="Times New Roman"/>
                <w:color w:val="auto"/>
                <w:sz w:val="18"/>
                <w:szCs w:val="18"/>
                <w:lang w:val="zh-CN" w:eastAsia="zh-CN" w:bidi="zh-CN"/>
              </w:rPr>
            </w:pPr>
            <w:r>
              <w:rPr>
                <w:rFonts w:hint="default" w:ascii="Times New Roman" w:hAnsi="Times New Roman" w:eastAsia="宋体" w:cs="Times New Roman"/>
                <w:color w:val="auto"/>
                <w:sz w:val="18"/>
                <w:szCs w:val="18"/>
                <w:lang w:val="zh-CN" w:eastAsia="zh-CN" w:bidi="zh-CN"/>
              </w:rPr>
              <w:t>5.83</w:t>
            </w:r>
          </w:p>
        </w:tc>
        <w:tc>
          <w:tcPr>
            <w:tcW w:w="474" w:type="dxa"/>
            <w:noWrap/>
            <w:vAlign w:val="center"/>
          </w:tcPr>
          <w:p w14:paraId="0D5E99D5">
            <w:pPr>
              <w:widowControl w:val="0"/>
              <w:autoSpaceDE w:val="0"/>
              <w:autoSpaceDN w:val="0"/>
              <w:spacing w:before="63" w:line="257" w:lineRule="exact"/>
              <w:ind w:left="0" w:leftChars="0" w:right="22" w:firstLine="0" w:firstLineChars="0"/>
              <w:jc w:val="center"/>
              <w:rPr>
                <w:rFonts w:hint="default" w:ascii="Times New Roman" w:hAnsi="Times New Roman" w:eastAsia="宋体" w:cs="Times New Roman"/>
                <w:color w:val="auto"/>
                <w:sz w:val="18"/>
                <w:szCs w:val="18"/>
                <w:lang w:val="zh-CN" w:eastAsia="zh-CN" w:bidi="zh-CN"/>
              </w:rPr>
            </w:pPr>
            <w:r>
              <w:rPr>
                <w:rFonts w:hint="default" w:ascii="Times New Roman" w:hAnsi="Times New Roman" w:eastAsia="宋体" w:cs="Times New Roman"/>
                <w:color w:val="auto"/>
                <w:sz w:val="18"/>
                <w:szCs w:val="18"/>
                <w:lang w:val="zh-CN" w:eastAsia="zh-CN" w:bidi="zh-CN"/>
              </w:rPr>
              <w:t>11.81</w:t>
            </w:r>
          </w:p>
        </w:tc>
        <w:tc>
          <w:tcPr>
            <w:tcW w:w="474" w:type="dxa"/>
            <w:noWrap/>
            <w:vAlign w:val="center"/>
          </w:tcPr>
          <w:p w14:paraId="40B60BE1">
            <w:pPr>
              <w:widowControl w:val="0"/>
              <w:autoSpaceDE w:val="0"/>
              <w:autoSpaceDN w:val="0"/>
              <w:spacing w:before="63" w:line="257" w:lineRule="exact"/>
              <w:ind w:left="0" w:leftChars="0" w:right="22" w:firstLine="0" w:firstLineChars="0"/>
              <w:jc w:val="center"/>
              <w:rPr>
                <w:rFonts w:hint="default" w:ascii="Times New Roman" w:hAnsi="Times New Roman" w:eastAsia="宋体" w:cs="Times New Roman"/>
                <w:color w:val="auto"/>
                <w:sz w:val="18"/>
                <w:szCs w:val="18"/>
                <w:lang w:val="zh-CN" w:eastAsia="zh-CN" w:bidi="zh-CN"/>
              </w:rPr>
            </w:pPr>
            <w:r>
              <w:rPr>
                <w:rFonts w:hint="default" w:ascii="Times New Roman" w:hAnsi="Times New Roman" w:eastAsia="宋体" w:cs="Times New Roman"/>
                <w:color w:val="auto"/>
                <w:sz w:val="18"/>
                <w:szCs w:val="18"/>
                <w:lang w:val="zh-CN" w:eastAsia="zh-CN" w:bidi="zh-CN"/>
              </w:rPr>
              <w:t>23.19</w:t>
            </w:r>
          </w:p>
        </w:tc>
        <w:tc>
          <w:tcPr>
            <w:tcW w:w="474" w:type="dxa"/>
            <w:noWrap/>
            <w:vAlign w:val="center"/>
          </w:tcPr>
          <w:p w14:paraId="7A8F1698">
            <w:pPr>
              <w:widowControl w:val="0"/>
              <w:autoSpaceDE w:val="0"/>
              <w:autoSpaceDN w:val="0"/>
              <w:spacing w:before="63" w:line="257" w:lineRule="exact"/>
              <w:ind w:left="0" w:leftChars="0" w:right="22" w:firstLine="0" w:firstLineChars="0"/>
              <w:jc w:val="center"/>
              <w:rPr>
                <w:rFonts w:hint="default" w:ascii="Times New Roman" w:hAnsi="Times New Roman" w:eastAsia="宋体" w:cs="Times New Roman"/>
                <w:color w:val="auto"/>
                <w:sz w:val="18"/>
                <w:szCs w:val="18"/>
                <w:lang w:val="zh-CN" w:eastAsia="zh-CN" w:bidi="zh-CN"/>
              </w:rPr>
            </w:pPr>
            <w:r>
              <w:rPr>
                <w:rFonts w:hint="default" w:ascii="Times New Roman" w:hAnsi="Times New Roman" w:eastAsia="宋体" w:cs="Times New Roman"/>
                <w:color w:val="auto"/>
                <w:sz w:val="18"/>
                <w:szCs w:val="18"/>
                <w:lang w:val="zh-CN" w:eastAsia="zh-CN" w:bidi="zh-CN"/>
              </w:rPr>
              <w:t>5.83</w:t>
            </w:r>
          </w:p>
        </w:tc>
        <w:tc>
          <w:tcPr>
            <w:tcW w:w="468" w:type="dxa"/>
            <w:noWrap/>
            <w:vAlign w:val="center"/>
          </w:tcPr>
          <w:p w14:paraId="631A07E7">
            <w:pPr>
              <w:widowControl w:val="0"/>
              <w:autoSpaceDE w:val="0"/>
              <w:autoSpaceDN w:val="0"/>
              <w:spacing w:before="63" w:line="257" w:lineRule="exact"/>
              <w:ind w:left="0" w:leftChars="0" w:right="22" w:firstLine="0" w:firstLineChars="0"/>
              <w:jc w:val="center"/>
              <w:rPr>
                <w:rFonts w:hint="default" w:ascii="Times New Roman" w:hAnsi="Times New Roman" w:eastAsia="宋体" w:cs="Times New Roman"/>
                <w:color w:val="auto"/>
                <w:sz w:val="18"/>
                <w:szCs w:val="18"/>
                <w:lang w:val="zh-CN" w:eastAsia="zh-CN" w:bidi="zh-CN"/>
              </w:rPr>
            </w:pPr>
            <w:r>
              <w:rPr>
                <w:rFonts w:hint="default" w:ascii="Times New Roman" w:hAnsi="Times New Roman" w:eastAsia="宋体" w:cs="Times New Roman"/>
                <w:color w:val="auto"/>
                <w:sz w:val="18"/>
                <w:szCs w:val="18"/>
                <w:lang w:val="zh-CN" w:eastAsia="zh-CN" w:bidi="zh-CN"/>
              </w:rPr>
              <w:t>5.69</w:t>
            </w:r>
          </w:p>
        </w:tc>
        <w:tc>
          <w:tcPr>
            <w:tcW w:w="468" w:type="dxa"/>
            <w:noWrap/>
            <w:vAlign w:val="center"/>
          </w:tcPr>
          <w:p w14:paraId="58DDE812">
            <w:pPr>
              <w:widowControl w:val="0"/>
              <w:autoSpaceDE w:val="0"/>
              <w:autoSpaceDN w:val="0"/>
              <w:spacing w:before="63" w:line="257" w:lineRule="exact"/>
              <w:ind w:left="0" w:leftChars="0" w:right="22" w:firstLine="0" w:firstLineChars="0"/>
              <w:jc w:val="center"/>
              <w:rPr>
                <w:rFonts w:hint="default" w:ascii="Times New Roman" w:hAnsi="Times New Roman" w:eastAsia="宋体" w:cs="Times New Roman"/>
                <w:color w:val="auto"/>
                <w:sz w:val="18"/>
                <w:szCs w:val="18"/>
                <w:lang w:val="zh-CN" w:eastAsia="zh-CN" w:bidi="zh-CN"/>
              </w:rPr>
            </w:pPr>
            <w:r>
              <w:rPr>
                <w:rFonts w:hint="default" w:ascii="Times New Roman" w:hAnsi="Times New Roman" w:eastAsia="宋体" w:cs="Times New Roman"/>
                <w:color w:val="auto"/>
                <w:sz w:val="18"/>
                <w:szCs w:val="18"/>
                <w:lang w:val="zh-CN" w:eastAsia="zh-CN" w:bidi="zh-CN"/>
              </w:rPr>
              <w:t>3.61</w:t>
            </w:r>
          </w:p>
        </w:tc>
        <w:tc>
          <w:tcPr>
            <w:tcW w:w="468" w:type="dxa"/>
            <w:noWrap/>
            <w:vAlign w:val="center"/>
          </w:tcPr>
          <w:p w14:paraId="358E3D69">
            <w:pPr>
              <w:widowControl w:val="0"/>
              <w:autoSpaceDE w:val="0"/>
              <w:autoSpaceDN w:val="0"/>
              <w:spacing w:before="63" w:line="257" w:lineRule="exact"/>
              <w:ind w:left="0" w:leftChars="0" w:right="22" w:firstLine="0" w:firstLineChars="0"/>
              <w:jc w:val="center"/>
              <w:rPr>
                <w:rFonts w:hint="default" w:ascii="Times New Roman" w:hAnsi="Times New Roman" w:eastAsia="宋体" w:cs="Times New Roman"/>
                <w:color w:val="auto"/>
                <w:sz w:val="18"/>
                <w:szCs w:val="18"/>
                <w:lang w:val="zh-CN" w:eastAsia="zh-CN" w:bidi="zh-CN"/>
              </w:rPr>
            </w:pPr>
            <w:r>
              <w:rPr>
                <w:rFonts w:hint="default" w:ascii="Times New Roman" w:hAnsi="Times New Roman" w:eastAsia="宋体" w:cs="Times New Roman"/>
                <w:color w:val="auto"/>
                <w:sz w:val="18"/>
                <w:szCs w:val="18"/>
                <w:lang w:val="zh-CN" w:eastAsia="zh-CN" w:bidi="zh-CN"/>
              </w:rPr>
              <w:t>4.03</w:t>
            </w:r>
          </w:p>
        </w:tc>
        <w:tc>
          <w:tcPr>
            <w:tcW w:w="468" w:type="dxa"/>
            <w:noWrap/>
            <w:vAlign w:val="center"/>
          </w:tcPr>
          <w:p w14:paraId="1C2A70AB">
            <w:pPr>
              <w:widowControl w:val="0"/>
              <w:autoSpaceDE w:val="0"/>
              <w:autoSpaceDN w:val="0"/>
              <w:spacing w:before="63" w:line="257" w:lineRule="exact"/>
              <w:ind w:left="0" w:leftChars="0" w:right="22" w:firstLine="0" w:firstLineChars="0"/>
              <w:jc w:val="center"/>
              <w:rPr>
                <w:rFonts w:hint="default" w:ascii="Times New Roman" w:hAnsi="Times New Roman" w:eastAsia="宋体" w:cs="Times New Roman"/>
                <w:color w:val="auto"/>
                <w:sz w:val="18"/>
                <w:szCs w:val="18"/>
                <w:lang w:val="zh-CN" w:eastAsia="zh-CN" w:bidi="zh-CN"/>
              </w:rPr>
            </w:pPr>
            <w:r>
              <w:rPr>
                <w:rFonts w:hint="default" w:ascii="Times New Roman" w:hAnsi="Times New Roman" w:eastAsia="宋体" w:cs="Times New Roman"/>
                <w:color w:val="auto"/>
                <w:sz w:val="18"/>
                <w:szCs w:val="18"/>
                <w:lang w:val="zh-CN" w:eastAsia="zh-CN" w:bidi="zh-CN"/>
              </w:rPr>
              <w:t>4.31</w:t>
            </w:r>
          </w:p>
        </w:tc>
        <w:tc>
          <w:tcPr>
            <w:tcW w:w="468" w:type="dxa"/>
            <w:noWrap/>
            <w:vAlign w:val="center"/>
          </w:tcPr>
          <w:p w14:paraId="6E541BF4">
            <w:pPr>
              <w:widowControl w:val="0"/>
              <w:autoSpaceDE w:val="0"/>
              <w:autoSpaceDN w:val="0"/>
              <w:spacing w:before="63" w:line="257" w:lineRule="exact"/>
              <w:ind w:left="0" w:leftChars="0" w:right="22" w:firstLine="0" w:firstLineChars="0"/>
              <w:jc w:val="center"/>
              <w:rPr>
                <w:rFonts w:hint="default" w:ascii="Times New Roman" w:hAnsi="Times New Roman" w:eastAsia="宋体" w:cs="Times New Roman"/>
                <w:color w:val="auto"/>
                <w:sz w:val="18"/>
                <w:szCs w:val="18"/>
                <w:lang w:val="zh-CN" w:eastAsia="zh-CN" w:bidi="zh-CN"/>
              </w:rPr>
            </w:pPr>
            <w:r>
              <w:rPr>
                <w:rFonts w:hint="default" w:ascii="Times New Roman" w:hAnsi="Times New Roman" w:eastAsia="宋体" w:cs="Times New Roman"/>
                <w:color w:val="auto"/>
                <w:sz w:val="18"/>
                <w:szCs w:val="18"/>
                <w:lang w:val="zh-CN" w:eastAsia="zh-CN" w:bidi="zh-CN"/>
              </w:rPr>
              <w:t>4.03</w:t>
            </w:r>
          </w:p>
        </w:tc>
        <w:tc>
          <w:tcPr>
            <w:tcW w:w="512" w:type="dxa"/>
            <w:noWrap/>
            <w:vAlign w:val="center"/>
          </w:tcPr>
          <w:p w14:paraId="351917E8">
            <w:pPr>
              <w:widowControl w:val="0"/>
              <w:autoSpaceDE w:val="0"/>
              <w:autoSpaceDN w:val="0"/>
              <w:spacing w:before="63" w:line="257" w:lineRule="exact"/>
              <w:ind w:left="0" w:leftChars="0" w:right="22" w:firstLine="0" w:firstLineChars="0"/>
              <w:jc w:val="center"/>
              <w:rPr>
                <w:rFonts w:hint="default" w:ascii="Times New Roman" w:hAnsi="Times New Roman" w:eastAsia="宋体" w:cs="Times New Roman"/>
                <w:color w:val="auto"/>
                <w:sz w:val="18"/>
                <w:szCs w:val="18"/>
                <w:lang w:val="zh-CN" w:eastAsia="zh-CN" w:bidi="zh-CN"/>
              </w:rPr>
            </w:pPr>
            <w:r>
              <w:rPr>
                <w:rFonts w:hint="default" w:ascii="Times New Roman" w:hAnsi="Times New Roman" w:eastAsia="宋体" w:cs="Times New Roman"/>
                <w:color w:val="auto"/>
                <w:sz w:val="18"/>
                <w:szCs w:val="18"/>
                <w:lang w:val="zh-CN" w:eastAsia="zh-CN" w:bidi="zh-CN"/>
              </w:rPr>
              <w:t>6.39</w:t>
            </w:r>
          </w:p>
        </w:tc>
        <w:tc>
          <w:tcPr>
            <w:tcW w:w="474" w:type="dxa"/>
            <w:noWrap/>
            <w:vAlign w:val="center"/>
          </w:tcPr>
          <w:p w14:paraId="0BB8758F">
            <w:pPr>
              <w:widowControl w:val="0"/>
              <w:autoSpaceDE w:val="0"/>
              <w:autoSpaceDN w:val="0"/>
              <w:spacing w:before="63" w:line="257" w:lineRule="exact"/>
              <w:ind w:left="0" w:leftChars="0" w:right="22" w:firstLine="0" w:firstLineChars="0"/>
              <w:jc w:val="center"/>
              <w:rPr>
                <w:rFonts w:hint="default" w:ascii="Times New Roman" w:hAnsi="Times New Roman" w:eastAsia="宋体" w:cs="Times New Roman"/>
                <w:color w:val="auto"/>
                <w:sz w:val="18"/>
                <w:szCs w:val="18"/>
                <w:lang w:val="zh-CN" w:eastAsia="zh-CN" w:bidi="zh-CN"/>
              </w:rPr>
            </w:pPr>
            <w:r>
              <w:rPr>
                <w:rFonts w:hint="default" w:ascii="Times New Roman" w:hAnsi="Times New Roman" w:eastAsia="宋体" w:cs="Times New Roman"/>
                <w:color w:val="auto"/>
                <w:sz w:val="18"/>
                <w:szCs w:val="18"/>
                <w:lang w:val="zh-CN" w:eastAsia="zh-CN" w:bidi="zh-CN"/>
              </w:rPr>
              <w:t>11.94</w:t>
            </w:r>
          </w:p>
        </w:tc>
        <w:tc>
          <w:tcPr>
            <w:tcW w:w="543" w:type="dxa"/>
            <w:noWrap/>
            <w:vAlign w:val="center"/>
          </w:tcPr>
          <w:p w14:paraId="0096E41A">
            <w:pPr>
              <w:widowControl w:val="0"/>
              <w:autoSpaceDE w:val="0"/>
              <w:autoSpaceDN w:val="0"/>
              <w:spacing w:before="63" w:line="257" w:lineRule="exact"/>
              <w:ind w:left="0" w:leftChars="0" w:right="22" w:firstLine="0" w:firstLineChars="0"/>
              <w:jc w:val="center"/>
              <w:rPr>
                <w:rFonts w:hint="default" w:ascii="Times New Roman" w:hAnsi="Times New Roman" w:eastAsia="宋体" w:cs="Times New Roman"/>
                <w:color w:val="auto"/>
                <w:sz w:val="18"/>
                <w:szCs w:val="18"/>
                <w:lang w:val="zh-CN" w:eastAsia="zh-CN" w:bidi="zh-CN"/>
              </w:rPr>
            </w:pPr>
            <w:r>
              <w:rPr>
                <w:rFonts w:hint="default" w:ascii="Times New Roman" w:hAnsi="Times New Roman" w:eastAsia="宋体" w:cs="Times New Roman"/>
                <w:color w:val="auto"/>
                <w:sz w:val="18"/>
                <w:szCs w:val="18"/>
                <w:lang w:val="zh-CN" w:eastAsia="zh-CN" w:bidi="zh-CN"/>
              </w:rPr>
              <w:t>2.92</w:t>
            </w:r>
          </w:p>
        </w:tc>
        <w:tc>
          <w:tcPr>
            <w:tcW w:w="468" w:type="dxa"/>
            <w:noWrap/>
            <w:vAlign w:val="center"/>
          </w:tcPr>
          <w:p w14:paraId="6FBB0999">
            <w:pPr>
              <w:widowControl w:val="0"/>
              <w:autoSpaceDE w:val="0"/>
              <w:autoSpaceDN w:val="0"/>
              <w:spacing w:before="63" w:line="257" w:lineRule="exact"/>
              <w:ind w:left="0" w:leftChars="0" w:right="22" w:firstLine="0" w:firstLineChars="0"/>
              <w:jc w:val="center"/>
              <w:rPr>
                <w:rFonts w:hint="default" w:ascii="Times New Roman" w:hAnsi="Times New Roman" w:eastAsia="宋体" w:cs="Times New Roman"/>
                <w:color w:val="auto"/>
                <w:sz w:val="18"/>
                <w:szCs w:val="18"/>
                <w:lang w:val="zh-CN" w:eastAsia="zh-CN" w:bidi="zh-CN"/>
              </w:rPr>
            </w:pPr>
            <w:r>
              <w:rPr>
                <w:rFonts w:hint="default" w:ascii="Times New Roman" w:hAnsi="Times New Roman" w:eastAsia="宋体" w:cs="Times New Roman"/>
                <w:color w:val="auto"/>
                <w:sz w:val="18"/>
                <w:szCs w:val="18"/>
                <w:lang w:val="zh-CN" w:eastAsia="zh-CN" w:bidi="zh-CN"/>
              </w:rPr>
              <w:t>2.64</w:t>
            </w:r>
          </w:p>
        </w:tc>
        <w:tc>
          <w:tcPr>
            <w:tcW w:w="502" w:type="dxa"/>
            <w:noWrap/>
            <w:vAlign w:val="center"/>
          </w:tcPr>
          <w:p w14:paraId="5FA023F3">
            <w:pPr>
              <w:widowControl w:val="0"/>
              <w:autoSpaceDE w:val="0"/>
              <w:autoSpaceDN w:val="0"/>
              <w:spacing w:before="63" w:line="257" w:lineRule="exact"/>
              <w:ind w:left="0" w:leftChars="0" w:right="22" w:firstLine="0" w:firstLineChars="0"/>
              <w:jc w:val="center"/>
              <w:rPr>
                <w:rFonts w:hint="default" w:ascii="Times New Roman" w:hAnsi="Times New Roman" w:eastAsia="宋体" w:cs="Times New Roman"/>
                <w:color w:val="auto"/>
                <w:sz w:val="18"/>
                <w:szCs w:val="18"/>
                <w:lang w:val="zh-CN" w:eastAsia="zh-CN" w:bidi="zh-CN"/>
              </w:rPr>
            </w:pPr>
            <w:r>
              <w:rPr>
                <w:rFonts w:hint="default" w:ascii="Times New Roman" w:hAnsi="Times New Roman" w:eastAsia="宋体" w:cs="Times New Roman"/>
                <w:color w:val="auto"/>
                <w:sz w:val="18"/>
                <w:szCs w:val="18"/>
                <w:lang w:val="zh-CN" w:eastAsia="zh-CN" w:bidi="zh-CN"/>
              </w:rPr>
              <w:t>2.22</w:t>
            </w:r>
          </w:p>
        </w:tc>
        <w:tc>
          <w:tcPr>
            <w:tcW w:w="469" w:type="dxa"/>
            <w:noWrap/>
            <w:vAlign w:val="center"/>
          </w:tcPr>
          <w:p w14:paraId="3C1C1D5F">
            <w:pPr>
              <w:widowControl w:val="0"/>
              <w:autoSpaceDE w:val="0"/>
              <w:autoSpaceDN w:val="0"/>
              <w:spacing w:before="63" w:line="257" w:lineRule="exact"/>
              <w:ind w:left="0" w:leftChars="0" w:right="22" w:firstLine="0" w:firstLineChars="0"/>
              <w:jc w:val="center"/>
              <w:rPr>
                <w:rFonts w:hint="default" w:ascii="Times New Roman" w:hAnsi="Times New Roman" w:eastAsia="宋体" w:cs="Times New Roman"/>
                <w:color w:val="auto"/>
                <w:sz w:val="18"/>
                <w:szCs w:val="18"/>
                <w:lang w:val="zh-CN" w:eastAsia="zh-CN" w:bidi="zh-CN"/>
              </w:rPr>
            </w:pPr>
            <w:r>
              <w:rPr>
                <w:rFonts w:hint="default" w:ascii="Times New Roman" w:hAnsi="Times New Roman" w:eastAsia="宋体" w:cs="Times New Roman"/>
                <w:color w:val="auto"/>
                <w:sz w:val="18"/>
                <w:szCs w:val="18"/>
                <w:lang w:val="zh-CN" w:eastAsia="zh-CN" w:bidi="zh-CN"/>
              </w:rPr>
              <w:t>0.14</w:t>
            </w:r>
          </w:p>
        </w:tc>
      </w:tr>
      <w:tr w14:paraId="39FA7BF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6" w:type="dxa"/>
            <w:bottom w:w="0" w:type="dxa"/>
            <w:right w:w="6" w:type="dxa"/>
          </w:tblCellMar>
        </w:tblPrEx>
        <w:trPr>
          <w:trHeight w:val="357" w:hRule="atLeast"/>
        </w:trPr>
        <w:tc>
          <w:tcPr>
            <w:tcW w:w="881" w:type="dxa"/>
            <w:noWrap/>
            <w:vAlign w:val="center"/>
          </w:tcPr>
          <w:p w14:paraId="4DAADF4E">
            <w:pPr>
              <w:widowControl w:val="0"/>
              <w:autoSpaceDE w:val="0"/>
              <w:autoSpaceDN w:val="0"/>
              <w:spacing w:before="63" w:line="257" w:lineRule="exact"/>
              <w:ind w:left="0" w:leftChars="0" w:right="22" w:firstLine="0" w:firstLineChars="0"/>
              <w:jc w:val="center"/>
              <w:rPr>
                <w:rFonts w:hint="default" w:ascii="Times New Roman" w:hAnsi="Times New Roman" w:eastAsia="宋体" w:cs="Times New Roman"/>
                <w:color w:val="auto"/>
                <w:sz w:val="18"/>
                <w:szCs w:val="18"/>
                <w:lang w:val="zh-CN" w:eastAsia="zh-CN" w:bidi="zh-CN"/>
              </w:rPr>
            </w:pPr>
            <w:r>
              <w:rPr>
                <w:rFonts w:hint="default" w:ascii="Times New Roman" w:hAnsi="Times New Roman" w:eastAsia="宋体" w:cs="Times New Roman"/>
                <w:color w:val="auto"/>
                <w:sz w:val="18"/>
                <w:szCs w:val="18"/>
                <w:lang w:val="zh-CN" w:eastAsia="zh-CN" w:bidi="zh-CN"/>
              </w:rPr>
              <w:t>五月</w:t>
            </w:r>
          </w:p>
        </w:tc>
        <w:tc>
          <w:tcPr>
            <w:tcW w:w="487" w:type="dxa"/>
            <w:noWrap/>
            <w:vAlign w:val="center"/>
          </w:tcPr>
          <w:p w14:paraId="6E30894C">
            <w:pPr>
              <w:widowControl w:val="0"/>
              <w:autoSpaceDE w:val="0"/>
              <w:autoSpaceDN w:val="0"/>
              <w:spacing w:before="63" w:line="257" w:lineRule="exact"/>
              <w:ind w:left="0" w:leftChars="0" w:right="22" w:firstLine="0" w:firstLineChars="0"/>
              <w:jc w:val="center"/>
              <w:rPr>
                <w:rFonts w:hint="default" w:ascii="Times New Roman" w:hAnsi="Times New Roman" w:eastAsia="宋体" w:cs="Times New Roman"/>
                <w:color w:val="auto"/>
                <w:sz w:val="18"/>
                <w:szCs w:val="18"/>
                <w:lang w:val="zh-CN" w:eastAsia="zh-CN" w:bidi="zh-CN"/>
              </w:rPr>
            </w:pPr>
            <w:r>
              <w:rPr>
                <w:rFonts w:hint="default" w:ascii="Times New Roman" w:hAnsi="Times New Roman" w:eastAsia="宋体" w:cs="Times New Roman"/>
                <w:color w:val="auto"/>
                <w:sz w:val="18"/>
                <w:szCs w:val="18"/>
                <w:lang w:val="zh-CN" w:eastAsia="zh-CN" w:bidi="zh-CN"/>
              </w:rPr>
              <w:t>2.15</w:t>
            </w:r>
          </w:p>
        </w:tc>
        <w:tc>
          <w:tcPr>
            <w:tcW w:w="436" w:type="dxa"/>
            <w:noWrap/>
            <w:vAlign w:val="center"/>
          </w:tcPr>
          <w:p w14:paraId="467E8835">
            <w:pPr>
              <w:widowControl w:val="0"/>
              <w:autoSpaceDE w:val="0"/>
              <w:autoSpaceDN w:val="0"/>
              <w:spacing w:before="63" w:line="257" w:lineRule="exact"/>
              <w:ind w:left="0" w:leftChars="0" w:right="22" w:firstLine="0" w:firstLineChars="0"/>
              <w:jc w:val="center"/>
              <w:rPr>
                <w:rFonts w:hint="default" w:ascii="Times New Roman" w:hAnsi="Times New Roman" w:eastAsia="宋体" w:cs="Times New Roman"/>
                <w:color w:val="auto"/>
                <w:sz w:val="18"/>
                <w:szCs w:val="18"/>
                <w:lang w:val="zh-CN" w:eastAsia="zh-CN" w:bidi="zh-CN"/>
              </w:rPr>
            </w:pPr>
            <w:r>
              <w:rPr>
                <w:rFonts w:hint="default" w:ascii="Times New Roman" w:hAnsi="Times New Roman" w:eastAsia="宋体" w:cs="Times New Roman"/>
                <w:color w:val="auto"/>
                <w:sz w:val="18"/>
                <w:szCs w:val="18"/>
                <w:lang w:val="zh-CN" w:eastAsia="zh-CN" w:bidi="zh-CN"/>
              </w:rPr>
              <w:t>2.82</w:t>
            </w:r>
          </w:p>
        </w:tc>
        <w:tc>
          <w:tcPr>
            <w:tcW w:w="468" w:type="dxa"/>
            <w:noWrap/>
            <w:vAlign w:val="center"/>
          </w:tcPr>
          <w:p w14:paraId="0273486A">
            <w:pPr>
              <w:widowControl w:val="0"/>
              <w:autoSpaceDE w:val="0"/>
              <w:autoSpaceDN w:val="0"/>
              <w:spacing w:before="63" w:line="257" w:lineRule="exact"/>
              <w:ind w:left="0" w:leftChars="0" w:right="22" w:firstLine="0" w:firstLineChars="0"/>
              <w:jc w:val="center"/>
              <w:rPr>
                <w:rFonts w:hint="default" w:ascii="Times New Roman" w:hAnsi="Times New Roman" w:eastAsia="宋体" w:cs="Times New Roman"/>
                <w:color w:val="auto"/>
                <w:sz w:val="18"/>
                <w:szCs w:val="18"/>
                <w:lang w:val="zh-CN" w:eastAsia="zh-CN" w:bidi="zh-CN"/>
              </w:rPr>
            </w:pPr>
            <w:r>
              <w:rPr>
                <w:rFonts w:hint="default" w:ascii="Times New Roman" w:hAnsi="Times New Roman" w:eastAsia="宋体" w:cs="Times New Roman"/>
                <w:color w:val="auto"/>
                <w:sz w:val="18"/>
                <w:szCs w:val="18"/>
                <w:lang w:val="zh-CN" w:eastAsia="zh-CN" w:bidi="zh-CN"/>
              </w:rPr>
              <w:t>4.44</w:t>
            </w:r>
          </w:p>
        </w:tc>
        <w:tc>
          <w:tcPr>
            <w:tcW w:w="474" w:type="dxa"/>
            <w:noWrap/>
            <w:vAlign w:val="center"/>
          </w:tcPr>
          <w:p w14:paraId="49DDDAD7">
            <w:pPr>
              <w:widowControl w:val="0"/>
              <w:autoSpaceDE w:val="0"/>
              <w:autoSpaceDN w:val="0"/>
              <w:spacing w:before="63" w:line="257" w:lineRule="exact"/>
              <w:ind w:left="0" w:leftChars="0" w:right="22" w:firstLine="0" w:firstLineChars="0"/>
              <w:jc w:val="center"/>
              <w:rPr>
                <w:rFonts w:hint="default" w:ascii="Times New Roman" w:hAnsi="Times New Roman" w:eastAsia="宋体" w:cs="Times New Roman"/>
                <w:color w:val="auto"/>
                <w:sz w:val="18"/>
                <w:szCs w:val="18"/>
                <w:lang w:val="zh-CN" w:eastAsia="zh-CN" w:bidi="zh-CN"/>
              </w:rPr>
            </w:pPr>
            <w:r>
              <w:rPr>
                <w:rFonts w:hint="default" w:ascii="Times New Roman" w:hAnsi="Times New Roman" w:eastAsia="宋体" w:cs="Times New Roman"/>
                <w:color w:val="auto"/>
                <w:sz w:val="18"/>
                <w:szCs w:val="18"/>
                <w:lang w:val="zh-CN" w:eastAsia="zh-CN" w:bidi="zh-CN"/>
              </w:rPr>
              <w:t>9.27</w:t>
            </w:r>
          </w:p>
        </w:tc>
        <w:tc>
          <w:tcPr>
            <w:tcW w:w="474" w:type="dxa"/>
            <w:noWrap/>
            <w:vAlign w:val="center"/>
          </w:tcPr>
          <w:p w14:paraId="253DF6A2">
            <w:pPr>
              <w:widowControl w:val="0"/>
              <w:autoSpaceDE w:val="0"/>
              <w:autoSpaceDN w:val="0"/>
              <w:spacing w:before="63" w:line="257" w:lineRule="exact"/>
              <w:ind w:left="0" w:leftChars="0" w:right="22" w:firstLine="0" w:firstLineChars="0"/>
              <w:jc w:val="center"/>
              <w:rPr>
                <w:rFonts w:hint="default" w:ascii="Times New Roman" w:hAnsi="Times New Roman" w:eastAsia="宋体" w:cs="Times New Roman"/>
                <w:color w:val="auto"/>
                <w:sz w:val="18"/>
                <w:szCs w:val="18"/>
                <w:lang w:val="zh-CN" w:eastAsia="zh-CN" w:bidi="zh-CN"/>
              </w:rPr>
            </w:pPr>
            <w:r>
              <w:rPr>
                <w:rFonts w:hint="default" w:ascii="Times New Roman" w:hAnsi="Times New Roman" w:eastAsia="宋体" w:cs="Times New Roman"/>
                <w:color w:val="auto"/>
                <w:sz w:val="18"/>
                <w:szCs w:val="18"/>
                <w:lang w:val="zh-CN" w:eastAsia="zh-CN" w:bidi="zh-CN"/>
              </w:rPr>
              <w:t>29.30</w:t>
            </w:r>
          </w:p>
        </w:tc>
        <w:tc>
          <w:tcPr>
            <w:tcW w:w="474" w:type="dxa"/>
            <w:noWrap/>
            <w:vAlign w:val="center"/>
          </w:tcPr>
          <w:p w14:paraId="3123C5AB">
            <w:pPr>
              <w:widowControl w:val="0"/>
              <w:autoSpaceDE w:val="0"/>
              <w:autoSpaceDN w:val="0"/>
              <w:spacing w:before="63" w:line="257" w:lineRule="exact"/>
              <w:ind w:left="0" w:leftChars="0" w:right="22" w:firstLine="0" w:firstLineChars="0"/>
              <w:jc w:val="center"/>
              <w:rPr>
                <w:rFonts w:hint="default" w:ascii="Times New Roman" w:hAnsi="Times New Roman" w:eastAsia="宋体" w:cs="Times New Roman"/>
                <w:color w:val="auto"/>
                <w:sz w:val="18"/>
                <w:szCs w:val="18"/>
                <w:lang w:val="zh-CN" w:eastAsia="zh-CN" w:bidi="zh-CN"/>
              </w:rPr>
            </w:pPr>
            <w:r>
              <w:rPr>
                <w:rFonts w:hint="default" w:ascii="Times New Roman" w:hAnsi="Times New Roman" w:eastAsia="宋体" w:cs="Times New Roman"/>
                <w:color w:val="auto"/>
                <w:sz w:val="18"/>
                <w:szCs w:val="18"/>
                <w:lang w:val="zh-CN" w:eastAsia="zh-CN" w:bidi="zh-CN"/>
              </w:rPr>
              <w:t>12.23</w:t>
            </w:r>
          </w:p>
        </w:tc>
        <w:tc>
          <w:tcPr>
            <w:tcW w:w="468" w:type="dxa"/>
            <w:noWrap/>
            <w:vAlign w:val="center"/>
          </w:tcPr>
          <w:p w14:paraId="7CE54E4E">
            <w:pPr>
              <w:widowControl w:val="0"/>
              <w:autoSpaceDE w:val="0"/>
              <w:autoSpaceDN w:val="0"/>
              <w:spacing w:before="63" w:line="257" w:lineRule="exact"/>
              <w:ind w:left="0" w:leftChars="0" w:right="22" w:firstLine="0" w:firstLineChars="0"/>
              <w:jc w:val="center"/>
              <w:rPr>
                <w:rFonts w:hint="default" w:ascii="Times New Roman" w:hAnsi="Times New Roman" w:eastAsia="宋体" w:cs="Times New Roman"/>
                <w:color w:val="auto"/>
                <w:sz w:val="18"/>
                <w:szCs w:val="18"/>
                <w:lang w:val="zh-CN" w:eastAsia="zh-CN" w:bidi="zh-CN"/>
              </w:rPr>
            </w:pPr>
            <w:r>
              <w:rPr>
                <w:rFonts w:hint="default" w:ascii="Times New Roman" w:hAnsi="Times New Roman" w:eastAsia="宋体" w:cs="Times New Roman"/>
                <w:color w:val="auto"/>
                <w:sz w:val="18"/>
                <w:szCs w:val="18"/>
                <w:lang w:val="zh-CN" w:eastAsia="zh-CN" w:bidi="zh-CN"/>
              </w:rPr>
              <w:t>6.99</w:t>
            </w:r>
          </w:p>
        </w:tc>
        <w:tc>
          <w:tcPr>
            <w:tcW w:w="468" w:type="dxa"/>
            <w:noWrap/>
            <w:vAlign w:val="center"/>
          </w:tcPr>
          <w:p w14:paraId="13A9326F">
            <w:pPr>
              <w:widowControl w:val="0"/>
              <w:autoSpaceDE w:val="0"/>
              <w:autoSpaceDN w:val="0"/>
              <w:spacing w:before="63" w:line="257" w:lineRule="exact"/>
              <w:ind w:left="0" w:leftChars="0" w:right="22" w:firstLine="0" w:firstLineChars="0"/>
              <w:jc w:val="center"/>
              <w:rPr>
                <w:rFonts w:hint="default" w:ascii="Times New Roman" w:hAnsi="Times New Roman" w:eastAsia="宋体" w:cs="Times New Roman"/>
                <w:color w:val="auto"/>
                <w:sz w:val="18"/>
                <w:szCs w:val="18"/>
                <w:lang w:val="zh-CN" w:eastAsia="zh-CN" w:bidi="zh-CN"/>
              </w:rPr>
            </w:pPr>
            <w:r>
              <w:rPr>
                <w:rFonts w:hint="default" w:ascii="Times New Roman" w:hAnsi="Times New Roman" w:eastAsia="宋体" w:cs="Times New Roman"/>
                <w:color w:val="auto"/>
                <w:sz w:val="18"/>
                <w:szCs w:val="18"/>
                <w:lang w:val="zh-CN" w:eastAsia="zh-CN" w:bidi="zh-CN"/>
              </w:rPr>
              <w:t>5.24</w:t>
            </w:r>
          </w:p>
        </w:tc>
        <w:tc>
          <w:tcPr>
            <w:tcW w:w="468" w:type="dxa"/>
            <w:noWrap/>
            <w:vAlign w:val="center"/>
          </w:tcPr>
          <w:p w14:paraId="6E49E34A">
            <w:pPr>
              <w:widowControl w:val="0"/>
              <w:autoSpaceDE w:val="0"/>
              <w:autoSpaceDN w:val="0"/>
              <w:spacing w:before="63" w:line="257" w:lineRule="exact"/>
              <w:ind w:left="0" w:leftChars="0" w:right="22" w:firstLine="0" w:firstLineChars="0"/>
              <w:jc w:val="center"/>
              <w:rPr>
                <w:rFonts w:hint="default" w:ascii="Times New Roman" w:hAnsi="Times New Roman" w:eastAsia="宋体" w:cs="Times New Roman"/>
                <w:color w:val="auto"/>
                <w:sz w:val="18"/>
                <w:szCs w:val="18"/>
                <w:lang w:val="zh-CN" w:eastAsia="zh-CN" w:bidi="zh-CN"/>
              </w:rPr>
            </w:pPr>
            <w:r>
              <w:rPr>
                <w:rFonts w:hint="default" w:ascii="Times New Roman" w:hAnsi="Times New Roman" w:eastAsia="宋体" w:cs="Times New Roman"/>
                <w:color w:val="auto"/>
                <w:sz w:val="18"/>
                <w:szCs w:val="18"/>
                <w:lang w:val="zh-CN" w:eastAsia="zh-CN" w:bidi="zh-CN"/>
              </w:rPr>
              <w:t>5.78</w:t>
            </w:r>
          </w:p>
        </w:tc>
        <w:tc>
          <w:tcPr>
            <w:tcW w:w="468" w:type="dxa"/>
            <w:noWrap/>
            <w:vAlign w:val="center"/>
          </w:tcPr>
          <w:p w14:paraId="0F639204">
            <w:pPr>
              <w:widowControl w:val="0"/>
              <w:autoSpaceDE w:val="0"/>
              <w:autoSpaceDN w:val="0"/>
              <w:spacing w:before="63" w:line="257" w:lineRule="exact"/>
              <w:ind w:left="0" w:leftChars="0" w:right="22" w:firstLine="0" w:firstLineChars="0"/>
              <w:jc w:val="center"/>
              <w:rPr>
                <w:rFonts w:hint="default" w:ascii="Times New Roman" w:hAnsi="Times New Roman" w:eastAsia="宋体" w:cs="Times New Roman"/>
                <w:color w:val="auto"/>
                <w:sz w:val="18"/>
                <w:szCs w:val="18"/>
                <w:lang w:val="zh-CN" w:eastAsia="zh-CN" w:bidi="zh-CN"/>
              </w:rPr>
            </w:pPr>
            <w:r>
              <w:rPr>
                <w:rFonts w:hint="default" w:ascii="Times New Roman" w:hAnsi="Times New Roman" w:eastAsia="宋体" w:cs="Times New Roman"/>
                <w:color w:val="auto"/>
                <w:sz w:val="18"/>
                <w:szCs w:val="18"/>
                <w:lang w:val="zh-CN" w:eastAsia="zh-CN" w:bidi="zh-CN"/>
              </w:rPr>
              <w:t>1.61</w:t>
            </w:r>
          </w:p>
        </w:tc>
        <w:tc>
          <w:tcPr>
            <w:tcW w:w="468" w:type="dxa"/>
            <w:noWrap/>
            <w:vAlign w:val="center"/>
          </w:tcPr>
          <w:p w14:paraId="76145BF9">
            <w:pPr>
              <w:widowControl w:val="0"/>
              <w:autoSpaceDE w:val="0"/>
              <w:autoSpaceDN w:val="0"/>
              <w:spacing w:before="63" w:line="257" w:lineRule="exact"/>
              <w:ind w:left="0" w:leftChars="0" w:right="22" w:firstLine="0" w:firstLineChars="0"/>
              <w:jc w:val="center"/>
              <w:rPr>
                <w:rFonts w:hint="default" w:ascii="Times New Roman" w:hAnsi="Times New Roman" w:eastAsia="宋体" w:cs="Times New Roman"/>
                <w:color w:val="auto"/>
                <w:sz w:val="18"/>
                <w:szCs w:val="18"/>
                <w:lang w:val="zh-CN" w:eastAsia="zh-CN" w:bidi="zh-CN"/>
              </w:rPr>
            </w:pPr>
            <w:r>
              <w:rPr>
                <w:rFonts w:hint="default" w:ascii="Times New Roman" w:hAnsi="Times New Roman" w:eastAsia="宋体" w:cs="Times New Roman"/>
                <w:color w:val="auto"/>
                <w:sz w:val="18"/>
                <w:szCs w:val="18"/>
                <w:lang w:val="zh-CN" w:eastAsia="zh-CN" w:bidi="zh-CN"/>
              </w:rPr>
              <w:t>3.23</w:t>
            </w:r>
          </w:p>
        </w:tc>
        <w:tc>
          <w:tcPr>
            <w:tcW w:w="512" w:type="dxa"/>
            <w:noWrap/>
            <w:vAlign w:val="center"/>
          </w:tcPr>
          <w:p w14:paraId="4EC3B133">
            <w:pPr>
              <w:widowControl w:val="0"/>
              <w:autoSpaceDE w:val="0"/>
              <w:autoSpaceDN w:val="0"/>
              <w:spacing w:before="63" w:line="257" w:lineRule="exact"/>
              <w:ind w:left="0" w:leftChars="0" w:right="22" w:firstLine="0" w:firstLineChars="0"/>
              <w:jc w:val="center"/>
              <w:rPr>
                <w:rFonts w:hint="default" w:ascii="Times New Roman" w:hAnsi="Times New Roman" w:eastAsia="宋体" w:cs="Times New Roman"/>
                <w:color w:val="auto"/>
                <w:sz w:val="18"/>
                <w:szCs w:val="18"/>
                <w:lang w:val="zh-CN" w:eastAsia="zh-CN" w:bidi="zh-CN"/>
              </w:rPr>
            </w:pPr>
            <w:r>
              <w:rPr>
                <w:rFonts w:hint="default" w:ascii="Times New Roman" w:hAnsi="Times New Roman" w:eastAsia="宋体" w:cs="Times New Roman"/>
                <w:color w:val="auto"/>
                <w:sz w:val="18"/>
                <w:szCs w:val="18"/>
                <w:lang w:val="zh-CN" w:eastAsia="zh-CN" w:bidi="zh-CN"/>
              </w:rPr>
              <w:t>4.30</w:t>
            </w:r>
          </w:p>
        </w:tc>
        <w:tc>
          <w:tcPr>
            <w:tcW w:w="474" w:type="dxa"/>
            <w:noWrap/>
            <w:vAlign w:val="center"/>
          </w:tcPr>
          <w:p w14:paraId="0BCCCC1D">
            <w:pPr>
              <w:widowControl w:val="0"/>
              <w:autoSpaceDE w:val="0"/>
              <w:autoSpaceDN w:val="0"/>
              <w:spacing w:before="63" w:line="257" w:lineRule="exact"/>
              <w:ind w:left="0" w:leftChars="0" w:right="22" w:firstLine="0" w:firstLineChars="0"/>
              <w:jc w:val="center"/>
              <w:rPr>
                <w:rFonts w:hint="default" w:ascii="Times New Roman" w:hAnsi="Times New Roman" w:eastAsia="宋体" w:cs="Times New Roman"/>
                <w:color w:val="auto"/>
                <w:sz w:val="18"/>
                <w:szCs w:val="18"/>
                <w:lang w:val="zh-CN" w:eastAsia="zh-CN" w:bidi="zh-CN"/>
              </w:rPr>
            </w:pPr>
            <w:r>
              <w:rPr>
                <w:rFonts w:hint="default" w:ascii="Times New Roman" w:hAnsi="Times New Roman" w:eastAsia="宋体" w:cs="Times New Roman"/>
                <w:color w:val="auto"/>
                <w:sz w:val="18"/>
                <w:szCs w:val="18"/>
                <w:lang w:val="zh-CN" w:eastAsia="zh-CN" w:bidi="zh-CN"/>
              </w:rPr>
              <w:t>4.30</w:t>
            </w:r>
          </w:p>
        </w:tc>
        <w:tc>
          <w:tcPr>
            <w:tcW w:w="543" w:type="dxa"/>
            <w:noWrap/>
            <w:vAlign w:val="center"/>
          </w:tcPr>
          <w:p w14:paraId="15FF45D8">
            <w:pPr>
              <w:widowControl w:val="0"/>
              <w:autoSpaceDE w:val="0"/>
              <w:autoSpaceDN w:val="0"/>
              <w:spacing w:before="63" w:line="257" w:lineRule="exact"/>
              <w:ind w:left="0" w:leftChars="0" w:right="22" w:firstLine="0" w:firstLineChars="0"/>
              <w:jc w:val="center"/>
              <w:rPr>
                <w:rFonts w:hint="default" w:ascii="Times New Roman" w:hAnsi="Times New Roman" w:eastAsia="宋体" w:cs="Times New Roman"/>
                <w:color w:val="auto"/>
                <w:sz w:val="18"/>
                <w:szCs w:val="18"/>
                <w:lang w:val="zh-CN" w:eastAsia="zh-CN" w:bidi="zh-CN"/>
              </w:rPr>
            </w:pPr>
            <w:r>
              <w:rPr>
                <w:rFonts w:hint="default" w:ascii="Times New Roman" w:hAnsi="Times New Roman" w:eastAsia="宋体" w:cs="Times New Roman"/>
                <w:color w:val="auto"/>
                <w:sz w:val="18"/>
                <w:szCs w:val="18"/>
                <w:lang w:val="zh-CN" w:eastAsia="zh-CN" w:bidi="zh-CN"/>
              </w:rPr>
              <w:t>3.76</w:t>
            </w:r>
          </w:p>
        </w:tc>
        <w:tc>
          <w:tcPr>
            <w:tcW w:w="468" w:type="dxa"/>
            <w:noWrap/>
            <w:vAlign w:val="center"/>
          </w:tcPr>
          <w:p w14:paraId="7C9B8338">
            <w:pPr>
              <w:widowControl w:val="0"/>
              <w:autoSpaceDE w:val="0"/>
              <w:autoSpaceDN w:val="0"/>
              <w:spacing w:before="63" w:line="257" w:lineRule="exact"/>
              <w:ind w:left="0" w:leftChars="0" w:right="22" w:firstLine="0" w:firstLineChars="0"/>
              <w:jc w:val="center"/>
              <w:rPr>
                <w:rFonts w:hint="default" w:ascii="Times New Roman" w:hAnsi="Times New Roman" w:eastAsia="宋体" w:cs="Times New Roman"/>
                <w:color w:val="auto"/>
                <w:sz w:val="18"/>
                <w:szCs w:val="18"/>
                <w:lang w:val="zh-CN" w:eastAsia="zh-CN" w:bidi="zh-CN"/>
              </w:rPr>
            </w:pPr>
            <w:r>
              <w:rPr>
                <w:rFonts w:hint="default" w:ascii="Times New Roman" w:hAnsi="Times New Roman" w:eastAsia="宋体" w:cs="Times New Roman"/>
                <w:color w:val="auto"/>
                <w:sz w:val="18"/>
                <w:szCs w:val="18"/>
                <w:lang w:val="zh-CN" w:eastAsia="zh-CN" w:bidi="zh-CN"/>
              </w:rPr>
              <w:t>2.96</w:t>
            </w:r>
          </w:p>
        </w:tc>
        <w:tc>
          <w:tcPr>
            <w:tcW w:w="502" w:type="dxa"/>
            <w:noWrap/>
            <w:vAlign w:val="center"/>
          </w:tcPr>
          <w:p w14:paraId="005AD547">
            <w:pPr>
              <w:widowControl w:val="0"/>
              <w:autoSpaceDE w:val="0"/>
              <w:autoSpaceDN w:val="0"/>
              <w:spacing w:before="63" w:line="257" w:lineRule="exact"/>
              <w:ind w:left="0" w:leftChars="0" w:right="22" w:firstLine="0" w:firstLineChars="0"/>
              <w:jc w:val="center"/>
              <w:rPr>
                <w:rFonts w:hint="default" w:ascii="Times New Roman" w:hAnsi="Times New Roman" w:eastAsia="宋体" w:cs="Times New Roman"/>
                <w:color w:val="auto"/>
                <w:sz w:val="18"/>
                <w:szCs w:val="18"/>
                <w:lang w:val="zh-CN" w:eastAsia="zh-CN" w:bidi="zh-CN"/>
              </w:rPr>
            </w:pPr>
            <w:r>
              <w:rPr>
                <w:rFonts w:hint="default" w:ascii="Times New Roman" w:hAnsi="Times New Roman" w:eastAsia="宋体" w:cs="Times New Roman"/>
                <w:color w:val="auto"/>
                <w:sz w:val="18"/>
                <w:szCs w:val="18"/>
                <w:lang w:val="zh-CN" w:eastAsia="zh-CN" w:bidi="zh-CN"/>
              </w:rPr>
              <w:t>1.61</w:t>
            </w:r>
          </w:p>
        </w:tc>
        <w:tc>
          <w:tcPr>
            <w:tcW w:w="469" w:type="dxa"/>
            <w:noWrap/>
            <w:vAlign w:val="center"/>
          </w:tcPr>
          <w:p w14:paraId="5EEF89D5">
            <w:pPr>
              <w:widowControl w:val="0"/>
              <w:autoSpaceDE w:val="0"/>
              <w:autoSpaceDN w:val="0"/>
              <w:spacing w:before="63" w:line="257" w:lineRule="exact"/>
              <w:ind w:left="0" w:leftChars="0" w:right="22" w:firstLine="0" w:firstLineChars="0"/>
              <w:jc w:val="center"/>
              <w:rPr>
                <w:rFonts w:hint="default" w:ascii="Times New Roman" w:hAnsi="Times New Roman" w:eastAsia="宋体" w:cs="Times New Roman"/>
                <w:color w:val="auto"/>
                <w:sz w:val="18"/>
                <w:szCs w:val="18"/>
                <w:lang w:val="zh-CN" w:eastAsia="zh-CN" w:bidi="zh-CN"/>
              </w:rPr>
            </w:pPr>
            <w:r>
              <w:rPr>
                <w:rFonts w:hint="default" w:ascii="Times New Roman" w:hAnsi="Times New Roman" w:eastAsia="宋体" w:cs="Times New Roman"/>
                <w:color w:val="auto"/>
                <w:sz w:val="18"/>
                <w:szCs w:val="18"/>
                <w:lang w:val="zh-CN" w:eastAsia="zh-CN" w:bidi="zh-CN"/>
              </w:rPr>
              <w:t>0.00</w:t>
            </w:r>
          </w:p>
        </w:tc>
      </w:tr>
      <w:tr w14:paraId="4B57A19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6" w:type="dxa"/>
            <w:bottom w:w="0" w:type="dxa"/>
            <w:right w:w="6" w:type="dxa"/>
          </w:tblCellMar>
        </w:tblPrEx>
        <w:trPr>
          <w:trHeight w:val="357" w:hRule="atLeast"/>
        </w:trPr>
        <w:tc>
          <w:tcPr>
            <w:tcW w:w="881" w:type="dxa"/>
            <w:noWrap/>
            <w:vAlign w:val="center"/>
          </w:tcPr>
          <w:p w14:paraId="099AAE84">
            <w:pPr>
              <w:widowControl w:val="0"/>
              <w:autoSpaceDE w:val="0"/>
              <w:autoSpaceDN w:val="0"/>
              <w:spacing w:before="63" w:line="257" w:lineRule="exact"/>
              <w:ind w:left="0" w:leftChars="0" w:right="22" w:firstLine="0" w:firstLineChars="0"/>
              <w:jc w:val="center"/>
              <w:rPr>
                <w:rFonts w:hint="default" w:ascii="Times New Roman" w:hAnsi="Times New Roman" w:eastAsia="宋体" w:cs="Times New Roman"/>
                <w:color w:val="auto"/>
                <w:sz w:val="18"/>
                <w:szCs w:val="18"/>
                <w:lang w:val="zh-CN" w:eastAsia="zh-CN" w:bidi="zh-CN"/>
              </w:rPr>
            </w:pPr>
            <w:r>
              <w:rPr>
                <w:rFonts w:hint="default" w:ascii="Times New Roman" w:hAnsi="Times New Roman" w:eastAsia="宋体" w:cs="Times New Roman"/>
                <w:color w:val="auto"/>
                <w:sz w:val="18"/>
                <w:szCs w:val="18"/>
                <w:lang w:val="zh-CN" w:eastAsia="zh-CN" w:bidi="zh-CN"/>
              </w:rPr>
              <w:t>六月</w:t>
            </w:r>
          </w:p>
        </w:tc>
        <w:tc>
          <w:tcPr>
            <w:tcW w:w="487" w:type="dxa"/>
            <w:noWrap/>
            <w:vAlign w:val="center"/>
          </w:tcPr>
          <w:p w14:paraId="429F1DB1">
            <w:pPr>
              <w:widowControl w:val="0"/>
              <w:autoSpaceDE w:val="0"/>
              <w:autoSpaceDN w:val="0"/>
              <w:spacing w:before="63" w:line="257" w:lineRule="exact"/>
              <w:ind w:left="0" w:leftChars="0" w:right="22" w:firstLine="0" w:firstLineChars="0"/>
              <w:jc w:val="center"/>
              <w:rPr>
                <w:rFonts w:hint="default" w:ascii="Times New Roman" w:hAnsi="Times New Roman" w:eastAsia="宋体" w:cs="Times New Roman"/>
                <w:color w:val="auto"/>
                <w:sz w:val="18"/>
                <w:szCs w:val="18"/>
                <w:lang w:val="zh-CN" w:eastAsia="zh-CN" w:bidi="zh-CN"/>
              </w:rPr>
            </w:pPr>
            <w:r>
              <w:rPr>
                <w:rFonts w:hint="default" w:ascii="Times New Roman" w:hAnsi="Times New Roman" w:eastAsia="宋体" w:cs="Times New Roman"/>
                <w:color w:val="auto"/>
                <w:sz w:val="18"/>
                <w:szCs w:val="18"/>
                <w:lang w:val="zh-CN" w:eastAsia="zh-CN" w:bidi="zh-CN"/>
              </w:rPr>
              <w:t>4.72</w:t>
            </w:r>
          </w:p>
        </w:tc>
        <w:tc>
          <w:tcPr>
            <w:tcW w:w="436" w:type="dxa"/>
            <w:noWrap/>
            <w:vAlign w:val="center"/>
          </w:tcPr>
          <w:p w14:paraId="786C8ED4">
            <w:pPr>
              <w:widowControl w:val="0"/>
              <w:autoSpaceDE w:val="0"/>
              <w:autoSpaceDN w:val="0"/>
              <w:spacing w:before="63" w:line="257" w:lineRule="exact"/>
              <w:ind w:left="0" w:leftChars="0" w:right="22" w:firstLine="0" w:firstLineChars="0"/>
              <w:jc w:val="center"/>
              <w:rPr>
                <w:rFonts w:hint="default" w:ascii="Times New Roman" w:hAnsi="Times New Roman" w:eastAsia="宋体" w:cs="Times New Roman"/>
                <w:color w:val="auto"/>
                <w:sz w:val="18"/>
                <w:szCs w:val="18"/>
                <w:lang w:val="zh-CN" w:eastAsia="zh-CN" w:bidi="zh-CN"/>
              </w:rPr>
            </w:pPr>
            <w:r>
              <w:rPr>
                <w:rFonts w:hint="default" w:ascii="Times New Roman" w:hAnsi="Times New Roman" w:eastAsia="宋体" w:cs="Times New Roman"/>
                <w:color w:val="auto"/>
                <w:sz w:val="18"/>
                <w:szCs w:val="18"/>
                <w:lang w:val="zh-CN" w:eastAsia="zh-CN" w:bidi="zh-CN"/>
              </w:rPr>
              <w:t>2.36</w:t>
            </w:r>
          </w:p>
        </w:tc>
        <w:tc>
          <w:tcPr>
            <w:tcW w:w="468" w:type="dxa"/>
            <w:noWrap/>
            <w:vAlign w:val="center"/>
          </w:tcPr>
          <w:p w14:paraId="0D720CD9">
            <w:pPr>
              <w:widowControl w:val="0"/>
              <w:autoSpaceDE w:val="0"/>
              <w:autoSpaceDN w:val="0"/>
              <w:spacing w:before="63" w:line="257" w:lineRule="exact"/>
              <w:ind w:left="0" w:leftChars="0" w:right="22" w:firstLine="0" w:firstLineChars="0"/>
              <w:jc w:val="center"/>
              <w:rPr>
                <w:rFonts w:hint="default" w:ascii="Times New Roman" w:hAnsi="Times New Roman" w:eastAsia="宋体" w:cs="Times New Roman"/>
                <w:color w:val="auto"/>
                <w:sz w:val="18"/>
                <w:szCs w:val="18"/>
                <w:lang w:val="zh-CN" w:eastAsia="zh-CN" w:bidi="zh-CN"/>
              </w:rPr>
            </w:pPr>
            <w:r>
              <w:rPr>
                <w:rFonts w:hint="default" w:ascii="Times New Roman" w:hAnsi="Times New Roman" w:eastAsia="宋体" w:cs="Times New Roman"/>
                <w:color w:val="auto"/>
                <w:sz w:val="18"/>
                <w:szCs w:val="18"/>
                <w:lang w:val="zh-CN" w:eastAsia="zh-CN" w:bidi="zh-CN"/>
              </w:rPr>
              <w:t>3.89</w:t>
            </w:r>
          </w:p>
        </w:tc>
        <w:tc>
          <w:tcPr>
            <w:tcW w:w="474" w:type="dxa"/>
            <w:noWrap/>
            <w:vAlign w:val="center"/>
          </w:tcPr>
          <w:p w14:paraId="64BB857D">
            <w:pPr>
              <w:widowControl w:val="0"/>
              <w:autoSpaceDE w:val="0"/>
              <w:autoSpaceDN w:val="0"/>
              <w:spacing w:before="63" w:line="257" w:lineRule="exact"/>
              <w:ind w:left="0" w:leftChars="0" w:right="22" w:firstLine="0" w:firstLineChars="0"/>
              <w:jc w:val="center"/>
              <w:rPr>
                <w:rFonts w:hint="default" w:ascii="Times New Roman" w:hAnsi="Times New Roman" w:eastAsia="宋体" w:cs="Times New Roman"/>
                <w:color w:val="auto"/>
                <w:sz w:val="18"/>
                <w:szCs w:val="18"/>
                <w:lang w:val="zh-CN" w:eastAsia="zh-CN" w:bidi="zh-CN"/>
              </w:rPr>
            </w:pPr>
            <w:r>
              <w:rPr>
                <w:rFonts w:hint="default" w:ascii="Times New Roman" w:hAnsi="Times New Roman" w:eastAsia="宋体" w:cs="Times New Roman"/>
                <w:color w:val="auto"/>
                <w:sz w:val="18"/>
                <w:szCs w:val="18"/>
                <w:lang w:val="zh-CN" w:eastAsia="zh-CN" w:bidi="zh-CN"/>
              </w:rPr>
              <w:t>7.22</w:t>
            </w:r>
          </w:p>
        </w:tc>
        <w:tc>
          <w:tcPr>
            <w:tcW w:w="474" w:type="dxa"/>
            <w:noWrap/>
            <w:vAlign w:val="center"/>
          </w:tcPr>
          <w:p w14:paraId="3F2D0431">
            <w:pPr>
              <w:widowControl w:val="0"/>
              <w:autoSpaceDE w:val="0"/>
              <w:autoSpaceDN w:val="0"/>
              <w:spacing w:before="63" w:line="257" w:lineRule="exact"/>
              <w:ind w:left="0" w:leftChars="0" w:right="22" w:firstLine="0" w:firstLineChars="0"/>
              <w:jc w:val="center"/>
              <w:rPr>
                <w:rFonts w:hint="default" w:ascii="Times New Roman" w:hAnsi="Times New Roman" w:eastAsia="宋体" w:cs="Times New Roman"/>
                <w:color w:val="auto"/>
                <w:sz w:val="18"/>
                <w:szCs w:val="18"/>
                <w:lang w:val="zh-CN" w:eastAsia="zh-CN" w:bidi="zh-CN"/>
              </w:rPr>
            </w:pPr>
            <w:r>
              <w:rPr>
                <w:rFonts w:hint="default" w:ascii="Times New Roman" w:hAnsi="Times New Roman" w:eastAsia="宋体" w:cs="Times New Roman"/>
                <w:color w:val="auto"/>
                <w:sz w:val="18"/>
                <w:szCs w:val="18"/>
                <w:lang w:val="zh-CN" w:eastAsia="zh-CN" w:bidi="zh-CN"/>
              </w:rPr>
              <w:t>18.06</w:t>
            </w:r>
          </w:p>
        </w:tc>
        <w:tc>
          <w:tcPr>
            <w:tcW w:w="474" w:type="dxa"/>
            <w:noWrap/>
            <w:vAlign w:val="center"/>
          </w:tcPr>
          <w:p w14:paraId="327EA49F">
            <w:pPr>
              <w:widowControl w:val="0"/>
              <w:autoSpaceDE w:val="0"/>
              <w:autoSpaceDN w:val="0"/>
              <w:spacing w:before="63" w:line="257" w:lineRule="exact"/>
              <w:ind w:left="0" w:leftChars="0" w:right="22" w:firstLine="0" w:firstLineChars="0"/>
              <w:jc w:val="center"/>
              <w:rPr>
                <w:rFonts w:hint="default" w:ascii="Times New Roman" w:hAnsi="Times New Roman" w:eastAsia="宋体" w:cs="Times New Roman"/>
                <w:color w:val="auto"/>
                <w:sz w:val="18"/>
                <w:szCs w:val="18"/>
                <w:lang w:val="zh-CN" w:eastAsia="zh-CN" w:bidi="zh-CN"/>
              </w:rPr>
            </w:pPr>
            <w:r>
              <w:rPr>
                <w:rFonts w:hint="default" w:ascii="Times New Roman" w:hAnsi="Times New Roman" w:eastAsia="宋体" w:cs="Times New Roman"/>
                <w:color w:val="auto"/>
                <w:sz w:val="18"/>
                <w:szCs w:val="18"/>
                <w:lang w:val="zh-CN" w:eastAsia="zh-CN" w:bidi="zh-CN"/>
              </w:rPr>
              <w:t>13.06</w:t>
            </w:r>
          </w:p>
        </w:tc>
        <w:tc>
          <w:tcPr>
            <w:tcW w:w="468" w:type="dxa"/>
            <w:noWrap/>
            <w:vAlign w:val="center"/>
          </w:tcPr>
          <w:p w14:paraId="6186349F">
            <w:pPr>
              <w:widowControl w:val="0"/>
              <w:autoSpaceDE w:val="0"/>
              <w:autoSpaceDN w:val="0"/>
              <w:spacing w:before="63" w:line="257" w:lineRule="exact"/>
              <w:ind w:left="0" w:leftChars="0" w:right="22" w:firstLine="0" w:firstLineChars="0"/>
              <w:jc w:val="center"/>
              <w:rPr>
                <w:rFonts w:hint="default" w:ascii="Times New Roman" w:hAnsi="Times New Roman" w:eastAsia="宋体" w:cs="Times New Roman"/>
                <w:color w:val="auto"/>
                <w:sz w:val="18"/>
                <w:szCs w:val="18"/>
                <w:lang w:val="zh-CN" w:eastAsia="zh-CN" w:bidi="zh-CN"/>
              </w:rPr>
            </w:pPr>
            <w:r>
              <w:rPr>
                <w:rFonts w:hint="default" w:ascii="Times New Roman" w:hAnsi="Times New Roman" w:eastAsia="宋体" w:cs="Times New Roman"/>
                <w:color w:val="auto"/>
                <w:sz w:val="18"/>
                <w:szCs w:val="18"/>
                <w:lang w:val="zh-CN" w:eastAsia="zh-CN" w:bidi="zh-CN"/>
              </w:rPr>
              <w:t>7.92</w:t>
            </w:r>
          </w:p>
        </w:tc>
        <w:tc>
          <w:tcPr>
            <w:tcW w:w="468" w:type="dxa"/>
            <w:noWrap/>
            <w:vAlign w:val="center"/>
          </w:tcPr>
          <w:p w14:paraId="2E19CA9B">
            <w:pPr>
              <w:widowControl w:val="0"/>
              <w:autoSpaceDE w:val="0"/>
              <w:autoSpaceDN w:val="0"/>
              <w:spacing w:before="63" w:line="257" w:lineRule="exact"/>
              <w:ind w:left="0" w:leftChars="0" w:right="22" w:firstLine="0" w:firstLineChars="0"/>
              <w:jc w:val="center"/>
              <w:rPr>
                <w:rFonts w:hint="default" w:ascii="Times New Roman" w:hAnsi="Times New Roman" w:eastAsia="宋体" w:cs="Times New Roman"/>
                <w:color w:val="auto"/>
                <w:sz w:val="18"/>
                <w:szCs w:val="18"/>
                <w:lang w:val="zh-CN" w:eastAsia="zh-CN" w:bidi="zh-CN"/>
              </w:rPr>
            </w:pPr>
            <w:r>
              <w:rPr>
                <w:rFonts w:hint="default" w:ascii="Times New Roman" w:hAnsi="Times New Roman" w:eastAsia="宋体" w:cs="Times New Roman"/>
                <w:color w:val="auto"/>
                <w:sz w:val="18"/>
                <w:szCs w:val="18"/>
                <w:lang w:val="zh-CN" w:eastAsia="zh-CN" w:bidi="zh-CN"/>
              </w:rPr>
              <w:t>6.67</w:t>
            </w:r>
          </w:p>
        </w:tc>
        <w:tc>
          <w:tcPr>
            <w:tcW w:w="468" w:type="dxa"/>
            <w:noWrap/>
            <w:vAlign w:val="center"/>
          </w:tcPr>
          <w:p w14:paraId="6E2D94ED">
            <w:pPr>
              <w:widowControl w:val="0"/>
              <w:autoSpaceDE w:val="0"/>
              <w:autoSpaceDN w:val="0"/>
              <w:spacing w:before="63" w:line="257" w:lineRule="exact"/>
              <w:ind w:left="0" w:leftChars="0" w:right="22" w:firstLine="0" w:firstLineChars="0"/>
              <w:jc w:val="center"/>
              <w:rPr>
                <w:rFonts w:hint="default" w:ascii="Times New Roman" w:hAnsi="Times New Roman" w:eastAsia="宋体" w:cs="Times New Roman"/>
                <w:color w:val="auto"/>
                <w:sz w:val="18"/>
                <w:szCs w:val="18"/>
                <w:lang w:val="zh-CN" w:eastAsia="zh-CN" w:bidi="zh-CN"/>
              </w:rPr>
            </w:pPr>
            <w:r>
              <w:rPr>
                <w:rFonts w:hint="default" w:ascii="Times New Roman" w:hAnsi="Times New Roman" w:eastAsia="宋体" w:cs="Times New Roman"/>
                <w:color w:val="auto"/>
                <w:sz w:val="18"/>
                <w:szCs w:val="18"/>
                <w:lang w:val="zh-CN" w:eastAsia="zh-CN" w:bidi="zh-CN"/>
              </w:rPr>
              <w:t>4.58</w:t>
            </w:r>
          </w:p>
        </w:tc>
        <w:tc>
          <w:tcPr>
            <w:tcW w:w="468" w:type="dxa"/>
            <w:noWrap/>
            <w:vAlign w:val="center"/>
          </w:tcPr>
          <w:p w14:paraId="7BFF784A">
            <w:pPr>
              <w:widowControl w:val="0"/>
              <w:autoSpaceDE w:val="0"/>
              <w:autoSpaceDN w:val="0"/>
              <w:spacing w:before="63" w:line="257" w:lineRule="exact"/>
              <w:ind w:left="0" w:leftChars="0" w:right="22" w:firstLine="0" w:firstLineChars="0"/>
              <w:jc w:val="center"/>
              <w:rPr>
                <w:rFonts w:hint="default" w:ascii="Times New Roman" w:hAnsi="Times New Roman" w:eastAsia="宋体" w:cs="Times New Roman"/>
                <w:color w:val="auto"/>
                <w:sz w:val="18"/>
                <w:szCs w:val="18"/>
                <w:lang w:val="zh-CN" w:eastAsia="zh-CN" w:bidi="zh-CN"/>
              </w:rPr>
            </w:pPr>
            <w:r>
              <w:rPr>
                <w:rFonts w:hint="default" w:ascii="Times New Roman" w:hAnsi="Times New Roman" w:eastAsia="宋体" w:cs="Times New Roman"/>
                <w:color w:val="auto"/>
                <w:sz w:val="18"/>
                <w:szCs w:val="18"/>
                <w:lang w:val="zh-CN" w:eastAsia="zh-CN" w:bidi="zh-CN"/>
              </w:rPr>
              <w:t>2.92</w:t>
            </w:r>
          </w:p>
        </w:tc>
        <w:tc>
          <w:tcPr>
            <w:tcW w:w="468" w:type="dxa"/>
            <w:noWrap/>
            <w:vAlign w:val="center"/>
          </w:tcPr>
          <w:p w14:paraId="26813002">
            <w:pPr>
              <w:widowControl w:val="0"/>
              <w:autoSpaceDE w:val="0"/>
              <w:autoSpaceDN w:val="0"/>
              <w:spacing w:before="63" w:line="257" w:lineRule="exact"/>
              <w:ind w:left="0" w:leftChars="0" w:right="22" w:firstLine="0" w:firstLineChars="0"/>
              <w:jc w:val="center"/>
              <w:rPr>
                <w:rFonts w:hint="default" w:ascii="Times New Roman" w:hAnsi="Times New Roman" w:eastAsia="宋体" w:cs="Times New Roman"/>
                <w:color w:val="auto"/>
                <w:sz w:val="18"/>
                <w:szCs w:val="18"/>
                <w:lang w:val="zh-CN" w:eastAsia="zh-CN" w:bidi="zh-CN"/>
              </w:rPr>
            </w:pPr>
            <w:r>
              <w:rPr>
                <w:rFonts w:hint="default" w:ascii="Times New Roman" w:hAnsi="Times New Roman" w:eastAsia="宋体" w:cs="Times New Roman"/>
                <w:color w:val="auto"/>
                <w:sz w:val="18"/>
                <w:szCs w:val="18"/>
                <w:lang w:val="zh-CN" w:eastAsia="zh-CN" w:bidi="zh-CN"/>
              </w:rPr>
              <w:t>3.19</w:t>
            </w:r>
          </w:p>
        </w:tc>
        <w:tc>
          <w:tcPr>
            <w:tcW w:w="512" w:type="dxa"/>
            <w:noWrap/>
            <w:vAlign w:val="center"/>
          </w:tcPr>
          <w:p w14:paraId="33D9DA8B">
            <w:pPr>
              <w:widowControl w:val="0"/>
              <w:autoSpaceDE w:val="0"/>
              <w:autoSpaceDN w:val="0"/>
              <w:spacing w:before="63" w:line="257" w:lineRule="exact"/>
              <w:ind w:left="0" w:leftChars="0" w:right="22" w:firstLine="0" w:firstLineChars="0"/>
              <w:jc w:val="center"/>
              <w:rPr>
                <w:rFonts w:hint="default" w:ascii="Times New Roman" w:hAnsi="Times New Roman" w:eastAsia="宋体" w:cs="Times New Roman"/>
                <w:color w:val="auto"/>
                <w:sz w:val="18"/>
                <w:szCs w:val="18"/>
                <w:lang w:val="zh-CN" w:eastAsia="zh-CN" w:bidi="zh-CN"/>
              </w:rPr>
            </w:pPr>
            <w:r>
              <w:rPr>
                <w:rFonts w:hint="default" w:ascii="Times New Roman" w:hAnsi="Times New Roman" w:eastAsia="宋体" w:cs="Times New Roman"/>
                <w:color w:val="auto"/>
                <w:sz w:val="18"/>
                <w:szCs w:val="18"/>
                <w:lang w:val="zh-CN" w:eastAsia="zh-CN" w:bidi="zh-CN"/>
              </w:rPr>
              <w:t>5.28</w:t>
            </w:r>
          </w:p>
        </w:tc>
        <w:tc>
          <w:tcPr>
            <w:tcW w:w="474" w:type="dxa"/>
            <w:noWrap/>
            <w:vAlign w:val="center"/>
          </w:tcPr>
          <w:p w14:paraId="4369DB3C">
            <w:pPr>
              <w:widowControl w:val="0"/>
              <w:autoSpaceDE w:val="0"/>
              <w:autoSpaceDN w:val="0"/>
              <w:spacing w:before="63" w:line="257" w:lineRule="exact"/>
              <w:ind w:left="0" w:leftChars="0" w:right="22" w:firstLine="0" w:firstLineChars="0"/>
              <w:jc w:val="center"/>
              <w:rPr>
                <w:rFonts w:hint="default" w:ascii="Times New Roman" w:hAnsi="Times New Roman" w:eastAsia="宋体" w:cs="Times New Roman"/>
                <w:color w:val="auto"/>
                <w:sz w:val="18"/>
                <w:szCs w:val="18"/>
                <w:lang w:val="zh-CN" w:eastAsia="zh-CN" w:bidi="zh-CN"/>
              </w:rPr>
            </w:pPr>
            <w:r>
              <w:rPr>
                <w:rFonts w:hint="default" w:ascii="Times New Roman" w:hAnsi="Times New Roman" w:eastAsia="宋体" w:cs="Times New Roman"/>
                <w:color w:val="auto"/>
                <w:sz w:val="18"/>
                <w:szCs w:val="18"/>
                <w:lang w:val="zh-CN" w:eastAsia="zh-CN" w:bidi="zh-CN"/>
              </w:rPr>
              <w:t>7.64</w:t>
            </w:r>
          </w:p>
        </w:tc>
        <w:tc>
          <w:tcPr>
            <w:tcW w:w="543" w:type="dxa"/>
            <w:noWrap/>
            <w:vAlign w:val="center"/>
          </w:tcPr>
          <w:p w14:paraId="42EE9610">
            <w:pPr>
              <w:widowControl w:val="0"/>
              <w:autoSpaceDE w:val="0"/>
              <w:autoSpaceDN w:val="0"/>
              <w:spacing w:before="63" w:line="257" w:lineRule="exact"/>
              <w:ind w:left="0" w:leftChars="0" w:right="22" w:firstLine="0" w:firstLineChars="0"/>
              <w:jc w:val="center"/>
              <w:rPr>
                <w:rFonts w:hint="default" w:ascii="Times New Roman" w:hAnsi="Times New Roman" w:eastAsia="宋体" w:cs="Times New Roman"/>
                <w:color w:val="auto"/>
                <w:sz w:val="18"/>
                <w:szCs w:val="18"/>
                <w:lang w:val="zh-CN" w:eastAsia="zh-CN" w:bidi="zh-CN"/>
              </w:rPr>
            </w:pPr>
            <w:r>
              <w:rPr>
                <w:rFonts w:hint="default" w:ascii="Times New Roman" w:hAnsi="Times New Roman" w:eastAsia="宋体" w:cs="Times New Roman"/>
                <w:color w:val="auto"/>
                <w:sz w:val="18"/>
                <w:szCs w:val="18"/>
                <w:lang w:val="zh-CN" w:eastAsia="zh-CN" w:bidi="zh-CN"/>
              </w:rPr>
              <w:t>5.28</w:t>
            </w:r>
          </w:p>
        </w:tc>
        <w:tc>
          <w:tcPr>
            <w:tcW w:w="468" w:type="dxa"/>
            <w:noWrap/>
            <w:vAlign w:val="center"/>
          </w:tcPr>
          <w:p w14:paraId="1BC3370B">
            <w:pPr>
              <w:widowControl w:val="0"/>
              <w:autoSpaceDE w:val="0"/>
              <w:autoSpaceDN w:val="0"/>
              <w:spacing w:before="63" w:line="257" w:lineRule="exact"/>
              <w:ind w:left="0" w:leftChars="0" w:right="22" w:firstLine="0" w:firstLineChars="0"/>
              <w:jc w:val="center"/>
              <w:rPr>
                <w:rFonts w:hint="default" w:ascii="Times New Roman" w:hAnsi="Times New Roman" w:eastAsia="宋体" w:cs="Times New Roman"/>
                <w:color w:val="auto"/>
                <w:sz w:val="18"/>
                <w:szCs w:val="18"/>
                <w:lang w:val="zh-CN" w:eastAsia="zh-CN" w:bidi="zh-CN"/>
              </w:rPr>
            </w:pPr>
            <w:r>
              <w:rPr>
                <w:rFonts w:hint="default" w:ascii="Times New Roman" w:hAnsi="Times New Roman" w:eastAsia="宋体" w:cs="Times New Roman"/>
                <w:color w:val="auto"/>
                <w:sz w:val="18"/>
                <w:szCs w:val="18"/>
                <w:lang w:val="zh-CN" w:eastAsia="zh-CN" w:bidi="zh-CN"/>
              </w:rPr>
              <w:t>4.17</w:t>
            </w:r>
          </w:p>
        </w:tc>
        <w:tc>
          <w:tcPr>
            <w:tcW w:w="502" w:type="dxa"/>
            <w:noWrap/>
            <w:vAlign w:val="center"/>
          </w:tcPr>
          <w:p w14:paraId="4631B968">
            <w:pPr>
              <w:widowControl w:val="0"/>
              <w:autoSpaceDE w:val="0"/>
              <w:autoSpaceDN w:val="0"/>
              <w:spacing w:before="63" w:line="257" w:lineRule="exact"/>
              <w:ind w:left="0" w:leftChars="0" w:right="22" w:firstLine="0" w:firstLineChars="0"/>
              <w:jc w:val="center"/>
              <w:rPr>
                <w:rFonts w:hint="default" w:ascii="Times New Roman" w:hAnsi="Times New Roman" w:eastAsia="宋体" w:cs="Times New Roman"/>
                <w:color w:val="auto"/>
                <w:sz w:val="18"/>
                <w:szCs w:val="18"/>
                <w:lang w:val="zh-CN" w:eastAsia="zh-CN" w:bidi="zh-CN"/>
              </w:rPr>
            </w:pPr>
            <w:r>
              <w:rPr>
                <w:rFonts w:hint="default" w:ascii="Times New Roman" w:hAnsi="Times New Roman" w:eastAsia="宋体" w:cs="Times New Roman"/>
                <w:color w:val="auto"/>
                <w:sz w:val="18"/>
                <w:szCs w:val="18"/>
                <w:lang w:val="zh-CN" w:eastAsia="zh-CN" w:bidi="zh-CN"/>
              </w:rPr>
              <w:t>3.06</w:t>
            </w:r>
          </w:p>
        </w:tc>
        <w:tc>
          <w:tcPr>
            <w:tcW w:w="469" w:type="dxa"/>
            <w:noWrap/>
            <w:vAlign w:val="center"/>
          </w:tcPr>
          <w:p w14:paraId="63F4BF7D">
            <w:pPr>
              <w:widowControl w:val="0"/>
              <w:autoSpaceDE w:val="0"/>
              <w:autoSpaceDN w:val="0"/>
              <w:spacing w:before="63" w:line="257" w:lineRule="exact"/>
              <w:ind w:left="0" w:leftChars="0" w:right="22" w:firstLine="0" w:firstLineChars="0"/>
              <w:jc w:val="center"/>
              <w:rPr>
                <w:rFonts w:hint="default" w:ascii="Times New Roman" w:hAnsi="Times New Roman" w:eastAsia="宋体" w:cs="Times New Roman"/>
                <w:color w:val="auto"/>
                <w:sz w:val="18"/>
                <w:szCs w:val="18"/>
                <w:lang w:val="zh-CN" w:eastAsia="zh-CN" w:bidi="zh-CN"/>
              </w:rPr>
            </w:pPr>
            <w:r>
              <w:rPr>
                <w:rFonts w:hint="default" w:ascii="Times New Roman" w:hAnsi="Times New Roman" w:eastAsia="宋体" w:cs="Times New Roman"/>
                <w:color w:val="auto"/>
                <w:sz w:val="18"/>
                <w:szCs w:val="18"/>
                <w:lang w:val="zh-CN" w:eastAsia="zh-CN" w:bidi="zh-CN"/>
              </w:rPr>
              <w:t>0.00</w:t>
            </w:r>
          </w:p>
        </w:tc>
      </w:tr>
      <w:tr w14:paraId="28FAD81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6" w:type="dxa"/>
            <w:bottom w:w="0" w:type="dxa"/>
            <w:right w:w="6" w:type="dxa"/>
          </w:tblCellMar>
        </w:tblPrEx>
        <w:trPr>
          <w:trHeight w:val="357" w:hRule="atLeast"/>
        </w:trPr>
        <w:tc>
          <w:tcPr>
            <w:tcW w:w="881" w:type="dxa"/>
            <w:noWrap/>
            <w:vAlign w:val="center"/>
          </w:tcPr>
          <w:p w14:paraId="42792060">
            <w:pPr>
              <w:widowControl w:val="0"/>
              <w:autoSpaceDE w:val="0"/>
              <w:autoSpaceDN w:val="0"/>
              <w:spacing w:before="63" w:line="257" w:lineRule="exact"/>
              <w:ind w:left="0" w:leftChars="0" w:right="22" w:firstLine="0" w:firstLineChars="0"/>
              <w:jc w:val="center"/>
              <w:rPr>
                <w:rFonts w:hint="default" w:ascii="Times New Roman" w:hAnsi="Times New Roman" w:eastAsia="宋体" w:cs="Times New Roman"/>
                <w:color w:val="auto"/>
                <w:sz w:val="18"/>
                <w:szCs w:val="18"/>
                <w:lang w:val="zh-CN" w:eastAsia="zh-CN" w:bidi="zh-CN"/>
              </w:rPr>
            </w:pPr>
            <w:r>
              <w:rPr>
                <w:rFonts w:hint="default" w:ascii="Times New Roman" w:hAnsi="Times New Roman" w:eastAsia="宋体" w:cs="Times New Roman"/>
                <w:color w:val="auto"/>
                <w:sz w:val="18"/>
                <w:szCs w:val="18"/>
                <w:lang w:val="zh-CN" w:eastAsia="zh-CN" w:bidi="zh-CN"/>
              </w:rPr>
              <w:t>七月</w:t>
            </w:r>
          </w:p>
        </w:tc>
        <w:tc>
          <w:tcPr>
            <w:tcW w:w="487" w:type="dxa"/>
            <w:noWrap/>
            <w:vAlign w:val="center"/>
          </w:tcPr>
          <w:p w14:paraId="230FE61E">
            <w:pPr>
              <w:widowControl w:val="0"/>
              <w:autoSpaceDE w:val="0"/>
              <w:autoSpaceDN w:val="0"/>
              <w:spacing w:before="63" w:line="257" w:lineRule="exact"/>
              <w:ind w:left="0" w:leftChars="0" w:right="22" w:firstLine="0" w:firstLineChars="0"/>
              <w:jc w:val="center"/>
              <w:rPr>
                <w:rFonts w:hint="default" w:ascii="Times New Roman" w:hAnsi="Times New Roman" w:eastAsia="宋体" w:cs="Times New Roman"/>
                <w:color w:val="auto"/>
                <w:sz w:val="18"/>
                <w:szCs w:val="18"/>
                <w:lang w:val="zh-CN" w:eastAsia="zh-CN" w:bidi="zh-CN"/>
              </w:rPr>
            </w:pPr>
            <w:r>
              <w:rPr>
                <w:rFonts w:hint="default" w:ascii="Times New Roman" w:hAnsi="Times New Roman" w:eastAsia="宋体" w:cs="Times New Roman"/>
                <w:color w:val="auto"/>
                <w:sz w:val="18"/>
                <w:szCs w:val="18"/>
                <w:lang w:val="zh-CN" w:eastAsia="zh-CN" w:bidi="zh-CN"/>
              </w:rPr>
              <w:t>4.03</w:t>
            </w:r>
          </w:p>
        </w:tc>
        <w:tc>
          <w:tcPr>
            <w:tcW w:w="436" w:type="dxa"/>
            <w:noWrap/>
            <w:vAlign w:val="center"/>
          </w:tcPr>
          <w:p w14:paraId="06811D0E">
            <w:pPr>
              <w:widowControl w:val="0"/>
              <w:autoSpaceDE w:val="0"/>
              <w:autoSpaceDN w:val="0"/>
              <w:spacing w:before="63" w:line="257" w:lineRule="exact"/>
              <w:ind w:left="0" w:leftChars="0" w:right="22" w:firstLine="0" w:firstLineChars="0"/>
              <w:jc w:val="center"/>
              <w:rPr>
                <w:rFonts w:hint="default" w:ascii="Times New Roman" w:hAnsi="Times New Roman" w:eastAsia="宋体" w:cs="Times New Roman"/>
                <w:color w:val="auto"/>
                <w:sz w:val="18"/>
                <w:szCs w:val="18"/>
                <w:lang w:val="zh-CN" w:eastAsia="zh-CN" w:bidi="zh-CN"/>
              </w:rPr>
            </w:pPr>
            <w:r>
              <w:rPr>
                <w:rFonts w:hint="default" w:ascii="Times New Roman" w:hAnsi="Times New Roman" w:eastAsia="宋体" w:cs="Times New Roman"/>
                <w:color w:val="auto"/>
                <w:sz w:val="18"/>
                <w:szCs w:val="18"/>
                <w:lang w:val="zh-CN" w:eastAsia="zh-CN" w:bidi="zh-CN"/>
              </w:rPr>
              <w:t>1.75</w:t>
            </w:r>
          </w:p>
        </w:tc>
        <w:tc>
          <w:tcPr>
            <w:tcW w:w="468" w:type="dxa"/>
            <w:noWrap/>
            <w:vAlign w:val="center"/>
          </w:tcPr>
          <w:p w14:paraId="1D77966E">
            <w:pPr>
              <w:widowControl w:val="0"/>
              <w:autoSpaceDE w:val="0"/>
              <w:autoSpaceDN w:val="0"/>
              <w:spacing w:before="63" w:line="257" w:lineRule="exact"/>
              <w:ind w:left="0" w:leftChars="0" w:right="22" w:firstLine="0" w:firstLineChars="0"/>
              <w:jc w:val="center"/>
              <w:rPr>
                <w:rFonts w:hint="default" w:ascii="Times New Roman" w:hAnsi="Times New Roman" w:eastAsia="宋体" w:cs="Times New Roman"/>
                <w:color w:val="auto"/>
                <w:sz w:val="18"/>
                <w:szCs w:val="18"/>
                <w:lang w:val="zh-CN" w:eastAsia="zh-CN" w:bidi="zh-CN"/>
              </w:rPr>
            </w:pPr>
            <w:r>
              <w:rPr>
                <w:rFonts w:hint="default" w:ascii="Times New Roman" w:hAnsi="Times New Roman" w:eastAsia="宋体" w:cs="Times New Roman"/>
                <w:color w:val="auto"/>
                <w:sz w:val="18"/>
                <w:szCs w:val="18"/>
                <w:lang w:val="zh-CN" w:eastAsia="zh-CN" w:bidi="zh-CN"/>
              </w:rPr>
              <w:t>4.17</w:t>
            </w:r>
          </w:p>
        </w:tc>
        <w:tc>
          <w:tcPr>
            <w:tcW w:w="474" w:type="dxa"/>
            <w:noWrap/>
            <w:vAlign w:val="center"/>
          </w:tcPr>
          <w:p w14:paraId="2BE2E2DB">
            <w:pPr>
              <w:widowControl w:val="0"/>
              <w:autoSpaceDE w:val="0"/>
              <w:autoSpaceDN w:val="0"/>
              <w:spacing w:before="63" w:line="257" w:lineRule="exact"/>
              <w:ind w:left="0" w:leftChars="0" w:right="22" w:firstLine="0" w:firstLineChars="0"/>
              <w:jc w:val="center"/>
              <w:rPr>
                <w:rFonts w:hint="default" w:ascii="Times New Roman" w:hAnsi="Times New Roman" w:eastAsia="宋体" w:cs="Times New Roman"/>
                <w:color w:val="auto"/>
                <w:sz w:val="18"/>
                <w:szCs w:val="18"/>
                <w:lang w:val="zh-CN" w:eastAsia="zh-CN" w:bidi="zh-CN"/>
              </w:rPr>
            </w:pPr>
            <w:r>
              <w:rPr>
                <w:rFonts w:hint="default" w:ascii="Times New Roman" w:hAnsi="Times New Roman" w:eastAsia="宋体" w:cs="Times New Roman"/>
                <w:color w:val="auto"/>
                <w:sz w:val="18"/>
                <w:szCs w:val="18"/>
                <w:lang w:val="zh-CN" w:eastAsia="zh-CN" w:bidi="zh-CN"/>
              </w:rPr>
              <w:t>7.66</w:t>
            </w:r>
          </w:p>
        </w:tc>
        <w:tc>
          <w:tcPr>
            <w:tcW w:w="474" w:type="dxa"/>
            <w:noWrap/>
            <w:vAlign w:val="center"/>
          </w:tcPr>
          <w:p w14:paraId="6593AEE8">
            <w:pPr>
              <w:widowControl w:val="0"/>
              <w:autoSpaceDE w:val="0"/>
              <w:autoSpaceDN w:val="0"/>
              <w:spacing w:before="63" w:line="257" w:lineRule="exact"/>
              <w:ind w:left="0" w:leftChars="0" w:right="22" w:firstLine="0" w:firstLineChars="0"/>
              <w:jc w:val="center"/>
              <w:rPr>
                <w:rFonts w:hint="default" w:ascii="Times New Roman" w:hAnsi="Times New Roman" w:eastAsia="宋体" w:cs="Times New Roman"/>
                <w:color w:val="auto"/>
                <w:sz w:val="18"/>
                <w:szCs w:val="18"/>
                <w:lang w:val="zh-CN" w:eastAsia="zh-CN" w:bidi="zh-CN"/>
              </w:rPr>
            </w:pPr>
            <w:r>
              <w:rPr>
                <w:rFonts w:hint="default" w:ascii="Times New Roman" w:hAnsi="Times New Roman" w:eastAsia="宋体" w:cs="Times New Roman"/>
                <w:color w:val="auto"/>
                <w:sz w:val="18"/>
                <w:szCs w:val="18"/>
                <w:lang w:val="zh-CN" w:eastAsia="zh-CN" w:bidi="zh-CN"/>
              </w:rPr>
              <w:t>17.61</w:t>
            </w:r>
          </w:p>
        </w:tc>
        <w:tc>
          <w:tcPr>
            <w:tcW w:w="474" w:type="dxa"/>
            <w:noWrap/>
            <w:vAlign w:val="center"/>
          </w:tcPr>
          <w:p w14:paraId="2B3ED1FE">
            <w:pPr>
              <w:widowControl w:val="0"/>
              <w:autoSpaceDE w:val="0"/>
              <w:autoSpaceDN w:val="0"/>
              <w:spacing w:before="63" w:line="257" w:lineRule="exact"/>
              <w:ind w:left="0" w:leftChars="0" w:right="22" w:firstLine="0" w:firstLineChars="0"/>
              <w:jc w:val="center"/>
              <w:rPr>
                <w:rFonts w:hint="default" w:ascii="Times New Roman" w:hAnsi="Times New Roman" w:eastAsia="宋体" w:cs="Times New Roman"/>
                <w:color w:val="auto"/>
                <w:sz w:val="18"/>
                <w:szCs w:val="18"/>
                <w:lang w:val="zh-CN" w:eastAsia="zh-CN" w:bidi="zh-CN"/>
              </w:rPr>
            </w:pPr>
            <w:r>
              <w:rPr>
                <w:rFonts w:hint="default" w:ascii="Times New Roman" w:hAnsi="Times New Roman" w:eastAsia="宋体" w:cs="Times New Roman"/>
                <w:color w:val="auto"/>
                <w:sz w:val="18"/>
                <w:szCs w:val="18"/>
                <w:lang w:val="zh-CN" w:eastAsia="zh-CN" w:bidi="zh-CN"/>
              </w:rPr>
              <w:t>13.98</w:t>
            </w:r>
          </w:p>
        </w:tc>
        <w:tc>
          <w:tcPr>
            <w:tcW w:w="468" w:type="dxa"/>
            <w:noWrap/>
            <w:vAlign w:val="center"/>
          </w:tcPr>
          <w:p w14:paraId="406CC54A">
            <w:pPr>
              <w:widowControl w:val="0"/>
              <w:autoSpaceDE w:val="0"/>
              <w:autoSpaceDN w:val="0"/>
              <w:spacing w:before="63" w:line="257" w:lineRule="exact"/>
              <w:ind w:left="0" w:leftChars="0" w:right="22" w:firstLine="0" w:firstLineChars="0"/>
              <w:jc w:val="center"/>
              <w:rPr>
                <w:rFonts w:hint="default" w:ascii="Times New Roman" w:hAnsi="Times New Roman" w:eastAsia="宋体" w:cs="Times New Roman"/>
                <w:color w:val="auto"/>
                <w:sz w:val="18"/>
                <w:szCs w:val="18"/>
                <w:lang w:val="zh-CN" w:eastAsia="zh-CN" w:bidi="zh-CN"/>
              </w:rPr>
            </w:pPr>
            <w:r>
              <w:rPr>
                <w:rFonts w:hint="default" w:ascii="Times New Roman" w:hAnsi="Times New Roman" w:eastAsia="宋体" w:cs="Times New Roman"/>
                <w:color w:val="auto"/>
                <w:sz w:val="18"/>
                <w:szCs w:val="18"/>
                <w:lang w:val="zh-CN" w:eastAsia="zh-CN" w:bidi="zh-CN"/>
              </w:rPr>
              <w:t>8.47</w:t>
            </w:r>
          </w:p>
        </w:tc>
        <w:tc>
          <w:tcPr>
            <w:tcW w:w="468" w:type="dxa"/>
            <w:noWrap/>
            <w:vAlign w:val="center"/>
          </w:tcPr>
          <w:p w14:paraId="1EEEA3F3">
            <w:pPr>
              <w:widowControl w:val="0"/>
              <w:autoSpaceDE w:val="0"/>
              <w:autoSpaceDN w:val="0"/>
              <w:spacing w:before="63" w:line="257" w:lineRule="exact"/>
              <w:ind w:left="0" w:leftChars="0" w:right="22" w:firstLine="0" w:firstLineChars="0"/>
              <w:jc w:val="center"/>
              <w:rPr>
                <w:rFonts w:hint="default" w:ascii="Times New Roman" w:hAnsi="Times New Roman" w:eastAsia="宋体" w:cs="Times New Roman"/>
                <w:color w:val="auto"/>
                <w:sz w:val="18"/>
                <w:szCs w:val="18"/>
                <w:lang w:val="zh-CN" w:eastAsia="zh-CN" w:bidi="zh-CN"/>
              </w:rPr>
            </w:pPr>
            <w:r>
              <w:rPr>
                <w:rFonts w:hint="default" w:ascii="Times New Roman" w:hAnsi="Times New Roman" w:eastAsia="宋体" w:cs="Times New Roman"/>
                <w:color w:val="auto"/>
                <w:sz w:val="18"/>
                <w:szCs w:val="18"/>
                <w:lang w:val="zh-CN" w:eastAsia="zh-CN" w:bidi="zh-CN"/>
              </w:rPr>
              <w:t>4.97</w:t>
            </w:r>
          </w:p>
        </w:tc>
        <w:tc>
          <w:tcPr>
            <w:tcW w:w="468" w:type="dxa"/>
            <w:noWrap/>
            <w:vAlign w:val="center"/>
          </w:tcPr>
          <w:p w14:paraId="1AA9510A">
            <w:pPr>
              <w:widowControl w:val="0"/>
              <w:autoSpaceDE w:val="0"/>
              <w:autoSpaceDN w:val="0"/>
              <w:spacing w:before="63" w:line="257" w:lineRule="exact"/>
              <w:ind w:left="0" w:leftChars="0" w:right="22" w:firstLine="0" w:firstLineChars="0"/>
              <w:jc w:val="center"/>
              <w:rPr>
                <w:rFonts w:hint="default" w:ascii="Times New Roman" w:hAnsi="Times New Roman" w:eastAsia="宋体" w:cs="Times New Roman"/>
                <w:color w:val="auto"/>
                <w:sz w:val="18"/>
                <w:szCs w:val="18"/>
                <w:lang w:val="zh-CN" w:eastAsia="zh-CN" w:bidi="zh-CN"/>
              </w:rPr>
            </w:pPr>
            <w:r>
              <w:rPr>
                <w:rFonts w:hint="default" w:ascii="Times New Roman" w:hAnsi="Times New Roman" w:eastAsia="宋体" w:cs="Times New Roman"/>
                <w:color w:val="auto"/>
                <w:sz w:val="18"/>
                <w:szCs w:val="18"/>
                <w:lang w:val="zh-CN" w:eastAsia="zh-CN" w:bidi="zh-CN"/>
              </w:rPr>
              <w:t>4.30</w:t>
            </w:r>
          </w:p>
        </w:tc>
        <w:tc>
          <w:tcPr>
            <w:tcW w:w="468" w:type="dxa"/>
            <w:noWrap/>
            <w:vAlign w:val="center"/>
          </w:tcPr>
          <w:p w14:paraId="09C19C1D">
            <w:pPr>
              <w:widowControl w:val="0"/>
              <w:autoSpaceDE w:val="0"/>
              <w:autoSpaceDN w:val="0"/>
              <w:spacing w:before="63" w:line="257" w:lineRule="exact"/>
              <w:ind w:left="0" w:leftChars="0" w:right="22" w:firstLine="0" w:firstLineChars="0"/>
              <w:jc w:val="center"/>
              <w:rPr>
                <w:rFonts w:hint="default" w:ascii="Times New Roman" w:hAnsi="Times New Roman" w:eastAsia="宋体" w:cs="Times New Roman"/>
                <w:color w:val="auto"/>
                <w:sz w:val="18"/>
                <w:szCs w:val="18"/>
                <w:lang w:val="zh-CN" w:eastAsia="zh-CN" w:bidi="zh-CN"/>
              </w:rPr>
            </w:pPr>
            <w:r>
              <w:rPr>
                <w:rFonts w:hint="default" w:ascii="Times New Roman" w:hAnsi="Times New Roman" w:eastAsia="宋体" w:cs="Times New Roman"/>
                <w:color w:val="auto"/>
                <w:sz w:val="18"/>
                <w:szCs w:val="18"/>
                <w:lang w:val="zh-CN" w:eastAsia="zh-CN" w:bidi="zh-CN"/>
              </w:rPr>
              <w:t>2.96</w:t>
            </w:r>
          </w:p>
        </w:tc>
        <w:tc>
          <w:tcPr>
            <w:tcW w:w="468" w:type="dxa"/>
            <w:noWrap/>
            <w:vAlign w:val="center"/>
          </w:tcPr>
          <w:p w14:paraId="56EB24A3">
            <w:pPr>
              <w:widowControl w:val="0"/>
              <w:autoSpaceDE w:val="0"/>
              <w:autoSpaceDN w:val="0"/>
              <w:spacing w:before="63" w:line="257" w:lineRule="exact"/>
              <w:ind w:left="0" w:leftChars="0" w:right="22" w:firstLine="0" w:firstLineChars="0"/>
              <w:jc w:val="center"/>
              <w:rPr>
                <w:rFonts w:hint="default" w:ascii="Times New Roman" w:hAnsi="Times New Roman" w:eastAsia="宋体" w:cs="Times New Roman"/>
                <w:color w:val="auto"/>
                <w:sz w:val="18"/>
                <w:szCs w:val="18"/>
                <w:lang w:val="zh-CN" w:eastAsia="zh-CN" w:bidi="zh-CN"/>
              </w:rPr>
            </w:pPr>
            <w:r>
              <w:rPr>
                <w:rFonts w:hint="default" w:ascii="Times New Roman" w:hAnsi="Times New Roman" w:eastAsia="宋体" w:cs="Times New Roman"/>
                <w:color w:val="auto"/>
                <w:sz w:val="18"/>
                <w:szCs w:val="18"/>
                <w:lang w:val="zh-CN" w:eastAsia="zh-CN" w:bidi="zh-CN"/>
              </w:rPr>
              <w:t>2.69</w:t>
            </w:r>
          </w:p>
        </w:tc>
        <w:tc>
          <w:tcPr>
            <w:tcW w:w="512" w:type="dxa"/>
            <w:noWrap/>
            <w:vAlign w:val="center"/>
          </w:tcPr>
          <w:p w14:paraId="44D07569">
            <w:pPr>
              <w:widowControl w:val="0"/>
              <w:autoSpaceDE w:val="0"/>
              <w:autoSpaceDN w:val="0"/>
              <w:spacing w:before="63" w:line="257" w:lineRule="exact"/>
              <w:ind w:left="0" w:leftChars="0" w:right="22" w:firstLine="0" w:firstLineChars="0"/>
              <w:jc w:val="center"/>
              <w:rPr>
                <w:rFonts w:hint="default" w:ascii="Times New Roman" w:hAnsi="Times New Roman" w:eastAsia="宋体" w:cs="Times New Roman"/>
                <w:color w:val="auto"/>
                <w:sz w:val="18"/>
                <w:szCs w:val="18"/>
                <w:lang w:val="zh-CN" w:eastAsia="zh-CN" w:bidi="zh-CN"/>
              </w:rPr>
            </w:pPr>
            <w:r>
              <w:rPr>
                <w:rFonts w:hint="default" w:ascii="Times New Roman" w:hAnsi="Times New Roman" w:eastAsia="宋体" w:cs="Times New Roman"/>
                <w:color w:val="auto"/>
                <w:sz w:val="18"/>
                <w:szCs w:val="18"/>
                <w:lang w:val="zh-CN" w:eastAsia="zh-CN" w:bidi="zh-CN"/>
              </w:rPr>
              <w:t>4.17</w:t>
            </w:r>
          </w:p>
        </w:tc>
        <w:tc>
          <w:tcPr>
            <w:tcW w:w="474" w:type="dxa"/>
            <w:noWrap/>
            <w:vAlign w:val="center"/>
          </w:tcPr>
          <w:p w14:paraId="264EC8E6">
            <w:pPr>
              <w:widowControl w:val="0"/>
              <w:autoSpaceDE w:val="0"/>
              <w:autoSpaceDN w:val="0"/>
              <w:spacing w:before="63" w:line="257" w:lineRule="exact"/>
              <w:ind w:left="0" w:leftChars="0" w:right="22" w:firstLine="0" w:firstLineChars="0"/>
              <w:jc w:val="center"/>
              <w:rPr>
                <w:rFonts w:hint="default" w:ascii="Times New Roman" w:hAnsi="Times New Roman" w:eastAsia="宋体" w:cs="Times New Roman"/>
                <w:color w:val="auto"/>
                <w:sz w:val="18"/>
                <w:szCs w:val="18"/>
                <w:lang w:val="zh-CN" w:eastAsia="zh-CN" w:bidi="zh-CN"/>
              </w:rPr>
            </w:pPr>
            <w:r>
              <w:rPr>
                <w:rFonts w:hint="default" w:ascii="Times New Roman" w:hAnsi="Times New Roman" w:eastAsia="宋体" w:cs="Times New Roman"/>
                <w:color w:val="auto"/>
                <w:sz w:val="18"/>
                <w:szCs w:val="18"/>
                <w:lang w:val="zh-CN" w:eastAsia="zh-CN" w:bidi="zh-CN"/>
              </w:rPr>
              <w:t>9.41</w:t>
            </w:r>
          </w:p>
        </w:tc>
        <w:tc>
          <w:tcPr>
            <w:tcW w:w="543" w:type="dxa"/>
            <w:noWrap/>
            <w:vAlign w:val="center"/>
          </w:tcPr>
          <w:p w14:paraId="168EB65C">
            <w:pPr>
              <w:widowControl w:val="0"/>
              <w:autoSpaceDE w:val="0"/>
              <w:autoSpaceDN w:val="0"/>
              <w:spacing w:before="63" w:line="257" w:lineRule="exact"/>
              <w:ind w:left="0" w:leftChars="0" w:right="22" w:firstLine="0" w:firstLineChars="0"/>
              <w:jc w:val="center"/>
              <w:rPr>
                <w:rFonts w:hint="default" w:ascii="Times New Roman" w:hAnsi="Times New Roman" w:eastAsia="宋体" w:cs="Times New Roman"/>
                <w:color w:val="auto"/>
                <w:sz w:val="18"/>
                <w:szCs w:val="18"/>
                <w:lang w:val="zh-CN" w:eastAsia="zh-CN" w:bidi="zh-CN"/>
              </w:rPr>
            </w:pPr>
            <w:r>
              <w:rPr>
                <w:rFonts w:hint="default" w:ascii="Times New Roman" w:hAnsi="Times New Roman" w:eastAsia="宋体" w:cs="Times New Roman"/>
                <w:color w:val="auto"/>
                <w:sz w:val="18"/>
                <w:szCs w:val="18"/>
                <w:lang w:val="zh-CN" w:eastAsia="zh-CN" w:bidi="zh-CN"/>
              </w:rPr>
              <w:t>6.85</w:t>
            </w:r>
          </w:p>
        </w:tc>
        <w:tc>
          <w:tcPr>
            <w:tcW w:w="468" w:type="dxa"/>
            <w:noWrap/>
            <w:vAlign w:val="center"/>
          </w:tcPr>
          <w:p w14:paraId="6971A720">
            <w:pPr>
              <w:widowControl w:val="0"/>
              <w:autoSpaceDE w:val="0"/>
              <w:autoSpaceDN w:val="0"/>
              <w:spacing w:before="63" w:line="257" w:lineRule="exact"/>
              <w:ind w:left="0" w:leftChars="0" w:right="22" w:firstLine="0" w:firstLineChars="0"/>
              <w:jc w:val="center"/>
              <w:rPr>
                <w:rFonts w:hint="default" w:ascii="Times New Roman" w:hAnsi="Times New Roman" w:eastAsia="宋体" w:cs="Times New Roman"/>
                <w:color w:val="auto"/>
                <w:sz w:val="18"/>
                <w:szCs w:val="18"/>
                <w:lang w:val="zh-CN" w:eastAsia="zh-CN" w:bidi="zh-CN"/>
              </w:rPr>
            </w:pPr>
            <w:r>
              <w:rPr>
                <w:rFonts w:hint="default" w:ascii="Times New Roman" w:hAnsi="Times New Roman" w:eastAsia="宋体" w:cs="Times New Roman"/>
                <w:color w:val="auto"/>
                <w:sz w:val="18"/>
                <w:szCs w:val="18"/>
                <w:lang w:val="zh-CN" w:eastAsia="zh-CN" w:bidi="zh-CN"/>
              </w:rPr>
              <w:t>3.23</w:t>
            </w:r>
          </w:p>
        </w:tc>
        <w:tc>
          <w:tcPr>
            <w:tcW w:w="502" w:type="dxa"/>
            <w:noWrap/>
            <w:vAlign w:val="center"/>
          </w:tcPr>
          <w:p w14:paraId="03E7946E">
            <w:pPr>
              <w:widowControl w:val="0"/>
              <w:autoSpaceDE w:val="0"/>
              <w:autoSpaceDN w:val="0"/>
              <w:spacing w:before="63" w:line="257" w:lineRule="exact"/>
              <w:ind w:left="0" w:leftChars="0" w:right="22" w:firstLine="0" w:firstLineChars="0"/>
              <w:jc w:val="center"/>
              <w:rPr>
                <w:rFonts w:hint="default" w:ascii="Times New Roman" w:hAnsi="Times New Roman" w:eastAsia="宋体" w:cs="Times New Roman"/>
                <w:color w:val="auto"/>
                <w:sz w:val="18"/>
                <w:szCs w:val="18"/>
                <w:lang w:val="zh-CN" w:eastAsia="zh-CN" w:bidi="zh-CN"/>
              </w:rPr>
            </w:pPr>
            <w:r>
              <w:rPr>
                <w:rFonts w:hint="default" w:ascii="Times New Roman" w:hAnsi="Times New Roman" w:eastAsia="宋体" w:cs="Times New Roman"/>
                <w:color w:val="auto"/>
                <w:sz w:val="18"/>
                <w:szCs w:val="18"/>
                <w:lang w:val="zh-CN" w:eastAsia="zh-CN" w:bidi="zh-CN"/>
              </w:rPr>
              <w:t>3.49</w:t>
            </w:r>
          </w:p>
        </w:tc>
        <w:tc>
          <w:tcPr>
            <w:tcW w:w="469" w:type="dxa"/>
            <w:noWrap/>
            <w:vAlign w:val="center"/>
          </w:tcPr>
          <w:p w14:paraId="65A301A8">
            <w:pPr>
              <w:widowControl w:val="0"/>
              <w:autoSpaceDE w:val="0"/>
              <w:autoSpaceDN w:val="0"/>
              <w:spacing w:before="63" w:line="257" w:lineRule="exact"/>
              <w:ind w:left="0" w:leftChars="0" w:right="22" w:firstLine="0" w:firstLineChars="0"/>
              <w:jc w:val="center"/>
              <w:rPr>
                <w:rFonts w:hint="default" w:ascii="Times New Roman" w:hAnsi="Times New Roman" w:eastAsia="宋体" w:cs="Times New Roman"/>
                <w:color w:val="auto"/>
                <w:sz w:val="18"/>
                <w:szCs w:val="18"/>
                <w:lang w:val="zh-CN" w:eastAsia="zh-CN" w:bidi="zh-CN"/>
              </w:rPr>
            </w:pPr>
            <w:r>
              <w:rPr>
                <w:rFonts w:hint="default" w:ascii="Times New Roman" w:hAnsi="Times New Roman" w:eastAsia="宋体" w:cs="Times New Roman"/>
                <w:color w:val="auto"/>
                <w:sz w:val="18"/>
                <w:szCs w:val="18"/>
                <w:lang w:val="zh-CN" w:eastAsia="zh-CN" w:bidi="zh-CN"/>
              </w:rPr>
              <w:t>0.27</w:t>
            </w:r>
          </w:p>
        </w:tc>
      </w:tr>
      <w:tr w14:paraId="19B130C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6" w:type="dxa"/>
            <w:bottom w:w="0" w:type="dxa"/>
            <w:right w:w="6" w:type="dxa"/>
          </w:tblCellMar>
        </w:tblPrEx>
        <w:trPr>
          <w:trHeight w:val="357" w:hRule="atLeast"/>
        </w:trPr>
        <w:tc>
          <w:tcPr>
            <w:tcW w:w="881" w:type="dxa"/>
            <w:noWrap/>
            <w:vAlign w:val="center"/>
          </w:tcPr>
          <w:p w14:paraId="1AACA539">
            <w:pPr>
              <w:widowControl w:val="0"/>
              <w:autoSpaceDE w:val="0"/>
              <w:autoSpaceDN w:val="0"/>
              <w:spacing w:before="63" w:line="257" w:lineRule="exact"/>
              <w:ind w:left="0" w:leftChars="0" w:right="22" w:firstLine="0" w:firstLineChars="0"/>
              <w:jc w:val="center"/>
              <w:rPr>
                <w:rFonts w:hint="default" w:ascii="Times New Roman" w:hAnsi="Times New Roman" w:eastAsia="宋体" w:cs="Times New Roman"/>
                <w:color w:val="auto"/>
                <w:sz w:val="18"/>
                <w:szCs w:val="18"/>
                <w:lang w:val="zh-CN" w:eastAsia="zh-CN" w:bidi="zh-CN"/>
              </w:rPr>
            </w:pPr>
            <w:r>
              <w:rPr>
                <w:rFonts w:hint="default" w:ascii="Times New Roman" w:hAnsi="Times New Roman" w:eastAsia="宋体" w:cs="Times New Roman"/>
                <w:color w:val="auto"/>
                <w:sz w:val="18"/>
                <w:szCs w:val="18"/>
                <w:lang w:val="zh-CN" w:eastAsia="zh-CN" w:bidi="zh-CN"/>
              </w:rPr>
              <w:t>八月</w:t>
            </w:r>
          </w:p>
        </w:tc>
        <w:tc>
          <w:tcPr>
            <w:tcW w:w="487" w:type="dxa"/>
            <w:noWrap/>
            <w:vAlign w:val="center"/>
          </w:tcPr>
          <w:p w14:paraId="16B961C8">
            <w:pPr>
              <w:widowControl w:val="0"/>
              <w:autoSpaceDE w:val="0"/>
              <w:autoSpaceDN w:val="0"/>
              <w:spacing w:before="63" w:line="257" w:lineRule="exact"/>
              <w:ind w:left="0" w:leftChars="0" w:right="22" w:firstLine="0" w:firstLineChars="0"/>
              <w:jc w:val="center"/>
              <w:rPr>
                <w:rFonts w:hint="default" w:ascii="Times New Roman" w:hAnsi="Times New Roman" w:eastAsia="宋体" w:cs="Times New Roman"/>
                <w:color w:val="auto"/>
                <w:sz w:val="18"/>
                <w:szCs w:val="18"/>
                <w:lang w:val="zh-CN" w:eastAsia="zh-CN" w:bidi="zh-CN"/>
              </w:rPr>
            </w:pPr>
            <w:r>
              <w:rPr>
                <w:rFonts w:hint="default" w:ascii="Times New Roman" w:hAnsi="Times New Roman" w:eastAsia="宋体" w:cs="Times New Roman"/>
                <w:color w:val="auto"/>
                <w:sz w:val="18"/>
                <w:szCs w:val="18"/>
                <w:lang w:val="zh-CN" w:eastAsia="zh-CN" w:bidi="zh-CN"/>
              </w:rPr>
              <w:t>6.05</w:t>
            </w:r>
          </w:p>
        </w:tc>
        <w:tc>
          <w:tcPr>
            <w:tcW w:w="436" w:type="dxa"/>
            <w:noWrap/>
            <w:vAlign w:val="center"/>
          </w:tcPr>
          <w:p w14:paraId="6B978D11">
            <w:pPr>
              <w:widowControl w:val="0"/>
              <w:autoSpaceDE w:val="0"/>
              <w:autoSpaceDN w:val="0"/>
              <w:spacing w:before="63" w:line="257" w:lineRule="exact"/>
              <w:ind w:left="0" w:leftChars="0" w:right="22" w:firstLine="0" w:firstLineChars="0"/>
              <w:jc w:val="center"/>
              <w:rPr>
                <w:rFonts w:hint="default" w:ascii="Times New Roman" w:hAnsi="Times New Roman" w:eastAsia="宋体" w:cs="Times New Roman"/>
                <w:color w:val="auto"/>
                <w:sz w:val="18"/>
                <w:szCs w:val="18"/>
                <w:lang w:val="zh-CN" w:eastAsia="zh-CN" w:bidi="zh-CN"/>
              </w:rPr>
            </w:pPr>
            <w:r>
              <w:rPr>
                <w:rFonts w:hint="default" w:ascii="Times New Roman" w:hAnsi="Times New Roman" w:eastAsia="宋体" w:cs="Times New Roman"/>
                <w:color w:val="auto"/>
                <w:sz w:val="18"/>
                <w:szCs w:val="18"/>
                <w:lang w:val="zh-CN" w:eastAsia="zh-CN" w:bidi="zh-CN"/>
              </w:rPr>
              <w:t>2.82</w:t>
            </w:r>
          </w:p>
        </w:tc>
        <w:tc>
          <w:tcPr>
            <w:tcW w:w="468" w:type="dxa"/>
            <w:noWrap/>
            <w:vAlign w:val="center"/>
          </w:tcPr>
          <w:p w14:paraId="288FE4A9">
            <w:pPr>
              <w:widowControl w:val="0"/>
              <w:autoSpaceDE w:val="0"/>
              <w:autoSpaceDN w:val="0"/>
              <w:spacing w:before="63" w:line="257" w:lineRule="exact"/>
              <w:ind w:left="0" w:leftChars="0" w:right="22" w:firstLine="0" w:firstLineChars="0"/>
              <w:jc w:val="center"/>
              <w:rPr>
                <w:rFonts w:hint="default" w:ascii="Times New Roman" w:hAnsi="Times New Roman" w:eastAsia="宋体" w:cs="Times New Roman"/>
                <w:color w:val="auto"/>
                <w:sz w:val="18"/>
                <w:szCs w:val="18"/>
                <w:lang w:val="zh-CN" w:eastAsia="zh-CN" w:bidi="zh-CN"/>
              </w:rPr>
            </w:pPr>
            <w:r>
              <w:rPr>
                <w:rFonts w:hint="default" w:ascii="Times New Roman" w:hAnsi="Times New Roman" w:eastAsia="宋体" w:cs="Times New Roman"/>
                <w:color w:val="auto"/>
                <w:sz w:val="18"/>
                <w:szCs w:val="18"/>
                <w:lang w:val="zh-CN" w:eastAsia="zh-CN" w:bidi="zh-CN"/>
              </w:rPr>
              <w:t>4.03</w:t>
            </w:r>
          </w:p>
        </w:tc>
        <w:tc>
          <w:tcPr>
            <w:tcW w:w="474" w:type="dxa"/>
            <w:noWrap/>
            <w:vAlign w:val="center"/>
          </w:tcPr>
          <w:p w14:paraId="7958A2DC">
            <w:pPr>
              <w:widowControl w:val="0"/>
              <w:autoSpaceDE w:val="0"/>
              <w:autoSpaceDN w:val="0"/>
              <w:spacing w:before="63" w:line="257" w:lineRule="exact"/>
              <w:ind w:left="0" w:leftChars="0" w:right="22" w:firstLine="0" w:firstLineChars="0"/>
              <w:jc w:val="center"/>
              <w:rPr>
                <w:rFonts w:hint="default" w:ascii="Times New Roman" w:hAnsi="Times New Roman" w:eastAsia="宋体" w:cs="Times New Roman"/>
                <w:color w:val="auto"/>
                <w:sz w:val="18"/>
                <w:szCs w:val="18"/>
                <w:lang w:val="zh-CN" w:eastAsia="zh-CN" w:bidi="zh-CN"/>
              </w:rPr>
            </w:pPr>
            <w:r>
              <w:rPr>
                <w:rFonts w:hint="default" w:ascii="Times New Roman" w:hAnsi="Times New Roman" w:eastAsia="宋体" w:cs="Times New Roman"/>
                <w:color w:val="auto"/>
                <w:sz w:val="18"/>
                <w:szCs w:val="18"/>
                <w:lang w:val="zh-CN" w:eastAsia="zh-CN" w:bidi="zh-CN"/>
              </w:rPr>
              <w:t>7.12</w:t>
            </w:r>
          </w:p>
        </w:tc>
        <w:tc>
          <w:tcPr>
            <w:tcW w:w="474" w:type="dxa"/>
            <w:noWrap/>
            <w:vAlign w:val="center"/>
          </w:tcPr>
          <w:p w14:paraId="62B0DED0">
            <w:pPr>
              <w:widowControl w:val="0"/>
              <w:autoSpaceDE w:val="0"/>
              <w:autoSpaceDN w:val="0"/>
              <w:spacing w:before="63" w:line="257" w:lineRule="exact"/>
              <w:ind w:left="0" w:leftChars="0" w:right="22" w:firstLine="0" w:firstLineChars="0"/>
              <w:jc w:val="center"/>
              <w:rPr>
                <w:rFonts w:hint="default" w:ascii="Times New Roman" w:hAnsi="Times New Roman" w:eastAsia="宋体" w:cs="Times New Roman"/>
                <w:color w:val="auto"/>
                <w:sz w:val="18"/>
                <w:szCs w:val="18"/>
                <w:lang w:val="zh-CN" w:eastAsia="zh-CN" w:bidi="zh-CN"/>
              </w:rPr>
            </w:pPr>
            <w:r>
              <w:rPr>
                <w:rFonts w:hint="default" w:ascii="Times New Roman" w:hAnsi="Times New Roman" w:eastAsia="宋体" w:cs="Times New Roman"/>
                <w:color w:val="auto"/>
                <w:sz w:val="18"/>
                <w:szCs w:val="18"/>
                <w:lang w:val="zh-CN" w:eastAsia="zh-CN" w:bidi="zh-CN"/>
              </w:rPr>
              <w:t>20.16</w:t>
            </w:r>
          </w:p>
        </w:tc>
        <w:tc>
          <w:tcPr>
            <w:tcW w:w="474" w:type="dxa"/>
            <w:noWrap/>
            <w:vAlign w:val="center"/>
          </w:tcPr>
          <w:p w14:paraId="07D70ECD">
            <w:pPr>
              <w:widowControl w:val="0"/>
              <w:autoSpaceDE w:val="0"/>
              <w:autoSpaceDN w:val="0"/>
              <w:spacing w:before="63" w:line="257" w:lineRule="exact"/>
              <w:ind w:left="0" w:leftChars="0" w:right="22" w:firstLine="0" w:firstLineChars="0"/>
              <w:jc w:val="center"/>
              <w:rPr>
                <w:rFonts w:hint="default" w:ascii="Times New Roman" w:hAnsi="Times New Roman" w:eastAsia="宋体" w:cs="Times New Roman"/>
                <w:color w:val="auto"/>
                <w:sz w:val="18"/>
                <w:szCs w:val="18"/>
                <w:lang w:val="zh-CN" w:eastAsia="zh-CN" w:bidi="zh-CN"/>
              </w:rPr>
            </w:pPr>
            <w:r>
              <w:rPr>
                <w:rFonts w:hint="default" w:ascii="Times New Roman" w:hAnsi="Times New Roman" w:eastAsia="宋体" w:cs="Times New Roman"/>
                <w:color w:val="auto"/>
                <w:sz w:val="18"/>
                <w:szCs w:val="18"/>
                <w:lang w:val="zh-CN" w:eastAsia="zh-CN" w:bidi="zh-CN"/>
              </w:rPr>
              <w:t>10.89</w:t>
            </w:r>
          </w:p>
        </w:tc>
        <w:tc>
          <w:tcPr>
            <w:tcW w:w="468" w:type="dxa"/>
            <w:noWrap/>
            <w:vAlign w:val="center"/>
          </w:tcPr>
          <w:p w14:paraId="68BBB2D7">
            <w:pPr>
              <w:widowControl w:val="0"/>
              <w:autoSpaceDE w:val="0"/>
              <w:autoSpaceDN w:val="0"/>
              <w:spacing w:before="63" w:line="257" w:lineRule="exact"/>
              <w:ind w:left="0" w:leftChars="0" w:right="22" w:firstLine="0" w:firstLineChars="0"/>
              <w:jc w:val="center"/>
              <w:rPr>
                <w:rFonts w:hint="default" w:ascii="Times New Roman" w:hAnsi="Times New Roman" w:eastAsia="宋体" w:cs="Times New Roman"/>
                <w:color w:val="auto"/>
                <w:sz w:val="18"/>
                <w:szCs w:val="18"/>
                <w:lang w:val="zh-CN" w:eastAsia="zh-CN" w:bidi="zh-CN"/>
              </w:rPr>
            </w:pPr>
            <w:r>
              <w:rPr>
                <w:rFonts w:hint="default" w:ascii="Times New Roman" w:hAnsi="Times New Roman" w:eastAsia="宋体" w:cs="Times New Roman"/>
                <w:color w:val="auto"/>
                <w:sz w:val="18"/>
                <w:szCs w:val="18"/>
                <w:lang w:val="zh-CN" w:eastAsia="zh-CN" w:bidi="zh-CN"/>
              </w:rPr>
              <w:t>9.68</w:t>
            </w:r>
          </w:p>
        </w:tc>
        <w:tc>
          <w:tcPr>
            <w:tcW w:w="468" w:type="dxa"/>
            <w:noWrap/>
            <w:vAlign w:val="center"/>
          </w:tcPr>
          <w:p w14:paraId="124D7CA1">
            <w:pPr>
              <w:widowControl w:val="0"/>
              <w:autoSpaceDE w:val="0"/>
              <w:autoSpaceDN w:val="0"/>
              <w:spacing w:before="63" w:line="257" w:lineRule="exact"/>
              <w:ind w:left="0" w:leftChars="0" w:right="22" w:firstLine="0" w:firstLineChars="0"/>
              <w:jc w:val="center"/>
              <w:rPr>
                <w:rFonts w:hint="default" w:ascii="Times New Roman" w:hAnsi="Times New Roman" w:eastAsia="宋体" w:cs="Times New Roman"/>
                <w:color w:val="auto"/>
                <w:sz w:val="18"/>
                <w:szCs w:val="18"/>
                <w:lang w:val="zh-CN" w:eastAsia="zh-CN" w:bidi="zh-CN"/>
              </w:rPr>
            </w:pPr>
            <w:r>
              <w:rPr>
                <w:rFonts w:hint="default" w:ascii="Times New Roman" w:hAnsi="Times New Roman" w:eastAsia="宋体" w:cs="Times New Roman"/>
                <w:color w:val="auto"/>
                <w:sz w:val="18"/>
                <w:szCs w:val="18"/>
                <w:lang w:val="zh-CN" w:eastAsia="zh-CN" w:bidi="zh-CN"/>
              </w:rPr>
              <w:t>6.05</w:t>
            </w:r>
          </w:p>
        </w:tc>
        <w:tc>
          <w:tcPr>
            <w:tcW w:w="468" w:type="dxa"/>
            <w:noWrap/>
            <w:vAlign w:val="center"/>
          </w:tcPr>
          <w:p w14:paraId="65E914F4">
            <w:pPr>
              <w:widowControl w:val="0"/>
              <w:autoSpaceDE w:val="0"/>
              <w:autoSpaceDN w:val="0"/>
              <w:spacing w:before="63" w:line="257" w:lineRule="exact"/>
              <w:ind w:left="0" w:leftChars="0" w:right="22" w:firstLine="0" w:firstLineChars="0"/>
              <w:jc w:val="center"/>
              <w:rPr>
                <w:rFonts w:hint="default" w:ascii="Times New Roman" w:hAnsi="Times New Roman" w:eastAsia="宋体" w:cs="Times New Roman"/>
                <w:color w:val="auto"/>
                <w:sz w:val="18"/>
                <w:szCs w:val="18"/>
                <w:lang w:val="zh-CN" w:eastAsia="zh-CN" w:bidi="zh-CN"/>
              </w:rPr>
            </w:pPr>
            <w:r>
              <w:rPr>
                <w:rFonts w:hint="default" w:ascii="Times New Roman" w:hAnsi="Times New Roman" w:eastAsia="宋体" w:cs="Times New Roman"/>
                <w:color w:val="auto"/>
                <w:sz w:val="18"/>
                <w:szCs w:val="18"/>
                <w:lang w:val="zh-CN" w:eastAsia="zh-CN" w:bidi="zh-CN"/>
              </w:rPr>
              <w:t>6.05</w:t>
            </w:r>
          </w:p>
        </w:tc>
        <w:tc>
          <w:tcPr>
            <w:tcW w:w="468" w:type="dxa"/>
            <w:noWrap/>
            <w:vAlign w:val="center"/>
          </w:tcPr>
          <w:p w14:paraId="2ABD9836">
            <w:pPr>
              <w:widowControl w:val="0"/>
              <w:autoSpaceDE w:val="0"/>
              <w:autoSpaceDN w:val="0"/>
              <w:spacing w:before="63" w:line="257" w:lineRule="exact"/>
              <w:ind w:left="0" w:leftChars="0" w:right="22" w:firstLine="0" w:firstLineChars="0"/>
              <w:jc w:val="center"/>
              <w:rPr>
                <w:rFonts w:hint="default" w:ascii="Times New Roman" w:hAnsi="Times New Roman" w:eastAsia="宋体" w:cs="Times New Roman"/>
                <w:color w:val="auto"/>
                <w:sz w:val="18"/>
                <w:szCs w:val="18"/>
                <w:lang w:val="zh-CN" w:eastAsia="zh-CN" w:bidi="zh-CN"/>
              </w:rPr>
            </w:pPr>
            <w:r>
              <w:rPr>
                <w:rFonts w:hint="default" w:ascii="Times New Roman" w:hAnsi="Times New Roman" w:eastAsia="宋体" w:cs="Times New Roman"/>
                <w:color w:val="auto"/>
                <w:sz w:val="18"/>
                <w:szCs w:val="18"/>
                <w:lang w:val="zh-CN" w:eastAsia="zh-CN" w:bidi="zh-CN"/>
              </w:rPr>
              <w:t>2.15</w:t>
            </w:r>
          </w:p>
        </w:tc>
        <w:tc>
          <w:tcPr>
            <w:tcW w:w="468" w:type="dxa"/>
            <w:noWrap/>
            <w:vAlign w:val="center"/>
          </w:tcPr>
          <w:p w14:paraId="1E86C5C7">
            <w:pPr>
              <w:widowControl w:val="0"/>
              <w:autoSpaceDE w:val="0"/>
              <w:autoSpaceDN w:val="0"/>
              <w:spacing w:before="63" w:line="257" w:lineRule="exact"/>
              <w:ind w:left="0" w:leftChars="0" w:right="22" w:firstLine="0" w:firstLineChars="0"/>
              <w:jc w:val="center"/>
              <w:rPr>
                <w:rFonts w:hint="default" w:ascii="Times New Roman" w:hAnsi="Times New Roman" w:eastAsia="宋体" w:cs="Times New Roman"/>
                <w:color w:val="auto"/>
                <w:sz w:val="18"/>
                <w:szCs w:val="18"/>
                <w:lang w:val="zh-CN" w:eastAsia="zh-CN" w:bidi="zh-CN"/>
              </w:rPr>
            </w:pPr>
            <w:r>
              <w:rPr>
                <w:rFonts w:hint="default" w:ascii="Times New Roman" w:hAnsi="Times New Roman" w:eastAsia="宋体" w:cs="Times New Roman"/>
                <w:color w:val="auto"/>
                <w:sz w:val="18"/>
                <w:szCs w:val="18"/>
                <w:lang w:val="zh-CN" w:eastAsia="zh-CN" w:bidi="zh-CN"/>
              </w:rPr>
              <w:t>2.69</w:t>
            </w:r>
          </w:p>
        </w:tc>
        <w:tc>
          <w:tcPr>
            <w:tcW w:w="512" w:type="dxa"/>
            <w:noWrap/>
            <w:vAlign w:val="center"/>
          </w:tcPr>
          <w:p w14:paraId="2277BD0C">
            <w:pPr>
              <w:widowControl w:val="0"/>
              <w:autoSpaceDE w:val="0"/>
              <w:autoSpaceDN w:val="0"/>
              <w:spacing w:before="63" w:line="257" w:lineRule="exact"/>
              <w:ind w:left="0" w:leftChars="0" w:right="22" w:firstLine="0" w:firstLineChars="0"/>
              <w:jc w:val="center"/>
              <w:rPr>
                <w:rFonts w:hint="default" w:ascii="Times New Roman" w:hAnsi="Times New Roman" w:eastAsia="宋体" w:cs="Times New Roman"/>
                <w:color w:val="auto"/>
                <w:sz w:val="18"/>
                <w:szCs w:val="18"/>
                <w:lang w:val="zh-CN" w:eastAsia="zh-CN" w:bidi="zh-CN"/>
              </w:rPr>
            </w:pPr>
            <w:r>
              <w:rPr>
                <w:rFonts w:hint="default" w:ascii="Times New Roman" w:hAnsi="Times New Roman" w:eastAsia="宋体" w:cs="Times New Roman"/>
                <w:color w:val="auto"/>
                <w:sz w:val="18"/>
                <w:szCs w:val="18"/>
                <w:lang w:val="zh-CN" w:eastAsia="zh-CN" w:bidi="zh-CN"/>
              </w:rPr>
              <w:t>1.75</w:t>
            </w:r>
          </w:p>
        </w:tc>
        <w:tc>
          <w:tcPr>
            <w:tcW w:w="474" w:type="dxa"/>
            <w:noWrap/>
            <w:vAlign w:val="center"/>
          </w:tcPr>
          <w:p w14:paraId="50C2AA83">
            <w:pPr>
              <w:widowControl w:val="0"/>
              <w:autoSpaceDE w:val="0"/>
              <w:autoSpaceDN w:val="0"/>
              <w:spacing w:before="63" w:line="257" w:lineRule="exact"/>
              <w:ind w:left="0" w:leftChars="0" w:right="22" w:firstLine="0" w:firstLineChars="0"/>
              <w:jc w:val="center"/>
              <w:rPr>
                <w:rFonts w:hint="default" w:ascii="Times New Roman" w:hAnsi="Times New Roman" w:eastAsia="宋体" w:cs="Times New Roman"/>
                <w:color w:val="auto"/>
                <w:sz w:val="18"/>
                <w:szCs w:val="18"/>
                <w:lang w:val="zh-CN" w:eastAsia="zh-CN" w:bidi="zh-CN"/>
              </w:rPr>
            </w:pPr>
            <w:r>
              <w:rPr>
                <w:rFonts w:hint="default" w:ascii="Times New Roman" w:hAnsi="Times New Roman" w:eastAsia="宋体" w:cs="Times New Roman"/>
                <w:color w:val="auto"/>
                <w:sz w:val="18"/>
                <w:szCs w:val="18"/>
                <w:lang w:val="zh-CN" w:eastAsia="zh-CN" w:bidi="zh-CN"/>
              </w:rPr>
              <w:t>6.99</w:t>
            </w:r>
          </w:p>
        </w:tc>
        <w:tc>
          <w:tcPr>
            <w:tcW w:w="543" w:type="dxa"/>
            <w:noWrap/>
            <w:vAlign w:val="center"/>
          </w:tcPr>
          <w:p w14:paraId="22ACF827">
            <w:pPr>
              <w:widowControl w:val="0"/>
              <w:autoSpaceDE w:val="0"/>
              <w:autoSpaceDN w:val="0"/>
              <w:spacing w:before="63" w:line="257" w:lineRule="exact"/>
              <w:ind w:left="0" w:leftChars="0" w:right="22" w:firstLine="0" w:firstLineChars="0"/>
              <w:jc w:val="center"/>
              <w:rPr>
                <w:rFonts w:hint="default" w:ascii="Times New Roman" w:hAnsi="Times New Roman" w:eastAsia="宋体" w:cs="Times New Roman"/>
                <w:color w:val="auto"/>
                <w:sz w:val="18"/>
                <w:szCs w:val="18"/>
                <w:lang w:val="zh-CN" w:eastAsia="zh-CN" w:bidi="zh-CN"/>
              </w:rPr>
            </w:pPr>
            <w:r>
              <w:rPr>
                <w:rFonts w:hint="default" w:ascii="Times New Roman" w:hAnsi="Times New Roman" w:eastAsia="宋体" w:cs="Times New Roman"/>
                <w:color w:val="auto"/>
                <w:sz w:val="18"/>
                <w:szCs w:val="18"/>
                <w:lang w:val="zh-CN" w:eastAsia="zh-CN" w:bidi="zh-CN"/>
              </w:rPr>
              <w:t>4.70</w:t>
            </w:r>
          </w:p>
        </w:tc>
        <w:tc>
          <w:tcPr>
            <w:tcW w:w="468" w:type="dxa"/>
            <w:noWrap/>
            <w:vAlign w:val="center"/>
          </w:tcPr>
          <w:p w14:paraId="78A3FEE1">
            <w:pPr>
              <w:widowControl w:val="0"/>
              <w:autoSpaceDE w:val="0"/>
              <w:autoSpaceDN w:val="0"/>
              <w:spacing w:before="63" w:line="257" w:lineRule="exact"/>
              <w:ind w:left="0" w:leftChars="0" w:right="22" w:firstLine="0" w:firstLineChars="0"/>
              <w:jc w:val="center"/>
              <w:rPr>
                <w:rFonts w:hint="default" w:ascii="Times New Roman" w:hAnsi="Times New Roman" w:eastAsia="宋体" w:cs="Times New Roman"/>
                <w:color w:val="auto"/>
                <w:sz w:val="18"/>
                <w:szCs w:val="18"/>
                <w:lang w:val="zh-CN" w:eastAsia="zh-CN" w:bidi="zh-CN"/>
              </w:rPr>
            </w:pPr>
            <w:r>
              <w:rPr>
                <w:rFonts w:hint="default" w:ascii="Times New Roman" w:hAnsi="Times New Roman" w:eastAsia="宋体" w:cs="Times New Roman"/>
                <w:color w:val="auto"/>
                <w:sz w:val="18"/>
                <w:szCs w:val="18"/>
                <w:lang w:val="zh-CN" w:eastAsia="zh-CN" w:bidi="zh-CN"/>
              </w:rPr>
              <w:t>4.44</w:t>
            </w:r>
          </w:p>
        </w:tc>
        <w:tc>
          <w:tcPr>
            <w:tcW w:w="502" w:type="dxa"/>
            <w:noWrap/>
            <w:vAlign w:val="center"/>
          </w:tcPr>
          <w:p w14:paraId="0DD871FE">
            <w:pPr>
              <w:widowControl w:val="0"/>
              <w:autoSpaceDE w:val="0"/>
              <w:autoSpaceDN w:val="0"/>
              <w:spacing w:before="63" w:line="257" w:lineRule="exact"/>
              <w:ind w:left="0" w:leftChars="0" w:right="22" w:firstLine="0" w:firstLineChars="0"/>
              <w:jc w:val="center"/>
              <w:rPr>
                <w:rFonts w:hint="default" w:ascii="Times New Roman" w:hAnsi="Times New Roman" w:eastAsia="宋体" w:cs="Times New Roman"/>
                <w:color w:val="auto"/>
                <w:sz w:val="18"/>
                <w:szCs w:val="18"/>
                <w:lang w:val="zh-CN" w:eastAsia="zh-CN" w:bidi="zh-CN"/>
              </w:rPr>
            </w:pPr>
            <w:r>
              <w:rPr>
                <w:rFonts w:hint="default" w:ascii="Times New Roman" w:hAnsi="Times New Roman" w:eastAsia="宋体" w:cs="Times New Roman"/>
                <w:color w:val="auto"/>
                <w:sz w:val="18"/>
                <w:szCs w:val="18"/>
                <w:lang w:val="zh-CN" w:eastAsia="zh-CN" w:bidi="zh-CN"/>
              </w:rPr>
              <w:t>4.17</w:t>
            </w:r>
          </w:p>
        </w:tc>
        <w:tc>
          <w:tcPr>
            <w:tcW w:w="469" w:type="dxa"/>
            <w:noWrap/>
            <w:vAlign w:val="center"/>
          </w:tcPr>
          <w:p w14:paraId="4265444D">
            <w:pPr>
              <w:widowControl w:val="0"/>
              <w:autoSpaceDE w:val="0"/>
              <w:autoSpaceDN w:val="0"/>
              <w:spacing w:before="63" w:line="257" w:lineRule="exact"/>
              <w:ind w:left="0" w:leftChars="0" w:right="22" w:firstLine="0" w:firstLineChars="0"/>
              <w:jc w:val="center"/>
              <w:rPr>
                <w:rFonts w:hint="default" w:ascii="Times New Roman" w:hAnsi="Times New Roman" w:eastAsia="宋体" w:cs="Times New Roman"/>
                <w:color w:val="auto"/>
                <w:sz w:val="18"/>
                <w:szCs w:val="18"/>
                <w:lang w:val="zh-CN" w:eastAsia="zh-CN" w:bidi="zh-CN"/>
              </w:rPr>
            </w:pPr>
            <w:r>
              <w:rPr>
                <w:rFonts w:hint="default" w:ascii="Times New Roman" w:hAnsi="Times New Roman" w:eastAsia="宋体" w:cs="Times New Roman"/>
                <w:color w:val="auto"/>
                <w:sz w:val="18"/>
                <w:szCs w:val="18"/>
                <w:lang w:val="zh-CN" w:eastAsia="zh-CN" w:bidi="zh-CN"/>
              </w:rPr>
              <w:t>0.27</w:t>
            </w:r>
          </w:p>
        </w:tc>
      </w:tr>
      <w:tr w14:paraId="4470922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6" w:type="dxa"/>
            <w:bottom w:w="0" w:type="dxa"/>
            <w:right w:w="6" w:type="dxa"/>
          </w:tblCellMar>
        </w:tblPrEx>
        <w:trPr>
          <w:trHeight w:val="357" w:hRule="atLeast"/>
        </w:trPr>
        <w:tc>
          <w:tcPr>
            <w:tcW w:w="881" w:type="dxa"/>
            <w:noWrap/>
            <w:vAlign w:val="center"/>
          </w:tcPr>
          <w:p w14:paraId="105DA559">
            <w:pPr>
              <w:widowControl w:val="0"/>
              <w:autoSpaceDE w:val="0"/>
              <w:autoSpaceDN w:val="0"/>
              <w:spacing w:before="63" w:line="257" w:lineRule="exact"/>
              <w:ind w:left="0" w:leftChars="0" w:right="22" w:firstLine="0" w:firstLineChars="0"/>
              <w:jc w:val="center"/>
              <w:rPr>
                <w:rFonts w:hint="default" w:ascii="Times New Roman" w:hAnsi="Times New Roman" w:eastAsia="宋体" w:cs="Times New Roman"/>
                <w:color w:val="auto"/>
                <w:sz w:val="18"/>
                <w:szCs w:val="18"/>
                <w:lang w:val="zh-CN" w:eastAsia="zh-CN" w:bidi="zh-CN"/>
              </w:rPr>
            </w:pPr>
            <w:r>
              <w:rPr>
                <w:rFonts w:hint="default" w:ascii="Times New Roman" w:hAnsi="Times New Roman" w:eastAsia="宋体" w:cs="Times New Roman"/>
                <w:color w:val="auto"/>
                <w:sz w:val="18"/>
                <w:szCs w:val="18"/>
                <w:lang w:val="zh-CN" w:eastAsia="zh-CN" w:bidi="zh-CN"/>
              </w:rPr>
              <w:t>九月</w:t>
            </w:r>
          </w:p>
        </w:tc>
        <w:tc>
          <w:tcPr>
            <w:tcW w:w="487" w:type="dxa"/>
            <w:noWrap/>
            <w:vAlign w:val="center"/>
          </w:tcPr>
          <w:p w14:paraId="08A21D10">
            <w:pPr>
              <w:widowControl w:val="0"/>
              <w:autoSpaceDE w:val="0"/>
              <w:autoSpaceDN w:val="0"/>
              <w:spacing w:before="63" w:line="257" w:lineRule="exact"/>
              <w:ind w:left="0" w:leftChars="0" w:right="22" w:firstLine="0" w:firstLineChars="0"/>
              <w:jc w:val="center"/>
              <w:rPr>
                <w:rFonts w:hint="default" w:ascii="Times New Roman" w:hAnsi="Times New Roman" w:eastAsia="宋体" w:cs="Times New Roman"/>
                <w:color w:val="auto"/>
                <w:sz w:val="18"/>
                <w:szCs w:val="18"/>
                <w:lang w:val="zh-CN" w:eastAsia="zh-CN" w:bidi="zh-CN"/>
              </w:rPr>
            </w:pPr>
            <w:r>
              <w:rPr>
                <w:rFonts w:hint="default" w:ascii="Times New Roman" w:hAnsi="Times New Roman" w:eastAsia="宋体" w:cs="Times New Roman"/>
                <w:color w:val="auto"/>
                <w:sz w:val="18"/>
                <w:szCs w:val="18"/>
                <w:lang w:val="zh-CN" w:eastAsia="zh-CN" w:bidi="zh-CN"/>
              </w:rPr>
              <w:t>5.14</w:t>
            </w:r>
          </w:p>
        </w:tc>
        <w:tc>
          <w:tcPr>
            <w:tcW w:w="436" w:type="dxa"/>
            <w:noWrap/>
            <w:vAlign w:val="center"/>
          </w:tcPr>
          <w:p w14:paraId="37E2F4FF">
            <w:pPr>
              <w:widowControl w:val="0"/>
              <w:autoSpaceDE w:val="0"/>
              <w:autoSpaceDN w:val="0"/>
              <w:spacing w:before="63" w:line="257" w:lineRule="exact"/>
              <w:ind w:left="0" w:leftChars="0" w:right="22" w:firstLine="0" w:firstLineChars="0"/>
              <w:jc w:val="center"/>
              <w:rPr>
                <w:rFonts w:hint="default" w:ascii="Times New Roman" w:hAnsi="Times New Roman" w:eastAsia="宋体" w:cs="Times New Roman"/>
                <w:color w:val="auto"/>
                <w:sz w:val="18"/>
                <w:szCs w:val="18"/>
                <w:lang w:val="zh-CN" w:eastAsia="zh-CN" w:bidi="zh-CN"/>
              </w:rPr>
            </w:pPr>
            <w:r>
              <w:rPr>
                <w:rFonts w:hint="default" w:ascii="Times New Roman" w:hAnsi="Times New Roman" w:eastAsia="宋体" w:cs="Times New Roman"/>
                <w:color w:val="auto"/>
                <w:sz w:val="18"/>
                <w:szCs w:val="18"/>
                <w:lang w:val="zh-CN" w:eastAsia="zh-CN" w:bidi="zh-CN"/>
              </w:rPr>
              <w:t>4.86</w:t>
            </w:r>
          </w:p>
        </w:tc>
        <w:tc>
          <w:tcPr>
            <w:tcW w:w="468" w:type="dxa"/>
            <w:noWrap/>
            <w:vAlign w:val="center"/>
          </w:tcPr>
          <w:p w14:paraId="18634614">
            <w:pPr>
              <w:widowControl w:val="0"/>
              <w:autoSpaceDE w:val="0"/>
              <w:autoSpaceDN w:val="0"/>
              <w:spacing w:before="63" w:line="257" w:lineRule="exact"/>
              <w:ind w:left="0" w:leftChars="0" w:right="22" w:firstLine="0" w:firstLineChars="0"/>
              <w:jc w:val="center"/>
              <w:rPr>
                <w:rFonts w:hint="default" w:ascii="Times New Roman" w:hAnsi="Times New Roman" w:eastAsia="宋体" w:cs="Times New Roman"/>
                <w:color w:val="auto"/>
                <w:sz w:val="18"/>
                <w:szCs w:val="18"/>
                <w:lang w:val="zh-CN" w:eastAsia="zh-CN" w:bidi="zh-CN"/>
              </w:rPr>
            </w:pPr>
            <w:r>
              <w:rPr>
                <w:rFonts w:hint="default" w:ascii="Times New Roman" w:hAnsi="Times New Roman" w:eastAsia="宋体" w:cs="Times New Roman"/>
                <w:color w:val="auto"/>
                <w:sz w:val="18"/>
                <w:szCs w:val="18"/>
                <w:lang w:val="zh-CN" w:eastAsia="zh-CN" w:bidi="zh-CN"/>
              </w:rPr>
              <w:t>5.56</w:t>
            </w:r>
          </w:p>
        </w:tc>
        <w:tc>
          <w:tcPr>
            <w:tcW w:w="474" w:type="dxa"/>
            <w:noWrap/>
            <w:vAlign w:val="center"/>
          </w:tcPr>
          <w:p w14:paraId="4BC6DEE1">
            <w:pPr>
              <w:widowControl w:val="0"/>
              <w:autoSpaceDE w:val="0"/>
              <w:autoSpaceDN w:val="0"/>
              <w:spacing w:before="63" w:line="257" w:lineRule="exact"/>
              <w:ind w:left="0" w:leftChars="0" w:right="22" w:firstLine="0" w:firstLineChars="0"/>
              <w:jc w:val="center"/>
              <w:rPr>
                <w:rFonts w:hint="default" w:ascii="Times New Roman" w:hAnsi="Times New Roman" w:eastAsia="宋体" w:cs="Times New Roman"/>
                <w:color w:val="auto"/>
                <w:sz w:val="18"/>
                <w:szCs w:val="18"/>
                <w:lang w:val="zh-CN" w:eastAsia="zh-CN" w:bidi="zh-CN"/>
              </w:rPr>
            </w:pPr>
            <w:r>
              <w:rPr>
                <w:rFonts w:hint="default" w:ascii="Times New Roman" w:hAnsi="Times New Roman" w:eastAsia="宋体" w:cs="Times New Roman"/>
                <w:color w:val="auto"/>
                <w:sz w:val="18"/>
                <w:szCs w:val="18"/>
                <w:lang w:val="zh-CN" w:eastAsia="zh-CN" w:bidi="zh-CN"/>
              </w:rPr>
              <w:t>6.11</w:t>
            </w:r>
          </w:p>
        </w:tc>
        <w:tc>
          <w:tcPr>
            <w:tcW w:w="474" w:type="dxa"/>
            <w:noWrap/>
            <w:vAlign w:val="center"/>
          </w:tcPr>
          <w:p w14:paraId="48F19644">
            <w:pPr>
              <w:widowControl w:val="0"/>
              <w:autoSpaceDE w:val="0"/>
              <w:autoSpaceDN w:val="0"/>
              <w:spacing w:before="63" w:line="257" w:lineRule="exact"/>
              <w:ind w:left="0" w:leftChars="0" w:right="22" w:firstLine="0" w:firstLineChars="0"/>
              <w:jc w:val="center"/>
              <w:rPr>
                <w:rFonts w:hint="default" w:ascii="Times New Roman" w:hAnsi="Times New Roman" w:eastAsia="宋体" w:cs="Times New Roman"/>
                <w:color w:val="auto"/>
                <w:sz w:val="18"/>
                <w:szCs w:val="18"/>
                <w:lang w:val="zh-CN" w:eastAsia="zh-CN" w:bidi="zh-CN"/>
              </w:rPr>
            </w:pPr>
            <w:r>
              <w:rPr>
                <w:rFonts w:hint="default" w:ascii="Times New Roman" w:hAnsi="Times New Roman" w:eastAsia="宋体" w:cs="Times New Roman"/>
                <w:color w:val="auto"/>
                <w:sz w:val="18"/>
                <w:szCs w:val="18"/>
                <w:lang w:val="zh-CN" w:eastAsia="zh-CN" w:bidi="zh-CN"/>
              </w:rPr>
              <w:t>20.14</w:t>
            </w:r>
          </w:p>
        </w:tc>
        <w:tc>
          <w:tcPr>
            <w:tcW w:w="474" w:type="dxa"/>
            <w:noWrap/>
            <w:vAlign w:val="center"/>
          </w:tcPr>
          <w:p w14:paraId="3C764E2D">
            <w:pPr>
              <w:widowControl w:val="0"/>
              <w:autoSpaceDE w:val="0"/>
              <w:autoSpaceDN w:val="0"/>
              <w:spacing w:before="63" w:line="257" w:lineRule="exact"/>
              <w:ind w:left="0" w:leftChars="0" w:right="22" w:firstLine="0" w:firstLineChars="0"/>
              <w:jc w:val="center"/>
              <w:rPr>
                <w:rFonts w:hint="default" w:ascii="Times New Roman" w:hAnsi="Times New Roman" w:eastAsia="宋体" w:cs="Times New Roman"/>
                <w:color w:val="auto"/>
                <w:sz w:val="18"/>
                <w:szCs w:val="18"/>
                <w:lang w:val="zh-CN" w:eastAsia="zh-CN" w:bidi="zh-CN"/>
              </w:rPr>
            </w:pPr>
            <w:r>
              <w:rPr>
                <w:rFonts w:hint="default" w:ascii="Times New Roman" w:hAnsi="Times New Roman" w:eastAsia="宋体" w:cs="Times New Roman"/>
                <w:color w:val="auto"/>
                <w:sz w:val="18"/>
                <w:szCs w:val="18"/>
                <w:lang w:val="zh-CN" w:eastAsia="zh-CN" w:bidi="zh-CN"/>
              </w:rPr>
              <w:t>8.19</w:t>
            </w:r>
          </w:p>
        </w:tc>
        <w:tc>
          <w:tcPr>
            <w:tcW w:w="468" w:type="dxa"/>
            <w:noWrap/>
            <w:vAlign w:val="center"/>
          </w:tcPr>
          <w:p w14:paraId="18F89F5C">
            <w:pPr>
              <w:widowControl w:val="0"/>
              <w:autoSpaceDE w:val="0"/>
              <w:autoSpaceDN w:val="0"/>
              <w:spacing w:before="63" w:line="257" w:lineRule="exact"/>
              <w:ind w:left="0" w:leftChars="0" w:right="22" w:firstLine="0" w:firstLineChars="0"/>
              <w:jc w:val="center"/>
              <w:rPr>
                <w:rFonts w:hint="default" w:ascii="Times New Roman" w:hAnsi="Times New Roman" w:eastAsia="宋体" w:cs="Times New Roman"/>
                <w:color w:val="auto"/>
                <w:sz w:val="18"/>
                <w:szCs w:val="18"/>
                <w:lang w:val="zh-CN" w:eastAsia="zh-CN" w:bidi="zh-CN"/>
              </w:rPr>
            </w:pPr>
            <w:r>
              <w:rPr>
                <w:rFonts w:hint="default" w:ascii="Times New Roman" w:hAnsi="Times New Roman" w:eastAsia="宋体" w:cs="Times New Roman"/>
                <w:color w:val="auto"/>
                <w:sz w:val="18"/>
                <w:szCs w:val="18"/>
                <w:lang w:val="zh-CN" w:eastAsia="zh-CN" w:bidi="zh-CN"/>
              </w:rPr>
              <w:t>9.17</w:t>
            </w:r>
          </w:p>
        </w:tc>
        <w:tc>
          <w:tcPr>
            <w:tcW w:w="468" w:type="dxa"/>
            <w:noWrap/>
            <w:vAlign w:val="center"/>
          </w:tcPr>
          <w:p w14:paraId="35E6EC1C">
            <w:pPr>
              <w:widowControl w:val="0"/>
              <w:autoSpaceDE w:val="0"/>
              <w:autoSpaceDN w:val="0"/>
              <w:spacing w:before="63" w:line="257" w:lineRule="exact"/>
              <w:ind w:left="0" w:leftChars="0" w:right="22" w:firstLine="0" w:firstLineChars="0"/>
              <w:jc w:val="center"/>
              <w:rPr>
                <w:rFonts w:hint="default" w:ascii="Times New Roman" w:hAnsi="Times New Roman" w:eastAsia="宋体" w:cs="Times New Roman"/>
                <w:color w:val="auto"/>
                <w:sz w:val="18"/>
                <w:szCs w:val="18"/>
                <w:lang w:val="zh-CN" w:eastAsia="zh-CN" w:bidi="zh-CN"/>
              </w:rPr>
            </w:pPr>
            <w:r>
              <w:rPr>
                <w:rFonts w:hint="default" w:ascii="Times New Roman" w:hAnsi="Times New Roman" w:eastAsia="宋体" w:cs="Times New Roman"/>
                <w:color w:val="auto"/>
                <w:sz w:val="18"/>
                <w:szCs w:val="18"/>
                <w:lang w:val="zh-CN" w:eastAsia="zh-CN" w:bidi="zh-CN"/>
              </w:rPr>
              <w:t>5.83</w:t>
            </w:r>
          </w:p>
        </w:tc>
        <w:tc>
          <w:tcPr>
            <w:tcW w:w="468" w:type="dxa"/>
            <w:noWrap/>
            <w:vAlign w:val="center"/>
          </w:tcPr>
          <w:p w14:paraId="1D674FE6">
            <w:pPr>
              <w:widowControl w:val="0"/>
              <w:autoSpaceDE w:val="0"/>
              <w:autoSpaceDN w:val="0"/>
              <w:spacing w:before="63" w:line="257" w:lineRule="exact"/>
              <w:ind w:left="0" w:leftChars="0" w:right="22" w:firstLine="0" w:firstLineChars="0"/>
              <w:jc w:val="center"/>
              <w:rPr>
                <w:rFonts w:hint="default" w:ascii="Times New Roman" w:hAnsi="Times New Roman" w:eastAsia="宋体" w:cs="Times New Roman"/>
                <w:color w:val="auto"/>
                <w:sz w:val="18"/>
                <w:szCs w:val="18"/>
                <w:lang w:val="zh-CN" w:eastAsia="zh-CN" w:bidi="zh-CN"/>
              </w:rPr>
            </w:pPr>
            <w:r>
              <w:rPr>
                <w:rFonts w:hint="default" w:ascii="Times New Roman" w:hAnsi="Times New Roman" w:eastAsia="宋体" w:cs="Times New Roman"/>
                <w:color w:val="auto"/>
                <w:sz w:val="18"/>
                <w:szCs w:val="18"/>
                <w:lang w:val="zh-CN" w:eastAsia="zh-CN" w:bidi="zh-CN"/>
              </w:rPr>
              <w:t>5.69</w:t>
            </w:r>
          </w:p>
        </w:tc>
        <w:tc>
          <w:tcPr>
            <w:tcW w:w="468" w:type="dxa"/>
            <w:noWrap/>
            <w:vAlign w:val="center"/>
          </w:tcPr>
          <w:p w14:paraId="1C90E785">
            <w:pPr>
              <w:widowControl w:val="0"/>
              <w:autoSpaceDE w:val="0"/>
              <w:autoSpaceDN w:val="0"/>
              <w:spacing w:before="63" w:line="257" w:lineRule="exact"/>
              <w:ind w:left="0" w:leftChars="0" w:right="22" w:firstLine="0" w:firstLineChars="0"/>
              <w:jc w:val="center"/>
              <w:rPr>
                <w:rFonts w:hint="default" w:ascii="Times New Roman" w:hAnsi="Times New Roman" w:eastAsia="宋体" w:cs="Times New Roman"/>
                <w:color w:val="auto"/>
                <w:sz w:val="18"/>
                <w:szCs w:val="18"/>
                <w:lang w:val="zh-CN" w:eastAsia="zh-CN" w:bidi="zh-CN"/>
              </w:rPr>
            </w:pPr>
            <w:r>
              <w:rPr>
                <w:rFonts w:hint="default" w:ascii="Times New Roman" w:hAnsi="Times New Roman" w:eastAsia="宋体" w:cs="Times New Roman"/>
                <w:color w:val="auto"/>
                <w:sz w:val="18"/>
                <w:szCs w:val="18"/>
                <w:lang w:val="zh-CN" w:eastAsia="zh-CN" w:bidi="zh-CN"/>
              </w:rPr>
              <w:t>4.44</w:t>
            </w:r>
          </w:p>
        </w:tc>
        <w:tc>
          <w:tcPr>
            <w:tcW w:w="468" w:type="dxa"/>
            <w:noWrap/>
            <w:vAlign w:val="center"/>
          </w:tcPr>
          <w:p w14:paraId="59330BB2">
            <w:pPr>
              <w:widowControl w:val="0"/>
              <w:autoSpaceDE w:val="0"/>
              <w:autoSpaceDN w:val="0"/>
              <w:spacing w:before="63" w:line="257" w:lineRule="exact"/>
              <w:ind w:left="0" w:leftChars="0" w:right="22" w:firstLine="0" w:firstLineChars="0"/>
              <w:jc w:val="center"/>
              <w:rPr>
                <w:rFonts w:hint="default" w:ascii="Times New Roman" w:hAnsi="Times New Roman" w:eastAsia="宋体" w:cs="Times New Roman"/>
                <w:color w:val="auto"/>
                <w:sz w:val="18"/>
                <w:szCs w:val="18"/>
                <w:lang w:val="zh-CN" w:eastAsia="zh-CN" w:bidi="zh-CN"/>
              </w:rPr>
            </w:pPr>
            <w:r>
              <w:rPr>
                <w:rFonts w:hint="default" w:ascii="Times New Roman" w:hAnsi="Times New Roman" w:eastAsia="宋体" w:cs="Times New Roman"/>
                <w:color w:val="auto"/>
                <w:sz w:val="18"/>
                <w:szCs w:val="18"/>
                <w:lang w:val="zh-CN" w:eastAsia="zh-CN" w:bidi="zh-CN"/>
              </w:rPr>
              <w:t>3.19</w:t>
            </w:r>
          </w:p>
        </w:tc>
        <w:tc>
          <w:tcPr>
            <w:tcW w:w="512" w:type="dxa"/>
            <w:noWrap/>
            <w:vAlign w:val="center"/>
          </w:tcPr>
          <w:p w14:paraId="02873DA0">
            <w:pPr>
              <w:widowControl w:val="0"/>
              <w:autoSpaceDE w:val="0"/>
              <w:autoSpaceDN w:val="0"/>
              <w:spacing w:before="63" w:line="257" w:lineRule="exact"/>
              <w:ind w:left="0" w:leftChars="0" w:right="22" w:firstLine="0" w:firstLineChars="0"/>
              <w:jc w:val="center"/>
              <w:rPr>
                <w:rFonts w:hint="default" w:ascii="Times New Roman" w:hAnsi="Times New Roman" w:eastAsia="宋体" w:cs="Times New Roman"/>
                <w:color w:val="auto"/>
                <w:sz w:val="18"/>
                <w:szCs w:val="18"/>
                <w:lang w:val="zh-CN" w:eastAsia="zh-CN" w:bidi="zh-CN"/>
              </w:rPr>
            </w:pPr>
            <w:r>
              <w:rPr>
                <w:rFonts w:hint="default" w:ascii="Times New Roman" w:hAnsi="Times New Roman" w:eastAsia="宋体" w:cs="Times New Roman"/>
                <w:color w:val="auto"/>
                <w:sz w:val="18"/>
                <w:szCs w:val="18"/>
                <w:lang w:val="zh-CN" w:eastAsia="zh-CN" w:bidi="zh-CN"/>
              </w:rPr>
              <w:t>3.89</w:t>
            </w:r>
          </w:p>
        </w:tc>
        <w:tc>
          <w:tcPr>
            <w:tcW w:w="474" w:type="dxa"/>
            <w:noWrap/>
            <w:vAlign w:val="center"/>
          </w:tcPr>
          <w:p w14:paraId="0396720B">
            <w:pPr>
              <w:widowControl w:val="0"/>
              <w:autoSpaceDE w:val="0"/>
              <w:autoSpaceDN w:val="0"/>
              <w:spacing w:before="63" w:line="257" w:lineRule="exact"/>
              <w:ind w:left="0" w:leftChars="0" w:right="22" w:firstLine="0" w:firstLineChars="0"/>
              <w:jc w:val="center"/>
              <w:rPr>
                <w:rFonts w:hint="default" w:ascii="Times New Roman" w:hAnsi="Times New Roman" w:eastAsia="宋体" w:cs="Times New Roman"/>
                <w:color w:val="auto"/>
                <w:sz w:val="18"/>
                <w:szCs w:val="18"/>
                <w:lang w:val="zh-CN" w:eastAsia="zh-CN" w:bidi="zh-CN"/>
              </w:rPr>
            </w:pPr>
            <w:r>
              <w:rPr>
                <w:rFonts w:hint="default" w:ascii="Times New Roman" w:hAnsi="Times New Roman" w:eastAsia="宋体" w:cs="Times New Roman"/>
                <w:color w:val="auto"/>
                <w:sz w:val="18"/>
                <w:szCs w:val="18"/>
                <w:lang w:val="zh-CN" w:eastAsia="zh-CN" w:bidi="zh-CN"/>
              </w:rPr>
              <w:t>8.47</w:t>
            </w:r>
          </w:p>
        </w:tc>
        <w:tc>
          <w:tcPr>
            <w:tcW w:w="543" w:type="dxa"/>
            <w:noWrap/>
            <w:vAlign w:val="center"/>
          </w:tcPr>
          <w:p w14:paraId="53471AC0">
            <w:pPr>
              <w:widowControl w:val="0"/>
              <w:autoSpaceDE w:val="0"/>
              <w:autoSpaceDN w:val="0"/>
              <w:spacing w:before="63" w:line="257" w:lineRule="exact"/>
              <w:ind w:left="0" w:leftChars="0" w:right="22" w:firstLine="0" w:firstLineChars="0"/>
              <w:jc w:val="center"/>
              <w:rPr>
                <w:rFonts w:hint="default" w:ascii="Times New Roman" w:hAnsi="Times New Roman" w:eastAsia="宋体" w:cs="Times New Roman"/>
                <w:color w:val="auto"/>
                <w:sz w:val="18"/>
                <w:szCs w:val="18"/>
                <w:lang w:val="zh-CN" w:eastAsia="zh-CN" w:bidi="zh-CN"/>
              </w:rPr>
            </w:pPr>
            <w:r>
              <w:rPr>
                <w:rFonts w:hint="default" w:ascii="Times New Roman" w:hAnsi="Times New Roman" w:eastAsia="宋体" w:cs="Times New Roman"/>
                <w:color w:val="auto"/>
                <w:sz w:val="18"/>
                <w:szCs w:val="18"/>
                <w:lang w:val="zh-CN" w:eastAsia="zh-CN" w:bidi="zh-CN"/>
              </w:rPr>
              <w:t>3.19</w:t>
            </w:r>
          </w:p>
        </w:tc>
        <w:tc>
          <w:tcPr>
            <w:tcW w:w="468" w:type="dxa"/>
            <w:noWrap/>
            <w:vAlign w:val="center"/>
          </w:tcPr>
          <w:p w14:paraId="005C6C63">
            <w:pPr>
              <w:widowControl w:val="0"/>
              <w:autoSpaceDE w:val="0"/>
              <w:autoSpaceDN w:val="0"/>
              <w:spacing w:before="63" w:line="257" w:lineRule="exact"/>
              <w:ind w:left="0" w:leftChars="0" w:right="22" w:firstLine="0" w:firstLineChars="0"/>
              <w:jc w:val="center"/>
              <w:rPr>
                <w:rFonts w:hint="default" w:ascii="Times New Roman" w:hAnsi="Times New Roman" w:eastAsia="宋体" w:cs="Times New Roman"/>
                <w:color w:val="auto"/>
                <w:sz w:val="18"/>
                <w:szCs w:val="18"/>
                <w:lang w:val="zh-CN" w:eastAsia="zh-CN" w:bidi="zh-CN"/>
              </w:rPr>
            </w:pPr>
            <w:r>
              <w:rPr>
                <w:rFonts w:hint="default" w:ascii="Times New Roman" w:hAnsi="Times New Roman" w:eastAsia="宋体" w:cs="Times New Roman"/>
                <w:color w:val="auto"/>
                <w:sz w:val="18"/>
                <w:szCs w:val="18"/>
                <w:lang w:val="zh-CN" w:eastAsia="zh-CN" w:bidi="zh-CN"/>
              </w:rPr>
              <w:t>3.06</w:t>
            </w:r>
          </w:p>
        </w:tc>
        <w:tc>
          <w:tcPr>
            <w:tcW w:w="502" w:type="dxa"/>
            <w:noWrap/>
            <w:vAlign w:val="center"/>
          </w:tcPr>
          <w:p w14:paraId="7CF8D86A">
            <w:pPr>
              <w:widowControl w:val="0"/>
              <w:autoSpaceDE w:val="0"/>
              <w:autoSpaceDN w:val="0"/>
              <w:spacing w:before="63" w:line="257" w:lineRule="exact"/>
              <w:ind w:left="0" w:leftChars="0" w:right="22" w:firstLine="0" w:firstLineChars="0"/>
              <w:jc w:val="center"/>
              <w:rPr>
                <w:rFonts w:hint="default" w:ascii="Times New Roman" w:hAnsi="Times New Roman" w:eastAsia="宋体" w:cs="Times New Roman"/>
                <w:color w:val="auto"/>
                <w:sz w:val="18"/>
                <w:szCs w:val="18"/>
                <w:lang w:val="zh-CN" w:eastAsia="zh-CN" w:bidi="zh-CN"/>
              </w:rPr>
            </w:pPr>
            <w:r>
              <w:rPr>
                <w:rFonts w:hint="default" w:ascii="Times New Roman" w:hAnsi="Times New Roman" w:eastAsia="宋体" w:cs="Times New Roman"/>
                <w:color w:val="auto"/>
                <w:sz w:val="18"/>
                <w:szCs w:val="18"/>
                <w:lang w:val="zh-CN" w:eastAsia="zh-CN" w:bidi="zh-CN"/>
              </w:rPr>
              <w:t>3.06</w:t>
            </w:r>
          </w:p>
        </w:tc>
        <w:tc>
          <w:tcPr>
            <w:tcW w:w="469" w:type="dxa"/>
            <w:noWrap/>
            <w:vAlign w:val="center"/>
          </w:tcPr>
          <w:p w14:paraId="37C11789">
            <w:pPr>
              <w:widowControl w:val="0"/>
              <w:autoSpaceDE w:val="0"/>
              <w:autoSpaceDN w:val="0"/>
              <w:spacing w:before="63" w:line="257" w:lineRule="exact"/>
              <w:ind w:left="0" w:leftChars="0" w:right="22" w:firstLine="0" w:firstLineChars="0"/>
              <w:jc w:val="center"/>
              <w:rPr>
                <w:rFonts w:hint="default" w:ascii="Times New Roman" w:hAnsi="Times New Roman" w:eastAsia="宋体" w:cs="Times New Roman"/>
                <w:color w:val="auto"/>
                <w:sz w:val="18"/>
                <w:szCs w:val="18"/>
                <w:lang w:val="zh-CN" w:eastAsia="zh-CN" w:bidi="zh-CN"/>
              </w:rPr>
            </w:pPr>
            <w:r>
              <w:rPr>
                <w:rFonts w:hint="default" w:ascii="Times New Roman" w:hAnsi="Times New Roman" w:eastAsia="宋体" w:cs="Times New Roman"/>
                <w:color w:val="auto"/>
                <w:sz w:val="18"/>
                <w:szCs w:val="18"/>
                <w:lang w:val="zh-CN" w:eastAsia="zh-CN" w:bidi="zh-CN"/>
              </w:rPr>
              <w:t>0.00</w:t>
            </w:r>
          </w:p>
        </w:tc>
      </w:tr>
      <w:tr w14:paraId="226A7F1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6" w:type="dxa"/>
            <w:bottom w:w="0" w:type="dxa"/>
            <w:right w:w="6" w:type="dxa"/>
          </w:tblCellMar>
        </w:tblPrEx>
        <w:trPr>
          <w:trHeight w:val="357" w:hRule="atLeast"/>
        </w:trPr>
        <w:tc>
          <w:tcPr>
            <w:tcW w:w="881" w:type="dxa"/>
            <w:noWrap/>
            <w:vAlign w:val="center"/>
          </w:tcPr>
          <w:p w14:paraId="436F353E">
            <w:pPr>
              <w:widowControl w:val="0"/>
              <w:autoSpaceDE w:val="0"/>
              <w:autoSpaceDN w:val="0"/>
              <w:spacing w:before="63" w:line="257" w:lineRule="exact"/>
              <w:ind w:left="0" w:leftChars="0" w:right="22" w:firstLine="0" w:firstLineChars="0"/>
              <w:jc w:val="center"/>
              <w:rPr>
                <w:rFonts w:hint="default" w:ascii="Times New Roman" w:hAnsi="Times New Roman" w:eastAsia="宋体" w:cs="Times New Roman"/>
                <w:color w:val="auto"/>
                <w:sz w:val="18"/>
                <w:szCs w:val="18"/>
                <w:lang w:val="zh-CN" w:eastAsia="zh-CN" w:bidi="zh-CN"/>
              </w:rPr>
            </w:pPr>
            <w:r>
              <w:rPr>
                <w:rFonts w:hint="default" w:ascii="Times New Roman" w:hAnsi="Times New Roman" w:eastAsia="宋体" w:cs="Times New Roman"/>
                <w:color w:val="auto"/>
                <w:sz w:val="18"/>
                <w:szCs w:val="18"/>
                <w:lang w:val="zh-CN" w:eastAsia="zh-CN" w:bidi="zh-CN"/>
              </w:rPr>
              <w:t>十月</w:t>
            </w:r>
          </w:p>
        </w:tc>
        <w:tc>
          <w:tcPr>
            <w:tcW w:w="487" w:type="dxa"/>
            <w:noWrap/>
            <w:vAlign w:val="center"/>
          </w:tcPr>
          <w:p w14:paraId="75697DB8">
            <w:pPr>
              <w:widowControl w:val="0"/>
              <w:autoSpaceDE w:val="0"/>
              <w:autoSpaceDN w:val="0"/>
              <w:spacing w:before="63" w:line="257" w:lineRule="exact"/>
              <w:ind w:left="0" w:leftChars="0" w:right="22" w:firstLine="0" w:firstLineChars="0"/>
              <w:jc w:val="center"/>
              <w:rPr>
                <w:rFonts w:hint="default" w:ascii="Times New Roman" w:hAnsi="Times New Roman" w:eastAsia="宋体" w:cs="Times New Roman"/>
                <w:color w:val="auto"/>
                <w:sz w:val="18"/>
                <w:szCs w:val="18"/>
                <w:lang w:val="zh-CN" w:eastAsia="zh-CN" w:bidi="zh-CN"/>
              </w:rPr>
            </w:pPr>
            <w:r>
              <w:rPr>
                <w:rFonts w:hint="default" w:ascii="Times New Roman" w:hAnsi="Times New Roman" w:eastAsia="宋体" w:cs="Times New Roman"/>
                <w:color w:val="auto"/>
                <w:sz w:val="18"/>
                <w:szCs w:val="18"/>
                <w:lang w:val="zh-CN" w:eastAsia="zh-CN" w:bidi="zh-CN"/>
              </w:rPr>
              <w:t>4.30</w:t>
            </w:r>
          </w:p>
        </w:tc>
        <w:tc>
          <w:tcPr>
            <w:tcW w:w="436" w:type="dxa"/>
            <w:noWrap/>
            <w:vAlign w:val="center"/>
          </w:tcPr>
          <w:p w14:paraId="4B64EFA4">
            <w:pPr>
              <w:widowControl w:val="0"/>
              <w:autoSpaceDE w:val="0"/>
              <w:autoSpaceDN w:val="0"/>
              <w:spacing w:before="63" w:line="257" w:lineRule="exact"/>
              <w:ind w:left="0" w:leftChars="0" w:right="22" w:firstLine="0" w:firstLineChars="0"/>
              <w:jc w:val="center"/>
              <w:rPr>
                <w:rFonts w:hint="default" w:ascii="Times New Roman" w:hAnsi="Times New Roman" w:eastAsia="宋体" w:cs="Times New Roman"/>
                <w:color w:val="auto"/>
                <w:sz w:val="18"/>
                <w:szCs w:val="18"/>
                <w:lang w:val="zh-CN" w:eastAsia="zh-CN" w:bidi="zh-CN"/>
              </w:rPr>
            </w:pPr>
            <w:r>
              <w:rPr>
                <w:rFonts w:hint="default" w:ascii="Times New Roman" w:hAnsi="Times New Roman" w:eastAsia="宋体" w:cs="Times New Roman"/>
                <w:color w:val="auto"/>
                <w:sz w:val="18"/>
                <w:szCs w:val="18"/>
                <w:lang w:val="zh-CN" w:eastAsia="zh-CN" w:bidi="zh-CN"/>
              </w:rPr>
              <w:t>2.28</w:t>
            </w:r>
          </w:p>
        </w:tc>
        <w:tc>
          <w:tcPr>
            <w:tcW w:w="468" w:type="dxa"/>
            <w:noWrap/>
            <w:vAlign w:val="center"/>
          </w:tcPr>
          <w:p w14:paraId="3B01F777">
            <w:pPr>
              <w:widowControl w:val="0"/>
              <w:autoSpaceDE w:val="0"/>
              <w:autoSpaceDN w:val="0"/>
              <w:spacing w:before="63" w:line="257" w:lineRule="exact"/>
              <w:ind w:left="0" w:leftChars="0" w:right="22" w:firstLine="0" w:firstLineChars="0"/>
              <w:jc w:val="center"/>
              <w:rPr>
                <w:rFonts w:hint="default" w:ascii="Times New Roman" w:hAnsi="Times New Roman" w:eastAsia="宋体" w:cs="Times New Roman"/>
                <w:color w:val="auto"/>
                <w:sz w:val="18"/>
                <w:szCs w:val="18"/>
                <w:lang w:val="zh-CN" w:eastAsia="zh-CN" w:bidi="zh-CN"/>
              </w:rPr>
            </w:pPr>
            <w:r>
              <w:rPr>
                <w:rFonts w:hint="default" w:ascii="Times New Roman" w:hAnsi="Times New Roman" w:eastAsia="宋体" w:cs="Times New Roman"/>
                <w:color w:val="auto"/>
                <w:sz w:val="18"/>
                <w:szCs w:val="18"/>
                <w:lang w:val="zh-CN" w:eastAsia="zh-CN" w:bidi="zh-CN"/>
              </w:rPr>
              <w:t>6.99</w:t>
            </w:r>
          </w:p>
        </w:tc>
        <w:tc>
          <w:tcPr>
            <w:tcW w:w="474" w:type="dxa"/>
            <w:noWrap/>
            <w:vAlign w:val="center"/>
          </w:tcPr>
          <w:p w14:paraId="10BF2291">
            <w:pPr>
              <w:widowControl w:val="0"/>
              <w:autoSpaceDE w:val="0"/>
              <w:autoSpaceDN w:val="0"/>
              <w:spacing w:before="63" w:line="257" w:lineRule="exact"/>
              <w:ind w:left="0" w:leftChars="0" w:right="22" w:firstLine="0" w:firstLineChars="0"/>
              <w:jc w:val="center"/>
              <w:rPr>
                <w:rFonts w:hint="default" w:ascii="Times New Roman" w:hAnsi="Times New Roman" w:eastAsia="宋体" w:cs="Times New Roman"/>
                <w:color w:val="auto"/>
                <w:sz w:val="18"/>
                <w:szCs w:val="18"/>
                <w:lang w:val="zh-CN" w:eastAsia="zh-CN" w:bidi="zh-CN"/>
              </w:rPr>
            </w:pPr>
            <w:r>
              <w:rPr>
                <w:rFonts w:hint="default" w:ascii="Times New Roman" w:hAnsi="Times New Roman" w:eastAsia="宋体" w:cs="Times New Roman"/>
                <w:color w:val="auto"/>
                <w:sz w:val="18"/>
                <w:szCs w:val="18"/>
                <w:lang w:val="zh-CN" w:eastAsia="zh-CN" w:bidi="zh-CN"/>
              </w:rPr>
              <w:t>8.60</w:t>
            </w:r>
          </w:p>
        </w:tc>
        <w:tc>
          <w:tcPr>
            <w:tcW w:w="474" w:type="dxa"/>
            <w:noWrap/>
            <w:vAlign w:val="center"/>
          </w:tcPr>
          <w:p w14:paraId="2194F7CF">
            <w:pPr>
              <w:widowControl w:val="0"/>
              <w:autoSpaceDE w:val="0"/>
              <w:autoSpaceDN w:val="0"/>
              <w:spacing w:before="63" w:line="257" w:lineRule="exact"/>
              <w:ind w:left="0" w:leftChars="0" w:right="22" w:firstLine="0" w:firstLineChars="0"/>
              <w:jc w:val="center"/>
              <w:rPr>
                <w:rFonts w:hint="default" w:ascii="Times New Roman" w:hAnsi="Times New Roman" w:eastAsia="宋体" w:cs="Times New Roman"/>
                <w:color w:val="auto"/>
                <w:sz w:val="18"/>
                <w:szCs w:val="18"/>
                <w:lang w:val="zh-CN" w:eastAsia="zh-CN" w:bidi="zh-CN"/>
              </w:rPr>
            </w:pPr>
            <w:r>
              <w:rPr>
                <w:rFonts w:hint="default" w:ascii="Times New Roman" w:hAnsi="Times New Roman" w:eastAsia="宋体" w:cs="Times New Roman"/>
                <w:color w:val="auto"/>
                <w:sz w:val="18"/>
                <w:szCs w:val="18"/>
                <w:lang w:val="zh-CN" w:eastAsia="zh-CN" w:bidi="zh-CN"/>
              </w:rPr>
              <w:t>17.07</w:t>
            </w:r>
          </w:p>
        </w:tc>
        <w:tc>
          <w:tcPr>
            <w:tcW w:w="474" w:type="dxa"/>
            <w:noWrap/>
            <w:vAlign w:val="center"/>
          </w:tcPr>
          <w:p w14:paraId="5870CB4C">
            <w:pPr>
              <w:widowControl w:val="0"/>
              <w:autoSpaceDE w:val="0"/>
              <w:autoSpaceDN w:val="0"/>
              <w:spacing w:before="63" w:line="257" w:lineRule="exact"/>
              <w:ind w:left="0" w:leftChars="0" w:right="22" w:firstLine="0" w:firstLineChars="0"/>
              <w:jc w:val="center"/>
              <w:rPr>
                <w:rFonts w:hint="default" w:ascii="Times New Roman" w:hAnsi="Times New Roman" w:eastAsia="宋体" w:cs="Times New Roman"/>
                <w:color w:val="auto"/>
                <w:sz w:val="18"/>
                <w:szCs w:val="18"/>
                <w:lang w:val="zh-CN" w:eastAsia="zh-CN" w:bidi="zh-CN"/>
              </w:rPr>
            </w:pPr>
            <w:r>
              <w:rPr>
                <w:rFonts w:hint="default" w:ascii="Times New Roman" w:hAnsi="Times New Roman" w:eastAsia="宋体" w:cs="Times New Roman"/>
                <w:color w:val="auto"/>
                <w:sz w:val="18"/>
                <w:szCs w:val="18"/>
                <w:lang w:val="zh-CN" w:eastAsia="zh-CN" w:bidi="zh-CN"/>
              </w:rPr>
              <w:t>9.95</w:t>
            </w:r>
          </w:p>
        </w:tc>
        <w:tc>
          <w:tcPr>
            <w:tcW w:w="468" w:type="dxa"/>
            <w:noWrap/>
            <w:vAlign w:val="center"/>
          </w:tcPr>
          <w:p w14:paraId="3DC54F3B">
            <w:pPr>
              <w:widowControl w:val="0"/>
              <w:autoSpaceDE w:val="0"/>
              <w:autoSpaceDN w:val="0"/>
              <w:spacing w:before="63" w:line="257" w:lineRule="exact"/>
              <w:ind w:left="0" w:leftChars="0" w:right="22" w:firstLine="0" w:firstLineChars="0"/>
              <w:jc w:val="center"/>
              <w:rPr>
                <w:rFonts w:hint="default" w:ascii="Times New Roman" w:hAnsi="Times New Roman" w:eastAsia="宋体" w:cs="Times New Roman"/>
                <w:color w:val="auto"/>
                <w:sz w:val="18"/>
                <w:szCs w:val="18"/>
                <w:lang w:val="zh-CN" w:eastAsia="zh-CN" w:bidi="zh-CN"/>
              </w:rPr>
            </w:pPr>
            <w:r>
              <w:rPr>
                <w:rFonts w:hint="default" w:ascii="Times New Roman" w:hAnsi="Times New Roman" w:eastAsia="宋体" w:cs="Times New Roman"/>
                <w:color w:val="auto"/>
                <w:sz w:val="18"/>
                <w:szCs w:val="18"/>
                <w:lang w:val="zh-CN" w:eastAsia="zh-CN" w:bidi="zh-CN"/>
              </w:rPr>
              <w:t>8.06</w:t>
            </w:r>
          </w:p>
        </w:tc>
        <w:tc>
          <w:tcPr>
            <w:tcW w:w="468" w:type="dxa"/>
            <w:noWrap/>
            <w:vAlign w:val="center"/>
          </w:tcPr>
          <w:p w14:paraId="3FC9EF92">
            <w:pPr>
              <w:widowControl w:val="0"/>
              <w:autoSpaceDE w:val="0"/>
              <w:autoSpaceDN w:val="0"/>
              <w:spacing w:before="63" w:line="257" w:lineRule="exact"/>
              <w:ind w:left="0" w:leftChars="0" w:right="22" w:firstLine="0" w:firstLineChars="0"/>
              <w:jc w:val="center"/>
              <w:rPr>
                <w:rFonts w:hint="default" w:ascii="Times New Roman" w:hAnsi="Times New Roman" w:eastAsia="宋体" w:cs="Times New Roman"/>
                <w:color w:val="auto"/>
                <w:sz w:val="18"/>
                <w:szCs w:val="18"/>
                <w:lang w:val="zh-CN" w:eastAsia="zh-CN" w:bidi="zh-CN"/>
              </w:rPr>
            </w:pPr>
            <w:r>
              <w:rPr>
                <w:rFonts w:hint="default" w:ascii="Times New Roman" w:hAnsi="Times New Roman" w:eastAsia="宋体" w:cs="Times New Roman"/>
                <w:color w:val="auto"/>
                <w:sz w:val="18"/>
                <w:szCs w:val="18"/>
                <w:lang w:val="zh-CN" w:eastAsia="zh-CN" w:bidi="zh-CN"/>
              </w:rPr>
              <w:t>3.49</w:t>
            </w:r>
          </w:p>
        </w:tc>
        <w:tc>
          <w:tcPr>
            <w:tcW w:w="468" w:type="dxa"/>
            <w:noWrap/>
            <w:vAlign w:val="center"/>
          </w:tcPr>
          <w:p w14:paraId="798720C0">
            <w:pPr>
              <w:widowControl w:val="0"/>
              <w:autoSpaceDE w:val="0"/>
              <w:autoSpaceDN w:val="0"/>
              <w:spacing w:before="63" w:line="257" w:lineRule="exact"/>
              <w:ind w:left="0" w:leftChars="0" w:right="22" w:firstLine="0" w:firstLineChars="0"/>
              <w:jc w:val="center"/>
              <w:rPr>
                <w:rFonts w:hint="default" w:ascii="Times New Roman" w:hAnsi="Times New Roman" w:eastAsia="宋体" w:cs="Times New Roman"/>
                <w:color w:val="auto"/>
                <w:sz w:val="18"/>
                <w:szCs w:val="18"/>
                <w:lang w:val="zh-CN" w:eastAsia="zh-CN" w:bidi="zh-CN"/>
              </w:rPr>
            </w:pPr>
            <w:r>
              <w:rPr>
                <w:rFonts w:hint="default" w:ascii="Times New Roman" w:hAnsi="Times New Roman" w:eastAsia="宋体" w:cs="Times New Roman"/>
                <w:color w:val="auto"/>
                <w:sz w:val="18"/>
                <w:szCs w:val="18"/>
                <w:lang w:val="zh-CN" w:eastAsia="zh-CN" w:bidi="zh-CN"/>
              </w:rPr>
              <w:t>5.65</w:t>
            </w:r>
          </w:p>
        </w:tc>
        <w:tc>
          <w:tcPr>
            <w:tcW w:w="468" w:type="dxa"/>
            <w:noWrap/>
            <w:vAlign w:val="center"/>
          </w:tcPr>
          <w:p w14:paraId="554266DF">
            <w:pPr>
              <w:widowControl w:val="0"/>
              <w:autoSpaceDE w:val="0"/>
              <w:autoSpaceDN w:val="0"/>
              <w:spacing w:before="63" w:line="257" w:lineRule="exact"/>
              <w:ind w:left="0" w:leftChars="0" w:right="22" w:firstLine="0" w:firstLineChars="0"/>
              <w:jc w:val="center"/>
              <w:rPr>
                <w:rFonts w:hint="default" w:ascii="Times New Roman" w:hAnsi="Times New Roman" w:eastAsia="宋体" w:cs="Times New Roman"/>
                <w:color w:val="auto"/>
                <w:sz w:val="18"/>
                <w:szCs w:val="18"/>
                <w:lang w:val="zh-CN" w:eastAsia="zh-CN" w:bidi="zh-CN"/>
              </w:rPr>
            </w:pPr>
            <w:r>
              <w:rPr>
                <w:rFonts w:hint="default" w:ascii="Times New Roman" w:hAnsi="Times New Roman" w:eastAsia="宋体" w:cs="Times New Roman"/>
                <w:color w:val="auto"/>
                <w:sz w:val="18"/>
                <w:szCs w:val="18"/>
                <w:lang w:val="zh-CN" w:eastAsia="zh-CN" w:bidi="zh-CN"/>
              </w:rPr>
              <w:t>4.17</w:t>
            </w:r>
          </w:p>
        </w:tc>
        <w:tc>
          <w:tcPr>
            <w:tcW w:w="468" w:type="dxa"/>
            <w:noWrap/>
            <w:vAlign w:val="center"/>
          </w:tcPr>
          <w:p w14:paraId="2EACFA27">
            <w:pPr>
              <w:widowControl w:val="0"/>
              <w:autoSpaceDE w:val="0"/>
              <w:autoSpaceDN w:val="0"/>
              <w:spacing w:before="63" w:line="257" w:lineRule="exact"/>
              <w:ind w:left="0" w:leftChars="0" w:right="22" w:firstLine="0" w:firstLineChars="0"/>
              <w:jc w:val="center"/>
              <w:rPr>
                <w:rFonts w:hint="default" w:ascii="Times New Roman" w:hAnsi="Times New Roman" w:eastAsia="宋体" w:cs="Times New Roman"/>
                <w:color w:val="auto"/>
                <w:sz w:val="18"/>
                <w:szCs w:val="18"/>
                <w:lang w:val="zh-CN" w:eastAsia="zh-CN" w:bidi="zh-CN"/>
              </w:rPr>
            </w:pPr>
            <w:r>
              <w:rPr>
                <w:rFonts w:hint="default" w:ascii="Times New Roman" w:hAnsi="Times New Roman" w:eastAsia="宋体" w:cs="Times New Roman"/>
                <w:color w:val="auto"/>
                <w:sz w:val="18"/>
                <w:szCs w:val="18"/>
                <w:lang w:val="zh-CN" w:eastAsia="zh-CN" w:bidi="zh-CN"/>
              </w:rPr>
              <w:t>6.18</w:t>
            </w:r>
          </w:p>
        </w:tc>
        <w:tc>
          <w:tcPr>
            <w:tcW w:w="512" w:type="dxa"/>
            <w:noWrap/>
            <w:vAlign w:val="center"/>
          </w:tcPr>
          <w:p w14:paraId="76586266">
            <w:pPr>
              <w:widowControl w:val="0"/>
              <w:autoSpaceDE w:val="0"/>
              <w:autoSpaceDN w:val="0"/>
              <w:spacing w:before="63" w:line="257" w:lineRule="exact"/>
              <w:ind w:left="0" w:leftChars="0" w:right="22" w:firstLine="0" w:firstLineChars="0"/>
              <w:jc w:val="center"/>
              <w:rPr>
                <w:rFonts w:hint="default" w:ascii="Times New Roman" w:hAnsi="Times New Roman" w:eastAsia="宋体" w:cs="Times New Roman"/>
                <w:color w:val="auto"/>
                <w:sz w:val="18"/>
                <w:szCs w:val="18"/>
                <w:lang w:val="zh-CN" w:eastAsia="zh-CN" w:bidi="zh-CN"/>
              </w:rPr>
            </w:pPr>
            <w:r>
              <w:rPr>
                <w:rFonts w:hint="default" w:ascii="Times New Roman" w:hAnsi="Times New Roman" w:eastAsia="宋体" w:cs="Times New Roman"/>
                <w:color w:val="auto"/>
                <w:sz w:val="18"/>
                <w:szCs w:val="18"/>
                <w:lang w:val="zh-CN" w:eastAsia="zh-CN" w:bidi="zh-CN"/>
              </w:rPr>
              <w:t>7.53</w:t>
            </w:r>
          </w:p>
        </w:tc>
        <w:tc>
          <w:tcPr>
            <w:tcW w:w="474" w:type="dxa"/>
            <w:noWrap/>
            <w:vAlign w:val="center"/>
          </w:tcPr>
          <w:p w14:paraId="5AC30E9C">
            <w:pPr>
              <w:widowControl w:val="0"/>
              <w:autoSpaceDE w:val="0"/>
              <w:autoSpaceDN w:val="0"/>
              <w:spacing w:before="63" w:line="257" w:lineRule="exact"/>
              <w:ind w:left="0" w:leftChars="0" w:right="22" w:firstLine="0" w:firstLineChars="0"/>
              <w:jc w:val="center"/>
              <w:rPr>
                <w:rFonts w:hint="default" w:ascii="Times New Roman" w:hAnsi="Times New Roman" w:eastAsia="宋体" w:cs="Times New Roman"/>
                <w:color w:val="auto"/>
                <w:sz w:val="18"/>
                <w:szCs w:val="18"/>
                <w:lang w:val="zh-CN" w:eastAsia="zh-CN" w:bidi="zh-CN"/>
              </w:rPr>
            </w:pPr>
            <w:r>
              <w:rPr>
                <w:rFonts w:hint="default" w:ascii="Times New Roman" w:hAnsi="Times New Roman" w:eastAsia="宋体" w:cs="Times New Roman"/>
                <w:color w:val="auto"/>
                <w:sz w:val="18"/>
                <w:szCs w:val="18"/>
                <w:lang w:val="zh-CN" w:eastAsia="zh-CN" w:bidi="zh-CN"/>
              </w:rPr>
              <w:t>9.01</w:t>
            </w:r>
          </w:p>
        </w:tc>
        <w:tc>
          <w:tcPr>
            <w:tcW w:w="543" w:type="dxa"/>
            <w:noWrap/>
            <w:vAlign w:val="center"/>
          </w:tcPr>
          <w:p w14:paraId="38F5AA0A">
            <w:pPr>
              <w:widowControl w:val="0"/>
              <w:autoSpaceDE w:val="0"/>
              <w:autoSpaceDN w:val="0"/>
              <w:spacing w:before="63" w:line="257" w:lineRule="exact"/>
              <w:ind w:left="0" w:leftChars="0" w:right="22" w:firstLine="0" w:firstLineChars="0"/>
              <w:jc w:val="center"/>
              <w:rPr>
                <w:rFonts w:hint="default" w:ascii="Times New Roman" w:hAnsi="Times New Roman" w:eastAsia="宋体" w:cs="Times New Roman"/>
                <w:color w:val="auto"/>
                <w:sz w:val="18"/>
                <w:szCs w:val="18"/>
                <w:lang w:val="zh-CN" w:eastAsia="zh-CN" w:bidi="zh-CN"/>
              </w:rPr>
            </w:pPr>
            <w:r>
              <w:rPr>
                <w:rFonts w:hint="default" w:ascii="Times New Roman" w:hAnsi="Times New Roman" w:eastAsia="宋体" w:cs="Times New Roman"/>
                <w:color w:val="auto"/>
                <w:sz w:val="18"/>
                <w:szCs w:val="18"/>
                <w:lang w:val="zh-CN" w:eastAsia="zh-CN" w:bidi="zh-CN"/>
              </w:rPr>
              <w:t>2.69</w:t>
            </w:r>
          </w:p>
        </w:tc>
        <w:tc>
          <w:tcPr>
            <w:tcW w:w="468" w:type="dxa"/>
            <w:noWrap/>
            <w:vAlign w:val="center"/>
          </w:tcPr>
          <w:p w14:paraId="7C132B19">
            <w:pPr>
              <w:widowControl w:val="0"/>
              <w:autoSpaceDE w:val="0"/>
              <w:autoSpaceDN w:val="0"/>
              <w:spacing w:before="63" w:line="257" w:lineRule="exact"/>
              <w:ind w:left="0" w:leftChars="0" w:right="22" w:firstLine="0" w:firstLineChars="0"/>
              <w:jc w:val="center"/>
              <w:rPr>
                <w:rFonts w:hint="default" w:ascii="Times New Roman" w:hAnsi="Times New Roman" w:eastAsia="宋体" w:cs="Times New Roman"/>
                <w:color w:val="auto"/>
                <w:sz w:val="18"/>
                <w:szCs w:val="18"/>
                <w:lang w:val="zh-CN" w:eastAsia="zh-CN" w:bidi="zh-CN"/>
              </w:rPr>
            </w:pPr>
            <w:r>
              <w:rPr>
                <w:rFonts w:hint="default" w:ascii="Times New Roman" w:hAnsi="Times New Roman" w:eastAsia="宋体" w:cs="Times New Roman"/>
                <w:color w:val="auto"/>
                <w:sz w:val="18"/>
                <w:szCs w:val="18"/>
                <w:lang w:val="zh-CN" w:eastAsia="zh-CN" w:bidi="zh-CN"/>
              </w:rPr>
              <w:t>2.42</w:t>
            </w:r>
          </w:p>
        </w:tc>
        <w:tc>
          <w:tcPr>
            <w:tcW w:w="502" w:type="dxa"/>
            <w:noWrap/>
            <w:vAlign w:val="center"/>
          </w:tcPr>
          <w:p w14:paraId="57BF4587">
            <w:pPr>
              <w:widowControl w:val="0"/>
              <w:autoSpaceDE w:val="0"/>
              <w:autoSpaceDN w:val="0"/>
              <w:spacing w:before="63" w:line="257" w:lineRule="exact"/>
              <w:ind w:left="0" w:leftChars="0" w:right="22" w:firstLine="0" w:firstLineChars="0"/>
              <w:jc w:val="center"/>
              <w:rPr>
                <w:rFonts w:hint="default" w:ascii="Times New Roman" w:hAnsi="Times New Roman" w:eastAsia="宋体" w:cs="Times New Roman"/>
                <w:color w:val="auto"/>
                <w:sz w:val="18"/>
                <w:szCs w:val="18"/>
                <w:lang w:val="zh-CN" w:eastAsia="zh-CN" w:bidi="zh-CN"/>
              </w:rPr>
            </w:pPr>
            <w:r>
              <w:rPr>
                <w:rFonts w:hint="default" w:ascii="Times New Roman" w:hAnsi="Times New Roman" w:eastAsia="宋体" w:cs="Times New Roman"/>
                <w:color w:val="auto"/>
                <w:sz w:val="18"/>
                <w:szCs w:val="18"/>
                <w:lang w:val="zh-CN" w:eastAsia="zh-CN" w:bidi="zh-CN"/>
              </w:rPr>
              <w:t>1.34</w:t>
            </w:r>
          </w:p>
        </w:tc>
        <w:tc>
          <w:tcPr>
            <w:tcW w:w="469" w:type="dxa"/>
            <w:noWrap/>
            <w:vAlign w:val="center"/>
          </w:tcPr>
          <w:p w14:paraId="60AF31A2">
            <w:pPr>
              <w:widowControl w:val="0"/>
              <w:autoSpaceDE w:val="0"/>
              <w:autoSpaceDN w:val="0"/>
              <w:spacing w:before="63" w:line="257" w:lineRule="exact"/>
              <w:ind w:left="0" w:leftChars="0" w:right="22" w:firstLine="0" w:firstLineChars="0"/>
              <w:jc w:val="center"/>
              <w:rPr>
                <w:rFonts w:hint="default" w:ascii="Times New Roman" w:hAnsi="Times New Roman" w:eastAsia="宋体" w:cs="Times New Roman"/>
                <w:color w:val="auto"/>
                <w:sz w:val="18"/>
                <w:szCs w:val="18"/>
                <w:lang w:val="zh-CN" w:eastAsia="zh-CN" w:bidi="zh-CN"/>
              </w:rPr>
            </w:pPr>
            <w:r>
              <w:rPr>
                <w:rFonts w:hint="default" w:ascii="Times New Roman" w:hAnsi="Times New Roman" w:eastAsia="宋体" w:cs="Times New Roman"/>
                <w:color w:val="auto"/>
                <w:sz w:val="18"/>
                <w:szCs w:val="18"/>
                <w:lang w:val="zh-CN" w:eastAsia="zh-CN" w:bidi="zh-CN"/>
              </w:rPr>
              <w:t>0.27</w:t>
            </w:r>
          </w:p>
        </w:tc>
      </w:tr>
      <w:tr w14:paraId="77875C3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6" w:type="dxa"/>
            <w:bottom w:w="0" w:type="dxa"/>
            <w:right w:w="6" w:type="dxa"/>
          </w:tblCellMar>
        </w:tblPrEx>
        <w:trPr>
          <w:trHeight w:val="357" w:hRule="atLeast"/>
        </w:trPr>
        <w:tc>
          <w:tcPr>
            <w:tcW w:w="881" w:type="dxa"/>
            <w:noWrap/>
            <w:vAlign w:val="center"/>
          </w:tcPr>
          <w:p w14:paraId="03C53B85">
            <w:pPr>
              <w:widowControl w:val="0"/>
              <w:autoSpaceDE w:val="0"/>
              <w:autoSpaceDN w:val="0"/>
              <w:spacing w:before="63" w:line="257" w:lineRule="exact"/>
              <w:ind w:left="0" w:leftChars="0" w:right="22" w:firstLine="0" w:firstLineChars="0"/>
              <w:jc w:val="center"/>
              <w:rPr>
                <w:rFonts w:hint="default" w:ascii="Times New Roman" w:hAnsi="Times New Roman" w:eastAsia="宋体" w:cs="Times New Roman"/>
                <w:color w:val="auto"/>
                <w:sz w:val="18"/>
                <w:szCs w:val="18"/>
                <w:lang w:val="zh-CN" w:eastAsia="zh-CN" w:bidi="zh-CN"/>
              </w:rPr>
            </w:pPr>
            <w:r>
              <w:rPr>
                <w:rFonts w:hint="default" w:ascii="Times New Roman" w:hAnsi="Times New Roman" w:eastAsia="宋体" w:cs="Times New Roman"/>
                <w:color w:val="auto"/>
                <w:sz w:val="18"/>
                <w:szCs w:val="18"/>
                <w:lang w:val="zh-CN" w:eastAsia="zh-CN" w:bidi="zh-CN"/>
              </w:rPr>
              <w:t>十一月</w:t>
            </w:r>
          </w:p>
        </w:tc>
        <w:tc>
          <w:tcPr>
            <w:tcW w:w="487" w:type="dxa"/>
            <w:noWrap/>
            <w:vAlign w:val="center"/>
          </w:tcPr>
          <w:p w14:paraId="5828BF4C">
            <w:pPr>
              <w:widowControl w:val="0"/>
              <w:autoSpaceDE w:val="0"/>
              <w:autoSpaceDN w:val="0"/>
              <w:spacing w:before="63" w:line="257" w:lineRule="exact"/>
              <w:ind w:left="0" w:leftChars="0" w:right="22" w:firstLine="0" w:firstLineChars="0"/>
              <w:jc w:val="center"/>
              <w:rPr>
                <w:rFonts w:hint="default" w:ascii="Times New Roman" w:hAnsi="Times New Roman" w:eastAsia="宋体" w:cs="Times New Roman"/>
                <w:color w:val="auto"/>
                <w:sz w:val="18"/>
                <w:szCs w:val="18"/>
                <w:lang w:val="zh-CN" w:eastAsia="zh-CN" w:bidi="zh-CN"/>
              </w:rPr>
            </w:pPr>
            <w:r>
              <w:rPr>
                <w:rFonts w:hint="default" w:ascii="Times New Roman" w:hAnsi="Times New Roman" w:eastAsia="宋体" w:cs="Times New Roman"/>
                <w:color w:val="auto"/>
                <w:sz w:val="18"/>
                <w:szCs w:val="18"/>
                <w:lang w:val="zh-CN" w:eastAsia="zh-CN" w:bidi="zh-CN"/>
              </w:rPr>
              <w:t>4.72</w:t>
            </w:r>
          </w:p>
        </w:tc>
        <w:tc>
          <w:tcPr>
            <w:tcW w:w="436" w:type="dxa"/>
            <w:noWrap/>
            <w:vAlign w:val="center"/>
          </w:tcPr>
          <w:p w14:paraId="79C1B988">
            <w:pPr>
              <w:widowControl w:val="0"/>
              <w:autoSpaceDE w:val="0"/>
              <w:autoSpaceDN w:val="0"/>
              <w:spacing w:before="63" w:line="257" w:lineRule="exact"/>
              <w:ind w:left="0" w:leftChars="0" w:right="22" w:firstLine="0" w:firstLineChars="0"/>
              <w:jc w:val="center"/>
              <w:rPr>
                <w:rFonts w:hint="default" w:ascii="Times New Roman" w:hAnsi="Times New Roman" w:eastAsia="宋体" w:cs="Times New Roman"/>
                <w:color w:val="auto"/>
                <w:sz w:val="18"/>
                <w:szCs w:val="18"/>
                <w:lang w:val="zh-CN" w:eastAsia="zh-CN" w:bidi="zh-CN"/>
              </w:rPr>
            </w:pPr>
            <w:r>
              <w:rPr>
                <w:rFonts w:hint="default" w:ascii="Times New Roman" w:hAnsi="Times New Roman" w:eastAsia="宋体" w:cs="Times New Roman"/>
                <w:color w:val="auto"/>
                <w:sz w:val="18"/>
                <w:szCs w:val="18"/>
                <w:lang w:val="zh-CN" w:eastAsia="zh-CN" w:bidi="zh-CN"/>
              </w:rPr>
              <w:t>4.72</w:t>
            </w:r>
          </w:p>
        </w:tc>
        <w:tc>
          <w:tcPr>
            <w:tcW w:w="468" w:type="dxa"/>
            <w:noWrap/>
            <w:vAlign w:val="center"/>
          </w:tcPr>
          <w:p w14:paraId="3873A250">
            <w:pPr>
              <w:widowControl w:val="0"/>
              <w:autoSpaceDE w:val="0"/>
              <w:autoSpaceDN w:val="0"/>
              <w:spacing w:before="63" w:line="257" w:lineRule="exact"/>
              <w:ind w:left="0" w:leftChars="0" w:right="22" w:firstLine="0" w:firstLineChars="0"/>
              <w:jc w:val="center"/>
              <w:rPr>
                <w:rFonts w:hint="default" w:ascii="Times New Roman" w:hAnsi="Times New Roman" w:eastAsia="宋体" w:cs="Times New Roman"/>
                <w:color w:val="auto"/>
                <w:sz w:val="18"/>
                <w:szCs w:val="18"/>
                <w:lang w:val="zh-CN" w:eastAsia="zh-CN" w:bidi="zh-CN"/>
              </w:rPr>
            </w:pPr>
            <w:r>
              <w:rPr>
                <w:rFonts w:hint="default" w:ascii="Times New Roman" w:hAnsi="Times New Roman" w:eastAsia="宋体" w:cs="Times New Roman"/>
                <w:color w:val="auto"/>
                <w:sz w:val="18"/>
                <w:szCs w:val="18"/>
                <w:lang w:val="zh-CN" w:eastAsia="zh-CN" w:bidi="zh-CN"/>
              </w:rPr>
              <w:t>5.56</w:t>
            </w:r>
          </w:p>
        </w:tc>
        <w:tc>
          <w:tcPr>
            <w:tcW w:w="474" w:type="dxa"/>
            <w:noWrap/>
            <w:vAlign w:val="center"/>
          </w:tcPr>
          <w:p w14:paraId="320898FD">
            <w:pPr>
              <w:widowControl w:val="0"/>
              <w:autoSpaceDE w:val="0"/>
              <w:autoSpaceDN w:val="0"/>
              <w:spacing w:before="63" w:line="257" w:lineRule="exact"/>
              <w:ind w:left="0" w:leftChars="0" w:right="22" w:firstLine="0" w:firstLineChars="0"/>
              <w:jc w:val="center"/>
              <w:rPr>
                <w:rFonts w:hint="default" w:ascii="Times New Roman" w:hAnsi="Times New Roman" w:eastAsia="宋体" w:cs="Times New Roman"/>
                <w:color w:val="auto"/>
                <w:sz w:val="18"/>
                <w:szCs w:val="18"/>
                <w:lang w:val="zh-CN" w:eastAsia="zh-CN" w:bidi="zh-CN"/>
              </w:rPr>
            </w:pPr>
            <w:r>
              <w:rPr>
                <w:rFonts w:hint="default" w:ascii="Times New Roman" w:hAnsi="Times New Roman" w:eastAsia="宋体" w:cs="Times New Roman"/>
                <w:color w:val="auto"/>
                <w:sz w:val="18"/>
                <w:szCs w:val="18"/>
                <w:lang w:val="zh-CN" w:eastAsia="zh-CN" w:bidi="zh-CN"/>
              </w:rPr>
              <w:t>7.36</w:t>
            </w:r>
          </w:p>
        </w:tc>
        <w:tc>
          <w:tcPr>
            <w:tcW w:w="474" w:type="dxa"/>
            <w:noWrap/>
            <w:vAlign w:val="center"/>
          </w:tcPr>
          <w:p w14:paraId="6AB6B94E">
            <w:pPr>
              <w:widowControl w:val="0"/>
              <w:autoSpaceDE w:val="0"/>
              <w:autoSpaceDN w:val="0"/>
              <w:spacing w:before="63" w:line="257" w:lineRule="exact"/>
              <w:ind w:left="0" w:leftChars="0" w:right="22" w:firstLine="0" w:firstLineChars="0"/>
              <w:jc w:val="center"/>
              <w:rPr>
                <w:rFonts w:hint="default" w:ascii="Times New Roman" w:hAnsi="Times New Roman" w:eastAsia="宋体" w:cs="Times New Roman"/>
                <w:color w:val="auto"/>
                <w:sz w:val="18"/>
                <w:szCs w:val="18"/>
                <w:lang w:val="zh-CN" w:eastAsia="zh-CN" w:bidi="zh-CN"/>
              </w:rPr>
            </w:pPr>
            <w:r>
              <w:rPr>
                <w:rFonts w:hint="default" w:ascii="Times New Roman" w:hAnsi="Times New Roman" w:eastAsia="宋体" w:cs="Times New Roman"/>
                <w:color w:val="auto"/>
                <w:sz w:val="18"/>
                <w:szCs w:val="18"/>
                <w:lang w:val="zh-CN" w:eastAsia="zh-CN" w:bidi="zh-CN"/>
              </w:rPr>
              <w:t>14.03</w:t>
            </w:r>
          </w:p>
        </w:tc>
        <w:tc>
          <w:tcPr>
            <w:tcW w:w="474" w:type="dxa"/>
            <w:noWrap/>
            <w:vAlign w:val="center"/>
          </w:tcPr>
          <w:p w14:paraId="23C05D88">
            <w:pPr>
              <w:widowControl w:val="0"/>
              <w:autoSpaceDE w:val="0"/>
              <w:autoSpaceDN w:val="0"/>
              <w:spacing w:before="63" w:line="257" w:lineRule="exact"/>
              <w:ind w:left="0" w:leftChars="0" w:right="22" w:firstLine="0" w:firstLineChars="0"/>
              <w:jc w:val="center"/>
              <w:rPr>
                <w:rFonts w:hint="default" w:ascii="Times New Roman" w:hAnsi="Times New Roman" w:eastAsia="宋体" w:cs="Times New Roman"/>
                <w:color w:val="auto"/>
                <w:sz w:val="18"/>
                <w:szCs w:val="18"/>
                <w:lang w:val="zh-CN" w:eastAsia="zh-CN" w:bidi="zh-CN"/>
              </w:rPr>
            </w:pPr>
            <w:r>
              <w:rPr>
                <w:rFonts w:hint="default" w:ascii="Times New Roman" w:hAnsi="Times New Roman" w:eastAsia="宋体" w:cs="Times New Roman"/>
                <w:color w:val="auto"/>
                <w:sz w:val="18"/>
                <w:szCs w:val="18"/>
                <w:lang w:val="zh-CN" w:eastAsia="zh-CN" w:bidi="zh-CN"/>
              </w:rPr>
              <w:t>8.75</w:t>
            </w:r>
          </w:p>
        </w:tc>
        <w:tc>
          <w:tcPr>
            <w:tcW w:w="468" w:type="dxa"/>
            <w:noWrap/>
            <w:vAlign w:val="center"/>
          </w:tcPr>
          <w:p w14:paraId="33BBB865">
            <w:pPr>
              <w:widowControl w:val="0"/>
              <w:autoSpaceDE w:val="0"/>
              <w:autoSpaceDN w:val="0"/>
              <w:spacing w:before="63" w:line="257" w:lineRule="exact"/>
              <w:ind w:left="0" w:leftChars="0" w:right="22" w:firstLine="0" w:firstLineChars="0"/>
              <w:jc w:val="center"/>
              <w:rPr>
                <w:rFonts w:hint="default" w:ascii="Times New Roman" w:hAnsi="Times New Roman" w:eastAsia="宋体" w:cs="Times New Roman"/>
                <w:color w:val="auto"/>
                <w:sz w:val="18"/>
                <w:szCs w:val="18"/>
                <w:lang w:val="zh-CN" w:eastAsia="zh-CN" w:bidi="zh-CN"/>
              </w:rPr>
            </w:pPr>
            <w:r>
              <w:rPr>
                <w:rFonts w:hint="default" w:ascii="Times New Roman" w:hAnsi="Times New Roman" w:eastAsia="宋体" w:cs="Times New Roman"/>
                <w:color w:val="auto"/>
                <w:sz w:val="18"/>
                <w:szCs w:val="18"/>
                <w:lang w:val="zh-CN" w:eastAsia="zh-CN" w:bidi="zh-CN"/>
              </w:rPr>
              <w:t>7.08</w:t>
            </w:r>
          </w:p>
        </w:tc>
        <w:tc>
          <w:tcPr>
            <w:tcW w:w="468" w:type="dxa"/>
            <w:noWrap/>
            <w:vAlign w:val="center"/>
          </w:tcPr>
          <w:p w14:paraId="4908ACA4">
            <w:pPr>
              <w:widowControl w:val="0"/>
              <w:autoSpaceDE w:val="0"/>
              <w:autoSpaceDN w:val="0"/>
              <w:spacing w:before="63" w:line="257" w:lineRule="exact"/>
              <w:ind w:left="0" w:leftChars="0" w:right="22" w:firstLine="0" w:firstLineChars="0"/>
              <w:jc w:val="center"/>
              <w:rPr>
                <w:rFonts w:hint="default" w:ascii="Times New Roman" w:hAnsi="Times New Roman" w:eastAsia="宋体" w:cs="Times New Roman"/>
                <w:color w:val="auto"/>
                <w:sz w:val="18"/>
                <w:szCs w:val="18"/>
                <w:lang w:val="zh-CN" w:eastAsia="zh-CN" w:bidi="zh-CN"/>
              </w:rPr>
            </w:pPr>
            <w:r>
              <w:rPr>
                <w:rFonts w:hint="default" w:ascii="Times New Roman" w:hAnsi="Times New Roman" w:eastAsia="宋体" w:cs="Times New Roman"/>
                <w:color w:val="auto"/>
                <w:sz w:val="18"/>
                <w:szCs w:val="18"/>
                <w:lang w:val="zh-CN" w:eastAsia="zh-CN" w:bidi="zh-CN"/>
              </w:rPr>
              <w:t>4.03</w:t>
            </w:r>
          </w:p>
        </w:tc>
        <w:tc>
          <w:tcPr>
            <w:tcW w:w="468" w:type="dxa"/>
            <w:noWrap/>
            <w:vAlign w:val="center"/>
          </w:tcPr>
          <w:p w14:paraId="2639CC6E">
            <w:pPr>
              <w:widowControl w:val="0"/>
              <w:autoSpaceDE w:val="0"/>
              <w:autoSpaceDN w:val="0"/>
              <w:spacing w:before="63" w:line="257" w:lineRule="exact"/>
              <w:ind w:left="0" w:leftChars="0" w:right="22" w:firstLine="0" w:firstLineChars="0"/>
              <w:jc w:val="center"/>
              <w:rPr>
                <w:rFonts w:hint="default" w:ascii="Times New Roman" w:hAnsi="Times New Roman" w:eastAsia="宋体" w:cs="Times New Roman"/>
                <w:color w:val="auto"/>
                <w:sz w:val="18"/>
                <w:szCs w:val="18"/>
                <w:lang w:val="zh-CN" w:eastAsia="zh-CN" w:bidi="zh-CN"/>
              </w:rPr>
            </w:pPr>
            <w:r>
              <w:rPr>
                <w:rFonts w:hint="default" w:ascii="Times New Roman" w:hAnsi="Times New Roman" w:eastAsia="宋体" w:cs="Times New Roman"/>
                <w:color w:val="auto"/>
                <w:sz w:val="18"/>
                <w:szCs w:val="18"/>
                <w:lang w:val="zh-CN" w:eastAsia="zh-CN" w:bidi="zh-CN"/>
              </w:rPr>
              <w:t>4.03</w:t>
            </w:r>
          </w:p>
        </w:tc>
        <w:tc>
          <w:tcPr>
            <w:tcW w:w="468" w:type="dxa"/>
            <w:noWrap/>
            <w:vAlign w:val="center"/>
          </w:tcPr>
          <w:p w14:paraId="4989EF3D">
            <w:pPr>
              <w:widowControl w:val="0"/>
              <w:autoSpaceDE w:val="0"/>
              <w:autoSpaceDN w:val="0"/>
              <w:spacing w:before="63" w:line="257" w:lineRule="exact"/>
              <w:ind w:left="0" w:leftChars="0" w:right="22" w:firstLine="0" w:firstLineChars="0"/>
              <w:jc w:val="center"/>
              <w:rPr>
                <w:rFonts w:hint="default" w:ascii="Times New Roman" w:hAnsi="Times New Roman" w:eastAsia="宋体" w:cs="Times New Roman"/>
                <w:color w:val="auto"/>
                <w:sz w:val="18"/>
                <w:szCs w:val="18"/>
                <w:lang w:val="zh-CN" w:eastAsia="zh-CN" w:bidi="zh-CN"/>
              </w:rPr>
            </w:pPr>
            <w:r>
              <w:rPr>
                <w:rFonts w:hint="default" w:ascii="Times New Roman" w:hAnsi="Times New Roman" w:eastAsia="宋体" w:cs="Times New Roman"/>
                <w:color w:val="auto"/>
                <w:sz w:val="18"/>
                <w:szCs w:val="18"/>
                <w:lang w:val="zh-CN" w:eastAsia="zh-CN" w:bidi="zh-CN"/>
              </w:rPr>
              <w:t>3.19</w:t>
            </w:r>
          </w:p>
        </w:tc>
        <w:tc>
          <w:tcPr>
            <w:tcW w:w="468" w:type="dxa"/>
            <w:noWrap/>
            <w:vAlign w:val="center"/>
          </w:tcPr>
          <w:p w14:paraId="2A37D384">
            <w:pPr>
              <w:widowControl w:val="0"/>
              <w:autoSpaceDE w:val="0"/>
              <w:autoSpaceDN w:val="0"/>
              <w:spacing w:before="63" w:line="257" w:lineRule="exact"/>
              <w:ind w:left="0" w:leftChars="0" w:right="22" w:firstLine="0" w:firstLineChars="0"/>
              <w:jc w:val="center"/>
              <w:rPr>
                <w:rFonts w:hint="default" w:ascii="Times New Roman" w:hAnsi="Times New Roman" w:eastAsia="宋体" w:cs="Times New Roman"/>
                <w:color w:val="auto"/>
                <w:sz w:val="18"/>
                <w:szCs w:val="18"/>
                <w:lang w:val="zh-CN" w:eastAsia="zh-CN" w:bidi="zh-CN"/>
              </w:rPr>
            </w:pPr>
            <w:r>
              <w:rPr>
                <w:rFonts w:hint="default" w:ascii="Times New Roman" w:hAnsi="Times New Roman" w:eastAsia="宋体" w:cs="Times New Roman"/>
                <w:color w:val="auto"/>
                <w:sz w:val="18"/>
                <w:szCs w:val="18"/>
                <w:lang w:val="zh-CN" w:eastAsia="zh-CN" w:bidi="zh-CN"/>
              </w:rPr>
              <w:t>7.22</w:t>
            </w:r>
          </w:p>
        </w:tc>
        <w:tc>
          <w:tcPr>
            <w:tcW w:w="512" w:type="dxa"/>
            <w:noWrap/>
            <w:vAlign w:val="center"/>
          </w:tcPr>
          <w:p w14:paraId="24499A9C">
            <w:pPr>
              <w:widowControl w:val="0"/>
              <w:autoSpaceDE w:val="0"/>
              <w:autoSpaceDN w:val="0"/>
              <w:spacing w:before="63" w:line="257" w:lineRule="exact"/>
              <w:ind w:left="0" w:leftChars="0" w:right="22" w:firstLine="0" w:firstLineChars="0"/>
              <w:jc w:val="center"/>
              <w:rPr>
                <w:rFonts w:hint="default" w:ascii="Times New Roman" w:hAnsi="Times New Roman" w:eastAsia="宋体" w:cs="Times New Roman"/>
                <w:color w:val="auto"/>
                <w:sz w:val="18"/>
                <w:szCs w:val="18"/>
                <w:lang w:val="zh-CN" w:eastAsia="zh-CN" w:bidi="zh-CN"/>
              </w:rPr>
            </w:pPr>
            <w:r>
              <w:rPr>
                <w:rFonts w:hint="default" w:ascii="Times New Roman" w:hAnsi="Times New Roman" w:eastAsia="宋体" w:cs="Times New Roman"/>
                <w:color w:val="auto"/>
                <w:sz w:val="18"/>
                <w:szCs w:val="18"/>
                <w:lang w:val="zh-CN" w:eastAsia="zh-CN" w:bidi="zh-CN"/>
              </w:rPr>
              <w:t>5.97</w:t>
            </w:r>
          </w:p>
        </w:tc>
        <w:tc>
          <w:tcPr>
            <w:tcW w:w="474" w:type="dxa"/>
            <w:noWrap/>
            <w:vAlign w:val="center"/>
          </w:tcPr>
          <w:p w14:paraId="1D677E82">
            <w:pPr>
              <w:widowControl w:val="0"/>
              <w:autoSpaceDE w:val="0"/>
              <w:autoSpaceDN w:val="0"/>
              <w:spacing w:before="63" w:line="257" w:lineRule="exact"/>
              <w:ind w:left="0" w:leftChars="0" w:right="22" w:firstLine="0" w:firstLineChars="0"/>
              <w:jc w:val="center"/>
              <w:rPr>
                <w:rFonts w:hint="default" w:ascii="Times New Roman" w:hAnsi="Times New Roman" w:eastAsia="宋体" w:cs="Times New Roman"/>
                <w:color w:val="auto"/>
                <w:sz w:val="18"/>
                <w:szCs w:val="18"/>
                <w:lang w:val="zh-CN" w:eastAsia="zh-CN" w:bidi="zh-CN"/>
              </w:rPr>
            </w:pPr>
            <w:r>
              <w:rPr>
                <w:rFonts w:hint="default" w:ascii="Times New Roman" w:hAnsi="Times New Roman" w:eastAsia="宋体" w:cs="Times New Roman"/>
                <w:color w:val="auto"/>
                <w:sz w:val="18"/>
                <w:szCs w:val="18"/>
                <w:lang w:val="zh-CN" w:eastAsia="zh-CN" w:bidi="zh-CN"/>
              </w:rPr>
              <w:t>12.78</w:t>
            </w:r>
          </w:p>
        </w:tc>
        <w:tc>
          <w:tcPr>
            <w:tcW w:w="543" w:type="dxa"/>
            <w:noWrap/>
            <w:vAlign w:val="center"/>
          </w:tcPr>
          <w:p w14:paraId="3EE07021">
            <w:pPr>
              <w:widowControl w:val="0"/>
              <w:autoSpaceDE w:val="0"/>
              <w:autoSpaceDN w:val="0"/>
              <w:spacing w:before="63" w:line="257" w:lineRule="exact"/>
              <w:ind w:left="0" w:leftChars="0" w:right="22" w:firstLine="0" w:firstLineChars="0"/>
              <w:jc w:val="center"/>
              <w:rPr>
                <w:rFonts w:hint="default" w:ascii="Times New Roman" w:hAnsi="Times New Roman" w:eastAsia="宋体" w:cs="Times New Roman"/>
                <w:color w:val="auto"/>
                <w:sz w:val="18"/>
                <w:szCs w:val="18"/>
                <w:lang w:val="zh-CN" w:eastAsia="zh-CN" w:bidi="zh-CN"/>
              </w:rPr>
            </w:pPr>
            <w:r>
              <w:rPr>
                <w:rFonts w:hint="default" w:ascii="Times New Roman" w:hAnsi="Times New Roman" w:eastAsia="宋体" w:cs="Times New Roman"/>
                <w:color w:val="auto"/>
                <w:sz w:val="18"/>
                <w:szCs w:val="18"/>
                <w:lang w:val="zh-CN" w:eastAsia="zh-CN" w:bidi="zh-CN"/>
              </w:rPr>
              <w:t>3.33</w:t>
            </w:r>
          </w:p>
        </w:tc>
        <w:tc>
          <w:tcPr>
            <w:tcW w:w="468" w:type="dxa"/>
            <w:noWrap/>
            <w:vAlign w:val="center"/>
          </w:tcPr>
          <w:p w14:paraId="6540F51E">
            <w:pPr>
              <w:widowControl w:val="0"/>
              <w:autoSpaceDE w:val="0"/>
              <w:autoSpaceDN w:val="0"/>
              <w:spacing w:before="63" w:line="257" w:lineRule="exact"/>
              <w:ind w:left="0" w:leftChars="0" w:right="22" w:firstLine="0" w:firstLineChars="0"/>
              <w:jc w:val="center"/>
              <w:rPr>
                <w:rFonts w:hint="default" w:ascii="Times New Roman" w:hAnsi="Times New Roman" w:eastAsia="宋体" w:cs="Times New Roman"/>
                <w:color w:val="auto"/>
                <w:sz w:val="18"/>
                <w:szCs w:val="18"/>
                <w:lang w:val="zh-CN" w:eastAsia="zh-CN" w:bidi="zh-CN"/>
              </w:rPr>
            </w:pPr>
            <w:r>
              <w:rPr>
                <w:rFonts w:hint="default" w:ascii="Times New Roman" w:hAnsi="Times New Roman" w:eastAsia="宋体" w:cs="Times New Roman"/>
                <w:color w:val="auto"/>
                <w:sz w:val="18"/>
                <w:szCs w:val="18"/>
                <w:lang w:val="zh-CN" w:eastAsia="zh-CN" w:bidi="zh-CN"/>
              </w:rPr>
              <w:t>2.64</w:t>
            </w:r>
          </w:p>
        </w:tc>
        <w:tc>
          <w:tcPr>
            <w:tcW w:w="502" w:type="dxa"/>
            <w:noWrap/>
            <w:vAlign w:val="center"/>
          </w:tcPr>
          <w:p w14:paraId="0A4C89E8">
            <w:pPr>
              <w:widowControl w:val="0"/>
              <w:autoSpaceDE w:val="0"/>
              <w:autoSpaceDN w:val="0"/>
              <w:spacing w:before="63" w:line="257" w:lineRule="exact"/>
              <w:ind w:left="0" w:leftChars="0" w:right="22" w:firstLine="0" w:firstLineChars="0"/>
              <w:jc w:val="center"/>
              <w:rPr>
                <w:rFonts w:hint="default" w:ascii="Times New Roman" w:hAnsi="Times New Roman" w:eastAsia="宋体" w:cs="Times New Roman"/>
                <w:color w:val="auto"/>
                <w:sz w:val="18"/>
                <w:szCs w:val="18"/>
                <w:lang w:val="zh-CN" w:eastAsia="zh-CN" w:bidi="zh-CN"/>
              </w:rPr>
            </w:pPr>
            <w:r>
              <w:rPr>
                <w:rFonts w:hint="default" w:ascii="Times New Roman" w:hAnsi="Times New Roman" w:eastAsia="宋体" w:cs="Times New Roman"/>
                <w:color w:val="auto"/>
                <w:sz w:val="18"/>
                <w:szCs w:val="18"/>
                <w:lang w:val="zh-CN" w:eastAsia="zh-CN" w:bidi="zh-CN"/>
              </w:rPr>
              <w:t>3.89</w:t>
            </w:r>
          </w:p>
        </w:tc>
        <w:tc>
          <w:tcPr>
            <w:tcW w:w="469" w:type="dxa"/>
            <w:noWrap/>
            <w:vAlign w:val="center"/>
          </w:tcPr>
          <w:p w14:paraId="0573216F">
            <w:pPr>
              <w:widowControl w:val="0"/>
              <w:autoSpaceDE w:val="0"/>
              <w:autoSpaceDN w:val="0"/>
              <w:spacing w:before="63" w:line="257" w:lineRule="exact"/>
              <w:ind w:left="0" w:leftChars="0" w:right="22" w:firstLine="0" w:firstLineChars="0"/>
              <w:jc w:val="center"/>
              <w:rPr>
                <w:rFonts w:hint="default" w:ascii="Times New Roman" w:hAnsi="Times New Roman" w:eastAsia="宋体" w:cs="Times New Roman"/>
                <w:color w:val="auto"/>
                <w:sz w:val="18"/>
                <w:szCs w:val="18"/>
                <w:lang w:val="zh-CN" w:eastAsia="zh-CN" w:bidi="zh-CN"/>
              </w:rPr>
            </w:pPr>
            <w:r>
              <w:rPr>
                <w:rFonts w:hint="default" w:ascii="Times New Roman" w:hAnsi="Times New Roman" w:eastAsia="宋体" w:cs="Times New Roman"/>
                <w:color w:val="auto"/>
                <w:sz w:val="18"/>
                <w:szCs w:val="18"/>
                <w:lang w:val="zh-CN" w:eastAsia="zh-CN" w:bidi="zh-CN"/>
              </w:rPr>
              <w:t>0.69</w:t>
            </w:r>
          </w:p>
        </w:tc>
      </w:tr>
      <w:tr w14:paraId="5B201FD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6" w:type="dxa"/>
            <w:bottom w:w="0" w:type="dxa"/>
            <w:right w:w="6" w:type="dxa"/>
          </w:tblCellMar>
        </w:tblPrEx>
        <w:trPr>
          <w:trHeight w:val="389" w:hRule="atLeast"/>
        </w:trPr>
        <w:tc>
          <w:tcPr>
            <w:tcW w:w="881" w:type="dxa"/>
            <w:noWrap/>
            <w:vAlign w:val="center"/>
          </w:tcPr>
          <w:p w14:paraId="20FCAF82">
            <w:pPr>
              <w:widowControl w:val="0"/>
              <w:autoSpaceDE w:val="0"/>
              <w:autoSpaceDN w:val="0"/>
              <w:spacing w:before="63" w:line="257" w:lineRule="exact"/>
              <w:ind w:left="0" w:leftChars="0" w:right="22" w:firstLine="0" w:firstLineChars="0"/>
              <w:jc w:val="center"/>
              <w:rPr>
                <w:rFonts w:hint="default" w:ascii="Times New Roman" w:hAnsi="Times New Roman" w:eastAsia="宋体" w:cs="Times New Roman"/>
                <w:color w:val="auto"/>
                <w:sz w:val="18"/>
                <w:szCs w:val="18"/>
                <w:lang w:val="zh-CN" w:eastAsia="zh-CN" w:bidi="zh-CN"/>
              </w:rPr>
            </w:pPr>
            <w:r>
              <w:rPr>
                <w:rFonts w:hint="default" w:ascii="Times New Roman" w:hAnsi="Times New Roman" w:eastAsia="宋体" w:cs="Times New Roman"/>
                <w:color w:val="auto"/>
                <w:sz w:val="18"/>
                <w:szCs w:val="18"/>
                <w:lang w:val="zh-CN" w:eastAsia="zh-CN" w:bidi="zh-CN"/>
              </w:rPr>
              <w:t>十二月</w:t>
            </w:r>
          </w:p>
        </w:tc>
        <w:tc>
          <w:tcPr>
            <w:tcW w:w="487" w:type="dxa"/>
            <w:noWrap/>
            <w:vAlign w:val="center"/>
          </w:tcPr>
          <w:p w14:paraId="0E72E379">
            <w:pPr>
              <w:widowControl w:val="0"/>
              <w:autoSpaceDE w:val="0"/>
              <w:autoSpaceDN w:val="0"/>
              <w:spacing w:before="63" w:line="257" w:lineRule="exact"/>
              <w:ind w:left="0" w:leftChars="0" w:right="22" w:firstLine="0" w:firstLineChars="0"/>
              <w:jc w:val="center"/>
              <w:rPr>
                <w:rFonts w:hint="default" w:ascii="Times New Roman" w:hAnsi="Times New Roman" w:eastAsia="宋体" w:cs="Times New Roman"/>
                <w:color w:val="auto"/>
                <w:sz w:val="18"/>
                <w:szCs w:val="18"/>
                <w:lang w:val="zh-CN" w:eastAsia="zh-CN" w:bidi="zh-CN"/>
              </w:rPr>
            </w:pPr>
            <w:r>
              <w:rPr>
                <w:rFonts w:hint="default" w:ascii="Times New Roman" w:hAnsi="Times New Roman" w:eastAsia="宋体" w:cs="Times New Roman"/>
                <w:color w:val="auto"/>
                <w:sz w:val="18"/>
                <w:szCs w:val="18"/>
                <w:lang w:val="zh-CN" w:eastAsia="zh-CN" w:bidi="zh-CN"/>
              </w:rPr>
              <w:t>4.70</w:t>
            </w:r>
          </w:p>
        </w:tc>
        <w:tc>
          <w:tcPr>
            <w:tcW w:w="436" w:type="dxa"/>
            <w:noWrap/>
            <w:vAlign w:val="center"/>
          </w:tcPr>
          <w:p w14:paraId="5B447A52">
            <w:pPr>
              <w:widowControl w:val="0"/>
              <w:autoSpaceDE w:val="0"/>
              <w:autoSpaceDN w:val="0"/>
              <w:spacing w:before="63" w:line="257" w:lineRule="exact"/>
              <w:ind w:left="0" w:leftChars="0" w:right="22" w:firstLine="0" w:firstLineChars="0"/>
              <w:jc w:val="center"/>
              <w:rPr>
                <w:rFonts w:hint="default" w:ascii="Times New Roman" w:hAnsi="Times New Roman" w:eastAsia="宋体" w:cs="Times New Roman"/>
                <w:color w:val="auto"/>
                <w:sz w:val="18"/>
                <w:szCs w:val="18"/>
                <w:lang w:val="zh-CN" w:eastAsia="zh-CN" w:bidi="zh-CN"/>
              </w:rPr>
            </w:pPr>
            <w:r>
              <w:rPr>
                <w:rFonts w:hint="default" w:ascii="Times New Roman" w:hAnsi="Times New Roman" w:eastAsia="宋体" w:cs="Times New Roman"/>
                <w:color w:val="auto"/>
                <w:sz w:val="18"/>
                <w:szCs w:val="18"/>
                <w:lang w:val="zh-CN" w:eastAsia="zh-CN" w:bidi="zh-CN"/>
              </w:rPr>
              <w:t>2.96</w:t>
            </w:r>
          </w:p>
        </w:tc>
        <w:tc>
          <w:tcPr>
            <w:tcW w:w="468" w:type="dxa"/>
            <w:noWrap/>
            <w:vAlign w:val="center"/>
          </w:tcPr>
          <w:p w14:paraId="0ABB6B93">
            <w:pPr>
              <w:widowControl w:val="0"/>
              <w:autoSpaceDE w:val="0"/>
              <w:autoSpaceDN w:val="0"/>
              <w:spacing w:before="63" w:line="257" w:lineRule="exact"/>
              <w:ind w:left="0" w:leftChars="0" w:right="22" w:firstLine="0" w:firstLineChars="0"/>
              <w:jc w:val="center"/>
              <w:rPr>
                <w:rFonts w:hint="default" w:ascii="Times New Roman" w:hAnsi="Times New Roman" w:eastAsia="宋体" w:cs="Times New Roman"/>
                <w:color w:val="auto"/>
                <w:sz w:val="18"/>
                <w:szCs w:val="18"/>
                <w:lang w:val="zh-CN" w:eastAsia="zh-CN" w:bidi="zh-CN"/>
              </w:rPr>
            </w:pPr>
            <w:r>
              <w:rPr>
                <w:rFonts w:hint="default" w:ascii="Times New Roman" w:hAnsi="Times New Roman" w:eastAsia="宋体" w:cs="Times New Roman"/>
                <w:color w:val="auto"/>
                <w:sz w:val="18"/>
                <w:szCs w:val="18"/>
                <w:lang w:val="zh-CN" w:eastAsia="zh-CN" w:bidi="zh-CN"/>
              </w:rPr>
              <w:t>4.57</w:t>
            </w:r>
          </w:p>
        </w:tc>
        <w:tc>
          <w:tcPr>
            <w:tcW w:w="474" w:type="dxa"/>
            <w:noWrap/>
            <w:vAlign w:val="center"/>
          </w:tcPr>
          <w:p w14:paraId="50890EF1">
            <w:pPr>
              <w:widowControl w:val="0"/>
              <w:autoSpaceDE w:val="0"/>
              <w:autoSpaceDN w:val="0"/>
              <w:spacing w:before="63" w:line="257" w:lineRule="exact"/>
              <w:ind w:left="0" w:leftChars="0" w:right="22" w:firstLine="0" w:firstLineChars="0"/>
              <w:jc w:val="center"/>
              <w:rPr>
                <w:rFonts w:hint="default" w:ascii="Times New Roman" w:hAnsi="Times New Roman" w:eastAsia="宋体" w:cs="Times New Roman"/>
                <w:color w:val="auto"/>
                <w:sz w:val="18"/>
                <w:szCs w:val="18"/>
                <w:lang w:val="zh-CN" w:eastAsia="zh-CN" w:bidi="zh-CN"/>
              </w:rPr>
            </w:pPr>
            <w:r>
              <w:rPr>
                <w:rFonts w:hint="default" w:ascii="Times New Roman" w:hAnsi="Times New Roman" w:eastAsia="宋体" w:cs="Times New Roman"/>
                <w:color w:val="auto"/>
                <w:sz w:val="18"/>
                <w:szCs w:val="18"/>
                <w:lang w:val="zh-CN" w:eastAsia="zh-CN" w:bidi="zh-CN"/>
              </w:rPr>
              <w:t>6.32</w:t>
            </w:r>
          </w:p>
        </w:tc>
        <w:tc>
          <w:tcPr>
            <w:tcW w:w="474" w:type="dxa"/>
            <w:noWrap/>
            <w:vAlign w:val="center"/>
          </w:tcPr>
          <w:p w14:paraId="3D647949">
            <w:pPr>
              <w:widowControl w:val="0"/>
              <w:autoSpaceDE w:val="0"/>
              <w:autoSpaceDN w:val="0"/>
              <w:spacing w:before="63" w:line="257" w:lineRule="exact"/>
              <w:ind w:left="0" w:leftChars="0" w:right="22" w:firstLine="0" w:firstLineChars="0"/>
              <w:jc w:val="center"/>
              <w:rPr>
                <w:rFonts w:hint="default" w:ascii="Times New Roman" w:hAnsi="Times New Roman" w:eastAsia="宋体" w:cs="Times New Roman"/>
                <w:color w:val="auto"/>
                <w:sz w:val="18"/>
                <w:szCs w:val="18"/>
                <w:lang w:val="zh-CN" w:eastAsia="zh-CN" w:bidi="zh-CN"/>
              </w:rPr>
            </w:pPr>
            <w:r>
              <w:rPr>
                <w:rFonts w:hint="default" w:ascii="Times New Roman" w:hAnsi="Times New Roman" w:eastAsia="宋体" w:cs="Times New Roman"/>
                <w:color w:val="auto"/>
                <w:sz w:val="18"/>
                <w:szCs w:val="18"/>
                <w:lang w:val="zh-CN" w:eastAsia="zh-CN" w:bidi="zh-CN"/>
              </w:rPr>
              <w:t>14.11</w:t>
            </w:r>
          </w:p>
        </w:tc>
        <w:tc>
          <w:tcPr>
            <w:tcW w:w="474" w:type="dxa"/>
            <w:noWrap/>
            <w:vAlign w:val="center"/>
          </w:tcPr>
          <w:p w14:paraId="7EB2F297">
            <w:pPr>
              <w:widowControl w:val="0"/>
              <w:autoSpaceDE w:val="0"/>
              <w:autoSpaceDN w:val="0"/>
              <w:spacing w:before="63" w:line="257" w:lineRule="exact"/>
              <w:ind w:left="0" w:leftChars="0" w:right="22" w:firstLine="0" w:firstLineChars="0"/>
              <w:jc w:val="center"/>
              <w:rPr>
                <w:rFonts w:hint="default" w:ascii="Times New Roman" w:hAnsi="Times New Roman" w:eastAsia="宋体" w:cs="Times New Roman"/>
                <w:color w:val="auto"/>
                <w:sz w:val="18"/>
                <w:szCs w:val="18"/>
                <w:lang w:val="zh-CN" w:eastAsia="zh-CN" w:bidi="zh-CN"/>
              </w:rPr>
            </w:pPr>
            <w:r>
              <w:rPr>
                <w:rFonts w:hint="default" w:ascii="Times New Roman" w:hAnsi="Times New Roman" w:eastAsia="宋体" w:cs="Times New Roman"/>
                <w:color w:val="auto"/>
                <w:sz w:val="18"/>
                <w:szCs w:val="18"/>
                <w:lang w:val="zh-CN" w:eastAsia="zh-CN" w:bidi="zh-CN"/>
              </w:rPr>
              <w:t>9.27</w:t>
            </w:r>
          </w:p>
        </w:tc>
        <w:tc>
          <w:tcPr>
            <w:tcW w:w="468" w:type="dxa"/>
            <w:noWrap/>
            <w:vAlign w:val="center"/>
          </w:tcPr>
          <w:p w14:paraId="52C91DF4">
            <w:pPr>
              <w:widowControl w:val="0"/>
              <w:autoSpaceDE w:val="0"/>
              <w:autoSpaceDN w:val="0"/>
              <w:spacing w:before="63" w:line="257" w:lineRule="exact"/>
              <w:ind w:left="0" w:leftChars="0" w:right="22" w:firstLine="0" w:firstLineChars="0"/>
              <w:jc w:val="center"/>
              <w:rPr>
                <w:rFonts w:hint="default" w:ascii="Times New Roman" w:hAnsi="Times New Roman" w:eastAsia="宋体" w:cs="Times New Roman"/>
                <w:color w:val="auto"/>
                <w:sz w:val="18"/>
                <w:szCs w:val="18"/>
                <w:lang w:val="zh-CN" w:eastAsia="zh-CN" w:bidi="zh-CN"/>
              </w:rPr>
            </w:pPr>
            <w:r>
              <w:rPr>
                <w:rFonts w:hint="default" w:ascii="Times New Roman" w:hAnsi="Times New Roman" w:eastAsia="宋体" w:cs="Times New Roman"/>
                <w:color w:val="auto"/>
                <w:sz w:val="18"/>
                <w:szCs w:val="18"/>
                <w:lang w:val="zh-CN" w:eastAsia="zh-CN" w:bidi="zh-CN"/>
              </w:rPr>
              <w:t>4.57</w:t>
            </w:r>
          </w:p>
        </w:tc>
        <w:tc>
          <w:tcPr>
            <w:tcW w:w="468" w:type="dxa"/>
            <w:noWrap/>
            <w:vAlign w:val="center"/>
          </w:tcPr>
          <w:p w14:paraId="21E69CE3">
            <w:pPr>
              <w:widowControl w:val="0"/>
              <w:autoSpaceDE w:val="0"/>
              <w:autoSpaceDN w:val="0"/>
              <w:spacing w:before="63" w:line="257" w:lineRule="exact"/>
              <w:ind w:left="0" w:leftChars="0" w:right="22" w:firstLine="0" w:firstLineChars="0"/>
              <w:jc w:val="center"/>
              <w:rPr>
                <w:rFonts w:hint="default" w:ascii="Times New Roman" w:hAnsi="Times New Roman" w:eastAsia="宋体" w:cs="Times New Roman"/>
                <w:color w:val="auto"/>
                <w:sz w:val="18"/>
                <w:szCs w:val="18"/>
                <w:lang w:val="zh-CN" w:eastAsia="zh-CN" w:bidi="zh-CN"/>
              </w:rPr>
            </w:pPr>
            <w:r>
              <w:rPr>
                <w:rFonts w:hint="default" w:ascii="Times New Roman" w:hAnsi="Times New Roman" w:eastAsia="宋体" w:cs="Times New Roman"/>
                <w:color w:val="auto"/>
                <w:sz w:val="18"/>
                <w:szCs w:val="18"/>
                <w:lang w:val="zh-CN" w:eastAsia="zh-CN" w:bidi="zh-CN"/>
              </w:rPr>
              <w:t>3.63</w:t>
            </w:r>
          </w:p>
        </w:tc>
        <w:tc>
          <w:tcPr>
            <w:tcW w:w="468" w:type="dxa"/>
            <w:noWrap/>
            <w:vAlign w:val="center"/>
          </w:tcPr>
          <w:p w14:paraId="11728410">
            <w:pPr>
              <w:widowControl w:val="0"/>
              <w:autoSpaceDE w:val="0"/>
              <w:autoSpaceDN w:val="0"/>
              <w:spacing w:before="63" w:line="257" w:lineRule="exact"/>
              <w:ind w:left="0" w:leftChars="0" w:right="22" w:firstLine="0" w:firstLineChars="0"/>
              <w:jc w:val="center"/>
              <w:rPr>
                <w:rFonts w:hint="default" w:ascii="Times New Roman" w:hAnsi="Times New Roman" w:eastAsia="宋体" w:cs="Times New Roman"/>
                <w:color w:val="auto"/>
                <w:sz w:val="18"/>
                <w:szCs w:val="18"/>
                <w:lang w:val="zh-CN" w:eastAsia="zh-CN" w:bidi="zh-CN"/>
              </w:rPr>
            </w:pPr>
            <w:r>
              <w:rPr>
                <w:rFonts w:hint="default" w:ascii="Times New Roman" w:hAnsi="Times New Roman" w:eastAsia="宋体" w:cs="Times New Roman"/>
                <w:color w:val="auto"/>
                <w:sz w:val="18"/>
                <w:szCs w:val="18"/>
                <w:lang w:val="zh-CN" w:eastAsia="zh-CN" w:bidi="zh-CN"/>
              </w:rPr>
              <w:t>4.30</w:t>
            </w:r>
          </w:p>
        </w:tc>
        <w:tc>
          <w:tcPr>
            <w:tcW w:w="468" w:type="dxa"/>
            <w:noWrap/>
            <w:vAlign w:val="center"/>
          </w:tcPr>
          <w:p w14:paraId="00219FAE">
            <w:pPr>
              <w:widowControl w:val="0"/>
              <w:autoSpaceDE w:val="0"/>
              <w:autoSpaceDN w:val="0"/>
              <w:spacing w:before="63" w:line="257" w:lineRule="exact"/>
              <w:ind w:left="0" w:leftChars="0" w:right="22" w:firstLine="0" w:firstLineChars="0"/>
              <w:jc w:val="center"/>
              <w:rPr>
                <w:rFonts w:hint="default" w:ascii="Times New Roman" w:hAnsi="Times New Roman" w:eastAsia="宋体" w:cs="Times New Roman"/>
                <w:color w:val="auto"/>
                <w:sz w:val="18"/>
                <w:szCs w:val="18"/>
                <w:lang w:val="zh-CN" w:eastAsia="zh-CN" w:bidi="zh-CN"/>
              </w:rPr>
            </w:pPr>
            <w:r>
              <w:rPr>
                <w:rFonts w:hint="default" w:ascii="Times New Roman" w:hAnsi="Times New Roman" w:eastAsia="宋体" w:cs="Times New Roman"/>
                <w:color w:val="auto"/>
                <w:sz w:val="18"/>
                <w:szCs w:val="18"/>
                <w:lang w:val="zh-CN" w:eastAsia="zh-CN" w:bidi="zh-CN"/>
              </w:rPr>
              <w:t>4.97</w:t>
            </w:r>
          </w:p>
        </w:tc>
        <w:tc>
          <w:tcPr>
            <w:tcW w:w="468" w:type="dxa"/>
            <w:noWrap/>
            <w:vAlign w:val="center"/>
          </w:tcPr>
          <w:p w14:paraId="673875B7">
            <w:pPr>
              <w:widowControl w:val="0"/>
              <w:autoSpaceDE w:val="0"/>
              <w:autoSpaceDN w:val="0"/>
              <w:spacing w:before="63" w:line="257" w:lineRule="exact"/>
              <w:ind w:left="0" w:leftChars="0" w:right="22" w:firstLine="0" w:firstLineChars="0"/>
              <w:jc w:val="center"/>
              <w:rPr>
                <w:rFonts w:hint="default" w:ascii="Times New Roman" w:hAnsi="Times New Roman" w:eastAsia="宋体" w:cs="Times New Roman"/>
                <w:color w:val="auto"/>
                <w:sz w:val="18"/>
                <w:szCs w:val="18"/>
                <w:lang w:val="zh-CN" w:eastAsia="zh-CN" w:bidi="zh-CN"/>
              </w:rPr>
            </w:pPr>
            <w:r>
              <w:rPr>
                <w:rFonts w:hint="default" w:ascii="Times New Roman" w:hAnsi="Times New Roman" w:eastAsia="宋体" w:cs="Times New Roman"/>
                <w:color w:val="auto"/>
                <w:sz w:val="18"/>
                <w:szCs w:val="18"/>
                <w:lang w:val="zh-CN" w:eastAsia="zh-CN" w:bidi="zh-CN"/>
              </w:rPr>
              <w:t>7.80</w:t>
            </w:r>
          </w:p>
        </w:tc>
        <w:tc>
          <w:tcPr>
            <w:tcW w:w="512" w:type="dxa"/>
            <w:noWrap/>
            <w:vAlign w:val="center"/>
          </w:tcPr>
          <w:p w14:paraId="41F3D8BD">
            <w:pPr>
              <w:widowControl w:val="0"/>
              <w:autoSpaceDE w:val="0"/>
              <w:autoSpaceDN w:val="0"/>
              <w:spacing w:before="63" w:line="257" w:lineRule="exact"/>
              <w:ind w:left="0" w:leftChars="0" w:right="22" w:firstLine="0" w:firstLineChars="0"/>
              <w:jc w:val="center"/>
              <w:rPr>
                <w:rFonts w:hint="default" w:ascii="Times New Roman" w:hAnsi="Times New Roman" w:eastAsia="宋体" w:cs="Times New Roman"/>
                <w:color w:val="auto"/>
                <w:sz w:val="18"/>
                <w:szCs w:val="18"/>
                <w:lang w:val="zh-CN" w:eastAsia="zh-CN" w:bidi="zh-CN"/>
              </w:rPr>
            </w:pPr>
            <w:r>
              <w:rPr>
                <w:rFonts w:hint="default" w:ascii="Times New Roman" w:hAnsi="Times New Roman" w:eastAsia="宋体" w:cs="Times New Roman"/>
                <w:color w:val="auto"/>
                <w:sz w:val="18"/>
                <w:szCs w:val="18"/>
                <w:lang w:val="zh-CN" w:eastAsia="zh-CN" w:bidi="zh-CN"/>
              </w:rPr>
              <w:t>9.81</w:t>
            </w:r>
          </w:p>
        </w:tc>
        <w:tc>
          <w:tcPr>
            <w:tcW w:w="474" w:type="dxa"/>
            <w:noWrap/>
            <w:vAlign w:val="center"/>
          </w:tcPr>
          <w:p w14:paraId="3DAB7B28">
            <w:pPr>
              <w:widowControl w:val="0"/>
              <w:autoSpaceDE w:val="0"/>
              <w:autoSpaceDN w:val="0"/>
              <w:spacing w:before="63" w:line="257" w:lineRule="exact"/>
              <w:ind w:left="0" w:leftChars="0" w:right="22" w:firstLine="0" w:firstLineChars="0"/>
              <w:jc w:val="center"/>
              <w:rPr>
                <w:rFonts w:hint="default" w:ascii="Times New Roman" w:hAnsi="Times New Roman" w:eastAsia="宋体" w:cs="Times New Roman"/>
                <w:color w:val="auto"/>
                <w:sz w:val="18"/>
                <w:szCs w:val="18"/>
                <w:lang w:val="zh-CN" w:eastAsia="zh-CN" w:bidi="zh-CN"/>
              </w:rPr>
            </w:pPr>
            <w:r>
              <w:rPr>
                <w:rFonts w:hint="default" w:ascii="Times New Roman" w:hAnsi="Times New Roman" w:eastAsia="宋体" w:cs="Times New Roman"/>
                <w:color w:val="auto"/>
                <w:sz w:val="18"/>
                <w:szCs w:val="18"/>
                <w:lang w:val="zh-CN" w:eastAsia="zh-CN" w:bidi="zh-CN"/>
              </w:rPr>
              <w:t>12.10</w:t>
            </w:r>
          </w:p>
        </w:tc>
        <w:tc>
          <w:tcPr>
            <w:tcW w:w="543" w:type="dxa"/>
            <w:noWrap/>
            <w:vAlign w:val="center"/>
          </w:tcPr>
          <w:p w14:paraId="51CDF699">
            <w:pPr>
              <w:widowControl w:val="0"/>
              <w:autoSpaceDE w:val="0"/>
              <w:autoSpaceDN w:val="0"/>
              <w:spacing w:before="63" w:line="257" w:lineRule="exact"/>
              <w:ind w:left="0" w:leftChars="0" w:right="22" w:firstLine="0" w:firstLineChars="0"/>
              <w:jc w:val="center"/>
              <w:rPr>
                <w:rFonts w:hint="default" w:ascii="Times New Roman" w:hAnsi="Times New Roman" w:eastAsia="宋体" w:cs="Times New Roman"/>
                <w:color w:val="auto"/>
                <w:sz w:val="18"/>
                <w:szCs w:val="18"/>
                <w:lang w:val="zh-CN" w:eastAsia="zh-CN" w:bidi="zh-CN"/>
              </w:rPr>
            </w:pPr>
            <w:r>
              <w:rPr>
                <w:rFonts w:hint="default" w:ascii="Times New Roman" w:hAnsi="Times New Roman" w:eastAsia="宋体" w:cs="Times New Roman"/>
                <w:color w:val="auto"/>
                <w:sz w:val="18"/>
                <w:szCs w:val="18"/>
                <w:lang w:val="zh-CN" w:eastAsia="zh-CN" w:bidi="zh-CN"/>
              </w:rPr>
              <w:t>4.84</w:t>
            </w:r>
          </w:p>
        </w:tc>
        <w:tc>
          <w:tcPr>
            <w:tcW w:w="468" w:type="dxa"/>
            <w:noWrap/>
            <w:vAlign w:val="center"/>
          </w:tcPr>
          <w:p w14:paraId="63F75664">
            <w:pPr>
              <w:widowControl w:val="0"/>
              <w:autoSpaceDE w:val="0"/>
              <w:autoSpaceDN w:val="0"/>
              <w:spacing w:before="63" w:line="257" w:lineRule="exact"/>
              <w:ind w:left="0" w:leftChars="0" w:right="22" w:firstLine="0" w:firstLineChars="0"/>
              <w:jc w:val="center"/>
              <w:rPr>
                <w:rFonts w:hint="default" w:ascii="Times New Roman" w:hAnsi="Times New Roman" w:eastAsia="宋体" w:cs="Times New Roman"/>
                <w:color w:val="auto"/>
                <w:sz w:val="18"/>
                <w:szCs w:val="18"/>
                <w:lang w:val="zh-CN" w:eastAsia="zh-CN" w:bidi="zh-CN"/>
              </w:rPr>
            </w:pPr>
            <w:r>
              <w:rPr>
                <w:rFonts w:hint="default" w:ascii="Times New Roman" w:hAnsi="Times New Roman" w:eastAsia="宋体" w:cs="Times New Roman"/>
                <w:color w:val="auto"/>
                <w:sz w:val="18"/>
                <w:szCs w:val="18"/>
                <w:lang w:val="zh-CN" w:eastAsia="zh-CN" w:bidi="zh-CN"/>
              </w:rPr>
              <w:t>2.82</w:t>
            </w:r>
          </w:p>
        </w:tc>
        <w:tc>
          <w:tcPr>
            <w:tcW w:w="502" w:type="dxa"/>
            <w:noWrap/>
            <w:vAlign w:val="center"/>
          </w:tcPr>
          <w:p w14:paraId="15FC9694">
            <w:pPr>
              <w:widowControl w:val="0"/>
              <w:autoSpaceDE w:val="0"/>
              <w:autoSpaceDN w:val="0"/>
              <w:spacing w:before="63" w:line="257" w:lineRule="exact"/>
              <w:ind w:left="0" w:leftChars="0" w:right="22" w:firstLine="0" w:firstLineChars="0"/>
              <w:jc w:val="center"/>
              <w:rPr>
                <w:rFonts w:hint="default" w:ascii="Times New Roman" w:hAnsi="Times New Roman" w:eastAsia="宋体" w:cs="Times New Roman"/>
                <w:color w:val="auto"/>
                <w:sz w:val="18"/>
                <w:szCs w:val="18"/>
                <w:lang w:val="zh-CN" w:eastAsia="zh-CN" w:bidi="zh-CN"/>
              </w:rPr>
            </w:pPr>
            <w:r>
              <w:rPr>
                <w:rFonts w:hint="default" w:ascii="Times New Roman" w:hAnsi="Times New Roman" w:eastAsia="宋体" w:cs="Times New Roman"/>
                <w:color w:val="auto"/>
                <w:sz w:val="18"/>
                <w:szCs w:val="18"/>
                <w:lang w:val="zh-CN" w:eastAsia="zh-CN" w:bidi="zh-CN"/>
              </w:rPr>
              <w:t>2.28</w:t>
            </w:r>
          </w:p>
        </w:tc>
        <w:tc>
          <w:tcPr>
            <w:tcW w:w="469" w:type="dxa"/>
            <w:noWrap/>
            <w:vAlign w:val="center"/>
          </w:tcPr>
          <w:p w14:paraId="03F48C07">
            <w:pPr>
              <w:widowControl w:val="0"/>
              <w:autoSpaceDE w:val="0"/>
              <w:autoSpaceDN w:val="0"/>
              <w:spacing w:before="63" w:line="257" w:lineRule="exact"/>
              <w:ind w:left="0" w:leftChars="0" w:right="22" w:firstLine="0" w:firstLineChars="0"/>
              <w:jc w:val="center"/>
              <w:rPr>
                <w:rFonts w:hint="default" w:ascii="Times New Roman" w:hAnsi="Times New Roman" w:eastAsia="宋体" w:cs="Times New Roman"/>
                <w:color w:val="auto"/>
                <w:sz w:val="18"/>
                <w:szCs w:val="18"/>
                <w:lang w:val="zh-CN" w:eastAsia="zh-CN" w:bidi="zh-CN"/>
              </w:rPr>
            </w:pPr>
            <w:r>
              <w:rPr>
                <w:rFonts w:hint="default" w:ascii="Times New Roman" w:hAnsi="Times New Roman" w:eastAsia="宋体" w:cs="Times New Roman"/>
                <w:color w:val="auto"/>
                <w:sz w:val="18"/>
                <w:szCs w:val="18"/>
                <w:lang w:val="zh-CN" w:eastAsia="zh-CN" w:bidi="zh-CN"/>
              </w:rPr>
              <w:t>0.94</w:t>
            </w:r>
          </w:p>
        </w:tc>
      </w:tr>
    </w:tbl>
    <w:p w14:paraId="28F76457">
      <w:pPr>
        <w:keepNext w:val="0"/>
        <w:keepLines w:val="0"/>
        <w:pageBreakBefore w:val="0"/>
        <w:widowControl w:val="0"/>
        <w:kinsoku/>
        <w:wordWrap/>
        <w:overflowPunct/>
        <w:topLinePunct w:val="0"/>
        <w:autoSpaceDE/>
        <w:autoSpaceDN/>
        <w:bidi w:val="0"/>
        <w:adjustRightInd/>
        <w:snapToGrid/>
        <w:spacing w:after="0" w:line="240" w:lineRule="auto"/>
        <w:ind w:firstLine="422" w:firstLineChars="200"/>
        <w:jc w:val="center"/>
        <w:textAlignment w:val="auto"/>
        <w:rPr>
          <w:rFonts w:hint="default" w:ascii="Times New Roman" w:hAnsi="Times New Roman" w:eastAsia="宋体" w:cs="Times New Roman"/>
          <w:b/>
          <w:color w:val="auto"/>
          <w:kern w:val="2"/>
          <w:sz w:val="21"/>
          <w:szCs w:val="21"/>
          <w:lang w:val="zh-CN" w:eastAsia="zh-CN" w:bidi="zh-CN"/>
        </w:rPr>
      </w:pPr>
    </w:p>
    <w:p w14:paraId="2BF25A21">
      <w:pPr>
        <w:keepNext w:val="0"/>
        <w:keepLines w:val="0"/>
        <w:pageBreakBefore w:val="0"/>
        <w:widowControl w:val="0"/>
        <w:kinsoku/>
        <w:wordWrap/>
        <w:overflowPunct/>
        <w:topLinePunct w:val="0"/>
        <w:autoSpaceDE/>
        <w:autoSpaceDN/>
        <w:bidi w:val="0"/>
        <w:adjustRightInd/>
        <w:snapToGrid/>
        <w:spacing w:after="0" w:line="240" w:lineRule="auto"/>
        <w:ind w:firstLine="422" w:firstLineChars="200"/>
        <w:jc w:val="center"/>
        <w:textAlignment w:val="auto"/>
        <w:rPr>
          <w:rFonts w:hint="default" w:ascii="Times New Roman" w:hAnsi="Times New Roman" w:eastAsia="宋体" w:cs="Times New Roman"/>
          <w:b/>
          <w:color w:val="auto"/>
          <w:kern w:val="2"/>
          <w:sz w:val="21"/>
          <w:szCs w:val="21"/>
          <w:lang w:val="zh-CN" w:eastAsia="zh-CN" w:bidi="zh-CN"/>
        </w:rPr>
      </w:pPr>
      <w:r>
        <w:rPr>
          <w:rFonts w:hint="default" w:ascii="Times New Roman" w:hAnsi="Times New Roman" w:eastAsia="宋体" w:cs="Times New Roman"/>
          <w:b/>
          <w:color w:val="auto"/>
          <w:kern w:val="2"/>
          <w:sz w:val="21"/>
          <w:szCs w:val="21"/>
          <w:lang w:val="zh-CN" w:eastAsia="zh-CN" w:bidi="zh-CN"/>
        </w:rPr>
        <w:t>表5.2-2</w:t>
      </w:r>
      <w:r>
        <w:rPr>
          <w:rFonts w:hint="eastAsia" w:ascii="Times New Roman" w:hAnsi="Times New Roman" w:eastAsia="宋体" w:cs="Times New Roman"/>
          <w:b/>
          <w:color w:val="auto"/>
          <w:kern w:val="2"/>
          <w:sz w:val="21"/>
          <w:szCs w:val="21"/>
          <w:lang w:val="en-US" w:eastAsia="zh-CN" w:bidi="zh-CN"/>
        </w:rPr>
        <w:t xml:space="preserve">  </w:t>
      </w:r>
      <w:r>
        <w:rPr>
          <w:rFonts w:hint="default" w:ascii="Times New Roman" w:hAnsi="Times New Roman" w:eastAsia="宋体" w:cs="Times New Roman"/>
          <w:b/>
          <w:color w:val="auto"/>
          <w:kern w:val="2"/>
          <w:sz w:val="21"/>
          <w:szCs w:val="21"/>
          <w:lang w:val="zh-CN" w:eastAsia="zh-CN" w:bidi="zh-CN"/>
        </w:rPr>
        <w:t>气象站202</w:t>
      </w:r>
      <w:r>
        <w:rPr>
          <w:rFonts w:hint="eastAsia" w:ascii="Times New Roman" w:hAnsi="Times New Roman" w:eastAsia="宋体" w:cs="Times New Roman"/>
          <w:b/>
          <w:color w:val="auto"/>
          <w:kern w:val="2"/>
          <w:sz w:val="21"/>
          <w:szCs w:val="21"/>
          <w:lang w:val="en-US" w:eastAsia="zh-CN" w:bidi="zh-CN"/>
        </w:rPr>
        <w:t>4</w:t>
      </w:r>
      <w:r>
        <w:rPr>
          <w:rFonts w:hint="default" w:ascii="Times New Roman" w:hAnsi="Times New Roman" w:eastAsia="宋体" w:cs="Times New Roman"/>
          <w:b/>
          <w:color w:val="auto"/>
          <w:kern w:val="2"/>
          <w:sz w:val="21"/>
          <w:szCs w:val="21"/>
          <w:lang w:val="zh-CN" w:eastAsia="zh-CN" w:bidi="zh-CN"/>
        </w:rPr>
        <w:t>年年均风频的季变化及年均风频一览表</w:t>
      </w:r>
    </w:p>
    <w:tbl>
      <w:tblPr>
        <w:tblStyle w:val="49"/>
        <w:tblW w:w="5010" w:type="pct"/>
        <w:tblInd w:w="-9"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6" w:type="dxa"/>
          <w:bottom w:w="0" w:type="dxa"/>
          <w:right w:w="6" w:type="dxa"/>
        </w:tblCellMar>
      </w:tblPr>
      <w:tblGrid>
        <w:gridCol w:w="895"/>
        <w:gridCol w:w="591"/>
        <w:gridCol w:w="438"/>
        <w:gridCol w:w="468"/>
        <w:gridCol w:w="467"/>
        <w:gridCol w:w="475"/>
        <w:gridCol w:w="475"/>
        <w:gridCol w:w="468"/>
        <w:gridCol w:w="468"/>
        <w:gridCol w:w="468"/>
        <w:gridCol w:w="468"/>
        <w:gridCol w:w="468"/>
        <w:gridCol w:w="512"/>
        <w:gridCol w:w="475"/>
        <w:gridCol w:w="544"/>
        <w:gridCol w:w="469"/>
        <w:gridCol w:w="502"/>
        <w:gridCol w:w="469"/>
      </w:tblGrid>
      <w:tr w14:paraId="2E2F7CA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6" w:type="dxa"/>
            <w:bottom w:w="0" w:type="dxa"/>
            <w:right w:w="6" w:type="dxa"/>
          </w:tblCellMar>
        </w:tblPrEx>
        <w:trPr>
          <w:trHeight w:val="777" w:hRule="atLeast"/>
        </w:trPr>
        <w:tc>
          <w:tcPr>
            <w:tcW w:w="889" w:type="dxa"/>
            <w:noWrap/>
            <w:vAlign w:val="center"/>
          </w:tcPr>
          <w:p w14:paraId="47736D41">
            <w:pPr>
              <w:widowControl w:val="0"/>
              <w:autoSpaceDE w:val="0"/>
              <w:autoSpaceDN w:val="0"/>
              <w:spacing w:before="63" w:line="257" w:lineRule="exact"/>
              <w:ind w:left="0" w:leftChars="0" w:right="22" w:firstLine="0" w:firstLineChars="0"/>
              <w:jc w:val="center"/>
              <w:rPr>
                <w:rFonts w:hint="eastAsia" w:ascii="Times New Roman" w:hAnsi="Times New Roman" w:eastAsia="宋体" w:cs="Times New Roman"/>
                <w:color w:val="auto"/>
                <w:sz w:val="18"/>
                <w:szCs w:val="18"/>
                <w:lang w:val="zh-CN" w:eastAsia="zh-CN" w:bidi="zh-CN"/>
              </w:rPr>
            </w:pPr>
            <w:r>
              <w:rPr>
                <w:rFonts w:hint="default" w:ascii="Times New Roman" w:hAnsi="Times New Roman" w:eastAsia="宋体" w:cs="Times New Roman"/>
                <w:color w:val="auto"/>
                <w:sz w:val="18"/>
                <w:szCs w:val="18"/>
                <w:lang w:val="zh-CN" w:eastAsia="zh-CN" w:bidi="zh-CN"/>
              </w:rPr>
              <w:t>风频（%</w:t>
            </w:r>
            <w:r>
              <w:rPr>
                <w:rFonts w:hint="eastAsia" w:ascii="Times New Roman" w:hAnsi="Times New Roman" w:eastAsia="宋体" w:cs="Times New Roman"/>
                <w:color w:val="auto"/>
                <w:sz w:val="18"/>
                <w:szCs w:val="18"/>
                <w:lang w:val="zh-CN" w:eastAsia="zh-CN" w:bidi="zh-CN"/>
              </w:rPr>
              <w:t>）</w:t>
            </w:r>
          </w:p>
          <w:p w14:paraId="5CC9E4CF">
            <w:pPr>
              <w:widowControl w:val="0"/>
              <w:autoSpaceDE w:val="0"/>
              <w:autoSpaceDN w:val="0"/>
              <w:spacing w:before="63" w:line="257" w:lineRule="exact"/>
              <w:ind w:left="0" w:leftChars="0" w:right="22" w:firstLine="0" w:firstLineChars="0"/>
              <w:jc w:val="center"/>
              <w:rPr>
                <w:rFonts w:hint="default" w:ascii="Times New Roman" w:hAnsi="Times New Roman" w:eastAsia="宋体" w:cs="Times New Roman"/>
                <w:color w:val="auto"/>
                <w:sz w:val="18"/>
                <w:szCs w:val="18"/>
                <w:lang w:val="zh-CN" w:eastAsia="zh-CN" w:bidi="zh-CN"/>
              </w:rPr>
            </w:pPr>
            <w:r>
              <w:rPr>
                <w:rFonts w:hint="default" w:ascii="Times New Roman" w:hAnsi="Times New Roman" w:eastAsia="宋体" w:cs="Times New Roman"/>
                <w:color w:val="auto"/>
                <w:sz w:val="18"/>
                <w:szCs w:val="18"/>
                <w:lang w:val="zh-CN" w:eastAsia="zh-CN" w:bidi="zh-CN"/>
              </w:rPr>
              <w:t>风向</w:t>
            </w:r>
          </w:p>
        </w:tc>
        <w:tc>
          <w:tcPr>
            <w:tcW w:w="587" w:type="dxa"/>
            <w:noWrap/>
            <w:vAlign w:val="center"/>
          </w:tcPr>
          <w:p w14:paraId="47F955A1">
            <w:pPr>
              <w:widowControl w:val="0"/>
              <w:autoSpaceDE w:val="0"/>
              <w:autoSpaceDN w:val="0"/>
              <w:spacing w:before="63" w:line="257" w:lineRule="exact"/>
              <w:ind w:left="0" w:leftChars="0" w:right="22" w:firstLine="0" w:firstLineChars="0"/>
              <w:jc w:val="center"/>
              <w:rPr>
                <w:rFonts w:hint="default" w:ascii="Times New Roman" w:hAnsi="Times New Roman" w:eastAsia="宋体" w:cs="Times New Roman"/>
                <w:color w:val="auto"/>
                <w:sz w:val="18"/>
                <w:szCs w:val="18"/>
                <w:lang w:val="zh-CN" w:eastAsia="zh-CN" w:bidi="zh-CN"/>
              </w:rPr>
            </w:pPr>
            <w:r>
              <w:rPr>
                <w:rFonts w:hint="default" w:ascii="Times New Roman" w:hAnsi="Times New Roman" w:eastAsia="宋体" w:cs="Times New Roman"/>
                <w:color w:val="auto"/>
                <w:sz w:val="18"/>
                <w:szCs w:val="18"/>
                <w:lang w:val="zh-CN" w:eastAsia="zh-CN" w:bidi="zh-CN"/>
              </w:rPr>
              <w:t>N</w:t>
            </w:r>
          </w:p>
        </w:tc>
        <w:tc>
          <w:tcPr>
            <w:tcW w:w="434" w:type="dxa"/>
            <w:noWrap/>
            <w:vAlign w:val="center"/>
          </w:tcPr>
          <w:p w14:paraId="6906E387">
            <w:pPr>
              <w:widowControl w:val="0"/>
              <w:autoSpaceDE w:val="0"/>
              <w:autoSpaceDN w:val="0"/>
              <w:spacing w:before="63" w:line="257" w:lineRule="exact"/>
              <w:ind w:left="0" w:leftChars="0" w:right="22" w:firstLine="0" w:firstLineChars="0"/>
              <w:jc w:val="center"/>
              <w:rPr>
                <w:rFonts w:hint="default" w:ascii="Times New Roman" w:hAnsi="Times New Roman" w:eastAsia="宋体" w:cs="Times New Roman"/>
                <w:color w:val="auto"/>
                <w:sz w:val="18"/>
                <w:szCs w:val="18"/>
                <w:lang w:val="zh-CN" w:eastAsia="zh-CN" w:bidi="zh-CN"/>
              </w:rPr>
            </w:pPr>
            <w:r>
              <w:rPr>
                <w:rFonts w:hint="default" w:ascii="Times New Roman" w:hAnsi="Times New Roman" w:eastAsia="宋体" w:cs="Times New Roman"/>
                <w:color w:val="auto"/>
                <w:sz w:val="18"/>
                <w:szCs w:val="18"/>
                <w:lang w:val="zh-CN" w:eastAsia="zh-CN" w:bidi="zh-CN"/>
              </w:rPr>
              <w:t>NNE</w:t>
            </w:r>
          </w:p>
        </w:tc>
        <w:tc>
          <w:tcPr>
            <w:tcW w:w="464" w:type="dxa"/>
            <w:noWrap/>
            <w:vAlign w:val="center"/>
          </w:tcPr>
          <w:p w14:paraId="086A806F">
            <w:pPr>
              <w:widowControl w:val="0"/>
              <w:autoSpaceDE w:val="0"/>
              <w:autoSpaceDN w:val="0"/>
              <w:spacing w:before="63" w:line="257" w:lineRule="exact"/>
              <w:ind w:left="0" w:leftChars="0" w:right="22" w:firstLine="0" w:firstLineChars="0"/>
              <w:jc w:val="center"/>
              <w:rPr>
                <w:rFonts w:hint="default" w:ascii="Times New Roman" w:hAnsi="Times New Roman" w:eastAsia="宋体" w:cs="Times New Roman"/>
                <w:color w:val="auto"/>
                <w:sz w:val="18"/>
                <w:szCs w:val="18"/>
                <w:lang w:val="zh-CN" w:eastAsia="zh-CN" w:bidi="zh-CN"/>
              </w:rPr>
            </w:pPr>
            <w:r>
              <w:rPr>
                <w:rFonts w:hint="default" w:ascii="Times New Roman" w:hAnsi="Times New Roman" w:eastAsia="宋体" w:cs="Times New Roman"/>
                <w:color w:val="auto"/>
                <w:sz w:val="18"/>
                <w:szCs w:val="18"/>
                <w:lang w:val="zh-CN" w:eastAsia="zh-CN" w:bidi="zh-CN"/>
              </w:rPr>
              <w:t>NE</w:t>
            </w:r>
          </w:p>
        </w:tc>
        <w:tc>
          <w:tcPr>
            <w:tcW w:w="463" w:type="dxa"/>
            <w:noWrap/>
            <w:vAlign w:val="center"/>
          </w:tcPr>
          <w:p w14:paraId="63CECD4B">
            <w:pPr>
              <w:widowControl w:val="0"/>
              <w:autoSpaceDE w:val="0"/>
              <w:autoSpaceDN w:val="0"/>
              <w:spacing w:before="63" w:line="257" w:lineRule="exact"/>
              <w:ind w:left="0" w:leftChars="0" w:right="22" w:firstLine="0" w:firstLineChars="0"/>
              <w:jc w:val="center"/>
              <w:rPr>
                <w:rFonts w:hint="default" w:ascii="Times New Roman" w:hAnsi="Times New Roman" w:eastAsia="宋体" w:cs="Times New Roman"/>
                <w:color w:val="auto"/>
                <w:sz w:val="18"/>
                <w:szCs w:val="18"/>
                <w:lang w:val="zh-CN" w:eastAsia="zh-CN" w:bidi="zh-CN"/>
              </w:rPr>
            </w:pPr>
            <w:r>
              <w:rPr>
                <w:rFonts w:hint="default" w:ascii="Times New Roman" w:hAnsi="Times New Roman" w:eastAsia="宋体" w:cs="Times New Roman"/>
                <w:color w:val="auto"/>
                <w:sz w:val="18"/>
                <w:szCs w:val="18"/>
                <w:lang w:val="zh-CN" w:eastAsia="zh-CN" w:bidi="zh-CN"/>
              </w:rPr>
              <w:t>ENE</w:t>
            </w:r>
          </w:p>
        </w:tc>
        <w:tc>
          <w:tcPr>
            <w:tcW w:w="471" w:type="dxa"/>
            <w:noWrap/>
            <w:vAlign w:val="center"/>
          </w:tcPr>
          <w:p w14:paraId="4FEA932B">
            <w:pPr>
              <w:widowControl w:val="0"/>
              <w:autoSpaceDE w:val="0"/>
              <w:autoSpaceDN w:val="0"/>
              <w:spacing w:before="63" w:line="257" w:lineRule="exact"/>
              <w:ind w:left="0" w:leftChars="0" w:right="22" w:firstLine="0" w:firstLineChars="0"/>
              <w:jc w:val="center"/>
              <w:rPr>
                <w:rFonts w:hint="default" w:ascii="Times New Roman" w:hAnsi="Times New Roman" w:eastAsia="宋体" w:cs="Times New Roman"/>
                <w:color w:val="auto"/>
                <w:sz w:val="18"/>
                <w:szCs w:val="18"/>
                <w:lang w:val="zh-CN" w:eastAsia="zh-CN" w:bidi="zh-CN"/>
              </w:rPr>
            </w:pPr>
            <w:r>
              <w:rPr>
                <w:rFonts w:hint="default" w:ascii="Times New Roman" w:hAnsi="Times New Roman" w:eastAsia="宋体" w:cs="Times New Roman"/>
                <w:color w:val="auto"/>
                <w:sz w:val="18"/>
                <w:szCs w:val="18"/>
                <w:lang w:val="zh-CN" w:eastAsia="zh-CN" w:bidi="zh-CN"/>
              </w:rPr>
              <w:t>E</w:t>
            </w:r>
          </w:p>
        </w:tc>
        <w:tc>
          <w:tcPr>
            <w:tcW w:w="471" w:type="dxa"/>
            <w:noWrap/>
            <w:vAlign w:val="center"/>
          </w:tcPr>
          <w:p w14:paraId="345BB45A">
            <w:pPr>
              <w:widowControl w:val="0"/>
              <w:autoSpaceDE w:val="0"/>
              <w:autoSpaceDN w:val="0"/>
              <w:spacing w:before="63" w:line="257" w:lineRule="exact"/>
              <w:ind w:left="0" w:leftChars="0" w:right="22" w:firstLine="0" w:firstLineChars="0"/>
              <w:jc w:val="center"/>
              <w:rPr>
                <w:rFonts w:hint="default" w:ascii="Times New Roman" w:hAnsi="Times New Roman" w:eastAsia="宋体" w:cs="Times New Roman"/>
                <w:color w:val="auto"/>
                <w:sz w:val="18"/>
                <w:szCs w:val="18"/>
                <w:lang w:val="zh-CN" w:eastAsia="zh-CN" w:bidi="zh-CN"/>
              </w:rPr>
            </w:pPr>
            <w:r>
              <w:rPr>
                <w:rFonts w:hint="default" w:ascii="Times New Roman" w:hAnsi="Times New Roman" w:eastAsia="宋体" w:cs="Times New Roman"/>
                <w:color w:val="auto"/>
                <w:sz w:val="18"/>
                <w:szCs w:val="18"/>
                <w:lang w:val="zh-CN" w:eastAsia="zh-CN" w:bidi="zh-CN"/>
              </w:rPr>
              <w:t>ESE</w:t>
            </w:r>
          </w:p>
        </w:tc>
        <w:tc>
          <w:tcPr>
            <w:tcW w:w="464" w:type="dxa"/>
            <w:noWrap/>
            <w:vAlign w:val="center"/>
          </w:tcPr>
          <w:p w14:paraId="58453587">
            <w:pPr>
              <w:widowControl w:val="0"/>
              <w:autoSpaceDE w:val="0"/>
              <w:autoSpaceDN w:val="0"/>
              <w:spacing w:before="63" w:line="257" w:lineRule="exact"/>
              <w:ind w:left="0" w:leftChars="0" w:right="22" w:firstLine="0" w:firstLineChars="0"/>
              <w:jc w:val="center"/>
              <w:rPr>
                <w:rFonts w:hint="default" w:ascii="Times New Roman" w:hAnsi="Times New Roman" w:eastAsia="宋体" w:cs="Times New Roman"/>
                <w:color w:val="auto"/>
                <w:sz w:val="18"/>
                <w:szCs w:val="18"/>
                <w:lang w:val="zh-CN" w:eastAsia="zh-CN" w:bidi="zh-CN"/>
              </w:rPr>
            </w:pPr>
            <w:r>
              <w:rPr>
                <w:rFonts w:hint="default" w:ascii="Times New Roman" w:hAnsi="Times New Roman" w:eastAsia="宋体" w:cs="Times New Roman"/>
                <w:color w:val="auto"/>
                <w:sz w:val="18"/>
                <w:szCs w:val="18"/>
                <w:lang w:val="zh-CN" w:eastAsia="zh-CN" w:bidi="zh-CN"/>
              </w:rPr>
              <w:t>SE</w:t>
            </w:r>
          </w:p>
        </w:tc>
        <w:tc>
          <w:tcPr>
            <w:tcW w:w="464" w:type="dxa"/>
            <w:noWrap/>
            <w:vAlign w:val="center"/>
          </w:tcPr>
          <w:p w14:paraId="7F5D4F9A">
            <w:pPr>
              <w:widowControl w:val="0"/>
              <w:autoSpaceDE w:val="0"/>
              <w:autoSpaceDN w:val="0"/>
              <w:spacing w:before="63" w:line="257" w:lineRule="exact"/>
              <w:ind w:left="0" w:leftChars="0" w:right="22" w:firstLine="0" w:firstLineChars="0"/>
              <w:jc w:val="center"/>
              <w:rPr>
                <w:rFonts w:hint="default" w:ascii="Times New Roman" w:hAnsi="Times New Roman" w:eastAsia="宋体" w:cs="Times New Roman"/>
                <w:color w:val="auto"/>
                <w:sz w:val="18"/>
                <w:szCs w:val="18"/>
                <w:lang w:val="zh-CN" w:eastAsia="zh-CN" w:bidi="zh-CN"/>
              </w:rPr>
            </w:pPr>
            <w:r>
              <w:rPr>
                <w:rFonts w:hint="default" w:ascii="Times New Roman" w:hAnsi="Times New Roman" w:eastAsia="宋体" w:cs="Times New Roman"/>
                <w:color w:val="auto"/>
                <w:sz w:val="18"/>
                <w:szCs w:val="18"/>
                <w:lang w:val="zh-CN" w:eastAsia="zh-CN" w:bidi="zh-CN"/>
              </w:rPr>
              <w:t>SSE</w:t>
            </w:r>
          </w:p>
        </w:tc>
        <w:tc>
          <w:tcPr>
            <w:tcW w:w="464" w:type="dxa"/>
            <w:noWrap/>
            <w:vAlign w:val="center"/>
          </w:tcPr>
          <w:p w14:paraId="52800059">
            <w:pPr>
              <w:widowControl w:val="0"/>
              <w:autoSpaceDE w:val="0"/>
              <w:autoSpaceDN w:val="0"/>
              <w:spacing w:before="63" w:line="257" w:lineRule="exact"/>
              <w:ind w:left="0" w:leftChars="0" w:right="22" w:firstLine="0" w:firstLineChars="0"/>
              <w:jc w:val="center"/>
              <w:rPr>
                <w:rFonts w:hint="default" w:ascii="Times New Roman" w:hAnsi="Times New Roman" w:eastAsia="宋体" w:cs="Times New Roman"/>
                <w:color w:val="auto"/>
                <w:sz w:val="18"/>
                <w:szCs w:val="18"/>
                <w:lang w:val="zh-CN" w:eastAsia="zh-CN" w:bidi="zh-CN"/>
              </w:rPr>
            </w:pPr>
            <w:r>
              <w:rPr>
                <w:rFonts w:hint="default" w:ascii="Times New Roman" w:hAnsi="Times New Roman" w:eastAsia="宋体" w:cs="Times New Roman"/>
                <w:color w:val="auto"/>
                <w:sz w:val="18"/>
                <w:szCs w:val="18"/>
                <w:lang w:val="zh-CN" w:eastAsia="zh-CN" w:bidi="zh-CN"/>
              </w:rPr>
              <w:t>S</w:t>
            </w:r>
          </w:p>
        </w:tc>
        <w:tc>
          <w:tcPr>
            <w:tcW w:w="464" w:type="dxa"/>
            <w:noWrap/>
            <w:vAlign w:val="center"/>
          </w:tcPr>
          <w:p w14:paraId="0F5BC91A">
            <w:pPr>
              <w:widowControl w:val="0"/>
              <w:autoSpaceDE w:val="0"/>
              <w:autoSpaceDN w:val="0"/>
              <w:spacing w:before="63" w:line="257" w:lineRule="exact"/>
              <w:ind w:left="0" w:leftChars="0" w:right="22" w:firstLine="0" w:firstLineChars="0"/>
              <w:jc w:val="center"/>
              <w:rPr>
                <w:rFonts w:hint="default" w:ascii="Times New Roman" w:hAnsi="Times New Roman" w:eastAsia="宋体" w:cs="Times New Roman"/>
                <w:color w:val="auto"/>
                <w:sz w:val="18"/>
                <w:szCs w:val="18"/>
                <w:lang w:val="zh-CN" w:eastAsia="zh-CN" w:bidi="zh-CN"/>
              </w:rPr>
            </w:pPr>
            <w:r>
              <w:rPr>
                <w:rFonts w:hint="default" w:ascii="Times New Roman" w:hAnsi="Times New Roman" w:eastAsia="宋体" w:cs="Times New Roman"/>
                <w:color w:val="auto"/>
                <w:sz w:val="18"/>
                <w:szCs w:val="18"/>
                <w:lang w:val="zh-CN" w:eastAsia="zh-CN" w:bidi="zh-CN"/>
              </w:rPr>
              <w:t>SSW</w:t>
            </w:r>
          </w:p>
        </w:tc>
        <w:tc>
          <w:tcPr>
            <w:tcW w:w="464" w:type="dxa"/>
            <w:noWrap/>
            <w:vAlign w:val="center"/>
          </w:tcPr>
          <w:p w14:paraId="0548EA59">
            <w:pPr>
              <w:widowControl w:val="0"/>
              <w:autoSpaceDE w:val="0"/>
              <w:autoSpaceDN w:val="0"/>
              <w:spacing w:before="63" w:line="257" w:lineRule="exact"/>
              <w:ind w:left="0" w:leftChars="0" w:right="22" w:firstLine="0" w:firstLineChars="0"/>
              <w:jc w:val="center"/>
              <w:rPr>
                <w:rFonts w:hint="default" w:ascii="Times New Roman" w:hAnsi="Times New Roman" w:eastAsia="宋体" w:cs="Times New Roman"/>
                <w:color w:val="auto"/>
                <w:sz w:val="18"/>
                <w:szCs w:val="18"/>
                <w:lang w:val="zh-CN" w:eastAsia="zh-CN" w:bidi="zh-CN"/>
              </w:rPr>
            </w:pPr>
            <w:r>
              <w:rPr>
                <w:rFonts w:hint="default" w:ascii="Times New Roman" w:hAnsi="Times New Roman" w:eastAsia="宋体" w:cs="Times New Roman"/>
                <w:color w:val="auto"/>
                <w:sz w:val="18"/>
                <w:szCs w:val="18"/>
                <w:lang w:val="zh-CN" w:eastAsia="zh-CN" w:bidi="zh-CN"/>
              </w:rPr>
              <w:t>SW</w:t>
            </w:r>
          </w:p>
        </w:tc>
        <w:tc>
          <w:tcPr>
            <w:tcW w:w="508" w:type="dxa"/>
            <w:noWrap/>
            <w:vAlign w:val="center"/>
          </w:tcPr>
          <w:p w14:paraId="1896DCC4">
            <w:pPr>
              <w:widowControl w:val="0"/>
              <w:autoSpaceDE w:val="0"/>
              <w:autoSpaceDN w:val="0"/>
              <w:spacing w:before="63" w:line="257" w:lineRule="exact"/>
              <w:ind w:left="0" w:leftChars="0" w:right="22" w:firstLine="0" w:firstLineChars="0"/>
              <w:jc w:val="center"/>
              <w:rPr>
                <w:rFonts w:hint="default" w:ascii="Times New Roman" w:hAnsi="Times New Roman" w:eastAsia="宋体" w:cs="Times New Roman"/>
                <w:color w:val="auto"/>
                <w:sz w:val="18"/>
                <w:szCs w:val="18"/>
                <w:lang w:val="zh-CN" w:eastAsia="zh-CN" w:bidi="zh-CN"/>
              </w:rPr>
            </w:pPr>
            <w:r>
              <w:rPr>
                <w:rFonts w:hint="default" w:ascii="Times New Roman" w:hAnsi="Times New Roman" w:eastAsia="宋体" w:cs="Times New Roman"/>
                <w:color w:val="auto"/>
                <w:sz w:val="18"/>
                <w:szCs w:val="18"/>
                <w:lang w:val="zh-CN" w:eastAsia="zh-CN" w:bidi="zh-CN"/>
              </w:rPr>
              <w:t>WSW</w:t>
            </w:r>
          </w:p>
        </w:tc>
        <w:tc>
          <w:tcPr>
            <w:tcW w:w="471" w:type="dxa"/>
            <w:noWrap/>
            <w:vAlign w:val="center"/>
          </w:tcPr>
          <w:p w14:paraId="0954C587">
            <w:pPr>
              <w:widowControl w:val="0"/>
              <w:autoSpaceDE w:val="0"/>
              <w:autoSpaceDN w:val="0"/>
              <w:spacing w:before="63" w:line="257" w:lineRule="exact"/>
              <w:ind w:left="0" w:leftChars="0" w:right="22" w:firstLine="0" w:firstLineChars="0"/>
              <w:jc w:val="center"/>
              <w:rPr>
                <w:rFonts w:hint="default" w:ascii="Times New Roman" w:hAnsi="Times New Roman" w:eastAsia="宋体" w:cs="Times New Roman"/>
                <w:color w:val="auto"/>
                <w:sz w:val="18"/>
                <w:szCs w:val="18"/>
                <w:lang w:val="zh-CN" w:eastAsia="zh-CN" w:bidi="zh-CN"/>
              </w:rPr>
            </w:pPr>
            <w:r>
              <w:rPr>
                <w:rFonts w:hint="default" w:ascii="Times New Roman" w:hAnsi="Times New Roman" w:eastAsia="宋体" w:cs="Times New Roman"/>
                <w:color w:val="auto"/>
                <w:sz w:val="18"/>
                <w:szCs w:val="18"/>
                <w:lang w:val="zh-CN" w:eastAsia="zh-CN" w:bidi="zh-CN"/>
              </w:rPr>
              <w:t>W</w:t>
            </w:r>
          </w:p>
        </w:tc>
        <w:tc>
          <w:tcPr>
            <w:tcW w:w="540" w:type="dxa"/>
            <w:noWrap/>
            <w:vAlign w:val="center"/>
          </w:tcPr>
          <w:p w14:paraId="0B04DA62">
            <w:pPr>
              <w:widowControl w:val="0"/>
              <w:autoSpaceDE w:val="0"/>
              <w:autoSpaceDN w:val="0"/>
              <w:spacing w:before="63" w:line="257" w:lineRule="exact"/>
              <w:ind w:left="0" w:leftChars="0" w:right="22" w:firstLine="0" w:firstLineChars="0"/>
              <w:jc w:val="center"/>
              <w:rPr>
                <w:rFonts w:hint="default" w:ascii="Times New Roman" w:hAnsi="Times New Roman" w:eastAsia="宋体" w:cs="Times New Roman"/>
                <w:color w:val="auto"/>
                <w:sz w:val="18"/>
                <w:szCs w:val="18"/>
                <w:lang w:val="zh-CN" w:eastAsia="zh-CN" w:bidi="zh-CN"/>
              </w:rPr>
            </w:pPr>
            <w:r>
              <w:rPr>
                <w:rFonts w:hint="default" w:ascii="Times New Roman" w:hAnsi="Times New Roman" w:eastAsia="宋体" w:cs="Times New Roman"/>
                <w:color w:val="auto"/>
                <w:sz w:val="18"/>
                <w:szCs w:val="18"/>
                <w:lang w:val="zh-CN" w:eastAsia="zh-CN" w:bidi="zh-CN"/>
              </w:rPr>
              <w:t>WNW</w:t>
            </w:r>
          </w:p>
        </w:tc>
        <w:tc>
          <w:tcPr>
            <w:tcW w:w="465" w:type="dxa"/>
            <w:noWrap/>
            <w:vAlign w:val="center"/>
          </w:tcPr>
          <w:p w14:paraId="21B7E898">
            <w:pPr>
              <w:widowControl w:val="0"/>
              <w:autoSpaceDE w:val="0"/>
              <w:autoSpaceDN w:val="0"/>
              <w:spacing w:before="63" w:line="257" w:lineRule="exact"/>
              <w:ind w:left="0" w:leftChars="0" w:right="22" w:firstLine="0" w:firstLineChars="0"/>
              <w:jc w:val="center"/>
              <w:rPr>
                <w:rFonts w:hint="default" w:ascii="Times New Roman" w:hAnsi="Times New Roman" w:eastAsia="宋体" w:cs="Times New Roman"/>
                <w:color w:val="auto"/>
                <w:sz w:val="18"/>
                <w:szCs w:val="18"/>
                <w:lang w:val="zh-CN" w:eastAsia="zh-CN" w:bidi="zh-CN"/>
              </w:rPr>
            </w:pPr>
            <w:r>
              <w:rPr>
                <w:rFonts w:hint="default" w:ascii="Times New Roman" w:hAnsi="Times New Roman" w:eastAsia="宋体" w:cs="Times New Roman"/>
                <w:color w:val="auto"/>
                <w:sz w:val="18"/>
                <w:szCs w:val="18"/>
                <w:lang w:val="zh-CN" w:eastAsia="zh-CN" w:bidi="zh-CN"/>
              </w:rPr>
              <w:t>NW</w:t>
            </w:r>
          </w:p>
        </w:tc>
        <w:tc>
          <w:tcPr>
            <w:tcW w:w="498" w:type="dxa"/>
            <w:noWrap/>
            <w:vAlign w:val="center"/>
          </w:tcPr>
          <w:p w14:paraId="0874F8D1">
            <w:pPr>
              <w:widowControl w:val="0"/>
              <w:autoSpaceDE w:val="0"/>
              <w:autoSpaceDN w:val="0"/>
              <w:spacing w:before="63" w:line="257" w:lineRule="exact"/>
              <w:ind w:left="0" w:leftChars="0" w:right="22" w:firstLine="0" w:firstLineChars="0"/>
              <w:jc w:val="center"/>
              <w:rPr>
                <w:rFonts w:hint="default" w:ascii="Times New Roman" w:hAnsi="Times New Roman" w:eastAsia="宋体" w:cs="Times New Roman"/>
                <w:color w:val="auto"/>
                <w:sz w:val="18"/>
                <w:szCs w:val="18"/>
                <w:lang w:val="zh-CN" w:eastAsia="zh-CN" w:bidi="zh-CN"/>
              </w:rPr>
            </w:pPr>
            <w:r>
              <w:rPr>
                <w:rFonts w:hint="default" w:ascii="Times New Roman" w:hAnsi="Times New Roman" w:eastAsia="宋体" w:cs="Times New Roman"/>
                <w:color w:val="auto"/>
                <w:sz w:val="18"/>
                <w:szCs w:val="18"/>
                <w:lang w:val="zh-CN" w:eastAsia="zh-CN" w:bidi="zh-CN"/>
              </w:rPr>
              <w:t>NNW</w:t>
            </w:r>
          </w:p>
        </w:tc>
        <w:tc>
          <w:tcPr>
            <w:tcW w:w="465" w:type="dxa"/>
            <w:noWrap/>
            <w:vAlign w:val="center"/>
          </w:tcPr>
          <w:p w14:paraId="4B0CC749">
            <w:pPr>
              <w:widowControl w:val="0"/>
              <w:autoSpaceDE w:val="0"/>
              <w:autoSpaceDN w:val="0"/>
              <w:spacing w:before="63" w:line="257" w:lineRule="exact"/>
              <w:ind w:left="0" w:leftChars="0" w:right="22" w:firstLine="0" w:firstLineChars="0"/>
              <w:jc w:val="center"/>
              <w:rPr>
                <w:rFonts w:hint="default" w:ascii="Times New Roman" w:hAnsi="Times New Roman" w:eastAsia="宋体" w:cs="Times New Roman"/>
                <w:color w:val="auto"/>
                <w:sz w:val="18"/>
                <w:szCs w:val="18"/>
                <w:lang w:val="zh-CN" w:eastAsia="zh-CN" w:bidi="zh-CN"/>
              </w:rPr>
            </w:pPr>
            <w:r>
              <w:rPr>
                <w:rFonts w:hint="default" w:ascii="Times New Roman" w:hAnsi="Times New Roman" w:eastAsia="宋体" w:cs="Times New Roman"/>
                <w:color w:val="auto"/>
                <w:sz w:val="18"/>
                <w:szCs w:val="18"/>
                <w:lang w:val="zh-CN" w:eastAsia="zh-CN" w:bidi="zh-CN"/>
              </w:rPr>
              <w:t>C</w:t>
            </w:r>
          </w:p>
        </w:tc>
      </w:tr>
      <w:tr w14:paraId="21215AF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6" w:type="dxa"/>
            <w:bottom w:w="0" w:type="dxa"/>
            <w:right w:w="6" w:type="dxa"/>
          </w:tblCellMar>
        </w:tblPrEx>
        <w:trPr>
          <w:trHeight w:val="385" w:hRule="atLeast"/>
        </w:trPr>
        <w:tc>
          <w:tcPr>
            <w:tcW w:w="889" w:type="dxa"/>
            <w:noWrap/>
            <w:vAlign w:val="center"/>
          </w:tcPr>
          <w:p w14:paraId="7D561E6D">
            <w:pPr>
              <w:widowControl w:val="0"/>
              <w:autoSpaceDE w:val="0"/>
              <w:autoSpaceDN w:val="0"/>
              <w:spacing w:before="63" w:line="257" w:lineRule="exact"/>
              <w:ind w:left="0" w:leftChars="0" w:right="22" w:firstLine="0" w:firstLineChars="0"/>
              <w:jc w:val="center"/>
              <w:rPr>
                <w:rFonts w:hint="default" w:ascii="Times New Roman" w:hAnsi="Times New Roman" w:eastAsia="宋体" w:cs="Times New Roman"/>
                <w:color w:val="auto"/>
                <w:sz w:val="18"/>
                <w:szCs w:val="18"/>
                <w:lang w:val="zh-CN" w:eastAsia="zh-CN" w:bidi="zh-CN"/>
              </w:rPr>
            </w:pPr>
            <w:r>
              <w:rPr>
                <w:rFonts w:hint="default" w:ascii="Times New Roman" w:hAnsi="Times New Roman" w:eastAsia="宋体" w:cs="Times New Roman"/>
                <w:color w:val="auto"/>
                <w:sz w:val="18"/>
                <w:szCs w:val="18"/>
                <w:lang w:val="zh-CN" w:eastAsia="zh-CN" w:bidi="zh-CN"/>
              </w:rPr>
              <w:t>春季</w:t>
            </w:r>
          </w:p>
        </w:tc>
        <w:tc>
          <w:tcPr>
            <w:tcW w:w="587" w:type="dxa"/>
            <w:noWrap/>
            <w:vAlign w:val="center"/>
          </w:tcPr>
          <w:p w14:paraId="02ECBFE4">
            <w:pPr>
              <w:widowControl w:val="0"/>
              <w:autoSpaceDE w:val="0"/>
              <w:autoSpaceDN w:val="0"/>
              <w:spacing w:before="63" w:line="257" w:lineRule="exact"/>
              <w:ind w:left="0" w:leftChars="0" w:right="22" w:firstLine="0" w:firstLineChars="0"/>
              <w:jc w:val="center"/>
              <w:rPr>
                <w:rFonts w:hint="default" w:ascii="Times New Roman" w:hAnsi="Times New Roman" w:eastAsia="宋体" w:cs="Times New Roman"/>
                <w:color w:val="auto"/>
                <w:sz w:val="18"/>
                <w:szCs w:val="18"/>
                <w:lang w:val="zh-CN" w:eastAsia="zh-CN" w:bidi="zh-CN"/>
              </w:rPr>
            </w:pPr>
            <w:r>
              <w:rPr>
                <w:rFonts w:hint="default" w:ascii="Times New Roman" w:hAnsi="Times New Roman" w:eastAsia="宋体" w:cs="Times New Roman"/>
                <w:color w:val="auto"/>
                <w:sz w:val="18"/>
                <w:szCs w:val="18"/>
                <w:lang w:val="zh-CN" w:eastAsia="zh-CN" w:bidi="zh-CN"/>
              </w:rPr>
              <w:t>2.49</w:t>
            </w:r>
          </w:p>
        </w:tc>
        <w:tc>
          <w:tcPr>
            <w:tcW w:w="434" w:type="dxa"/>
            <w:noWrap/>
            <w:vAlign w:val="center"/>
          </w:tcPr>
          <w:p w14:paraId="2E5FFBE7">
            <w:pPr>
              <w:widowControl w:val="0"/>
              <w:autoSpaceDE w:val="0"/>
              <w:autoSpaceDN w:val="0"/>
              <w:spacing w:before="63" w:line="257" w:lineRule="exact"/>
              <w:ind w:left="0" w:leftChars="0" w:right="22" w:firstLine="0" w:firstLineChars="0"/>
              <w:jc w:val="center"/>
              <w:rPr>
                <w:rFonts w:hint="default" w:ascii="Times New Roman" w:hAnsi="Times New Roman" w:eastAsia="宋体" w:cs="Times New Roman"/>
                <w:color w:val="auto"/>
                <w:sz w:val="18"/>
                <w:szCs w:val="18"/>
                <w:lang w:val="zh-CN" w:eastAsia="zh-CN" w:bidi="zh-CN"/>
              </w:rPr>
            </w:pPr>
            <w:r>
              <w:rPr>
                <w:rFonts w:hint="default" w:ascii="Times New Roman" w:hAnsi="Times New Roman" w:eastAsia="宋体" w:cs="Times New Roman"/>
                <w:color w:val="auto"/>
                <w:sz w:val="18"/>
                <w:szCs w:val="18"/>
                <w:lang w:val="zh-CN" w:eastAsia="zh-CN" w:bidi="zh-CN"/>
              </w:rPr>
              <w:t>2.49</w:t>
            </w:r>
          </w:p>
        </w:tc>
        <w:tc>
          <w:tcPr>
            <w:tcW w:w="464" w:type="dxa"/>
            <w:noWrap/>
            <w:vAlign w:val="center"/>
          </w:tcPr>
          <w:p w14:paraId="47CB48AB">
            <w:pPr>
              <w:widowControl w:val="0"/>
              <w:autoSpaceDE w:val="0"/>
              <w:autoSpaceDN w:val="0"/>
              <w:spacing w:before="63" w:line="257" w:lineRule="exact"/>
              <w:ind w:left="0" w:leftChars="0" w:right="22" w:firstLine="0" w:firstLineChars="0"/>
              <w:jc w:val="center"/>
              <w:rPr>
                <w:rFonts w:hint="default" w:ascii="Times New Roman" w:hAnsi="Times New Roman" w:eastAsia="宋体" w:cs="Times New Roman"/>
                <w:color w:val="auto"/>
                <w:sz w:val="18"/>
                <w:szCs w:val="18"/>
                <w:lang w:val="zh-CN" w:eastAsia="zh-CN" w:bidi="zh-CN"/>
              </w:rPr>
            </w:pPr>
            <w:r>
              <w:rPr>
                <w:rFonts w:hint="default" w:ascii="Times New Roman" w:hAnsi="Times New Roman" w:eastAsia="宋体" w:cs="Times New Roman"/>
                <w:color w:val="auto"/>
                <w:sz w:val="18"/>
                <w:szCs w:val="18"/>
                <w:lang w:val="zh-CN" w:eastAsia="zh-CN" w:bidi="zh-CN"/>
              </w:rPr>
              <w:t>5.21</w:t>
            </w:r>
          </w:p>
        </w:tc>
        <w:tc>
          <w:tcPr>
            <w:tcW w:w="463" w:type="dxa"/>
            <w:noWrap/>
            <w:vAlign w:val="center"/>
          </w:tcPr>
          <w:p w14:paraId="33FAFC08">
            <w:pPr>
              <w:widowControl w:val="0"/>
              <w:autoSpaceDE w:val="0"/>
              <w:autoSpaceDN w:val="0"/>
              <w:spacing w:before="63" w:line="257" w:lineRule="exact"/>
              <w:ind w:left="0" w:leftChars="0" w:right="22" w:firstLine="0" w:firstLineChars="0"/>
              <w:jc w:val="center"/>
              <w:rPr>
                <w:rFonts w:hint="default" w:ascii="Times New Roman" w:hAnsi="Times New Roman" w:eastAsia="宋体" w:cs="Times New Roman"/>
                <w:color w:val="auto"/>
                <w:sz w:val="18"/>
                <w:szCs w:val="18"/>
                <w:lang w:val="zh-CN" w:eastAsia="zh-CN" w:bidi="zh-CN"/>
              </w:rPr>
            </w:pPr>
            <w:r>
              <w:rPr>
                <w:rFonts w:hint="default" w:ascii="Times New Roman" w:hAnsi="Times New Roman" w:eastAsia="宋体" w:cs="Times New Roman"/>
                <w:color w:val="auto"/>
                <w:sz w:val="18"/>
                <w:szCs w:val="18"/>
                <w:lang w:val="zh-CN" w:eastAsia="zh-CN" w:bidi="zh-CN"/>
              </w:rPr>
              <w:t>9.78</w:t>
            </w:r>
          </w:p>
        </w:tc>
        <w:tc>
          <w:tcPr>
            <w:tcW w:w="471" w:type="dxa"/>
            <w:noWrap/>
            <w:vAlign w:val="center"/>
          </w:tcPr>
          <w:p w14:paraId="7E3012C6">
            <w:pPr>
              <w:widowControl w:val="0"/>
              <w:autoSpaceDE w:val="0"/>
              <w:autoSpaceDN w:val="0"/>
              <w:spacing w:before="63" w:line="257" w:lineRule="exact"/>
              <w:ind w:left="0" w:leftChars="0" w:right="22" w:firstLine="0" w:firstLineChars="0"/>
              <w:jc w:val="center"/>
              <w:rPr>
                <w:rFonts w:hint="default" w:ascii="Times New Roman" w:hAnsi="Times New Roman" w:eastAsia="宋体" w:cs="Times New Roman"/>
                <w:color w:val="auto"/>
                <w:sz w:val="18"/>
                <w:szCs w:val="18"/>
                <w:lang w:val="zh-CN" w:eastAsia="zh-CN" w:bidi="zh-CN"/>
              </w:rPr>
            </w:pPr>
            <w:r>
              <w:rPr>
                <w:rFonts w:hint="default" w:ascii="Times New Roman" w:hAnsi="Times New Roman" w:eastAsia="宋体" w:cs="Times New Roman"/>
                <w:color w:val="auto"/>
                <w:sz w:val="18"/>
                <w:szCs w:val="18"/>
                <w:lang w:val="zh-CN" w:eastAsia="zh-CN" w:bidi="zh-CN"/>
              </w:rPr>
              <w:t>24.59</w:t>
            </w:r>
          </w:p>
        </w:tc>
        <w:tc>
          <w:tcPr>
            <w:tcW w:w="471" w:type="dxa"/>
            <w:noWrap/>
            <w:vAlign w:val="center"/>
          </w:tcPr>
          <w:p w14:paraId="50E795D7">
            <w:pPr>
              <w:widowControl w:val="0"/>
              <w:autoSpaceDE w:val="0"/>
              <w:autoSpaceDN w:val="0"/>
              <w:spacing w:before="63" w:line="257" w:lineRule="exact"/>
              <w:ind w:left="0" w:leftChars="0" w:right="22" w:firstLine="0" w:firstLineChars="0"/>
              <w:jc w:val="center"/>
              <w:rPr>
                <w:rFonts w:hint="default" w:ascii="Times New Roman" w:hAnsi="Times New Roman" w:eastAsia="宋体" w:cs="Times New Roman"/>
                <w:color w:val="auto"/>
                <w:sz w:val="18"/>
                <w:szCs w:val="18"/>
                <w:lang w:val="zh-CN" w:eastAsia="zh-CN" w:bidi="zh-CN"/>
              </w:rPr>
            </w:pPr>
            <w:r>
              <w:rPr>
                <w:rFonts w:hint="default" w:ascii="Times New Roman" w:hAnsi="Times New Roman" w:eastAsia="宋体" w:cs="Times New Roman"/>
                <w:color w:val="auto"/>
                <w:sz w:val="18"/>
                <w:szCs w:val="18"/>
                <w:lang w:val="zh-CN" w:eastAsia="zh-CN" w:bidi="zh-CN"/>
              </w:rPr>
              <w:t>10.24</w:t>
            </w:r>
          </w:p>
        </w:tc>
        <w:tc>
          <w:tcPr>
            <w:tcW w:w="464" w:type="dxa"/>
            <w:noWrap/>
            <w:vAlign w:val="center"/>
          </w:tcPr>
          <w:p w14:paraId="4F6FB718">
            <w:pPr>
              <w:widowControl w:val="0"/>
              <w:autoSpaceDE w:val="0"/>
              <w:autoSpaceDN w:val="0"/>
              <w:spacing w:before="63" w:line="257" w:lineRule="exact"/>
              <w:ind w:left="0" w:leftChars="0" w:right="22" w:firstLine="0" w:firstLineChars="0"/>
              <w:jc w:val="center"/>
              <w:rPr>
                <w:rFonts w:hint="default" w:ascii="Times New Roman" w:hAnsi="Times New Roman" w:eastAsia="宋体" w:cs="Times New Roman"/>
                <w:color w:val="auto"/>
                <w:sz w:val="18"/>
                <w:szCs w:val="18"/>
                <w:lang w:val="zh-CN" w:eastAsia="zh-CN" w:bidi="zh-CN"/>
              </w:rPr>
            </w:pPr>
            <w:r>
              <w:rPr>
                <w:rFonts w:hint="default" w:ascii="Times New Roman" w:hAnsi="Times New Roman" w:eastAsia="宋体" w:cs="Times New Roman"/>
                <w:color w:val="auto"/>
                <w:sz w:val="18"/>
                <w:szCs w:val="18"/>
                <w:lang w:val="zh-CN" w:eastAsia="zh-CN" w:bidi="zh-CN"/>
              </w:rPr>
              <w:t>6.61</w:t>
            </w:r>
          </w:p>
        </w:tc>
        <w:tc>
          <w:tcPr>
            <w:tcW w:w="464" w:type="dxa"/>
            <w:noWrap/>
            <w:vAlign w:val="center"/>
          </w:tcPr>
          <w:p w14:paraId="61767974">
            <w:pPr>
              <w:widowControl w:val="0"/>
              <w:autoSpaceDE w:val="0"/>
              <w:autoSpaceDN w:val="0"/>
              <w:spacing w:before="63" w:line="257" w:lineRule="exact"/>
              <w:ind w:left="0" w:leftChars="0" w:right="22" w:firstLine="0" w:firstLineChars="0"/>
              <w:jc w:val="center"/>
              <w:rPr>
                <w:rFonts w:hint="default" w:ascii="Times New Roman" w:hAnsi="Times New Roman" w:eastAsia="宋体" w:cs="Times New Roman"/>
                <w:color w:val="auto"/>
                <w:sz w:val="18"/>
                <w:szCs w:val="18"/>
                <w:lang w:val="zh-CN" w:eastAsia="zh-CN" w:bidi="zh-CN"/>
              </w:rPr>
            </w:pPr>
            <w:r>
              <w:rPr>
                <w:rFonts w:hint="default" w:ascii="Times New Roman" w:hAnsi="Times New Roman" w:eastAsia="宋体" w:cs="Times New Roman"/>
                <w:color w:val="auto"/>
                <w:sz w:val="18"/>
                <w:szCs w:val="18"/>
                <w:lang w:val="zh-CN" w:eastAsia="zh-CN" w:bidi="zh-CN"/>
              </w:rPr>
              <w:t>3.67</w:t>
            </w:r>
          </w:p>
        </w:tc>
        <w:tc>
          <w:tcPr>
            <w:tcW w:w="464" w:type="dxa"/>
            <w:noWrap/>
            <w:vAlign w:val="center"/>
          </w:tcPr>
          <w:p w14:paraId="111E120E">
            <w:pPr>
              <w:widowControl w:val="0"/>
              <w:autoSpaceDE w:val="0"/>
              <w:autoSpaceDN w:val="0"/>
              <w:spacing w:before="63" w:line="257" w:lineRule="exact"/>
              <w:ind w:left="0" w:leftChars="0" w:right="22" w:firstLine="0" w:firstLineChars="0"/>
              <w:jc w:val="center"/>
              <w:rPr>
                <w:rFonts w:hint="default" w:ascii="Times New Roman" w:hAnsi="Times New Roman" w:eastAsia="宋体" w:cs="Times New Roman"/>
                <w:color w:val="auto"/>
                <w:sz w:val="18"/>
                <w:szCs w:val="18"/>
                <w:lang w:val="zh-CN" w:eastAsia="zh-CN" w:bidi="zh-CN"/>
              </w:rPr>
            </w:pPr>
            <w:r>
              <w:rPr>
                <w:rFonts w:hint="default" w:ascii="Times New Roman" w:hAnsi="Times New Roman" w:eastAsia="宋体" w:cs="Times New Roman"/>
                <w:color w:val="auto"/>
                <w:sz w:val="18"/>
                <w:szCs w:val="18"/>
                <w:lang w:val="zh-CN" w:eastAsia="zh-CN" w:bidi="zh-CN"/>
              </w:rPr>
              <w:t>4.66</w:t>
            </w:r>
          </w:p>
        </w:tc>
        <w:tc>
          <w:tcPr>
            <w:tcW w:w="464" w:type="dxa"/>
            <w:noWrap/>
            <w:vAlign w:val="center"/>
          </w:tcPr>
          <w:p w14:paraId="73FE3CAC">
            <w:pPr>
              <w:widowControl w:val="0"/>
              <w:autoSpaceDE w:val="0"/>
              <w:autoSpaceDN w:val="0"/>
              <w:spacing w:before="63" w:line="257" w:lineRule="exact"/>
              <w:ind w:left="0" w:leftChars="0" w:right="22" w:firstLine="0" w:firstLineChars="0"/>
              <w:jc w:val="center"/>
              <w:rPr>
                <w:rFonts w:hint="default" w:ascii="Times New Roman" w:hAnsi="Times New Roman" w:eastAsia="宋体" w:cs="Times New Roman"/>
                <w:color w:val="auto"/>
                <w:sz w:val="18"/>
                <w:szCs w:val="18"/>
                <w:lang w:val="zh-CN" w:eastAsia="zh-CN" w:bidi="zh-CN"/>
              </w:rPr>
            </w:pPr>
            <w:r>
              <w:rPr>
                <w:rFonts w:hint="default" w:ascii="Times New Roman" w:hAnsi="Times New Roman" w:eastAsia="宋体" w:cs="Times New Roman"/>
                <w:color w:val="auto"/>
                <w:sz w:val="18"/>
                <w:szCs w:val="18"/>
                <w:lang w:val="zh-CN" w:eastAsia="zh-CN" w:bidi="zh-CN"/>
              </w:rPr>
              <w:t>2.99</w:t>
            </w:r>
          </w:p>
        </w:tc>
        <w:tc>
          <w:tcPr>
            <w:tcW w:w="464" w:type="dxa"/>
            <w:noWrap/>
            <w:vAlign w:val="center"/>
          </w:tcPr>
          <w:p w14:paraId="1953D12C">
            <w:pPr>
              <w:widowControl w:val="0"/>
              <w:autoSpaceDE w:val="0"/>
              <w:autoSpaceDN w:val="0"/>
              <w:spacing w:before="63" w:line="257" w:lineRule="exact"/>
              <w:ind w:left="0" w:leftChars="0" w:right="22" w:firstLine="0" w:firstLineChars="0"/>
              <w:jc w:val="center"/>
              <w:rPr>
                <w:rFonts w:hint="default" w:ascii="Times New Roman" w:hAnsi="Times New Roman" w:eastAsia="宋体" w:cs="Times New Roman"/>
                <w:color w:val="auto"/>
                <w:sz w:val="18"/>
                <w:szCs w:val="18"/>
                <w:lang w:val="zh-CN" w:eastAsia="zh-CN" w:bidi="zh-CN"/>
              </w:rPr>
            </w:pPr>
            <w:r>
              <w:rPr>
                <w:rFonts w:hint="default" w:ascii="Times New Roman" w:hAnsi="Times New Roman" w:eastAsia="宋体" w:cs="Times New Roman"/>
                <w:color w:val="auto"/>
                <w:sz w:val="18"/>
                <w:szCs w:val="18"/>
                <w:lang w:val="zh-CN" w:eastAsia="zh-CN" w:bidi="zh-CN"/>
              </w:rPr>
              <w:t>3.58</w:t>
            </w:r>
          </w:p>
        </w:tc>
        <w:tc>
          <w:tcPr>
            <w:tcW w:w="508" w:type="dxa"/>
            <w:noWrap/>
            <w:vAlign w:val="center"/>
          </w:tcPr>
          <w:p w14:paraId="70319AAF">
            <w:pPr>
              <w:widowControl w:val="0"/>
              <w:autoSpaceDE w:val="0"/>
              <w:autoSpaceDN w:val="0"/>
              <w:spacing w:before="63" w:line="257" w:lineRule="exact"/>
              <w:ind w:left="0" w:leftChars="0" w:right="22" w:firstLine="0" w:firstLineChars="0"/>
              <w:jc w:val="center"/>
              <w:rPr>
                <w:rFonts w:hint="default" w:ascii="Times New Roman" w:hAnsi="Times New Roman" w:eastAsia="宋体" w:cs="Times New Roman"/>
                <w:color w:val="auto"/>
                <w:sz w:val="18"/>
                <w:szCs w:val="18"/>
                <w:lang w:val="zh-CN" w:eastAsia="zh-CN" w:bidi="zh-CN"/>
              </w:rPr>
            </w:pPr>
            <w:r>
              <w:rPr>
                <w:rFonts w:hint="default" w:ascii="Times New Roman" w:hAnsi="Times New Roman" w:eastAsia="宋体" w:cs="Times New Roman"/>
                <w:color w:val="auto"/>
                <w:sz w:val="18"/>
                <w:szCs w:val="18"/>
                <w:lang w:val="zh-CN" w:eastAsia="zh-CN" w:bidi="zh-CN"/>
              </w:rPr>
              <w:t>5.34</w:t>
            </w:r>
          </w:p>
        </w:tc>
        <w:tc>
          <w:tcPr>
            <w:tcW w:w="471" w:type="dxa"/>
            <w:noWrap/>
            <w:vAlign w:val="center"/>
          </w:tcPr>
          <w:p w14:paraId="52D76EEB">
            <w:pPr>
              <w:widowControl w:val="0"/>
              <w:autoSpaceDE w:val="0"/>
              <w:autoSpaceDN w:val="0"/>
              <w:spacing w:before="63" w:line="257" w:lineRule="exact"/>
              <w:ind w:left="0" w:leftChars="0" w:right="22" w:firstLine="0" w:firstLineChars="0"/>
              <w:jc w:val="center"/>
              <w:rPr>
                <w:rFonts w:hint="default" w:ascii="Times New Roman" w:hAnsi="Times New Roman" w:eastAsia="宋体" w:cs="Times New Roman"/>
                <w:color w:val="auto"/>
                <w:sz w:val="18"/>
                <w:szCs w:val="18"/>
                <w:lang w:val="zh-CN" w:eastAsia="zh-CN" w:bidi="zh-CN"/>
              </w:rPr>
            </w:pPr>
            <w:r>
              <w:rPr>
                <w:rFonts w:hint="default" w:ascii="Times New Roman" w:hAnsi="Times New Roman" w:eastAsia="宋体" w:cs="Times New Roman"/>
                <w:color w:val="auto"/>
                <w:sz w:val="18"/>
                <w:szCs w:val="18"/>
                <w:lang w:val="zh-CN" w:eastAsia="zh-CN" w:bidi="zh-CN"/>
              </w:rPr>
              <w:t>9.92</w:t>
            </w:r>
          </w:p>
        </w:tc>
        <w:tc>
          <w:tcPr>
            <w:tcW w:w="540" w:type="dxa"/>
            <w:noWrap/>
            <w:vAlign w:val="center"/>
          </w:tcPr>
          <w:p w14:paraId="63B6F1E2">
            <w:pPr>
              <w:widowControl w:val="0"/>
              <w:autoSpaceDE w:val="0"/>
              <w:autoSpaceDN w:val="0"/>
              <w:spacing w:before="63" w:line="257" w:lineRule="exact"/>
              <w:ind w:left="0" w:leftChars="0" w:right="22" w:firstLine="0" w:firstLineChars="0"/>
              <w:jc w:val="center"/>
              <w:rPr>
                <w:rFonts w:hint="default" w:ascii="Times New Roman" w:hAnsi="Times New Roman" w:eastAsia="宋体" w:cs="Times New Roman"/>
                <w:color w:val="auto"/>
                <w:sz w:val="18"/>
                <w:szCs w:val="18"/>
                <w:lang w:val="zh-CN" w:eastAsia="zh-CN" w:bidi="zh-CN"/>
              </w:rPr>
            </w:pPr>
            <w:r>
              <w:rPr>
                <w:rFonts w:hint="default" w:ascii="Times New Roman" w:hAnsi="Times New Roman" w:eastAsia="宋体" w:cs="Times New Roman"/>
                <w:color w:val="auto"/>
                <w:sz w:val="18"/>
                <w:szCs w:val="18"/>
                <w:lang w:val="zh-CN" w:eastAsia="zh-CN" w:bidi="zh-CN"/>
              </w:rPr>
              <w:t>3.89</w:t>
            </w:r>
          </w:p>
        </w:tc>
        <w:tc>
          <w:tcPr>
            <w:tcW w:w="465" w:type="dxa"/>
            <w:noWrap/>
            <w:vAlign w:val="center"/>
          </w:tcPr>
          <w:p w14:paraId="5AD2C69E">
            <w:pPr>
              <w:widowControl w:val="0"/>
              <w:autoSpaceDE w:val="0"/>
              <w:autoSpaceDN w:val="0"/>
              <w:spacing w:before="63" w:line="257" w:lineRule="exact"/>
              <w:ind w:left="0" w:leftChars="0" w:right="22" w:firstLine="0" w:firstLineChars="0"/>
              <w:jc w:val="center"/>
              <w:rPr>
                <w:rFonts w:hint="default" w:ascii="Times New Roman" w:hAnsi="Times New Roman" w:eastAsia="宋体" w:cs="Times New Roman"/>
                <w:color w:val="auto"/>
                <w:sz w:val="18"/>
                <w:szCs w:val="18"/>
                <w:lang w:val="zh-CN" w:eastAsia="zh-CN" w:bidi="zh-CN"/>
              </w:rPr>
            </w:pPr>
            <w:r>
              <w:rPr>
                <w:rFonts w:hint="default" w:ascii="Times New Roman" w:hAnsi="Times New Roman" w:eastAsia="宋体" w:cs="Times New Roman"/>
                <w:color w:val="auto"/>
                <w:sz w:val="18"/>
                <w:szCs w:val="18"/>
                <w:lang w:val="zh-CN" w:eastAsia="zh-CN" w:bidi="zh-CN"/>
              </w:rPr>
              <w:t>2.72</w:t>
            </w:r>
          </w:p>
        </w:tc>
        <w:tc>
          <w:tcPr>
            <w:tcW w:w="498" w:type="dxa"/>
            <w:noWrap/>
            <w:vAlign w:val="center"/>
          </w:tcPr>
          <w:p w14:paraId="516D77D0">
            <w:pPr>
              <w:widowControl w:val="0"/>
              <w:autoSpaceDE w:val="0"/>
              <w:autoSpaceDN w:val="0"/>
              <w:spacing w:before="63" w:line="257" w:lineRule="exact"/>
              <w:ind w:left="0" w:leftChars="0" w:right="22" w:firstLine="0" w:firstLineChars="0"/>
              <w:jc w:val="center"/>
              <w:rPr>
                <w:rFonts w:hint="default" w:ascii="Times New Roman" w:hAnsi="Times New Roman" w:eastAsia="宋体" w:cs="Times New Roman"/>
                <w:color w:val="auto"/>
                <w:sz w:val="18"/>
                <w:szCs w:val="18"/>
                <w:lang w:val="zh-CN" w:eastAsia="zh-CN" w:bidi="zh-CN"/>
              </w:rPr>
            </w:pPr>
            <w:r>
              <w:rPr>
                <w:rFonts w:hint="default" w:ascii="Times New Roman" w:hAnsi="Times New Roman" w:eastAsia="宋体" w:cs="Times New Roman"/>
                <w:color w:val="auto"/>
                <w:sz w:val="18"/>
                <w:szCs w:val="18"/>
                <w:lang w:val="zh-CN" w:eastAsia="zh-CN" w:bidi="zh-CN"/>
              </w:rPr>
              <w:t>1.77</w:t>
            </w:r>
          </w:p>
        </w:tc>
        <w:tc>
          <w:tcPr>
            <w:tcW w:w="465" w:type="dxa"/>
            <w:noWrap/>
            <w:vAlign w:val="center"/>
          </w:tcPr>
          <w:p w14:paraId="620DCBB0">
            <w:pPr>
              <w:widowControl w:val="0"/>
              <w:autoSpaceDE w:val="0"/>
              <w:autoSpaceDN w:val="0"/>
              <w:spacing w:before="63" w:line="257" w:lineRule="exact"/>
              <w:ind w:left="0" w:leftChars="0" w:right="22" w:firstLine="0" w:firstLineChars="0"/>
              <w:jc w:val="center"/>
              <w:rPr>
                <w:rFonts w:hint="default" w:ascii="Times New Roman" w:hAnsi="Times New Roman" w:eastAsia="宋体" w:cs="Times New Roman"/>
                <w:color w:val="auto"/>
                <w:sz w:val="18"/>
                <w:szCs w:val="18"/>
                <w:lang w:val="zh-CN" w:eastAsia="zh-CN" w:bidi="zh-CN"/>
              </w:rPr>
            </w:pPr>
            <w:r>
              <w:rPr>
                <w:rFonts w:hint="default" w:ascii="Times New Roman" w:hAnsi="Times New Roman" w:eastAsia="宋体" w:cs="Times New Roman"/>
                <w:color w:val="auto"/>
                <w:sz w:val="18"/>
                <w:szCs w:val="18"/>
                <w:lang w:val="zh-CN" w:eastAsia="zh-CN" w:bidi="zh-CN"/>
              </w:rPr>
              <w:t>0.05</w:t>
            </w:r>
          </w:p>
        </w:tc>
      </w:tr>
      <w:tr w14:paraId="52C82DC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6" w:type="dxa"/>
            <w:bottom w:w="0" w:type="dxa"/>
            <w:right w:w="6" w:type="dxa"/>
          </w:tblCellMar>
        </w:tblPrEx>
        <w:trPr>
          <w:trHeight w:val="385" w:hRule="atLeast"/>
        </w:trPr>
        <w:tc>
          <w:tcPr>
            <w:tcW w:w="889" w:type="dxa"/>
            <w:noWrap/>
            <w:vAlign w:val="center"/>
          </w:tcPr>
          <w:p w14:paraId="5C86B4A2">
            <w:pPr>
              <w:widowControl w:val="0"/>
              <w:autoSpaceDE w:val="0"/>
              <w:autoSpaceDN w:val="0"/>
              <w:spacing w:before="63" w:line="257" w:lineRule="exact"/>
              <w:ind w:left="0" w:leftChars="0" w:right="22" w:firstLine="0" w:firstLineChars="0"/>
              <w:jc w:val="center"/>
              <w:rPr>
                <w:rFonts w:hint="default" w:ascii="Times New Roman" w:hAnsi="Times New Roman" w:eastAsia="宋体" w:cs="Times New Roman"/>
                <w:color w:val="auto"/>
                <w:sz w:val="18"/>
                <w:szCs w:val="18"/>
                <w:lang w:val="zh-CN" w:eastAsia="zh-CN" w:bidi="zh-CN"/>
              </w:rPr>
            </w:pPr>
            <w:r>
              <w:rPr>
                <w:rFonts w:hint="default" w:ascii="Times New Roman" w:hAnsi="Times New Roman" w:eastAsia="宋体" w:cs="Times New Roman"/>
                <w:color w:val="auto"/>
                <w:sz w:val="18"/>
                <w:szCs w:val="18"/>
                <w:lang w:val="zh-CN" w:eastAsia="zh-CN" w:bidi="zh-CN"/>
              </w:rPr>
              <w:t>夏季</w:t>
            </w:r>
          </w:p>
        </w:tc>
        <w:tc>
          <w:tcPr>
            <w:tcW w:w="587" w:type="dxa"/>
            <w:noWrap/>
            <w:vAlign w:val="center"/>
          </w:tcPr>
          <w:p w14:paraId="2A75634A">
            <w:pPr>
              <w:widowControl w:val="0"/>
              <w:autoSpaceDE w:val="0"/>
              <w:autoSpaceDN w:val="0"/>
              <w:spacing w:before="63" w:line="257" w:lineRule="exact"/>
              <w:ind w:left="0" w:leftChars="0" w:right="22" w:firstLine="0" w:firstLineChars="0"/>
              <w:jc w:val="center"/>
              <w:rPr>
                <w:rFonts w:hint="default" w:ascii="Times New Roman" w:hAnsi="Times New Roman" w:eastAsia="宋体" w:cs="Times New Roman"/>
                <w:color w:val="auto"/>
                <w:sz w:val="18"/>
                <w:szCs w:val="18"/>
                <w:lang w:val="zh-CN" w:eastAsia="zh-CN" w:bidi="zh-CN"/>
              </w:rPr>
            </w:pPr>
            <w:r>
              <w:rPr>
                <w:rFonts w:hint="default" w:ascii="Times New Roman" w:hAnsi="Times New Roman" w:eastAsia="宋体" w:cs="Times New Roman"/>
                <w:color w:val="auto"/>
                <w:sz w:val="18"/>
                <w:szCs w:val="18"/>
                <w:lang w:val="zh-CN" w:eastAsia="zh-CN" w:bidi="zh-CN"/>
              </w:rPr>
              <w:t>4.94</w:t>
            </w:r>
          </w:p>
        </w:tc>
        <w:tc>
          <w:tcPr>
            <w:tcW w:w="434" w:type="dxa"/>
            <w:noWrap/>
            <w:vAlign w:val="center"/>
          </w:tcPr>
          <w:p w14:paraId="7D1745B9">
            <w:pPr>
              <w:widowControl w:val="0"/>
              <w:autoSpaceDE w:val="0"/>
              <w:autoSpaceDN w:val="0"/>
              <w:spacing w:before="63" w:line="257" w:lineRule="exact"/>
              <w:ind w:left="0" w:leftChars="0" w:right="22" w:firstLine="0" w:firstLineChars="0"/>
              <w:jc w:val="center"/>
              <w:rPr>
                <w:rFonts w:hint="default" w:ascii="Times New Roman" w:hAnsi="Times New Roman" w:eastAsia="宋体" w:cs="Times New Roman"/>
                <w:color w:val="auto"/>
                <w:sz w:val="18"/>
                <w:szCs w:val="18"/>
                <w:lang w:val="zh-CN" w:eastAsia="zh-CN" w:bidi="zh-CN"/>
              </w:rPr>
            </w:pPr>
            <w:r>
              <w:rPr>
                <w:rFonts w:hint="default" w:ascii="Times New Roman" w:hAnsi="Times New Roman" w:eastAsia="宋体" w:cs="Times New Roman"/>
                <w:color w:val="auto"/>
                <w:sz w:val="18"/>
                <w:szCs w:val="18"/>
                <w:lang w:val="zh-CN" w:eastAsia="zh-CN" w:bidi="zh-CN"/>
              </w:rPr>
              <w:t>2.31</w:t>
            </w:r>
          </w:p>
        </w:tc>
        <w:tc>
          <w:tcPr>
            <w:tcW w:w="464" w:type="dxa"/>
            <w:noWrap/>
            <w:vAlign w:val="center"/>
          </w:tcPr>
          <w:p w14:paraId="58DEECEB">
            <w:pPr>
              <w:widowControl w:val="0"/>
              <w:autoSpaceDE w:val="0"/>
              <w:autoSpaceDN w:val="0"/>
              <w:spacing w:before="63" w:line="257" w:lineRule="exact"/>
              <w:ind w:left="0" w:leftChars="0" w:right="22" w:firstLine="0" w:firstLineChars="0"/>
              <w:jc w:val="center"/>
              <w:rPr>
                <w:rFonts w:hint="default" w:ascii="Times New Roman" w:hAnsi="Times New Roman" w:eastAsia="宋体" w:cs="Times New Roman"/>
                <w:color w:val="auto"/>
                <w:sz w:val="18"/>
                <w:szCs w:val="18"/>
                <w:lang w:val="zh-CN" w:eastAsia="zh-CN" w:bidi="zh-CN"/>
              </w:rPr>
            </w:pPr>
            <w:r>
              <w:rPr>
                <w:rFonts w:hint="default" w:ascii="Times New Roman" w:hAnsi="Times New Roman" w:eastAsia="宋体" w:cs="Times New Roman"/>
                <w:color w:val="auto"/>
                <w:sz w:val="18"/>
                <w:szCs w:val="18"/>
                <w:lang w:val="zh-CN" w:eastAsia="zh-CN" w:bidi="zh-CN"/>
              </w:rPr>
              <w:t>4.03</w:t>
            </w:r>
          </w:p>
        </w:tc>
        <w:tc>
          <w:tcPr>
            <w:tcW w:w="463" w:type="dxa"/>
            <w:noWrap/>
            <w:vAlign w:val="center"/>
          </w:tcPr>
          <w:p w14:paraId="4EE469A7">
            <w:pPr>
              <w:widowControl w:val="0"/>
              <w:autoSpaceDE w:val="0"/>
              <w:autoSpaceDN w:val="0"/>
              <w:spacing w:before="63" w:line="257" w:lineRule="exact"/>
              <w:ind w:left="0" w:leftChars="0" w:right="22" w:firstLine="0" w:firstLineChars="0"/>
              <w:jc w:val="center"/>
              <w:rPr>
                <w:rFonts w:hint="default" w:ascii="Times New Roman" w:hAnsi="Times New Roman" w:eastAsia="宋体" w:cs="Times New Roman"/>
                <w:color w:val="auto"/>
                <w:sz w:val="18"/>
                <w:szCs w:val="18"/>
                <w:lang w:val="zh-CN" w:eastAsia="zh-CN" w:bidi="zh-CN"/>
              </w:rPr>
            </w:pPr>
            <w:r>
              <w:rPr>
                <w:rFonts w:hint="default" w:ascii="Times New Roman" w:hAnsi="Times New Roman" w:eastAsia="宋体" w:cs="Times New Roman"/>
                <w:color w:val="auto"/>
                <w:sz w:val="18"/>
                <w:szCs w:val="18"/>
                <w:lang w:val="zh-CN" w:eastAsia="zh-CN" w:bidi="zh-CN"/>
              </w:rPr>
              <w:t>7.34</w:t>
            </w:r>
          </w:p>
        </w:tc>
        <w:tc>
          <w:tcPr>
            <w:tcW w:w="471" w:type="dxa"/>
            <w:noWrap/>
            <w:vAlign w:val="center"/>
          </w:tcPr>
          <w:p w14:paraId="475CDC51">
            <w:pPr>
              <w:widowControl w:val="0"/>
              <w:autoSpaceDE w:val="0"/>
              <w:autoSpaceDN w:val="0"/>
              <w:spacing w:before="63" w:line="257" w:lineRule="exact"/>
              <w:ind w:left="0" w:leftChars="0" w:right="22" w:firstLine="0" w:firstLineChars="0"/>
              <w:jc w:val="center"/>
              <w:rPr>
                <w:rFonts w:hint="default" w:ascii="Times New Roman" w:hAnsi="Times New Roman" w:eastAsia="宋体" w:cs="Times New Roman"/>
                <w:color w:val="auto"/>
                <w:sz w:val="18"/>
                <w:szCs w:val="18"/>
                <w:lang w:val="zh-CN" w:eastAsia="zh-CN" w:bidi="zh-CN"/>
              </w:rPr>
            </w:pPr>
            <w:r>
              <w:rPr>
                <w:rFonts w:hint="default" w:ascii="Times New Roman" w:hAnsi="Times New Roman" w:eastAsia="宋体" w:cs="Times New Roman"/>
                <w:color w:val="auto"/>
                <w:sz w:val="18"/>
                <w:szCs w:val="18"/>
                <w:lang w:val="zh-CN" w:eastAsia="zh-CN" w:bidi="zh-CN"/>
              </w:rPr>
              <w:t>18.61</w:t>
            </w:r>
          </w:p>
        </w:tc>
        <w:tc>
          <w:tcPr>
            <w:tcW w:w="471" w:type="dxa"/>
            <w:noWrap/>
            <w:vAlign w:val="center"/>
          </w:tcPr>
          <w:p w14:paraId="1D488468">
            <w:pPr>
              <w:widowControl w:val="0"/>
              <w:autoSpaceDE w:val="0"/>
              <w:autoSpaceDN w:val="0"/>
              <w:spacing w:before="63" w:line="257" w:lineRule="exact"/>
              <w:ind w:left="0" w:leftChars="0" w:right="22" w:firstLine="0" w:firstLineChars="0"/>
              <w:jc w:val="center"/>
              <w:rPr>
                <w:rFonts w:hint="default" w:ascii="Times New Roman" w:hAnsi="Times New Roman" w:eastAsia="宋体" w:cs="Times New Roman"/>
                <w:color w:val="auto"/>
                <w:sz w:val="18"/>
                <w:szCs w:val="18"/>
                <w:lang w:val="zh-CN" w:eastAsia="zh-CN" w:bidi="zh-CN"/>
              </w:rPr>
            </w:pPr>
            <w:r>
              <w:rPr>
                <w:rFonts w:hint="default" w:ascii="Times New Roman" w:hAnsi="Times New Roman" w:eastAsia="宋体" w:cs="Times New Roman"/>
                <w:color w:val="auto"/>
                <w:sz w:val="18"/>
                <w:szCs w:val="18"/>
                <w:lang w:val="zh-CN" w:eastAsia="zh-CN" w:bidi="zh-CN"/>
              </w:rPr>
              <w:t>12.64</w:t>
            </w:r>
          </w:p>
        </w:tc>
        <w:tc>
          <w:tcPr>
            <w:tcW w:w="464" w:type="dxa"/>
            <w:noWrap/>
            <w:vAlign w:val="center"/>
          </w:tcPr>
          <w:p w14:paraId="77A7BA01">
            <w:pPr>
              <w:widowControl w:val="0"/>
              <w:autoSpaceDE w:val="0"/>
              <w:autoSpaceDN w:val="0"/>
              <w:spacing w:before="63" w:line="257" w:lineRule="exact"/>
              <w:ind w:left="0" w:leftChars="0" w:right="22" w:firstLine="0" w:firstLineChars="0"/>
              <w:jc w:val="center"/>
              <w:rPr>
                <w:rFonts w:hint="default" w:ascii="Times New Roman" w:hAnsi="Times New Roman" w:eastAsia="宋体" w:cs="Times New Roman"/>
                <w:color w:val="auto"/>
                <w:sz w:val="18"/>
                <w:szCs w:val="18"/>
                <w:lang w:val="zh-CN" w:eastAsia="zh-CN" w:bidi="zh-CN"/>
              </w:rPr>
            </w:pPr>
            <w:r>
              <w:rPr>
                <w:rFonts w:hint="default" w:ascii="Times New Roman" w:hAnsi="Times New Roman" w:eastAsia="宋体" w:cs="Times New Roman"/>
                <w:color w:val="auto"/>
                <w:sz w:val="18"/>
                <w:szCs w:val="18"/>
                <w:lang w:val="zh-CN" w:eastAsia="zh-CN" w:bidi="zh-CN"/>
              </w:rPr>
              <w:t>8.70</w:t>
            </w:r>
          </w:p>
        </w:tc>
        <w:tc>
          <w:tcPr>
            <w:tcW w:w="464" w:type="dxa"/>
            <w:noWrap/>
            <w:vAlign w:val="center"/>
          </w:tcPr>
          <w:p w14:paraId="305F4105">
            <w:pPr>
              <w:widowControl w:val="0"/>
              <w:autoSpaceDE w:val="0"/>
              <w:autoSpaceDN w:val="0"/>
              <w:spacing w:before="63" w:line="257" w:lineRule="exact"/>
              <w:ind w:left="0" w:leftChars="0" w:right="22" w:firstLine="0" w:firstLineChars="0"/>
              <w:jc w:val="center"/>
              <w:rPr>
                <w:rFonts w:hint="default" w:ascii="Times New Roman" w:hAnsi="Times New Roman" w:eastAsia="宋体" w:cs="Times New Roman"/>
                <w:color w:val="auto"/>
                <w:sz w:val="18"/>
                <w:szCs w:val="18"/>
                <w:lang w:val="zh-CN" w:eastAsia="zh-CN" w:bidi="zh-CN"/>
              </w:rPr>
            </w:pPr>
            <w:r>
              <w:rPr>
                <w:rFonts w:hint="default" w:ascii="Times New Roman" w:hAnsi="Times New Roman" w:eastAsia="宋体" w:cs="Times New Roman"/>
                <w:color w:val="auto"/>
                <w:sz w:val="18"/>
                <w:szCs w:val="18"/>
                <w:lang w:val="zh-CN" w:eastAsia="zh-CN" w:bidi="zh-CN"/>
              </w:rPr>
              <w:t>5.89</w:t>
            </w:r>
          </w:p>
        </w:tc>
        <w:tc>
          <w:tcPr>
            <w:tcW w:w="464" w:type="dxa"/>
            <w:noWrap/>
            <w:vAlign w:val="center"/>
          </w:tcPr>
          <w:p w14:paraId="19DF1618">
            <w:pPr>
              <w:widowControl w:val="0"/>
              <w:autoSpaceDE w:val="0"/>
              <w:autoSpaceDN w:val="0"/>
              <w:spacing w:before="63" w:line="257" w:lineRule="exact"/>
              <w:ind w:left="0" w:leftChars="0" w:right="22" w:firstLine="0" w:firstLineChars="0"/>
              <w:jc w:val="center"/>
              <w:rPr>
                <w:rFonts w:hint="default" w:ascii="Times New Roman" w:hAnsi="Times New Roman" w:eastAsia="宋体" w:cs="Times New Roman"/>
                <w:color w:val="auto"/>
                <w:sz w:val="18"/>
                <w:szCs w:val="18"/>
                <w:lang w:val="zh-CN" w:eastAsia="zh-CN" w:bidi="zh-CN"/>
              </w:rPr>
            </w:pPr>
            <w:r>
              <w:rPr>
                <w:rFonts w:hint="default" w:ascii="Times New Roman" w:hAnsi="Times New Roman" w:eastAsia="宋体" w:cs="Times New Roman"/>
                <w:color w:val="auto"/>
                <w:sz w:val="18"/>
                <w:szCs w:val="18"/>
                <w:lang w:val="zh-CN" w:eastAsia="zh-CN" w:bidi="zh-CN"/>
              </w:rPr>
              <w:t>4.98</w:t>
            </w:r>
          </w:p>
        </w:tc>
        <w:tc>
          <w:tcPr>
            <w:tcW w:w="464" w:type="dxa"/>
            <w:noWrap/>
            <w:vAlign w:val="center"/>
          </w:tcPr>
          <w:p w14:paraId="4670B111">
            <w:pPr>
              <w:widowControl w:val="0"/>
              <w:autoSpaceDE w:val="0"/>
              <w:autoSpaceDN w:val="0"/>
              <w:spacing w:before="63" w:line="257" w:lineRule="exact"/>
              <w:ind w:left="0" w:leftChars="0" w:right="22" w:firstLine="0" w:firstLineChars="0"/>
              <w:jc w:val="center"/>
              <w:rPr>
                <w:rFonts w:hint="default" w:ascii="Times New Roman" w:hAnsi="Times New Roman" w:eastAsia="宋体" w:cs="Times New Roman"/>
                <w:color w:val="auto"/>
                <w:sz w:val="18"/>
                <w:szCs w:val="18"/>
                <w:lang w:val="zh-CN" w:eastAsia="zh-CN" w:bidi="zh-CN"/>
              </w:rPr>
            </w:pPr>
            <w:r>
              <w:rPr>
                <w:rFonts w:hint="default" w:ascii="Times New Roman" w:hAnsi="Times New Roman" w:eastAsia="宋体" w:cs="Times New Roman"/>
                <w:color w:val="auto"/>
                <w:sz w:val="18"/>
                <w:szCs w:val="18"/>
                <w:lang w:val="zh-CN" w:eastAsia="zh-CN" w:bidi="zh-CN"/>
              </w:rPr>
              <w:t>2.67</w:t>
            </w:r>
          </w:p>
        </w:tc>
        <w:tc>
          <w:tcPr>
            <w:tcW w:w="464" w:type="dxa"/>
            <w:noWrap/>
            <w:vAlign w:val="center"/>
          </w:tcPr>
          <w:p w14:paraId="06EAD447">
            <w:pPr>
              <w:widowControl w:val="0"/>
              <w:autoSpaceDE w:val="0"/>
              <w:autoSpaceDN w:val="0"/>
              <w:spacing w:before="63" w:line="257" w:lineRule="exact"/>
              <w:ind w:left="0" w:leftChars="0" w:right="22" w:firstLine="0" w:firstLineChars="0"/>
              <w:jc w:val="center"/>
              <w:rPr>
                <w:rFonts w:hint="default" w:ascii="Times New Roman" w:hAnsi="Times New Roman" w:eastAsia="宋体" w:cs="Times New Roman"/>
                <w:color w:val="auto"/>
                <w:sz w:val="18"/>
                <w:szCs w:val="18"/>
                <w:lang w:val="zh-CN" w:eastAsia="zh-CN" w:bidi="zh-CN"/>
              </w:rPr>
            </w:pPr>
            <w:r>
              <w:rPr>
                <w:rFonts w:hint="default" w:ascii="Times New Roman" w:hAnsi="Times New Roman" w:eastAsia="宋体" w:cs="Times New Roman"/>
                <w:color w:val="auto"/>
                <w:sz w:val="18"/>
                <w:szCs w:val="18"/>
                <w:lang w:val="zh-CN" w:eastAsia="zh-CN" w:bidi="zh-CN"/>
              </w:rPr>
              <w:t>2.85</w:t>
            </w:r>
          </w:p>
        </w:tc>
        <w:tc>
          <w:tcPr>
            <w:tcW w:w="508" w:type="dxa"/>
            <w:noWrap/>
            <w:vAlign w:val="center"/>
          </w:tcPr>
          <w:p w14:paraId="582969B0">
            <w:pPr>
              <w:widowControl w:val="0"/>
              <w:autoSpaceDE w:val="0"/>
              <w:autoSpaceDN w:val="0"/>
              <w:spacing w:before="63" w:line="257" w:lineRule="exact"/>
              <w:ind w:left="0" w:leftChars="0" w:right="22" w:firstLine="0" w:firstLineChars="0"/>
              <w:jc w:val="center"/>
              <w:rPr>
                <w:rFonts w:hint="default" w:ascii="Times New Roman" w:hAnsi="Times New Roman" w:eastAsia="宋体" w:cs="Times New Roman"/>
                <w:color w:val="auto"/>
                <w:sz w:val="18"/>
                <w:szCs w:val="18"/>
                <w:lang w:val="zh-CN" w:eastAsia="zh-CN" w:bidi="zh-CN"/>
              </w:rPr>
            </w:pPr>
            <w:r>
              <w:rPr>
                <w:rFonts w:hint="default" w:ascii="Times New Roman" w:hAnsi="Times New Roman" w:eastAsia="宋体" w:cs="Times New Roman"/>
                <w:color w:val="auto"/>
                <w:sz w:val="18"/>
                <w:szCs w:val="18"/>
                <w:lang w:val="zh-CN" w:eastAsia="zh-CN" w:bidi="zh-CN"/>
              </w:rPr>
              <w:t>3.71</w:t>
            </w:r>
          </w:p>
        </w:tc>
        <w:tc>
          <w:tcPr>
            <w:tcW w:w="471" w:type="dxa"/>
            <w:noWrap/>
            <w:vAlign w:val="center"/>
          </w:tcPr>
          <w:p w14:paraId="2013F54F">
            <w:pPr>
              <w:widowControl w:val="0"/>
              <w:autoSpaceDE w:val="0"/>
              <w:autoSpaceDN w:val="0"/>
              <w:spacing w:before="63" w:line="257" w:lineRule="exact"/>
              <w:ind w:left="0" w:leftChars="0" w:right="22" w:firstLine="0" w:firstLineChars="0"/>
              <w:jc w:val="center"/>
              <w:rPr>
                <w:rFonts w:hint="default" w:ascii="Times New Roman" w:hAnsi="Times New Roman" w:eastAsia="宋体" w:cs="Times New Roman"/>
                <w:color w:val="auto"/>
                <w:sz w:val="18"/>
                <w:szCs w:val="18"/>
                <w:lang w:val="zh-CN" w:eastAsia="zh-CN" w:bidi="zh-CN"/>
              </w:rPr>
            </w:pPr>
            <w:r>
              <w:rPr>
                <w:rFonts w:hint="default" w:ascii="Times New Roman" w:hAnsi="Times New Roman" w:eastAsia="宋体" w:cs="Times New Roman"/>
                <w:color w:val="auto"/>
                <w:sz w:val="18"/>
                <w:szCs w:val="18"/>
                <w:lang w:val="zh-CN" w:eastAsia="zh-CN" w:bidi="zh-CN"/>
              </w:rPr>
              <w:t>8.02</w:t>
            </w:r>
          </w:p>
        </w:tc>
        <w:tc>
          <w:tcPr>
            <w:tcW w:w="540" w:type="dxa"/>
            <w:noWrap/>
            <w:vAlign w:val="center"/>
          </w:tcPr>
          <w:p w14:paraId="4C264731">
            <w:pPr>
              <w:widowControl w:val="0"/>
              <w:autoSpaceDE w:val="0"/>
              <w:autoSpaceDN w:val="0"/>
              <w:spacing w:before="63" w:line="257" w:lineRule="exact"/>
              <w:ind w:left="0" w:leftChars="0" w:right="22" w:firstLine="0" w:firstLineChars="0"/>
              <w:jc w:val="center"/>
              <w:rPr>
                <w:rFonts w:hint="default" w:ascii="Times New Roman" w:hAnsi="Times New Roman" w:eastAsia="宋体" w:cs="Times New Roman"/>
                <w:color w:val="auto"/>
                <w:sz w:val="18"/>
                <w:szCs w:val="18"/>
                <w:lang w:val="zh-CN" w:eastAsia="zh-CN" w:bidi="zh-CN"/>
              </w:rPr>
            </w:pPr>
            <w:r>
              <w:rPr>
                <w:rFonts w:hint="default" w:ascii="Times New Roman" w:hAnsi="Times New Roman" w:eastAsia="宋体" w:cs="Times New Roman"/>
                <w:color w:val="auto"/>
                <w:sz w:val="18"/>
                <w:szCs w:val="18"/>
                <w:lang w:val="zh-CN" w:eastAsia="zh-CN" w:bidi="zh-CN"/>
              </w:rPr>
              <w:t>5.62</w:t>
            </w:r>
          </w:p>
        </w:tc>
        <w:tc>
          <w:tcPr>
            <w:tcW w:w="465" w:type="dxa"/>
            <w:noWrap/>
            <w:vAlign w:val="center"/>
          </w:tcPr>
          <w:p w14:paraId="31E1D852">
            <w:pPr>
              <w:widowControl w:val="0"/>
              <w:autoSpaceDE w:val="0"/>
              <w:autoSpaceDN w:val="0"/>
              <w:spacing w:before="63" w:line="257" w:lineRule="exact"/>
              <w:ind w:left="0" w:leftChars="0" w:right="22" w:firstLine="0" w:firstLineChars="0"/>
              <w:jc w:val="center"/>
              <w:rPr>
                <w:rFonts w:hint="default" w:ascii="Times New Roman" w:hAnsi="Times New Roman" w:eastAsia="宋体" w:cs="Times New Roman"/>
                <w:color w:val="auto"/>
                <w:sz w:val="18"/>
                <w:szCs w:val="18"/>
                <w:lang w:val="zh-CN" w:eastAsia="zh-CN" w:bidi="zh-CN"/>
              </w:rPr>
            </w:pPr>
            <w:r>
              <w:rPr>
                <w:rFonts w:hint="default" w:ascii="Times New Roman" w:hAnsi="Times New Roman" w:eastAsia="宋体" w:cs="Times New Roman"/>
                <w:color w:val="auto"/>
                <w:sz w:val="18"/>
                <w:szCs w:val="18"/>
                <w:lang w:val="zh-CN" w:eastAsia="zh-CN" w:bidi="zh-CN"/>
              </w:rPr>
              <w:t>3.94</w:t>
            </w:r>
          </w:p>
        </w:tc>
        <w:tc>
          <w:tcPr>
            <w:tcW w:w="498" w:type="dxa"/>
            <w:noWrap/>
            <w:vAlign w:val="center"/>
          </w:tcPr>
          <w:p w14:paraId="4DBB231D">
            <w:pPr>
              <w:widowControl w:val="0"/>
              <w:autoSpaceDE w:val="0"/>
              <w:autoSpaceDN w:val="0"/>
              <w:spacing w:before="63" w:line="257" w:lineRule="exact"/>
              <w:ind w:left="0" w:leftChars="0" w:right="22" w:firstLine="0" w:firstLineChars="0"/>
              <w:jc w:val="center"/>
              <w:rPr>
                <w:rFonts w:hint="default" w:ascii="Times New Roman" w:hAnsi="Times New Roman" w:eastAsia="宋体" w:cs="Times New Roman"/>
                <w:color w:val="auto"/>
                <w:sz w:val="18"/>
                <w:szCs w:val="18"/>
                <w:lang w:val="zh-CN" w:eastAsia="zh-CN" w:bidi="zh-CN"/>
              </w:rPr>
            </w:pPr>
            <w:r>
              <w:rPr>
                <w:rFonts w:hint="default" w:ascii="Times New Roman" w:hAnsi="Times New Roman" w:eastAsia="宋体" w:cs="Times New Roman"/>
                <w:color w:val="auto"/>
                <w:sz w:val="18"/>
                <w:szCs w:val="18"/>
                <w:lang w:val="zh-CN" w:eastAsia="zh-CN" w:bidi="zh-CN"/>
              </w:rPr>
              <w:t>3.58</w:t>
            </w:r>
          </w:p>
        </w:tc>
        <w:tc>
          <w:tcPr>
            <w:tcW w:w="465" w:type="dxa"/>
            <w:noWrap/>
            <w:vAlign w:val="center"/>
          </w:tcPr>
          <w:p w14:paraId="35E2F32C">
            <w:pPr>
              <w:widowControl w:val="0"/>
              <w:autoSpaceDE w:val="0"/>
              <w:autoSpaceDN w:val="0"/>
              <w:spacing w:before="63" w:line="257" w:lineRule="exact"/>
              <w:ind w:left="0" w:leftChars="0" w:right="22" w:firstLine="0" w:firstLineChars="0"/>
              <w:jc w:val="center"/>
              <w:rPr>
                <w:rFonts w:hint="default" w:ascii="Times New Roman" w:hAnsi="Times New Roman" w:eastAsia="宋体" w:cs="Times New Roman"/>
                <w:color w:val="auto"/>
                <w:sz w:val="18"/>
                <w:szCs w:val="18"/>
                <w:lang w:val="zh-CN" w:eastAsia="zh-CN" w:bidi="zh-CN"/>
              </w:rPr>
            </w:pPr>
            <w:r>
              <w:rPr>
                <w:rFonts w:hint="default" w:ascii="Times New Roman" w:hAnsi="Times New Roman" w:eastAsia="宋体" w:cs="Times New Roman"/>
                <w:color w:val="auto"/>
                <w:sz w:val="18"/>
                <w:szCs w:val="18"/>
                <w:lang w:val="zh-CN" w:eastAsia="zh-CN" w:bidi="zh-CN"/>
              </w:rPr>
              <w:t>0.18</w:t>
            </w:r>
          </w:p>
        </w:tc>
      </w:tr>
      <w:tr w14:paraId="434860B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6" w:type="dxa"/>
            <w:bottom w:w="0" w:type="dxa"/>
            <w:right w:w="6" w:type="dxa"/>
          </w:tblCellMar>
        </w:tblPrEx>
        <w:trPr>
          <w:trHeight w:val="385" w:hRule="atLeast"/>
        </w:trPr>
        <w:tc>
          <w:tcPr>
            <w:tcW w:w="889" w:type="dxa"/>
            <w:noWrap/>
            <w:vAlign w:val="center"/>
          </w:tcPr>
          <w:p w14:paraId="60F1E186">
            <w:pPr>
              <w:widowControl w:val="0"/>
              <w:autoSpaceDE w:val="0"/>
              <w:autoSpaceDN w:val="0"/>
              <w:spacing w:before="63" w:line="257" w:lineRule="exact"/>
              <w:ind w:left="0" w:leftChars="0" w:right="22" w:firstLine="0" w:firstLineChars="0"/>
              <w:jc w:val="center"/>
              <w:rPr>
                <w:rFonts w:hint="default" w:ascii="Times New Roman" w:hAnsi="Times New Roman" w:eastAsia="宋体" w:cs="Times New Roman"/>
                <w:color w:val="auto"/>
                <w:sz w:val="18"/>
                <w:szCs w:val="18"/>
                <w:lang w:val="zh-CN" w:eastAsia="zh-CN" w:bidi="zh-CN"/>
              </w:rPr>
            </w:pPr>
            <w:r>
              <w:rPr>
                <w:rFonts w:hint="default" w:ascii="Times New Roman" w:hAnsi="Times New Roman" w:eastAsia="宋体" w:cs="Times New Roman"/>
                <w:color w:val="auto"/>
                <w:sz w:val="18"/>
                <w:szCs w:val="18"/>
                <w:lang w:val="zh-CN" w:eastAsia="zh-CN" w:bidi="zh-CN"/>
              </w:rPr>
              <w:t>秋季</w:t>
            </w:r>
          </w:p>
        </w:tc>
        <w:tc>
          <w:tcPr>
            <w:tcW w:w="587" w:type="dxa"/>
            <w:noWrap/>
            <w:vAlign w:val="center"/>
          </w:tcPr>
          <w:p w14:paraId="6046C99B">
            <w:pPr>
              <w:widowControl w:val="0"/>
              <w:autoSpaceDE w:val="0"/>
              <w:autoSpaceDN w:val="0"/>
              <w:spacing w:before="63" w:line="257" w:lineRule="exact"/>
              <w:ind w:left="0" w:leftChars="0" w:right="22" w:firstLine="0" w:firstLineChars="0"/>
              <w:jc w:val="center"/>
              <w:rPr>
                <w:rFonts w:hint="default" w:ascii="Times New Roman" w:hAnsi="Times New Roman" w:eastAsia="宋体" w:cs="Times New Roman"/>
                <w:color w:val="auto"/>
                <w:sz w:val="18"/>
                <w:szCs w:val="18"/>
                <w:lang w:val="zh-CN" w:eastAsia="zh-CN" w:bidi="zh-CN"/>
              </w:rPr>
            </w:pPr>
            <w:r>
              <w:rPr>
                <w:rFonts w:hint="default" w:ascii="Times New Roman" w:hAnsi="Times New Roman" w:eastAsia="宋体" w:cs="Times New Roman"/>
                <w:color w:val="auto"/>
                <w:sz w:val="18"/>
                <w:szCs w:val="18"/>
                <w:lang w:val="zh-CN" w:eastAsia="zh-CN" w:bidi="zh-CN"/>
              </w:rPr>
              <w:t>4.72</w:t>
            </w:r>
          </w:p>
        </w:tc>
        <w:tc>
          <w:tcPr>
            <w:tcW w:w="434" w:type="dxa"/>
            <w:noWrap/>
            <w:vAlign w:val="center"/>
          </w:tcPr>
          <w:p w14:paraId="189642BB">
            <w:pPr>
              <w:widowControl w:val="0"/>
              <w:autoSpaceDE w:val="0"/>
              <w:autoSpaceDN w:val="0"/>
              <w:spacing w:before="63" w:line="257" w:lineRule="exact"/>
              <w:ind w:left="0" w:leftChars="0" w:right="22" w:firstLine="0" w:firstLineChars="0"/>
              <w:jc w:val="center"/>
              <w:rPr>
                <w:rFonts w:hint="default" w:ascii="Times New Roman" w:hAnsi="Times New Roman" w:eastAsia="宋体" w:cs="Times New Roman"/>
                <w:color w:val="auto"/>
                <w:sz w:val="18"/>
                <w:szCs w:val="18"/>
                <w:lang w:val="zh-CN" w:eastAsia="zh-CN" w:bidi="zh-CN"/>
              </w:rPr>
            </w:pPr>
            <w:r>
              <w:rPr>
                <w:rFonts w:hint="default" w:ascii="Times New Roman" w:hAnsi="Times New Roman" w:eastAsia="宋体" w:cs="Times New Roman"/>
                <w:color w:val="auto"/>
                <w:sz w:val="18"/>
                <w:szCs w:val="18"/>
                <w:lang w:val="zh-CN" w:eastAsia="zh-CN" w:bidi="zh-CN"/>
              </w:rPr>
              <w:t>3.94</w:t>
            </w:r>
          </w:p>
        </w:tc>
        <w:tc>
          <w:tcPr>
            <w:tcW w:w="464" w:type="dxa"/>
            <w:noWrap/>
            <w:vAlign w:val="center"/>
          </w:tcPr>
          <w:p w14:paraId="3FC7C8F5">
            <w:pPr>
              <w:widowControl w:val="0"/>
              <w:autoSpaceDE w:val="0"/>
              <w:autoSpaceDN w:val="0"/>
              <w:spacing w:before="63" w:line="257" w:lineRule="exact"/>
              <w:ind w:left="0" w:leftChars="0" w:right="22" w:firstLine="0" w:firstLineChars="0"/>
              <w:jc w:val="center"/>
              <w:rPr>
                <w:rFonts w:hint="default" w:ascii="Times New Roman" w:hAnsi="Times New Roman" w:eastAsia="宋体" w:cs="Times New Roman"/>
                <w:color w:val="auto"/>
                <w:sz w:val="18"/>
                <w:szCs w:val="18"/>
                <w:lang w:val="zh-CN" w:eastAsia="zh-CN" w:bidi="zh-CN"/>
              </w:rPr>
            </w:pPr>
            <w:r>
              <w:rPr>
                <w:rFonts w:hint="default" w:ascii="Times New Roman" w:hAnsi="Times New Roman" w:eastAsia="宋体" w:cs="Times New Roman"/>
                <w:color w:val="auto"/>
                <w:sz w:val="18"/>
                <w:szCs w:val="18"/>
                <w:lang w:val="zh-CN" w:eastAsia="zh-CN" w:bidi="zh-CN"/>
              </w:rPr>
              <w:t>6.04</w:t>
            </w:r>
          </w:p>
        </w:tc>
        <w:tc>
          <w:tcPr>
            <w:tcW w:w="463" w:type="dxa"/>
            <w:noWrap/>
            <w:vAlign w:val="center"/>
          </w:tcPr>
          <w:p w14:paraId="56DD653B">
            <w:pPr>
              <w:widowControl w:val="0"/>
              <w:autoSpaceDE w:val="0"/>
              <w:autoSpaceDN w:val="0"/>
              <w:spacing w:before="63" w:line="257" w:lineRule="exact"/>
              <w:ind w:left="0" w:leftChars="0" w:right="22" w:firstLine="0" w:firstLineChars="0"/>
              <w:jc w:val="center"/>
              <w:rPr>
                <w:rFonts w:hint="default" w:ascii="Times New Roman" w:hAnsi="Times New Roman" w:eastAsia="宋体" w:cs="Times New Roman"/>
                <w:color w:val="auto"/>
                <w:sz w:val="18"/>
                <w:szCs w:val="18"/>
                <w:lang w:val="zh-CN" w:eastAsia="zh-CN" w:bidi="zh-CN"/>
              </w:rPr>
            </w:pPr>
            <w:r>
              <w:rPr>
                <w:rFonts w:hint="default" w:ascii="Times New Roman" w:hAnsi="Times New Roman" w:eastAsia="宋体" w:cs="Times New Roman"/>
                <w:color w:val="auto"/>
                <w:sz w:val="18"/>
                <w:szCs w:val="18"/>
                <w:lang w:val="zh-CN" w:eastAsia="zh-CN" w:bidi="zh-CN"/>
              </w:rPr>
              <w:t>7.37</w:t>
            </w:r>
          </w:p>
        </w:tc>
        <w:tc>
          <w:tcPr>
            <w:tcW w:w="471" w:type="dxa"/>
            <w:noWrap/>
            <w:vAlign w:val="center"/>
          </w:tcPr>
          <w:p w14:paraId="57EEC783">
            <w:pPr>
              <w:widowControl w:val="0"/>
              <w:autoSpaceDE w:val="0"/>
              <w:autoSpaceDN w:val="0"/>
              <w:spacing w:before="63" w:line="257" w:lineRule="exact"/>
              <w:ind w:left="0" w:leftChars="0" w:right="22" w:firstLine="0" w:firstLineChars="0"/>
              <w:jc w:val="center"/>
              <w:rPr>
                <w:rFonts w:hint="default" w:ascii="Times New Roman" w:hAnsi="Times New Roman" w:eastAsia="宋体" w:cs="Times New Roman"/>
                <w:color w:val="auto"/>
                <w:sz w:val="18"/>
                <w:szCs w:val="18"/>
                <w:lang w:val="zh-CN" w:eastAsia="zh-CN" w:bidi="zh-CN"/>
              </w:rPr>
            </w:pPr>
            <w:r>
              <w:rPr>
                <w:rFonts w:hint="default" w:ascii="Times New Roman" w:hAnsi="Times New Roman" w:eastAsia="宋体" w:cs="Times New Roman"/>
                <w:color w:val="auto"/>
                <w:sz w:val="18"/>
                <w:szCs w:val="18"/>
                <w:lang w:val="zh-CN" w:eastAsia="zh-CN" w:bidi="zh-CN"/>
              </w:rPr>
              <w:t>17.08</w:t>
            </w:r>
          </w:p>
        </w:tc>
        <w:tc>
          <w:tcPr>
            <w:tcW w:w="471" w:type="dxa"/>
            <w:noWrap/>
            <w:vAlign w:val="center"/>
          </w:tcPr>
          <w:p w14:paraId="2949A65B">
            <w:pPr>
              <w:widowControl w:val="0"/>
              <w:autoSpaceDE w:val="0"/>
              <w:autoSpaceDN w:val="0"/>
              <w:spacing w:before="63" w:line="257" w:lineRule="exact"/>
              <w:ind w:left="0" w:leftChars="0" w:right="22" w:firstLine="0" w:firstLineChars="0"/>
              <w:jc w:val="center"/>
              <w:rPr>
                <w:rFonts w:hint="default" w:ascii="Times New Roman" w:hAnsi="Times New Roman" w:eastAsia="宋体" w:cs="Times New Roman"/>
                <w:color w:val="auto"/>
                <w:sz w:val="18"/>
                <w:szCs w:val="18"/>
                <w:lang w:val="zh-CN" w:eastAsia="zh-CN" w:bidi="zh-CN"/>
              </w:rPr>
            </w:pPr>
            <w:r>
              <w:rPr>
                <w:rFonts w:hint="default" w:ascii="Times New Roman" w:hAnsi="Times New Roman" w:eastAsia="宋体" w:cs="Times New Roman"/>
                <w:color w:val="auto"/>
                <w:sz w:val="18"/>
                <w:szCs w:val="18"/>
                <w:lang w:val="zh-CN" w:eastAsia="zh-CN" w:bidi="zh-CN"/>
              </w:rPr>
              <w:t>8.97</w:t>
            </w:r>
          </w:p>
        </w:tc>
        <w:tc>
          <w:tcPr>
            <w:tcW w:w="464" w:type="dxa"/>
            <w:noWrap/>
            <w:vAlign w:val="center"/>
          </w:tcPr>
          <w:p w14:paraId="50B223B2">
            <w:pPr>
              <w:widowControl w:val="0"/>
              <w:autoSpaceDE w:val="0"/>
              <w:autoSpaceDN w:val="0"/>
              <w:spacing w:before="63" w:line="257" w:lineRule="exact"/>
              <w:ind w:left="0" w:leftChars="0" w:right="22" w:firstLine="0" w:firstLineChars="0"/>
              <w:jc w:val="center"/>
              <w:rPr>
                <w:rFonts w:hint="default" w:ascii="Times New Roman" w:hAnsi="Times New Roman" w:eastAsia="宋体" w:cs="Times New Roman"/>
                <w:color w:val="auto"/>
                <w:sz w:val="18"/>
                <w:szCs w:val="18"/>
                <w:lang w:val="zh-CN" w:eastAsia="zh-CN" w:bidi="zh-CN"/>
              </w:rPr>
            </w:pPr>
            <w:r>
              <w:rPr>
                <w:rFonts w:hint="default" w:ascii="Times New Roman" w:hAnsi="Times New Roman" w:eastAsia="宋体" w:cs="Times New Roman"/>
                <w:color w:val="auto"/>
                <w:sz w:val="18"/>
                <w:szCs w:val="18"/>
                <w:lang w:val="zh-CN" w:eastAsia="zh-CN" w:bidi="zh-CN"/>
              </w:rPr>
              <w:t>8.10</w:t>
            </w:r>
          </w:p>
        </w:tc>
        <w:tc>
          <w:tcPr>
            <w:tcW w:w="464" w:type="dxa"/>
            <w:noWrap/>
            <w:vAlign w:val="center"/>
          </w:tcPr>
          <w:p w14:paraId="35121A0A">
            <w:pPr>
              <w:widowControl w:val="0"/>
              <w:autoSpaceDE w:val="0"/>
              <w:autoSpaceDN w:val="0"/>
              <w:spacing w:before="63" w:line="257" w:lineRule="exact"/>
              <w:ind w:left="0" w:leftChars="0" w:right="22" w:firstLine="0" w:firstLineChars="0"/>
              <w:jc w:val="center"/>
              <w:rPr>
                <w:rFonts w:hint="default" w:ascii="Times New Roman" w:hAnsi="Times New Roman" w:eastAsia="宋体" w:cs="Times New Roman"/>
                <w:color w:val="auto"/>
                <w:sz w:val="18"/>
                <w:szCs w:val="18"/>
                <w:lang w:val="zh-CN" w:eastAsia="zh-CN" w:bidi="zh-CN"/>
              </w:rPr>
            </w:pPr>
            <w:r>
              <w:rPr>
                <w:rFonts w:hint="default" w:ascii="Times New Roman" w:hAnsi="Times New Roman" w:eastAsia="宋体" w:cs="Times New Roman"/>
                <w:color w:val="auto"/>
                <w:sz w:val="18"/>
                <w:szCs w:val="18"/>
                <w:lang w:val="zh-CN" w:eastAsia="zh-CN" w:bidi="zh-CN"/>
              </w:rPr>
              <w:t>4.44</w:t>
            </w:r>
          </w:p>
        </w:tc>
        <w:tc>
          <w:tcPr>
            <w:tcW w:w="464" w:type="dxa"/>
            <w:noWrap/>
            <w:vAlign w:val="center"/>
          </w:tcPr>
          <w:p w14:paraId="01AA7D3B">
            <w:pPr>
              <w:widowControl w:val="0"/>
              <w:autoSpaceDE w:val="0"/>
              <w:autoSpaceDN w:val="0"/>
              <w:spacing w:before="63" w:line="257" w:lineRule="exact"/>
              <w:ind w:left="0" w:leftChars="0" w:right="22" w:firstLine="0" w:firstLineChars="0"/>
              <w:jc w:val="center"/>
              <w:rPr>
                <w:rFonts w:hint="default" w:ascii="Times New Roman" w:hAnsi="Times New Roman" w:eastAsia="宋体" w:cs="Times New Roman"/>
                <w:color w:val="auto"/>
                <w:sz w:val="18"/>
                <w:szCs w:val="18"/>
                <w:lang w:val="zh-CN" w:eastAsia="zh-CN" w:bidi="zh-CN"/>
              </w:rPr>
            </w:pPr>
            <w:r>
              <w:rPr>
                <w:rFonts w:hint="default" w:ascii="Times New Roman" w:hAnsi="Times New Roman" w:eastAsia="宋体" w:cs="Times New Roman"/>
                <w:color w:val="auto"/>
                <w:sz w:val="18"/>
                <w:szCs w:val="18"/>
                <w:lang w:val="zh-CN" w:eastAsia="zh-CN" w:bidi="zh-CN"/>
              </w:rPr>
              <w:t>5.13</w:t>
            </w:r>
          </w:p>
        </w:tc>
        <w:tc>
          <w:tcPr>
            <w:tcW w:w="464" w:type="dxa"/>
            <w:noWrap/>
            <w:vAlign w:val="center"/>
          </w:tcPr>
          <w:p w14:paraId="30BB1406">
            <w:pPr>
              <w:widowControl w:val="0"/>
              <w:autoSpaceDE w:val="0"/>
              <w:autoSpaceDN w:val="0"/>
              <w:spacing w:before="63" w:line="257" w:lineRule="exact"/>
              <w:ind w:left="0" w:leftChars="0" w:right="22" w:firstLine="0" w:firstLineChars="0"/>
              <w:jc w:val="center"/>
              <w:rPr>
                <w:rFonts w:hint="default" w:ascii="Times New Roman" w:hAnsi="Times New Roman" w:eastAsia="宋体" w:cs="Times New Roman"/>
                <w:color w:val="auto"/>
                <w:sz w:val="18"/>
                <w:szCs w:val="18"/>
                <w:lang w:val="zh-CN" w:eastAsia="zh-CN" w:bidi="zh-CN"/>
              </w:rPr>
            </w:pPr>
            <w:r>
              <w:rPr>
                <w:rFonts w:hint="default" w:ascii="Times New Roman" w:hAnsi="Times New Roman" w:eastAsia="宋体" w:cs="Times New Roman"/>
                <w:color w:val="auto"/>
                <w:sz w:val="18"/>
                <w:szCs w:val="18"/>
                <w:lang w:val="zh-CN" w:eastAsia="zh-CN" w:bidi="zh-CN"/>
              </w:rPr>
              <w:t>3.94</w:t>
            </w:r>
          </w:p>
        </w:tc>
        <w:tc>
          <w:tcPr>
            <w:tcW w:w="464" w:type="dxa"/>
            <w:noWrap/>
            <w:vAlign w:val="center"/>
          </w:tcPr>
          <w:p w14:paraId="066680A2">
            <w:pPr>
              <w:widowControl w:val="0"/>
              <w:autoSpaceDE w:val="0"/>
              <w:autoSpaceDN w:val="0"/>
              <w:spacing w:before="63" w:line="257" w:lineRule="exact"/>
              <w:ind w:left="0" w:leftChars="0" w:right="22" w:firstLine="0" w:firstLineChars="0"/>
              <w:jc w:val="center"/>
              <w:rPr>
                <w:rFonts w:hint="default" w:ascii="Times New Roman" w:hAnsi="Times New Roman" w:eastAsia="宋体" w:cs="Times New Roman"/>
                <w:color w:val="auto"/>
                <w:sz w:val="18"/>
                <w:szCs w:val="18"/>
                <w:lang w:val="zh-CN" w:eastAsia="zh-CN" w:bidi="zh-CN"/>
              </w:rPr>
            </w:pPr>
            <w:r>
              <w:rPr>
                <w:rFonts w:hint="default" w:ascii="Times New Roman" w:hAnsi="Times New Roman" w:eastAsia="宋体" w:cs="Times New Roman"/>
                <w:color w:val="auto"/>
                <w:sz w:val="18"/>
                <w:szCs w:val="18"/>
                <w:lang w:val="zh-CN" w:eastAsia="zh-CN" w:bidi="zh-CN"/>
              </w:rPr>
              <w:t>5.54</w:t>
            </w:r>
          </w:p>
        </w:tc>
        <w:tc>
          <w:tcPr>
            <w:tcW w:w="508" w:type="dxa"/>
            <w:noWrap/>
            <w:vAlign w:val="center"/>
          </w:tcPr>
          <w:p w14:paraId="560BB415">
            <w:pPr>
              <w:widowControl w:val="0"/>
              <w:autoSpaceDE w:val="0"/>
              <w:autoSpaceDN w:val="0"/>
              <w:spacing w:before="63" w:line="257" w:lineRule="exact"/>
              <w:ind w:left="0" w:leftChars="0" w:right="22" w:firstLine="0" w:firstLineChars="0"/>
              <w:jc w:val="center"/>
              <w:rPr>
                <w:rFonts w:hint="default" w:ascii="Times New Roman" w:hAnsi="Times New Roman" w:eastAsia="宋体" w:cs="Times New Roman"/>
                <w:color w:val="auto"/>
                <w:sz w:val="18"/>
                <w:szCs w:val="18"/>
                <w:lang w:val="zh-CN" w:eastAsia="zh-CN" w:bidi="zh-CN"/>
              </w:rPr>
            </w:pPr>
            <w:r>
              <w:rPr>
                <w:rFonts w:hint="default" w:ascii="Times New Roman" w:hAnsi="Times New Roman" w:eastAsia="宋体" w:cs="Times New Roman"/>
                <w:color w:val="auto"/>
                <w:sz w:val="18"/>
                <w:szCs w:val="18"/>
                <w:lang w:val="zh-CN" w:eastAsia="zh-CN" w:bidi="zh-CN"/>
              </w:rPr>
              <w:t>5.82</w:t>
            </w:r>
          </w:p>
        </w:tc>
        <w:tc>
          <w:tcPr>
            <w:tcW w:w="471" w:type="dxa"/>
            <w:noWrap/>
            <w:vAlign w:val="center"/>
          </w:tcPr>
          <w:p w14:paraId="56B7848B">
            <w:pPr>
              <w:widowControl w:val="0"/>
              <w:autoSpaceDE w:val="0"/>
              <w:autoSpaceDN w:val="0"/>
              <w:spacing w:before="63" w:line="257" w:lineRule="exact"/>
              <w:ind w:left="0" w:leftChars="0" w:right="22" w:firstLine="0" w:firstLineChars="0"/>
              <w:jc w:val="center"/>
              <w:rPr>
                <w:rFonts w:hint="default" w:ascii="Times New Roman" w:hAnsi="Times New Roman" w:eastAsia="宋体" w:cs="Times New Roman"/>
                <w:color w:val="auto"/>
                <w:sz w:val="18"/>
                <w:szCs w:val="18"/>
                <w:lang w:val="zh-CN" w:eastAsia="zh-CN" w:bidi="zh-CN"/>
              </w:rPr>
            </w:pPr>
            <w:r>
              <w:rPr>
                <w:rFonts w:hint="default" w:ascii="Times New Roman" w:hAnsi="Times New Roman" w:eastAsia="宋体" w:cs="Times New Roman"/>
                <w:color w:val="auto"/>
                <w:sz w:val="18"/>
                <w:szCs w:val="18"/>
                <w:lang w:val="zh-CN" w:eastAsia="zh-CN" w:bidi="zh-CN"/>
              </w:rPr>
              <w:t>10.07</w:t>
            </w:r>
          </w:p>
        </w:tc>
        <w:tc>
          <w:tcPr>
            <w:tcW w:w="540" w:type="dxa"/>
            <w:noWrap/>
            <w:vAlign w:val="center"/>
          </w:tcPr>
          <w:p w14:paraId="342CE142">
            <w:pPr>
              <w:widowControl w:val="0"/>
              <w:autoSpaceDE w:val="0"/>
              <w:autoSpaceDN w:val="0"/>
              <w:spacing w:before="63" w:line="257" w:lineRule="exact"/>
              <w:ind w:left="0" w:leftChars="0" w:right="22" w:firstLine="0" w:firstLineChars="0"/>
              <w:jc w:val="center"/>
              <w:rPr>
                <w:rFonts w:hint="default" w:ascii="Times New Roman" w:hAnsi="Times New Roman" w:eastAsia="宋体" w:cs="Times New Roman"/>
                <w:color w:val="auto"/>
                <w:sz w:val="18"/>
                <w:szCs w:val="18"/>
                <w:lang w:val="zh-CN" w:eastAsia="zh-CN" w:bidi="zh-CN"/>
              </w:rPr>
            </w:pPr>
            <w:r>
              <w:rPr>
                <w:rFonts w:hint="default" w:ascii="Times New Roman" w:hAnsi="Times New Roman" w:eastAsia="宋体" w:cs="Times New Roman"/>
                <w:color w:val="auto"/>
                <w:sz w:val="18"/>
                <w:szCs w:val="18"/>
                <w:lang w:val="zh-CN" w:eastAsia="zh-CN" w:bidi="zh-CN"/>
              </w:rPr>
              <w:t>3.07</w:t>
            </w:r>
          </w:p>
        </w:tc>
        <w:tc>
          <w:tcPr>
            <w:tcW w:w="465" w:type="dxa"/>
            <w:noWrap/>
            <w:vAlign w:val="center"/>
          </w:tcPr>
          <w:p w14:paraId="441EC7D9">
            <w:pPr>
              <w:widowControl w:val="0"/>
              <w:autoSpaceDE w:val="0"/>
              <w:autoSpaceDN w:val="0"/>
              <w:spacing w:before="63" w:line="257" w:lineRule="exact"/>
              <w:ind w:left="0" w:leftChars="0" w:right="22" w:firstLine="0" w:firstLineChars="0"/>
              <w:jc w:val="center"/>
              <w:rPr>
                <w:rFonts w:hint="default" w:ascii="Times New Roman" w:hAnsi="Times New Roman" w:eastAsia="宋体" w:cs="Times New Roman"/>
                <w:color w:val="auto"/>
                <w:sz w:val="18"/>
                <w:szCs w:val="18"/>
                <w:lang w:val="zh-CN" w:eastAsia="zh-CN" w:bidi="zh-CN"/>
              </w:rPr>
            </w:pPr>
            <w:r>
              <w:rPr>
                <w:rFonts w:hint="default" w:ascii="Times New Roman" w:hAnsi="Times New Roman" w:eastAsia="宋体" w:cs="Times New Roman"/>
                <w:color w:val="auto"/>
                <w:sz w:val="18"/>
                <w:szCs w:val="18"/>
                <w:lang w:val="zh-CN" w:eastAsia="zh-CN" w:bidi="zh-CN"/>
              </w:rPr>
              <w:t>2.70</w:t>
            </w:r>
          </w:p>
        </w:tc>
        <w:tc>
          <w:tcPr>
            <w:tcW w:w="498" w:type="dxa"/>
            <w:noWrap/>
            <w:vAlign w:val="center"/>
          </w:tcPr>
          <w:p w14:paraId="6B2937E2">
            <w:pPr>
              <w:widowControl w:val="0"/>
              <w:autoSpaceDE w:val="0"/>
              <w:autoSpaceDN w:val="0"/>
              <w:spacing w:before="63" w:line="257" w:lineRule="exact"/>
              <w:ind w:left="0" w:leftChars="0" w:right="22" w:firstLine="0" w:firstLineChars="0"/>
              <w:jc w:val="center"/>
              <w:rPr>
                <w:rFonts w:hint="default" w:ascii="Times New Roman" w:hAnsi="Times New Roman" w:eastAsia="宋体" w:cs="Times New Roman"/>
                <w:color w:val="auto"/>
                <w:sz w:val="18"/>
                <w:szCs w:val="18"/>
                <w:lang w:val="zh-CN" w:eastAsia="zh-CN" w:bidi="zh-CN"/>
              </w:rPr>
            </w:pPr>
            <w:r>
              <w:rPr>
                <w:rFonts w:hint="default" w:ascii="Times New Roman" w:hAnsi="Times New Roman" w:eastAsia="宋体" w:cs="Times New Roman"/>
                <w:color w:val="auto"/>
                <w:sz w:val="18"/>
                <w:szCs w:val="18"/>
                <w:lang w:val="zh-CN" w:eastAsia="zh-CN" w:bidi="zh-CN"/>
              </w:rPr>
              <w:t>2.75</w:t>
            </w:r>
          </w:p>
        </w:tc>
        <w:tc>
          <w:tcPr>
            <w:tcW w:w="465" w:type="dxa"/>
            <w:noWrap/>
            <w:vAlign w:val="center"/>
          </w:tcPr>
          <w:p w14:paraId="4AD7006F">
            <w:pPr>
              <w:widowControl w:val="0"/>
              <w:autoSpaceDE w:val="0"/>
              <w:autoSpaceDN w:val="0"/>
              <w:spacing w:before="63" w:line="257" w:lineRule="exact"/>
              <w:ind w:left="0" w:leftChars="0" w:right="22" w:firstLine="0" w:firstLineChars="0"/>
              <w:jc w:val="center"/>
              <w:rPr>
                <w:rFonts w:hint="default" w:ascii="Times New Roman" w:hAnsi="Times New Roman" w:eastAsia="宋体" w:cs="Times New Roman"/>
                <w:color w:val="auto"/>
                <w:sz w:val="18"/>
                <w:szCs w:val="18"/>
                <w:lang w:val="zh-CN" w:eastAsia="zh-CN" w:bidi="zh-CN"/>
              </w:rPr>
            </w:pPr>
            <w:r>
              <w:rPr>
                <w:rFonts w:hint="default" w:ascii="Times New Roman" w:hAnsi="Times New Roman" w:eastAsia="宋体" w:cs="Times New Roman"/>
                <w:color w:val="auto"/>
                <w:sz w:val="18"/>
                <w:szCs w:val="18"/>
                <w:lang w:val="zh-CN" w:eastAsia="zh-CN" w:bidi="zh-CN"/>
              </w:rPr>
              <w:t>0.32</w:t>
            </w:r>
          </w:p>
        </w:tc>
      </w:tr>
      <w:tr w14:paraId="7E01A13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6" w:type="dxa"/>
            <w:bottom w:w="0" w:type="dxa"/>
            <w:right w:w="6" w:type="dxa"/>
          </w:tblCellMar>
        </w:tblPrEx>
        <w:trPr>
          <w:trHeight w:val="385" w:hRule="atLeast"/>
        </w:trPr>
        <w:tc>
          <w:tcPr>
            <w:tcW w:w="889" w:type="dxa"/>
            <w:noWrap/>
            <w:vAlign w:val="center"/>
          </w:tcPr>
          <w:p w14:paraId="52569471">
            <w:pPr>
              <w:widowControl w:val="0"/>
              <w:autoSpaceDE w:val="0"/>
              <w:autoSpaceDN w:val="0"/>
              <w:spacing w:before="63" w:line="257" w:lineRule="exact"/>
              <w:ind w:left="0" w:leftChars="0" w:right="22" w:firstLine="0" w:firstLineChars="0"/>
              <w:jc w:val="center"/>
              <w:rPr>
                <w:rFonts w:hint="default" w:ascii="Times New Roman" w:hAnsi="Times New Roman" w:eastAsia="宋体" w:cs="Times New Roman"/>
                <w:color w:val="auto"/>
                <w:sz w:val="18"/>
                <w:szCs w:val="18"/>
                <w:lang w:val="zh-CN" w:eastAsia="zh-CN" w:bidi="zh-CN"/>
              </w:rPr>
            </w:pPr>
            <w:r>
              <w:rPr>
                <w:rFonts w:hint="default" w:ascii="Times New Roman" w:hAnsi="Times New Roman" w:eastAsia="宋体" w:cs="Times New Roman"/>
                <w:color w:val="auto"/>
                <w:sz w:val="18"/>
                <w:szCs w:val="18"/>
                <w:lang w:val="zh-CN" w:eastAsia="zh-CN" w:bidi="zh-CN"/>
              </w:rPr>
              <w:t>冬季</w:t>
            </w:r>
          </w:p>
        </w:tc>
        <w:tc>
          <w:tcPr>
            <w:tcW w:w="587" w:type="dxa"/>
            <w:noWrap/>
            <w:vAlign w:val="center"/>
          </w:tcPr>
          <w:p w14:paraId="4E90FFFB">
            <w:pPr>
              <w:widowControl w:val="0"/>
              <w:autoSpaceDE w:val="0"/>
              <w:autoSpaceDN w:val="0"/>
              <w:spacing w:before="63" w:line="257" w:lineRule="exact"/>
              <w:ind w:left="0" w:leftChars="0" w:right="22" w:firstLine="0" w:firstLineChars="0"/>
              <w:jc w:val="center"/>
              <w:rPr>
                <w:rFonts w:hint="default" w:ascii="Times New Roman" w:hAnsi="Times New Roman" w:eastAsia="宋体" w:cs="Times New Roman"/>
                <w:color w:val="auto"/>
                <w:sz w:val="18"/>
                <w:szCs w:val="18"/>
                <w:lang w:val="zh-CN" w:eastAsia="zh-CN" w:bidi="zh-CN"/>
              </w:rPr>
            </w:pPr>
            <w:r>
              <w:rPr>
                <w:rFonts w:hint="default" w:ascii="Times New Roman" w:hAnsi="Times New Roman" w:eastAsia="宋体" w:cs="Times New Roman"/>
                <w:color w:val="auto"/>
                <w:sz w:val="18"/>
                <w:szCs w:val="18"/>
                <w:lang w:val="zh-CN" w:eastAsia="zh-CN" w:bidi="zh-CN"/>
              </w:rPr>
              <w:t>4.95</w:t>
            </w:r>
          </w:p>
        </w:tc>
        <w:tc>
          <w:tcPr>
            <w:tcW w:w="434" w:type="dxa"/>
            <w:noWrap/>
            <w:vAlign w:val="center"/>
          </w:tcPr>
          <w:p w14:paraId="3FE7D396">
            <w:pPr>
              <w:widowControl w:val="0"/>
              <w:autoSpaceDE w:val="0"/>
              <w:autoSpaceDN w:val="0"/>
              <w:spacing w:before="63" w:line="257" w:lineRule="exact"/>
              <w:ind w:left="0" w:leftChars="0" w:right="22" w:firstLine="0" w:firstLineChars="0"/>
              <w:jc w:val="center"/>
              <w:rPr>
                <w:rFonts w:hint="default" w:ascii="Times New Roman" w:hAnsi="Times New Roman" w:eastAsia="宋体" w:cs="Times New Roman"/>
                <w:color w:val="auto"/>
                <w:sz w:val="18"/>
                <w:szCs w:val="18"/>
                <w:lang w:val="zh-CN" w:eastAsia="zh-CN" w:bidi="zh-CN"/>
              </w:rPr>
            </w:pPr>
            <w:r>
              <w:rPr>
                <w:rFonts w:hint="default" w:ascii="Times New Roman" w:hAnsi="Times New Roman" w:eastAsia="宋体" w:cs="Times New Roman"/>
                <w:color w:val="auto"/>
                <w:sz w:val="18"/>
                <w:szCs w:val="18"/>
                <w:lang w:val="zh-CN" w:eastAsia="zh-CN" w:bidi="zh-CN"/>
              </w:rPr>
              <w:t>3.98</w:t>
            </w:r>
          </w:p>
        </w:tc>
        <w:tc>
          <w:tcPr>
            <w:tcW w:w="464" w:type="dxa"/>
            <w:noWrap/>
            <w:vAlign w:val="center"/>
          </w:tcPr>
          <w:p w14:paraId="13BF0FD6">
            <w:pPr>
              <w:widowControl w:val="0"/>
              <w:autoSpaceDE w:val="0"/>
              <w:autoSpaceDN w:val="0"/>
              <w:spacing w:before="63" w:line="257" w:lineRule="exact"/>
              <w:ind w:left="0" w:leftChars="0" w:right="22" w:firstLine="0" w:firstLineChars="0"/>
              <w:jc w:val="center"/>
              <w:rPr>
                <w:rFonts w:hint="default" w:ascii="Times New Roman" w:hAnsi="Times New Roman" w:eastAsia="宋体" w:cs="Times New Roman"/>
                <w:color w:val="auto"/>
                <w:sz w:val="18"/>
                <w:szCs w:val="18"/>
                <w:lang w:val="zh-CN" w:eastAsia="zh-CN" w:bidi="zh-CN"/>
              </w:rPr>
            </w:pPr>
            <w:r>
              <w:rPr>
                <w:rFonts w:hint="default" w:ascii="Times New Roman" w:hAnsi="Times New Roman" w:eastAsia="宋体" w:cs="Times New Roman"/>
                <w:color w:val="auto"/>
                <w:sz w:val="18"/>
                <w:szCs w:val="18"/>
                <w:lang w:val="zh-CN" w:eastAsia="zh-CN" w:bidi="zh-CN"/>
              </w:rPr>
              <w:t>5.22</w:t>
            </w:r>
          </w:p>
        </w:tc>
        <w:tc>
          <w:tcPr>
            <w:tcW w:w="463" w:type="dxa"/>
            <w:noWrap/>
            <w:vAlign w:val="center"/>
          </w:tcPr>
          <w:p w14:paraId="042F1E6C">
            <w:pPr>
              <w:widowControl w:val="0"/>
              <w:autoSpaceDE w:val="0"/>
              <w:autoSpaceDN w:val="0"/>
              <w:spacing w:before="63" w:line="257" w:lineRule="exact"/>
              <w:ind w:left="0" w:leftChars="0" w:right="22" w:firstLine="0" w:firstLineChars="0"/>
              <w:jc w:val="center"/>
              <w:rPr>
                <w:rFonts w:hint="default" w:ascii="Times New Roman" w:hAnsi="Times New Roman" w:eastAsia="宋体" w:cs="Times New Roman"/>
                <w:color w:val="auto"/>
                <w:sz w:val="18"/>
                <w:szCs w:val="18"/>
                <w:lang w:val="zh-CN" w:eastAsia="zh-CN" w:bidi="zh-CN"/>
              </w:rPr>
            </w:pPr>
            <w:r>
              <w:rPr>
                <w:rFonts w:hint="default" w:ascii="Times New Roman" w:hAnsi="Times New Roman" w:eastAsia="宋体" w:cs="Times New Roman"/>
                <w:color w:val="auto"/>
                <w:sz w:val="18"/>
                <w:szCs w:val="18"/>
                <w:lang w:val="zh-CN" w:eastAsia="zh-CN" w:bidi="zh-CN"/>
              </w:rPr>
              <w:t>7.88</w:t>
            </w:r>
          </w:p>
        </w:tc>
        <w:tc>
          <w:tcPr>
            <w:tcW w:w="471" w:type="dxa"/>
            <w:noWrap/>
            <w:vAlign w:val="center"/>
          </w:tcPr>
          <w:p w14:paraId="36286501">
            <w:pPr>
              <w:widowControl w:val="0"/>
              <w:autoSpaceDE w:val="0"/>
              <w:autoSpaceDN w:val="0"/>
              <w:spacing w:before="63" w:line="257" w:lineRule="exact"/>
              <w:ind w:left="0" w:leftChars="0" w:right="22" w:firstLine="0" w:firstLineChars="0"/>
              <w:jc w:val="center"/>
              <w:rPr>
                <w:rFonts w:hint="default" w:ascii="Times New Roman" w:hAnsi="Times New Roman" w:eastAsia="宋体" w:cs="Times New Roman"/>
                <w:color w:val="auto"/>
                <w:sz w:val="18"/>
                <w:szCs w:val="18"/>
                <w:lang w:val="zh-CN" w:eastAsia="zh-CN" w:bidi="zh-CN"/>
              </w:rPr>
            </w:pPr>
            <w:r>
              <w:rPr>
                <w:rFonts w:hint="default" w:ascii="Times New Roman" w:hAnsi="Times New Roman" w:eastAsia="宋体" w:cs="Times New Roman"/>
                <w:color w:val="auto"/>
                <w:sz w:val="18"/>
                <w:szCs w:val="18"/>
                <w:lang w:val="zh-CN" w:eastAsia="zh-CN" w:bidi="zh-CN"/>
              </w:rPr>
              <w:t>17.45</w:t>
            </w:r>
          </w:p>
        </w:tc>
        <w:tc>
          <w:tcPr>
            <w:tcW w:w="471" w:type="dxa"/>
            <w:noWrap/>
            <w:vAlign w:val="center"/>
          </w:tcPr>
          <w:p w14:paraId="10D801C8">
            <w:pPr>
              <w:widowControl w:val="0"/>
              <w:autoSpaceDE w:val="0"/>
              <w:autoSpaceDN w:val="0"/>
              <w:spacing w:before="63" w:line="257" w:lineRule="exact"/>
              <w:ind w:left="0" w:leftChars="0" w:right="22" w:firstLine="0" w:firstLineChars="0"/>
              <w:jc w:val="center"/>
              <w:rPr>
                <w:rFonts w:hint="default" w:ascii="Times New Roman" w:hAnsi="Times New Roman" w:eastAsia="宋体" w:cs="Times New Roman"/>
                <w:color w:val="auto"/>
                <w:sz w:val="18"/>
                <w:szCs w:val="18"/>
                <w:lang w:val="zh-CN" w:eastAsia="zh-CN" w:bidi="zh-CN"/>
              </w:rPr>
            </w:pPr>
            <w:r>
              <w:rPr>
                <w:rFonts w:hint="default" w:ascii="Times New Roman" w:hAnsi="Times New Roman" w:eastAsia="宋体" w:cs="Times New Roman"/>
                <w:color w:val="auto"/>
                <w:sz w:val="18"/>
                <w:szCs w:val="18"/>
                <w:lang w:val="zh-CN" w:eastAsia="zh-CN" w:bidi="zh-CN"/>
              </w:rPr>
              <w:t>9.25</w:t>
            </w:r>
          </w:p>
        </w:tc>
        <w:tc>
          <w:tcPr>
            <w:tcW w:w="464" w:type="dxa"/>
            <w:noWrap/>
            <w:vAlign w:val="center"/>
          </w:tcPr>
          <w:p w14:paraId="6B4B33A8">
            <w:pPr>
              <w:widowControl w:val="0"/>
              <w:autoSpaceDE w:val="0"/>
              <w:autoSpaceDN w:val="0"/>
              <w:spacing w:before="63" w:line="257" w:lineRule="exact"/>
              <w:ind w:left="0" w:leftChars="0" w:right="22" w:firstLine="0" w:firstLineChars="0"/>
              <w:jc w:val="center"/>
              <w:rPr>
                <w:rFonts w:hint="default" w:ascii="Times New Roman" w:hAnsi="Times New Roman" w:eastAsia="宋体" w:cs="Times New Roman"/>
                <w:color w:val="auto"/>
                <w:sz w:val="18"/>
                <w:szCs w:val="18"/>
                <w:lang w:val="zh-CN" w:eastAsia="zh-CN" w:bidi="zh-CN"/>
              </w:rPr>
            </w:pPr>
            <w:r>
              <w:rPr>
                <w:rFonts w:hint="default" w:ascii="Times New Roman" w:hAnsi="Times New Roman" w:eastAsia="宋体" w:cs="Times New Roman"/>
                <w:color w:val="auto"/>
                <w:sz w:val="18"/>
                <w:szCs w:val="18"/>
                <w:lang w:val="zh-CN" w:eastAsia="zh-CN" w:bidi="zh-CN"/>
              </w:rPr>
              <w:t>4.26</w:t>
            </w:r>
          </w:p>
        </w:tc>
        <w:tc>
          <w:tcPr>
            <w:tcW w:w="464" w:type="dxa"/>
            <w:noWrap/>
            <w:vAlign w:val="center"/>
          </w:tcPr>
          <w:p w14:paraId="20C0558F">
            <w:pPr>
              <w:widowControl w:val="0"/>
              <w:autoSpaceDE w:val="0"/>
              <w:autoSpaceDN w:val="0"/>
              <w:spacing w:before="63" w:line="257" w:lineRule="exact"/>
              <w:ind w:left="0" w:leftChars="0" w:right="22" w:firstLine="0" w:firstLineChars="0"/>
              <w:jc w:val="center"/>
              <w:rPr>
                <w:rFonts w:hint="default" w:ascii="Times New Roman" w:hAnsi="Times New Roman" w:eastAsia="宋体" w:cs="Times New Roman"/>
                <w:color w:val="auto"/>
                <w:sz w:val="18"/>
                <w:szCs w:val="18"/>
                <w:lang w:val="zh-CN" w:eastAsia="zh-CN" w:bidi="zh-CN"/>
              </w:rPr>
            </w:pPr>
            <w:r>
              <w:rPr>
                <w:rFonts w:hint="default" w:ascii="Times New Roman" w:hAnsi="Times New Roman" w:eastAsia="宋体" w:cs="Times New Roman"/>
                <w:color w:val="auto"/>
                <w:sz w:val="18"/>
                <w:szCs w:val="18"/>
                <w:lang w:val="zh-CN" w:eastAsia="zh-CN" w:bidi="zh-CN"/>
              </w:rPr>
              <w:t>2.98</w:t>
            </w:r>
          </w:p>
        </w:tc>
        <w:tc>
          <w:tcPr>
            <w:tcW w:w="464" w:type="dxa"/>
            <w:noWrap/>
            <w:vAlign w:val="center"/>
          </w:tcPr>
          <w:p w14:paraId="31C387C7">
            <w:pPr>
              <w:widowControl w:val="0"/>
              <w:autoSpaceDE w:val="0"/>
              <w:autoSpaceDN w:val="0"/>
              <w:spacing w:before="63" w:line="257" w:lineRule="exact"/>
              <w:ind w:left="0" w:leftChars="0" w:right="22" w:firstLine="0" w:firstLineChars="0"/>
              <w:jc w:val="center"/>
              <w:rPr>
                <w:rFonts w:hint="default" w:ascii="Times New Roman" w:hAnsi="Times New Roman" w:eastAsia="宋体" w:cs="Times New Roman"/>
                <w:color w:val="auto"/>
                <w:sz w:val="18"/>
                <w:szCs w:val="18"/>
                <w:lang w:val="zh-CN" w:eastAsia="zh-CN" w:bidi="zh-CN"/>
              </w:rPr>
            </w:pPr>
            <w:r>
              <w:rPr>
                <w:rFonts w:hint="default" w:ascii="Times New Roman" w:hAnsi="Times New Roman" w:eastAsia="宋体" w:cs="Times New Roman"/>
                <w:color w:val="auto"/>
                <w:sz w:val="18"/>
                <w:szCs w:val="18"/>
                <w:lang w:val="zh-CN" w:eastAsia="zh-CN" w:bidi="zh-CN"/>
              </w:rPr>
              <w:t>3.66</w:t>
            </w:r>
          </w:p>
        </w:tc>
        <w:tc>
          <w:tcPr>
            <w:tcW w:w="464" w:type="dxa"/>
            <w:noWrap/>
            <w:vAlign w:val="center"/>
          </w:tcPr>
          <w:p w14:paraId="4B642C90">
            <w:pPr>
              <w:widowControl w:val="0"/>
              <w:autoSpaceDE w:val="0"/>
              <w:autoSpaceDN w:val="0"/>
              <w:spacing w:before="63" w:line="257" w:lineRule="exact"/>
              <w:ind w:left="0" w:leftChars="0" w:right="22" w:firstLine="0" w:firstLineChars="0"/>
              <w:jc w:val="center"/>
              <w:rPr>
                <w:rFonts w:hint="default" w:ascii="Times New Roman" w:hAnsi="Times New Roman" w:eastAsia="宋体" w:cs="Times New Roman"/>
                <w:color w:val="auto"/>
                <w:sz w:val="18"/>
                <w:szCs w:val="18"/>
                <w:lang w:val="zh-CN" w:eastAsia="zh-CN" w:bidi="zh-CN"/>
              </w:rPr>
            </w:pPr>
            <w:r>
              <w:rPr>
                <w:rFonts w:hint="default" w:ascii="Times New Roman" w:hAnsi="Times New Roman" w:eastAsia="宋体" w:cs="Times New Roman"/>
                <w:color w:val="auto"/>
                <w:sz w:val="18"/>
                <w:szCs w:val="18"/>
                <w:lang w:val="zh-CN" w:eastAsia="zh-CN" w:bidi="zh-CN"/>
              </w:rPr>
              <w:t>3.53</w:t>
            </w:r>
          </w:p>
        </w:tc>
        <w:tc>
          <w:tcPr>
            <w:tcW w:w="464" w:type="dxa"/>
            <w:noWrap/>
            <w:vAlign w:val="center"/>
          </w:tcPr>
          <w:p w14:paraId="50BA2636">
            <w:pPr>
              <w:widowControl w:val="0"/>
              <w:autoSpaceDE w:val="0"/>
              <w:autoSpaceDN w:val="0"/>
              <w:spacing w:before="63" w:line="257" w:lineRule="exact"/>
              <w:ind w:left="0" w:leftChars="0" w:right="22" w:firstLine="0" w:firstLineChars="0"/>
              <w:jc w:val="center"/>
              <w:rPr>
                <w:rFonts w:hint="default" w:ascii="Times New Roman" w:hAnsi="Times New Roman" w:eastAsia="宋体" w:cs="Times New Roman"/>
                <w:color w:val="auto"/>
                <w:sz w:val="18"/>
                <w:szCs w:val="18"/>
                <w:lang w:val="zh-CN" w:eastAsia="zh-CN" w:bidi="zh-CN"/>
              </w:rPr>
            </w:pPr>
            <w:r>
              <w:rPr>
                <w:rFonts w:hint="default" w:ascii="Times New Roman" w:hAnsi="Times New Roman" w:eastAsia="宋体" w:cs="Times New Roman"/>
                <w:color w:val="auto"/>
                <w:sz w:val="18"/>
                <w:szCs w:val="18"/>
                <w:lang w:val="zh-CN" w:eastAsia="zh-CN" w:bidi="zh-CN"/>
              </w:rPr>
              <w:t>5.82</w:t>
            </w:r>
          </w:p>
        </w:tc>
        <w:tc>
          <w:tcPr>
            <w:tcW w:w="508" w:type="dxa"/>
            <w:noWrap/>
            <w:vAlign w:val="center"/>
          </w:tcPr>
          <w:p w14:paraId="76A28724">
            <w:pPr>
              <w:widowControl w:val="0"/>
              <w:autoSpaceDE w:val="0"/>
              <w:autoSpaceDN w:val="0"/>
              <w:spacing w:before="63" w:line="257" w:lineRule="exact"/>
              <w:ind w:left="0" w:leftChars="0" w:right="22" w:firstLine="0" w:firstLineChars="0"/>
              <w:jc w:val="center"/>
              <w:rPr>
                <w:rFonts w:hint="default" w:ascii="Times New Roman" w:hAnsi="Times New Roman" w:eastAsia="宋体" w:cs="Times New Roman"/>
                <w:color w:val="auto"/>
                <w:sz w:val="18"/>
                <w:szCs w:val="18"/>
                <w:lang w:val="zh-CN" w:eastAsia="zh-CN" w:bidi="zh-CN"/>
              </w:rPr>
            </w:pPr>
            <w:r>
              <w:rPr>
                <w:rFonts w:hint="default" w:ascii="Times New Roman" w:hAnsi="Times New Roman" w:eastAsia="宋体" w:cs="Times New Roman"/>
                <w:color w:val="auto"/>
                <w:sz w:val="18"/>
                <w:szCs w:val="18"/>
                <w:lang w:val="zh-CN" w:eastAsia="zh-CN" w:bidi="zh-CN"/>
              </w:rPr>
              <w:t>8.42</w:t>
            </w:r>
          </w:p>
        </w:tc>
        <w:tc>
          <w:tcPr>
            <w:tcW w:w="471" w:type="dxa"/>
            <w:noWrap/>
            <w:vAlign w:val="center"/>
          </w:tcPr>
          <w:p w14:paraId="7754EC5B">
            <w:pPr>
              <w:widowControl w:val="0"/>
              <w:autoSpaceDE w:val="0"/>
              <w:autoSpaceDN w:val="0"/>
              <w:spacing w:before="63" w:line="257" w:lineRule="exact"/>
              <w:ind w:left="0" w:leftChars="0" w:right="22" w:firstLine="0" w:firstLineChars="0"/>
              <w:jc w:val="center"/>
              <w:rPr>
                <w:rFonts w:hint="default" w:ascii="Times New Roman" w:hAnsi="Times New Roman" w:eastAsia="宋体" w:cs="Times New Roman"/>
                <w:color w:val="auto"/>
                <w:sz w:val="18"/>
                <w:szCs w:val="18"/>
                <w:lang w:val="zh-CN" w:eastAsia="zh-CN" w:bidi="zh-CN"/>
              </w:rPr>
            </w:pPr>
            <w:r>
              <w:rPr>
                <w:rFonts w:hint="default" w:ascii="Times New Roman" w:hAnsi="Times New Roman" w:eastAsia="宋体" w:cs="Times New Roman"/>
                <w:color w:val="auto"/>
                <w:sz w:val="18"/>
                <w:szCs w:val="18"/>
                <w:lang w:val="zh-CN" w:eastAsia="zh-CN" w:bidi="zh-CN"/>
              </w:rPr>
              <w:t>12.13</w:t>
            </w:r>
          </w:p>
        </w:tc>
        <w:tc>
          <w:tcPr>
            <w:tcW w:w="540" w:type="dxa"/>
            <w:noWrap/>
            <w:vAlign w:val="center"/>
          </w:tcPr>
          <w:p w14:paraId="73D57CE7">
            <w:pPr>
              <w:widowControl w:val="0"/>
              <w:autoSpaceDE w:val="0"/>
              <w:autoSpaceDN w:val="0"/>
              <w:spacing w:before="63" w:line="257" w:lineRule="exact"/>
              <w:ind w:left="0" w:leftChars="0" w:right="22" w:firstLine="0" w:firstLineChars="0"/>
              <w:jc w:val="center"/>
              <w:rPr>
                <w:rFonts w:hint="default" w:ascii="Times New Roman" w:hAnsi="Times New Roman" w:eastAsia="宋体" w:cs="Times New Roman"/>
                <w:color w:val="auto"/>
                <w:sz w:val="18"/>
                <w:szCs w:val="18"/>
                <w:lang w:val="zh-CN" w:eastAsia="zh-CN" w:bidi="zh-CN"/>
              </w:rPr>
            </w:pPr>
            <w:r>
              <w:rPr>
                <w:rFonts w:hint="default" w:ascii="Times New Roman" w:hAnsi="Times New Roman" w:eastAsia="宋体" w:cs="Times New Roman"/>
                <w:color w:val="auto"/>
                <w:sz w:val="18"/>
                <w:szCs w:val="18"/>
                <w:lang w:val="zh-CN" w:eastAsia="zh-CN" w:bidi="zh-CN"/>
              </w:rPr>
              <w:t>3.98</w:t>
            </w:r>
          </w:p>
        </w:tc>
        <w:tc>
          <w:tcPr>
            <w:tcW w:w="465" w:type="dxa"/>
            <w:noWrap/>
            <w:vAlign w:val="center"/>
          </w:tcPr>
          <w:p w14:paraId="5E411B38">
            <w:pPr>
              <w:widowControl w:val="0"/>
              <w:autoSpaceDE w:val="0"/>
              <w:autoSpaceDN w:val="0"/>
              <w:spacing w:before="63" w:line="257" w:lineRule="exact"/>
              <w:ind w:left="0" w:leftChars="0" w:right="22" w:firstLine="0" w:firstLineChars="0"/>
              <w:jc w:val="center"/>
              <w:rPr>
                <w:rFonts w:hint="default" w:ascii="Times New Roman" w:hAnsi="Times New Roman" w:eastAsia="宋体" w:cs="Times New Roman"/>
                <w:color w:val="auto"/>
                <w:sz w:val="18"/>
                <w:szCs w:val="18"/>
                <w:lang w:val="zh-CN" w:eastAsia="zh-CN" w:bidi="zh-CN"/>
              </w:rPr>
            </w:pPr>
            <w:r>
              <w:rPr>
                <w:rFonts w:hint="default" w:ascii="Times New Roman" w:hAnsi="Times New Roman" w:eastAsia="宋体" w:cs="Times New Roman"/>
                <w:color w:val="auto"/>
                <w:sz w:val="18"/>
                <w:szCs w:val="18"/>
                <w:lang w:val="zh-CN" w:eastAsia="zh-CN" w:bidi="zh-CN"/>
              </w:rPr>
              <w:t>3.07</w:t>
            </w:r>
          </w:p>
        </w:tc>
        <w:tc>
          <w:tcPr>
            <w:tcW w:w="498" w:type="dxa"/>
            <w:noWrap/>
            <w:vAlign w:val="center"/>
          </w:tcPr>
          <w:p w14:paraId="44DA4D68">
            <w:pPr>
              <w:widowControl w:val="0"/>
              <w:autoSpaceDE w:val="0"/>
              <w:autoSpaceDN w:val="0"/>
              <w:spacing w:before="63" w:line="257" w:lineRule="exact"/>
              <w:ind w:left="0" w:leftChars="0" w:right="22" w:firstLine="0" w:firstLineChars="0"/>
              <w:jc w:val="center"/>
              <w:rPr>
                <w:rFonts w:hint="default" w:ascii="Times New Roman" w:hAnsi="Times New Roman" w:eastAsia="宋体" w:cs="Times New Roman"/>
                <w:color w:val="auto"/>
                <w:sz w:val="18"/>
                <w:szCs w:val="18"/>
                <w:lang w:val="zh-CN" w:eastAsia="zh-CN" w:bidi="zh-CN"/>
              </w:rPr>
            </w:pPr>
            <w:r>
              <w:rPr>
                <w:rFonts w:hint="default" w:ascii="Times New Roman" w:hAnsi="Times New Roman" w:eastAsia="宋体" w:cs="Times New Roman"/>
                <w:color w:val="auto"/>
                <w:sz w:val="18"/>
                <w:szCs w:val="18"/>
                <w:lang w:val="zh-CN" w:eastAsia="zh-CN" w:bidi="zh-CN"/>
              </w:rPr>
              <w:t>3.07</w:t>
            </w:r>
          </w:p>
        </w:tc>
        <w:tc>
          <w:tcPr>
            <w:tcW w:w="465" w:type="dxa"/>
            <w:noWrap/>
            <w:vAlign w:val="center"/>
          </w:tcPr>
          <w:p w14:paraId="494CDB87">
            <w:pPr>
              <w:widowControl w:val="0"/>
              <w:autoSpaceDE w:val="0"/>
              <w:autoSpaceDN w:val="0"/>
              <w:spacing w:before="63" w:line="257" w:lineRule="exact"/>
              <w:ind w:left="0" w:leftChars="0" w:right="22" w:firstLine="0" w:firstLineChars="0"/>
              <w:jc w:val="center"/>
              <w:rPr>
                <w:rFonts w:hint="default" w:ascii="Times New Roman" w:hAnsi="Times New Roman" w:eastAsia="宋体" w:cs="Times New Roman"/>
                <w:color w:val="auto"/>
                <w:sz w:val="18"/>
                <w:szCs w:val="18"/>
                <w:lang w:val="zh-CN" w:eastAsia="zh-CN" w:bidi="zh-CN"/>
              </w:rPr>
            </w:pPr>
            <w:r>
              <w:rPr>
                <w:rFonts w:hint="default" w:ascii="Times New Roman" w:hAnsi="Times New Roman" w:eastAsia="宋体" w:cs="Times New Roman"/>
                <w:color w:val="auto"/>
                <w:sz w:val="18"/>
                <w:szCs w:val="18"/>
                <w:lang w:val="zh-CN" w:eastAsia="zh-CN" w:bidi="zh-CN"/>
              </w:rPr>
              <w:t>0.37</w:t>
            </w:r>
          </w:p>
        </w:tc>
      </w:tr>
      <w:tr w14:paraId="07E4E1E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6" w:type="dxa"/>
            <w:bottom w:w="0" w:type="dxa"/>
            <w:right w:w="6" w:type="dxa"/>
          </w:tblCellMar>
        </w:tblPrEx>
        <w:trPr>
          <w:trHeight w:val="420" w:hRule="atLeast"/>
        </w:trPr>
        <w:tc>
          <w:tcPr>
            <w:tcW w:w="889" w:type="dxa"/>
            <w:noWrap/>
            <w:vAlign w:val="center"/>
          </w:tcPr>
          <w:p w14:paraId="582E57E6">
            <w:pPr>
              <w:widowControl w:val="0"/>
              <w:autoSpaceDE w:val="0"/>
              <w:autoSpaceDN w:val="0"/>
              <w:spacing w:before="63" w:line="257" w:lineRule="exact"/>
              <w:ind w:left="0" w:leftChars="0" w:right="22" w:firstLine="0" w:firstLineChars="0"/>
              <w:jc w:val="center"/>
              <w:rPr>
                <w:rFonts w:hint="default" w:ascii="Times New Roman" w:hAnsi="Times New Roman" w:eastAsia="宋体" w:cs="Times New Roman"/>
                <w:color w:val="auto"/>
                <w:sz w:val="18"/>
                <w:szCs w:val="18"/>
                <w:lang w:val="zh-CN" w:eastAsia="zh-CN" w:bidi="zh-CN"/>
              </w:rPr>
            </w:pPr>
            <w:r>
              <w:rPr>
                <w:rFonts w:hint="default" w:ascii="Times New Roman" w:hAnsi="Times New Roman" w:eastAsia="宋体" w:cs="Times New Roman"/>
                <w:color w:val="auto"/>
                <w:sz w:val="18"/>
                <w:szCs w:val="18"/>
                <w:lang w:val="zh-CN" w:eastAsia="zh-CN" w:bidi="zh-CN"/>
              </w:rPr>
              <w:t>年平均</w:t>
            </w:r>
          </w:p>
        </w:tc>
        <w:tc>
          <w:tcPr>
            <w:tcW w:w="587" w:type="dxa"/>
            <w:noWrap/>
            <w:vAlign w:val="center"/>
          </w:tcPr>
          <w:p w14:paraId="2FE32457">
            <w:pPr>
              <w:widowControl w:val="0"/>
              <w:autoSpaceDE w:val="0"/>
              <w:autoSpaceDN w:val="0"/>
              <w:spacing w:before="63" w:line="257" w:lineRule="exact"/>
              <w:ind w:left="0" w:leftChars="0" w:right="22" w:firstLine="0" w:firstLineChars="0"/>
              <w:jc w:val="center"/>
              <w:rPr>
                <w:rFonts w:hint="default" w:ascii="Times New Roman" w:hAnsi="Times New Roman" w:eastAsia="宋体" w:cs="Times New Roman"/>
                <w:color w:val="auto"/>
                <w:sz w:val="18"/>
                <w:szCs w:val="18"/>
                <w:lang w:val="zh-CN" w:eastAsia="zh-CN" w:bidi="zh-CN"/>
              </w:rPr>
            </w:pPr>
            <w:r>
              <w:rPr>
                <w:rFonts w:hint="default" w:ascii="Times New Roman" w:hAnsi="Times New Roman" w:eastAsia="宋体" w:cs="Times New Roman"/>
                <w:color w:val="auto"/>
                <w:sz w:val="18"/>
                <w:szCs w:val="18"/>
                <w:lang w:val="zh-CN" w:eastAsia="zh-CN" w:bidi="zh-CN"/>
              </w:rPr>
              <w:t>4.27</w:t>
            </w:r>
          </w:p>
        </w:tc>
        <w:tc>
          <w:tcPr>
            <w:tcW w:w="434" w:type="dxa"/>
            <w:noWrap/>
            <w:vAlign w:val="center"/>
          </w:tcPr>
          <w:p w14:paraId="73FAA91F">
            <w:pPr>
              <w:widowControl w:val="0"/>
              <w:autoSpaceDE w:val="0"/>
              <w:autoSpaceDN w:val="0"/>
              <w:spacing w:before="63" w:line="257" w:lineRule="exact"/>
              <w:ind w:left="0" w:leftChars="0" w:right="22" w:firstLine="0" w:firstLineChars="0"/>
              <w:jc w:val="center"/>
              <w:rPr>
                <w:rFonts w:hint="default" w:ascii="Times New Roman" w:hAnsi="Times New Roman" w:eastAsia="宋体" w:cs="Times New Roman"/>
                <w:color w:val="auto"/>
                <w:sz w:val="18"/>
                <w:szCs w:val="18"/>
                <w:lang w:val="zh-CN" w:eastAsia="zh-CN" w:bidi="zh-CN"/>
              </w:rPr>
            </w:pPr>
            <w:r>
              <w:rPr>
                <w:rFonts w:hint="default" w:ascii="Times New Roman" w:hAnsi="Times New Roman" w:eastAsia="宋体" w:cs="Times New Roman"/>
                <w:color w:val="auto"/>
                <w:sz w:val="18"/>
                <w:szCs w:val="18"/>
                <w:lang w:val="zh-CN" w:eastAsia="zh-CN" w:bidi="zh-CN"/>
              </w:rPr>
              <w:t>3.18</w:t>
            </w:r>
          </w:p>
        </w:tc>
        <w:tc>
          <w:tcPr>
            <w:tcW w:w="464" w:type="dxa"/>
            <w:noWrap/>
            <w:vAlign w:val="center"/>
          </w:tcPr>
          <w:p w14:paraId="4FA9FDF6">
            <w:pPr>
              <w:widowControl w:val="0"/>
              <w:autoSpaceDE w:val="0"/>
              <w:autoSpaceDN w:val="0"/>
              <w:spacing w:before="63" w:line="257" w:lineRule="exact"/>
              <w:ind w:left="0" w:leftChars="0" w:right="22" w:firstLine="0" w:firstLineChars="0"/>
              <w:jc w:val="center"/>
              <w:rPr>
                <w:rFonts w:hint="default" w:ascii="Times New Roman" w:hAnsi="Times New Roman" w:eastAsia="宋体" w:cs="Times New Roman"/>
                <w:color w:val="auto"/>
                <w:sz w:val="18"/>
                <w:szCs w:val="18"/>
                <w:lang w:val="zh-CN" w:eastAsia="zh-CN" w:bidi="zh-CN"/>
              </w:rPr>
            </w:pPr>
            <w:r>
              <w:rPr>
                <w:rFonts w:hint="default" w:ascii="Times New Roman" w:hAnsi="Times New Roman" w:eastAsia="宋体" w:cs="Times New Roman"/>
                <w:color w:val="auto"/>
                <w:sz w:val="18"/>
                <w:szCs w:val="18"/>
                <w:lang w:val="zh-CN" w:eastAsia="zh-CN" w:bidi="zh-CN"/>
              </w:rPr>
              <w:t>5.12</w:t>
            </w:r>
          </w:p>
        </w:tc>
        <w:tc>
          <w:tcPr>
            <w:tcW w:w="463" w:type="dxa"/>
            <w:noWrap/>
            <w:vAlign w:val="center"/>
          </w:tcPr>
          <w:p w14:paraId="66F4874B">
            <w:pPr>
              <w:widowControl w:val="0"/>
              <w:autoSpaceDE w:val="0"/>
              <w:autoSpaceDN w:val="0"/>
              <w:spacing w:before="63" w:line="257" w:lineRule="exact"/>
              <w:ind w:left="0" w:leftChars="0" w:right="22" w:firstLine="0" w:firstLineChars="0"/>
              <w:jc w:val="center"/>
              <w:rPr>
                <w:rFonts w:hint="default" w:ascii="Times New Roman" w:hAnsi="Times New Roman" w:eastAsia="宋体" w:cs="Times New Roman"/>
                <w:color w:val="auto"/>
                <w:sz w:val="18"/>
                <w:szCs w:val="18"/>
                <w:lang w:val="zh-CN" w:eastAsia="zh-CN" w:bidi="zh-CN"/>
              </w:rPr>
            </w:pPr>
            <w:r>
              <w:rPr>
                <w:rFonts w:hint="default" w:ascii="Times New Roman" w:hAnsi="Times New Roman" w:eastAsia="宋体" w:cs="Times New Roman"/>
                <w:color w:val="auto"/>
                <w:sz w:val="18"/>
                <w:szCs w:val="18"/>
                <w:lang w:val="zh-CN" w:eastAsia="zh-CN" w:bidi="zh-CN"/>
              </w:rPr>
              <w:t>8.09</w:t>
            </w:r>
          </w:p>
        </w:tc>
        <w:tc>
          <w:tcPr>
            <w:tcW w:w="471" w:type="dxa"/>
            <w:noWrap/>
            <w:vAlign w:val="center"/>
          </w:tcPr>
          <w:p w14:paraId="76BEDCF8">
            <w:pPr>
              <w:widowControl w:val="0"/>
              <w:autoSpaceDE w:val="0"/>
              <w:autoSpaceDN w:val="0"/>
              <w:spacing w:before="63" w:line="257" w:lineRule="exact"/>
              <w:ind w:left="0" w:leftChars="0" w:right="22" w:firstLine="0" w:firstLineChars="0"/>
              <w:jc w:val="center"/>
              <w:rPr>
                <w:rFonts w:hint="default" w:ascii="Times New Roman" w:hAnsi="Times New Roman" w:eastAsia="宋体" w:cs="Times New Roman"/>
                <w:color w:val="auto"/>
                <w:sz w:val="18"/>
                <w:szCs w:val="18"/>
                <w:lang w:val="zh-CN" w:eastAsia="zh-CN" w:bidi="zh-CN"/>
              </w:rPr>
            </w:pPr>
            <w:r>
              <w:rPr>
                <w:rFonts w:hint="default" w:ascii="Times New Roman" w:hAnsi="Times New Roman" w:eastAsia="宋体" w:cs="Times New Roman"/>
                <w:color w:val="auto"/>
                <w:sz w:val="18"/>
                <w:szCs w:val="18"/>
                <w:lang w:val="zh-CN" w:eastAsia="zh-CN" w:bidi="zh-CN"/>
              </w:rPr>
              <w:t>19.44</w:t>
            </w:r>
          </w:p>
        </w:tc>
        <w:tc>
          <w:tcPr>
            <w:tcW w:w="471" w:type="dxa"/>
            <w:noWrap/>
            <w:vAlign w:val="center"/>
          </w:tcPr>
          <w:p w14:paraId="0DD16B4A">
            <w:pPr>
              <w:widowControl w:val="0"/>
              <w:autoSpaceDE w:val="0"/>
              <w:autoSpaceDN w:val="0"/>
              <w:spacing w:before="63" w:line="257" w:lineRule="exact"/>
              <w:ind w:left="0" w:leftChars="0" w:right="22" w:firstLine="0" w:firstLineChars="0"/>
              <w:jc w:val="center"/>
              <w:rPr>
                <w:rFonts w:hint="default" w:ascii="Times New Roman" w:hAnsi="Times New Roman" w:eastAsia="宋体" w:cs="Times New Roman"/>
                <w:color w:val="auto"/>
                <w:sz w:val="18"/>
                <w:szCs w:val="18"/>
                <w:lang w:val="zh-CN" w:eastAsia="zh-CN" w:bidi="zh-CN"/>
              </w:rPr>
            </w:pPr>
            <w:r>
              <w:rPr>
                <w:rFonts w:hint="default" w:ascii="Times New Roman" w:hAnsi="Times New Roman" w:eastAsia="宋体" w:cs="Times New Roman"/>
                <w:color w:val="auto"/>
                <w:sz w:val="18"/>
                <w:szCs w:val="18"/>
                <w:lang w:val="zh-CN" w:eastAsia="zh-CN" w:bidi="zh-CN"/>
              </w:rPr>
              <w:t>10.28</w:t>
            </w:r>
          </w:p>
        </w:tc>
        <w:tc>
          <w:tcPr>
            <w:tcW w:w="464" w:type="dxa"/>
            <w:noWrap/>
            <w:vAlign w:val="center"/>
          </w:tcPr>
          <w:p w14:paraId="1C8D98E1">
            <w:pPr>
              <w:widowControl w:val="0"/>
              <w:autoSpaceDE w:val="0"/>
              <w:autoSpaceDN w:val="0"/>
              <w:spacing w:before="63" w:line="257" w:lineRule="exact"/>
              <w:ind w:left="0" w:leftChars="0" w:right="22" w:firstLine="0" w:firstLineChars="0"/>
              <w:jc w:val="center"/>
              <w:rPr>
                <w:rFonts w:hint="default" w:ascii="Times New Roman" w:hAnsi="Times New Roman" w:eastAsia="宋体" w:cs="Times New Roman"/>
                <w:color w:val="auto"/>
                <w:sz w:val="18"/>
                <w:szCs w:val="18"/>
                <w:lang w:val="zh-CN" w:eastAsia="zh-CN" w:bidi="zh-CN"/>
              </w:rPr>
            </w:pPr>
            <w:r>
              <w:rPr>
                <w:rFonts w:hint="default" w:ascii="Times New Roman" w:hAnsi="Times New Roman" w:eastAsia="宋体" w:cs="Times New Roman"/>
                <w:color w:val="auto"/>
                <w:sz w:val="18"/>
                <w:szCs w:val="18"/>
                <w:lang w:val="zh-CN" w:eastAsia="zh-CN" w:bidi="zh-CN"/>
              </w:rPr>
              <w:t>6.92</w:t>
            </w:r>
          </w:p>
        </w:tc>
        <w:tc>
          <w:tcPr>
            <w:tcW w:w="464" w:type="dxa"/>
            <w:noWrap/>
            <w:vAlign w:val="center"/>
          </w:tcPr>
          <w:p w14:paraId="443FB1BA">
            <w:pPr>
              <w:widowControl w:val="0"/>
              <w:autoSpaceDE w:val="0"/>
              <w:autoSpaceDN w:val="0"/>
              <w:spacing w:before="63" w:line="257" w:lineRule="exact"/>
              <w:ind w:left="0" w:leftChars="0" w:right="22" w:firstLine="0" w:firstLineChars="0"/>
              <w:jc w:val="center"/>
              <w:rPr>
                <w:rFonts w:hint="default" w:ascii="Times New Roman" w:hAnsi="Times New Roman" w:eastAsia="宋体" w:cs="Times New Roman"/>
                <w:color w:val="auto"/>
                <w:sz w:val="18"/>
                <w:szCs w:val="18"/>
                <w:lang w:val="zh-CN" w:eastAsia="zh-CN" w:bidi="zh-CN"/>
              </w:rPr>
            </w:pPr>
            <w:r>
              <w:rPr>
                <w:rFonts w:hint="default" w:ascii="Times New Roman" w:hAnsi="Times New Roman" w:eastAsia="宋体" w:cs="Times New Roman"/>
                <w:color w:val="auto"/>
                <w:sz w:val="18"/>
                <w:szCs w:val="18"/>
                <w:lang w:val="zh-CN" w:eastAsia="zh-CN" w:bidi="zh-CN"/>
              </w:rPr>
              <w:t>4.25</w:t>
            </w:r>
          </w:p>
        </w:tc>
        <w:tc>
          <w:tcPr>
            <w:tcW w:w="464" w:type="dxa"/>
            <w:noWrap/>
            <w:vAlign w:val="center"/>
          </w:tcPr>
          <w:p w14:paraId="054F4195">
            <w:pPr>
              <w:widowControl w:val="0"/>
              <w:autoSpaceDE w:val="0"/>
              <w:autoSpaceDN w:val="0"/>
              <w:spacing w:before="63" w:line="257" w:lineRule="exact"/>
              <w:ind w:left="0" w:leftChars="0" w:right="22" w:firstLine="0" w:firstLineChars="0"/>
              <w:jc w:val="center"/>
              <w:rPr>
                <w:rFonts w:hint="default" w:ascii="Times New Roman" w:hAnsi="Times New Roman" w:eastAsia="宋体" w:cs="Times New Roman"/>
                <w:color w:val="auto"/>
                <w:sz w:val="18"/>
                <w:szCs w:val="18"/>
                <w:lang w:val="zh-CN" w:eastAsia="zh-CN" w:bidi="zh-CN"/>
              </w:rPr>
            </w:pPr>
            <w:r>
              <w:rPr>
                <w:rFonts w:hint="default" w:ascii="Times New Roman" w:hAnsi="Times New Roman" w:eastAsia="宋体" w:cs="Times New Roman"/>
                <w:color w:val="auto"/>
                <w:sz w:val="18"/>
                <w:szCs w:val="18"/>
                <w:lang w:val="zh-CN" w:eastAsia="zh-CN" w:bidi="zh-CN"/>
              </w:rPr>
              <w:t>4.61</w:t>
            </w:r>
          </w:p>
        </w:tc>
        <w:tc>
          <w:tcPr>
            <w:tcW w:w="464" w:type="dxa"/>
            <w:noWrap/>
            <w:vAlign w:val="center"/>
          </w:tcPr>
          <w:p w14:paraId="15BB5E28">
            <w:pPr>
              <w:widowControl w:val="0"/>
              <w:autoSpaceDE w:val="0"/>
              <w:autoSpaceDN w:val="0"/>
              <w:spacing w:before="63" w:line="257" w:lineRule="exact"/>
              <w:ind w:left="0" w:leftChars="0" w:right="22" w:firstLine="0" w:firstLineChars="0"/>
              <w:jc w:val="center"/>
              <w:rPr>
                <w:rFonts w:hint="default" w:ascii="Times New Roman" w:hAnsi="Times New Roman" w:eastAsia="宋体" w:cs="Times New Roman"/>
                <w:color w:val="auto"/>
                <w:sz w:val="18"/>
                <w:szCs w:val="18"/>
                <w:lang w:val="zh-CN" w:eastAsia="zh-CN" w:bidi="zh-CN"/>
              </w:rPr>
            </w:pPr>
            <w:r>
              <w:rPr>
                <w:rFonts w:hint="default" w:ascii="Times New Roman" w:hAnsi="Times New Roman" w:eastAsia="宋体" w:cs="Times New Roman"/>
                <w:color w:val="auto"/>
                <w:sz w:val="18"/>
                <w:szCs w:val="18"/>
                <w:lang w:val="zh-CN" w:eastAsia="zh-CN" w:bidi="zh-CN"/>
              </w:rPr>
              <w:t>3.28</w:t>
            </w:r>
          </w:p>
        </w:tc>
        <w:tc>
          <w:tcPr>
            <w:tcW w:w="464" w:type="dxa"/>
            <w:noWrap/>
            <w:vAlign w:val="center"/>
          </w:tcPr>
          <w:p w14:paraId="0D91C86A">
            <w:pPr>
              <w:widowControl w:val="0"/>
              <w:autoSpaceDE w:val="0"/>
              <w:autoSpaceDN w:val="0"/>
              <w:spacing w:before="63" w:line="257" w:lineRule="exact"/>
              <w:ind w:left="0" w:leftChars="0" w:right="22" w:firstLine="0" w:firstLineChars="0"/>
              <w:jc w:val="center"/>
              <w:rPr>
                <w:rFonts w:hint="default" w:ascii="Times New Roman" w:hAnsi="Times New Roman" w:eastAsia="宋体" w:cs="Times New Roman"/>
                <w:color w:val="auto"/>
                <w:sz w:val="18"/>
                <w:szCs w:val="18"/>
                <w:lang w:val="zh-CN" w:eastAsia="zh-CN" w:bidi="zh-CN"/>
              </w:rPr>
            </w:pPr>
            <w:r>
              <w:rPr>
                <w:rFonts w:hint="default" w:ascii="Times New Roman" w:hAnsi="Times New Roman" w:eastAsia="宋体" w:cs="Times New Roman"/>
                <w:color w:val="auto"/>
                <w:sz w:val="18"/>
                <w:szCs w:val="18"/>
                <w:lang w:val="zh-CN" w:eastAsia="zh-CN" w:bidi="zh-CN"/>
              </w:rPr>
              <w:t>4.44</w:t>
            </w:r>
          </w:p>
        </w:tc>
        <w:tc>
          <w:tcPr>
            <w:tcW w:w="508" w:type="dxa"/>
            <w:noWrap/>
            <w:vAlign w:val="center"/>
          </w:tcPr>
          <w:p w14:paraId="4DA7FE12">
            <w:pPr>
              <w:widowControl w:val="0"/>
              <w:autoSpaceDE w:val="0"/>
              <w:autoSpaceDN w:val="0"/>
              <w:spacing w:before="63" w:line="257" w:lineRule="exact"/>
              <w:ind w:left="0" w:leftChars="0" w:right="22" w:firstLine="0" w:firstLineChars="0"/>
              <w:jc w:val="center"/>
              <w:rPr>
                <w:rFonts w:hint="default" w:ascii="Times New Roman" w:hAnsi="Times New Roman" w:eastAsia="宋体" w:cs="Times New Roman"/>
                <w:color w:val="auto"/>
                <w:sz w:val="18"/>
                <w:szCs w:val="18"/>
                <w:lang w:val="zh-CN" w:eastAsia="zh-CN" w:bidi="zh-CN"/>
              </w:rPr>
            </w:pPr>
            <w:r>
              <w:rPr>
                <w:rFonts w:hint="default" w:ascii="Times New Roman" w:hAnsi="Times New Roman" w:eastAsia="宋体" w:cs="Times New Roman"/>
                <w:color w:val="auto"/>
                <w:sz w:val="18"/>
                <w:szCs w:val="18"/>
                <w:lang w:val="zh-CN" w:eastAsia="zh-CN" w:bidi="zh-CN"/>
              </w:rPr>
              <w:t>5.82</w:t>
            </w:r>
          </w:p>
        </w:tc>
        <w:tc>
          <w:tcPr>
            <w:tcW w:w="471" w:type="dxa"/>
            <w:noWrap/>
            <w:vAlign w:val="center"/>
          </w:tcPr>
          <w:p w14:paraId="72B78046">
            <w:pPr>
              <w:widowControl w:val="0"/>
              <w:autoSpaceDE w:val="0"/>
              <w:autoSpaceDN w:val="0"/>
              <w:spacing w:before="63" w:line="257" w:lineRule="exact"/>
              <w:ind w:left="0" w:leftChars="0" w:right="22" w:firstLine="0" w:firstLineChars="0"/>
              <w:jc w:val="center"/>
              <w:rPr>
                <w:rFonts w:hint="default" w:ascii="Times New Roman" w:hAnsi="Times New Roman" w:eastAsia="宋体" w:cs="Times New Roman"/>
                <w:color w:val="auto"/>
                <w:sz w:val="18"/>
                <w:szCs w:val="18"/>
                <w:lang w:val="zh-CN" w:eastAsia="zh-CN" w:bidi="zh-CN"/>
              </w:rPr>
            </w:pPr>
            <w:r>
              <w:rPr>
                <w:rFonts w:hint="default" w:ascii="Times New Roman" w:hAnsi="Times New Roman" w:eastAsia="宋体" w:cs="Times New Roman"/>
                <w:color w:val="auto"/>
                <w:sz w:val="18"/>
                <w:szCs w:val="18"/>
                <w:lang w:val="zh-CN" w:eastAsia="zh-CN" w:bidi="zh-CN"/>
              </w:rPr>
              <w:t>10.03</w:t>
            </w:r>
          </w:p>
        </w:tc>
        <w:tc>
          <w:tcPr>
            <w:tcW w:w="540" w:type="dxa"/>
            <w:noWrap/>
            <w:vAlign w:val="center"/>
          </w:tcPr>
          <w:p w14:paraId="15D0B4C0">
            <w:pPr>
              <w:widowControl w:val="0"/>
              <w:autoSpaceDE w:val="0"/>
              <w:autoSpaceDN w:val="0"/>
              <w:spacing w:before="63" w:line="257" w:lineRule="exact"/>
              <w:ind w:left="0" w:leftChars="0" w:right="22" w:firstLine="0" w:firstLineChars="0"/>
              <w:jc w:val="center"/>
              <w:rPr>
                <w:rFonts w:hint="default" w:ascii="Times New Roman" w:hAnsi="Times New Roman" w:eastAsia="宋体" w:cs="Times New Roman"/>
                <w:color w:val="auto"/>
                <w:sz w:val="18"/>
                <w:szCs w:val="18"/>
                <w:lang w:val="zh-CN" w:eastAsia="zh-CN" w:bidi="zh-CN"/>
              </w:rPr>
            </w:pPr>
            <w:r>
              <w:rPr>
                <w:rFonts w:hint="default" w:ascii="Times New Roman" w:hAnsi="Times New Roman" w:eastAsia="宋体" w:cs="Times New Roman"/>
                <w:color w:val="auto"/>
                <w:sz w:val="18"/>
                <w:szCs w:val="18"/>
                <w:lang w:val="zh-CN" w:eastAsia="zh-CN" w:bidi="zh-CN"/>
              </w:rPr>
              <w:t>4.14</w:t>
            </w:r>
          </w:p>
        </w:tc>
        <w:tc>
          <w:tcPr>
            <w:tcW w:w="465" w:type="dxa"/>
            <w:noWrap/>
            <w:vAlign w:val="center"/>
          </w:tcPr>
          <w:p w14:paraId="7D71E841">
            <w:pPr>
              <w:widowControl w:val="0"/>
              <w:autoSpaceDE w:val="0"/>
              <w:autoSpaceDN w:val="0"/>
              <w:spacing w:before="63" w:line="257" w:lineRule="exact"/>
              <w:ind w:left="0" w:leftChars="0" w:right="22" w:firstLine="0" w:firstLineChars="0"/>
              <w:jc w:val="center"/>
              <w:rPr>
                <w:rFonts w:hint="default" w:ascii="Times New Roman" w:hAnsi="Times New Roman" w:eastAsia="宋体" w:cs="Times New Roman"/>
                <w:color w:val="auto"/>
                <w:sz w:val="18"/>
                <w:szCs w:val="18"/>
                <w:lang w:val="zh-CN" w:eastAsia="zh-CN" w:bidi="zh-CN"/>
              </w:rPr>
            </w:pPr>
            <w:r>
              <w:rPr>
                <w:rFonts w:hint="default" w:ascii="Times New Roman" w:hAnsi="Times New Roman" w:eastAsia="宋体" w:cs="Times New Roman"/>
                <w:color w:val="auto"/>
                <w:sz w:val="18"/>
                <w:szCs w:val="18"/>
                <w:lang w:val="zh-CN" w:eastAsia="zh-CN" w:bidi="zh-CN"/>
              </w:rPr>
              <w:t>3.11</w:t>
            </w:r>
          </w:p>
        </w:tc>
        <w:tc>
          <w:tcPr>
            <w:tcW w:w="498" w:type="dxa"/>
            <w:noWrap/>
            <w:vAlign w:val="center"/>
          </w:tcPr>
          <w:p w14:paraId="3C03EF2F">
            <w:pPr>
              <w:widowControl w:val="0"/>
              <w:autoSpaceDE w:val="0"/>
              <w:autoSpaceDN w:val="0"/>
              <w:spacing w:before="63" w:line="257" w:lineRule="exact"/>
              <w:ind w:left="0" w:leftChars="0" w:right="22" w:firstLine="0" w:firstLineChars="0"/>
              <w:jc w:val="center"/>
              <w:rPr>
                <w:rFonts w:hint="default" w:ascii="Times New Roman" w:hAnsi="Times New Roman" w:eastAsia="宋体" w:cs="Times New Roman"/>
                <w:color w:val="auto"/>
                <w:sz w:val="18"/>
                <w:szCs w:val="18"/>
                <w:lang w:val="zh-CN" w:eastAsia="zh-CN" w:bidi="zh-CN"/>
              </w:rPr>
            </w:pPr>
            <w:r>
              <w:rPr>
                <w:rFonts w:hint="default" w:ascii="Times New Roman" w:hAnsi="Times New Roman" w:eastAsia="宋体" w:cs="Times New Roman"/>
                <w:color w:val="auto"/>
                <w:sz w:val="18"/>
                <w:szCs w:val="18"/>
                <w:lang w:val="zh-CN" w:eastAsia="zh-CN" w:bidi="zh-CN"/>
              </w:rPr>
              <w:t>2.79</w:t>
            </w:r>
          </w:p>
        </w:tc>
        <w:tc>
          <w:tcPr>
            <w:tcW w:w="465" w:type="dxa"/>
            <w:noWrap/>
            <w:vAlign w:val="center"/>
          </w:tcPr>
          <w:p w14:paraId="15FC512B">
            <w:pPr>
              <w:widowControl w:val="0"/>
              <w:autoSpaceDE w:val="0"/>
              <w:autoSpaceDN w:val="0"/>
              <w:spacing w:before="63" w:line="257" w:lineRule="exact"/>
              <w:ind w:left="0" w:leftChars="0" w:right="22" w:firstLine="0" w:firstLineChars="0"/>
              <w:jc w:val="center"/>
              <w:rPr>
                <w:rFonts w:hint="default" w:ascii="Times New Roman" w:hAnsi="Times New Roman" w:eastAsia="宋体" w:cs="Times New Roman"/>
                <w:color w:val="auto"/>
                <w:sz w:val="18"/>
                <w:szCs w:val="18"/>
                <w:lang w:val="zh-CN" w:eastAsia="zh-CN" w:bidi="zh-CN"/>
              </w:rPr>
            </w:pPr>
            <w:r>
              <w:rPr>
                <w:rFonts w:hint="default" w:ascii="Times New Roman" w:hAnsi="Times New Roman" w:eastAsia="宋体" w:cs="Times New Roman"/>
                <w:color w:val="auto"/>
                <w:sz w:val="18"/>
                <w:szCs w:val="18"/>
                <w:lang w:val="zh-CN" w:eastAsia="zh-CN" w:bidi="zh-CN"/>
              </w:rPr>
              <w:t>0.23</w:t>
            </w:r>
          </w:p>
        </w:tc>
      </w:tr>
    </w:tbl>
    <w:p w14:paraId="2D84A4C7">
      <w:pPr>
        <w:widowControl w:val="0"/>
        <w:autoSpaceDE w:val="0"/>
        <w:autoSpaceDN w:val="0"/>
        <w:spacing w:before="120" w:beforeLines="50" w:line="360" w:lineRule="auto"/>
        <w:ind w:left="0" w:leftChars="0" w:firstLine="0" w:firstLineChars="0"/>
        <w:jc w:val="center"/>
        <w:rPr>
          <w:rFonts w:hint="eastAsia" w:ascii="Times New Roman" w:hAnsi="Times New Roman" w:eastAsia="宋体" w:cs="Times New Roman"/>
          <w:b/>
          <w:color w:val="auto"/>
          <w:sz w:val="21"/>
          <w:szCs w:val="21"/>
          <w:lang w:val="zh-CN" w:eastAsia="zh-CN" w:bidi="zh-CN"/>
        </w:rPr>
      </w:pPr>
      <w:r>
        <w:rPr>
          <w:rFonts w:hint="eastAsia" w:ascii="Times New Roman" w:hAnsi="Times New Roman" w:eastAsia="宋体" w:cs="Times New Roman"/>
          <w:b/>
          <w:color w:val="auto"/>
          <w:sz w:val="21"/>
          <w:szCs w:val="21"/>
          <w:lang w:val="zh-CN" w:eastAsia="zh-CN" w:bidi="zh-CN"/>
        </w:rPr>
        <w:drawing>
          <wp:inline distT="0" distB="0" distL="114300" distR="114300">
            <wp:extent cx="4419600" cy="6190615"/>
            <wp:effectExtent l="0" t="0" r="0" b="635"/>
            <wp:docPr id="10" name="图片 15" descr="图片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5" descr="图片6"/>
                    <pic:cNvPicPr>
                      <a:picLocks noChangeAspect="1"/>
                    </pic:cNvPicPr>
                  </pic:nvPicPr>
                  <pic:blipFill>
                    <a:blip r:embed="rId28"/>
                    <a:stretch>
                      <a:fillRect/>
                    </a:stretch>
                  </pic:blipFill>
                  <pic:spPr>
                    <a:xfrm>
                      <a:off x="0" y="0"/>
                      <a:ext cx="4419600" cy="6190615"/>
                    </a:xfrm>
                    <a:prstGeom prst="rect">
                      <a:avLst/>
                    </a:prstGeom>
                    <a:noFill/>
                    <a:ln>
                      <a:noFill/>
                    </a:ln>
                  </pic:spPr>
                </pic:pic>
              </a:graphicData>
            </a:graphic>
          </wp:inline>
        </w:drawing>
      </w:r>
    </w:p>
    <w:p w14:paraId="1F3CBB92">
      <w:pPr>
        <w:keepNext w:val="0"/>
        <w:keepLines w:val="0"/>
        <w:pageBreakBefore w:val="0"/>
        <w:widowControl w:val="0"/>
        <w:kinsoku/>
        <w:wordWrap/>
        <w:overflowPunct/>
        <w:topLinePunct w:val="0"/>
        <w:autoSpaceDE w:val="0"/>
        <w:autoSpaceDN w:val="0"/>
        <w:bidi w:val="0"/>
        <w:adjustRightInd/>
        <w:snapToGrid/>
        <w:spacing w:before="120" w:beforeLines="50" w:line="360" w:lineRule="auto"/>
        <w:ind w:firstLine="0" w:firstLineChars="0"/>
        <w:jc w:val="center"/>
        <w:textAlignment w:val="auto"/>
        <w:rPr>
          <w:rFonts w:hint="default" w:ascii="Times New Roman" w:hAnsi="Times New Roman" w:eastAsia="宋体" w:cs="Times New Roman"/>
          <w:b/>
          <w:color w:val="auto"/>
          <w:sz w:val="24"/>
          <w:szCs w:val="24"/>
          <w:lang w:val="zh-CN" w:eastAsia="zh-CN" w:bidi="zh-CN"/>
        </w:rPr>
      </w:pPr>
      <w:r>
        <w:rPr>
          <w:rFonts w:hint="default" w:ascii="Times New Roman" w:hAnsi="Times New Roman" w:eastAsia="宋体" w:cs="Times New Roman"/>
          <w:b/>
          <w:color w:val="auto"/>
          <w:sz w:val="24"/>
          <w:szCs w:val="24"/>
          <w:lang w:val="zh-CN" w:eastAsia="zh-CN" w:bidi="zh-CN"/>
        </w:rPr>
        <w:t>图5.2-1</w:t>
      </w:r>
      <w:r>
        <w:rPr>
          <w:rFonts w:hint="eastAsia" w:ascii="Times New Roman" w:hAnsi="Times New Roman" w:eastAsia="宋体" w:cs="Times New Roman"/>
          <w:b/>
          <w:color w:val="auto"/>
          <w:sz w:val="24"/>
          <w:szCs w:val="24"/>
          <w:lang w:val="en-US" w:eastAsia="zh-CN" w:bidi="zh-CN"/>
        </w:rPr>
        <w:t xml:space="preserve">  </w:t>
      </w:r>
      <w:r>
        <w:rPr>
          <w:rFonts w:hint="default" w:ascii="Times New Roman" w:hAnsi="Times New Roman" w:eastAsia="宋体" w:cs="Times New Roman"/>
          <w:b/>
          <w:color w:val="auto"/>
          <w:sz w:val="24"/>
          <w:szCs w:val="24"/>
          <w:lang w:val="zh-CN" w:eastAsia="zh-CN" w:bidi="zh-CN"/>
        </w:rPr>
        <w:tab/>
      </w:r>
      <w:r>
        <w:rPr>
          <w:rFonts w:hint="default" w:ascii="Times New Roman" w:hAnsi="Times New Roman" w:eastAsia="宋体" w:cs="Times New Roman"/>
          <w:b/>
          <w:color w:val="auto"/>
          <w:sz w:val="24"/>
          <w:szCs w:val="24"/>
          <w:lang w:val="zh-CN" w:eastAsia="zh-CN" w:bidi="zh-CN"/>
        </w:rPr>
        <w:t>202</w:t>
      </w:r>
      <w:r>
        <w:rPr>
          <w:rFonts w:hint="eastAsia" w:ascii="Times New Roman" w:hAnsi="Times New Roman" w:eastAsia="宋体" w:cs="Times New Roman"/>
          <w:b/>
          <w:color w:val="auto"/>
          <w:sz w:val="24"/>
          <w:szCs w:val="24"/>
          <w:lang w:val="en-US" w:eastAsia="zh-CN" w:bidi="zh-CN"/>
        </w:rPr>
        <w:t>4</w:t>
      </w:r>
      <w:r>
        <w:rPr>
          <w:rFonts w:hint="default" w:ascii="Times New Roman" w:hAnsi="Times New Roman" w:eastAsia="宋体" w:cs="Times New Roman"/>
          <w:b/>
          <w:color w:val="auto"/>
          <w:sz w:val="24"/>
          <w:szCs w:val="24"/>
          <w:lang w:val="zh-CN" w:eastAsia="zh-CN" w:bidi="zh-CN"/>
        </w:rPr>
        <w:t>年月、季、年平均风向玫瑰图</w:t>
      </w:r>
    </w:p>
    <w:p w14:paraId="1D17A046">
      <w:pPr>
        <w:widowControl w:val="0"/>
        <w:autoSpaceDE w:val="0"/>
        <w:autoSpaceDN w:val="0"/>
        <w:spacing w:line="240" w:lineRule="auto"/>
        <w:ind w:left="0" w:leftChars="0" w:firstLine="0" w:firstLineChars="0"/>
        <w:jc w:val="center"/>
        <w:rPr>
          <w:rFonts w:hint="eastAsia" w:ascii="Times New Roman" w:hAnsi="Times New Roman" w:eastAsia="宋体" w:cs="Times New Roman"/>
          <w:color w:val="auto"/>
          <w:spacing w:val="-8"/>
          <w:sz w:val="24"/>
          <w:szCs w:val="24"/>
          <w:lang w:val="zh-CN" w:eastAsia="zh-CN" w:bidi="zh-CN"/>
        </w:rPr>
      </w:pPr>
      <w:r>
        <w:rPr>
          <w:rFonts w:hint="eastAsia" w:ascii="Times New Roman" w:hAnsi="Times New Roman" w:eastAsia="宋体" w:cs="Times New Roman"/>
          <w:color w:val="auto"/>
          <w:spacing w:val="-8"/>
          <w:sz w:val="24"/>
          <w:szCs w:val="24"/>
          <w:lang w:val="zh-CN" w:eastAsia="zh-CN" w:bidi="zh-CN"/>
        </w:rPr>
        <w:drawing>
          <wp:inline distT="0" distB="0" distL="114300" distR="114300">
            <wp:extent cx="4621530" cy="6474460"/>
            <wp:effectExtent l="0" t="0" r="7620" b="2540"/>
            <wp:docPr id="11" name="图片 16" descr="图片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6" descr="图片6"/>
                    <pic:cNvPicPr>
                      <a:picLocks noChangeAspect="1"/>
                    </pic:cNvPicPr>
                  </pic:nvPicPr>
                  <pic:blipFill>
                    <a:blip r:embed="rId29"/>
                    <a:stretch>
                      <a:fillRect/>
                    </a:stretch>
                  </pic:blipFill>
                  <pic:spPr>
                    <a:xfrm>
                      <a:off x="0" y="0"/>
                      <a:ext cx="4621530" cy="6474460"/>
                    </a:xfrm>
                    <a:prstGeom prst="rect">
                      <a:avLst/>
                    </a:prstGeom>
                    <a:noFill/>
                    <a:ln>
                      <a:noFill/>
                    </a:ln>
                  </pic:spPr>
                </pic:pic>
              </a:graphicData>
            </a:graphic>
          </wp:inline>
        </w:drawing>
      </w:r>
    </w:p>
    <w:p w14:paraId="429BB405">
      <w:pPr>
        <w:keepNext w:val="0"/>
        <w:keepLines w:val="0"/>
        <w:pageBreakBefore w:val="0"/>
        <w:widowControl w:val="0"/>
        <w:kinsoku/>
        <w:wordWrap/>
        <w:overflowPunct/>
        <w:topLinePunct w:val="0"/>
        <w:autoSpaceDE/>
        <w:autoSpaceDN/>
        <w:bidi w:val="0"/>
        <w:adjustRightInd/>
        <w:snapToGrid/>
        <w:spacing w:after="0" w:line="520" w:lineRule="exact"/>
        <w:ind w:firstLine="0" w:firstLineChars="0"/>
        <w:jc w:val="center"/>
        <w:textAlignment w:val="auto"/>
        <w:rPr>
          <w:rFonts w:hint="default" w:ascii="Times New Roman" w:hAnsi="Times New Roman" w:eastAsia="宋体" w:cs="Times New Roman"/>
          <w:b/>
          <w:bCs/>
          <w:sz w:val="30"/>
          <w:szCs w:val="24"/>
          <w:lang w:val="en-US" w:eastAsia="zh-CN" w:bidi="zh-CN"/>
        </w:rPr>
      </w:pPr>
      <w:r>
        <w:rPr>
          <w:rFonts w:hint="default" w:ascii="Times New Roman" w:hAnsi="Times New Roman" w:eastAsia="宋体" w:cs="Times New Roman"/>
          <w:b/>
          <w:color w:val="auto"/>
          <w:sz w:val="24"/>
          <w:szCs w:val="24"/>
          <w:lang w:val="zh-CN" w:eastAsia="zh-CN" w:bidi="zh-CN"/>
        </w:rPr>
        <w:t>图5.2-2</w:t>
      </w:r>
      <w:r>
        <w:rPr>
          <w:rFonts w:hint="eastAsia" w:ascii="Times New Roman" w:hAnsi="Times New Roman" w:eastAsia="宋体" w:cs="Times New Roman"/>
          <w:b/>
          <w:color w:val="auto"/>
          <w:sz w:val="24"/>
          <w:szCs w:val="24"/>
          <w:lang w:val="en-US" w:eastAsia="zh-CN" w:bidi="zh-CN"/>
        </w:rPr>
        <w:t xml:space="preserve">   </w:t>
      </w:r>
      <w:r>
        <w:rPr>
          <w:rFonts w:hint="default" w:ascii="Times New Roman" w:hAnsi="Times New Roman" w:eastAsia="宋体" w:cs="Times New Roman"/>
          <w:b/>
          <w:color w:val="auto"/>
          <w:sz w:val="24"/>
          <w:szCs w:val="24"/>
          <w:lang w:val="zh-CN" w:eastAsia="zh-CN" w:bidi="zh-CN"/>
        </w:rPr>
        <w:t>202</w:t>
      </w:r>
      <w:r>
        <w:rPr>
          <w:rFonts w:hint="eastAsia" w:ascii="Times New Roman" w:hAnsi="Times New Roman" w:eastAsia="宋体" w:cs="Times New Roman"/>
          <w:b/>
          <w:color w:val="auto"/>
          <w:sz w:val="24"/>
          <w:szCs w:val="24"/>
          <w:lang w:val="en-US" w:eastAsia="zh-CN" w:bidi="zh-CN"/>
        </w:rPr>
        <w:t>4</w:t>
      </w:r>
      <w:r>
        <w:rPr>
          <w:rFonts w:hint="default" w:ascii="Times New Roman" w:hAnsi="Times New Roman" w:eastAsia="宋体" w:cs="Times New Roman"/>
          <w:b/>
          <w:color w:val="auto"/>
          <w:sz w:val="24"/>
          <w:szCs w:val="24"/>
          <w:lang w:val="zh-CN" w:eastAsia="zh-CN" w:bidi="zh-CN"/>
        </w:rPr>
        <w:t>年月、季、年平均风速频率玫瑰图</w:t>
      </w:r>
    </w:p>
    <w:p w14:paraId="7CF89F55">
      <w:pPr>
        <w:autoSpaceDE w:val="0"/>
        <w:autoSpaceDN w:val="0"/>
        <w:bidi w:val="0"/>
        <w:spacing w:line="360" w:lineRule="auto"/>
        <w:ind w:firstLine="480" w:firstLineChars="200"/>
        <w:jc w:val="left"/>
        <w:rPr>
          <w:rFonts w:hint="default" w:ascii="Times New Roman" w:hAnsi="Times New Roman" w:eastAsia="宋体" w:cs="Times New Roman"/>
          <w:kern w:val="0"/>
          <w:sz w:val="24"/>
          <w:szCs w:val="24"/>
          <w:lang w:val="zh-CN" w:bidi="zh-CN"/>
        </w:rPr>
      </w:pPr>
      <w:r>
        <w:rPr>
          <w:rFonts w:hint="eastAsia" w:ascii="Times New Roman" w:hAnsi="Times New Roman" w:eastAsia="宋体" w:cs="Times New Roman"/>
          <w:kern w:val="0"/>
          <w:sz w:val="24"/>
          <w:szCs w:val="24"/>
          <w:lang w:val="zh-CN" w:bidi="zh-CN"/>
        </w:rPr>
        <w:t>②</w:t>
      </w:r>
      <w:r>
        <w:rPr>
          <w:rFonts w:hint="default" w:ascii="Times New Roman" w:hAnsi="Times New Roman" w:eastAsia="宋体" w:cs="Times New Roman"/>
          <w:kern w:val="0"/>
          <w:sz w:val="24"/>
          <w:szCs w:val="24"/>
          <w:lang w:val="zh-CN" w:bidi="zh-CN"/>
        </w:rPr>
        <w:t>风速</w:t>
      </w:r>
    </w:p>
    <w:p w14:paraId="049B81C0">
      <w:pPr>
        <w:autoSpaceDE w:val="0"/>
        <w:autoSpaceDN w:val="0"/>
        <w:bidi w:val="0"/>
        <w:spacing w:line="360" w:lineRule="auto"/>
        <w:ind w:firstLine="480" w:firstLineChars="200"/>
        <w:jc w:val="left"/>
        <w:rPr>
          <w:rFonts w:hint="default" w:ascii="Times New Roman" w:hAnsi="Times New Roman" w:eastAsia="宋体" w:cs="Times New Roman"/>
          <w:kern w:val="0"/>
          <w:sz w:val="24"/>
          <w:szCs w:val="24"/>
          <w:lang w:val="zh-CN" w:bidi="zh-CN"/>
        </w:rPr>
      </w:pPr>
      <w:r>
        <w:rPr>
          <w:rFonts w:hint="default" w:ascii="Times New Roman" w:hAnsi="Times New Roman" w:eastAsia="宋体" w:cs="Times New Roman"/>
          <w:kern w:val="0"/>
          <w:sz w:val="24"/>
          <w:szCs w:val="24"/>
          <w:lang w:val="zh-CN" w:bidi="zh-CN"/>
        </w:rPr>
        <w:t>评价区域202</w:t>
      </w:r>
      <w:r>
        <w:rPr>
          <w:rFonts w:hint="eastAsia" w:ascii="Times New Roman" w:hAnsi="Times New Roman" w:eastAsia="宋体" w:cs="Times New Roman"/>
          <w:kern w:val="0"/>
          <w:sz w:val="24"/>
          <w:szCs w:val="24"/>
          <w:lang w:val="en-US" w:eastAsia="zh-CN" w:bidi="zh-CN"/>
        </w:rPr>
        <w:t>4</w:t>
      </w:r>
      <w:r>
        <w:rPr>
          <w:rFonts w:hint="default" w:ascii="Times New Roman" w:hAnsi="Times New Roman" w:eastAsia="宋体" w:cs="Times New Roman"/>
          <w:kern w:val="0"/>
          <w:sz w:val="24"/>
          <w:szCs w:val="24"/>
          <w:lang w:val="zh-CN" w:bidi="zh-CN"/>
        </w:rPr>
        <w:t>年均风速2.54m/s。5月平均风速最大，为3.54m/s；12月平均风速最小，为1.72m/s。202</w:t>
      </w:r>
      <w:r>
        <w:rPr>
          <w:rFonts w:hint="eastAsia" w:ascii="Times New Roman" w:hAnsi="Times New Roman" w:eastAsia="宋体" w:cs="Times New Roman"/>
          <w:kern w:val="0"/>
          <w:sz w:val="24"/>
          <w:szCs w:val="24"/>
          <w:lang w:val="en-US" w:eastAsia="zh-CN" w:bidi="zh-CN"/>
        </w:rPr>
        <w:t>4</w:t>
      </w:r>
      <w:r>
        <w:rPr>
          <w:rFonts w:hint="default" w:ascii="Times New Roman" w:hAnsi="Times New Roman" w:eastAsia="宋体" w:cs="Times New Roman"/>
          <w:kern w:val="0"/>
          <w:sz w:val="24"/>
          <w:szCs w:val="24"/>
          <w:lang w:val="zh-CN" w:bidi="zh-CN"/>
        </w:rPr>
        <w:t>年年均风速的月变化统计见表5.2-3，风速频率玫瑰图见图5.2-</w:t>
      </w:r>
      <w:r>
        <w:rPr>
          <w:rFonts w:hint="default" w:ascii="Times New Roman" w:hAnsi="Times New Roman" w:eastAsia="宋体" w:cs="Times New Roman"/>
          <w:kern w:val="0"/>
          <w:sz w:val="24"/>
          <w:szCs w:val="24"/>
          <w:lang w:val="en-US" w:bidi="zh-CN"/>
        </w:rPr>
        <w:t>2</w:t>
      </w:r>
      <w:r>
        <w:rPr>
          <w:rFonts w:hint="default" w:ascii="Times New Roman" w:hAnsi="Times New Roman" w:eastAsia="宋体" w:cs="Times New Roman"/>
          <w:kern w:val="0"/>
          <w:sz w:val="24"/>
          <w:szCs w:val="24"/>
          <w:lang w:val="zh-CN" w:bidi="zh-CN"/>
        </w:rPr>
        <w:t>，风速月和季变化曲线分别见图5.2-3和图5.2-4。</w:t>
      </w:r>
    </w:p>
    <w:p w14:paraId="4B498FE0">
      <w:pPr>
        <w:keepNext w:val="0"/>
        <w:keepLines w:val="0"/>
        <w:pageBreakBefore w:val="0"/>
        <w:widowControl w:val="0"/>
        <w:kinsoku/>
        <w:wordWrap/>
        <w:overflowPunct/>
        <w:topLinePunct w:val="0"/>
        <w:autoSpaceDE/>
        <w:autoSpaceDN/>
        <w:bidi w:val="0"/>
        <w:adjustRightInd/>
        <w:snapToGrid/>
        <w:spacing w:after="0" w:line="240" w:lineRule="auto"/>
        <w:ind w:firstLine="422" w:firstLineChars="200"/>
        <w:jc w:val="center"/>
        <w:textAlignment w:val="auto"/>
        <w:rPr>
          <w:rFonts w:hint="default" w:ascii="Times New Roman" w:hAnsi="Times New Roman" w:eastAsia="宋体" w:cs="Times New Roman"/>
          <w:b/>
          <w:color w:val="auto"/>
          <w:sz w:val="21"/>
          <w:szCs w:val="21"/>
          <w:lang w:val="zh-CN" w:eastAsia="zh-CN" w:bidi="zh-CN"/>
        </w:rPr>
      </w:pPr>
      <w:r>
        <w:rPr>
          <w:rFonts w:hint="default" w:ascii="Times New Roman" w:hAnsi="Times New Roman" w:eastAsia="宋体" w:cs="Times New Roman"/>
          <w:b/>
          <w:color w:val="auto"/>
          <w:sz w:val="21"/>
          <w:szCs w:val="21"/>
          <w:lang w:val="zh-CN" w:eastAsia="zh-CN" w:bidi="zh-CN"/>
        </w:rPr>
        <w:t>表5.2-3</w:t>
      </w:r>
      <w:r>
        <w:rPr>
          <w:rFonts w:hint="eastAsia" w:ascii="Times New Roman" w:hAnsi="Times New Roman" w:eastAsia="宋体" w:cs="Times New Roman"/>
          <w:b/>
          <w:color w:val="auto"/>
          <w:sz w:val="21"/>
          <w:szCs w:val="21"/>
          <w:lang w:val="en-US" w:eastAsia="zh-CN" w:bidi="zh-CN"/>
        </w:rPr>
        <w:t xml:space="preserve">    </w:t>
      </w:r>
      <w:r>
        <w:rPr>
          <w:rFonts w:hint="default" w:ascii="Times New Roman" w:hAnsi="Times New Roman" w:eastAsia="宋体" w:cs="Times New Roman"/>
          <w:b/>
          <w:color w:val="auto"/>
          <w:sz w:val="21"/>
          <w:szCs w:val="21"/>
          <w:lang w:val="zh-CN" w:eastAsia="zh-CN" w:bidi="zh-CN"/>
        </w:rPr>
        <w:t>202</w:t>
      </w:r>
      <w:r>
        <w:rPr>
          <w:rFonts w:hint="eastAsia" w:ascii="Times New Roman" w:hAnsi="Times New Roman" w:eastAsia="宋体" w:cs="Times New Roman"/>
          <w:b/>
          <w:color w:val="auto"/>
          <w:sz w:val="21"/>
          <w:szCs w:val="21"/>
          <w:lang w:val="en-US" w:eastAsia="zh-CN" w:bidi="zh-CN"/>
        </w:rPr>
        <w:t>4</w:t>
      </w:r>
      <w:r>
        <w:rPr>
          <w:rFonts w:hint="default" w:ascii="Times New Roman" w:hAnsi="Times New Roman" w:eastAsia="宋体" w:cs="Times New Roman"/>
          <w:b/>
          <w:color w:val="auto"/>
          <w:sz w:val="21"/>
          <w:szCs w:val="21"/>
          <w:lang w:val="zh-CN" w:eastAsia="zh-CN" w:bidi="zh-CN"/>
        </w:rPr>
        <w:t>年年均风速的月变化一览表</w:t>
      </w:r>
    </w:p>
    <w:tbl>
      <w:tblPr>
        <w:tblStyle w:val="49"/>
        <w:tblW w:w="4968"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621"/>
        <w:gridCol w:w="648"/>
        <w:gridCol w:w="649"/>
        <w:gridCol w:w="648"/>
        <w:gridCol w:w="650"/>
        <w:gridCol w:w="651"/>
        <w:gridCol w:w="650"/>
        <w:gridCol w:w="650"/>
        <w:gridCol w:w="651"/>
        <w:gridCol w:w="650"/>
        <w:gridCol w:w="650"/>
        <w:gridCol w:w="651"/>
        <w:gridCol w:w="650"/>
        <w:gridCol w:w="651"/>
      </w:tblGrid>
      <w:tr w14:paraId="312D361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89" w:hRule="atLeast"/>
          <w:jc w:val="center"/>
        </w:trPr>
        <w:tc>
          <w:tcPr>
            <w:tcW w:w="616" w:type="dxa"/>
            <w:noWrap w:val="0"/>
            <w:tcMar>
              <w:left w:w="28" w:type="dxa"/>
              <w:right w:w="28" w:type="dxa"/>
            </w:tcMar>
            <w:vAlign w:val="center"/>
          </w:tcPr>
          <w:p w14:paraId="0F817E18">
            <w:pPr>
              <w:keepNext w:val="0"/>
              <w:keepLines w:val="0"/>
              <w:pageBreakBefore w:val="0"/>
              <w:widowControl w:val="0"/>
              <w:kinsoku/>
              <w:wordWrap/>
              <w:overflowPunct/>
              <w:topLinePunct w:val="0"/>
              <w:autoSpaceDE/>
              <w:autoSpaceDN/>
              <w:bidi w:val="0"/>
              <w:adjustRightInd/>
              <w:snapToGrid/>
              <w:spacing w:line="257" w:lineRule="exact"/>
              <w:ind w:left="0" w:leftChars="0" w:right="22" w:firstLine="0" w:firstLineChars="0"/>
              <w:jc w:val="center"/>
              <w:textAlignment w:val="auto"/>
              <w:rPr>
                <w:rFonts w:hint="default" w:ascii="Times New Roman" w:hAnsi="Times New Roman" w:eastAsia="宋体" w:cs="Times New Roman"/>
                <w:color w:val="auto"/>
                <w:sz w:val="21"/>
                <w:szCs w:val="24"/>
                <w:lang w:val="zh-CN" w:eastAsia="zh-CN" w:bidi="zh-CN"/>
              </w:rPr>
            </w:pPr>
            <w:r>
              <w:rPr>
                <w:rFonts w:hint="default" w:ascii="Times New Roman" w:hAnsi="Times New Roman" w:eastAsia="宋体" w:cs="Times New Roman"/>
                <w:color w:val="auto"/>
                <w:sz w:val="21"/>
                <w:szCs w:val="24"/>
                <w:lang w:val="zh-CN" w:eastAsia="zh-CN" w:bidi="zh-CN"/>
              </w:rPr>
              <w:t>月份</w:t>
            </w:r>
          </w:p>
        </w:tc>
        <w:tc>
          <w:tcPr>
            <w:tcW w:w="644" w:type="dxa"/>
            <w:noWrap w:val="0"/>
            <w:tcMar>
              <w:left w:w="28" w:type="dxa"/>
              <w:right w:w="28" w:type="dxa"/>
            </w:tcMar>
            <w:vAlign w:val="center"/>
          </w:tcPr>
          <w:p w14:paraId="5D97CC9B">
            <w:pPr>
              <w:keepNext w:val="0"/>
              <w:keepLines w:val="0"/>
              <w:pageBreakBefore w:val="0"/>
              <w:widowControl w:val="0"/>
              <w:kinsoku/>
              <w:wordWrap/>
              <w:overflowPunct/>
              <w:topLinePunct w:val="0"/>
              <w:autoSpaceDE/>
              <w:autoSpaceDN/>
              <w:bidi w:val="0"/>
              <w:adjustRightInd/>
              <w:snapToGrid/>
              <w:spacing w:line="257" w:lineRule="exact"/>
              <w:ind w:left="0" w:leftChars="0" w:right="22" w:firstLine="0" w:firstLineChars="0"/>
              <w:jc w:val="center"/>
              <w:textAlignment w:val="auto"/>
              <w:rPr>
                <w:rFonts w:hint="default" w:ascii="Times New Roman" w:hAnsi="Times New Roman" w:eastAsia="宋体" w:cs="Times New Roman"/>
                <w:color w:val="auto"/>
                <w:sz w:val="21"/>
                <w:szCs w:val="24"/>
                <w:lang w:val="zh-CN" w:eastAsia="zh-CN" w:bidi="zh-CN"/>
              </w:rPr>
            </w:pPr>
            <w:r>
              <w:rPr>
                <w:rFonts w:hint="default" w:ascii="Times New Roman" w:hAnsi="Times New Roman" w:eastAsia="宋体" w:cs="Times New Roman"/>
                <w:color w:val="auto"/>
                <w:sz w:val="21"/>
                <w:szCs w:val="24"/>
                <w:lang w:val="zh-CN" w:eastAsia="zh-CN" w:bidi="zh-CN"/>
              </w:rPr>
              <w:t>1月</w:t>
            </w:r>
          </w:p>
        </w:tc>
        <w:tc>
          <w:tcPr>
            <w:tcW w:w="645" w:type="dxa"/>
            <w:noWrap w:val="0"/>
            <w:tcMar>
              <w:left w:w="28" w:type="dxa"/>
              <w:right w:w="28" w:type="dxa"/>
            </w:tcMar>
            <w:vAlign w:val="center"/>
          </w:tcPr>
          <w:p w14:paraId="11D77165">
            <w:pPr>
              <w:keepNext w:val="0"/>
              <w:keepLines w:val="0"/>
              <w:pageBreakBefore w:val="0"/>
              <w:widowControl w:val="0"/>
              <w:kinsoku/>
              <w:wordWrap/>
              <w:overflowPunct/>
              <w:topLinePunct w:val="0"/>
              <w:autoSpaceDE/>
              <w:autoSpaceDN/>
              <w:bidi w:val="0"/>
              <w:adjustRightInd/>
              <w:snapToGrid/>
              <w:spacing w:line="257" w:lineRule="exact"/>
              <w:ind w:left="0" w:leftChars="0" w:right="22" w:firstLine="0" w:firstLineChars="0"/>
              <w:jc w:val="center"/>
              <w:textAlignment w:val="auto"/>
              <w:rPr>
                <w:rFonts w:hint="default" w:ascii="Times New Roman" w:hAnsi="Times New Roman" w:eastAsia="宋体" w:cs="Times New Roman"/>
                <w:color w:val="auto"/>
                <w:sz w:val="21"/>
                <w:szCs w:val="24"/>
                <w:lang w:val="zh-CN" w:eastAsia="zh-CN" w:bidi="zh-CN"/>
              </w:rPr>
            </w:pPr>
            <w:r>
              <w:rPr>
                <w:rFonts w:hint="default" w:ascii="Times New Roman" w:hAnsi="Times New Roman" w:eastAsia="宋体" w:cs="Times New Roman"/>
                <w:color w:val="auto"/>
                <w:sz w:val="21"/>
                <w:szCs w:val="24"/>
                <w:lang w:val="zh-CN" w:eastAsia="zh-CN" w:bidi="zh-CN"/>
              </w:rPr>
              <w:t>2月</w:t>
            </w:r>
          </w:p>
        </w:tc>
        <w:tc>
          <w:tcPr>
            <w:tcW w:w="644" w:type="dxa"/>
            <w:noWrap w:val="0"/>
            <w:tcMar>
              <w:left w:w="28" w:type="dxa"/>
              <w:right w:w="28" w:type="dxa"/>
            </w:tcMar>
            <w:vAlign w:val="center"/>
          </w:tcPr>
          <w:p w14:paraId="0669CFAB">
            <w:pPr>
              <w:keepNext w:val="0"/>
              <w:keepLines w:val="0"/>
              <w:pageBreakBefore w:val="0"/>
              <w:widowControl w:val="0"/>
              <w:kinsoku/>
              <w:wordWrap/>
              <w:overflowPunct/>
              <w:topLinePunct w:val="0"/>
              <w:autoSpaceDE/>
              <w:autoSpaceDN/>
              <w:bidi w:val="0"/>
              <w:adjustRightInd/>
              <w:snapToGrid/>
              <w:spacing w:line="257" w:lineRule="exact"/>
              <w:ind w:left="0" w:leftChars="0" w:right="22" w:firstLine="0" w:firstLineChars="0"/>
              <w:jc w:val="center"/>
              <w:textAlignment w:val="auto"/>
              <w:rPr>
                <w:rFonts w:hint="default" w:ascii="Times New Roman" w:hAnsi="Times New Roman" w:eastAsia="宋体" w:cs="Times New Roman"/>
                <w:color w:val="auto"/>
                <w:sz w:val="21"/>
                <w:szCs w:val="24"/>
                <w:lang w:val="zh-CN" w:eastAsia="zh-CN" w:bidi="zh-CN"/>
              </w:rPr>
            </w:pPr>
            <w:r>
              <w:rPr>
                <w:rFonts w:hint="default" w:ascii="Times New Roman" w:hAnsi="Times New Roman" w:eastAsia="宋体" w:cs="Times New Roman"/>
                <w:color w:val="auto"/>
                <w:sz w:val="21"/>
                <w:szCs w:val="24"/>
                <w:lang w:val="zh-CN" w:eastAsia="zh-CN" w:bidi="zh-CN"/>
              </w:rPr>
              <w:t>3月</w:t>
            </w:r>
          </w:p>
        </w:tc>
        <w:tc>
          <w:tcPr>
            <w:tcW w:w="646" w:type="dxa"/>
            <w:noWrap w:val="0"/>
            <w:tcMar>
              <w:left w:w="28" w:type="dxa"/>
              <w:right w:w="28" w:type="dxa"/>
            </w:tcMar>
            <w:vAlign w:val="center"/>
          </w:tcPr>
          <w:p w14:paraId="0949AD31">
            <w:pPr>
              <w:keepNext w:val="0"/>
              <w:keepLines w:val="0"/>
              <w:pageBreakBefore w:val="0"/>
              <w:widowControl w:val="0"/>
              <w:kinsoku/>
              <w:wordWrap/>
              <w:overflowPunct/>
              <w:topLinePunct w:val="0"/>
              <w:autoSpaceDE/>
              <w:autoSpaceDN/>
              <w:bidi w:val="0"/>
              <w:adjustRightInd/>
              <w:snapToGrid/>
              <w:spacing w:line="257" w:lineRule="exact"/>
              <w:ind w:left="0" w:leftChars="0" w:right="22" w:firstLine="0" w:firstLineChars="0"/>
              <w:jc w:val="center"/>
              <w:textAlignment w:val="auto"/>
              <w:rPr>
                <w:rFonts w:hint="default" w:ascii="Times New Roman" w:hAnsi="Times New Roman" w:eastAsia="宋体" w:cs="Times New Roman"/>
                <w:color w:val="auto"/>
                <w:sz w:val="21"/>
                <w:szCs w:val="24"/>
                <w:lang w:val="zh-CN" w:eastAsia="zh-CN" w:bidi="zh-CN"/>
              </w:rPr>
            </w:pPr>
            <w:r>
              <w:rPr>
                <w:rFonts w:hint="default" w:ascii="Times New Roman" w:hAnsi="Times New Roman" w:eastAsia="宋体" w:cs="Times New Roman"/>
                <w:color w:val="auto"/>
                <w:sz w:val="21"/>
                <w:szCs w:val="24"/>
                <w:lang w:val="zh-CN" w:eastAsia="zh-CN" w:bidi="zh-CN"/>
              </w:rPr>
              <w:t>4月</w:t>
            </w:r>
          </w:p>
        </w:tc>
        <w:tc>
          <w:tcPr>
            <w:tcW w:w="647" w:type="dxa"/>
            <w:noWrap w:val="0"/>
            <w:tcMar>
              <w:left w:w="28" w:type="dxa"/>
              <w:right w:w="28" w:type="dxa"/>
            </w:tcMar>
            <w:vAlign w:val="center"/>
          </w:tcPr>
          <w:p w14:paraId="6F63FD8C">
            <w:pPr>
              <w:keepNext w:val="0"/>
              <w:keepLines w:val="0"/>
              <w:pageBreakBefore w:val="0"/>
              <w:widowControl w:val="0"/>
              <w:kinsoku/>
              <w:wordWrap/>
              <w:overflowPunct/>
              <w:topLinePunct w:val="0"/>
              <w:autoSpaceDE/>
              <w:autoSpaceDN/>
              <w:bidi w:val="0"/>
              <w:adjustRightInd/>
              <w:snapToGrid/>
              <w:spacing w:line="257" w:lineRule="exact"/>
              <w:ind w:left="0" w:leftChars="0" w:right="22" w:firstLine="0" w:firstLineChars="0"/>
              <w:jc w:val="center"/>
              <w:textAlignment w:val="auto"/>
              <w:rPr>
                <w:rFonts w:hint="default" w:ascii="Times New Roman" w:hAnsi="Times New Roman" w:eastAsia="宋体" w:cs="Times New Roman"/>
                <w:color w:val="auto"/>
                <w:sz w:val="21"/>
                <w:szCs w:val="24"/>
                <w:lang w:val="zh-CN" w:eastAsia="zh-CN" w:bidi="zh-CN"/>
              </w:rPr>
            </w:pPr>
            <w:r>
              <w:rPr>
                <w:rFonts w:hint="default" w:ascii="Times New Roman" w:hAnsi="Times New Roman" w:eastAsia="宋体" w:cs="Times New Roman"/>
                <w:color w:val="auto"/>
                <w:sz w:val="21"/>
                <w:szCs w:val="24"/>
                <w:lang w:val="zh-CN" w:eastAsia="zh-CN" w:bidi="zh-CN"/>
              </w:rPr>
              <w:t>5月</w:t>
            </w:r>
          </w:p>
        </w:tc>
        <w:tc>
          <w:tcPr>
            <w:tcW w:w="646" w:type="dxa"/>
            <w:noWrap w:val="0"/>
            <w:tcMar>
              <w:left w:w="28" w:type="dxa"/>
              <w:right w:w="28" w:type="dxa"/>
            </w:tcMar>
            <w:vAlign w:val="center"/>
          </w:tcPr>
          <w:p w14:paraId="7ADC8B80">
            <w:pPr>
              <w:keepNext w:val="0"/>
              <w:keepLines w:val="0"/>
              <w:pageBreakBefore w:val="0"/>
              <w:widowControl w:val="0"/>
              <w:kinsoku/>
              <w:wordWrap/>
              <w:overflowPunct/>
              <w:topLinePunct w:val="0"/>
              <w:autoSpaceDE/>
              <w:autoSpaceDN/>
              <w:bidi w:val="0"/>
              <w:adjustRightInd/>
              <w:snapToGrid/>
              <w:spacing w:line="257" w:lineRule="exact"/>
              <w:ind w:left="0" w:leftChars="0" w:right="22" w:firstLine="0" w:firstLineChars="0"/>
              <w:jc w:val="center"/>
              <w:textAlignment w:val="auto"/>
              <w:rPr>
                <w:rFonts w:hint="default" w:ascii="Times New Roman" w:hAnsi="Times New Roman" w:eastAsia="宋体" w:cs="Times New Roman"/>
                <w:color w:val="auto"/>
                <w:sz w:val="21"/>
                <w:szCs w:val="24"/>
                <w:lang w:val="zh-CN" w:eastAsia="zh-CN" w:bidi="zh-CN"/>
              </w:rPr>
            </w:pPr>
            <w:r>
              <w:rPr>
                <w:rFonts w:hint="default" w:ascii="Times New Roman" w:hAnsi="Times New Roman" w:eastAsia="宋体" w:cs="Times New Roman"/>
                <w:color w:val="auto"/>
                <w:sz w:val="21"/>
                <w:szCs w:val="24"/>
                <w:lang w:val="zh-CN" w:eastAsia="zh-CN" w:bidi="zh-CN"/>
              </w:rPr>
              <w:t>6月</w:t>
            </w:r>
          </w:p>
        </w:tc>
        <w:tc>
          <w:tcPr>
            <w:tcW w:w="646" w:type="dxa"/>
            <w:noWrap w:val="0"/>
            <w:tcMar>
              <w:left w:w="28" w:type="dxa"/>
              <w:right w:w="28" w:type="dxa"/>
            </w:tcMar>
            <w:vAlign w:val="center"/>
          </w:tcPr>
          <w:p w14:paraId="782E94DD">
            <w:pPr>
              <w:keepNext w:val="0"/>
              <w:keepLines w:val="0"/>
              <w:pageBreakBefore w:val="0"/>
              <w:widowControl w:val="0"/>
              <w:kinsoku/>
              <w:wordWrap/>
              <w:overflowPunct/>
              <w:topLinePunct w:val="0"/>
              <w:autoSpaceDE/>
              <w:autoSpaceDN/>
              <w:bidi w:val="0"/>
              <w:adjustRightInd/>
              <w:snapToGrid/>
              <w:spacing w:line="257" w:lineRule="exact"/>
              <w:ind w:left="0" w:leftChars="0" w:right="22" w:firstLine="0" w:firstLineChars="0"/>
              <w:jc w:val="center"/>
              <w:textAlignment w:val="auto"/>
              <w:rPr>
                <w:rFonts w:hint="default" w:ascii="Times New Roman" w:hAnsi="Times New Roman" w:eastAsia="宋体" w:cs="Times New Roman"/>
                <w:color w:val="auto"/>
                <w:sz w:val="21"/>
                <w:szCs w:val="24"/>
                <w:lang w:val="zh-CN" w:eastAsia="zh-CN" w:bidi="zh-CN"/>
              </w:rPr>
            </w:pPr>
            <w:r>
              <w:rPr>
                <w:rFonts w:hint="default" w:ascii="Times New Roman" w:hAnsi="Times New Roman" w:eastAsia="宋体" w:cs="Times New Roman"/>
                <w:color w:val="auto"/>
                <w:sz w:val="21"/>
                <w:szCs w:val="24"/>
                <w:lang w:val="zh-CN" w:eastAsia="zh-CN" w:bidi="zh-CN"/>
              </w:rPr>
              <w:t>7月</w:t>
            </w:r>
          </w:p>
        </w:tc>
        <w:tc>
          <w:tcPr>
            <w:tcW w:w="647" w:type="dxa"/>
            <w:noWrap w:val="0"/>
            <w:tcMar>
              <w:left w:w="28" w:type="dxa"/>
              <w:right w:w="28" w:type="dxa"/>
            </w:tcMar>
            <w:vAlign w:val="center"/>
          </w:tcPr>
          <w:p w14:paraId="3C8858E3">
            <w:pPr>
              <w:keepNext w:val="0"/>
              <w:keepLines w:val="0"/>
              <w:pageBreakBefore w:val="0"/>
              <w:widowControl w:val="0"/>
              <w:kinsoku/>
              <w:wordWrap/>
              <w:overflowPunct/>
              <w:topLinePunct w:val="0"/>
              <w:autoSpaceDE/>
              <w:autoSpaceDN/>
              <w:bidi w:val="0"/>
              <w:adjustRightInd/>
              <w:snapToGrid/>
              <w:spacing w:line="257" w:lineRule="exact"/>
              <w:ind w:left="0" w:leftChars="0" w:right="22" w:firstLine="0" w:firstLineChars="0"/>
              <w:jc w:val="center"/>
              <w:textAlignment w:val="auto"/>
              <w:rPr>
                <w:rFonts w:hint="default" w:ascii="Times New Roman" w:hAnsi="Times New Roman" w:eastAsia="宋体" w:cs="Times New Roman"/>
                <w:color w:val="auto"/>
                <w:sz w:val="21"/>
                <w:szCs w:val="24"/>
                <w:lang w:val="zh-CN" w:eastAsia="zh-CN" w:bidi="zh-CN"/>
              </w:rPr>
            </w:pPr>
            <w:r>
              <w:rPr>
                <w:rFonts w:hint="default" w:ascii="Times New Roman" w:hAnsi="Times New Roman" w:eastAsia="宋体" w:cs="Times New Roman"/>
                <w:color w:val="auto"/>
                <w:sz w:val="21"/>
                <w:szCs w:val="24"/>
                <w:lang w:val="zh-CN" w:eastAsia="zh-CN" w:bidi="zh-CN"/>
              </w:rPr>
              <w:t>8月</w:t>
            </w:r>
          </w:p>
        </w:tc>
        <w:tc>
          <w:tcPr>
            <w:tcW w:w="646" w:type="dxa"/>
            <w:noWrap w:val="0"/>
            <w:tcMar>
              <w:left w:w="28" w:type="dxa"/>
              <w:right w:w="28" w:type="dxa"/>
            </w:tcMar>
            <w:vAlign w:val="center"/>
          </w:tcPr>
          <w:p w14:paraId="68EBA023">
            <w:pPr>
              <w:keepNext w:val="0"/>
              <w:keepLines w:val="0"/>
              <w:pageBreakBefore w:val="0"/>
              <w:widowControl w:val="0"/>
              <w:kinsoku/>
              <w:wordWrap/>
              <w:overflowPunct/>
              <w:topLinePunct w:val="0"/>
              <w:autoSpaceDE/>
              <w:autoSpaceDN/>
              <w:bidi w:val="0"/>
              <w:adjustRightInd/>
              <w:snapToGrid/>
              <w:spacing w:line="257" w:lineRule="exact"/>
              <w:ind w:left="0" w:leftChars="0" w:right="22" w:firstLine="0" w:firstLineChars="0"/>
              <w:jc w:val="center"/>
              <w:textAlignment w:val="auto"/>
              <w:rPr>
                <w:rFonts w:hint="default" w:ascii="Times New Roman" w:hAnsi="Times New Roman" w:eastAsia="宋体" w:cs="Times New Roman"/>
                <w:color w:val="auto"/>
                <w:sz w:val="21"/>
                <w:szCs w:val="24"/>
                <w:lang w:val="zh-CN" w:eastAsia="zh-CN" w:bidi="zh-CN"/>
              </w:rPr>
            </w:pPr>
            <w:r>
              <w:rPr>
                <w:rFonts w:hint="default" w:ascii="Times New Roman" w:hAnsi="Times New Roman" w:eastAsia="宋体" w:cs="Times New Roman"/>
                <w:color w:val="auto"/>
                <w:sz w:val="21"/>
                <w:szCs w:val="24"/>
                <w:lang w:val="zh-CN" w:eastAsia="zh-CN" w:bidi="zh-CN"/>
              </w:rPr>
              <w:t>9月</w:t>
            </w:r>
          </w:p>
        </w:tc>
        <w:tc>
          <w:tcPr>
            <w:tcW w:w="646" w:type="dxa"/>
            <w:noWrap w:val="0"/>
            <w:tcMar>
              <w:left w:w="28" w:type="dxa"/>
              <w:right w:w="28" w:type="dxa"/>
            </w:tcMar>
            <w:vAlign w:val="center"/>
          </w:tcPr>
          <w:p w14:paraId="190ECDF0">
            <w:pPr>
              <w:keepNext w:val="0"/>
              <w:keepLines w:val="0"/>
              <w:pageBreakBefore w:val="0"/>
              <w:widowControl w:val="0"/>
              <w:kinsoku/>
              <w:wordWrap/>
              <w:overflowPunct/>
              <w:topLinePunct w:val="0"/>
              <w:autoSpaceDE/>
              <w:autoSpaceDN/>
              <w:bidi w:val="0"/>
              <w:adjustRightInd/>
              <w:snapToGrid/>
              <w:spacing w:line="257" w:lineRule="exact"/>
              <w:ind w:left="0" w:leftChars="0" w:right="22" w:firstLine="0" w:firstLineChars="0"/>
              <w:jc w:val="center"/>
              <w:textAlignment w:val="auto"/>
              <w:rPr>
                <w:rFonts w:hint="default" w:ascii="Times New Roman" w:hAnsi="Times New Roman" w:eastAsia="宋体" w:cs="Times New Roman"/>
                <w:color w:val="auto"/>
                <w:sz w:val="21"/>
                <w:szCs w:val="24"/>
                <w:lang w:val="zh-CN" w:eastAsia="zh-CN" w:bidi="zh-CN"/>
              </w:rPr>
            </w:pPr>
            <w:r>
              <w:rPr>
                <w:rFonts w:hint="default" w:ascii="Times New Roman" w:hAnsi="Times New Roman" w:eastAsia="宋体" w:cs="Times New Roman"/>
                <w:color w:val="auto"/>
                <w:sz w:val="21"/>
                <w:szCs w:val="24"/>
                <w:lang w:val="zh-CN" w:eastAsia="zh-CN" w:bidi="zh-CN"/>
              </w:rPr>
              <w:t>10月</w:t>
            </w:r>
          </w:p>
        </w:tc>
        <w:tc>
          <w:tcPr>
            <w:tcW w:w="647" w:type="dxa"/>
            <w:noWrap w:val="0"/>
            <w:tcMar>
              <w:left w:w="28" w:type="dxa"/>
              <w:right w:w="28" w:type="dxa"/>
            </w:tcMar>
            <w:vAlign w:val="center"/>
          </w:tcPr>
          <w:p w14:paraId="127BA51C">
            <w:pPr>
              <w:keepNext w:val="0"/>
              <w:keepLines w:val="0"/>
              <w:pageBreakBefore w:val="0"/>
              <w:widowControl w:val="0"/>
              <w:kinsoku/>
              <w:wordWrap/>
              <w:overflowPunct/>
              <w:topLinePunct w:val="0"/>
              <w:autoSpaceDE/>
              <w:autoSpaceDN/>
              <w:bidi w:val="0"/>
              <w:adjustRightInd/>
              <w:snapToGrid/>
              <w:spacing w:line="257" w:lineRule="exact"/>
              <w:ind w:left="0" w:leftChars="0" w:right="22" w:firstLine="0" w:firstLineChars="0"/>
              <w:jc w:val="center"/>
              <w:textAlignment w:val="auto"/>
              <w:rPr>
                <w:rFonts w:hint="default" w:ascii="Times New Roman" w:hAnsi="Times New Roman" w:eastAsia="宋体" w:cs="Times New Roman"/>
                <w:color w:val="auto"/>
                <w:sz w:val="21"/>
                <w:szCs w:val="24"/>
                <w:lang w:val="zh-CN" w:eastAsia="zh-CN" w:bidi="zh-CN"/>
              </w:rPr>
            </w:pPr>
            <w:r>
              <w:rPr>
                <w:rFonts w:hint="default" w:ascii="Times New Roman" w:hAnsi="Times New Roman" w:eastAsia="宋体" w:cs="Times New Roman"/>
                <w:color w:val="auto"/>
                <w:sz w:val="21"/>
                <w:szCs w:val="24"/>
                <w:lang w:val="zh-CN" w:eastAsia="zh-CN" w:bidi="zh-CN"/>
              </w:rPr>
              <w:t>11月</w:t>
            </w:r>
          </w:p>
        </w:tc>
        <w:tc>
          <w:tcPr>
            <w:tcW w:w="646" w:type="dxa"/>
            <w:noWrap w:val="0"/>
            <w:tcMar>
              <w:left w:w="28" w:type="dxa"/>
              <w:right w:w="28" w:type="dxa"/>
            </w:tcMar>
            <w:vAlign w:val="center"/>
          </w:tcPr>
          <w:p w14:paraId="27AC46BD">
            <w:pPr>
              <w:keepNext w:val="0"/>
              <w:keepLines w:val="0"/>
              <w:pageBreakBefore w:val="0"/>
              <w:widowControl w:val="0"/>
              <w:kinsoku/>
              <w:wordWrap/>
              <w:overflowPunct/>
              <w:topLinePunct w:val="0"/>
              <w:autoSpaceDE/>
              <w:autoSpaceDN/>
              <w:bidi w:val="0"/>
              <w:adjustRightInd/>
              <w:snapToGrid/>
              <w:spacing w:line="257" w:lineRule="exact"/>
              <w:ind w:left="0" w:leftChars="0" w:right="22" w:firstLine="0" w:firstLineChars="0"/>
              <w:jc w:val="center"/>
              <w:textAlignment w:val="auto"/>
              <w:rPr>
                <w:rFonts w:hint="default" w:ascii="Times New Roman" w:hAnsi="Times New Roman" w:eastAsia="宋体" w:cs="Times New Roman"/>
                <w:color w:val="auto"/>
                <w:sz w:val="21"/>
                <w:szCs w:val="24"/>
                <w:lang w:val="zh-CN" w:eastAsia="zh-CN" w:bidi="zh-CN"/>
              </w:rPr>
            </w:pPr>
            <w:r>
              <w:rPr>
                <w:rFonts w:hint="default" w:ascii="Times New Roman" w:hAnsi="Times New Roman" w:eastAsia="宋体" w:cs="Times New Roman"/>
                <w:color w:val="auto"/>
                <w:sz w:val="21"/>
                <w:szCs w:val="24"/>
                <w:lang w:val="zh-CN" w:eastAsia="zh-CN" w:bidi="zh-CN"/>
              </w:rPr>
              <w:t>12月</w:t>
            </w:r>
          </w:p>
        </w:tc>
        <w:tc>
          <w:tcPr>
            <w:tcW w:w="647" w:type="dxa"/>
            <w:noWrap w:val="0"/>
            <w:tcMar>
              <w:left w:w="28" w:type="dxa"/>
              <w:right w:w="28" w:type="dxa"/>
            </w:tcMar>
            <w:vAlign w:val="center"/>
          </w:tcPr>
          <w:p w14:paraId="145F791F">
            <w:pPr>
              <w:keepNext w:val="0"/>
              <w:keepLines w:val="0"/>
              <w:pageBreakBefore w:val="0"/>
              <w:widowControl w:val="0"/>
              <w:kinsoku/>
              <w:wordWrap/>
              <w:overflowPunct/>
              <w:topLinePunct w:val="0"/>
              <w:autoSpaceDE/>
              <w:autoSpaceDN/>
              <w:bidi w:val="0"/>
              <w:adjustRightInd/>
              <w:snapToGrid/>
              <w:spacing w:line="257" w:lineRule="exact"/>
              <w:ind w:left="0" w:leftChars="0" w:right="22" w:firstLine="0" w:firstLineChars="0"/>
              <w:jc w:val="center"/>
              <w:textAlignment w:val="auto"/>
              <w:rPr>
                <w:rFonts w:hint="default" w:ascii="Times New Roman" w:hAnsi="Times New Roman" w:eastAsia="宋体" w:cs="Times New Roman"/>
                <w:color w:val="auto"/>
                <w:sz w:val="21"/>
                <w:szCs w:val="24"/>
                <w:lang w:val="zh-CN" w:eastAsia="zh-CN" w:bidi="zh-CN"/>
              </w:rPr>
            </w:pPr>
            <w:r>
              <w:rPr>
                <w:rFonts w:hint="default" w:ascii="Times New Roman" w:hAnsi="Times New Roman" w:eastAsia="宋体" w:cs="Times New Roman"/>
                <w:color w:val="auto"/>
                <w:sz w:val="21"/>
                <w:szCs w:val="24"/>
                <w:lang w:val="zh-CN" w:eastAsia="zh-CN" w:bidi="zh-CN"/>
              </w:rPr>
              <w:t>年均</w:t>
            </w:r>
          </w:p>
        </w:tc>
      </w:tr>
      <w:tr w14:paraId="522FBFD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9" w:hRule="atLeast"/>
          <w:jc w:val="center"/>
        </w:trPr>
        <w:tc>
          <w:tcPr>
            <w:tcW w:w="616" w:type="dxa"/>
            <w:noWrap w:val="0"/>
            <w:tcMar>
              <w:left w:w="28" w:type="dxa"/>
              <w:right w:w="28" w:type="dxa"/>
            </w:tcMar>
            <w:vAlign w:val="center"/>
          </w:tcPr>
          <w:p w14:paraId="3308F91A">
            <w:pPr>
              <w:keepNext w:val="0"/>
              <w:keepLines w:val="0"/>
              <w:pageBreakBefore w:val="0"/>
              <w:widowControl w:val="0"/>
              <w:kinsoku/>
              <w:wordWrap/>
              <w:overflowPunct/>
              <w:topLinePunct w:val="0"/>
              <w:autoSpaceDE/>
              <w:autoSpaceDN/>
              <w:bidi w:val="0"/>
              <w:adjustRightInd/>
              <w:snapToGrid/>
              <w:spacing w:line="257" w:lineRule="exact"/>
              <w:ind w:left="0" w:leftChars="0" w:right="22" w:firstLine="0" w:firstLineChars="0"/>
              <w:jc w:val="center"/>
              <w:textAlignment w:val="auto"/>
              <w:rPr>
                <w:rFonts w:hint="default" w:ascii="Times New Roman" w:hAnsi="Times New Roman" w:eastAsia="宋体" w:cs="Times New Roman"/>
                <w:color w:val="auto"/>
                <w:sz w:val="21"/>
                <w:szCs w:val="24"/>
                <w:lang w:val="zh-CN" w:eastAsia="zh-CN" w:bidi="zh-CN"/>
              </w:rPr>
            </w:pPr>
            <w:r>
              <w:rPr>
                <w:rFonts w:hint="default" w:ascii="Times New Roman" w:hAnsi="Times New Roman" w:eastAsia="宋体" w:cs="Times New Roman"/>
                <w:color w:val="auto"/>
                <w:sz w:val="21"/>
                <w:szCs w:val="24"/>
                <w:lang w:val="zh-CN" w:eastAsia="zh-CN" w:bidi="zh-CN"/>
              </w:rPr>
              <w:t>风速</w:t>
            </w:r>
          </w:p>
        </w:tc>
        <w:tc>
          <w:tcPr>
            <w:tcW w:w="644" w:type="dxa"/>
            <w:noWrap w:val="0"/>
            <w:tcMar>
              <w:left w:w="28" w:type="dxa"/>
              <w:right w:w="28" w:type="dxa"/>
            </w:tcMar>
            <w:vAlign w:val="center"/>
          </w:tcPr>
          <w:p w14:paraId="4BDEB14D">
            <w:pPr>
              <w:keepNext w:val="0"/>
              <w:keepLines w:val="0"/>
              <w:pageBreakBefore w:val="0"/>
              <w:widowControl w:val="0"/>
              <w:kinsoku/>
              <w:wordWrap/>
              <w:overflowPunct/>
              <w:topLinePunct w:val="0"/>
              <w:autoSpaceDE/>
              <w:autoSpaceDN/>
              <w:bidi w:val="0"/>
              <w:adjustRightInd/>
              <w:snapToGrid/>
              <w:spacing w:line="257" w:lineRule="exact"/>
              <w:ind w:left="0" w:leftChars="0" w:right="22" w:firstLine="0" w:firstLineChars="0"/>
              <w:jc w:val="center"/>
              <w:textAlignment w:val="auto"/>
              <w:rPr>
                <w:rFonts w:hint="default" w:ascii="Times New Roman" w:hAnsi="Times New Roman" w:eastAsia="宋体" w:cs="Times New Roman"/>
                <w:color w:val="auto"/>
                <w:sz w:val="21"/>
                <w:szCs w:val="24"/>
                <w:lang w:val="zh-CN" w:eastAsia="zh-CN" w:bidi="zh-CN"/>
              </w:rPr>
            </w:pPr>
            <w:r>
              <w:rPr>
                <w:rFonts w:hint="default" w:ascii="Times New Roman" w:hAnsi="Times New Roman" w:eastAsia="宋体" w:cs="Times New Roman"/>
                <w:color w:val="auto"/>
                <w:sz w:val="21"/>
                <w:szCs w:val="24"/>
                <w:lang w:val="zh-CN" w:eastAsia="zh-CN" w:bidi="zh-CN"/>
              </w:rPr>
              <w:t>1.77</w:t>
            </w:r>
          </w:p>
        </w:tc>
        <w:tc>
          <w:tcPr>
            <w:tcW w:w="645" w:type="dxa"/>
            <w:noWrap w:val="0"/>
            <w:tcMar>
              <w:left w:w="28" w:type="dxa"/>
              <w:right w:w="28" w:type="dxa"/>
            </w:tcMar>
            <w:vAlign w:val="center"/>
          </w:tcPr>
          <w:p w14:paraId="66F3BC4A">
            <w:pPr>
              <w:keepNext w:val="0"/>
              <w:keepLines w:val="0"/>
              <w:pageBreakBefore w:val="0"/>
              <w:widowControl w:val="0"/>
              <w:kinsoku/>
              <w:wordWrap/>
              <w:overflowPunct/>
              <w:topLinePunct w:val="0"/>
              <w:autoSpaceDE/>
              <w:autoSpaceDN/>
              <w:bidi w:val="0"/>
              <w:adjustRightInd/>
              <w:snapToGrid/>
              <w:spacing w:line="257" w:lineRule="exact"/>
              <w:ind w:left="0" w:leftChars="0" w:right="22" w:firstLine="0" w:firstLineChars="0"/>
              <w:jc w:val="center"/>
              <w:textAlignment w:val="auto"/>
              <w:rPr>
                <w:rFonts w:hint="default" w:ascii="Times New Roman" w:hAnsi="Times New Roman" w:eastAsia="宋体" w:cs="Times New Roman"/>
                <w:color w:val="auto"/>
                <w:sz w:val="21"/>
                <w:szCs w:val="24"/>
                <w:lang w:val="zh-CN" w:eastAsia="zh-CN" w:bidi="zh-CN"/>
              </w:rPr>
            </w:pPr>
            <w:r>
              <w:rPr>
                <w:rFonts w:hint="default" w:ascii="Times New Roman" w:hAnsi="Times New Roman" w:eastAsia="宋体" w:cs="Times New Roman"/>
                <w:color w:val="auto"/>
                <w:sz w:val="21"/>
                <w:szCs w:val="24"/>
                <w:lang w:val="zh-CN" w:eastAsia="zh-CN" w:bidi="zh-CN"/>
              </w:rPr>
              <w:t>2.31</w:t>
            </w:r>
          </w:p>
        </w:tc>
        <w:tc>
          <w:tcPr>
            <w:tcW w:w="644" w:type="dxa"/>
            <w:noWrap w:val="0"/>
            <w:tcMar>
              <w:left w:w="28" w:type="dxa"/>
              <w:right w:w="28" w:type="dxa"/>
            </w:tcMar>
            <w:vAlign w:val="center"/>
          </w:tcPr>
          <w:p w14:paraId="6BE85041">
            <w:pPr>
              <w:keepNext w:val="0"/>
              <w:keepLines w:val="0"/>
              <w:pageBreakBefore w:val="0"/>
              <w:widowControl w:val="0"/>
              <w:kinsoku/>
              <w:wordWrap/>
              <w:overflowPunct/>
              <w:topLinePunct w:val="0"/>
              <w:autoSpaceDE/>
              <w:autoSpaceDN/>
              <w:bidi w:val="0"/>
              <w:adjustRightInd/>
              <w:snapToGrid/>
              <w:spacing w:line="257" w:lineRule="exact"/>
              <w:ind w:left="0" w:leftChars="0" w:right="22" w:firstLine="0" w:firstLineChars="0"/>
              <w:jc w:val="center"/>
              <w:textAlignment w:val="auto"/>
              <w:rPr>
                <w:rFonts w:hint="default" w:ascii="Times New Roman" w:hAnsi="Times New Roman" w:eastAsia="宋体" w:cs="Times New Roman"/>
                <w:color w:val="auto"/>
                <w:sz w:val="21"/>
                <w:szCs w:val="24"/>
                <w:lang w:val="zh-CN" w:eastAsia="zh-CN" w:bidi="zh-CN"/>
              </w:rPr>
            </w:pPr>
            <w:r>
              <w:rPr>
                <w:rFonts w:hint="default" w:ascii="Times New Roman" w:hAnsi="Times New Roman" w:eastAsia="宋体" w:cs="Times New Roman"/>
                <w:color w:val="auto"/>
                <w:sz w:val="21"/>
                <w:szCs w:val="24"/>
                <w:lang w:val="zh-CN" w:eastAsia="zh-CN" w:bidi="zh-CN"/>
              </w:rPr>
              <w:t>2.82</w:t>
            </w:r>
          </w:p>
        </w:tc>
        <w:tc>
          <w:tcPr>
            <w:tcW w:w="646" w:type="dxa"/>
            <w:noWrap w:val="0"/>
            <w:tcMar>
              <w:left w:w="28" w:type="dxa"/>
              <w:right w:w="28" w:type="dxa"/>
            </w:tcMar>
            <w:vAlign w:val="center"/>
          </w:tcPr>
          <w:p w14:paraId="1D7ABAFA">
            <w:pPr>
              <w:keepNext w:val="0"/>
              <w:keepLines w:val="0"/>
              <w:pageBreakBefore w:val="0"/>
              <w:widowControl w:val="0"/>
              <w:kinsoku/>
              <w:wordWrap/>
              <w:overflowPunct/>
              <w:topLinePunct w:val="0"/>
              <w:autoSpaceDE/>
              <w:autoSpaceDN/>
              <w:bidi w:val="0"/>
              <w:adjustRightInd/>
              <w:snapToGrid/>
              <w:spacing w:line="257" w:lineRule="exact"/>
              <w:ind w:left="0" w:leftChars="0" w:right="22" w:firstLine="0" w:firstLineChars="0"/>
              <w:jc w:val="center"/>
              <w:textAlignment w:val="auto"/>
              <w:rPr>
                <w:rFonts w:hint="default" w:ascii="Times New Roman" w:hAnsi="Times New Roman" w:eastAsia="宋体" w:cs="Times New Roman"/>
                <w:color w:val="auto"/>
                <w:sz w:val="21"/>
                <w:szCs w:val="24"/>
                <w:lang w:val="zh-CN" w:eastAsia="zh-CN" w:bidi="zh-CN"/>
              </w:rPr>
            </w:pPr>
            <w:r>
              <w:rPr>
                <w:rFonts w:hint="default" w:ascii="Times New Roman" w:hAnsi="Times New Roman" w:eastAsia="宋体" w:cs="Times New Roman"/>
                <w:color w:val="auto"/>
                <w:sz w:val="21"/>
                <w:szCs w:val="24"/>
                <w:lang w:val="zh-CN" w:eastAsia="zh-CN" w:bidi="zh-CN"/>
              </w:rPr>
              <w:t>3.20</w:t>
            </w:r>
          </w:p>
        </w:tc>
        <w:tc>
          <w:tcPr>
            <w:tcW w:w="647" w:type="dxa"/>
            <w:noWrap w:val="0"/>
            <w:tcMar>
              <w:left w:w="28" w:type="dxa"/>
              <w:right w:w="28" w:type="dxa"/>
            </w:tcMar>
            <w:vAlign w:val="center"/>
          </w:tcPr>
          <w:p w14:paraId="1319BE40">
            <w:pPr>
              <w:keepNext w:val="0"/>
              <w:keepLines w:val="0"/>
              <w:pageBreakBefore w:val="0"/>
              <w:widowControl w:val="0"/>
              <w:kinsoku/>
              <w:wordWrap/>
              <w:overflowPunct/>
              <w:topLinePunct w:val="0"/>
              <w:autoSpaceDE/>
              <w:autoSpaceDN/>
              <w:bidi w:val="0"/>
              <w:adjustRightInd/>
              <w:snapToGrid/>
              <w:spacing w:line="257" w:lineRule="exact"/>
              <w:ind w:left="0" w:leftChars="0" w:right="22" w:firstLine="0" w:firstLineChars="0"/>
              <w:jc w:val="center"/>
              <w:textAlignment w:val="auto"/>
              <w:rPr>
                <w:rFonts w:hint="default" w:ascii="Times New Roman" w:hAnsi="Times New Roman" w:eastAsia="宋体" w:cs="Times New Roman"/>
                <w:color w:val="auto"/>
                <w:sz w:val="21"/>
                <w:szCs w:val="24"/>
                <w:lang w:val="zh-CN" w:eastAsia="zh-CN" w:bidi="zh-CN"/>
              </w:rPr>
            </w:pPr>
            <w:r>
              <w:rPr>
                <w:rFonts w:hint="default" w:ascii="Times New Roman" w:hAnsi="Times New Roman" w:eastAsia="宋体" w:cs="Times New Roman"/>
                <w:color w:val="auto"/>
                <w:sz w:val="21"/>
                <w:szCs w:val="24"/>
                <w:lang w:val="zh-CN" w:eastAsia="zh-CN" w:bidi="zh-CN"/>
              </w:rPr>
              <w:t>3.54</w:t>
            </w:r>
          </w:p>
        </w:tc>
        <w:tc>
          <w:tcPr>
            <w:tcW w:w="646" w:type="dxa"/>
            <w:noWrap w:val="0"/>
            <w:tcMar>
              <w:left w:w="28" w:type="dxa"/>
              <w:right w:w="28" w:type="dxa"/>
            </w:tcMar>
            <w:vAlign w:val="center"/>
          </w:tcPr>
          <w:p w14:paraId="479F260D">
            <w:pPr>
              <w:keepNext w:val="0"/>
              <w:keepLines w:val="0"/>
              <w:pageBreakBefore w:val="0"/>
              <w:widowControl w:val="0"/>
              <w:kinsoku/>
              <w:wordWrap/>
              <w:overflowPunct/>
              <w:topLinePunct w:val="0"/>
              <w:autoSpaceDE/>
              <w:autoSpaceDN/>
              <w:bidi w:val="0"/>
              <w:adjustRightInd/>
              <w:snapToGrid/>
              <w:spacing w:line="257" w:lineRule="exact"/>
              <w:ind w:left="0" w:leftChars="0" w:right="22" w:firstLine="0" w:firstLineChars="0"/>
              <w:jc w:val="center"/>
              <w:textAlignment w:val="auto"/>
              <w:rPr>
                <w:rFonts w:hint="default" w:ascii="Times New Roman" w:hAnsi="Times New Roman" w:eastAsia="宋体" w:cs="Times New Roman"/>
                <w:color w:val="auto"/>
                <w:sz w:val="21"/>
                <w:szCs w:val="24"/>
                <w:lang w:val="zh-CN" w:eastAsia="zh-CN" w:bidi="zh-CN"/>
              </w:rPr>
            </w:pPr>
            <w:r>
              <w:rPr>
                <w:rFonts w:hint="default" w:ascii="Times New Roman" w:hAnsi="Times New Roman" w:eastAsia="宋体" w:cs="Times New Roman"/>
                <w:color w:val="auto"/>
                <w:sz w:val="21"/>
                <w:szCs w:val="24"/>
                <w:lang w:val="zh-CN" w:eastAsia="zh-CN" w:bidi="zh-CN"/>
              </w:rPr>
              <w:t>3.15</w:t>
            </w:r>
          </w:p>
        </w:tc>
        <w:tc>
          <w:tcPr>
            <w:tcW w:w="646" w:type="dxa"/>
            <w:noWrap w:val="0"/>
            <w:tcMar>
              <w:left w:w="28" w:type="dxa"/>
              <w:right w:w="28" w:type="dxa"/>
            </w:tcMar>
            <w:vAlign w:val="center"/>
          </w:tcPr>
          <w:p w14:paraId="740B0A62">
            <w:pPr>
              <w:keepNext w:val="0"/>
              <w:keepLines w:val="0"/>
              <w:pageBreakBefore w:val="0"/>
              <w:widowControl w:val="0"/>
              <w:kinsoku/>
              <w:wordWrap/>
              <w:overflowPunct/>
              <w:topLinePunct w:val="0"/>
              <w:autoSpaceDE/>
              <w:autoSpaceDN/>
              <w:bidi w:val="0"/>
              <w:adjustRightInd/>
              <w:snapToGrid/>
              <w:spacing w:line="257" w:lineRule="exact"/>
              <w:ind w:left="0" w:leftChars="0" w:right="22" w:firstLine="0" w:firstLineChars="0"/>
              <w:jc w:val="center"/>
              <w:textAlignment w:val="auto"/>
              <w:rPr>
                <w:rFonts w:hint="default" w:ascii="Times New Roman" w:hAnsi="Times New Roman" w:eastAsia="宋体" w:cs="Times New Roman"/>
                <w:color w:val="auto"/>
                <w:sz w:val="21"/>
                <w:szCs w:val="24"/>
                <w:lang w:val="zh-CN" w:eastAsia="zh-CN" w:bidi="zh-CN"/>
              </w:rPr>
            </w:pPr>
            <w:r>
              <w:rPr>
                <w:rFonts w:hint="default" w:ascii="Times New Roman" w:hAnsi="Times New Roman" w:eastAsia="宋体" w:cs="Times New Roman"/>
                <w:color w:val="auto"/>
                <w:sz w:val="21"/>
                <w:szCs w:val="24"/>
                <w:lang w:val="zh-CN" w:eastAsia="zh-CN" w:bidi="zh-CN"/>
              </w:rPr>
              <w:t>2.88</w:t>
            </w:r>
          </w:p>
        </w:tc>
        <w:tc>
          <w:tcPr>
            <w:tcW w:w="647" w:type="dxa"/>
            <w:noWrap w:val="0"/>
            <w:tcMar>
              <w:left w:w="28" w:type="dxa"/>
              <w:right w:w="28" w:type="dxa"/>
            </w:tcMar>
            <w:vAlign w:val="center"/>
          </w:tcPr>
          <w:p w14:paraId="75375C8E">
            <w:pPr>
              <w:keepNext w:val="0"/>
              <w:keepLines w:val="0"/>
              <w:pageBreakBefore w:val="0"/>
              <w:widowControl w:val="0"/>
              <w:kinsoku/>
              <w:wordWrap/>
              <w:overflowPunct/>
              <w:topLinePunct w:val="0"/>
              <w:autoSpaceDE/>
              <w:autoSpaceDN/>
              <w:bidi w:val="0"/>
              <w:adjustRightInd/>
              <w:snapToGrid/>
              <w:spacing w:line="257" w:lineRule="exact"/>
              <w:ind w:left="0" w:leftChars="0" w:right="22" w:firstLine="0" w:firstLineChars="0"/>
              <w:jc w:val="center"/>
              <w:textAlignment w:val="auto"/>
              <w:rPr>
                <w:rFonts w:hint="default" w:ascii="Times New Roman" w:hAnsi="Times New Roman" w:eastAsia="宋体" w:cs="Times New Roman"/>
                <w:color w:val="auto"/>
                <w:sz w:val="21"/>
                <w:szCs w:val="24"/>
                <w:lang w:val="zh-CN" w:eastAsia="zh-CN" w:bidi="zh-CN"/>
              </w:rPr>
            </w:pPr>
            <w:r>
              <w:rPr>
                <w:rFonts w:hint="default" w:ascii="Times New Roman" w:hAnsi="Times New Roman" w:eastAsia="宋体" w:cs="Times New Roman"/>
                <w:color w:val="auto"/>
                <w:sz w:val="21"/>
                <w:szCs w:val="24"/>
                <w:lang w:val="zh-CN" w:eastAsia="zh-CN" w:bidi="zh-CN"/>
              </w:rPr>
              <w:t>2.40</w:t>
            </w:r>
          </w:p>
        </w:tc>
        <w:tc>
          <w:tcPr>
            <w:tcW w:w="646" w:type="dxa"/>
            <w:noWrap w:val="0"/>
            <w:tcMar>
              <w:left w:w="28" w:type="dxa"/>
              <w:right w:w="28" w:type="dxa"/>
            </w:tcMar>
            <w:vAlign w:val="center"/>
          </w:tcPr>
          <w:p w14:paraId="4B638BFF">
            <w:pPr>
              <w:keepNext w:val="0"/>
              <w:keepLines w:val="0"/>
              <w:pageBreakBefore w:val="0"/>
              <w:widowControl w:val="0"/>
              <w:kinsoku/>
              <w:wordWrap/>
              <w:overflowPunct/>
              <w:topLinePunct w:val="0"/>
              <w:autoSpaceDE/>
              <w:autoSpaceDN/>
              <w:bidi w:val="0"/>
              <w:adjustRightInd/>
              <w:snapToGrid/>
              <w:spacing w:line="257" w:lineRule="exact"/>
              <w:ind w:left="0" w:leftChars="0" w:right="22" w:firstLine="0" w:firstLineChars="0"/>
              <w:jc w:val="center"/>
              <w:textAlignment w:val="auto"/>
              <w:rPr>
                <w:rFonts w:hint="default" w:ascii="Times New Roman" w:hAnsi="Times New Roman" w:eastAsia="宋体" w:cs="Times New Roman"/>
                <w:color w:val="auto"/>
                <w:sz w:val="21"/>
                <w:szCs w:val="24"/>
                <w:lang w:val="zh-CN" w:eastAsia="zh-CN" w:bidi="zh-CN"/>
              </w:rPr>
            </w:pPr>
            <w:r>
              <w:rPr>
                <w:rFonts w:hint="default" w:ascii="Times New Roman" w:hAnsi="Times New Roman" w:eastAsia="宋体" w:cs="Times New Roman"/>
                <w:color w:val="auto"/>
                <w:sz w:val="21"/>
                <w:szCs w:val="24"/>
                <w:lang w:val="zh-CN" w:eastAsia="zh-CN" w:bidi="zh-CN"/>
              </w:rPr>
              <w:t>2.72</w:t>
            </w:r>
          </w:p>
        </w:tc>
        <w:tc>
          <w:tcPr>
            <w:tcW w:w="646" w:type="dxa"/>
            <w:noWrap w:val="0"/>
            <w:tcMar>
              <w:left w:w="28" w:type="dxa"/>
              <w:right w:w="28" w:type="dxa"/>
            </w:tcMar>
            <w:vAlign w:val="center"/>
          </w:tcPr>
          <w:p w14:paraId="66EE9356">
            <w:pPr>
              <w:keepNext w:val="0"/>
              <w:keepLines w:val="0"/>
              <w:pageBreakBefore w:val="0"/>
              <w:widowControl w:val="0"/>
              <w:kinsoku/>
              <w:wordWrap/>
              <w:overflowPunct/>
              <w:topLinePunct w:val="0"/>
              <w:autoSpaceDE/>
              <w:autoSpaceDN/>
              <w:bidi w:val="0"/>
              <w:adjustRightInd/>
              <w:snapToGrid/>
              <w:spacing w:line="257" w:lineRule="exact"/>
              <w:ind w:left="0" w:leftChars="0" w:right="22" w:firstLine="0" w:firstLineChars="0"/>
              <w:jc w:val="center"/>
              <w:textAlignment w:val="auto"/>
              <w:rPr>
                <w:rFonts w:hint="default" w:ascii="Times New Roman" w:hAnsi="Times New Roman" w:eastAsia="宋体" w:cs="Times New Roman"/>
                <w:color w:val="auto"/>
                <w:sz w:val="21"/>
                <w:szCs w:val="24"/>
                <w:lang w:val="zh-CN" w:eastAsia="zh-CN" w:bidi="zh-CN"/>
              </w:rPr>
            </w:pPr>
            <w:r>
              <w:rPr>
                <w:rFonts w:hint="default" w:ascii="Times New Roman" w:hAnsi="Times New Roman" w:eastAsia="宋体" w:cs="Times New Roman"/>
                <w:color w:val="auto"/>
                <w:sz w:val="21"/>
                <w:szCs w:val="24"/>
                <w:lang w:val="zh-CN" w:eastAsia="zh-CN" w:bidi="zh-CN"/>
              </w:rPr>
              <w:t>2.08</w:t>
            </w:r>
          </w:p>
        </w:tc>
        <w:tc>
          <w:tcPr>
            <w:tcW w:w="647" w:type="dxa"/>
            <w:noWrap w:val="0"/>
            <w:tcMar>
              <w:left w:w="28" w:type="dxa"/>
              <w:right w:w="28" w:type="dxa"/>
            </w:tcMar>
            <w:vAlign w:val="center"/>
          </w:tcPr>
          <w:p w14:paraId="4D0B3F24">
            <w:pPr>
              <w:keepNext w:val="0"/>
              <w:keepLines w:val="0"/>
              <w:pageBreakBefore w:val="0"/>
              <w:widowControl w:val="0"/>
              <w:kinsoku/>
              <w:wordWrap/>
              <w:overflowPunct/>
              <w:topLinePunct w:val="0"/>
              <w:autoSpaceDE/>
              <w:autoSpaceDN/>
              <w:bidi w:val="0"/>
              <w:adjustRightInd/>
              <w:snapToGrid/>
              <w:spacing w:line="257" w:lineRule="exact"/>
              <w:ind w:left="0" w:leftChars="0" w:right="22" w:firstLine="0" w:firstLineChars="0"/>
              <w:jc w:val="center"/>
              <w:textAlignment w:val="auto"/>
              <w:rPr>
                <w:rFonts w:hint="default" w:ascii="Times New Roman" w:hAnsi="Times New Roman" w:eastAsia="宋体" w:cs="Times New Roman"/>
                <w:color w:val="auto"/>
                <w:sz w:val="21"/>
                <w:szCs w:val="24"/>
                <w:lang w:val="zh-CN" w:eastAsia="zh-CN" w:bidi="zh-CN"/>
              </w:rPr>
            </w:pPr>
            <w:r>
              <w:rPr>
                <w:rFonts w:hint="default" w:ascii="Times New Roman" w:hAnsi="Times New Roman" w:eastAsia="宋体" w:cs="Times New Roman"/>
                <w:color w:val="auto"/>
                <w:sz w:val="21"/>
                <w:szCs w:val="24"/>
                <w:lang w:val="zh-CN" w:eastAsia="zh-CN" w:bidi="zh-CN"/>
              </w:rPr>
              <w:t>1.91</w:t>
            </w:r>
          </w:p>
        </w:tc>
        <w:tc>
          <w:tcPr>
            <w:tcW w:w="646" w:type="dxa"/>
            <w:noWrap w:val="0"/>
            <w:tcMar>
              <w:left w:w="28" w:type="dxa"/>
              <w:right w:w="28" w:type="dxa"/>
            </w:tcMar>
            <w:vAlign w:val="center"/>
          </w:tcPr>
          <w:p w14:paraId="0F94B067">
            <w:pPr>
              <w:keepNext w:val="0"/>
              <w:keepLines w:val="0"/>
              <w:pageBreakBefore w:val="0"/>
              <w:widowControl w:val="0"/>
              <w:kinsoku/>
              <w:wordWrap/>
              <w:overflowPunct/>
              <w:topLinePunct w:val="0"/>
              <w:autoSpaceDE/>
              <w:autoSpaceDN/>
              <w:bidi w:val="0"/>
              <w:adjustRightInd/>
              <w:snapToGrid/>
              <w:spacing w:line="257" w:lineRule="exact"/>
              <w:ind w:left="0" w:leftChars="0" w:right="22" w:firstLine="0" w:firstLineChars="0"/>
              <w:jc w:val="center"/>
              <w:textAlignment w:val="auto"/>
              <w:rPr>
                <w:rFonts w:hint="default" w:ascii="Times New Roman" w:hAnsi="Times New Roman" w:eastAsia="宋体" w:cs="Times New Roman"/>
                <w:color w:val="auto"/>
                <w:sz w:val="21"/>
                <w:szCs w:val="24"/>
                <w:lang w:val="zh-CN" w:eastAsia="zh-CN" w:bidi="zh-CN"/>
              </w:rPr>
            </w:pPr>
            <w:r>
              <w:rPr>
                <w:rFonts w:hint="default" w:ascii="Times New Roman" w:hAnsi="Times New Roman" w:eastAsia="宋体" w:cs="Times New Roman"/>
                <w:color w:val="auto"/>
                <w:sz w:val="21"/>
                <w:szCs w:val="24"/>
                <w:lang w:val="zh-CN" w:eastAsia="zh-CN" w:bidi="zh-CN"/>
              </w:rPr>
              <w:t>1.72</w:t>
            </w:r>
          </w:p>
        </w:tc>
        <w:tc>
          <w:tcPr>
            <w:tcW w:w="647" w:type="dxa"/>
            <w:noWrap w:val="0"/>
            <w:tcMar>
              <w:left w:w="28" w:type="dxa"/>
              <w:right w:w="28" w:type="dxa"/>
            </w:tcMar>
            <w:vAlign w:val="center"/>
          </w:tcPr>
          <w:p w14:paraId="689931AE">
            <w:pPr>
              <w:keepNext w:val="0"/>
              <w:keepLines w:val="0"/>
              <w:pageBreakBefore w:val="0"/>
              <w:widowControl w:val="0"/>
              <w:kinsoku/>
              <w:wordWrap/>
              <w:overflowPunct/>
              <w:topLinePunct w:val="0"/>
              <w:autoSpaceDE/>
              <w:autoSpaceDN/>
              <w:bidi w:val="0"/>
              <w:adjustRightInd/>
              <w:snapToGrid/>
              <w:spacing w:line="257" w:lineRule="exact"/>
              <w:ind w:left="0" w:leftChars="0" w:right="22" w:firstLine="0" w:firstLineChars="0"/>
              <w:jc w:val="center"/>
              <w:textAlignment w:val="auto"/>
              <w:rPr>
                <w:rFonts w:hint="default" w:ascii="Times New Roman" w:hAnsi="Times New Roman" w:eastAsia="宋体" w:cs="Times New Roman"/>
                <w:color w:val="auto"/>
                <w:sz w:val="21"/>
                <w:szCs w:val="24"/>
                <w:lang w:val="zh-CN" w:eastAsia="zh-CN" w:bidi="zh-CN"/>
              </w:rPr>
            </w:pPr>
            <w:r>
              <w:rPr>
                <w:rFonts w:hint="default" w:ascii="Times New Roman" w:hAnsi="Times New Roman" w:eastAsia="宋体" w:cs="Times New Roman"/>
                <w:color w:val="auto"/>
                <w:sz w:val="21"/>
                <w:szCs w:val="24"/>
                <w:lang w:val="zh-CN" w:eastAsia="zh-CN" w:bidi="zh-CN"/>
              </w:rPr>
              <w:t>2.54</w:t>
            </w:r>
          </w:p>
        </w:tc>
      </w:tr>
    </w:tbl>
    <w:p w14:paraId="2178005A">
      <w:pPr>
        <w:keepNext w:val="0"/>
        <w:keepLines w:val="0"/>
        <w:pageBreakBefore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kern w:val="0"/>
          <w:sz w:val="24"/>
          <w:szCs w:val="24"/>
          <w:lang w:val="zh-CN" w:bidi="zh-CN"/>
        </w:rPr>
      </w:pPr>
      <w:r>
        <w:rPr>
          <w:rFonts w:hint="default" w:ascii="Times New Roman" w:hAnsi="Times New Roman" w:eastAsia="宋体" w:cs="Times New Roman"/>
          <w:color w:val="auto"/>
          <w:kern w:val="0"/>
          <w:sz w:val="24"/>
          <w:szCs w:val="24"/>
          <w:lang w:val="en-US" w:bidi="ar-SA"/>
        </w:rPr>
        <w:drawing>
          <wp:inline distT="0" distB="0" distL="114300" distR="114300">
            <wp:extent cx="4542155" cy="1876425"/>
            <wp:effectExtent l="4445" t="5080" r="6350" b="4445"/>
            <wp:docPr id="17" name="图表 1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4CCBF991">
      <w:pPr>
        <w:keepNext w:val="0"/>
        <w:keepLines w:val="0"/>
        <w:pageBreakBefore w:val="0"/>
        <w:widowControl w:val="0"/>
        <w:kinsoku/>
        <w:wordWrap/>
        <w:overflowPunct/>
        <w:topLinePunct w:val="0"/>
        <w:autoSpaceDE/>
        <w:autoSpaceDN/>
        <w:bidi w:val="0"/>
        <w:adjustRightInd/>
        <w:snapToGrid/>
        <w:spacing w:after="0" w:line="360" w:lineRule="auto"/>
        <w:ind w:firstLine="482" w:firstLineChars="200"/>
        <w:jc w:val="center"/>
        <w:textAlignment w:val="auto"/>
        <w:rPr>
          <w:rFonts w:hint="default" w:ascii="Times New Roman" w:hAnsi="Times New Roman" w:eastAsia="宋体" w:cs="Times New Roman"/>
          <w:b/>
          <w:color w:val="auto"/>
          <w:sz w:val="24"/>
          <w:szCs w:val="24"/>
          <w:lang w:val="zh-CN" w:eastAsia="zh-CN" w:bidi="zh-CN"/>
        </w:rPr>
      </w:pPr>
      <w:r>
        <w:rPr>
          <w:rFonts w:hint="default" w:ascii="Times New Roman" w:hAnsi="Times New Roman" w:eastAsia="宋体" w:cs="Times New Roman"/>
          <w:b/>
          <w:color w:val="auto"/>
          <w:sz w:val="24"/>
          <w:szCs w:val="24"/>
          <w:lang w:val="zh-CN" w:eastAsia="zh-CN" w:bidi="zh-CN"/>
        </w:rPr>
        <w:t>图5.2-3</w:t>
      </w:r>
      <w:r>
        <w:rPr>
          <w:rFonts w:hint="eastAsia" w:ascii="Times New Roman" w:hAnsi="Times New Roman" w:eastAsia="宋体" w:cs="Times New Roman"/>
          <w:b/>
          <w:color w:val="auto"/>
          <w:sz w:val="24"/>
          <w:szCs w:val="24"/>
          <w:lang w:val="en-US" w:eastAsia="zh-CN" w:bidi="zh-CN"/>
        </w:rPr>
        <w:t xml:space="preserve">    </w:t>
      </w:r>
      <w:r>
        <w:rPr>
          <w:rFonts w:hint="default" w:ascii="Times New Roman" w:hAnsi="Times New Roman" w:eastAsia="宋体" w:cs="Times New Roman"/>
          <w:b/>
          <w:color w:val="auto"/>
          <w:sz w:val="24"/>
          <w:szCs w:val="24"/>
          <w:lang w:val="zh-CN" w:eastAsia="zh-CN" w:bidi="zh-CN"/>
        </w:rPr>
        <w:t>年平均风速月变化曲线图</w:t>
      </w:r>
    </w:p>
    <w:p w14:paraId="04B9D0C1">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bCs/>
          <w:color w:val="auto"/>
          <w:sz w:val="24"/>
          <w:szCs w:val="26"/>
          <w:lang w:val="zh-CN" w:eastAsia="zh-CN" w:bidi="zh-CN"/>
        </w:rPr>
      </w:pPr>
      <w:r>
        <w:rPr>
          <w:rFonts w:hint="default" w:ascii="Times New Roman" w:hAnsi="Times New Roman" w:eastAsia="宋体" w:cs="Times New Roman"/>
          <w:bCs/>
          <w:color w:val="auto"/>
          <w:sz w:val="24"/>
          <w:szCs w:val="26"/>
          <w:lang w:val="zh-CN" w:eastAsia="zh-CN" w:bidi="zh-CN"/>
        </w:rPr>
        <w:drawing>
          <wp:inline distT="0" distB="0" distL="114300" distR="114300">
            <wp:extent cx="4534535" cy="2038985"/>
            <wp:effectExtent l="4445" t="4445" r="13970" b="13970"/>
            <wp:docPr id="18" name="图表 1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5BE26922">
      <w:pPr>
        <w:keepNext w:val="0"/>
        <w:keepLines w:val="0"/>
        <w:pageBreakBefore w:val="0"/>
        <w:widowControl w:val="0"/>
        <w:kinsoku/>
        <w:wordWrap/>
        <w:overflowPunct/>
        <w:topLinePunct w:val="0"/>
        <w:autoSpaceDE/>
        <w:autoSpaceDN/>
        <w:bidi w:val="0"/>
        <w:adjustRightInd/>
        <w:snapToGrid/>
        <w:spacing w:after="0" w:line="360" w:lineRule="auto"/>
        <w:ind w:firstLine="482" w:firstLineChars="200"/>
        <w:jc w:val="center"/>
        <w:textAlignment w:val="auto"/>
        <w:rPr>
          <w:rFonts w:hint="default" w:ascii="Times New Roman" w:hAnsi="Times New Roman" w:eastAsia="宋体" w:cs="Times New Roman"/>
          <w:b/>
          <w:color w:val="auto"/>
          <w:sz w:val="24"/>
          <w:szCs w:val="24"/>
          <w:lang w:val="zh-CN" w:eastAsia="zh-CN" w:bidi="zh-CN"/>
        </w:rPr>
      </w:pPr>
      <w:bookmarkStart w:id="274" w:name="_Ref74067981"/>
      <w:r>
        <w:rPr>
          <w:rFonts w:hint="default" w:ascii="Times New Roman" w:hAnsi="Times New Roman" w:eastAsia="宋体" w:cs="Times New Roman"/>
          <w:b/>
          <w:color w:val="auto"/>
          <w:sz w:val="24"/>
          <w:szCs w:val="24"/>
          <w:lang w:val="zh-CN" w:eastAsia="zh-CN" w:bidi="zh-CN"/>
        </w:rPr>
        <w:t>图</w:t>
      </w:r>
      <w:bookmarkEnd w:id="274"/>
      <w:r>
        <w:rPr>
          <w:rFonts w:hint="default" w:ascii="Times New Roman" w:hAnsi="Times New Roman" w:eastAsia="宋体" w:cs="Times New Roman"/>
          <w:b/>
          <w:color w:val="auto"/>
          <w:sz w:val="24"/>
          <w:szCs w:val="24"/>
          <w:lang w:val="zh-CN" w:eastAsia="zh-CN" w:bidi="zh-CN"/>
        </w:rPr>
        <w:t>5.2-4</w:t>
      </w:r>
      <w:r>
        <w:rPr>
          <w:rFonts w:hint="eastAsia" w:ascii="Times New Roman" w:hAnsi="Times New Roman" w:eastAsia="宋体" w:cs="Times New Roman"/>
          <w:b/>
          <w:color w:val="auto"/>
          <w:sz w:val="24"/>
          <w:szCs w:val="24"/>
          <w:lang w:val="en-US" w:eastAsia="zh-CN" w:bidi="zh-CN"/>
        </w:rPr>
        <w:t xml:space="preserve">    </w:t>
      </w:r>
      <w:r>
        <w:rPr>
          <w:rFonts w:hint="default" w:ascii="Times New Roman" w:hAnsi="Times New Roman" w:eastAsia="宋体" w:cs="Times New Roman"/>
          <w:b/>
          <w:color w:val="auto"/>
          <w:sz w:val="24"/>
          <w:szCs w:val="24"/>
          <w:lang w:val="zh-CN" w:eastAsia="zh-CN" w:bidi="zh-CN"/>
        </w:rPr>
        <w:t>季小时平均风速日变化曲线图</w:t>
      </w:r>
    </w:p>
    <w:p w14:paraId="21EDC797">
      <w:pPr>
        <w:keepNext w:val="0"/>
        <w:keepLines w:val="0"/>
        <w:pageBreakBefore w:val="0"/>
        <w:widowControl/>
        <w:kinsoku/>
        <w:wordWrap/>
        <w:overflowPunct/>
        <w:topLinePunct w:val="0"/>
        <w:autoSpaceDE/>
        <w:autoSpaceDN/>
        <w:bidi w:val="0"/>
        <w:adjustRightInd/>
        <w:snapToGrid/>
        <w:spacing w:line="360" w:lineRule="auto"/>
        <w:ind w:firstLine="448" w:firstLineChars="200"/>
        <w:textAlignment w:val="auto"/>
        <w:rPr>
          <w:rFonts w:hint="default" w:ascii="Times New Roman" w:hAnsi="Times New Roman" w:eastAsia="宋体" w:cs="Times New Roman"/>
          <w:color w:val="auto"/>
          <w:spacing w:val="-8"/>
          <w:sz w:val="24"/>
          <w:szCs w:val="24"/>
          <w:lang w:val="zh-CN" w:eastAsia="zh-CN" w:bidi="zh-CN"/>
        </w:rPr>
      </w:pPr>
      <w:r>
        <w:rPr>
          <w:rFonts w:hint="eastAsia" w:ascii="Times New Roman" w:hAnsi="Times New Roman" w:eastAsia="宋体" w:cs="Times New Roman"/>
          <w:color w:val="auto"/>
          <w:spacing w:val="-8"/>
          <w:sz w:val="24"/>
          <w:szCs w:val="24"/>
          <w:lang w:val="zh-CN" w:eastAsia="zh-CN" w:bidi="zh-CN"/>
        </w:rPr>
        <w:t>③</w:t>
      </w:r>
      <w:r>
        <w:rPr>
          <w:rFonts w:hint="default" w:ascii="Times New Roman" w:hAnsi="Times New Roman" w:eastAsia="宋体" w:cs="Times New Roman"/>
          <w:color w:val="auto"/>
          <w:spacing w:val="-8"/>
          <w:sz w:val="24"/>
          <w:szCs w:val="24"/>
          <w:lang w:val="zh-CN" w:eastAsia="zh-CN" w:bidi="zh-CN"/>
        </w:rPr>
        <w:t>温度</w:t>
      </w:r>
    </w:p>
    <w:p w14:paraId="5C7613A5">
      <w:pPr>
        <w:keepNext w:val="0"/>
        <w:keepLines w:val="0"/>
        <w:pageBreakBefore w:val="0"/>
        <w:widowControl/>
        <w:kinsoku/>
        <w:wordWrap/>
        <w:overflowPunct/>
        <w:topLinePunct w:val="0"/>
        <w:autoSpaceDE/>
        <w:autoSpaceDN/>
        <w:bidi w:val="0"/>
        <w:adjustRightInd/>
        <w:snapToGrid/>
        <w:spacing w:line="360" w:lineRule="auto"/>
        <w:ind w:firstLine="448" w:firstLineChars="200"/>
        <w:textAlignment w:val="auto"/>
        <w:rPr>
          <w:rFonts w:hint="default" w:ascii="Times New Roman" w:hAnsi="Times New Roman" w:eastAsia="宋体" w:cs="Times New Roman"/>
          <w:color w:val="auto"/>
          <w:spacing w:val="-8"/>
          <w:sz w:val="24"/>
          <w:szCs w:val="24"/>
          <w:lang w:val="zh-CN" w:eastAsia="zh-CN" w:bidi="zh-CN"/>
        </w:rPr>
      </w:pPr>
      <w:r>
        <w:rPr>
          <w:rFonts w:hint="default" w:ascii="Times New Roman" w:hAnsi="Times New Roman" w:eastAsia="宋体" w:cs="Times New Roman"/>
          <w:color w:val="auto"/>
          <w:spacing w:val="-8"/>
          <w:sz w:val="24"/>
          <w:szCs w:val="24"/>
          <w:lang w:val="zh-CN" w:eastAsia="zh-CN" w:bidi="zh-CN"/>
        </w:rPr>
        <w:t>评价区域202</w:t>
      </w:r>
      <w:r>
        <w:rPr>
          <w:rFonts w:hint="eastAsia" w:ascii="Times New Roman" w:hAnsi="Times New Roman" w:eastAsia="宋体" w:cs="Times New Roman"/>
          <w:color w:val="auto"/>
          <w:spacing w:val="-8"/>
          <w:sz w:val="24"/>
          <w:szCs w:val="24"/>
          <w:lang w:val="en-US" w:eastAsia="zh-CN" w:bidi="zh-CN"/>
        </w:rPr>
        <w:t>4</w:t>
      </w:r>
      <w:r>
        <w:rPr>
          <w:rFonts w:hint="default" w:ascii="Times New Roman" w:hAnsi="Times New Roman" w:eastAsia="宋体" w:cs="Times New Roman"/>
          <w:color w:val="auto"/>
          <w:spacing w:val="-8"/>
          <w:sz w:val="24"/>
          <w:szCs w:val="24"/>
          <w:lang w:val="zh-CN" w:eastAsia="zh-CN" w:bidi="zh-CN"/>
        </w:rPr>
        <w:t>年平均温度11.50℃。7月温度最高，月平均温度24.51℃，12月温度最低，月平均温度-6.76℃。202</w:t>
      </w:r>
      <w:r>
        <w:rPr>
          <w:rFonts w:hint="eastAsia" w:ascii="Times New Roman" w:hAnsi="Times New Roman" w:eastAsia="宋体" w:cs="Times New Roman"/>
          <w:color w:val="auto"/>
          <w:spacing w:val="-8"/>
          <w:sz w:val="24"/>
          <w:szCs w:val="24"/>
          <w:lang w:val="en-US" w:eastAsia="zh-CN" w:bidi="zh-CN"/>
        </w:rPr>
        <w:t>1</w:t>
      </w:r>
      <w:r>
        <w:rPr>
          <w:rFonts w:hint="default" w:ascii="Times New Roman" w:hAnsi="Times New Roman" w:eastAsia="宋体" w:cs="Times New Roman"/>
          <w:color w:val="auto"/>
          <w:spacing w:val="-8"/>
          <w:sz w:val="24"/>
          <w:szCs w:val="24"/>
          <w:lang w:val="zh-CN" w:eastAsia="zh-CN" w:bidi="zh-CN"/>
        </w:rPr>
        <w:t>年年均温度的月变化见表5.2-4，平均温度变化曲线见图5.2-5。</w:t>
      </w:r>
    </w:p>
    <w:p w14:paraId="021DA056">
      <w:pPr>
        <w:keepNext w:val="0"/>
        <w:keepLines w:val="0"/>
        <w:pageBreakBefore w:val="0"/>
        <w:widowControl w:val="0"/>
        <w:kinsoku/>
        <w:wordWrap/>
        <w:overflowPunct/>
        <w:topLinePunct w:val="0"/>
        <w:autoSpaceDE/>
        <w:autoSpaceDN/>
        <w:bidi w:val="0"/>
        <w:adjustRightInd/>
        <w:snapToGrid/>
        <w:spacing w:after="0" w:line="240" w:lineRule="auto"/>
        <w:ind w:firstLine="422" w:firstLineChars="200"/>
        <w:jc w:val="center"/>
        <w:textAlignment w:val="auto"/>
        <w:rPr>
          <w:rFonts w:hint="default" w:ascii="Times New Roman" w:hAnsi="Times New Roman" w:eastAsia="宋体" w:cs="Times New Roman"/>
          <w:b/>
          <w:color w:val="auto"/>
          <w:sz w:val="21"/>
          <w:szCs w:val="21"/>
          <w:lang w:val="zh-CN" w:eastAsia="zh-CN" w:bidi="zh-CN"/>
        </w:rPr>
      </w:pPr>
      <w:r>
        <w:rPr>
          <w:rFonts w:hint="default" w:ascii="Times New Roman" w:hAnsi="Times New Roman" w:eastAsia="宋体" w:cs="Times New Roman"/>
          <w:b/>
          <w:color w:val="auto"/>
          <w:sz w:val="21"/>
          <w:szCs w:val="21"/>
          <w:lang w:val="zh-CN" w:eastAsia="zh-CN" w:bidi="zh-CN"/>
        </w:rPr>
        <w:t>表5.2-4</w:t>
      </w:r>
      <w:r>
        <w:rPr>
          <w:rFonts w:hint="eastAsia" w:ascii="Times New Roman" w:hAnsi="Times New Roman" w:eastAsia="宋体" w:cs="Times New Roman"/>
          <w:b/>
          <w:color w:val="auto"/>
          <w:sz w:val="21"/>
          <w:szCs w:val="21"/>
          <w:lang w:val="en-US" w:eastAsia="zh-CN" w:bidi="zh-CN"/>
        </w:rPr>
        <w:t xml:space="preserve">   </w:t>
      </w:r>
      <w:r>
        <w:rPr>
          <w:rFonts w:hint="default" w:ascii="Times New Roman" w:hAnsi="Times New Roman" w:eastAsia="宋体" w:cs="Times New Roman"/>
          <w:b/>
          <w:color w:val="auto"/>
          <w:sz w:val="21"/>
          <w:szCs w:val="21"/>
          <w:lang w:val="zh-CN" w:eastAsia="zh-CN" w:bidi="zh-CN"/>
        </w:rPr>
        <w:t>202</w:t>
      </w:r>
      <w:r>
        <w:rPr>
          <w:rFonts w:hint="eastAsia" w:ascii="Times New Roman" w:hAnsi="Times New Roman" w:eastAsia="宋体" w:cs="Times New Roman"/>
          <w:b/>
          <w:color w:val="auto"/>
          <w:sz w:val="21"/>
          <w:szCs w:val="21"/>
          <w:lang w:val="en-US" w:eastAsia="zh-CN" w:bidi="zh-CN"/>
        </w:rPr>
        <w:t>4</w:t>
      </w:r>
      <w:r>
        <w:rPr>
          <w:rFonts w:hint="default" w:ascii="Times New Roman" w:hAnsi="Times New Roman" w:eastAsia="宋体" w:cs="Times New Roman"/>
          <w:b/>
          <w:color w:val="auto"/>
          <w:sz w:val="21"/>
          <w:szCs w:val="21"/>
          <w:lang w:val="zh-CN" w:eastAsia="zh-CN" w:bidi="zh-CN"/>
        </w:rPr>
        <w:t>年年均温度的月变化一览表</w:t>
      </w:r>
    </w:p>
    <w:tbl>
      <w:tblPr>
        <w:tblStyle w:val="49"/>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1" w:type="dxa"/>
          <w:bottom w:w="0" w:type="dxa"/>
          <w:right w:w="11" w:type="dxa"/>
        </w:tblCellMar>
      </w:tblPr>
      <w:tblGrid>
        <w:gridCol w:w="632"/>
        <w:gridCol w:w="668"/>
        <w:gridCol w:w="652"/>
        <w:gridCol w:w="651"/>
        <w:gridCol w:w="651"/>
        <w:gridCol w:w="652"/>
        <w:gridCol w:w="651"/>
        <w:gridCol w:w="651"/>
        <w:gridCol w:w="652"/>
        <w:gridCol w:w="651"/>
        <w:gridCol w:w="652"/>
        <w:gridCol w:w="653"/>
        <w:gridCol w:w="652"/>
        <w:gridCol w:w="650"/>
      </w:tblGrid>
      <w:tr w14:paraId="2802A54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1" w:type="dxa"/>
            <w:bottom w:w="0" w:type="dxa"/>
            <w:right w:w="11" w:type="dxa"/>
          </w:tblCellMar>
        </w:tblPrEx>
        <w:trPr>
          <w:jc w:val="center"/>
        </w:trPr>
        <w:tc>
          <w:tcPr>
            <w:tcW w:w="624" w:type="dxa"/>
            <w:noWrap w:val="0"/>
            <w:tcMar>
              <w:top w:w="0" w:type="dxa"/>
              <w:left w:w="28" w:type="dxa"/>
              <w:bottom w:w="0" w:type="dxa"/>
              <w:right w:w="28" w:type="dxa"/>
            </w:tcMar>
            <w:vAlign w:val="center"/>
          </w:tcPr>
          <w:p w14:paraId="282E7F72">
            <w:pPr>
              <w:widowControl w:val="0"/>
              <w:autoSpaceDE w:val="0"/>
              <w:autoSpaceDN w:val="0"/>
              <w:spacing w:before="63" w:line="257" w:lineRule="exact"/>
              <w:ind w:left="0" w:leftChars="0" w:right="22" w:firstLine="0" w:firstLineChars="0"/>
              <w:jc w:val="both"/>
              <w:rPr>
                <w:rFonts w:hint="default" w:ascii="Times New Roman" w:hAnsi="Times New Roman" w:eastAsia="宋体" w:cs="Times New Roman"/>
                <w:color w:val="auto"/>
                <w:sz w:val="21"/>
                <w:szCs w:val="24"/>
                <w:lang w:val="zh-CN" w:eastAsia="zh-CN" w:bidi="zh-CN"/>
              </w:rPr>
            </w:pPr>
            <w:r>
              <w:rPr>
                <w:rFonts w:hint="default" w:ascii="Times New Roman" w:hAnsi="Times New Roman" w:eastAsia="宋体" w:cs="Times New Roman"/>
                <w:color w:val="auto"/>
                <w:sz w:val="21"/>
                <w:szCs w:val="24"/>
                <w:lang w:val="zh-CN" w:eastAsia="zh-CN" w:bidi="zh-CN"/>
              </w:rPr>
              <w:t>月份</w:t>
            </w:r>
          </w:p>
        </w:tc>
        <w:tc>
          <w:tcPr>
            <w:tcW w:w="660" w:type="dxa"/>
            <w:noWrap w:val="0"/>
            <w:tcMar>
              <w:top w:w="0" w:type="dxa"/>
              <w:left w:w="28" w:type="dxa"/>
              <w:bottom w:w="0" w:type="dxa"/>
              <w:right w:w="28" w:type="dxa"/>
            </w:tcMar>
            <w:vAlign w:val="center"/>
          </w:tcPr>
          <w:p w14:paraId="0431771E">
            <w:pPr>
              <w:widowControl w:val="0"/>
              <w:autoSpaceDE w:val="0"/>
              <w:autoSpaceDN w:val="0"/>
              <w:spacing w:before="63" w:line="257" w:lineRule="exact"/>
              <w:ind w:left="0" w:leftChars="0" w:right="22" w:firstLine="0" w:firstLineChars="0"/>
              <w:jc w:val="both"/>
              <w:rPr>
                <w:rFonts w:hint="default" w:ascii="Times New Roman" w:hAnsi="Times New Roman" w:eastAsia="宋体" w:cs="Times New Roman"/>
                <w:color w:val="auto"/>
                <w:sz w:val="21"/>
                <w:szCs w:val="24"/>
                <w:lang w:val="zh-CN" w:eastAsia="zh-CN" w:bidi="zh-CN"/>
              </w:rPr>
            </w:pPr>
            <w:r>
              <w:rPr>
                <w:rFonts w:hint="default" w:ascii="Times New Roman" w:hAnsi="Times New Roman" w:eastAsia="宋体" w:cs="Times New Roman"/>
                <w:color w:val="auto"/>
                <w:sz w:val="21"/>
                <w:szCs w:val="24"/>
                <w:lang w:val="zh-CN" w:eastAsia="zh-CN" w:bidi="zh-CN"/>
              </w:rPr>
              <w:t>1月</w:t>
            </w:r>
          </w:p>
        </w:tc>
        <w:tc>
          <w:tcPr>
            <w:tcW w:w="644" w:type="dxa"/>
            <w:noWrap w:val="0"/>
            <w:tcMar>
              <w:top w:w="0" w:type="dxa"/>
              <w:left w:w="28" w:type="dxa"/>
              <w:bottom w:w="0" w:type="dxa"/>
              <w:right w:w="28" w:type="dxa"/>
            </w:tcMar>
            <w:vAlign w:val="center"/>
          </w:tcPr>
          <w:p w14:paraId="5CAD9CE8">
            <w:pPr>
              <w:widowControl w:val="0"/>
              <w:autoSpaceDE w:val="0"/>
              <w:autoSpaceDN w:val="0"/>
              <w:spacing w:before="63" w:line="257" w:lineRule="exact"/>
              <w:ind w:left="0" w:leftChars="0" w:right="22" w:firstLine="0" w:firstLineChars="0"/>
              <w:jc w:val="both"/>
              <w:rPr>
                <w:rFonts w:hint="default" w:ascii="Times New Roman" w:hAnsi="Times New Roman" w:eastAsia="宋体" w:cs="Times New Roman"/>
                <w:color w:val="auto"/>
                <w:sz w:val="21"/>
                <w:szCs w:val="24"/>
                <w:lang w:val="zh-CN" w:eastAsia="zh-CN" w:bidi="zh-CN"/>
              </w:rPr>
            </w:pPr>
            <w:r>
              <w:rPr>
                <w:rFonts w:hint="default" w:ascii="Times New Roman" w:hAnsi="Times New Roman" w:eastAsia="宋体" w:cs="Times New Roman"/>
                <w:color w:val="auto"/>
                <w:sz w:val="21"/>
                <w:szCs w:val="24"/>
                <w:lang w:val="zh-CN" w:eastAsia="zh-CN" w:bidi="zh-CN"/>
              </w:rPr>
              <w:t>2月</w:t>
            </w:r>
          </w:p>
        </w:tc>
        <w:tc>
          <w:tcPr>
            <w:tcW w:w="643" w:type="dxa"/>
            <w:noWrap w:val="0"/>
            <w:tcMar>
              <w:top w:w="0" w:type="dxa"/>
              <w:left w:w="28" w:type="dxa"/>
              <w:bottom w:w="0" w:type="dxa"/>
              <w:right w:w="28" w:type="dxa"/>
            </w:tcMar>
            <w:vAlign w:val="center"/>
          </w:tcPr>
          <w:p w14:paraId="5F66C611">
            <w:pPr>
              <w:widowControl w:val="0"/>
              <w:autoSpaceDE w:val="0"/>
              <w:autoSpaceDN w:val="0"/>
              <w:spacing w:before="63" w:line="257" w:lineRule="exact"/>
              <w:ind w:left="0" w:leftChars="0" w:right="22" w:firstLine="0" w:firstLineChars="0"/>
              <w:jc w:val="both"/>
              <w:rPr>
                <w:rFonts w:hint="default" w:ascii="Times New Roman" w:hAnsi="Times New Roman" w:eastAsia="宋体" w:cs="Times New Roman"/>
                <w:color w:val="auto"/>
                <w:sz w:val="21"/>
                <w:szCs w:val="24"/>
                <w:lang w:val="zh-CN" w:eastAsia="zh-CN" w:bidi="zh-CN"/>
              </w:rPr>
            </w:pPr>
            <w:r>
              <w:rPr>
                <w:rFonts w:hint="default" w:ascii="Times New Roman" w:hAnsi="Times New Roman" w:eastAsia="宋体" w:cs="Times New Roman"/>
                <w:color w:val="auto"/>
                <w:sz w:val="21"/>
                <w:szCs w:val="24"/>
                <w:lang w:val="zh-CN" w:eastAsia="zh-CN" w:bidi="zh-CN"/>
              </w:rPr>
              <w:t>3月</w:t>
            </w:r>
          </w:p>
        </w:tc>
        <w:tc>
          <w:tcPr>
            <w:tcW w:w="643" w:type="dxa"/>
            <w:noWrap w:val="0"/>
            <w:tcMar>
              <w:top w:w="0" w:type="dxa"/>
              <w:left w:w="28" w:type="dxa"/>
              <w:bottom w:w="0" w:type="dxa"/>
              <w:right w:w="28" w:type="dxa"/>
            </w:tcMar>
            <w:vAlign w:val="center"/>
          </w:tcPr>
          <w:p w14:paraId="62D5D89E">
            <w:pPr>
              <w:widowControl w:val="0"/>
              <w:autoSpaceDE w:val="0"/>
              <w:autoSpaceDN w:val="0"/>
              <w:spacing w:before="63" w:line="257" w:lineRule="exact"/>
              <w:ind w:left="0" w:leftChars="0" w:right="22" w:firstLine="0" w:firstLineChars="0"/>
              <w:jc w:val="both"/>
              <w:rPr>
                <w:rFonts w:hint="default" w:ascii="Times New Roman" w:hAnsi="Times New Roman" w:eastAsia="宋体" w:cs="Times New Roman"/>
                <w:color w:val="auto"/>
                <w:sz w:val="21"/>
                <w:szCs w:val="24"/>
                <w:lang w:val="zh-CN" w:eastAsia="zh-CN" w:bidi="zh-CN"/>
              </w:rPr>
            </w:pPr>
            <w:r>
              <w:rPr>
                <w:rFonts w:hint="default" w:ascii="Times New Roman" w:hAnsi="Times New Roman" w:eastAsia="宋体" w:cs="Times New Roman"/>
                <w:color w:val="auto"/>
                <w:sz w:val="21"/>
                <w:szCs w:val="24"/>
                <w:lang w:val="zh-CN" w:eastAsia="zh-CN" w:bidi="zh-CN"/>
              </w:rPr>
              <w:t>4月</w:t>
            </w:r>
          </w:p>
        </w:tc>
        <w:tc>
          <w:tcPr>
            <w:tcW w:w="644" w:type="dxa"/>
            <w:noWrap w:val="0"/>
            <w:tcMar>
              <w:top w:w="0" w:type="dxa"/>
              <w:left w:w="28" w:type="dxa"/>
              <w:bottom w:w="0" w:type="dxa"/>
              <w:right w:w="28" w:type="dxa"/>
            </w:tcMar>
            <w:vAlign w:val="center"/>
          </w:tcPr>
          <w:p w14:paraId="1A552255">
            <w:pPr>
              <w:widowControl w:val="0"/>
              <w:autoSpaceDE w:val="0"/>
              <w:autoSpaceDN w:val="0"/>
              <w:spacing w:before="63" w:line="257" w:lineRule="exact"/>
              <w:ind w:left="0" w:leftChars="0" w:right="22" w:firstLine="0" w:firstLineChars="0"/>
              <w:jc w:val="both"/>
              <w:rPr>
                <w:rFonts w:hint="default" w:ascii="Times New Roman" w:hAnsi="Times New Roman" w:eastAsia="宋体" w:cs="Times New Roman"/>
                <w:color w:val="auto"/>
                <w:sz w:val="21"/>
                <w:szCs w:val="24"/>
                <w:lang w:val="zh-CN" w:eastAsia="zh-CN" w:bidi="zh-CN"/>
              </w:rPr>
            </w:pPr>
            <w:r>
              <w:rPr>
                <w:rFonts w:hint="default" w:ascii="Times New Roman" w:hAnsi="Times New Roman" w:eastAsia="宋体" w:cs="Times New Roman"/>
                <w:color w:val="auto"/>
                <w:sz w:val="21"/>
                <w:szCs w:val="24"/>
                <w:lang w:val="zh-CN" w:eastAsia="zh-CN" w:bidi="zh-CN"/>
              </w:rPr>
              <w:t>5月</w:t>
            </w:r>
          </w:p>
        </w:tc>
        <w:tc>
          <w:tcPr>
            <w:tcW w:w="643" w:type="dxa"/>
            <w:noWrap w:val="0"/>
            <w:tcMar>
              <w:top w:w="0" w:type="dxa"/>
              <w:left w:w="28" w:type="dxa"/>
              <w:bottom w:w="0" w:type="dxa"/>
              <w:right w:w="28" w:type="dxa"/>
            </w:tcMar>
            <w:vAlign w:val="center"/>
          </w:tcPr>
          <w:p w14:paraId="5568CFA3">
            <w:pPr>
              <w:widowControl w:val="0"/>
              <w:autoSpaceDE w:val="0"/>
              <w:autoSpaceDN w:val="0"/>
              <w:spacing w:before="63" w:line="257" w:lineRule="exact"/>
              <w:ind w:left="0" w:leftChars="0" w:right="22" w:firstLine="0" w:firstLineChars="0"/>
              <w:jc w:val="both"/>
              <w:rPr>
                <w:rFonts w:hint="default" w:ascii="Times New Roman" w:hAnsi="Times New Roman" w:eastAsia="宋体" w:cs="Times New Roman"/>
                <w:color w:val="auto"/>
                <w:sz w:val="21"/>
                <w:szCs w:val="24"/>
                <w:lang w:val="zh-CN" w:eastAsia="zh-CN" w:bidi="zh-CN"/>
              </w:rPr>
            </w:pPr>
            <w:r>
              <w:rPr>
                <w:rFonts w:hint="default" w:ascii="Times New Roman" w:hAnsi="Times New Roman" w:eastAsia="宋体" w:cs="Times New Roman"/>
                <w:color w:val="auto"/>
                <w:sz w:val="21"/>
                <w:szCs w:val="24"/>
                <w:lang w:val="zh-CN" w:eastAsia="zh-CN" w:bidi="zh-CN"/>
              </w:rPr>
              <w:t>6月</w:t>
            </w:r>
          </w:p>
        </w:tc>
        <w:tc>
          <w:tcPr>
            <w:tcW w:w="643" w:type="dxa"/>
            <w:noWrap w:val="0"/>
            <w:tcMar>
              <w:top w:w="0" w:type="dxa"/>
              <w:left w:w="28" w:type="dxa"/>
              <w:bottom w:w="0" w:type="dxa"/>
              <w:right w:w="28" w:type="dxa"/>
            </w:tcMar>
            <w:vAlign w:val="center"/>
          </w:tcPr>
          <w:p w14:paraId="7B56B65A">
            <w:pPr>
              <w:widowControl w:val="0"/>
              <w:autoSpaceDE w:val="0"/>
              <w:autoSpaceDN w:val="0"/>
              <w:spacing w:before="63" w:line="257" w:lineRule="exact"/>
              <w:ind w:left="0" w:leftChars="0" w:right="22" w:firstLine="0" w:firstLineChars="0"/>
              <w:jc w:val="both"/>
              <w:rPr>
                <w:rFonts w:hint="default" w:ascii="Times New Roman" w:hAnsi="Times New Roman" w:eastAsia="宋体" w:cs="Times New Roman"/>
                <w:color w:val="auto"/>
                <w:sz w:val="21"/>
                <w:szCs w:val="24"/>
                <w:lang w:val="zh-CN" w:eastAsia="zh-CN" w:bidi="zh-CN"/>
              </w:rPr>
            </w:pPr>
            <w:r>
              <w:rPr>
                <w:rFonts w:hint="default" w:ascii="Times New Roman" w:hAnsi="Times New Roman" w:eastAsia="宋体" w:cs="Times New Roman"/>
                <w:color w:val="auto"/>
                <w:sz w:val="21"/>
                <w:szCs w:val="24"/>
                <w:lang w:val="zh-CN" w:eastAsia="zh-CN" w:bidi="zh-CN"/>
              </w:rPr>
              <w:t>7月</w:t>
            </w:r>
          </w:p>
        </w:tc>
        <w:tc>
          <w:tcPr>
            <w:tcW w:w="644" w:type="dxa"/>
            <w:noWrap w:val="0"/>
            <w:tcMar>
              <w:top w:w="0" w:type="dxa"/>
              <w:left w:w="28" w:type="dxa"/>
              <w:bottom w:w="0" w:type="dxa"/>
              <w:right w:w="28" w:type="dxa"/>
            </w:tcMar>
            <w:vAlign w:val="center"/>
          </w:tcPr>
          <w:p w14:paraId="0B116851">
            <w:pPr>
              <w:widowControl w:val="0"/>
              <w:autoSpaceDE w:val="0"/>
              <w:autoSpaceDN w:val="0"/>
              <w:spacing w:before="63" w:line="257" w:lineRule="exact"/>
              <w:ind w:left="0" w:leftChars="0" w:right="22" w:firstLine="0" w:firstLineChars="0"/>
              <w:jc w:val="both"/>
              <w:rPr>
                <w:rFonts w:hint="default" w:ascii="Times New Roman" w:hAnsi="Times New Roman" w:eastAsia="宋体" w:cs="Times New Roman"/>
                <w:color w:val="auto"/>
                <w:sz w:val="21"/>
                <w:szCs w:val="24"/>
                <w:lang w:val="zh-CN" w:eastAsia="zh-CN" w:bidi="zh-CN"/>
              </w:rPr>
            </w:pPr>
            <w:r>
              <w:rPr>
                <w:rFonts w:hint="default" w:ascii="Times New Roman" w:hAnsi="Times New Roman" w:eastAsia="宋体" w:cs="Times New Roman"/>
                <w:color w:val="auto"/>
                <w:sz w:val="21"/>
                <w:szCs w:val="24"/>
                <w:lang w:val="zh-CN" w:eastAsia="zh-CN" w:bidi="zh-CN"/>
              </w:rPr>
              <w:t>8月</w:t>
            </w:r>
          </w:p>
        </w:tc>
        <w:tc>
          <w:tcPr>
            <w:tcW w:w="643" w:type="dxa"/>
            <w:noWrap w:val="0"/>
            <w:tcMar>
              <w:top w:w="0" w:type="dxa"/>
              <w:left w:w="28" w:type="dxa"/>
              <w:bottom w:w="0" w:type="dxa"/>
              <w:right w:w="28" w:type="dxa"/>
            </w:tcMar>
            <w:vAlign w:val="center"/>
          </w:tcPr>
          <w:p w14:paraId="0F7FDCDC">
            <w:pPr>
              <w:widowControl w:val="0"/>
              <w:autoSpaceDE w:val="0"/>
              <w:autoSpaceDN w:val="0"/>
              <w:spacing w:before="63" w:line="257" w:lineRule="exact"/>
              <w:ind w:left="0" w:leftChars="0" w:right="22" w:firstLine="0" w:firstLineChars="0"/>
              <w:jc w:val="both"/>
              <w:rPr>
                <w:rFonts w:hint="default" w:ascii="Times New Roman" w:hAnsi="Times New Roman" w:eastAsia="宋体" w:cs="Times New Roman"/>
                <w:color w:val="auto"/>
                <w:sz w:val="21"/>
                <w:szCs w:val="24"/>
                <w:lang w:val="zh-CN" w:eastAsia="zh-CN" w:bidi="zh-CN"/>
              </w:rPr>
            </w:pPr>
            <w:r>
              <w:rPr>
                <w:rFonts w:hint="default" w:ascii="Times New Roman" w:hAnsi="Times New Roman" w:eastAsia="宋体" w:cs="Times New Roman"/>
                <w:color w:val="auto"/>
                <w:sz w:val="21"/>
                <w:szCs w:val="24"/>
                <w:lang w:val="zh-CN" w:eastAsia="zh-CN" w:bidi="zh-CN"/>
              </w:rPr>
              <w:t>9月</w:t>
            </w:r>
          </w:p>
        </w:tc>
        <w:tc>
          <w:tcPr>
            <w:tcW w:w="643" w:type="dxa"/>
            <w:noWrap w:val="0"/>
            <w:tcMar>
              <w:top w:w="0" w:type="dxa"/>
              <w:left w:w="28" w:type="dxa"/>
              <w:bottom w:w="0" w:type="dxa"/>
              <w:right w:w="28" w:type="dxa"/>
            </w:tcMar>
            <w:vAlign w:val="center"/>
          </w:tcPr>
          <w:p w14:paraId="6B96CBFD">
            <w:pPr>
              <w:widowControl w:val="0"/>
              <w:autoSpaceDE w:val="0"/>
              <w:autoSpaceDN w:val="0"/>
              <w:spacing w:before="63" w:line="257" w:lineRule="exact"/>
              <w:ind w:left="0" w:leftChars="0" w:right="22" w:firstLine="0" w:firstLineChars="0"/>
              <w:jc w:val="both"/>
              <w:rPr>
                <w:rFonts w:hint="default" w:ascii="Times New Roman" w:hAnsi="Times New Roman" w:eastAsia="宋体" w:cs="Times New Roman"/>
                <w:color w:val="auto"/>
                <w:sz w:val="21"/>
                <w:szCs w:val="24"/>
                <w:lang w:val="zh-CN" w:eastAsia="zh-CN" w:bidi="zh-CN"/>
              </w:rPr>
            </w:pPr>
            <w:r>
              <w:rPr>
                <w:rFonts w:hint="default" w:ascii="Times New Roman" w:hAnsi="Times New Roman" w:eastAsia="宋体" w:cs="Times New Roman"/>
                <w:color w:val="auto"/>
                <w:sz w:val="21"/>
                <w:szCs w:val="24"/>
                <w:lang w:val="zh-CN" w:eastAsia="zh-CN" w:bidi="zh-CN"/>
              </w:rPr>
              <w:t>10月</w:t>
            </w:r>
          </w:p>
        </w:tc>
        <w:tc>
          <w:tcPr>
            <w:tcW w:w="644" w:type="dxa"/>
            <w:noWrap w:val="0"/>
            <w:tcMar>
              <w:top w:w="0" w:type="dxa"/>
              <w:left w:w="28" w:type="dxa"/>
              <w:bottom w:w="0" w:type="dxa"/>
              <w:right w:w="28" w:type="dxa"/>
            </w:tcMar>
            <w:vAlign w:val="center"/>
          </w:tcPr>
          <w:p w14:paraId="3581EC77">
            <w:pPr>
              <w:widowControl w:val="0"/>
              <w:autoSpaceDE w:val="0"/>
              <w:autoSpaceDN w:val="0"/>
              <w:spacing w:before="63" w:line="257" w:lineRule="exact"/>
              <w:ind w:left="0" w:leftChars="0" w:right="22" w:firstLine="0" w:firstLineChars="0"/>
              <w:jc w:val="both"/>
              <w:rPr>
                <w:rFonts w:hint="default" w:ascii="Times New Roman" w:hAnsi="Times New Roman" w:eastAsia="宋体" w:cs="Times New Roman"/>
                <w:color w:val="auto"/>
                <w:sz w:val="21"/>
                <w:szCs w:val="24"/>
                <w:lang w:val="zh-CN" w:eastAsia="zh-CN" w:bidi="zh-CN"/>
              </w:rPr>
            </w:pPr>
            <w:r>
              <w:rPr>
                <w:rFonts w:hint="default" w:ascii="Times New Roman" w:hAnsi="Times New Roman" w:eastAsia="宋体" w:cs="Times New Roman"/>
                <w:color w:val="auto"/>
                <w:sz w:val="21"/>
                <w:szCs w:val="24"/>
                <w:lang w:val="zh-CN" w:eastAsia="zh-CN" w:bidi="zh-CN"/>
              </w:rPr>
              <w:t>11月</w:t>
            </w:r>
          </w:p>
        </w:tc>
        <w:tc>
          <w:tcPr>
            <w:tcW w:w="643" w:type="dxa"/>
            <w:noWrap w:val="0"/>
            <w:tcMar>
              <w:top w:w="0" w:type="dxa"/>
              <w:left w:w="28" w:type="dxa"/>
              <w:bottom w:w="0" w:type="dxa"/>
              <w:right w:w="28" w:type="dxa"/>
            </w:tcMar>
            <w:vAlign w:val="center"/>
          </w:tcPr>
          <w:p w14:paraId="0B30666A">
            <w:pPr>
              <w:widowControl w:val="0"/>
              <w:autoSpaceDE w:val="0"/>
              <w:autoSpaceDN w:val="0"/>
              <w:spacing w:before="63" w:line="257" w:lineRule="exact"/>
              <w:ind w:left="0" w:leftChars="0" w:right="22" w:firstLine="0" w:firstLineChars="0"/>
              <w:jc w:val="both"/>
              <w:rPr>
                <w:rFonts w:hint="default" w:ascii="Times New Roman" w:hAnsi="Times New Roman" w:eastAsia="宋体" w:cs="Times New Roman"/>
                <w:color w:val="auto"/>
                <w:sz w:val="21"/>
                <w:szCs w:val="24"/>
                <w:lang w:val="zh-CN" w:eastAsia="zh-CN" w:bidi="zh-CN"/>
              </w:rPr>
            </w:pPr>
            <w:r>
              <w:rPr>
                <w:rFonts w:hint="default" w:ascii="Times New Roman" w:hAnsi="Times New Roman" w:eastAsia="宋体" w:cs="Times New Roman"/>
                <w:color w:val="auto"/>
                <w:sz w:val="21"/>
                <w:szCs w:val="24"/>
                <w:lang w:val="zh-CN" w:eastAsia="zh-CN" w:bidi="zh-CN"/>
              </w:rPr>
              <w:t>12月</w:t>
            </w:r>
          </w:p>
        </w:tc>
        <w:tc>
          <w:tcPr>
            <w:tcW w:w="643" w:type="dxa"/>
            <w:noWrap w:val="0"/>
            <w:vAlign w:val="center"/>
          </w:tcPr>
          <w:p w14:paraId="0587BD9D">
            <w:pPr>
              <w:widowControl w:val="0"/>
              <w:autoSpaceDE w:val="0"/>
              <w:autoSpaceDN w:val="0"/>
              <w:spacing w:before="63" w:line="257" w:lineRule="exact"/>
              <w:ind w:left="0" w:leftChars="0" w:right="22" w:firstLine="0" w:firstLineChars="0"/>
              <w:jc w:val="both"/>
              <w:rPr>
                <w:rFonts w:hint="default" w:ascii="Times New Roman" w:hAnsi="Times New Roman" w:eastAsia="宋体" w:cs="Times New Roman"/>
                <w:color w:val="auto"/>
                <w:sz w:val="21"/>
                <w:szCs w:val="24"/>
                <w:lang w:val="zh-CN" w:eastAsia="zh-CN" w:bidi="zh-CN"/>
              </w:rPr>
            </w:pPr>
            <w:r>
              <w:rPr>
                <w:rFonts w:hint="default" w:ascii="Times New Roman" w:hAnsi="Times New Roman" w:eastAsia="宋体" w:cs="Times New Roman"/>
                <w:color w:val="auto"/>
                <w:sz w:val="21"/>
                <w:szCs w:val="24"/>
                <w:lang w:val="zh-CN" w:eastAsia="zh-CN" w:bidi="zh-CN"/>
              </w:rPr>
              <w:t>年均</w:t>
            </w:r>
          </w:p>
        </w:tc>
      </w:tr>
      <w:tr w14:paraId="360EA5D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1" w:type="dxa"/>
            <w:bottom w:w="0" w:type="dxa"/>
            <w:right w:w="11" w:type="dxa"/>
          </w:tblCellMar>
        </w:tblPrEx>
        <w:trPr>
          <w:jc w:val="center"/>
        </w:trPr>
        <w:tc>
          <w:tcPr>
            <w:tcW w:w="624" w:type="dxa"/>
            <w:noWrap w:val="0"/>
            <w:tcMar>
              <w:top w:w="0" w:type="dxa"/>
              <w:left w:w="28" w:type="dxa"/>
              <w:bottom w:w="0" w:type="dxa"/>
              <w:right w:w="28" w:type="dxa"/>
            </w:tcMar>
            <w:vAlign w:val="center"/>
          </w:tcPr>
          <w:p w14:paraId="2FFD9F17">
            <w:pPr>
              <w:widowControl w:val="0"/>
              <w:autoSpaceDE w:val="0"/>
              <w:autoSpaceDN w:val="0"/>
              <w:spacing w:before="63" w:line="257" w:lineRule="exact"/>
              <w:ind w:left="0" w:leftChars="0" w:right="22" w:firstLine="0" w:firstLineChars="0"/>
              <w:jc w:val="both"/>
              <w:rPr>
                <w:rFonts w:hint="default" w:ascii="Times New Roman" w:hAnsi="Times New Roman" w:eastAsia="宋体" w:cs="Times New Roman"/>
                <w:color w:val="auto"/>
                <w:sz w:val="21"/>
                <w:szCs w:val="24"/>
                <w:lang w:val="zh-CN" w:eastAsia="zh-CN" w:bidi="zh-CN"/>
              </w:rPr>
            </w:pPr>
            <w:r>
              <w:rPr>
                <w:rFonts w:hint="default" w:ascii="Times New Roman" w:hAnsi="Times New Roman" w:eastAsia="宋体" w:cs="Times New Roman"/>
                <w:color w:val="auto"/>
                <w:sz w:val="21"/>
                <w:szCs w:val="24"/>
                <w:lang w:val="zh-CN" w:eastAsia="zh-CN" w:bidi="zh-CN"/>
              </w:rPr>
              <w:t>风速</w:t>
            </w:r>
          </w:p>
        </w:tc>
        <w:tc>
          <w:tcPr>
            <w:tcW w:w="660" w:type="dxa"/>
            <w:noWrap w:val="0"/>
            <w:tcMar>
              <w:top w:w="0" w:type="dxa"/>
              <w:left w:w="28" w:type="dxa"/>
              <w:bottom w:w="0" w:type="dxa"/>
              <w:right w:w="28" w:type="dxa"/>
            </w:tcMar>
            <w:vAlign w:val="center"/>
          </w:tcPr>
          <w:p w14:paraId="03D846DA">
            <w:pPr>
              <w:widowControl w:val="0"/>
              <w:autoSpaceDE w:val="0"/>
              <w:autoSpaceDN w:val="0"/>
              <w:spacing w:before="63" w:line="257" w:lineRule="exact"/>
              <w:ind w:left="0" w:leftChars="0" w:right="22" w:firstLine="0" w:firstLineChars="0"/>
              <w:jc w:val="both"/>
              <w:rPr>
                <w:rFonts w:hint="default" w:ascii="Times New Roman" w:hAnsi="Times New Roman" w:eastAsia="宋体" w:cs="Times New Roman"/>
                <w:color w:val="auto"/>
                <w:sz w:val="21"/>
                <w:szCs w:val="24"/>
                <w:lang w:val="zh-CN" w:eastAsia="zh-CN" w:bidi="zh-CN"/>
              </w:rPr>
            </w:pPr>
            <w:r>
              <w:rPr>
                <w:rFonts w:hint="default" w:ascii="Times New Roman" w:hAnsi="Times New Roman" w:eastAsia="宋体" w:cs="Times New Roman"/>
                <w:color w:val="auto"/>
                <w:sz w:val="21"/>
                <w:szCs w:val="24"/>
                <w:lang w:val="zh-CN" w:eastAsia="zh-CN" w:bidi="zh-CN"/>
              </w:rPr>
              <w:t>-6.74</w:t>
            </w:r>
          </w:p>
        </w:tc>
        <w:tc>
          <w:tcPr>
            <w:tcW w:w="644" w:type="dxa"/>
            <w:noWrap w:val="0"/>
            <w:tcMar>
              <w:top w:w="0" w:type="dxa"/>
              <w:left w:w="28" w:type="dxa"/>
              <w:bottom w:w="0" w:type="dxa"/>
              <w:right w:w="28" w:type="dxa"/>
            </w:tcMar>
            <w:vAlign w:val="center"/>
          </w:tcPr>
          <w:p w14:paraId="12E4FDB8">
            <w:pPr>
              <w:widowControl w:val="0"/>
              <w:autoSpaceDE w:val="0"/>
              <w:autoSpaceDN w:val="0"/>
              <w:spacing w:before="63" w:line="257" w:lineRule="exact"/>
              <w:ind w:left="0" w:leftChars="0" w:right="22" w:firstLine="0" w:firstLineChars="0"/>
              <w:jc w:val="both"/>
              <w:rPr>
                <w:rFonts w:hint="default" w:ascii="Times New Roman" w:hAnsi="Times New Roman" w:eastAsia="宋体" w:cs="Times New Roman"/>
                <w:color w:val="auto"/>
                <w:sz w:val="21"/>
                <w:szCs w:val="24"/>
                <w:lang w:val="zh-CN" w:eastAsia="zh-CN" w:bidi="zh-CN"/>
              </w:rPr>
            </w:pPr>
            <w:r>
              <w:rPr>
                <w:rFonts w:hint="default" w:ascii="Times New Roman" w:hAnsi="Times New Roman" w:eastAsia="宋体" w:cs="Times New Roman"/>
                <w:color w:val="auto"/>
                <w:sz w:val="21"/>
                <w:szCs w:val="24"/>
                <w:lang w:val="zh-CN" w:eastAsia="zh-CN" w:bidi="zh-CN"/>
              </w:rPr>
              <w:t>-0.25</w:t>
            </w:r>
          </w:p>
        </w:tc>
        <w:tc>
          <w:tcPr>
            <w:tcW w:w="643" w:type="dxa"/>
            <w:noWrap w:val="0"/>
            <w:tcMar>
              <w:top w:w="0" w:type="dxa"/>
              <w:left w:w="28" w:type="dxa"/>
              <w:bottom w:w="0" w:type="dxa"/>
              <w:right w:w="28" w:type="dxa"/>
            </w:tcMar>
            <w:vAlign w:val="center"/>
          </w:tcPr>
          <w:p w14:paraId="2E6CD18B">
            <w:pPr>
              <w:widowControl w:val="0"/>
              <w:autoSpaceDE w:val="0"/>
              <w:autoSpaceDN w:val="0"/>
              <w:spacing w:before="63" w:line="257" w:lineRule="exact"/>
              <w:ind w:left="0" w:leftChars="0" w:right="22" w:firstLine="0" w:firstLineChars="0"/>
              <w:jc w:val="both"/>
              <w:rPr>
                <w:rFonts w:hint="default" w:ascii="Times New Roman" w:hAnsi="Times New Roman" w:eastAsia="宋体" w:cs="Times New Roman"/>
                <w:color w:val="auto"/>
                <w:sz w:val="21"/>
                <w:szCs w:val="24"/>
                <w:lang w:val="zh-CN" w:eastAsia="zh-CN" w:bidi="zh-CN"/>
              </w:rPr>
            </w:pPr>
            <w:r>
              <w:rPr>
                <w:rFonts w:hint="default" w:ascii="Times New Roman" w:hAnsi="Times New Roman" w:eastAsia="宋体" w:cs="Times New Roman"/>
                <w:color w:val="auto"/>
                <w:sz w:val="21"/>
                <w:szCs w:val="24"/>
                <w:lang w:val="zh-CN" w:eastAsia="zh-CN" w:bidi="zh-CN"/>
              </w:rPr>
              <w:t>8.09</w:t>
            </w:r>
          </w:p>
        </w:tc>
        <w:tc>
          <w:tcPr>
            <w:tcW w:w="643" w:type="dxa"/>
            <w:noWrap w:val="0"/>
            <w:tcMar>
              <w:top w:w="0" w:type="dxa"/>
              <w:left w:w="28" w:type="dxa"/>
              <w:bottom w:w="0" w:type="dxa"/>
              <w:right w:w="28" w:type="dxa"/>
            </w:tcMar>
            <w:vAlign w:val="center"/>
          </w:tcPr>
          <w:p w14:paraId="46B6E631">
            <w:pPr>
              <w:widowControl w:val="0"/>
              <w:autoSpaceDE w:val="0"/>
              <w:autoSpaceDN w:val="0"/>
              <w:spacing w:before="63" w:line="257" w:lineRule="exact"/>
              <w:ind w:left="0" w:leftChars="0" w:right="22" w:firstLine="0" w:firstLineChars="0"/>
              <w:jc w:val="both"/>
              <w:rPr>
                <w:rFonts w:hint="default" w:ascii="Times New Roman" w:hAnsi="Times New Roman" w:eastAsia="宋体" w:cs="Times New Roman"/>
                <w:color w:val="auto"/>
                <w:sz w:val="21"/>
                <w:szCs w:val="24"/>
                <w:lang w:val="zh-CN" w:eastAsia="zh-CN" w:bidi="zh-CN"/>
              </w:rPr>
            </w:pPr>
            <w:r>
              <w:rPr>
                <w:rFonts w:hint="default" w:ascii="Times New Roman" w:hAnsi="Times New Roman" w:eastAsia="宋体" w:cs="Times New Roman"/>
                <w:color w:val="auto"/>
                <w:sz w:val="21"/>
                <w:szCs w:val="24"/>
                <w:lang w:val="zh-CN" w:eastAsia="zh-CN" w:bidi="zh-CN"/>
              </w:rPr>
              <w:t>18.20</w:t>
            </w:r>
          </w:p>
        </w:tc>
        <w:tc>
          <w:tcPr>
            <w:tcW w:w="644" w:type="dxa"/>
            <w:noWrap w:val="0"/>
            <w:tcMar>
              <w:top w:w="0" w:type="dxa"/>
              <w:left w:w="28" w:type="dxa"/>
              <w:bottom w:w="0" w:type="dxa"/>
              <w:right w:w="28" w:type="dxa"/>
            </w:tcMar>
            <w:vAlign w:val="center"/>
          </w:tcPr>
          <w:p w14:paraId="6CA3AFE7">
            <w:pPr>
              <w:widowControl w:val="0"/>
              <w:autoSpaceDE w:val="0"/>
              <w:autoSpaceDN w:val="0"/>
              <w:spacing w:before="63" w:line="257" w:lineRule="exact"/>
              <w:ind w:left="0" w:leftChars="0" w:right="22" w:firstLine="0" w:firstLineChars="0"/>
              <w:jc w:val="both"/>
              <w:rPr>
                <w:rFonts w:hint="default" w:ascii="Times New Roman" w:hAnsi="Times New Roman" w:eastAsia="宋体" w:cs="Times New Roman"/>
                <w:color w:val="auto"/>
                <w:sz w:val="21"/>
                <w:szCs w:val="24"/>
                <w:lang w:val="zh-CN" w:eastAsia="zh-CN" w:bidi="zh-CN"/>
              </w:rPr>
            </w:pPr>
            <w:r>
              <w:rPr>
                <w:rFonts w:hint="default" w:ascii="Times New Roman" w:hAnsi="Times New Roman" w:eastAsia="宋体" w:cs="Times New Roman"/>
                <w:color w:val="auto"/>
                <w:sz w:val="21"/>
                <w:szCs w:val="24"/>
                <w:lang w:val="zh-CN" w:eastAsia="zh-CN" w:bidi="zh-CN"/>
              </w:rPr>
              <w:t>23.18</w:t>
            </w:r>
          </w:p>
        </w:tc>
        <w:tc>
          <w:tcPr>
            <w:tcW w:w="643" w:type="dxa"/>
            <w:noWrap w:val="0"/>
            <w:tcMar>
              <w:top w:w="0" w:type="dxa"/>
              <w:left w:w="28" w:type="dxa"/>
              <w:bottom w:w="0" w:type="dxa"/>
              <w:right w:w="28" w:type="dxa"/>
            </w:tcMar>
            <w:vAlign w:val="center"/>
          </w:tcPr>
          <w:p w14:paraId="409D04AA">
            <w:pPr>
              <w:widowControl w:val="0"/>
              <w:autoSpaceDE w:val="0"/>
              <w:autoSpaceDN w:val="0"/>
              <w:spacing w:before="63" w:line="257" w:lineRule="exact"/>
              <w:ind w:left="0" w:leftChars="0" w:right="22" w:firstLine="0" w:firstLineChars="0"/>
              <w:jc w:val="both"/>
              <w:rPr>
                <w:rFonts w:hint="default" w:ascii="Times New Roman" w:hAnsi="Times New Roman" w:eastAsia="宋体" w:cs="Times New Roman"/>
                <w:color w:val="auto"/>
                <w:sz w:val="21"/>
                <w:szCs w:val="24"/>
                <w:lang w:val="zh-CN" w:eastAsia="zh-CN" w:bidi="zh-CN"/>
              </w:rPr>
            </w:pPr>
            <w:r>
              <w:rPr>
                <w:rFonts w:hint="default" w:ascii="Times New Roman" w:hAnsi="Times New Roman" w:eastAsia="宋体" w:cs="Times New Roman"/>
                <w:color w:val="auto"/>
                <w:sz w:val="21"/>
                <w:szCs w:val="24"/>
                <w:lang w:val="zh-CN" w:eastAsia="zh-CN" w:bidi="zh-CN"/>
              </w:rPr>
              <w:t>23.61</w:t>
            </w:r>
          </w:p>
        </w:tc>
        <w:tc>
          <w:tcPr>
            <w:tcW w:w="643" w:type="dxa"/>
            <w:noWrap w:val="0"/>
            <w:tcMar>
              <w:top w:w="0" w:type="dxa"/>
              <w:left w:w="28" w:type="dxa"/>
              <w:bottom w:w="0" w:type="dxa"/>
              <w:right w:w="28" w:type="dxa"/>
            </w:tcMar>
            <w:vAlign w:val="center"/>
          </w:tcPr>
          <w:p w14:paraId="5E72E637">
            <w:pPr>
              <w:widowControl w:val="0"/>
              <w:autoSpaceDE w:val="0"/>
              <w:autoSpaceDN w:val="0"/>
              <w:spacing w:before="63" w:line="257" w:lineRule="exact"/>
              <w:ind w:left="0" w:leftChars="0" w:right="22" w:firstLine="0" w:firstLineChars="0"/>
              <w:jc w:val="both"/>
              <w:rPr>
                <w:rFonts w:hint="default" w:ascii="Times New Roman" w:hAnsi="Times New Roman" w:eastAsia="宋体" w:cs="Times New Roman"/>
                <w:color w:val="auto"/>
                <w:sz w:val="21"/>
                <w:szCs w:val="24"/>
                <w:lang w:val="zh-CN" w:eastAsia="zh-CN" w:bidi="zh-CN"/>
              </w:rPr>
            </w:pPr>
            <w:r>
              <w:rPr>
                <w:rFonts w:hint="default" w:ascii="Times New Roman" w:hAnsi="Times New Roman" w:eastAsia="宋体" w:cs="Times New Roman"/>
                <w:color w:val="auto"/>
                <w:sz w:val="21"/>
                <w:szCs w:val="24"/>
                <w:lang w:val="zh-CN" w:eastAsia="zh-CN" w:bidi="zh-CN"/>
              </w:rPr>
              <w:t>24.51</w:t>
            </w:r>
          </w:p>
        </w:tc>
        <w:tc>
          <w:tcPr>
            <w:tcW w:w="644" w:type="dxa"/>
            <w:noWrap w:val="0"/>
            <w:tcMar>
              <w:top w:w="0" w:type="dxa"/>
              <w:left w:w="28" w:type="dxa"/>
              <w:bottom w:w="0" w:type="dxa"/>
              <w:right w:w="28" w:type="dxa"/>
            </w:tcMar>
            <w:vAlign w:val="center"/>
          </w:tcPr>
          <w:p w14:paraId="18F7D501">
            <w:pPr>
              <w:widowControl w:val="0"/>
              <w:autoSpaceDE w:val="0"/>
              <w:autoSpaceDN w:val="0"/>
              <w:spacing w:before="63" w:line="257" w:lineRule="exact"/>
              <w:ind w:left="0" w:leftChars="0" w:right="22" w:firstLine="0" w:firstLineChars="0"/>
              <w:jc w:val="both"/>
              <w:rPr>
                <w:rFonts w:hint="default" w:ascii="Times New Roman" w:hAnsi="Times New Roman" w:eastAsia="宋体" w:cs="Times New Roman"/>
                <w:color w:val="auto"/>
                <w:sz w:val="21"/>
                <w:szCs w:val="24"/>
                <w:lang w:val="zh-CN" w:eastAsia="zh-CN" w:bidi="zh-CN"/>
              </w:rPr>
            </w:pPr>
            <w:r>
              <w:rPr>
                <w:rFonts w:hint="default" w:ascii="Times New Roman" w:hAnsi="Times New Roman" w:eastAsia="宋体" w:cs="Times New Roman"/>
                <w:color w:val="auto"/>
                <w:sz w:val="21"/>
                <w:szCs w:val="24"/>
                <w:lang w:val="zh-CN" w:eastAsia="zh-CN" w:bidi="zh-CN"/>
              </w:rPr>
              <w:t>24.15</w:t>
            </w:r>
          </w:p>
        </w:tc>
        <w:tc>
          <w:tcPr>
            <w:tcW w:w="643" w:type="dxa"/>
            <w:noWrap w:val="0"/>
            <w:tcMar>
              <w:top w:w="0" w:type="dxa"/>
              <w:left w:w="28" w:type="dxa"/>
              <w:bottom w:w="0" w:type="dxa"/>
              <w:right w:w="28" w:type="dxa"/>
            </w:tcMar>
            <w:vAlign w:val="center"/>
          </w:tcPr>
          <w:p w14:paraId="78D287A0">
            <w:pPr>
              <w:widowControl w:val="0"/>
              <w:autoSpaceDE w:val="0"/>
              <w:autoSpaceDN w:val="0"/>
              <w:spacing w:before="63" w:line="257" w:lineRule="exact"/>
              <w:ind w:left="0" w:leftChars="0" w:right="22" w:firstLine="0" w:firstLineChars="0"/>
              <w:jc w:val="both"/>
              <w:rPr>
                <w:rFonts w:hint="default" w:ascii="Times New Roman" w:hAnsi="Times New Roman" w:eastAsia="宋体" w:cs="Times New Roman"/>
                <w:color w:val="auto"/>
                <w:sz w:val="21"/>
                <w:szCs w:val="24"/>
                <w:lang w:val="zh-CN" w:eastAsia="zh-CN" w:bidi="zh-CN"/>
              </w:rPr>
            </w:pPr>
            <w:r>
              <w:rPr>
                <w:rFonts w:hint="default" w:ascii="Times New Roman" w:hAnsi="Times New Roman" w:eastAsia="宋体" w:cs="Times New Roman"/>
                <w:color w:val="auto"/>
                <w:sz w:val="21"/>
                <w:szCs w:val="24"/>
                <w:lang w:val="zh-CN" w:eastAsia="zh-CN" w:bidi="zh-CN"/>
              </w:rPr>
              <w:t>19.65</w:t>
            </w:r>
          </w:p>
        </w:tc>
        <w:tc>
          <w:tcPr>
            <w:tcW w:w="643" w:type="dxa"/>
            <w:noWrap w:val="0"/>
            <w:tcMar>
              <w:top w:w="0" w:type="dxa"/>
              <w:left w:w="28" w:type="dxa"/>
              <w:bottom w:w="0" w:type="dxa"/>
              <w:right w:w="28" w:type="dxa"/>
            </w:tcMar>
            <w:vAlign w:val="center"/>
          </w:tcPr>
          <w:p w14:paraId="14C90DB6">
            <w:pPr>
              <w:widowControl w:val="0"/>
              <w:autoSpaceDE w:val="0"/>
              <w:autoSpaceDN w:val="0"/>
              <w:spacing w:before="63" w:line="257" w:lineRule="exact"/>
              <w:ind w:left="0" w:leftChars="0" w:right="22" w:firstLine="0" w:firstLineChars="0"/>
              <w:jc w:val="both"/>
              <w:rPr>
                <w:rFonts w:hint="default" w:ascii="Times New Roman" w:hAnsi="Times New Roman" w:eastAsia="宋体" w:cs="Times New Roman"/>
                <w:color w:val="auto"/>
                <w:sz w:val="21"/>
                <w:szCs w:val="24"/>
                <w:lang w:val="zh-CN" w:eastAsia="zh-CN" w:bidi="zh-CN"/>
              </w:rPr>
            </w:pPr>
            <w:r>
              <w:rPr>
                <w:rFonts w:hint="default" w:ascii="Times New Roman" w:hAnsi="Times New Roman" w:eastAsia="宋体" w:cs="Times New Roman"/>
                <w:color w:val="auto"/>
                <w:sz w:val="21"/>
                <w:szCs w:val="24"/>
                <w:lang w:val="zh-CN" w:eastAsia="zh-CN" w:bidi="zh-CN"/>
              </w:rPr>
              <w:t>9.55</w:t>
            </w:r>
          </w:p>
        </w:tc>
        <w:tc>
          <w:tcPr>
            <w:tcW w:w="644" w:type="dxa"/>
            <w:noWrap w:val="0"/>
            <w:tcMar>
              <w:top w:w="0" w:type="dxa"/>
              <w:left w:w="28" w:type="dxa"/>
              <w:bottom w:w="0" w:type="dxa"/>
              <w:right w:w="28" w:type="dxa"/>
            </w:tcMar>
            <w:vAlign w:val="center"/>
          </w:tcPr>
          <w:p w14:paraId="66AA4615">
            <w:pPr>
              <w:widowControl w:val="0"/>
              <w:autoSpaceDE w:val="0"/>
              <w:autoSpaceDN w:val="0"/>
              <w:spacing w:before="63" w:line="257" w:lineRule="exact"/>
              <w:ind w:left="0" w:leftChars="0" w:right="22" w:firstLine="0" w:firstLineChars="0"/>
              <w:jc w:val="both"/>
              <w:rPr>
                <w:rFonts w:hint="default" w:ascii="Times New Roman" w:hAnsi="Times New Roman" w:eastAsia="宋体" w:cs="Times New Roman"/>
                <w:color w:val="auto"/>
                <w:sz w:val="21"/>
                <w:szCs w:val="24"/>
                <w:lang w:val="zh-CN" w:eastAsia="zh-CN" w:bidi="zh-CN"/>
              </w:rPr>
            </w:pPr>
            <w:r>
              <w:rPr>
                <w:rFonts w:hint="default" w:ascii="Times New Roman" w:hAnsi="Times New Roman" w:eastAsia="宋体" w:cs="Times New Roman"/>
                <w:color w:val="auto"/>
                <w:sz w:val="21"/>
                <w:szCs w:val="24"/>
                <w:lang w:val="zh-CN" w:eastAsia="zh-CN" w:bidi="zh-CN"/>
              </w:rPr>
              <w:t>0.59</w:t>
            </w:r>
          </w:p>
        </w:tc>
        <w:tc>
          <w:tcPr>
            <w:tcW w:w="643" w:type="dxa"/>
            <w:noWrap w:val="0"/>
            <w:tcMar>
              <w:top w:w="0" w:type="dxa"/>
              <w:left w:w="28" w:type="dxa"/>
              <w:bottom w:w="0" w:type="dxa"/>
              <w:right w:w="28" w:type="dxa"/>
            </w:tcMar>
            <w:vAlign w:val="center"/>
          </w:tcPr>
          <w:p w14:paraId="73F6AE34">
            <w:pPr>
              <w:widowControl w:val="0"/>
              <w:autoSpaceDE w:val="0"/>
              <w:autoSpaceDN w:val="0"/>
              <w:spacing w:before="63" w:line="257" w:lineRule="exact"/>
              <w:ind w:left="0" w:leftChars="0" w:right="22" w:firstLine="0" w:firstLineChars="0"/>
              <w:jc w:val="both"/>
              <w:rPr>
                <w:rFonts w:hint="default" w:ascii="Times New Roman" w:hAnsi="Times New Roman" w:eastAsia="宋体" w:cs="Times New Roman"/>
                <w:color w:val="auto"/>
                <w:sz w:val="21"/>
                <w:szCs w:val="24"/>
                <w:lang w:val="zh-CN" w:eastAsia="zh-CN" w:bidi="zh-CN"/>
              </w:rPr>
            </w:pPr>
            <w:r>
              <w:rPr>
                <w:rFonts w:hint="default" w:ascii="Times New Roman" w:hAnsi="Times New Roman" w:eastAsia="宋体" w:cs="Times New Roman"/>
                <w:color w:val="auto"/>
                <w:sz w:val="21"/>
                <w:szCs w:val="24"/>
                <w:lang w:val="zh-CN" w:eastAsia="zh-CN" w:bidi="zh-CN"/>
              </w:rPr>
              <w:t>-6.76</w:t>
            </w:r>
          </w:p>
        </w:tc>
        <w:tc>
          <w:tcPr>
            <w:tcW w:w="643" w:type="dxa"/>
            <w:noWrap w:val="0"/>
            <w:vAlign w:val="center"/>
          </w:tcPr>
          <w:p w14:paraId="006A46DB">
            <w:pPr>
              <w:widowControl w:val="0"/>
              <w:autoSpaceDE w:val="0"/>
              <w:autoSpaceDN w:val="0"/>
              <w:spacing w:before="63" w:line="257" w:lineRule="exact"/>
              <w:ind w:left="0" w:leftChars="0" w:right="22" w:firstLine="0" w:firstLineChars="0"/>
              <w:jc w:val="both"/>
              <w:rPr>
                <w:rFonts w:hint="default" w:ascii="Times New Roman" w:hAnsi="Times New Roman" w:eastAsia="宋体" w:cs="Times New Roman"/>
                <w:color w:val="auto"/>
                <w:sz w:val="21"/>
                <w:szCs w:val="24"/>
                <w:lang w:val="zh-CN" w:eastAsia="zh-CN" w:bidi="zh-CN"/>
              </w:rPr>
            </w:pPr>
            <w:r>
              <w:rPr>
                <w:rFonts w:hint="default" w:ascii="Times New Roman" w:hAnsi="Times New Roman" w:eastAsia="宋体" w:cs="Times New Roman"/>
                <w:color w:val="auto"/>
                <w:sz w:val="21"/>
                <w:szCs w:val="24"/>
                <w:lang w:val="zh-CN" w:eastAsia="zh-CN" w:bidi="zh-CN"/>
              </w:rPr>
              <w:t>11.50</w:t>
            </w:r>
          </w:p>
        </w:tc>
      </w:tr>
    </w:tbl>
    <w:p w14:paraId="2DE5D705">
      <w:pPr>
        <w:widowControl/>
        <w:autoSpaceDE/>
        <w:autoSpaceDN/>
        <w:spacing w:line="360" w:lineRule="auto"/>
        <w:ind w:left="0" w:leftChars="0" w:firstLine="0" w:firstLineChars="0"/>
        <w:jc w:val="center"/>
        <w:rPr>
          <w:rFonts w:hint="default" w:ascii="Times New Roman" w:hAnsi="Times New Roman" w:eastAsia="宋体" w:cs="Times New Roman"/>
          <w:b/>
          <w:color w:val="auto"/>
          <w:sz w:val="24"/>
          <w:szCs w:val="28"/>
          <w:lang w:val="en-US" w:eastAsia="zh-CN" w:bidi="ar-SA"/>
        </w:rPr>
      </w:pPr>
    </w:p>
    <w:p w14:paraId="57D31341">
      <w:pPr>
        <w:widowControl/>
        <w:autoSpaceDE/>
        <w:autoSpaceDN/>
        <w:spacing w:line="360" w:lineRule="auto"/>
        <w:ind w:left="0" w:leftChars="0" w:firstLine="0" w:firstLineChars="0"/>
        <w:jc w:val="center"/>
        <w:rPr>
          <w:rFonts w:hint="default" w:ascii="Times New Roman" w:hAnsi="Times New Roman" w:eastAsia="宋体" w:cs="Times New Roman"/>
          <w:b/>
          <w:color w:val="auto"/>
          <w:sz w:val="24"/>
          <w:szCs w:val="28"/>
          <w:lang w:val="en-US" w:eastAsia="zh-CN" w:bidi="ar-SA"/>
        </w:rPr>
      </w:pPr>
      <w:r>
        <w:rPr>
          <w:rFonts w:hint="default" w:ascii="Times New Roman" w:hAnsi="Times New Roman" w:eastAsia="宋体" w:cs="Times New Roman"/>
          <w:b/>
          <w:color w:val="auto"/>
          <w:sz w:val="24"/>
          <w:szCs w:val="28"/>
          <w:lang w:val="en-US" w:eastAsia="zh-CN" w:bidi="ar-SA"/>
        </w:rPr>
        <w:drawing>
          <wp:inline distT="0" distB="0" distL="114300" distR="114300">
            <wp:extent cx="4760595" cy="1966595"/>
            <wp:effectExtent l="4445" t="4445" r="16510" b="10160"/>
            <wp:docPr id="19" name="图表 1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4C7531E5">
      <w:pPr>
        <w:keepNext w:val="0"/>
        <w:keepLines w:val="0"/>
        <w:pageBreakBefore w:val="0"/>
        <w:widowControl w:val="0"/>
        <w:kinsoku/>
        <w:wordWrap/>
        <w:overflowPunct/>
        <w:topLinePunct w:val="0"/>
        <w:autoSpaceDE/>
        <w:autoSpaceDN/>
        <w:bidi w:val="0"/>
        <w:adjustRightInd/>
        <w:snapToGrid/>
        <w:spacing w:after="0" w:line="360" w:lineRule="auto"/>
        <w:ind w:firstLine="482" w:firstLineChars="200"/>
        <w:jc w:val="center"/>
        <w:textAlignment w:val="auto"/>
        <w:rPr>
          <w:rFonts w:hint="default" w:ascii="Times New Roman" w:hAnsi="Times New Roman" w:eastAsia="宋体" w:cs="Times New Roman"/>
          <w:b/>
          <w:color w:val="auto"/>
          <w:sz w:val="24"/>
          <w:szCs w:val="24"/>
          <w:lang w:val="zh-CN" w:eastAsia="zh-CN" w:bidi="zh-CN"/>
        </w:rPr>
      </w:pPr>
      <w:r>
        <w:rPr>
          <w:rFonts w:hint="default" w:ascii="Times New Roman" w:hAnsi="Times New Roman" w:eastAsia="宋体" w:cs="Times New Roman"/>
          <w:b/>
          <w:color w:val="auto"/>
          <w:sz w:val="24"/>
          <w:szCs w:val="24"/>
          <w:lang w:val="zh-CN" w:eastAsia="zh-CN" w:bidi="zh-CN"/>
        </w:rPr>
        <w:t>图5.2-5</w:t>
      </w:r>
      <w:r>
        <w:rPr>
          <w:rFonts w:hint="eastAsia" w:ascii="Times New Roman" w:hAnsi="Times New Roman" w:eastAsia="宋体" w:cs="Times New Roman"/>
          <w:b/>
          <w:color w:val="auto"/>
          <w:sz w:val="24"/>
          <w:szCs w:val="24"/>
          <w:lang w:val="en-US" w:eastAsia="zh-CN" w:bidi="zh-CN"/>
        </w:rPr>
        <w:t xml:space="preserve">   </w:t>
      </w:r>
      <w:r>
        <w:rPr>
          <w:rFonts w:hint="default" w:ascii="Times New Roman" w:hAnsi="Times New Roman" w:eastAsia="宋体" w:cs="Times New Roman"/>
          <w:b/>
          <w:color w:val="auto"/>
          <w:sz w:val="24"/>
          <w:szCs w:val="24"/>
          <w:lang w:val="zh-CN" w:eastAsia="zh-CN" w:bidi="zh-CN"/>
        </w:rPr>
        <w:t>202</w:t>
      </w:r>
      <w:r>
        <w:rPr>
          <w:rFonts w:hint="eastAsia" w:ascii="Times New Roman" w:hAnsi="Times New Roman" w:eastAsia="宋体" w:cs="Times New Roman"/>
          <w:b/>
          <w:color w:val="auto"/>
          <w:sz w:val="24"/>
          <w:szCs w:val="24"/>
          <w:lang w:val="en-US" w:eastAsia="zh-CN" w:bidi="zh-CN"/>
        </w:rPr>
        <w:t>4</w:t>
      </w:r>
      <w:r>
        <w:rPr>
          <w:rFonts w:hint="default" w:ascii="Times New Roman" w:hAnsi="Times New Roman" w:eastAsia="宋体" w:cs="Times New Roman"/>
          <w:b/>
          <w:color w:val="auto"/>
          <w:sz w:val="24"/>
          <w:szCs w:val="24"/>
          <w:lang w:val="zh-CN" w:eastAsia="zh-CN" w:bidi="zh-CN"/>
        </w:rPr>
        <w:t>年年均温度月变化曲线图</w:t>
      </w:r>
    </w:p>
    <w:p w14:paraId="374A3A6E">
      <w:pPr>
        <w:pStyle w:val="5"/>
        <w:rPr>
          <w:rFonts w:ascii="Times New Roman" w:hAnsi="Times New Roman"/>
          <w:color w:val="000000"/>
          <w:lang w:val="en-US"/>
        </w:rPr>
      </w:pPr>
      <w:r>
        <w:rPr>
          <w:rFonts w:hint="eastAsia" w:ascii="Times New Roman" w:hAnsi="Times New Roman"/>
          <w:color w:val="000000"/>
          <w:lang w:val="en-US" w:eastAsia="zh-CN"/>
        </w:rPr>
        <w:t>5.2.1.2</w:t>
      </w:r>
      <w:r>
        <w:rPr>
          <w:rFonts w:hint="eastAsia" w:ascii="Times New Roman" w:hAnsi="Times New Roman"/>
          <w:color w:val="000000"/>
          <w:lang w:val="en-US"/>
        </w:rPr>
        <w:t>大气环境影响预测</w:t>
      </w:r>
    </w:p>
    <w:p w14:paraId="35B06D1F">
      <w:pPr>
        <w:widowControl/>
        <w:tabs>
          <w:tab w:val="left" w:leader="dot" w:pos="8770"/>
        </w:tabs>
        <w:spacing w:line="360" w:lineRule="auto"/>
        <w:ind w:firstLine="480" w:firstLineChars="200"/>
        <w:rPr>
          <w:rFonts w:hint="eastAsia" w:ascii="宋体" w:hAnsi="宋体" w:cs="宋体"/>
          <w:color w:val="000000"/>
          <w:sz w:val="24"/>
        </w:rPr>
      </w:pPr>
      <w:r>
        <w:rPr>
          <w:rFonts w:hint="eastAsia" w:ascii="宋体" w:hAnsi="宋体" w:cs="宋体"/>
          <w:color w:val="000000"/>
          <w:sz w:val="24"/>
        </w:rPr>
        <w:t>根据《环境影响评价技术导则  大气环境》（HJ/T2.2-2018）中的等级划分原则，大气评价等级确定为二级，不进行进一步预测与评价，只对污染物排放量进行核算。</w:t>
      </w:r>
    </w:p>
    <w:p w14:paraId="4C570BF6">
      <w:pPr>
        <w:widowControl/>
        <w:tabs>
          <w:tab w:val="left" w:leader="dot" w:pos="8770"/>
        </w:tabs>
        <w:spacing w:line="360" w:lineRule="auto"/>
        <w:ind w:firstLine="480" w:firstLineChars="200"/>
        <w:rPr>
          <w:rFonts w:hint="eastAsia" w:ascii="宋体" w:hAnsi="宋体" w:cs="宋体"/>
          <w:color w:val="000000"/>
          <w:sz w:val="24"/>
        </w:rPr>
      </w:pPr>
      <w:bookmarkStart w:id="275" w:name="_Toc12618"/>
      <w:bookmarkStart w:id="276" w:name="_Toc13697"/>
      <w:r>
        <w:rPr>
          <w:rFonts w:hint="eastAsia" w:ascii="宋体" w:hAnsi="宋体" w:cs="宋体"/>
          <w:color w:val="000000"/>
          <w:sz w:val="24"/>
        </w:rPr>
        <w:t>（1）预测因子</w:t>
      </w:r>
    </w:p>
    <w:p w14:paraId="4272C411">
      <w:pPr>
        <w:widowControl/>
        <w:tabs>
          <w:tab w:val="left" w:leader="dot" w:pos="8770"/>
        </w:tabs>
        <w:spacing w:line="360" w:lineRule="auto"/>
        <w:ind w:firstLine="480" w:firstLineChars="200"/>
        <w:rPr>
          <w:color w:val="000000"/>
          <w:sz w:val="24"/>
        </w:rPr>
      </w:pPr>
      <w:r>
        <w:rPr>
          <w:rFonts w:hint="eastAsia"/>
          <w:color w:val="000000"/>
          <w:sz w:val="24"/>
        </w:rPr>
        <w:t>根据工程分析可知，运营期产生的大气污染物主要为熔融挤出工序产生的非甲烷总烃。本次环评选取非甲烷总烃、颗粒物作为评价因子。</w:t>
      </w:r>
    </w:p>
    <w:p w14:paraId="47D8A900">
      <w:pPr>
        <w:widowControl/>
        <w:tabs>
          <w:tab w:val="left" w:leader="dot" w:pos="8770"/>
        </w:tabs>
        <w:spacing w:line="360" w:lineRule="auto"/>
        <w:ind w:firstLine="480" w:firstLineChars="200"/>
        <w:rPr>
          <w:color w:val="000000"/>
          <w:sz w:val="24"/>
        </w:rPr>
      </w:pPr>
      <w:r>
        <w:rPr>
          <w:rFonts w:hint="eastAsia"/>
          <w:color w:val="000000"/>
          <w:sz w:val="24"/>
        </w:rPr>
        <w:t>正常工况有组织废气预测因子：非甲烷总烃。</w:t>
      </w:r>
    </w:p>
    <w:p w14:paraId="5DD84342">
      <w:pPr>
        <w:widowControl/>
        <w:tabs>
          <w:tab w:val="left" w:leader="dot" w:pos="8770"/>
        </w:tabs>
        <w:spacing w:line="360" w:lineRule="auto"/>
        <w:ind w:firstLine="480" w:firstLineChars="200"/>
        <w:rPr>
          <w:color w:val="000000"/>
          <w:sz w:val="24"/>
        </w:rPr>
      </w:pPr>
      <w:r>
        <w:rPr>
          <w:rFonts w:hint="eastAsia"/>
          <w:color w:val="000000"/>
          <w:sz w:val="24"/>
        </w:rPr>
        <w:t>正常工况无组织废气预测因子：非甲烷总烃。</w:t>
      </w:r>
    </w:p>
    <w:p w14:paraId="4C992826">
      <w:pPr>
        <w:widowControl/>
        <w:tabs>
          <w:tab w:val="left" w:leader="dot" w:pos="8770"/>
        </w:tabs>
        <w:spacing w:line="360" w:lineRule="auto"/>
        <w:ind w:firstLine="480" w:firstLineChars="200"/>
        <w:rPr>
          <w:color w:val="000000"/>
          <w:sz w:val="24"/>
        </w:rPr>
      </w:pPr>
      <w:r>
        <w:rPr>
          <w:rFonts w:hint="eastAsia"/>
          <w:color w:val="000000"/>
          <w:sz w:val="24"/>
        </w:rPr>
        <w:t>非正常工况预测因子：非甲烷总烃。</w:t>
      </w:r>
    </w:p>
    <w:p w14:paraId="2AA6063C">
      <w:pPr>
        <w:widowControl/>
        <w:tabs>
          <w:tab w:val="left" w:leader="dot" w:pos="8770"/>
        </w:tabs>
        <w:spacing w:line="360" w:lineRule="auto"/>
        <w:ind w:left="420" w:leftChars="200"/>
        <w:rPr>
          <w:color w:val="000000"/>
          <w:sz w:val="24"/>
        </w:rPr>
      </w:pPr>
      <w:r>
        <w:rPr>
          <w:rFonts w:hint="eastAsia"/>
          <w:color w:val="000000"/>
          <w:sz w:val="24"/>
        </w:rPr>
        <w:t>（2）预测范围</w:t>
      </w:r>
    </w:p>
    <w:p w14:paraId="3E49E9C3">
      <w:pPr>
        <w:widowControl/>
        <w:tabs>
          <w:tab w:val="left" w:leader="dot" w:pos="8770"/>
        </w:tabs>
        <w:spacing w:line="360" w:lineRule="auto"/>
        <w:ind w:firstLine="480" w:firstLineChars="200"/>
        <w:rPr>
          <w:color w:val="000000"/>
          <w:sz w:val="24"/>
        </w:rPr>
      </w:pPr>
      <w:r>
        <w:rPr>
          <w:rFonts w:hint="eastAsia"/>
          <w:color w:val="000000"/>
          <w:sz w:val="24"/>
        </w:rPr>
        <w:t>根据建设项目所在位置及工程规模，大气预测范围综合考虑到评价等级、自然环境条件、环境敏感因素、主导风向等，确定评价范围为以项目区位中心边长5km的矩形区域。</w:t>
      </w:r>
    </w:p>
    <w:p w14:paraId="3499BFFF">
      <w:pPr>
        <w:widowControl/>
        <w:tabs>
          <w:tab w:val="left" w:leader="dot" w:pos="8770"/>
        </w:tabs>
        <w:spacing w:line="360" w:lineRule="auto"/>
        <w:ind w:left="420" w:leftChars="200"/>
        <w:rPr>
          <w:color w:val="000000"/>
          <w:kern w:val="0"/>
          <w:sz w:val="24"/>
          <w:szCs w:val="24"/>
        </w:rPr>
      </w:pPr>
      <w:r>
        <w:rPr>
          <w:rFonts w:hint="eastAsia"/>
          <w:color w:val="000000"/>
          <w:kern w:val="0"/>
          <w:sz w:val="24"/>
          <w:szCs w:val="24"/>
        </w:rPr>
        <w:t>（3）预测内容</w:t>
      </w:r>
    </w:p>
    <w:p w14:paraId="09677188">
      <w:pPr>
        <w:widowControl/>
        <w:tabs>
          <w:tab w:val="left" w:leader="dot" w:pos="8770"/>
        </w:tabs>
        <w:spacing w:line="360" w:lineRule="auto"/>
        <w:ind w:firstLine="480" w:firstLineChars="200"/>
        <w:rPr>
          <w:color w:val="000000"/>
          <w:kern w:val="0"/>
          <w:sz w:val="24"/>
          <w:szCs w:val="24"/>
        </w:rPr>
      </w:pPr>
      <w:r>
        <w:rPr>
          <w:color w:val="000000"/>
          <w:kern w:val="0"/>
          <w:sz w:val="24"/>
          <w:szCs w:val="24"/>
        </w:rPr>
        <w:t>采用AERSCREEN估算模式，对建设项目排放的非甲烷总烃最大落地浓度及其出现距离的估算，并将对照各污染物 环境空气质量评价标准，对计算结果进行了环境影响分析</w:t>
      </w:r>
      <w:r>
        <w:rPr>
          <w:rFonts w:hint="eastAsia"/>
          <w:color w:val="000000"/>
          <w:kern w:val="0"/>
          <w:sz w:val="24"/>
          <w:szCs w:val="24"/>
        </w:rPr>
        <w:t>。</w:t>
      </w:r>
    </w:p>
    <w:p w14:paraId="607B245A">
      <w:pPr>
        <w:widowControl/>
        <w:tabs>
          <w:tab w:val="left" w:leader="dot" w:pos="8770"/>
        </w:tabs>
        <w:spacing w:line="360" w:lineRule="auto"/>
        <w:ind w:left="420" w:leftChars="200"/>
        <w:rPr>
          <w:color w:val="000000"/>
          <w:kern w:val="0"/>
          <w:sz w:val="24"/>
          <w:szCs w:val="24"/>
        </w:rPr>
      </w:pPr>
      <w:r>
        <w:rPr>
          <w:rFonts w:hint="eastAsia"/>
          <w:color w:val="000000"/>
          <w:kern w:val="0"/>
          <w:sz w:val="24"/>
          <w:szCs w:val="24"/>
        </w:rPr>
        <w:t>（4）评价标准</w:t>
      </w:r>
    </w:p>
    <w:p w14:paraId="6F2E8881">
      <w:pPr>
        <w:widowControl/>
        <w:tabs>
          <w:tab w:val="left" w:leader="dot" w:pos="8770"/>
        </w:tabs>
        <w:spacing w:line="360" w:lineRule="auto"/>
        <w:ind w:firstLine="480" w:firstLineChars="200"/>
        <w:rPr>
          <w:color w:val="000000"/>
          <w:sz w:val="24"/>
        </w:rPr>
      </w:pPr>
      <w:r>
        <w:rPr>
          <w:rFonts w:hint="eastAsia"/>
          <w:color w:val="000000"/>
          <w:sz w:val="24"/>
        </w:rPr>
        <w:t>排放污染物非甲烷总烃的评价标准选取《大气污染物综合排放标准详解》（GB3095-1996）推荐值，颗粒物选取《环境空气质量标准》（GB3095-2012）标准限值。具体见表5.2-</w:t>
      </w:r>
      <w:r>
        <w:rPr>
          <w:rFonts w:hint="eastAsia"/>
          <w:color w:val="000000"/>
          <w:sz w:val="24"/>
          <w:lang w:val="en-US" w:eastAsia="zh-CN"/>
        </w:rPr>
        <w:t>5</w:t>
      </w:r>
      <w:r>
        <w:rPr>
          <w:rFonts w:hint="eastAsia"/>
          <w:color w:val="000000"/>
          <w:sz w:val="24"/>
        </w:rPr>
        <w:t>。</w:t>
      </w:r>
    </w:p>
    <w:p w14:paraId="6737A7B5">
      <w:pPr>
        <w:pStyle w:val="142"/>
        <w:tabs>
          <w:tab w:val="left" w:pos="6840"/>
          <w:tab w:val="clear" w:pos="4153"/>
          <w:tab w:val="clear" w:pos="8306"/>
        </w:tabs>
        <w:spacing w:before="156" w:line="240" w:lineRule="auto"/>
        <w:ind w:firstLine="422"/>
        <w:jc w:val="center"/>
        <w:rPr>
          <w:rFonts w:eastAsia="宋体"/>
          <w:bCs/>
          <w:color w:val="000000"/>
          <w:sz w:val="21"/>
          <w:szCs w:val="21"/>
        </w:rPr>
      </w:pPr>
      <w:r>
        <w:rPr>
          <w:rFonts w:hint="eastAsia" w:eastAsia="宋体"/>
          <w:b/>
          <w:color w:val="000000"/>
          <w:sz w:val="21"/>
          <w:szCs w:val="21"/>
          <w:lang w:val="en-US"/>
        </w:rPr>
        <w:t>表</w:t>
      </w:r>
      <w:r>
        <w:rPr>
          <w:rFonts w:hint="eastAsia"/>
          <w:b/>
          <w:color w:val="000000"/>
          <w:sz w:val="21"/>
          <w:szCs w:val="21"/>
          <w:lang w:val="en-US"/>
        </w:rPr>
        <w:t>5.2-</w:t>
      </w:r>
      <w:r>
        <w:rPr>
          <w:rFonts w:hint="eastAsia"/>
          <w:b/>
          <w:color w:val="000000"/>
          <w:sz w:val="21"/>
          <w:szCs w:val="21"/>
          <w:lang w:val="en-US" w:eastAsia="zh-CN"/>
        </w:rPr>
        <w:t>5</w:t>
      </w:r>
      <w:r>
        <w:rPr>
          <w:rFonts w:hint="eastAsia"/>
          <w:b/>
          <w:color w:val="000000"/>
          <w:sz w:val="21"/>
          <w:szCs w:val="21"/>
          <w:lang w:val="en-US"/>
        </w:rPr>
        <w:t xml:space="preserve">    </w:t>
      </w:r>
      <w:r>
        <w:rPr>
          <w:rFonts w:eastAsia="宋体"/>
          <w:b/>
          <w:color w:val="000000"/>
          <w:sz w:val="21"/>
          <w:szCs w:val="21"/>
        </w:rPr>
        <w:t>估算模型环境空气质量浓度确定情况表</w:t>
      </w:r>
    </w:p>
    <w:tbl>
      <w:tblPr>
        <w:tblStyle w:val="49"/>
        <w:tblW w:w="4919" w:type="pct"/>
        <w:tblInd w:w="140" w:type="dxa"/>
        <w:tblBorders>
          <w:top w:val="single" w:color="auto" w:sz="12" w:space="0"/>
          <w:left w:val="single" w:color="auto" w:sz="12" w:space="0"/>
          <w:bottom w:val="single" w:color="auto" w:sz="12" w:space="0"/>
          <w:right w:val="single" w:color="auto" w:sz="12" w:space="0"/>
          <w:insideH w:val="single" w:color="auto" w:sz="2" w:space="0"/>
          <w:insideV w:val="single" w:color="auto" w:sz="4" w:space="0"/>
        </w:tblBorders>
        <w:tblLayout w:type="autofit"/>
        <w:tblCellMar>
          <w:top w:w="0" w:type="dxa"/>
          <w:left w:w="108" w:type="dxa"/>
          <w:bottom w:w="0" w:type="dxa"/>
          <w:right w:w="108" w:type="dxa"/>
        </w:tblCellMar>
      </w:tblPr>
      <w:tblGrid>
        <w:gridCol w:w="1451"/>
        <w:gridCol w:w="1917"/>
        <w:gridCol w:w="1809"/>
        <w:gridCol w:w="3961"/>
      </w:tblGrid>
      <w:tr w14:paraId="20C5AC26">
        <w:tblPrEx>
          <w:tblBorders>
            <w:top w:val="single" w:color="auto" w:sz="12" w:space="0"/>
            <w:left w:val="single" w:color="auto" w:sz="12" w:space="0"/>
            <w:bottom w:val="single" w:color="auto" w:sz="12" w:space="0"/>
            <w:right w:val="single" w:color="auto" w:sz="12" w:space="0"/>
            <w:insideH w:val="single" w:color="auto" w:sz="2" w:space="0"/>
            <w:insideV w:val="single" w:color="auto" w:sz="4" w:space="0"/>
          </w:tblBorders>
          <w:tblCellMar>
            <w:top w:w="0" w:type="dxa"/>
            <w:left w:w="108" w:type="dxa"/>
            <w:bottom w:w="0" w:type="dxa"/>
            <w:right w:w="108" w:type="dxa"/>
          </w:tblCellMar>
        </w:tblPrEx>
        <w:trPr>
          <w:trHeight w:val="443" w:hRule="atLeast"/>
        </w:trPr>
        <w:tc>
          <w:tcPr>
            <w:tcW w:w="794" w:type="pct"/>
            <w:tcBorders>
              <w:tl2br w:val="nil"/>
              <w:tr2bl w:val="nil"/>
            </w:tcBorders>
            <w:vAlign w:val="center"/>
          </w:tcPr>
          <w:p w14:paraId="5D29CBDB">
            <w:pPr>
              <w:pStyle w:val="240"/>
              <w:rPr>
                <w:rFonts w:hint="default"/>
              </w:rPr>
            </w:pPr>
            <w:r>
              <w:rPr>
                <w:rFonts w:hint="default"/>
              </w:rPr>
              <w:t>评价因子</w:t>
            </w:r>
          </w:p>
        </w:tc>
        <w:tc>
          <w:tcPr>
            <w:tcW w:w="1049" w:type="pct"/>
            <w:tcBorders>
              <w:tl2br w:val="nil"/>
              <w:tr2bl w:val="nil"/>
            </w:tcBorders>
            <w:vAlign w:val="center"/>
          </w:tcPr>
          <w:p w14:paraId="277E6920">
            <w:pPr>
              <w:pStyle w:val="240"/>
              <w:rPr>
                <w:rFonts w:hint="default"/>
              </w:rPr>
            </w:pPr>
            <w:r>
              <w:rPr>
                <w:rFonts w:hint="default"/>
              </w:rPr>
              <w:t>评价标准</w:t>
            </w:r>
          </w:p>
        </w:tc>
        <w:tc>
          <w:tcPr>
            <w:tcW w:w="990" w:type="pct"/>
            <w:tcBorders>
              <w:tl2br w:val="nil"/>
              <w:tr2bl w:val="nil"/>
            </w:tcBorders>
            <w:vAlign w:val="center"/>
          </w:tcPr>
          <w:p w14:paraId="3793BEED">
            <w:pPr>
              <w:pStyle w:val="240"/>
              <w:rPr>
                <w:rFonts w:hint="default"/>
              </w:rPr>
            </w:pPr>
            <w:r>
              <w:rPr>
                <w:rFonts w:hint="default"/>
              </w:rPr>
              <w:t>标准值</w:t>
            </w:r>
          </w:p>
        </w:tc>
        <w:tc>
          <w:tcPr>
            <w:tcW w:w="2166" w:type="pct"/>
            <w:tcBorders>
              <w:tl2br w:val="nil"/>
              <w:tr2bl w:val="nil"/>
            </w:tcBorders>
            <w:vAlign w:val="center"/>
          </w:tcPr>
          <w:p w14:paraId="3A105CD2">
            <w:pPr>
              <w:pStyle w:val="240"/>
              <w:rPr>
                <w:rFonts w:hint="default"/>
              </w:rPr>
            </w:pPr>
            <w:r>
              <w:rPr>
                <w:rFonts w:hint="default"/>
              </w:rPr>
              <w:t>标准来源</w:t>
            </w:r>
          </w:p>
        </w:tc>
      </w:tr>
      <w:tr w14:paraId="279C7C03">
        <w:tblPrEx>
          <w:tblBorders>
            <w:top w:val="single" w:color="auto" w:sz="12" w:space="0"/>
            <w:left w:val="single" w:color="auto" w:sz="12" w:space="0"/>
            <w:bottom w:val="single" w:color="auto" w:sz="12" w:space="0"/>
            <w:right w:val="single" w:color="auto" w:sz="12" w:space="0"/>
            <w:insideH w:val="single" w:color="auto" w:sz="2" w:space="0"/>
            <w:insideV w:val="single" w:color="auto" w:sz="4" w:space="0"/>
          </w:tblBorders>
          <w:tblCellMar>
            <w:top w:w="0" w:type="dxa"/>
            <w:left w:w="108" w:type="dxa"/>
            <w:bottom w:w="0" w:type="dxa"/>
            <w:right w:w="108" w:type="dxa"/>
          </w:tblCellMar>
        </w:tblPrEx>
        <w:trPr>
          <w:trHeight w:val="569" w:hRule="atLeast"/>
        </w:trPr>
        <w:tc>
          <w:tcPr>
            <w:tcW w:w="794" w:type="pct"/>
            <w:tcBorders>
              <w:tl2br w:val="nil"/>
              <w:tr2bl w:val="nil"/>
            </w:tcBorders>
            <w:vAlign w:val="center"/>
          </w:tcPr>
          <w:p w14:paraId="5A69E8B2">
            <w:pPr>
              <w:pStyle w:val="240"/>
              <w:rPr>
                <w:rFonts w:hint="default"/>
              </w:rPr>
            </w:pPr>
            <w:r>
              <w:rPr>
                <w:rFonts w:hint="default"/>
              </w:rPr>
              <w:t>NMHC</w:t>
            </w:r>
          </w:p>
        </w:tc>
        <w:tc>
          <w:tcPr>
            <w:tcW w:w="1049" w:type="pct"/>
            <w:tcBorders>
              <w:tl2br w:val="nil"/>
              <w:tr2bl w:val="nil"/>
            </w:tcBorders>
            <w:vAlign w:val="center"/>
          </w:tcPr>
          <w:p w14:paraId="2C10EC07">
            <w:pPr>
              <w:pStyle w:val="240"/>
              <w:rPr>
                <w:rFonts w:hint="default"/>
              </w:rPr>
            </w:pPr>
            <w:r>
              <w:rPr>
                <w:rFonts w:hint="default"/>
              </w:rPr>
              <w:t>1小时平均*</w:t>
            </w:r>
          </w:p>
        </w:tc>
        <w:tc>
          <w:tcPr>
            <w:tcW w:w="990" w:type="pct"/>
            <w:tcBorders>
              <w:tl2br w:val="nil"/>
              <w:tr2bl w:val="nil"/>
            </w:tcBorders>
            <w:vAlign w:val="center"/>
          </w:tcPr>
          <w:p w14:paraId="203B8995">
            <w:pPr>
              <w:pStyle w:val="240"/>
              <w:rPr>
                <w:rFonts w:hint="default"/>
              </w:rPr>
            </w:pPr>
            <w:r>
              <w:t>2000</w:t>
            </w:r>
            <w:r>
              <w:rPr>
                <w:rFonts w:hint="default"/>
              </w:rPr>
              <w:t>µg/m</w:t>
            </w:r>
            <w:r>
              <w:rPr>
                <w:rFonts w:hint="default"/>
                <w:vertAlign w:val="superscript"/>
              </w:rPr>
              <w:t>3</w:t>
            </w:r>
          </w:p>
        </w:tc>
        <w:tc>
          <w:tcPr>
            <w:tcW w:w="2166" w:type="pct"/>
            <w:tcBorders>
              <w:tl2br w:val="nil"/>
              <w:tr2bl w:val="nil"/>
            </w:tcBorders>
            <w:vAlign w:val="center"/>
          </w:tcPr>
          <w:p w14:paraId="2719E615">
            <w:pPr>
              <w:pStyle w:val="240"/>
              <w:rPr>
                <w:rFonts w:hint="default"/>
              </w:rPr>
            </w:pPr>
            <w:r>
              <w:rPr>
                <w:rFonts w:hint="default"/>
              </w:rPr>
              <w:t>《大气污染物综合排放标准详解》非甲烷总烃标准取值</w:t>
            </w:r>
          </w:p>
        </w:tc>
      </w:tr>
      <w:tr w14:paraId="0AA2D792">
        <w:tblPrEx>
          <w:tblBorders>
            <w:top w:val="single" w:color="auto" w:sz="12" w:space="0"/>
            <w:left w:val="single" w:color="auto" w:sz="12" w:space="0"/>
            <w:bottom w:val="single" w:color="auto" w:sz="12" w:space="0"/>
            <w:right w:val="single" w:color="auto" w:sz="12" w:space="0"/>
            <w:insideH w:val="single" w:color="auto" w:sz="2" w:space="0"/>
            <w:insideV w:val="single" w:color="auto" w:sz="4" w:space="0"/>
          </w:tblBorders>
          <w:tblCellMar>
            <w:top w:w="0" w:type="dxa"/>
            <w:left w:w="108" w:type="dxa"/>
            <w:bottom w:w="0" w:type="dxa"/>
            <w:right w:w="108" w:type="dxa"/>
          </w:tblCellMar>
        </w:tblPrEx>
        <w:trPr>
          <w:trHeight w:val="600" w:hRule="atLeast"/>
        </w:trPr>
        <w:tc>
          <w:tcPr>
            <w:tcW w:w="5000" w:type="pct"/>
            <w:gridSpan w:val="4"/>
            <w:tcBorders>
              <w:tl2br w:val="nil"/>
              <w:tr2bl w:val="nil"/>
            </w:tcBorders>
            <w:vAlign w:val="center"/>
          </w:tcPr>
          <w:p w14:paraId="394E4466">
            <w:pPr>
              <w:pStyle w:val="240"/>
              <w:jc w:val="left"/>
              <w:rPr>
                <w:rFonts w:hint="default"/>
              </w:rPr>
            </w:pPr>
            <w:r>
              <w:rPr>
                <w:rFonts w:hint="default"/>
              </w:rPr>
              <w:t>*注：根据导则要求，对仅有8h平均、日平均或年平均质量浓度限值的，可分别按2倍、3倍、6倍折算为1h平均质量浓度限值。</w:t>
            </w:r>
          </w:p>
        </w:tc>
      </w:tr>
    </w:tbl>
    <w:p w14:paraId="2434BFB4">
      <w:pPr>
        <w:widowControl/>
        <w:tabs>
          <w:tab w:val="left" w:leader="dot" w:pos="8770"/>
        </w:tabs>
        <w:spacing w:line="360" w:lineRule="auto"/>
        <w:ind w:left="420" w:leftChars="200"/>
        <w:rPr>
          <w:color w:val="000000"/>
          <w:kern w:val="0"/>
          <w:sz w:val="24"/>
          <w:szCs w:val="24"/>
        </w:rPr>
      </w:pPr>
      <w:r>
        <w:rPr>
          <w:rFonts w:hint="eastAsia"/>
          <w:color w:val="000000"/>
          <w:kern w:val="0"/>
          <w:sz w:val="24"/>
          <w:szCs w:val="24"/>
        </w:rPr>
        <w:t>（5）预测计算模型</w:t>
      </w:r>
    </w:p>
    <w:p w14:paraId="3F481E90">
      <w:pPr>
        <w:widowControl/>
        <w:tabs>
          <w:tab w:val="left" w:leader="dot" w:pos="8770"/>
        </w:tabs>
        <w:spacing w:line="360" w:lineRule="auto"/>
        <w:ind w:left="420" w:leftChars="200"/>
        <w:jc w:val="left"/>
        <w:rPr>
          <w:color w:val="000000"/>
          <w:kern w:val="0"/>
          <w:sz w:val="24"/>
          <w:szCs w:val="24"/>
        </w:rPr>
      </w:pPr>
      <w:r>
        <w:rPr>
          <w:rFonts w:hint="eastAsia"/>
          <w:color w:val="000000"/>
          <w:kern w:val="0"/>
          <w:sz w:val="24"/>
          <w:szCs w:val="24"/>
        </w:rPr>
        <w:t>大气环境影响评价等级为二级，采用AERSCREEN估算模式对项目区大气污染物</w:t>
      </w:r>
    </w:p>
    <w:p w14:paraId="039D6E96">
      <w:pPr>
        <w:widowControl/>
        <w:tabs>
          <w:tab w:val="left" w:leader="dot" w:pos="8770"/>
        </w:tabs>
        <w:spacing w:line="360" w:lineRule="auto"/>
        <w:jc w:val="left"/>
        <w:rPr>
          <w:color w:val="000000"/>
          <w:kern w:val="0"/>
          <w:sz w:val="24"/>
          <w:szCs w:val="24"/>
        </w:rPr>
      </w:pPr>
      <w:r>
        <w:rPr>
          <w:rFonts w:hint="eastAsia"/>
          <w:color w:val="000000"/>
          <w:kern w:val="0"/>
          <w:sz w:val="24"/>
          <w:szCs w:val="24"/>
        </w:rPr>
        <w:t>落地浓度分布进行计算。</w:t>
      </w:r>
    </w:p>
    <w:p w14:paraId="39FDD01F">
      <w:pPr>
        <w:widowControl/>
        <w:tabs>
          <w:tab w:val="left" w:leader="dot" w:pos="8770"/>
        </w:tabs>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（6）预测参数</w:t>
      </w:r>
    </w:p>
    <w:p w14:paraId="59260D4D">
      <w:pPr>
        <w:widowControl/>
        <w:tabs>
          <w:tab w:val="left" w:leader="dot" w:pos="8770"/>
        </w:tabs>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正常运营时，共计1个有组织污染源：排放口编号为DA001。1个无组织污染面源：为造粒生产车间。大气预测所选用废气排放参数均来自于工程分析，全厂正常工况下废气排放源主要参数见表5.2-</w:t>
      </w:r>
      <w:r>
        <w:rPr>
          <w:rFonts w:hint="eastAsia" w:ascii="宋体" w:hAnsi="宋体" w:cs="宋体"/>
          <w:color w:val="000000"/>
          <w:sz w:val="24"/>
          <w:szCs w:val="24"/>
          <w:lang w:val="en-US" w:eastAsia="zh-CN"/>
        </w:rPr>
        <w:t>6</w:t>
      </w:r>
      <w:r>
        <w:rPr>
          <w:rFonts w:hint="eastAsia" w:ascii="宋体" w:hAnsi="宋体" w:cs="宋体"/>
          <w:color w:val="000000"/>
          <w:sz w:val="24"/>
          <w:szCs w:val="24"/>
        </w:rPr>
        <w:t>、5.2-</w:t>
      </w:r>
      <w:r>
        <w:rPr>
          <w:rFonts w:hint="eastAsia" w:ascii="宋体" w:hAnsi="宋体" w:cs="宋体"/>
          <w:color w:val="000000"/>
          <w:sz w:val="24"/>
          <w:szCs w:val="24"/>
          <w:lang w:val="en-US" w:eastAsia="zh-CN"/>
        </w:rPr>
        <w:t>7</w:t>
      </w:r>
      <w:r>
        <w:rPr>
          <w:rFonts w:hint="eastAsia" w:ascii="宋体" w:hAnsi="宋体" w:cs="宋体"/>
          <w:color w:val="000000"/>
          <w:sz w:val="24"/>
          <w:szCs w:val="24"/>
        </w:rPr>
        <w:t>。</w:t>
      </w:r>
    </w:p>
    <w:p w14:paraId="23D92D39">
      <w:pPr>
        <w:widowControl/>
        <w:tabs>
          <w:tab w:val="left" w:leader="dot" w:pos="8770"/>
        </w:tabs>
        <w:ind w:firstLine="422" w:firstLineChars="200"/>
        <w:jc w:val="center"/>
        <w:rPr>
          <w:b/>
          <w:bCs/>
          <w:color w:val="000000"/>
          <w:szCs w:val="21"/>
        </w:rPr>
      </w:pPr>
      <w:r>
        <w:rPr>
          <w:rFonts w:hint="eastAsia"/>
          <w:b/>
          <w:bCs/>
          <w:color w:val="000000"/>
          <w:szCs w:val="21"/>
        </w:rPr>
        <w:t>表5.2-</w:t>
      </w:r>
      <w:r>
        <w:rPr>
          <w:rFonts w:hint="eastAsia"/>
          <w:b/>
          <w:bCs/>
          <w:color w:val="000000"/>
          <w:szCs w:val="21"/>
          <w:lang w:val="en-US" w:eastAsia="zh-CN"/>
        </w:rPr>
        <w:t>6</w:t>
      </w:r>
      <w:r>
        <w:rPr>
          <w:rFonts w:hint="eastAsia"/>
          <w:b/>
          <w:bCs/>
          <w:color w:val="000000"/>
          <w:szCs w:val="21"/>
        </w:rPr>
        <w:t xml:space="preserve">   主要废气污染源参数一览表(点源)</w:t>
      </w:r>
    </w:p>
    <w:tbl>
      <w:tblPr>
        <w:tblStyle w:val="49"/>
        <w:tblW w:w="4995" w:type="pct"/>
        <w:tblInd w:w="0" w:type="dxa"/>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
      <w:tblGrid>
        <w:gridCol w:w="933"/>
        <w:gridCol w:w="1198"/>
        <w:gridCol w:w="1174"/>
        <w:gridCol w:w="1195"/>
        <w:gridCol w:w="715"/>
        <w:gridCol w:w="712"/>
        <w:gridCol w:w="694"/>
        <w:gridCol w:w="688"/>
        <w:gridCol w:w="700"/>
        <w:gridCol w:w="1270"/>
      </w:tblGrid>
      <w:tr w14:paraId="1645FA34">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630" w:hRule="atLeast"/>
        </w:trPr>
        <w:tc>
          <w:tcPr>
            <w:tcW w:w="502" w:type="pct"/>
            <w:vMerge w:val="restart"/>
            <w:tcBorders>
              <w:tl2br w:val="nil"/>
              <w:tr2bl w:val="nil"/>
            </w:tcBorders>
            <w:vAlign w:val="center"/>
          </w:tcPr>
          <w:p w14:paraId="5DA8ACE9">
            <w:pPr>
              <w:pStyle w:val="240"/>
              <w:rPr>
                <w:rFonts w:hint="default"/>
              </w:rPr>
            </w:pPr>
            <w:r>
              <w:t>污染源名称</w:t>
            </w:r>
          </w:p>
        </w:tc>
        <w:tc>
          <w:tcPr>
            <w:tcW w:w="1278" w:type="pct"/>
            <w:gridSpan w:val="2"/>
            <w:tcBorders>
              <w:tl2br w:val="nil"/>
              <w:tr2bl w:val="nil"/>
            </w:tcBorders>
            <w:vAlign w:val="center"/>
          </w:tcPr>
          <w:p w14:paraId="2AFE523E">
            <w:pPr>
              <w:pStyle w:val="240"/>
              <w:rPr>
                <w:rFonts w:hint="default"/>
              </w:rPr>
            </w:pPr>
            <w:r>
              <w:t>排气筒底部中心坐标(°)</w:t>
            </w:r>
          </w:p>
        </w:tc>
        <w:tc>
          <w:tcPr>
            <w:tcW w:w="643" w:type="pct"/>
            <w:vMerge w:val="restart"/>
            <w:tcBorders>
              <w:tl2br w:val="nil"/>
              <w:tr2bl w:val="nil"/>
            </w:tcBorders>
            <w:vAlign w:val="center"/>
          </w:tcPr>
          <w:p w14:paraId="79A5E811">
            <w:pPr>
              <w:pStyle w:val="240"/>
              <w:rPr>
                <w:rFonts w:hint="default"/>
              </w:rPr>
            </w:pPr>
            <w:r>
              <w:t>排气筒底部海拔高度(m)</w:t>
            </w:r>
          </w:p>
        </w:tc>
        <w:tc>
          <w:tcPr>
            <w:tcW w:w="1513" w:type="pct"/>
            <w:gridSpan w:val="4"/>
            <w:tcBorders>
              <w:right w:val="single" w:color="auto" w:sz="4" w:space="0"/>
              <w:tl2br w:val="nil"/>
              <w:tr2bl w:val="nil"/>
            </w:tcBorders>
            <w:vAlign w:val="center"/>
          </w:tcPr>
          <w:p w14:paraId="6CC4C251">
            <w:pPr>
              <w:pStyle w:val="240"/>
              <w:rPr>
                <w:rFonts w:hint="default"/>
              </w:rPr>
            </w:pPr>
            <w:r>
              <w:t>排气筒参数</w:t>
            </w:r>
          </w:p>
        </w:tc>
        <w:tc>
          <w:tcPr>
            <w:tcW w:w="377" w:type="pct"/>
            <w:vMerge w:val="restart"/>
            <w:tcBorders>
              <w:left w:val="single" w:color="auto" w:sz="4" w:space="0"/>
              <w:tl2br w:val="nil"/>
              <w:tr2bl w:val="nil"/>
            </w:tcBorders>
            <w:vAlign w:val="center"/>
          </w:tcPr>
          <w:p w14:paraId="17DA7AE3">
            <w:pPr>
              <w:pStyle w:val="240"/>
              <w:rPr>
                <w:rFonts w:hint="eastAsia" w:eastAsia="宋体"/>
                <w:lang w:eastAsia="zh-CN"/>
              </w:rPr>
            </w:pPr>
            <w:r>
              <w:rPr>
                <w:rFonts w:hint="eastAsia"/>
                <w:lang w:eastAsia="zh-CN"/>
              </w:rPr>
              <w:t>年排放小时数</w:t>
            </w:r>
          </w:p>
        </w:tc>
        <w:tc>
          <w:tcPr>
            <w:tcW w:w="684" w:type="pct"/>
            <w:tcBorders>
              <w:tl2br w:val="nil"/>
              <w:tr2bl w:val="nil"/>
            </w:tcBorders>
            <w:vAlign w:val="center"/>
          </w:tcPr>
          <w:p w14:paraId="535F9E3A">
            <w:pPr>
              <w:pStyle w:val="240"/>
              <w:rPr>
                <w:rFonts w:hint="default"/>
              </w:rPr>
            </w:pPr>
            <w:r>
              <w:t>污染物排放速率(kg/h)</w:t>
            </w:r>
          </w:p>
        </w:tc>
      </w:tr>
      <w:tr w14:paraId="419DA512">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60" w:hRule="atLeast"/>
        </w:trPr>
        <w:tc>
          <w:tcPr>
            <w:tcW w:w="502" w:type="pct"/>
            <w:vMerge w:val="continue"/>
            <w:tcBorders>
              <w:tl2br w:val="nil"/>
              <w:tr2bl w:val="nil"/>
            </w:tcBorders>
            <w:vAlign w:val="center"/>
          </w:tcPr>
          <w:p w14:paraId="159C5C48">
            <w:pPr>
              <w:pStyle w:val="240"/>
              <w:rPr>
                <w:rFonts w:hint="default"/>
              </w:rPr>
            </w:pPr>
          </w:p>
        </w:tc>
        <w:tc>
          <w:tcPr>
            <w:tcW w:w="645" w:type="pct"/>
            <w:tcBorders>
              <w:tl2br w:val="nil"/>
              <w:tr2bl w:val="nil"/>
            </w:tcBorders>
            <w:vAlign w:val="center"/>
          </w:tcPr>
          <w:p w14:paraId="2A8D0342">
            <w:pPr>
              <w:pStyle w:val="240"/>
              <w:rPr>
                <w:rFonts w:hint="default"/>
              </w:rPr>
            </w:pPr>
            <w:r>
              <w:t>经度</w:t>
            </w:r>
          </w:p>
        </w:tc>
        <w:tc>
          <w:tcPr>
            <w:tcW w:w="632" w:type="pct"/>
            <w:tcBorders>
              <w:tl2br w:val="nil"/>
              <w:tr2bl w:val="nil"/>
            </w:tcBorders>
            <w:vAlign w:val="center"/>
          </w:tcPr>
          <w:p w14:paraId="7EC2D14A">
            <w:pPr>
              <w:pStyle w:val="240"/>
              <w:rPr>
                <w:rFonts w:hint="default"/>
              </w:rPr>
            </w:pPr>
            <w:r>
              <w:t>纬度</w:t>
            </w:r>
          </w:p>
        </w:tc>
        <w:tc>
          <w:tcPr>
            <w:tcW w:w="643" w:type="pct"/>
            <w:vMerge w:val="continue"/>
            <w:tcBorders>
              <w:tl2br w:val="nil"/>
              <w:tr2bl w:val="nil"/>
            </w:tcBorders>
            <w:vAlign w:val="center"/>
          </w:tcPr>
          <w:p w14:paraId="12E40DAE">
            <w:pPr>
              <w:pStyle w:val="240"/>
              <w:rPr>
                <w:rFonts w:hint="default"/>
              </w:rPr>
            </w:pPr>
          </w:p>
        </w:tc>
        <w:tc>
          <w:tcPr>
            <w:tcW w:w="385" w:type="pct"/>
            <w:tcBorders>
              <w:tl2br w:val="nil"/>
              <w:tr2bl w:val="nil"/>
            </w:tcBorders>
            <w:vAlign w:val="center"/>
          </w:tcPr>
          <w:p w14:paraId="51ED812F">
            <w:pPr>
              <w:pStyle w:val="240"/>
              <w:rPr>
                <w:rFonts w:hint="default"/>
              </w:rPr>
            </w:pPr>
            <w:r>
              <w:t>高度(m)</w:t>
            </w:r>
          </w:p>
        </w:tc>
        <w:tc>
          <w:tcPr>
            <w:tcW w:w="383" w:type="pct"/>
            <w:tcBorders>
              <w:tl2br w:val="nil"/>
              <w:tr2bl w:val="nil"/>
            </w:tcBorders>
            <w:vAlign w:val="center"/>
          </w:tcPr>
          <w:p w14:paraId="1F81D206">
            <w:pPr>
              <w:pStyle w:val="240"/>
              <w:rPr>
                <w:rFonts w:hint="default"/>
              </w:rPr>
            </w:pPr>
            <w:r>
              <w:t>内径(m)</w:t>
            </w:r>
          </w:p>
        </w:tc>
        <w:tc>
          <w:tcPr>
            <w:tcW w:w="373" w:type="pct"/>
            <w:tcBorders>
              <w:tl2br w:val="nil"/>
              <w:tr2bl w:val="nil"/>
            </w:tcBorders>
            <w:vAlign w:val="center"/>
          </w:tcPr>
          <w:p w14:paraId="526303E0">
            <w:pPr>
              <w:pStyle w:val="240"/>
              <w:rPr>
                <w:rFonts w:hint="default"/>
              </w:rPr>
            </w:pPr>
            <w:r>
              <w:t>温度(℃)</w:t>
            </w:r>
          </w:p>
        </w:tc>
        <w:tc>
          <w:tcPr>
            <w:tcW w:w="370" w:type="pct"/>
            <w:tcBorders>
              <w:right w:val="single" w:color="auto" w:sz="4" w:space="0"/>
              <w:tl2br w:val="nil"/>
              <w:tr2bl w:val="nil"/>
            </w:tcBorders>
            <w:vAlign w:val="center"/>
          </w:tcPr>
          <w:p w14:paraId="3B987E18">
            <w:pPr>
              <w:pStyle w:val="240"/>
              <w:rPr>
                <w:rFonts w:hint="default"/>
              </w:rPr>
            </w:pPr>
            <w:r>
              <w:t>流速(m/s)</w:t>
            </w:r>
          </w:p>
        </w:tc>
        <w:tc>
          <w:tcPr>
            <w:tcW w:w="377" w:type="pct"/>
            <w:vMerge w:val="continue"/>
            <w:tcBorders>
              <w:left w:val="single" w:color="auto" w:sz="4" w:space="0"/>
              <w:tl2br w:val="nil"/>
              <w:tr2bl w:val="nil"/>
            </w:tcBorders>
            <w:vAlign w:val="center"/>
          </w:tcPr>
          <w:p w14:paraId="30DF650D">
            <w:pPr>
              <w:pStyle w:val="240"/>
            </w:pPr>
          </w:p>
        </w:tc>
        <w:tc>
          <w:tcPr>
            <w:tcW w:w="684" w:type="pct"/>
            <w:tcBorders>
              <w:tl2br w:val="nil"/>
              <w:tr2bl w:val="nil"/>
            </w:tcBorders>
            <w:vAlign w:val="center"/>
          </w:tcPr>
          <w:p w14:paraId="642A30C3">
            <w:pPr>
              <w:pStyle w:val="240"/>
              <w:rPr>
                <w:rFonts w:hint="default"/>
              </w:rPr>
            </w:pPr>
            <w:r>
              <w:t>NMHC</w:t>
            </w:r>
          </w:p>
        </w:tc>
      </w:tr>
      <w:tr w14:paraId="2319E114">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90" w:hRule="atLeast"/>
        </w:trPr>
        <w:tc>
          <w:tcPr>
            <w:tcW w:w="502" w:type="pct"/>
            <w:tcBorders>
              <w:tl2br w:val="nil"/>
              <w:tr2bl w:val="nil"/>
            </w:tcBorders>
            <w:vAlign w:val="center"/>
          </w:tcPr>
          <w:p w14:paraId="57D28385">
            <w:pPr>
              <w:pStyle w:val="240"/>
              <w:rPr>
                <w:rFonts w:hint="default"/>
              </w:rPr>
            </w:pPr>
            <w:r>
              <w:t>DA001</w:t>
            </w:r>
          </w:p>
        </w:tc>
        <w:tc>
          <w:tcPr>
            <w:tcW w:w="645" w:type="pct"/>
            <w:tcBorders>
              <w:tl2br w:val="nil"/>
              <w:tr2bl w:val="nil"/>
            </w:tcBorders>
            <w:vAlign w:val="center"/>
          </w:tcPr>
          <w:p w14:paraId="420C794E">
            <w:pPr>
              <w:pStyle w:val="240"/>
              <w:rPr>
                <w:rFonts w:hint="default" w:eastAsia="宋体"/>
                <w:lang w:val="en-US" w:eastAsia="zh-CN"/>
              </w:rPr>
            </w:pPr>
            <w:r>
              <w:t>85.</w:t>
            </w:r>
            <w:r>
              <w:rPr>
                <w:rFonts w:hint="eastAsia"/>
                <w:lang w:val="en-US" w:eastAsia="zh-CN"/>
              </w:rPr>
              <w:t>836716</w:t>
            </w:r>
          </w:p>
        </w:tc>
        <w:tc>
          <w:tcPr>
            <w:tcW w:w="632" w:type="pct"/>
            <w:tcBorders>
              <w:tl2br w:val="nil"/>
              <w:tr2bl w:val="nil"/>
            </w:tcBorders>
            <w:vAlign w:val="center"/>
          </w:tcPr>
          <w:p w14:paraId="73968611">
            <w:pPr>
              <w:pStyle w:val="240"/>
              <w:rPr>
                <w:rFonts w:hint="default" w:eastAsia="宋体"/>
                <w:lang w:val="en-US" w:eastAsia="zh-CN"/>
              </w:rPr>
            </w:pPr>
            <w:r>
              <w:t>41.</w:t>
            </w:r>
            <w:r>
              <w:rPr>
                <w:rFonts w:hint="eastAsia"/>
                <w:lang w:val="en-US" w:eastAsia="zh-CN"/>
              </w:rPr>
              <w:t>417632</w:t>
            </w:r>
          </w:p>
        </w:tc>
        <w:tc>
          <w:tcPr>
            <w:tcW w:w="643" w:type="pct"/>
            <w:tcBorders>
              <w:tl2br w:val="nil"/>
              <w:tr2bl w:val="nil"/>
            </w:tcBorders>
            <w:vAlign w:val="center"/>
          </w:tcPr>
          <w:p w14:paraId="70A2271E">
            <w:pPr>
              <w:pStyle w:val="240"/>
              <w:rPr>
                <w:rFonts w:hint="default" w:eastAsia="宋体"/>
                <w:lang w:val="en-US" w:eastAsia="zh-CN"/>
              </w:rPr>
            </w:pPr>
            <w:r>
              <w:t>89</w:t>
            </w:r>
            <w:r>
              <w:rPr>
                <w:rFonts w:hint="eastAsia"/>
                <w:lang w:val="en-US" w:eastAsia="zh-CN"/>
              </w:rPr>
              <w:t>2.0</w:t>
            </w:r>
          </w:p>
        </w:tc>
        <w:tc>
          <w:tcPr>
            <w:tcW w:w="385" w:type="pct"/>
            <w:tcBorders>
              <w:tl2br w:val="nil"/>
              <w:tr2bl w:val="nil"/>
            </w:tcBorders>
            <w:vAlign w:val="center"/>
          </w:tcPr>
          <w:p w14:paraId="17C3AE4D">
            <w:pPr>
              <w:pStyle w:val="240"/>
              <w:rPr>
                <w:rFonts w:hint="default"/>
              </w:rPr>
            </w:pPr>
            <w:r>
              <w:t>15</w:t>
            </w:r>
          </w:p>
        </w:tc>
        <w:tc>
          <w:tcPr>
            <w:tcW w:w="383" w:type="pct"/>
            <w:tcBorders>
              <w:tl2br w:val="nil"/>
              <w:tr2bl w:val="nil"/>
            </w:tcBorders>
            <w:vAlign w:val="center"/>
          </w:tcPr>
          <w:p w14:paraId="490271F3">
            <w:pPr>
              <w:pStyle w:val="240"/>
              <w:rPr>
                <w:rFonts w:hint="default"/>
              </w:rPr>
            </w:pPr>
            <w:r>
              <w:t>0.5</w:t>
            </w:r>
          </w:p>
        </w:tc>
        <w:tc>
          <w:tcPr>
            <w:tcW w:w="373" w:type="pct"/>
            <w:tcBorders>
              <w:tl2br w:val="nil"/>
              <w:tr2bl w:val="nil"/>
            </w:tcBorders>
            <w:vAlign w:val="center"/>
          </w:tcPr>
          <w:p w14:paraId="7DDA5708">
            <w:pPr>
              <w:pStyle w:val="240"/>
              <w:rPr>
                <w:rFonts w:hint="default"/>
              </w:rPr>
            </w:pPr>
            <w:r>
              <w:t>25</w:t>
            </w:r>
          </w:p>
        </w:tc>
        <w:tc>
          <w:tcPr>
            <w:tcW w:w="370" w:type="pct"/>
            <w:tcBorders>
              <w:right w:val="single" w:color="auto" w:sz="4" w:space="0"/>
              <w:tl2br w:val="nil"/>
              <w:tr2bl w:val="nil"/>
            </w:tcBorders>
            <w:vAlign w:val="center"/>
          </w:tcPr>
          <w:p w14:paraId="3C49D35B">
            <w:pPr>
              <w:pStyle w:val="240"/>
              <w:rPr>
                <w:rFonts w:hint="default"/>
              </w:rPr>
            </w:pPr>
            <w:r>
              <w:t>12.0</w:t>
            </w:r>
          </w:p>
        </w:tc>
        <w:tc>
          <w:tcPr>
            <w:tcW w:w="377" w:type="pct"/>
            <w:tcBorders>
              <w:left w:val="single" w:color="auto" w:sz="4" w:space="0"/>
              <w:tl2br w:val="nil"/>
              <w:tr2bl w:val="nil"/>
            </w:tcBorders>
            <w:vAlign w:val="center"/>
          </w:tcPr>
          <w:p w14:paraId="2340C14F">
            <w:pPr>
              <w:pStyle w:val="240"/>
              <w:rPr>
                <w:rFonts w:hint="default" w:eastAsia="宋体"/>
                <w:lang w:val="en-US" w:eastAsia="zh-CN"/>
              </w:rPr>
            </w:pPr>
            <w:r>
              <w:rPr>
                <w:rFonts w:hint="eastAsia"/>
                <w:lang w:val="en-US" w:eastAsia="zh-CN"/>
              </w:rPr>
              <w:t>5760</w:t>
            </w:r>
          </w:p>
        </w:tc>
        <w:tc>
          <w:tcPr>
            <w:tcW w:w="684" w:type="pct"/>
            <w:tcBorders>
              <w:tl2br w:val="nil"/>
              <w:tr2bl w:val="nil"/>
            </w:tcBorders>
            <w:vAlign w:val="center"/>
          </w:tcPr>
          <w:p w14:paraId="773E10DD">
            <w:pPr>
              <w:pStyle w:val="240"/>
              <w:rPr>
                <w:rFonts w:hint="default" w:eastAsia="宋体"/>
                <w:lang w:val="en-US" w:eastAsia="zh-CN"/>
              </w:rPr>
            </w:pPr>
            <w:r>
              <w:t>0.</w:t>
            </w:r>
            <w:r>
              <w:rPr>
                <w:rFonts w:hint="eastAsia"/>
                <w:lang w:val="en-US" w:eastAsia="zh-CN"/>
              </w:rPr>
              <w:t>396</w:t>
            </w:r>
          </w:p>
        </w:tc>
      </w:tr>
    </w:tbl>
    <w:p w14:paraId="32DC7A3C">
      <w:pPr>
        <w:jc w:val="center"/>
        <w:rPr>
          <w:b/>
          <w:bCs/>
          <w:color w:val="000000"/>
          <w:szCs w:val="21"/>
        </w:rPr>
      </w:pPr>
      <w:r>
        <w:rPr>
          <w:rFonts w:hint="eastAsia"/>
          <w:b/>
          <w:bCs/>
          <w:color w:val="000000"/>
          <w:szCs w:val="21"/>
        </w:rPr>
        <w:t xml:space="preserve"> </w:t>
      </w:r>
    </w:p>
    <w:p w14:paraId="4F4A0B97">
      <w:pPr>
        <w:jc w:val="center"/>
        <w:rPr>
          <w:b/>
          <w:bCs/>
          <w:color w:val="000000"/>
          <w:szCs w:val="21"/>
        </w:rPr>
      </w:pPr>
      <w:r>
        <w:rPr>
          <w:rFonts w:hint="eastAsia"/>
          <w:b/>
          <w:bCs/>
          <w:color w:val="000000"/>
          <w:szCs w:val="21"/>
        </w:rPr>
        <w:t>表5.2-</w:t>
      </w:r>
      <w:r>
        <w:rPr>
          <w:rFonts w:hint="eastAsia"/>
          <w:b/>
          <w:bCs/>
          <w:color w:val="000000"/>
          <w:szCs w:val="21"/>
          <w:lang w:val="en-US" w:eastAsia="zh-CN"/>
        </w:rPr>
        <w:t>7</w:t>
      </w:r>
      <w:r>
        <w:rPr>
          <w:rFonts w:hint="eastAsia"/>
          <w:b/>
          <w:bCs/>
          <w:color w:val="000000"/>
          <w:szCs w:val="21"/>
        </w:rPr>
        <w:t xml:space="preserve">  主要废气污染源参数一览表(矩形面源) </w:t>
      </w:r>
    </w:p>
    <w:tbl>
      <w:tblPr>
        <w:tblStyle w:val="49"/>
        <w:tblW w:w="4997" w:type="pct"/>
        <w:tblInd w:w="0" w:type="dxa"/>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autofit"/>
        <w:tblCellMar>
          <w:top w:w="0" w:type="dxa"/>
          <w:left w:w="108" w:type="dxa"/>
          <w:bottom w:w="0" w:type="dxa"/>
          <w:right w:w="108" w:type="dxa"/>
        </w:tblCellMar>
      </w:tblPr>
      <w:tblGrid>
        <w:gridCol w:w="1140"/>
        <w:gridCol w:w="1168"/>
        <w:gridCol w:w="1380"/>
        <w:gridCol w:w="1235"/>
        <w:gridCol w:w="962"/>
        <w:gridCol w:w="904"/>
        <w:gridCol w:w="966"/>
        <w:gridCol w:w="1527"/>
      </w:tblGrid>
      <w:tr w14:paraId="66138B39">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445" w:hRule="atLeast"/>
        </w:trPr>
        <w:tc>
          <w:tcPr>
            <w:tcW w:w="614" w:type="pct"/>
            <w:vMerge w:val="restart"/>
            <w:tcBorders>
              <w:tl2br w:val="nil"/>
              <w:tr2bl w:val="nil"/>
            </w:tcBorders>
            <w:vAlign w:val="center"/>
          </w:tcPr>
          <w:p w14:paraId="66AB77BF">
            <w:pPr>
              <w:pStyle w:val="240"/>
              <w:rPr>
                <w:rFonts w:hint="default"/>
              </w:rPr>
            </w:pPr>
            <w:r>
              <w:t>污染源名称</w:t>
            </w:r>
          </w:p>
        </w:tc>
        <w:tc>
          <w:tcPr>
            <w:tcW w:w="1372" w:type="pct"/>
            <w:gridSpan w:val="2"/>
            <w:tcBorders>
              <w:tl2br w:val="nil"/>
              <w:tr2bl w:val="nil"/>
            </w:tcBorders>
            <w:vAlign w:val="center"/>
          </w:tcPr>
          <w:p w14:paraId="5B1DB6B2">
            <w:pPr>
              <w:pStyle w:val="240"/>
              <w:rPr>
                <w:rFonts w:hint="default"/>
              </w:rPr>
            </w:pPr>
            <w:r>
              <w:t>坐标(°)</w:t>
            </w:r>
          </w:p>
        </w:tc>
        <w:tc>
          <w:tcPr>
            <w:tcW w:w="665" w:type="pct"/>
            <w:vMerge w:val="restart"/>
            <w:tcBorders>
              <w:tl2br w:val="nil"/>
              <w:tr2bl w:val="nil"/>
            </w:tcBorders>
            <w:vAlign w:val="center"/>
          </w:tcPr>
          <w:p w14:paraId="1DF6C27A">
            <w:pPr>
              <w:pStyle w:val="240"/>
              <w:rPr>
                <w:rFonts w:hint="default"/>
              </w:rPr>
            </w:pPr>
            <w:r>
              <w:t>海拔高度(m)</w:t>
            </w:r>
          </w:p>
        </w:tc>
        <w:tc>
          <w:tcPr>
            <w:tcW w:w="1525" w:type="pct"/>
            <w:gridSpan w:val="3"/>
            <w:tcBorders>
              <w:tl2br w:val="nil"/>
              <w:tr2bl w:val="nil"/>
            </w:tcBorders>
            <w:vAlign w:val="center"/>
          </w:tcPr>
          <w:p w14:paraId="1E8F86CF">
            <w:pPr>
              <w:pStyle w:val="240"/>
              <w:rPr>
                <w:rFonts w:hint="default"/>
              </w:rPr>
            </w:pPr>
            <w:r>
              <w:t>矩形面源</w:t>
            </w:r>
          </w:p>
        </w:tc>
        <w:tc>
          <w:tcPr>
            <w:tcW w:w="822" w:type="pct"/>
            <w:tcBorders>
              <w:tl2br w:val="nil"/>
              <w:tr2bl w:val="nil"/>
            </w:tcBorders>
            <w:vAlign w:val="center"/>
          </w:tcPr>
          <w:p w14:paraId="0333676E">
            <w:pPr>
              <w:pStyle w:val="240"/>
              <w:rPr>
                <w:rFonts w:hint="default"/>
              </w:rPr>
            </w:pPr>
            <w:r>
              <w:t>污染物排放速率(kg/h)</w:t>
            </w:r>
          </w:p>
        </w:tc>
      </w:tr>
      <w:tr w14:paraId="24B47840">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62" w:hRule="atLeast"/>
        </w:trPr>
        <w:tc>
          <w:tcPr>
            <w:tcW w:w="614" w:type="pct"/>
            <w:vMerge w:val="continue"/>
            <w:tcBorders>
              <w:tl2br w:val="nil"/>
              <w:tr2bl w:val="nil"/>
            </w:tcBorders>
            <w:vAlign w:val="center"/>
          </w:tcPr>
          <w:p w14:paraId="16D1069E">
            <w:pPr>
              <w:pStyle w:val="240"/>
              <w:rPr>
                <w:rFonts w:hint="default"/>
              </w:rPr>
            </w:pPr>
          </w:p>
        </w:tc>
        <w:tc>
          <w:tcPr>
            <w:tcW w:w="629" w:type="pct"/>
            <w:tcBorders>
              <w:tl2br w:val="nil"/>
              <w:tr2bl w:val="nil"/>
            </w:tcBorders>
            <w:vAlign w:val="center"/>
          </w:tcPr>
          <w:p w14:paraId="6BF79E02">
            <w:pPr>
              <w:pStyle w:val="240"/>
              <w:rPr>
                <w:rFonts w:hint="default"/>
              </w:rPr>
            </w:pPr>
            <w:r>
              <w:t>经度</w:t>
            </w:r>
          </w:p>
        </w:tc>
        <w:tc>
          <w:tcPr>
            <w:tcW w:w="743" w:type="pct"/>
            <w:tcBorders>
              <w:tl2br w:val="nil"/>
              <w:tr2bl w:val="nil"/>
            </w:tcBorders>
            <w:vAlign w:val="center"/>
          </w:tcPr>
          <w:p w14:paraId="15759EED">
            <w:pPr>
              <w:pStyle w:val="240"/>
              <w:rPr>
                <w:rFonts w:hint="default"/>
              </w:rPr>
            </w:pPr>
            <w:r>
              <w:t>纬度</w:t>
            </w:r>
          </w:p>
        </w:tc>
        <w:tc>
          <w:tcPr>
            <w:tcW w:w="665" w:type="pct"/>
            <w:vMerge w:val="continue"/>
            <w:tcBorders>
              <w:tl2br w:val="nil"/>
              <w:tr2bl w:val="nil"/>
            </w:tcBorders>
            <w:vAlign w:val="center"/>
          </w:tcPr>
          <w:p w14:paraId="5C5EA8A9">
            <w:pPr>
              <w:pStyle w:val="240"/>
              <w:rPr>
                <w:rFonts w:hint="default"/>
              </w:rPr>
            </w:pPr>
          </w:p>
        </w:tc>
        <w:tc>
          <w:tcPr>
            <w:tcW w:w="518" w:type="pct"/>
            <w:tcBorders>
              <w:tl2br w:val="nil"/>
              <w:tr2bl w:val="nil"/>
            </w:tcBorders>
            <w:vAlign w:val="center"/>
          </w:tcPr>
          <w:p w14:paraId="36794EEF">
            <w:pPr>
              <w:jc w:val="center"/>
              <w:rPr>
                <w:rFonts w:hint="default" w:ascii="宋体" w:hAnsi="宋体" w:eastAsia="宋体" w:cs="Times New Roman"/>
                <w:szCs w:val="21"/>
              </w:rPr>
            </w:pPr>
            <w:r>
              <w:rPr>
                <w:rFonts w:ascii="宋体" w:hAnsi="宋体" w:eastAsia="宋体" w:cs="Times New Roman"/>
                <w:szCs w:val="21"/>
              </w:rPr>
              <w:t>长度(m)</w:t>
            </w:r>
          </w:p>
        </w:tc>
        <w:tc>
          <w:tcPr>
            <w:tcW w:w="487" w:type="pct"/>
            <w:tcBorders>
              <w:tl2br w:val="nil"/>
              <w:tr2bl w:val="nil"/>
            </w:tcBorders>
            <w:vAlign w:val="center"/>
          </w:tcPr>
          <w:p w14:paraId="66D6041C">
            <w:pPr>
              <w:jc w:val="center"/>
              <w:rPr>
                <w:rFonts w:hint="default" w:ascii="宋体" w:hAnsi="宋体" w:eastAsia="宋体" w:cs="Times New Roman"/>
                <w:szCs w:val="21"/>
              </w:rPr>
            </w:pPr>
            <w:r>
              <w:rPr>
                <w:rFonts w:ascii="宋体" w:hAnsi="宋体" w:eastAsia="宋体" w:cs="Times New Roman"/>
                <w:szCs w:val="21"/>
              </w:rPr>
              <w:t>宽度(m)</w:t>
            </w:r>
          </w:p>
        </w:tc>
        <w:tc>
          <w:tcPr>
            <w:tcW w:w="520" w:type="pct"/>
            <w:tcBorders>
              <w:tl2br w:val="nil"/>
              <w:tr2bl w:val="nil"/>
            </w:tcBorders>
            <w:vAlign w:val="center"/>
          </w:tcPr>
          <w:p w14:paraId="3B68857B">
            <w:pPr>
              <w:jc w:val="center"/>
              <w:rPr>
                <w:rFonts w:hint="default" w:ascii="宋体" w:hAnsi="宋体" w:eastAsia="宋体" w:cs="Times New Roman"/>
                <w:szCs w:val="21"/>
              </w:rPr>
            </w:pPr>
            <w:r>
              <w:rPr>
                <w:rFonts w:ascii="宋体" w:hAnsi="宋体" w:eastAsia="宋体" w:cs="Times New Roman"/>
                <w:szCs w:val="21"/>
              </w:rPr>
              <w:t>有效高度(m)</w:t>
            </w:r>
          </w:p>
        </w:tc>
        <w:tc>
          <w:tcPr>
            <w:tcW w:w="822" w:type="pct"/>
            <w:tcBorders>
              <w:tl2br w:val="nil"/>
              <w:tr2bl w:val="nil"/>
            </w:tcBorders>
            <w:vAlign w:val="center"/>
          </w:tcPr>
          <w:p w14:paraId="33D59B52">
            <w:pPr>
              <w:jc w:val="center"/>
              <w:rPr>
                <w:rFonts w:hint="default" w:ascii="宋体" w:hAnsi="宋体" w:eastAsia="宋体" w:cs="Times New Roman"/>
                <w:szCs w:val="21"/>
              </w:rPr>
            </w:pPr>
            <w:r>
              <w:rPr>
                <w:rFonts w:ascii="宋体" w:hAnsi="宋体" w:eastAsia="宋体" w:cs="Times New Roman"/>
                <w:szCs w:val="21"/>
              </w:rPr>
              <w:t>NMHC</w:t>
            </w:r>
          </w:p>
        </w:tc>
      </w:tr>
      <w:tr w14:paraId="7E59CCF1">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34" w:hRule="atLeast"/>
        </w:trPr>
        <w:tc>
          <w:tcPr>
            <w:tcW w:w="614" w:type="pct"/>
            <w:tcBorders>
              <w:tl2br w:val="nil"/>
              <w:tr2bl w:val="nil"/>
            </w:tcBorders>
            <w:vAlign w:val="center"/>
          </w:tcPr>
          <w:p w14:paraId="3A75F276">
            <w:pPr>
              <w:pStyle w:val="240"/>
              <w:rPr>
                <w:rFonts w:hint="default"/>
              </w:rPr>
            </w:pPr>
            <w:r>
              <w:t>生产车间</w:t>
            </w:r>
          </w:p>
        </w:tc>
        <w:tc>
          <w:tcPr>
            <w:tcW w:w="629" w:type="pct"/>
            <w:tcBorders>
              <w:tl2br w:val="nil"/>
              <w:tr2bl w:val="nil"/>
            </w:tcBorders>
            <w:vAlign w:val="center"/>
          </w:tcPr>
          <w:p w14:paraId="59E37015">
            <w:pPr>
              <w:pStyle w:val="240"/>
              <w:rPr>
                <w:rFonts w:hint="default" w:eastAsia="宋体"/>
                <w:lang w:val="en-US" w:eastAsia="zh-CN"/>
              </w:rPr>
            </w:pPr>
            <w:r>
              <w:t>85.8367</w:t>
            </w:r>
            <w:r>
              <w:rPr>
                <w:rFonts w:hint="eastAsia"/>
                <w:lang w:val="en-US" w:eastAsia="zh-CN"/>
              </w:rPr>
              <w:t>32</w:t>
            </w:r>
          </w:p>
        </w:tc>
        <w:tc>
          <w:tcPr>
            <w:tcW w:w="743" w:type="pct"/>
            <w:tcBorders>
              <w:tl2br w:val="nil"/>
              <w:tr2bl w:val="nil"/>
            </w:tcBorders>
            <w:vAlign w:val="center"/>
          </w:tcPr>
          <w:p w14:paraId="054FBFF5">
            <w:pPr>
              <w:pStyle w:val="240"/>
              <w:rPr>
                <w:rFonts w:hint="eastAsia" w:eastAsia="宋体"/>
                <w:lang w:val="en-US" w:eastAsia="zh-CN"/>
              </w:rPr>
            </w:pPr>
            <w:r>
              <w:t>41.41762</w:t>
            </w:r>
            <w:r>
              <w:rPr>
                <w:rFonts w:hint="eastAsia"/>
                <w:lang w:val="en-US" w:eastAsia="zh-CN"/>
              </w:rPr>
              <w:t>5</w:t>
            </w:r>
          </w:p>
        </w:tc>
        <w:tc>
          <w:tcPr>
            <w:tcW w:w="665" w:type="pct"/>
            <w:tcBorders>
              <w:tl2br w:val="nil"/>
              <w:tr2bl w:val="nil"/>
            </w:tcBorders>
            <w:vAlign w:val="center"/>
          </w:tcPr>
          <w:p w14:paraId="5F83C3D0">
            <w:pPr>
              <w:pStyle w:val="240"/>
              <w:rPr>
                <w:rFonts w:hint="default"/>
              </w:rPr>
            </w:pPr>
            <w:r>
              <w:t>890.00</w:t>
            </w:r>
          </w:p>
        </w:tc>
        <w:tc>
          <w:tcPr>
            <w:tcW w:w="518" w:type="pct"/>
            <w:tcBorders>
              <w:tl2br w:val="nil"/>
              <w:tr2bl w:val="nil"/>
            </w:tcBorders>
            <w:vAlign w:val="center"/>
          </w:tcPr>
          <w:p w14:paraId="5CFBEA09">
            <w:pPr>
              <w:jc w:val="center"/>
              <w:rPr>
                <w:rFonts w:hint="default" w:ascii="宋体" w:hAnsi="宋体" w:eastAsia="宋体" w:cs="Times New Roman"/>
                <w:szCs w:val="21"/>
              </w:rPr>
            </w:pPr>
            <w:r>
              <w:rPr>
                <w:rFonts w:ascii="宋体" w:hAnsi="宋体" w:eastAsia="宋体" w:cs="Times New Roman"/>
                <w:szCs w:val="21"/>
              </w:rPr>
              <w:t>42</w:t>
            </w:r>
          </w:p>
        </w:tc>
        <w:tc>
          <w:tcPr>
            <w:tcW w:w="487" w:type="pct"/>
            <w:tcBorders>
              <w:tl2br w:val="nil"/>
              <w:tr2bl w:val="nil"/>
            </w:tcBorders>
            <w:vAlign w:val="center"/>
          </w:tcPr>
          <w:p w14:paraId="474E558D">
            <w:pPr>
              <w:jc w:val="center"/>
              <w:rPr>
                <w:rFonts w:hint="default" w:ascii="宋体" w:hAnsi="宋体" w:eastAsia="宋体" w:cs="Times New Roman"/>
                <w:szCs w:val="21"/>
              </w:rPr>
            </w:pPr>
            <w:r>
              <w:rPr>
                <w:rFonts w:ascii="宋体" w:hAnsi="宋体" w:eastAsia="宋体" w:cs="Times New Roman"/>
                <w:szCs w:val="21"/>
              </w:rPr>
              <w:t>20.00</w:t>
            </w:r>
          </w:p>
        </w:tc>
        <w:tc>
          <w:tcPr>
            <w:tcW w:w="520" w:type="pct"/>
            <w:tcBorders>
              <w:tl2br w:val="nil"/>
              <w:tr2bl w:val="nil"/>
            </w:tcBorders>
            <w:vAlign w:val="center"/>
          </w:tcPr>
          <w:p w14:paraId="2334ECD9">
            <w:pPr>
              <w:jc w:val="center"/>
              <w:rPr>
                <w:rFonts w:hint="default" w:ascii="宋体" w:hAnsi="宋体" w:eastAsia="宋体" w:cs="Times New Roman"/>
                <w:szCs w:val="21"/>
              </w:rPr>
            </w:pPr>
            <w:r>
              <w:rPr>
                <w:rFonts w:ascii="宋体" w:hAnsi="宋体" w:eastAsia="宋体" w:cs="Times New Roman"/>
                <w:szCs w:val="21"/>
              </w:rPr>
              <w:t>7</w:t>
            </w:r>
          </w:p>
        </w:tc>
        <w:tc>
          <w:tcPr>
            <w:tcW w:w="822" w:type="pct"/>
            <w:tcBorders>
              <w:tl2br w:val="nil"/>
              <w:tr2bl w:val="nil"/>
            </w:tcBorders>
            <w:vAlign w:val="center"/>
          </w:tcPr>
          <w:p w14:paraId="406F0684">
            <w:pPr>
              <w:jc w:val="center"/>
              <w:rPr>
                <w:rFonts w:hint="default" w:ascii="宋体" w:hAnsi="宋体" w:eastAsia="宋体" w:cs="Times New Roman"/>
                <w:szCs w:val="21"/>
                <w:lang w:val="en-US" w:eastAsia="zh-CN"/>
              </w:rPr>
            </w:pPr>
            <w:r>
              <w:rPr>
                <w:rFonts w:ascii="宋体" w:hAnsi="宋体" w:eastAsia="宋体" w:cs="Times New Roman"/>
                <w:szCs w:val="21"/>
              </w:rPr>
              <w:t>0.</w:t>
            </w:r>
            <w:r>
              <w:rPr>
                <w:rFonts w:hint="eastAsia" w:ascii="宋体" w:hAnsi="宋体" w:eastAsia="宋体" w:cs="Times New Roman"/>
                <w:szCs w:val="21"/>
                <w:lang w:val="en-US" w:eastAsia="zh-CN"/>
              </w:rPr>
              <w:t>294</w:t>
            </w:r>
          </w:p>
        </w:tc>
      </w:tr>
    </w:tbl>
    <w:p w14:paraId="56183555">
      <w:pPr>
        <w:widowControl/>
        <w:tabs>
          <w:tab w:val="left" w:leader="dot" w:pos="8770"/>
        </w:tabs>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（7）估算模式预测结果</w:t>
      </w:r>
    </w:p>
    <w:p w14:paraId="79C2DA6A">
      <w:pPr>
        <w:widowControl/>
        <w:tabs>
          <w:tab w:val="left" w:leader="dot" w:pos="8770"/>
        </w:tabs>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①正常工况</w:t>
      </w:r>
    </w:p>
    <w:p w14:paraId="4341FADC">
      <w:pPr>
        <w:widowControl/>
        <w:tabs>
          <w:tab w:val="left" w:leader="dot" w:pos="8770"/>
        </w:tabs>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根据估算模式AERSCREEN预测结果，正常情况下排放的各污染物最大落地浓度和占标率以及评价范围的落地浓度及占标率见表5.2-</w:t>
      </w:r>
      <w:r>
        <w:rPr>
          <w:rFonts w:hint="eastAsia" w:ascii="宋体" w:hAnsi="宋体" w:cs="宋体"/>
          <w:color w:val="000000"/>
          <w:sz w:val="24"/>
          <w:szCs w:val="24"/>
          <w:lang w:val="en-US" w:eastAsia="zh-CN"/>
        </w:rPr>
        <w:t>8</w:t>
      </w:r>
      <w:r>
        <w:rPr>
          <w:rFonts w:hint="eastAsia" w:ascii="宋体" w:hAnsi="宋体" w:cs="宋体"/>
          <w:color w:val="000000"/>
          <w:sz w:val="24"/>
          <w:szCs w:val="24"/>
        </w:rPr>
        <w:t>、5.2-</w:t>
      </w:r>
      <w:r>
        <w:rPr>
          <w:rFonts w:hint="eastAsia" w:ascii="宋体" w:hAnsi="宋体" w:cs="宋体"/>
          <w:color w:val="000000"/>
          <w:sz w:val="24"/>
          <w:szCs w:val="24"/>
          <w:lang w:val="en-US" w:eastAsia="zh-CN"/>
        </w:rPr>
        <w:t>9</w:t>
      </w:r>
      <w:r>
        <w:rPr>
          <w:rFonts w:hint="eastAsia" w:ascii="宋体" w:hAnsi="宋体" w:cs="宋体"/>
          <w:color w:val="000000"/>
          <w:sz w:val="24"/>
          <w:szCs w:val="24"/>
        </w:rPr>
        <w:t>。</w:t>
      </w:r>
    </w:p>
    <w:p w14:paraId="5541A88E">
      <w:pPr>
        <w:jc w:val="center"/>
        <w:rPr>
          <w:b/>
          <w:bCs/>
          <w:color w:val="000000"/>
          <w:szCs w:val="21"/>
        </w:rPr>
      </w:pPr>
      <w:r>
        <w:rPr>
          <w:rFonts w:hint="eastAsia"/>
          <w:b/>
          <w:bCs/>
          <w:color w:val="000000"/>
          <w:szCs w:val="21"/>
        </w:rPr>
        <w:t>表5.2-</w:t>
      </w:r>
      <w:r>
        <w:rPr>
          <w:rFonts w:hint="eastAsia"/>
          <w:b/>
          <w:bCs/>
          <w:color w:val="000000"/>
          <w:szCs w:val="21"/>
          <w:lang w:val="en-US" w:eastAsia="zh-CN"/>
        </w:rPr>
        <w:t>8</w:t>
      </w:r>
      <w:r>
        <w:rPr>
          <w:rFonts w:hint="eastAsia"/>
          <w:b/>
          <w:bCs/>
          <w:color w:val="000000"/>
          <w:szCs w:val="21"/>
        </w:rPr>
        <w:t xml:space="preserve">      有组织废气大气污染物最大落地浓度及占标率估算结果</w:t>
      </w:r>
    </w:p>
    <w:tbl>
      <w:tblPr>
        <w:tblStyle w:val="50"/>
        <w:tblW w:w="9119" w:type="dxa"/>
        <w:tblInd w:w="0" w:type="dxa"/>
        <w:tblBorders>
          <w:top w:val="single" w:color="auto" w:sz="12" w:space="0"/>
          <w:left w:val="single" w:color="auto" w:sz="12" w:space="0"/>
          <w:bottom w:val="single" w:color="auto" w:sz="12" w:space="0"/>
          <w:right w:val="single" w:color="auto" w:sz="12" w:space="0"/>
          <w:insideH w:val="single" w:color="auto" w:sz="2" w:space="0"/>
          <w:insideV w:val="single" w:color="auto" w:sz="4" w:space="0"/>
        </w:tblBorders>
        <w:tblLayout w:type="autofit"/>
        <w:tblCellMar>
          <w:top w:w="0" w:type="dxa"/>
          <w:left w:w="108" w:type="dxa"/>
          <w:bottom w:w="0" w:type="dxa"/>
          <w:right w:w="108" w:type="dxa"/>
        </w:tblCellMar>
      </w:tblPr>
      <w:tblGrid>
        <w:gridCol w:w="2828"/>
        <w:gridCol w:w="3354"/>
        <w:gridCol w:w="2937"/>
      </w:tblGrid>
      <w:tr w14:paraId="3932D363">
        <w:tblPrEx>
          <w:tblBorders>
            <w:top w:val="single" w:color="auto" w:sz="12" w:space="0"/>
            <w:left w:val="single" w:color="auto" w:sz="12" w:space="0"/>
            <w:bottom w:val="single" w:color="auto" w:sz="12" w:space="0"/>
            <w:right w:val="single" w:color="auto" w:sz="12" w:space="0"/>
            <w:insideH w:val="single" w:color="auto" w:sz="2" w:space="0"/>
            <w:insideV w:val="single" w:color="auto" w:sz="4" w:space="0"/>
          </w:tblBorders>
          <w:tblCellMar>
            <w:top w:w="0" w:type="dxa"/>
            <w:left w:w="108" w:type="dxa"/>
            <w:bottom w:w="0" w:type="dxa"/>
            <w:right w:w="108" w:type="dxa"/>
          </w:tblCellMar>
        </w:tblPrEx>
        <w:trPr>
          <w:trHeight w:val="378" w:hRule="atLeast"/>
        </w:trPr>
        <w:tc>
          <w:tcPr>
            <w:tcW w:w="0" w:type="auto"/>
            <w:vMerge w:val="restart"/>
            <w:tcBorders>
              <w:tl2br w:val="nil"/>
              <w:tr2bl w:val="nil"/>
            </w:tcBorders>
            <w:vAlign w:val="center"/>
          </w:tcPr>
          <w:p w14:paraId="52EC393C">
            <w:pPr>
              <w:pStyle w:val="240"/>
              <w:rPr>
                <w:rFonts w:hint="default"/>
              </w:rPr>
            </w:pPr>
            <w:r>
              <w:rPr>
                <w:rFonts w:hint="default"/>
              </w:rPr>
              <w:t>下风向距离（m）</w:t>
            </w:r>
          </w:p>
        </w:tc>
        <w:tc>
          <w:tcPr>
            <w:tcW w:w="6291" w:type="dxa"/>
            <w:gridSpan w:val="2"/>
            <w:tcBorders>
              <w:tl2br w:val="nil"/>
              <w:tr2bl w:val="nil"/>
            </w:tcBorders>
            <w:vAlign w:val="center"/>
          </w:tcPr>
          <w:p w14:paraId="4B5C90FB">
            <w:pPr>
              <w:pStyle w:val="240"/>
              <w:rPr>
                <w:rFonts w:hint="default"/>
              </w:rPr>
            </w:pPr>
            <w:r>
              <w:rPr>
                <w:rFonts w:hint="default"/>
              </w:rPr>
              <w:t>非甲烷总烃</w:t>
            </w:r>
          </w:p>
        </w:tc>
      </w:tr>
      <w:tr w14:paraId="7A4CC438">
        <w:tblPrEx>
          <w:tblBorders>
            <w:top w:val="single" w:color="auto" w:sz="12" w:space="0"/>
            <w:left w:val="single" w:color="auto" w:sz="12" w:space="0"/>
            <w:bottom w:val="single" w:color="auto" w:sz="12" w:space="0"/>
            <w:right w:val="single" w:color="auto" w:sz="12" w:space="0"/>
            <w:insideH w:val="single" w:color="auto" w:sz="2" w:space="0"/>
            <w:insideV w:val="single" w:color="auto" w:sz="4" w:space="0"/>
          </w:tblBorders>
          <w:tblCellMar>
            <w:top w:w="0" w:type="dxa"/>
            <w:left w:w="108" w:type="dxa"/>
            <w:bottom w:w="0" w:type="dxa"/>
            <w:right w:w="108" w:type="dxa"/>
          </w:tblCellMar>
        </w:tblPrEx>
        <w:trPr>
          <w:trHeight w:val="350" w:hRule="atLeast"/>
        </w:trPr>
        <w:tc>
          <w:tcPr>
            <w:tcW w:w="0" w:type="auto"/>
            <w:vMerge w:val="continue"/>
            <w:tcBorders>
              <w:tl2br w:val="nil"/>
              <w:tr2bl w:val="nil"/>
            </w:tcBorders>
            <w:vAlign w:val="center"/>
          </w:tcPr>
          <w:p w14:paraId="6DE44D83">
            <w:pPr>
              <w:pStyle w:val="240"/>
              <w:rPr>
                <w:rFonts w:hint="default"/>
              </w:rPr>
            </w:pPr>
          </w:p>
        </w:tc>
        <w:tc>
          <w:tcPr>
            <w:tcW w:w="0" w:type="auto"/>
            <w:tcBorders>
              <w:tl2br w:val="nil"/>
              <w:tr2bl w:val="nil"/>
            </w:tcBorders>
            <w:vAlign w:val="center"/>
          </w:tcPr>
          <w:p w14:paraId="6A7E7E8B">
            <w:pPr>
              <w:pStyle w:val="240"/>
              <w:rPr>
                <w:rFonts w:hint="default"/>
              </w:rPr>
            </w:pPr>
            <w:r>
              <w:rPr>
                <w:rFonts w:hint="default"/>
              </w:rPr>
              <w:t>预测浓度C（μg/m</w:t>
            </w:r>
            <w:r>
              <w:rPr>
                <w:rFonts w:hint="default"/>
                <w:vertAlign w:val="superscript"/>
              </w:rPr>
              <w:t>3</w:t>
            </w:r>
            <w:r>
              <w:rPr>
                <w:rFonts w:hint="default"/>
              </w:rPr>
              <w:t>）</w:t>
            </w:r>
          </w:p>
        </w:tc>
        <w:tc>
          <w:tcPr>
            <w:tcW w:w="0" w:type="auto"/>
            <w:tcBorders>
              <w:tl2br w:val="nil"/>
              <w:tr2bl w:val="nil"/>
            </w:tcBorders>
            <w:vAlign w:val="center"/>
          </w:tcPr>
          <w:p w14:paraId="11C98054">
            <w:pPr>
              <w:pStyle w:val="240"/>
              <w:rPr>
                <w:rFonts w:hint="default"/>
              </w:rPr>
            </w:pPr>
            <w:r>
              <w:rPr>
                <w:rFonts w:hint="default"/>
              </w:rPr>
              <w:t>浓度占标率P（%）</w:t>
            </w:r>
          </w:p>
        </w:tc>
      </w:tr>
      <w:tr w14:paraId="5CF2EB6A">
        <w:tblPrEx>
          <w:tblBorders>
            <w:top w:val="single" w:color="auto" w:sz="12" w:space="0"/>
            <w:left w:val="single" w:color="auto" w:sz="12" w:space="0"/>
            <w:bottom w:val="single" w:color="auto" w:sz="12" w:space="0"/>
            <w:right w:val="single" w:color="auto" w:sz="12" w:space="0"/>
            <w:insideH w:val="single" w:color="auto" w:sz="2" w:space="0"/>
            <w:insideV w:val="single" w:color="auto" w:sz="4" w:space="0"/>
          </w:tblBorders>
          <w:tblCellMar>
            <w:top w:w="0" w:type="dxa"/>
            <w:left w:w="108" w:type="dxa"/>
            <w:bottom w:w="0" w:type="dxa"/>
            <w:right w:w="108" w:type="dxa"/>
          </w:tblCellMar>
        </w:tblPrEx>
        <w:trPr>
          <w:trHeight w:val="350" w:hRule="atLeast"/>
        </w:trPr>
        <w:tc>
          <w:tcPr>
            <w:tcW w:w="2828" w:type="dxa"/>
            <w:tcBorders>
              <w:tl2br w:val="nil"/>
              <w:tr2bl w:val="nil"/>
            </w:tcBorders>
            <w:vAlign w:val="center"/>
          </w:tcPr>
          <w:p w14:paraId="6E1090E7">
            <w:pPr>
              <w:jc w:val="center"/>
              <w:rPr>
                <w:color w:val="000000"/>
                <w:szCs w:val="21"/>
              </w:rPr>
            </w:pPr>
            <w:r>
              <w:rPr>
                <w:rFonts w:ascii="宋体" w:hAnsi="宋体"/>
                <w:szCs w:val="21"/>
              </w:rPr>
              <w:t>50.0</w:t>
            </w:r>
          </w:p>
        </w:tc>
        <w:tc>
          <w:tcPr>
            <w:tcW w:w="3354" w:type="dxa"/>
            <w:tcBorders>
              <w:tl2br w:val="nil"/>
              <w:tr2bl w:val="nil"/>
            </w:tcBorders>
            <w:vAlign w:val="center"/>
          </w:tcPr>
          <w:p w14:paraId="0C93D1CD">
            <w:pPr>
              <w:jc w:val="center"/>
              <w:rPr>
                <w:rFonts w:ascii="宋体" w:hAnsi="宋体" w:eastAsia="宋体" w:cs="Times New Roman"/>
                <w:szCs w:val="21"/>
              </w:rPr>
            </w:pPr>
            <w:r>
              <w:rPr>
                <w:rFonts w:ascii="宋体" w:hAnsi="宋体" w:eastAsia="宋体" w:cs="Times New Roman"/>
                <w:szCs w:val="21"/>
              </w:rPr>
              <w:t>14.6130</w:t>
            </w:r>
          </w:p>
        </w:tc>
        <w:tc>
          <w:tcPr>
            <w:tcW w:w="2937" w:type="dxa"/>
            <w:tcBorders>
              <w:tl2br w:val="nil"/>
              <w:tr2bl w:val="nil"/>
            </w:tcBorders>
            <w:vAlign w:val="center"/>
          </w:tcPr>
          <w:p w14:paraId="1DE45DE5">
            <w:pPr>
              <w:jc w:val="center"/>
              <w:rPr>
                <w:rFonts w:ascii="宋体" w:hAnsi="宋体" w:eastAsia="宋体" w:cs="Times New Roman"/>
                <w:szCs w:val="21"/>
              </w:rPr>
            </w:pPr>
            <w:r>
              <w:rPr>
                <w:rFonts w:ascii="宋体" w:hAnsi="宋体" w:eastAsia="宋体" w:cs="Times New Roman"/>
                <w:szCs w:val="21"/>
              </w:rPr>
              <w:t>0.7306</w:t>
            </w:r>
          </w:p>
        </w:tc>
      </w:tr>
      <w:tr w14:paraId="0DA1C18A">
        <w:tblPrEx>
          <w:tblBorders>
            <w:top w:val="single" w:color="auto" w:sz="12" w:space="0"/>
            <w:left w:val="single" w:color="auto" w:sz="12" w:space="0"/>
            <w:bottom w:val="single" w:color="auto" w:sz="12" w:space="0"/>
            <w:right w:val="single" w:color="auto" w:sz="12" w:space="0"/>
            <w:insideH w:val="single" w:color="auto" w:sz="2" w:space="0"/>
            <w:insideV w:val="single" w:color="auto" w:sz="4" w:space="0"/>
          </w:tblBorders>
          <w:tblCellMar>
            <w:top w:w="0" w:type="dxa"/>
            <w:left w:w="108" w:type="dxa"/>
            <w:bottom w:w="0" w:type="dxa"/>
            <w:right w:w="108" w:type="dxa"/>
          </w:tblCellMar>
        </w:tblPrEx>
        <w:trPr>
          <w:trHeight w:val="350" w:hRule="atLeast"/>
        </w:trPr>
        <w:tc>
          <w:tcPr>
            <w:tcW w:w="2828" w:type="dxa"/>
            <w:tcBorders>
              <w:tl2br w:val="nil"/>
              <w:tr2bl w:val="nil"/>
            </w:tcBorders>
            <w:vAlign w:val="center"/>
          </w:tcPr>
          <w:p w14:paraId="6E3E1773">
            <w:pPr>
              <w:jc w:val="center"/>
              <w:rPr>
                <w:color w:val="000000"/>
                <w:szCs w:val="21"/>
              </w:rPr>
            </w:pPr>
            <w:r>
              <w:rPr>
                <w:rFonts w:ascii="宋体" w:hAnsi="宋体"/>
                <w:szCs w:val="21"/>
              </w:rPr>
              <w:t>100.0</w:t>
            </w:r>
          </w:p>
        </w:tc>
        <w:tc>
          <w:tcPr>
            <w:tcW w:w="3354" w:type="dxa"/>
            <w:tcBorders>
              <w:tl2br w:val="nil"/>
              <w:tr2bl w:val="nil"/>
            </w:tcBorders>
            <w:vAlign w:val="center"/>
          </w:tcPr>
          <w:p w14:paraId="5F167DBA">
            <w:pPr>
              <w:jc w:val="center"/>
              <w:rPr>
                <w:rFonts w:ascii="宋体" w:hAnsi="宋体" w:eastAsia="宋体" w:cs="Times New Roman"/>
                <w:szCs w:val="21"/>
              </w:rPr>
            </w:pPr>
            <w:r>
              <w:rPr>
                <w:rFonts w:ascii="宋体" w:hAnsi="宋体" w:eastAsia="宋体" w:cs="Times New Roman"/>
                <w:szCs w:val="21"/>
              </w:rPr>
              <w:t>32.2030</w:t>
            </w:r>
          </w:p>
        </w:tc>
        <w:tc>
          <w:tcPr>
            <w:tcW w:w="2937" w:type="dxa"/>
            <w:tcBorders>
              <w:tl2br w:val="nil"/>
              <w:tr2bl w:val="nil"/>
            </w:tcBorders>
            <w:vAlign w:val="center"/>
          </w:tcPr>
          <w:p w14:paraId="7CE23896">
            <w:pPr>
              <w:jc w:val="center"/>
              <w:rPr>
                <w:rFonts w:ascii="宋体" w:hAnsi="宋体" w:eastAsia="宋体" w:cs="Times New Roman"/>
                <w:szCs w:val="21"/>
              </w:rPr>
            </w:pPr>
            <w:r>
              <w:rPr>
                <w:rFonts w:ascii="宋体" w:hAnsi="宋体" w:eastAsia="宋体" w:cs="Times New Roman"/>
                <w:szCs w:val="21"/>
              </w:rPr>
              <w:t>1.6102</w:t>
            </w:r>
          </w:p>
        </w:tc>
      </w:tr>
      <w:tr w14:paraId="552EE8EC">
        <w:tblPrEx>
          <w:tblBorders>
            <w:top w:val="single" w:color="auto" w:sz="12" w:space="0"/>
            <w:left w:val="single" w:color="auto" w:sz="12" w:space="0"/>
            <w:bottom w:val="single" w:color="auto" w:sz="12" w:space="0"/>
            <w:right w:val="single" w:color="auto" w:sz="12" w:space="0"/>
            <w:insideH w:val="single" w:color="auto" w:sz="2" w:space="0"/>
            <w:insideV w:val="single" w:color="auto" w:sz="4" w:space="0"/>
          </w:tblBorders>
          <w:tblCellMar>
            <w:top w:w="0" w:type="dxa"/>
            <w:left w:w="108" w:type="dxa"/>
            <w:bottom w:w="0" w:type="dxa"/>
            <w:right w:w="108" w:type="dxa"/>
          </w:tblCellMar>
        </w:tblPrEx>
        <w:trPr>
          <w:trHeight w:val="350" w:hRule="atLeast"/>
        </w:trPr>
        <w:tc>
          <w:tcPr>
            <w:tcW w:w="2828" w:type="dxa"/>
            <w:tcBorders>
              <w:tl2br w:val="nil"/>
              <w:tr2bl w:val="nil"/>
            </w:tcBorders>
            <w:vAlign w:val="center"/>
          </w:tcPr>
          <w:p w14:paraId="118A861B">
            <w:pPr>
              <w:jc w:val="center"/>
              <w:rPr>
                <w:b/>
                <w:color w:val="000000"/>
                <w:szCs w:val="21"/>
              </w:rPr>
            </w:pPr>
            <w:r>
              <w:rPr>
                <w:rFonts w:ascii="宋体" w:hAnsi="宋体"/>
                <w:szCs w:val="21"/>
              </w:rPr>
              <w:t>200.0</w:t>
            </w:r>
          </w:p>
        </w:tc>
        <w:tc>
          <w:tcPr>
            <w:tcW w:w="3354" w:type="dxa"/>
            <w:tcBorders>
              <w:tl2br w:val="nil"/>
              <w:tr2bl w:val="nil"/>
            </w:tcBorders>
            <w:vAlign w:val="center"/>
          </w:tcPr>
          <w:p w14:paraId="0A476B6A">
            <w:pPr>
              <w:jc w:val="center"/>
              <w:rPr>
                <w:rFonts w:ascii="宋体" w:hAnsi="宋体" w:eastAsia="宋体" w:cs="Times New Roman"/>
                <w:szCs w:val="21"/>
              </w:rPr>
            </w:pPr>
            <w:r>
              <w:rPr>
                <w:rFonts w:ascii="宋体" w:hAnsi="宋体" w:eastAsia="宋体" w:cs="Times New Roman"/>
                <w:szCs w:val="21"/>
              </w:rPr>
              <w:t>40.7750</w:t>
            </w:r>
          </w:p>
        </w:tc>
        <w:tc>
          <w:tcPr>
            <w:tcW w:w="2937" w:type="dxa"/>
            <w:tcBorders>
              <w:tl2br w:val="nil"/>
              <w:tr2bl w:val="nil"/>
            </w:tcBorders>
            <w:vAlign w:val="center"/>
          </w:tcPr>
          <w:p w14:paraId="70F07E6C">
            <w:pPr>
              <w:jc w:val="center"/>
              <w:rPr>
                <w:rFonts w:ascii="宋体" w:hAnsi="宋体" w:eastAsia="宋体" w:cs="Times New Roman"/>
                <w:szCs w:val="21"/>
              </w:rPr>
            </w:pPr>
            <w:r>
              <w:rPr>
                <w:rFonts w:ascii="宋体" w:hAnsi="宋体" w:eastAsia="宋体" w:cs="Times New Roman"/>
                <w:szCs w:val="21"/>
              </w:rPr>
              <w:t>2.0387</w:t>
            </w:r>
          </w:p>
        </w:tc>
      </w:tr>
      <w:tr w14:paraId="237E4084">
        <w:tblPrEx>
          <w:tblBorders>
            <w:top w:val="single" w:color="auto" w:sz="12" w:space="0"/>
            <w:left w:val="single" w:color="auto" w:sz="12" w:space="0"/>
            <w:bottom w:val="single" w:color="auto" w:sz="12" w:space="0"/>
            <w:right w:val="single" w:color="auto" w:sz="12" w:space="0"/>
            <w:insideH w:val="single" w:color="auto" w:sz="2" w:space="0"/>
            <w:insideV w:val="single" w:color="auto" w:sz="4" w:space="0"/>
          </w:tblBorders>
          <w:tblCellMar>
            <w:top w:w="0" w:type="dxa"/>
            <w:left w:w="108" w:type="dxa"/>
            <w:bottom w:w="0" w:type="dxa"/>
            <w:right w:w="108" w:type="dxa"/>
          </w:tblCellMar>
        </w:tblPrEx>
        <w:trPr>
          <w:trHeight w:val="350" w:hRule="atLeast"/>
        </w:trPr>
        <w:tc>
          <w:tcPr>
            <w:tcW w:w="2828" w:type="dxa"/>
            <w:tcBorders>
              <w:tl2br w:val="nil"/>
              <w:tr2bl w:val="nil"/>
            </w:tcBorders>
            <w:vAlign w:val="center"/>
          </w:tcPr>
          <w:p w14:paraId="03AA90F6">
            <w:pPr>
              <w:jc w:val="center"/>
              <w:rPr>
                <w:color w:val="000000"/>
                <w:szCs w:val="21"/>
              </w:rPr>
            </w:pPr>
            <w:r>
              <w:rPr>
                <w:rFonts w:ascii="宋体" w:hAnsi="宋体"/>
                <w:szCs w:val="21"/>
              </w:rPr>
              <w:t>300.0</w:t>
            </w:r>
          </w:p>
        </w:tc>
        <w:tc>
          <w:tcPr>
            <w:tcW w:w="3354" w:type="dxa"/>
            <w:tcBorders>
              <w:tl2br w:val="nil"/>
              <w:tr2bl w:val="nil"/>
            </w:tcBorders>
            <w:vAlign w:val="center"/>
          </w:tcPr>
          <w:p w14:paraId="4187DE12">
            <w:pPr>
              <w:jc w:val="center"/>
              <w:rPr>
                <w:rFonts w:ascii="宋体" w:hAnsi="宋体" w:eastAsia="宋体" w:cs="Times New Roman"/>
                <w:szCs w:val="21"/>
              </w:rPr>
            </w:pPr>
            <w:r>
              <w:rPr>
                <w:rFonts w:ascii="宋体" w:hAnsi="宋体" w:eastAsia="宋体" w:cs="Times New Roman"/>
                <w:szCs w:val="21"/>
              </w:rPr>
              <w:t>30.7150</w:t>
            </w:r>
          </w:p>
        </w:tc>
        <w:tc>
          <w:tcPr>
            <w:tcW w:w="2937" w:type="dxa"/>
            <w:tcBorders>
              <w:tl2br w:val="nil"/>
              <w:tr2bl w:val="nil"/>
            </w:tcBorders>
            <w:vAlign w:val="center"/>
          </w:tcPr>
          <w:p w14:paraId="145F34EE">
            <w:pPr>
              <w:jc w:val="center"/>
              <w:rPr>
                <w:rFonts w:ascii="宋体" w:hAnsi="宋体" w:eastAsia="宋体" w:cs="Times New Roman"/>
                <w:szCs w:val="21"/>
              </w:rPr>
            </w:pPr>
            <w:r>
              <w:rPr>
                <w:rFonts w:ascii="宋体" w:hAnsi="宋体" w:eastAsia="宋体" w:cs="Times New Roman"/>
                <w:szCs w:val="21"/>
              </w:rPr>
              <w:t>1.5357</w:t>
            </w:r>
          </w:p>
        </w:tc>
      </w:tr>
      <w:tr w14:paraId="1EFFB7A0">
        <w:tblPrEx>
          <w:tblBorders>
            <w:top w:val="single" w:color="auto" w:sz="12" w:space="0"/>
            <w:left w:val="single" w:color="auto" w:sz="12" w:space="0"/>
            <w:bottom w:val="single" w:color="auto" w:sz="12" w:space="0"/>
            <w:right w:val="single" w:color="auto" w:sz="12" w:space="0"/>
            <w:insideH w:val="single" w:color="auto" w:sz="2" w:space="0"/>
            <w:insideV w:val="single" w:color="auto" w:sz="4" w:space="0"/>
          </w:tblBorders>
          <w:tblCellMar>
            <w:top w:w="0" w:type="dxa"/>
            <w:left w:w="108" w:type="dxa"/>
            <w:bottom w:w="0" w:type="dxa"/>
            <w:right w:w="108" w:type="dxa"/>
          </w:tblCellMar>
        </w:tblPrEx>
        <w:trPr>
          <w:trHeight w:val="350" w:hRule="atLeast"/>
        </w:trPr>
        <w:tc>
          <w:tcPr>
            <w:tcW w:w="2828" w:type="dxa"/>
            <w:tcBorders>
              <w:tl2br w:val="nil"/>
              <w:tr2bl w:val="nil"/>
            </w:tcBorders>
            <w:vAlign w:val="center"/>
          </w:tcPr>
          <w:p w14:paraId="3D7DC851">
            <w:pPr>
              <w:jc w:val="center"/>
              <w:rPr>
                <w:color w:val="000000"/>
                <w:szCs w:val="21"/>
              </w:rPr>
            </w:pPr>
            <w:r>
              <w:rPr>
                <w:rFonts w:ascii="宋体" w:hAnsi="宋体"/>
                <w:szCs w:val="21"/>
              </w:rPr>
              <w:t>400.0</w:t>
            </w:r>
          </w:p>
        </w:tc>
        <w:tc>
          <w:tcPr>
            <w:tcW w:w="3354" w:type="dxa"/>
            <w:tcBorders>
              <w:tl2br w:val="nil"/>
              <w:tr2bl w:val="nil"/>
            </w:tcBorders>
            <w:vAlign w:val="center"/>
          </w:tcPr>
          <w:p w14:paraId="1D7AA664">
            <w:pPr>
              <w:jc w:val="center"/>
              <w:rPr>
                <w:rFonts w:ascii="宋体" w:hAnsi="宋体" w:eastAsia="宋体" w:cs="Times New Roman"/>
                <w:szCs w:val="21"/>
              </w:rPr>
            </w:pPr>
            <w:r>
              <w:rPr>
                <w:rFonts w:ascii="宋体" w:hAnsi="宋体" w:eastAsia="宋体" w:cs="Times New Roman"/>
                <w:szCs w:val="21"/>
              </w:rPr>
              <w:t>26.1430</w:t>
            </w:r>
          </w:p>
        </w:tc>
        <w:tc>
          <w:tcPr>
            <w:tcW w:w="2937" w:type="dxa"/>
            <w:tcBorders>
              <w:tl2br w:val="nil"/>
              <w:tr2bl w:val="nil"/>
            </w:tcBorders>
            <w:vAlign w:val="center"/>
          </w:tcPr>
          <w:p w14:paraId="054E1170">
            <w:pPr>
              <w:jc w:val="center"/>
              <w:rPr>
                <w:rFonts w:ascii="宋体" w:hAnsi="宋体" w:eastAsia="宋体" w:cs="Times New Roman"/>
                <w:szCs w:val="21"/>
              </w:rPr>
            </w:pPr>
            <w:r>
              <w:rPr>
                <w:rFonts w:ascii="宋体" w:hAnsi="宋体" w:eastAsia="宋体" w:cs="Times New Roman"/>
                <w:szCs w:val="21"/>
              </w:rPr>
              <w:t>1.3072</w:t>
            </w:r>
          </w:p>
        </w:tc>
      </w:tr>
      <w:tr w14:paraId="759FAE33">
        <w:tblPrEx>
          <w:tblBorders>
            <w:top w:val="single" w:color="auto" w:sz="12" w:space="0"/>
            <w:left w:val="single" w:color="auto" w:sz="12" w:space="0"/>
            <w:bottom w:val="single" w:color="auto" w:sz="12" w:space="0"/>
            <w:right w:val="single" w:color="auto" w:sz="12" w:space="0"/>
            <w:insideH w:val="single" w:color="auto" w:sz="2" w:space="0"/>
            <w:insideV w:val="single" w:color="auto" w:sz="4" w:space="0"/>
          </w:tblBorders>
          <w:tblCellMar>
            <w:top w:w="0" w:type="dxa"/>
            <w:left w:w="108" w:type="dxa"/>
            <w:bottom w:w="0" w:type="dxa"/>
            <w:right w:w="108" w:type="dxa"/>
          </w:tblCellMar>
        </w:tblPrEx>
        <w:trPr>
          <w:trHeight w:val="350" w:hRule="atLeast"/>
        </w:trPr>
        <w:tc>
          <w:tcPr>
            <w:tcW w:w="2828" w:type="dxa"/>
            <w:tcBorders>
              <w:tl2br w:val="nil"/>
              <w:tr2bl w:val="nil"/>
            </w:tcBorders>
            <w:vAlign w:val="center"/>
          </w:tcPr>
          <w:p w14:paraId="533448F8">
            <w:pPr>
              <w:jc w:val="center"/>
              <w:rPr>
                <w:color w:val="000000"/>
                <w:szCs w:val="21"/>
              </w:rPr>
            </w:pPr>
            <w:r>
              <w:rPr>
                <w:rFonts w:ascii="宋体" w:hAnsi="宋体"/>
                <w:szCs w:val="21"/>
              </w:rPr>
              <w:t>500.0</w:t>
            </w:r>
          </w:p>
        </w:tc>
        <w:tc>
          <w:tcPr>
            <w:tcW w:w="3354" w:type="dxa"/>
            <w:tcBorders>
              <w:tl2br w:val="nil"/>
              <w:tr2bl w:val="nil"/>
            </w:tcBorders>
            <w:vAlign w:val="center"/>
          </w:tcPr>
          <w:p w14:paraId="17E035C0">
            <w:pPr>
              <w:jc w:val="center"/>
              <w:rPr>
                <w:rFonts w:ascii="宋体" w:hAnsi="宋体" w:eastAsia="宋体" w:cs="Times New Roman"/>
                <w:szCs w:val="21"/>
              </w:rPr>
            </w:pPr>
            <w:r>
              <w:rPr>
                <w:rFonts w:ascii="宋体" w:hAnsi="宋体" w:eastAsia="宋体" w:cs="Times New Roman"/>
                <w:szCs w:val="21"/>
              </w:rPr>
              <w:t>21.8600</w:t>
            </w:r>
          </w:p>
        </w:tc>
        <w:tc>
          <w:tcPr>
            <w:tcW w:w="2937" w:type="dxa"/>
            <w:tcBorders>
              <w:tl2br w:val="nil"/>
              <w:tr2bl w:val="nil"/>
            </w:tcBorders>
            <w:vAlign w:val="center"/>
          </w:tcPr>
          <w:p w14:paraId="0F7AD08F">
            <w:pPr>
              <w:jc w:val="center"/>
              <w:rPr>
                <w:rFonts w:ascii="宋体" w:hAnsi="宋体" w:eastAsia="宋体" w:cs="Times New Roman"/>
                <w:szCs w:val="21"/>
              </w:rPr>
            </w:pPr>
            <w:r>
              <w:rPr>
                <w:rFonts w:ascii="宋体" w:hAnsi="宋体" w:eastAsia="宋体" w:cs="Times New Roman"/>
                <w:szCs w:val="21"/>
              </w:rPr>
              <w:t>1.0930</w:t>
            </w:r>
          </w:p>
        </w:tc>
      </w:tr>
      <w:tr w14:paraId="557940B5">
        <w:tblPrEx>
          <w:tblBorders>
            <w:top w:val="single" w:color="auto" w:sz="12" w:space="0"/>
            <w:left w:val="single" w:color="auto" w:sz="12" w:space="0"/>
            <w:bottom w:val="single" w:color="auto" w:sz="12" w:space="0"/>
            <w:right w:val="single" w:color="auto" w:sz="12" w:space="0"/>
            <w:insideH w:val="single" w:color="auto" w:sz="2" w:space="0"/>
            <w:insideV w:val="single" w:color="auto" w:sz="4" w:space="0"/>
          </w:tblBorders>
          <w:tblCellMar>
            <w:top w:w="0" w:type="dxa"/>
            <w:left w:w="108" w:type="dxa"/>
            <w:bottom w:w="0" w:type="dxa"/>
            <w:right w:w="108" w:type="dxa"/>
          </w:tblCellMar>
        </w:tblPrEx>
        <w:trPr>
          <w:trHeight w:val="350" w:hRule="atLeast"/>
        </w:trPr>
        <w:tc>
          <w:tcPr>
            <w:tcW w:w="2828" w:type="dxa"/>
            <w:tcBorders>
              <w:tl2br w:val="nil"/>
              <w:tr2bl w:val="nil"/>
            </w:tcBorders>
            <w:vAlign w:val="center"/>
          </w:tcPr>
          <w:p w14:paraId="09EAD9D6">
            <w:pPr>
              <w:jc w:val="center"/>
              <w:rPr>
                <w:color w:val="000000"/>
                <w:szCs w:val="21"/>
              </w:rPr>
            </w:pPr>
            <w:r>
              <w:rPr>
                <w:rFonts w:ascii="宋体" w:hAnsi="宋体"/>
                <w:szCs w:val="21"/>
              </w:rPr>
              <w:t>600.0</w:t>
            </w:r>
          </w:p>
        </w:tc>
        <w:tc>
          <w:tcPr>
            <w:tcW w:w="3354" w:type="dxa"/>
            <w:tcBorders>
              <w:tl2br w:val="nil"/>
              <w:tr2bl w:val="nil"/>
            </w:tcBorders>
            <w:vAlign w:val="center"/>
          </w:tcPr>
          <w:p w14:paraId="11B38B3C">
            <w:pPr>
              <w:jc w:val="center"/>
              <w:rPr>
                <w:rFonts w:ascii="宋体" w:hAnsi="宋体" w:eastAsia="宋体" w:cs="Times New Roman"/>
                <w:szCs w:val="21"/>
              </w:rPr>
            </w:pPr>
            <w:r>
              <w:rPr>
                <w:rFonts w:ascii="宋体" w:hAnsi="宋体" w:eastAsia="宋体" w:cs="Times New Roman"/>
                <w:szCs w:val="21"/>
              </w:rPr>
              <w:t>18.4840</w:t>
            </w:r>
          </w:p>
        </w:tc>
        <w:tc>
          <w:tcPr>
            <w:tcW w:w="2937" w:type="dxa"/>
            <w:tcBorders>
              <w:tl2br w:val="nil"/>
              <w:tr2bl w:val="nil"/>
            </w:tcBorders>
            <w:vAlign w:val="center"/>
          </w:tcPr>
          <w:p w14:paraId="2FF141E2">
            <w:pPr>
              <w:jc w:val="center"/>
              <w:rPr>
                <w:rFonts w:ascii="宋体" w:hAnsi="宋体" w:eastAsia="宋体" w:cs="Times New Roman"/>
                <w:szCs w:val="21"/>
              </w:rPr>
            </w:pPr>
            <w:r>
              <w:rPr>
                <w:rFonts w:ascii="宋体" w:hAnsi="宋体" w:eastAsia="宋体" w:cs="Times New Roman"/>
                <w:szCs w:val="21"/>
              </w:rPr>
              <w:t>0.9242</w:t>
            </w:r>
          </w:p>
        </w:tc>
      </w:tr>
      <w:tr w14:paraId="6A8C78D2">
        <w:tblPrEx>
          <w:tblBorders>
            <w:top w:val="single" w:color="auto" w:sz="12" w:space="0"/>
            <w:left w:val="single" w:color="auto" w:sz="12" w:space="0"/>
            <w:bottom w:val="single" w:color="auto" w:sz="12" w:space="0"/>
            <w:right w:val="single" w:color="auto" w:sz="12" w:space="0"/>
            <w:insideH w:val="single" w:color="auto" w:sz="2" w:space="0"/>
            <w:insideV w:val="single" w:color="auto" w:sz="4" w:space="0"/>
          </w:tblBorders>
          <w:tblCellMar>
            <w:top w:w="0" w:type="dxa"/>
            <w:left w:w="108" w:type="dxa"/>
            <w:bottom w:w="0" w:type="dxa"/>
            <w:right w:w="108" w:type="dxa"/>
          </w:tblCellMar>
        </w:tblPrEx>
        <w:trPr>
          <w:trHeight w:val="350" w:hRule="atLeast"/>
        </w:trPr>
        <w:tc>
          <w:tcPr>
            <w:tcW w:w="2828" w:type="dxa"/>
            <w:tcBorders>
              <w:tl2br w:val="nil"/>
              <w:tr2bl w:val="nil"/>
            </w:tcBorders>
            <w:vAlign w:val="center"/>
          </w:tcPr>
          <w:p w14:paraId="27B45624">
            <w:pPr>
              <w:jc w:val="center"/>
              <w:rPr>
                <w:color w:val="000000"/>
                <w:szCs w:val="21"/>
              </w:rPr>
            </w:pPr>
            <w:r>
              <w:rPr>
                <w:rFonts w:ascii="宋体" w:hAnsi="宋体"/>
                <w:szCs w:val="21"/>
              </w:rPr>
              <w:t>700.0</w:t>
            </w:r>
          </w:p>
        </w:tc>
        <w:tc>
          <w:tcPr>
            <w:tcW w:w="3354" w:type="dxa"/>
            <w:tcBorders>
              <w:tl2br w:val="nil"/>
              <w:tr2bl w:val="nil"/>
            </w:tcBorders>
            <w:vAlign w:val="center"/>
          </w:tcPr>
          <w:p w14:paraId="4C597C9E">
            <w:pPr>
              <w:jc w:val="center"/>
              <w:rPr>
                <w:rFonts w:ascii="宋体" w:hAnsi="宋体" w:eastAsia="宋体" w:cs="Times New Roman"/>
                <w:szCs w:val="21"/>
              </w:rPr>
            </w:pPr>
            <w:r>
              <w:rPr>
                <w:rFonts w:ascii="宋体" w:hAnsi="宋体" w:eastAsia="宋体" w:cs="Times New Roman"/>
                <w:szCs w:val="21"/>
              </w:rPr>
              <w:t>15.8760</w:t>
            </w:r>
          </w:p>
        </w:tc>
        <w:tc>
          <w:tcPr>
            <w:tcW w:w="2937" w:type="dxa"/>
            <w:tcBorders>
              <w:tl2br w:val="nil"/>
              <w:tr2bl w:val="nil"/>
            </w:tcBorders>
            <w:vAlign w:val="center"/>
          </w:tcPr>
          <w:p w14:paraId="200E9590">
            <w:pPr>
              <w:jc w:val="center"/>
              <w:rPr>
                <w:rFonts w:ascii="宋体" w:hAnsi="宋体" w:eastAsia="宋体" w:cs="Times New Roman"/>
                <w:szCs w:val="21"/>
              </w:rPr>
            </w:pPr>
            <w:r>
              <w:rPr>
                <w:rFonts w:ascii="宋体" w:hAnsi="宋体" w:eastAsia="宋体" w:cs="Times New Roman"/>
                <w:szCs w:val="21"/>
              </w:rPr>
              <w:t>0.7938</w:t>
            </w:r>
          </w:p>
        </w:tc>
      </w:tr>
      <w:tr w14:paraId="13D32ABB">
        <w:tblPrEx>
          <w:tblBorders>
            <w:top w:val="single" w:color="auto" w:sz="12" w:space="0"/>
            <w:left w:val="single" w:color="auto" w:sz="12" w:space="0"/>
            <w:bottom w:val="single" w:color="auto" w:sz="12" w:space="0"/>
            <w:right w:val="single" w:color="auto" w:sz="12" w:space="0"/>
            <w:insideH w:val="single" w:color="auto" w:sz="2" w:space="0"/>
            <w:insideV w:val="single" w:color="auto" w:sz="4" w:space="0"/>
          </w:tblBorders>
          <w:tblCellMar>
            <w:top w:w="0" w:type="dxa"/>
            <w:left w:w="108" w:type="dxa"/>
            <w:bottom w:w="0" w:type="dxa"/>
            <w:right w:w="108" w:type="dxa"/>
          </w:tblCellMar>
        </w:tblPrEx>
        <w:trPr>
          <w:trHeight w:val="350" w:hRule="atLeast"/>
        </w:trPr>
        <w:tc>
          <w:tcPr>
            <w:tcW w:w="2828" w:type="dxa"/>
            <w:tcBorders>
              <w:tl2br w:val="nil"/>
              <w:tr2bl w:val="nil"/>
            </w:tcBorders>
            <w:vAlign w:val="center"/>
          </w:tcPr>
          <w:p w14:paraId="2A040361">
            <w:pPr>
              <w:jc w:val="center"/>
              <w:rPr>
                <w:color w:val="000000"/>
                <w:szCs w:val="21"/>
              </w:rPr>
            </w:pPr>
            <w:r>
              <w:rPr>
                <w:rFonts w:ascii="宋体" w:hAnsi="宋体"/>
                <w:szCs w:val="21"/>
              </w:rPr>
              <w:t>800.0</w:t>
            </w:r>
          </w:p>
        </w:tc>
        <w:tc>
          <w:tcPr>
            <w:tcW w:w="3354" w:type="dxa"/>
            <w:tcBorders>
              <w:tl2br w:val="nil"/>
              <w:tr2bl w:val="nil"/>
            </w:tcBorders>
            <w:vAlign w:val="center"/>
          </w:tcPr>
          <w:p w14:paraId="77027A13">
            <w:pPr>
              <w:jc w:val="center"/>
              <w:rPr>
                <w:rFonts w:ascii="宋体" w:hAnsi="宋体" w:eastAsia="宋体" w:cs="Times New Roman"/>
                <w:szCs w:val="21"/>
              </w:rPr>
            </w:pPr>
            <w:r>
              <w:rPr>
                <w:rFonts w:ascii="宋体" w:hAnsi="宋体" w:eastAsia="宋体" w:cs="Times New Roman"/>
                <w:szCs w:val="21"/>
              </w:rPr>
              <w:t>14.1470</w:t>
            </w:r>
          </w:p>
        </w:tc>
        <w:tc>
          <w:tcPr>
            <w:tcW w:w="2937" w:type="dxa"/>
            <w:tcBorders>
              <w:tl2br w:val="nil"/>
              <w:tr2bl w:val="nil"/>
            </w:tcBorders>
            <w:vAlign w:val="center"/>
          </w:tcPr>
          <w:p w14:paraId="351222F0">
            <w:pPr>
              <w:jc w:val="center"/>
              <w:rPr>
                <w:rFonts w:ascii="宋体" w:hAnsi="宋体" w:eastAsia="宋体" w:cs="Times New Roman"/>
                <w:szCs w:val="21"/>
              </w:rPr>
            </w:pPr>
            <w:r>
              <w:rPr>
                <w:rFonts w:ascii="宋体" w:hAnsi="宋体" w:eastAsia="宋体" w:cs="Times New Roman"/>
                <w:szCs w:val="21"/>
              </w:rPr>
              <w:t>0.7074</w:t>
            </w:r>
          </w:p>
        </w:tc>
      </w:tr>
      <w:tr w14:paraId="37E6E2F0">
        <w:tblPrEx>
          <w:tblBorders>
            <w:top w:val="single" w:color="auto" w:sz="12" w:space="0"/>
            <w:left w:val="single" w:color="auto" w:sz="12" w:space="0"/>
            <w:bottom w:val="single" w:color="auto" w:sz="12" w:space="0"/>
            <w:right w:val="single" w:color="auto" w:sz="12" w:space="0"/>
            <w:insideH w:val="single" w:color="auto" w:sz="2" w:space="0"/>
            <w:insideV w:val="single" w:color="auto" w:sz="4" w:space="0"/>
          </w:tblBorders>
          <w:tblCellMar>
            <w:top w:w="0" w:type="dxa"/>
            <w:left w:w="108" w:type="dxa"/>
            <w:bottom w:w="0" w:type="dxa"/>
            <w:right w:w="108" w:type="dxa"/>
          </w:tblCellMar>
        </w:tblPrEx>
        <w:trPr>
          <w:trHeight w:val="350" w:hRule="atLeast"/>
        </w:trPr>
        <w:tc>
          <w:tcPr>
            <w:tcW w:w="2828" w:type="dxa"/>
            <w:tcBorders>
              <w:tl2br w:val="nil"/>
              <w:tr2bl w:val="nil"/>
            </w:tcBorders>
            <w:vAlign w:val="center"/>
          </w:tcPr>
          <w:p w14:paraId="271AFDBC">
            <w:pPr>
              <w:jc w:val="center"/>
              <w:rPr>
                <w:color w:val="000000"/>
                <w:szCs w:val="21"/>
              </w:rPr>
            </w:pPr>
            <w:r>
              <w:rPr>
                <w:rFonts w:ascii="宋体" w:hAnsi="宋体"/>
                <w:szCs w:val="21"/>
              </w:rPr>
              <w:t>900.0</w:t>
            </w:r>
          </w:p>
        </w:tc>
        <w:tc>
          <w:tcPr>
            <w:tcW w:w="3354" w:type="dxa"/>
            <w:tcBorders>
              <w:tl2br w:val="nil"/>
              <w:tr2bl w:val="nil"/>
            </w:tcBorders>
            <w:vAlign w:val="center"/>
          </w:tcPr>
          <w:p w14:paraId="5184D8CE">
            <w:pPr>
              <w:jc w:val="center"/>
              <w:rPr>
                <w:rFonts w:ascii="宋体" w:hAnsi="宋体" w:eastAsia="宋体" w:cs="Times New Roman"/>
                <w:szCs w:val="21"/>
              </w:rPr>
            </w:pPr>
            <w:r>
              <w:rPr>
                <w:rFonts w:ascii="宋体" w:hAnsi="宋体" w:eastAsia="宋体" w:cs="Times New Roman"/>
                <w:szCs w:val="21"/>
              </w:rPr>
              <w:t>13.0320</w:t>
            </w:r>
          </w:p>
        </w:tc>
        <w:tc>
          <w:tcPr>
            <w:tcW w:w="2937" w:type="dxa"/>
            <w:tcBorders>
              <w:tl2br w:val="nil"/>
              <w:tr2bl w:val="nil"/>
            </w:tcBorders>
            <w:vAlign w:val="center"/>
          </w:tcPr>
          <w:p w14:paraId="707E49EC">
            <w:pPr>
              <w:jc w:val="center"/>
              <w:rPr>
                <w:rFonts w:ascii="宋体" w:hAnsi="宋体" w:eastAsia="宋体" w:cs="Times New Roman"/>
                <w:szCs w:val="21"/>
              </w:rPr>
            </w:pPr>
            <w:r>
              <w:rPr>
                <w:rFonts w:ascii="宋体" w:hAnsi="宋体" w:eastAsia="宋体" w:cs="Times New Roman"/>
                <w:szCs w:val="21"/>
              </w:rPr>
              <w:t>0.6516</w:t>
            </w:r>
          </w:p>
        </w:tc>
      </w:tr>
      <w:tr w14:paraId="026E74D8">
        <w:tblPrEx>
          <w:tblBorders>
            <w:top w:val="single" w:color="auto" w:sz="12" w:space="0"/>
            <w:left w:val="single" w:color="auto" w:sz="12" w:space="0"/>
            <w:bottom w:val="single" w:color="auto" w:sz="12" w:space="0"/>
            <w:right w:val="single" w:color="auto" w:sz="12" w:space="0"/>
            <w:insideH w:val="single" w:color="auto" w:sz="2" w:space="0"/>
            <w:insideV w:val="single" w:color="auto" w:sz="4" w:space="0"/>
          </w:tblBorders>
          <w:tblCellMar>
            <w:top w:w="0" w:type="dxa"/>
            <w:left w:w="108" w:type="dxa"/>
            <w:bottom w:w="0" w:type="dxa"/>
            <w:right w:w="108" w:type="dxa"/>
          </w:tblCellMar>
        </w:tblPrEx>
        <w:trPr>
          <w:trHeight w:val="350" w:hRule="atLeast"/>
        </w:trPr>
        <w:tc>
          <w:tcPr>
            <w:tcW w:w="2828" w:type="dxa"/>
            <w:tcBorders>
              <w:tl2br w:val="nil"/>
              <w:tr2bl w:val="nil"/>
            </w:tcBorders>
            <w:vAlign w:val="center"/>
          </w:tcPr>
          <w:p w14:paraId="2F9CE2F0">
            <w:pPr>
              <w:jc w:val="center"/>
              <w:rPr>
                <w:color w:val="000000"/>
                <w:szCs w:val="21"/>
              </w:rPr>
            </w:pPr>
            <w:r>
              <w:rPr>
                <w:rFonts w:ascii="宋体" w:hAnsi="宋体"/>
                <w:szCs w:val="21"/>
              </w:rPr>
              <w:t>1000.0</w:t>
            </w:r>
          </w:p>
        </w:tc>
        <w:tc>
          <w:tcPr>
            <w:tcW w:w="3354" w:type="dxa"/>
            <w:tcBorders>
              <w:tl2br w:val="nil"/>
              <w:tr2bl w:val="nil"/>
            </w:tcBorders>
            <w:vAlign w:val="center"/>
          </w:tcPr>
          <w:p w14:paraId="30BACB2F">
            <w:pPr>
              <w:jc w:val="center"/>
              <w:rPr>
                <w:rFonts w:ascii="宋体" w:hAnsi="宋体" w:eastAsia="宋体" w:cs="Times New Roman"/>
                <w:szCs w:val="21"/>
              </w:rPr>
            </w:pPr>
            <w:r>
              <w:rPr>
                <w:rFonts w:ascii="宋体" w:hAnsi="宋体" w:eastAsia="宋体" w:cs="Times New Roman"/>
                <w:szCs w:val="21"/>
              </w:rPr>
              <w:t>13.1200</w:t>
            </w:r>
          </w:p>
        </w:tc>
        <w:tc>
          <w:tcPr>
            <w:tcW w:w="2937" w:type="dxa"/>
            <w:tcBorders>
              <w:tl2br w:val="nil"/>
              <w:tr2bl w:val="nil"/>
            </w:tcBorders>
            <w:vAlign w:val="center"/>
          </w:tcPr>
          <w:p w14:paraId="0911942F">
            <w:pPr>
              <w:jc w:val="center"/>
              <w:rPr>
                <w:rFonts w:ascii="宋体" w:hAnsi="宋体" w:eastAsia="宋体" w:cs="Times New Roman"/>
                <w:szCs w:val="21"/>
              </w:rPr>
            </w:pPr>
            <w:r>
              <w:rPr>
                <w:rFonts w:ascii="宋体" w:hAnsi="宋体" w:eastAsia="宋体" w:cs="Times New Roman"/>
                <w:szCs w:val="21"/>
              </w:rPr>
              <w:t>0.6560</w:t>
            </w:r>
          </w:p>
        </w:tc>
      </w:tr>
      <w:tr w14:paraId="29AC2295">
        <w:tblPrEx>
          <w:tblBorders>
            <w:top w:val="single" w:color="auto" w:sz="12" w:space="0"/>
            <w:left w:val="single" w:color="auto" w:sz="12" w:space="0"/>
            <w:bottom w:val="single" w:color="auto" w:sz="12" w:space="0"/>
            <w:right w:val="single" w:color="auto" w:sz="12" w:space="0"/>
            <w:insideH w:val="single" w:color="auto" w:sz="2" w:space="0"/>
            <w:insideV w:val="single" w:color="auto" w:sz="4" w:space="0"/>
          </w:tblBorders>
          <w:tblCellMar>
            <w:top w:w="0" w:type="dxa"/>
            <w:left w:w="108" w:type="dxa"/>
            <w:bottom w:w="0" w:type="dxa"/>
            <w:right w:w="108" w:type="dxa"/>
          </w:tblCellMar>
        </w:tblPrEx>
        <w:trPr>
          <w:trHeight w:val="350" w:hRule="atLeast"/>
        </w:trPr>
        <w:tc>
          <w:tcPr>
            <w:tcW w:w="2828" w:type="dxa"/>
            <w:tcBorders>
              <w:tl2br w:val="nil"/>
              <w:tr2bl w:val="nil"/>
            </w:tcBorders>
            <w:vAlign w:val="center"/>
          </w:tcPr>
          <w:p w14:paraId="6285248F">
            <w:pPr>
              <w:jc w:val="center"/>
              <w:rPr>
                <w:color w:val="000000"/>
                <w:szCs w:val="21"/>
              </w:rPr>
            </w:pPr>
            <w:r>
              <w:rPr>
                <w:rFonts w:ascii="宋体" w:hAnsi="宋体"/>
                <w:szCs w:val="21"/>
              </w:rPr>
              <w:t>1200.0</w:t>
            </w:r>
          </w:p>
        </w:tc>
        <w:tc>
          <w:tcPr>
            <w:tcW w:w="3354" w:type="dxa"/>
            <w:tcBorders>
              <w:tl2br w:val="nil"/>
              <w:tr2bl w:val="nil"/>
            </w:tcBorders>
            <w:vAlign w:val="center"/>
          </w:tcPr>
          <w:p w14:paraId="28D87498">
            <w:pPr>
              <w:jc w:val="center"/>
              <w:rPr>
                <w:rFonts w:ascii="宋体" w:hAnsi="宋体" w:eastAsia="宋体" w:cs="Times New Roman"/>
                <w:szCs w:val="21"/>
              </w:rPr>
            </w:pPr>
            <w:r>
              <w:rPr>
                <w:rFonts w:ascii="宋体" w:hAnsi="宋体" w:eastAsia="宋体" w:cs="Times New Roman"/>
                <w:szCs w:val="21"/>
              </w:rPr>
              <w:t>12.5040</w:t>
            </w:r>
          </w:p>
        </w:tc>
        <w:tc>
          <w:tcPr>
            <w:tcW w:w="2937" w:type="dxa"/>
            <w:tcBorders>
              <w:tl2br w:val="nil"/>
              <w:tr2bl w:val="nil"/>
            </w:tcBorders>
            <w:vAlign w:val="center"/>
          </w:tcPr>
          <w:p w14:paraId="12FDB241">
            <w:pPr>
              <w:jc w:val="center"/>
              <w:rPr>
                <w:rFonts w:ascii="宋体" w:hAnsi="宋体" w:eastAsia="宋体" w:cs="Times New Roman"/>
                <w:szCs w:val="21"/>
              </w:rPr>
            </w:pPr>
            <w:r>
              <w:rPr>
                <w:rFonts w:ascii="宋体" w:hAnsi="宋体" w:eastAsia="宋体" w:cs="Times New Roman"/>
                <w:szCs w:val="21"/>
              </w:rPr>
              <w:t>0.6252</w:t>
            </w:r>
          </w:p>
        </w:tc>
      </w:tr>
      <w:tr w14:paraId="11F0CE61">
        <w:tblPrEx>
          <w:tblBorders>
            <w:top w:val="single" w:color="auto" w:sz="12" w:space="0"/>
            <w:left w:val="single" w:color="auto" w:sz="12" w:space="0"/>
            <w:bottom w:val="single" w:color="auto" w:sz="12" w:space="0"/>
            <w:right w:val="single" w:color="auto" w:sz="12" w:space="0"/>
            <w:insideH w:val="single" w:color="auto" w:sz="2" w:space="0"/>
            <w:insideV w:val="single" w:color="auto" w:sz="4" w:space="0"/>
          </w:tblBorders>
          <w:tblCellMar>
            <w:top w:w="0" w:type="dxa"/>
            <w:left w:w="108" w:type="dxa"/>
            <w:bottom w:w="0" w:type="dxa"/>
            <w:right w:w="108" w:type="dxa"/>
          </w:tblCellMar>
        </w:tblPrEx>
        <w:trPr>
          <w:trHeight w:val="350" w:hRule="atLeast"/>
        </w:trPr>
        <w:tc>
          <w:tcPr>
            <w:tcW w:w="2828" w:type="dxa"/>
            <w:tcBorders>
              <w:tl2br w:val="nil"/>
              <w:tr2bl w:val="nil"/>
            </w:tcBorders>
            <w:vAlign w:val="center"/>
          </w:tcPr>
          <w:p w14:paraId="4BB78618">
            <w:pPr>
              <w:jc w:val="center"/>
              <w:rPr>
                <w:color w:val="000000"/>
                <w:szCs w:val="21"/>
              </w:rPr>
            </w:pPr>
            <w:r>
              <w:rPr>
                <w:rFonts w:ascii="宋体" w:hAnsi="宋体"/>
                <w:szCs w:val="21"/>
              </w:rPr>
              <w:t>1400.0</w:t>
            </w:r>
          </w:p>
        </w:tc>
        <w:tc>
          <w:tcPr>
            <w:tcW w:w="3354" w:type="dxa"/>
            <w:tcBorders>
              <w:tl2br w:val="nil"/>
              <w:tr2bl w:val="nil"/>
            </w:tcBorders>
            <w:vAlign w:val="center"/>
          </w:tcPr>
          <w:p w14:paraId="5AA029FF">
            <w:pPr>
              <w:jc w:val="center"/>
              <w:rPr>
                <w:rFonts w:ascii="宋体" w:hAnsi="宋体" w:eastAsia="宋体" w:cs="Times New Roman"/>
                <w:szCs w:val="21"/>
              </w:rPr>
            </w:pPr>
            <w:r>
              <w:rPr>
                <w:rFonts w:ascii="宋体" w:hAnsi="宋体" w:eastAsia="宋体" w:cs="Times New Roman"/>
                <w:szCs w:val="21"/>
              </w:rPr>
              <w:t>11.6380</w:t>
            </w:r>
          </w:p>
        </w:tc>
        <w:tc>
          <w:tcPr>
            <w:tcW w:w="2937" w:type="dxa"/>
            <w:tcBorders>
              <w:tl2br w:val="nil"/>
              <w:tr2bl w:val="nil"/>
            </w:tcBorders>
            <w:vAlign w:val="center"/>
          </w:tcPr>
          <w:p w14:paraId="4D780F53">
            <w:pPr>
              <w:jc w:val="center"/>
              <w:rPr>
                <w:rFonts w:ascii="宋体" w:hAnsi="宋体" w:eastAsia="宋体" w:cs="Times New Roman"/>
                <w:szCs w:val="21"/>
              </w:rPr>
            </w:pPr>
            <w:r>
              <w:rPr>
                <w:rFonts w:ascii="宋体" w:hAnsi="宋体" w:eastAsia="宋体" w:cs="Times New Roman"/>
                <w:szCs w:val="21"/>
              </w:rPr>
              <w:t>0.5819</w:t>
            </w:r>
          </w:p>
        </w:tc>
      </w:tr>
      <w:tr w14:paraId="126BF9AD">
        <w:tblPrEx>
          <w:tblBorders>
            <w:top w:val="single" w:color="auto" w:sz="12" w:space="0"/>
            <w:left w:val="single" w:color="auto" w:sz="12" w:space="0"/>
            <w:bottom w:val="single" w:color="auto" w:sz="12" w:space="0"/>
            <w:right w:val="single" w:color="auto" w:sz="12" w:space="0"/>
            <w:insideH w:val="single" w:color="auto" w:sz="2" w:space="0"/>
            <w:insideV w:val="single" w:color="auto" w:sz="4" w:space="0"/>
          </w:tblBorders>
          <w:tblCellMar>
            <w:top w:w="0" w:type="dxa"/>
            <w:left w:w="108" w:type="dxa"/>
            <w:bottom w:w="0" w:type="dxa"/>
            <w:right w:w="108" w:type="dxa"/>
          </w:tblCellMar>
        </w:tblPrEx>
        <w:trPr>
          <w:trHeight w:val="350" w:hRule="atLeast"/>
        </w:trPr>
        <w:tc>
          <w:tcPr>
            <w:tcW w:w="2828" w:type="dxa"/>
            <w:tcBorders>
              <w:tl2br w:val="nil"/>
              <w:tr2bl w:val="nil"/>
            </w:tcBorders>
            <w:vAlign w:val="center"/>
          </w:tcPr>
          <w:p w14:paraId="5E2A0FF1">
            <w:pPr>
              <w:jc w:val="center"/>
              <w:rPr>
                <w:color w:val="000000"/>
                <w:szCs w:val="21"/>
              </w:rPr>
            </w:pPr>
            <w:r>
              <w:rPr>
                <w:rFonts w:ascii="宋体" w:hAnsi="宋体"/>
                <w:szCs w:val="21"/>
              </w:rPr>
              <w:t>1600.0</w:t>
            </w:r>
          </w:p>
        </w:tc>
        <w:tc>
          <w:tcPr>
            <w:tcW w:w="3354" w:type="dxa"/>
            <w:tcBorders>
              <w:tl2br w:val="nil"/>
              <w:tr2bl w:val="nil"/>
            </w:tcBorders>
            <w:vAlign w:val="center"/>
          </w:tcPr>
          <w:p w14:paraId="0EB26CF1">
            <w:pPr>
              <w:jc w:val="center"/>
              <w:rPr>
                <w:rFonts w:ascii="宋体" w:hAnsi="宋体" w:eastAsia="宋体" w:cs="Times New Roman"/>
                <w:szCs w:val="21"/>
              </w:rPr>
            </w:pPr>
            <w:r>
              <w:rPr>
                <w:rFonts w:ascii="宋体" w:hAnsi="宋体" w:eastAsia="宋体" w:cs="Times New Roman"/>
                <w:szCs w:val="21"/>
              </w:rPr>
              <w:t>10.7310</w:t>
            </w:r>
          </w:p>
        </w:tc>
        <w:tc>
          <w:tcPr>
            <w:tcW w:w="2937" w:type="dxa"/>
            <w:tcBorders>
              <w:tl2br w:val="nil"/>
              <w:tr2bl w:val="nil"/>
            </w:tcBorders>
            <w:vAlign w:val="center"/>
          </w:tcPr>
          <w:p w14:paraId="6E0A0B9A">
            <w:pPr>
              <w:jc w:val="center"/>
              <w:rPr>
                <w:rFonts w:ascii="宋体" w:hAnsi="宋体" w:eastAsia="宋体" w:cs="Times New Roman"/>
                <w:szCs w:val="21"/>
              </w:rPr>
            </w:pPr>
            <w:r>
              <w:rPr>
                <w:rFonts w:ascii="宋体" w:hAnsi="宋体" w:eastAsia="宋体" w:cs="Times New Roman"/>
                <w:szCs w:val="21"/>
              </w:rPr>
              <w:t>0.5365</w:t>
            </w:r>
          </w:p>
        </w:tc>
      </w:tr>
      <w:tr w14:paraId="63B28177">
        <w:tblPrEx>
          <w:tblBorders>
            <w:top w:val="single" w:color="auto" w:sz="12" w:space="0"/>
            <w:left w:val="single" w:color="auto" w:sz="12" w:space="0"/>
            <w:bottom w:val="single" w:color="auto" w:sz="12" w:space="0"/>
            <w:right w:val="single" w:color="auto" w:sz="12" w:space="0"/>
            <w:insideH w:val="single" w:color="auto" w:sz="2" w:space="0"/>
            <w:insideV w:val="single" w:color="auto" w:sz="4" w:space="0"/>
          </w:tblBorders>
          <w:tblCellMar>
            <w:top w:w="0" w:type="dxa"/>
            <w:left w:w="108" w:type="dxa"/>
            <w:bottom w:w="0" w:type="dxa"/>
            <w:right w:w="108" w:type="dxa"/>
          </w:tblCellMar>
        </w:tblPrEx>
        <w:trPr>
          <w:trHeight w:val="350" w:hRule="atLeast"/>
        </w:trPr>
        <w:tc>
          <w:tcPr>
            <w:tcW w:w="2828" w:type="dxa"/>
            <w:tcBorders>
              <w:tl2br w:val="nil"/>
              <w:tr2bl w:val="nil"/>
            </w:tcBorders>
            <w:vAlign w:val="center"/>
          </w:tcPr>
          <w:p w14:paraId="53561685">
            <w:pPr>
              <w:jc w:val="center"/>
              <w:rPr>
                <w:color w:val="000000"/>
                <w:szCs w:val="21"/>
              </w:rPr>
            </w:pPr>
            <w:r>
              <w:rPr>
                <w:rFonts w:ascii="宋体" w:hAnsi="宋体"/>
                <w:szCs w:val="21"/>
              </w:rPr>
              <w:t>1800.0</w:t>
            </w:r>
          </w:p>
        </w:tc>
        <w:tc>
          <w:tcPr>
            <w:tcW w:w="3354" w:type="dxa"/>
            <w:tcBorders>
              <w:tl2br w:val="nil"/>
              <w:tr2bl w:val="nil"/>
            </w:tcBorders>
            <w:vAlign w:val="center"/>
          </w:tcPr>
          <w:p w14:paraId="28AAE0C2">
            <w:pPr>
              <w:jc w:val="center"/>
              <w:rPr>
                <w:rFonts w:ascii="宋体" w:hAnsi="宋体" w:eastAsia="宋体" w:cs="Times New Roman"/>
                <w:szCs w:val="21"/>
              </w:rPr>
            </w:pPr>
            <w:r>
              <w:rPr>
                <w:rFonts w:ascii="宋体" w:hAnsi="宋体" w:eastAsia="宋体" w:cs="Times New Roman"/>
                <w:szCs w:val="21"/>
              </w:rPr>
              <w:t>9.8671</w:t>
            </w:r>
          </w:p>
        </w:tc>
        <w:tc>
          <w:tcPr>
            <w:tcW w:w="2937" w:type="dxa"/>
            <w:tcBorders>
              <w:tl2br w:val="nil"/>
              <w:tr2bl w:val="nil"/>
            </w:tcBorders>
            <w:vAlign w:val="center"/>
          </w:tcPr>
          <w:p w14:paraId="3E7D304B">
            <w:pPr>
              <w:jc w:val="center"/>
              <w:rPr>
                <w:rFonts w:ascii="宋体" w:hAnsi="宋体" w:eastAsia="宋体" w:cs="Times New Roman"/>
                <w:szCs w:val="21"/>
              </w:rPr>
            </w:pPr>
            <w:r>
              <w:rPr>
                <w:rFonts w:ascii="宋体" w:hAnsi="宋体" w:eastAsia="宋体" w:cs="Times New Roman"/>
                <w:szCs w:val="21"/>
              </w:rPr>
              <w:t>0.4934</w:t>
            </w:r>
          </w:p>
        </w:tc>
      </w:tr>
      <w:tr w14:paraId="660F58FB">
        <w:tblPrEx>
          <w:tblBorders>
            <w:top w:val="single" w:color="auto" w:sz="12" w:space="0"/>
            <w:left w:val="single" w:color="auto" w:sz="12" w:space="0"/>
            <w:bottom w:val="single" w:color="auto" w:sz="12" w:space="0"/>
            <w:right w:val="single" w:color="auto" w:sz="12" w:space="0"/>
            <w:insideH w:val="single" w:color="auto" w:sz="2" w:space="0"/>
            <w:insideV w:val="single" w:color="auto" w:sz="4" w:space="0"/>
          </w:tblBorders>
          <w:tblCellMar>
            <w:top w:w="0" w:type="dxa"/>
            <w:left w:w="108" w:type="dxa"/>
            <w:bottom w:w="0" w:type="dxa"/>
            <w:right w:w="108" w:type="dxa"/>
          </w:tblCellMar>
        </w:tblPrEx>
        <w:trPr>
          <w:trHeight w:val="350" w:hRule="atLeast"/>
        </w:trPr>
        <w:tc>
          <w:tcPr>
            <w:tcW w:w="2828" w:type="dxa"/>
            <w:tcBorders>
              <w:tl2br w:val="nil"/>
              <w:tr2bl w:val="nil"/>
            </w:tcBorders>
            <w:vAlign w:val="center"/>
          </w:tcPr>
          <w:p w14:paraId="521D925D">
            <w:pPr>
              <w:jc w:val="center"/>
              <w:rPr>
                <w:color w:val="000000"/>
                <w:szCs w:val="21"/>
              </w:rPr>
            </w:pPr>
            <w:r>
              <w:rPr>
                <w:rFonts w:ascii="宋体" w:hAnsi="宋体"/>
                <w:szCs w:val="21"/>
              </w:rPr>
              <w:t>2000.0</w:t>
            </w:r>
          </w:p>
        </w:tc>
        <w:tc>
          <w:tcPr>
            <w:tcW w:w="3354" w:type="dxa"/>
            <w:tcBorders>
              <w:tl2br w:val="nil"/>
              <w:tr2bl w:val="nil"/>
            </w:tcBorders>
            <w:vAlign w:val="center"/>
          </w:tcPr>
          <w:p w14:paraId="5384D559">
            <w:pPr>
              <w:jc w:val="center"/>
              <w:rPr>
                <w:rFonts w:ascii="宋体" w:hAnsi="宋体" w:eastAsia="宋体" w:cs="Times New Roman"/>
                <w:szCs w:val="21"/>
              </w:rPr>
            </w:pPr>
            <w:r>
              <w:rPr>
                <w:rFonts w:ascii="宋体" w:hAnsi="宋体" w:eastAsia="宋体" w:cs="Times New Roman"/>
                <w:szCs w:val="21"/>
              </w:rPr>
              <w:t>9.1335</w:t>
            </w:r>
          </w:p>
        </w:tc>
        <w:tc>
          <w:tcPr>
            <w:tcW w:w="2937" w:type="dxa"/>
            <w:tcBorders>
              <w:tl2br w:val="nil"/>
              <w:tr2bl w:val="nil"/>
            </w:tcBorders>
            <w:vAlign w:val="center"/>
          </w:tcPr>
          <w:p w14:paraId="29F98FD3">
            <w:pPr>
              <w:jc w:val="center"/>
              <w:rPr>
                <w:rFonts w:ascii="宋体" w:hAnsi="宋体" w:eastAsia="宋体" w:cs="Times New Roman"/>
                <w:szCs w:val="21"/>
              </w:rPr>
            </w:pPr>
            <w:r>
              <w:rPr>
                <w:rFonts w:ascii="宋体" w:hAnsi="宋体" w:eastAsia="宋体" w:cs="Times New Roman"/>
                <w:szCs w:val="21"/>
              </w:rPr>
              <w:t>0.4567</w:t>
            </w:r>
          </w:p>
        </w:tc>
      </w:tr>
      <w:tr w14:paraId="40C0B62A">
        <w:tblPrEx>
          <w:tblBorders>
            <w:top w:val="single" w:color="auto" w:sz="12" w:space="0"/>
            <w:left w:val="single" w:color="auto" w:sz="12" w:space="0"/>
            <w:bottom w:val="single" w:color="auto" w:sz="12" w:space="0"/>
            <w:right w:val="single" w:color="auto" w:sz="12" w:space="0"/>
            <w:insideH w:val="single" w:color="auto" w:sz="2" w:space="0"/>
            <w:insideV w:val="single" w:color="auto" w:sz="4" w:space="0"/>
          </w:tblBorders>
          <w:tblCellMar>
            <w:top w:w="0" w:type="dxa"/>
            <w:left w:w="108" w:type="dxa"/>
            <w:bottom w:w="0" w:type="dxa"/>
            <w:right w:w="108" w:type="dxa"/>
          </w:tblCellMar>
        </w:tblPrEx>
        <w:trPr>
          <w:trHeight w:val="350" w:hRule="atLeast"/>
        </w:trPr>
        <w:tc>
          <w:tcPr>
            <w:tcW w:w="2828" w:type="dxa"/>
            <w:tcBorders>
              <w:tl2br w:val="nil"/>
              <w:tr2bl w:val="nil"/>
            </w:tcBorders>
            <w:vAlign w:val="center"/>
          </w:tcPr>
          <w:p w14:paraId="75D59263">
            <w:pPr>
              <w:jc w:val="center"/>
              <w:rPr>
                <w:color w:val="000000"/>
                <w:szCs w:val="21"/>
              </w:rPr>
            </w:pPr>
            <w:r>
              <w:rPr>
                <w:rFonts w:ascii="宋体" w:hAnsi="宋体"/>
                <w:szCs w:val="21"/>
              </w:rPr>
              <w:t>2500.0</w:t>
            </w:r>
          </w:p>
        </w:tc>
        <w:tc>
          <w:tcPr>
            <w:tcW w:w="3354" w:type="dxa"/>
            <w:tcBorders>
              <w:tl2br w:val="nil"/>
              <w:tr2bl w:val="nil"/>
            </w:tcBorders>
            <w:vAlign w:val="center"/>
          </w:tcPr>
          <w:p w14:paraId="1D5DCDD0">
            <w:pPr>
              <w:jc w:val="center"/>
              <w:rPr>
                <w:rFonts w:ascii="宋体" w:hAnsi="宋体" w:eastAsia="宋体" w:cs="Times New Roman"/>
                <w:szCs w:val="21"/>
              </w:rPr>
            </w:pPr>
            <w:r>
              <w:rPr>
                <w:rFonts w:ascii="宋体" w:hAnsi="宋体" w:eastAsia="宋体" w:cs="Times New Roman"/>
                <w:szCs w:val="21"/>
              </w:rPr>
              <w:t>8.1888</w:t>
            </w:r>
          </w:p>
        </w:tc>
        <w:tc>
          <w:tcPr>
            <w:tcW w:w="2937" w:type="dxa"/>
            <w:tcBorders>
              <w:tl2br w:val="nil"/>
              <w:tr2bl w:val="nil"/>
            </w:tcBorders>
            <w:vAlign w:val="center"/>
          </w:tcPr>
          <w:p w14:paraId="32AD6321">
            <w:pPr>
              <w:jc w:val="center"/>
              <w:rPr>
                <w:rFonts w:ascii="宋体" w:hAnsi="宋体" w:eastAsia="宋体" w:cs="Times New Roman"/>
                <w:szCs w:val="21"/>
              </w:rPr>
            </w:pPr>
            <w:r>
              <w:rPr>
                <w:rFonts w:ascii="宋体" w:hAnsi="宋体" w:eastAsia="宋体" w:cs="Times New Roman"/>
                <w:szCs w:val="21"/>
              </w:rPr>
              <w:t>0.4094</w:t>
            </w:r>
          </w:p>
        </w:tc>
      </w:tr>
      <w:tr w14:paraId="50687C6A">
        <w:tblPrEx>
          <w:tblBorders>
            <w:top w:val="single" w:color="auto" w:sz="12" w:space="0"/>
            <w:left w:val="single" w:color="auto" w:sz="12" w:space="0"/>
            <w:bottom w:val="single" w:color="auto" w:sz="12" w:space="0"/>
            <w:right w:val="single" w:color="auto" w:sz="12" w:space="0"/>
            <w:insideH w:val="single" w:color="auto" w:sz="2" w:space="0"/>
            <w:insideV w:val="single" w:color="auto" w:sz="4" w:space="0"/>
          </w:tblBorders>
          <w:tblCellMar>
            <w:top w:w="0" w:type="dxa"/>
            <w:left w:w="108" w:type="dxa"/>
            <w:bottom w:w="0" w:type="dxa"/>
            <w:right w:w="108" w:type="dxa"/>
          </w:tblCellMar>
        </w:tblPrEx>
        <w:trPr>
          <w:trHeight w:val="350" w:hRule="atLeast"/>
        </w:trPr>
        <w:tc>
          <w:tcPr>
            <w:tcW w:w="2828" w:type="dxa"/>
            <w:tcBorders>
              <w:tl2br w:val="nil"/>
              <w:tr2bl w:val="nil"/>
            </w:tcBorders>
            <w:vAlign w:val="center"/>
          </w:tcPr>
          <w:p w14:paraId="3C19468B">
            <w:pPr>
              <w:jc w:val="center"/>
              <w:rPr>
                <w:color w:val="000000"/>
                <w:szCs w:val="21"/>
              </w:rPr>
            </w:pPr>
            <w:r>
              <w:rPr>
                <w:rFonts w:ascii="宋体" w:hAnsi="宋体"/>
                <w:szCs w:val="21"/>
              </w:rPr>
              <w:t>3000.0</w:t>
            </w:r>
          </w:p>
        </w:tc>
        <w:tc>
          <w:tcPr>
            <w:tcW w:w="3354" w:type="dxa"/>
            <w:tcBorders>
              <w:tl2br w:val="nil"/>
              <w:tr2bl w:val="nil"/>
            </w:tcBorders>
            <w:vAlign w:val="center"/>
          </w:tcPr>
          <w:p w14:paraId="30B421CE">
            <w:pPr>
              <w:jc w:val="center"/>
              <w:rPr>
                <w:rFonts w:ascii="宋体" w:hAnsi="宋体" w:eastAsia="宋体" w:cs="Times New Roman"/>
                <w:szCs w:val="21"/>
              </w:rPr>
            </w:pPr>
            <w:r>
              <w:rPr>
                <w:rFonts w:ascii="宋体" w:hAnsi="宋体" w:eastAsia="宋体" w:cs="Times New Roman"/>
                <w:szCs w:val="21"/>
              </w:rPr>
              <w:t>7.2835</w:t>
            </w:r>
          </w:p>
        </w:tc>
        <w:tc>
          <w:tcPr>
            <w:tcW w:w="2937" w:type="dxa"/>
            <w:tcBorders>
              <w:tl2br w:val="nil"/>
              <w:tr2bl w:val="nil"/>
            </w:tcBorders>
            <w:vAlign w:val="center"/>
          </w:tcPr>
          <w:p w14:paraId="0981B77A">
            <w:pPr>
              <w:jc w:val="center"/>
              <w:rPr>
                <w:rFonts w:ascii="宋体" w:hAnsi="宋体" w:eastAsia="宋体" w:cs="Times New Roman"/>
                <w:szCs w:val="21"/>
              </w:rPr>
            </w:pPr>
            <w:r>
              <w:rPr>
                <w:rFonts w:ascii="宋体" w:hAnsi="宋体" w:eastAsia="宋体" w:cs="Times New Roman"/>
                <w:szCs w:val="21"/>
              </w:rPr>
              <w:t>0.3642</w:t>
            </w:r>
          </w:p>
        </w:tc>
      </w:tr>
      <w:tr w14:paraId="1E0877EC">
        <w:tblPrEx>
          <w:tblBorders>
            <w:top w:val="single" w:color="auto" w:sz="12" w:space="0"/>
            <w:left w:val="single" w:color="auto" w:sz="12" w:space="0"/>
            <w:bottom w:val="single" w:color="auto" w:sz="12" w:space="0"/>
            <w:right w:val="single" w:color="auto" w:sz="12" w:space="0"/>
            <w:insideH w:val="single" w:color="auto" w:sz="2" w:space="0"/>
            <w:insideV w:val="single" w:color="auto" w:sz="4" w:space="0"/>
          </w:tblBorders>
          <w:tblCellMar>
            <w:top w:w="0" w:type="dxa"/>
            <w:left w:w="108" w:type="dxa"/>
            <w:bottom w:w="0" w:type="dxa"/>
            <w:right w:w="108" w:type="dxa"/>
          </w:tblCellMar>
        </w:tblPrEx>
        <w:trPr>
          <w:trHeight w:val="350" w:hRule="atLeast"/>
        </w:trPr>
        <w:tc>
          <w:tcPr>
            <w:tcW w:w="2828" w:type="dxa"/>
            <w:tcBorders>
              <w:tl2br w:val="nil"/>
              <w:tr2bl w:val="nil"/>
            </w:tcBorders>
            <w:vAlign w:val="center"/>
          </w:tcPr>
          <w:p w14:paraId="5379D815">
            <w:pPr>
              <w:jc w:val="center"/>
              <w:rPr>
                <w:color w:val="000000"/>
                <w:szCs w:val="21"/>
              </w:rPr>
            </w:pPr>
            <w:r>
              <w:rPr>
                <w:rFonts w:ascii="宋体" w:hAnsi="宋体"/>
                <w:szCs w:val="21"/>
              </w:rPr>
              <w:t>3500.0</w:t>
            </w:r>
          </w:p>
        </w:tc>
        <w:tc>
          <w:tcPr>
            <w:tcW w:w="3354" w:type="dxa"/>
            <w:tcBorders>
              <w:tl2br w:val="nil"/>
              <w:tr2bl w:val="nil"/>
            </w:tcBorders>
            <w:vAlign w:val="center"/>
          </w:tcPr>
          <w:p w14:paraId="046374D9">
            <w:pPr>
              <w:jc w:val="center"/>
              <w:rPr>
                <w:rFonts w:ascii="宋体" w:hAnsi="宋体" w:eastAsia="宋体" w:cs="Times New Roman"/>
                <w:szCs w:val="21"/>
              </w:rPr>
            </w:pPr>
            <w:r>
              <w:rPr>
                <w:rFonts w:ascii="宋体" w:hAnsi="宋体" w:eastAsia="宋体" w:cs="Times New Roman"/>
                <w:szCs w:val="21"/>
              </w:rPr>
              <w:t>6.4869</w:t>
            </w:r>
          </w:p>
        </w:tc>
        <w:tc>
          <w:tcPr>
            <w:tcW w:w="2937" w:type="dxa"/>
            <w:tcBorders>
              <w:tl2br w:val="nil"/>
              <w:tr2bl w:val="nil"/>
            </w:tcBorders>
            <w:vAlign w:val="center"/>
          </w:tcPr>
          <w:p w14:paraId="76866CCA">
            <w:pPr>
              <w:jc w:val="center"/>
              <w:rPr>
                <w:rFonts w:ascii="宋体" w:hAnsi="宋体" w:eastAsia="宋体" w:cs="Times New Roman"/>
                <w:szCs w:val="21"/>
              </w:rPr>
            </w:pPr>
            <w:r>
              <w:rPr>
                <w:rFonts w:ascii="宋体" w:hAnsi="宋体" w:eastAsia="宋体" w:cs="Times New Roman"/>
                <w:szCs w:val="21"/>
              </w:rPr>
              <w:t>0.3243</w:t>
            </w:r>
          </w:p>
        </w:tc>
      </w:tr>
      <w:tr w14:paraId="4EB58DF7">
        <w:tblPrEx>
          <w:tblBorders>
            <w:top w:val="single" w:color="auto" w:sz="12" w:space="0"/>
            <w:left w:val="single" w:color="auto" w:sz="12" w:space="0"/>
            <w:bottom w:val="single" w:color="auto" w:sz="12" w:space="0"/>
            <w:right w:val="single" w:color="auto" w:sz="12" w:space="0"/>
            <w:insideH w:val="single" w:color="auto" w:sz="2" w:space="0"/>
            <w:insideV w:val="single" w:color="auto" w:sz="4" w:space="0"/>
          </w:tblBorders>
          <w:tblCellMar>
            <w:top w:w="0" w:type="dxa"/>
            <w:left w:w="108" w:type="dxa"/>
            <w:bottom w:w="0" w:type="dxa"/>
            <w:right w:w="108" w:type="dxa"/>
          </w:tblCellMar>
        </w:tblPrEx>
        <w:trPr>
          <w:trHeight w:val="350" w:hRule="atLeast"/>
        </w:trPr>
        <w:tc>
          <w:tcPr>
            <w:tcW w:w="2828" w:type="dxa"/>
            <w:tcBorders>
              <w:tl2br w:val="nil"/>
              <w:tr2bl w:val="nil"/>
            </w:tcBorders>
            <w:vAlign w:val="center"/>
          </w:tcPr>
          <w:p w14:paraId="45ED59FF">
            <w:pPr>
              <w:jc w:val="center"/>
              <w:rPr>
                <w:color w:val="000000"/>
                <w:szCs w:val="21"/>
              </w:rPr>
            </w:pPr>
            <w:r>
              <w:rPr>
                <w:rFonts w:ascii="宋体" w:hAnsi="宋体"/>
                <w:szCs w:val="21"/>
              </w:rPr>
              <w:t>4000.0</w:t>
            </w:r>
          </w:p>
        </w:tc>
        <w:tc>
          <w:tcPr>
            <w:tcW w:w="3354" w:type="dxa"/>
            <w:tcBorders>
              <w:tl2br w:val="nil"/>
              <w:tr2bl w:val="nil"/>
            </w:tcBorders>
            <w:vAlign w:val="center"/>
          </w:tcPr>
          <w:p w14:paraId="3DA26D7E">
            <w:pPr>
              <w:jc w:val="center"/>
              <w:rPr>
                <w:rFonts w:ascii="宋体" w:hAnsi="宋体" w:eastAsia="宋体" w:cs="Times New Roman"/>
                <w:szCs w:val="21"/>
              </w:rPr>
            </w:pPr>
            <w:r>
              <w:rPr>
                <w:rFonts w:ascii="宋体" w:hAnsi="宋体" w:eastAsia="宋体" w:cs="Times New Roman"/>
                <w:szCs w:val="21"/>
              </w:rPr>
              <w:t>5.8691</w:t>
            </w:r>
          </w:p>
        </w:tc>
        <w:tc>
          <w:tcPr>
            <w:tcW w:w="2937" w:type="dxa"/>
            <w:tcBorders>
              <w:tl2br w:val="nil"/>
              <w:tr2bl w:val="nil"/>
            </w:tcBorders>
            <w:vAlign w:val="center"/>
          </w:tcPr>
          <w:p w14:paraId="1B4F5D28">
            <w:pPr>
              <w:jc w:val="center"/>
              <w:rPr>
                <w:rFonts w:ascii="宋体" w:hAnsi="宋体" w:eastAsia="宋体" w:cs="Times New Roman"/>
                <w:szCs w:val="21"/>
              </w:rPr>
            </w:pPr>
            <w:r>
              <w:rPr>
                <w:rFonts w:ascii="宋体" w:hAnsi="宋体" w:eastAsia="宋体" w:cs="Times New Roman"/>
                <w:szCs w:val="21"/>
              </w:rPr>
              <w:t>0.2935</w:t>
            </w:r>
          </w:p>
        </w:tc>
      </w:tr>
      <w:tr w14:paraId="053061B1">
        <w:tblPrEx>
          <w:tblBorders>
            <w:top w:val="single" w:color="auto" w:sz="12" w:space="0"/>
            <w:left w:val="single" w:color="auto" w:sz="12" w:space="0"/>
            <w:bottom w:val="single" w:color="auto" w:sz="12" w:space="0"/>
            <w:right w:val="single" w:color="auto" w:sz="12" w:space="0"/>
            <w:insideH w:val="single" w:color="auto" w:sz="2" w:space="0"/>
            <w:insideV w:val="single" w:color="auto" w:sz="4" w:space="0"/>
          </w:tblBorders>
          <w:tblCellMar>
            <w:top w:w="0" w:type="dxa"/>
            <w:left w:w="108" w:type="dxa"/>
            <w:bottom w:w="0" w:type="dxa"/>
            <w:right w:w="108" w:type="dxa"/>
          </w:tblCellMar>
        </w:tblPrEx>
        <w:trPr>
          <w:trHeight w:val="350" w:hRule="atLeast"/>
        </w:trPr>
        <w:tc>
          <w:tcPr>
            <w:tcW w:w="2828" w:type="dxa"/>
            <w:tcBorders>
              <w:tl2br w:val="nil"/>
              <w:tr2bl w:val="nil"/>
            </w:tcBorders>
            <w:vAlign w:val="center"/>
          </w:tcPr>
          <w:p w14:paraId="26140CAE">
            <w:pPr>
              <w:jc w:val="center"/>
              <w:rPr>
                <w:color w:val="000000"/>
                <w:szCs w:val="21"/>
              </w:rPr>
            </w:pPr>
            <w:r>
              <w:rPr>
                <w:rFonts w:ascii="宋体" w:hAnsi="宋体"/>
                <w:szCs w:val="21"/>
              </w:rPr>
              <w:t>4500.0</w:t>
            </w:r>
          </w:p>
        </w:tc>
        <w:tc>
          <w:tcPr>
            <w:tcW w:w="3354" w:type="dxa"/>
            <w:tcBorders>
              <w:tl2br w:val="nil"/>
              <w:tr2bl w:val="nil"/>
            </w:tcBorders>
            <w:vAlign w:val="center"/>
          </w:tcPr>
          <w:p w14:paraId="6A3741C8">
            <w:pPr>
              <w:jc w:val="center"/>
              <w:rPr>
                <w:rFonts w:ascii="宋体" w:hAnsi="宋体" w:eastAsia="宋体" w:cs="Times New Roman"/>
                <w:szCs w:val="21"/>
              </w:rPr>
            </w:pPr>
            <w:r>
              <w:rPr>
                <w:rFonts w:ascii="宋体" w:hAnsi="宋体" w:eastAsia="宋体" w:cs="Times New Roman"/>
                <w:szCs w:val="21"/>
              </w:rPr>
              <w:t>6.1118</w:t>
            </w:r>
          </w:p>
        </w:tc>
        <w:tc>
          <w:tcPr>
            <w:tcW w:w="2937" w:type="dxa"/>
            <w:tcBorders>
              <w:tl2br w:val="nil"/>
              <w:tr2bl w:val="nil"/>
            </w:tcBorders>
            <w:vAlign w:val="center"/>
          </w:tcPr>
          <w:p w14:paraId="64E375F0">
            <w:pPr>
              <w:jc w:val="center"/>
              <w:rPr>
                <w:rFonts w:ascii="宋体" w:hAnsi="宋体" w:eastAsia="宋体" w:cs="Times New Roman"/>
                <w:szCs w:val="21"/>
              </w:rPr>
            </w:pPr>
            <w:r>
              <w:rPr>
                <w:rFonts w:ascii="宋体" w:hAnsi="宋体" w:eastAsia="宋体" w:cs="Times New Roman"/>
                <w:szCs w:val="21"/>
              </w:rPr>
              <w:t>0.3056</w:t>
            </w:r>
          </w:p>
        </w:tc>
      </w:tr>
      <w:tr w14:paraId="2377EB9C">
        <w:tblPrEx>
          <w:tblBorders>
            <w:top w:val="single" w:color="auto" w:sz="12" w:space="0"/>
            <w:left w:val="single" w:color="auto" w:sz="12" w:space="0"/>
            <w:bottom w:val="single" w:color="auto" w:sz="12" w:space="0"/>
            <w:right w:val="single" w:color="auto" w:sz="12" w:space="0"/>
            <w:insideH w:val="single" w:color="auto" w:sz="2" w:space="0"/>
            <w:insideV w:val="single" w:color="auto" w:sz="4" w:space="0"/>
          </w:tblBorders>
          <w:tblCellMar>
            <w:top w:w="0" w:type="dxa"/>
            <w:left w:w="108" w:type="dxa"/>
            <w:bottom w:w="0" w:type="dxa"/>
            <w:right w:w="108" w:type="dxa"/>
          </w:tblCellMar>
        </w:tblPrEx>
        <w:trPr>
          <w:trHeight w:val="350" w:hRule="atLeast"/>
        </w:trPr>
        <w:tc>
          <w:tcPr>
            <w:tcW w:w="2828" w:type="dxa"/>
            <w:tcBorders>
              <w:tl2br w:val="nil"/>
              <w:tr2bl w:val="nil"/>
            </w:tcBorders>
            <w:vAlign w:val="center"/>
          </w:tcPr>
          <w:p w14:paraId="2C206D30">
            <w:pPr>
              <w:jc w:val="center"/>
              <w:rPr>
                <w:color w:val="000000"/>
                <w:szCs w:val="21"/>
              </w:rPr>
            </w:pPr>
            <w:r>
              <w:rPr>
                <w:rFonts w:ascii="宋体" w:hAnsi="宋体"/>
                <w:szCs w:val="21"/>
              </w:rPr>
              <w:t>5000.0</w:t>
            </w:r>
          </w:p>
        </w:tc>
        <w:tc>
          <w:tcPr>
            <w:tcW w:w="3354" w:type="dxa"/>
            <w:tcBorders>
              <w:tl2br w:val="nil"/>
              <w:tr2bl w:val="nil"/>
            </w:tcBorders>
            <w:vAlign w:val="center"/>
          </w:tcPr>
          <w:p w14:paraId="73099284">
            <w:pPr>
              <w:jc w:val="center"/>
              <w:rPr>
                <w:rFonts w:ascii="宋体" w:hAnsi="宋体" w:eastAsia="宋体" w:cs="Times New Roman"/>
                <w:szCs w:val="21"/>
              </w:rPr>
            </w:pPr>
            <w:r>
              <w:rPr>
                <w:rFonts w:ascii="宋体" w:hAnsi="宋体" w:eastAsia="宋体" w:cs="Times New Roman"/>
                <w:szCs w:val="21"/>
              </w:rPr>
              <w:t>4.8816</w:t>
            </w:r>
          </w:p>
        </w:tc>
        <w:tc>
          <w:tcPr>
            <w:tcW w:w="2937" w:type="dxa"/>
            <w:tcBorders>
              <w:tl2br w:val="nil"/>
              <w:tr2bl w:val="nil"/>
            </w:tcBorders>
            <w:vAlign w:val="center"/>
          </w:tcPr>
          <w:p w14:paraId="5146C81D">
            <w:pPr>
              <w:jc w:val="center"/>
              <w:rPr>
                <w:rFonts w:ascii="宋体" w:hAnsi="宋体" w:eastAsia="宋体" w:cs="Times New Roman"/>
                <w:szCs w:val="21"/>
              </w:rPr>
            </w:pPr>
            <w:r>
              <w:rPr>
                <w:rFonts w:ascii="宋体" w:hAnsi="宋体" w:eastAsia="宋体" w:cs="Times New Roman"/>
                <w:szCs w:val="21"/>
              </w:rPr>
              <w:t>0.2441</w:t>
            </w:r>
          </w:p>
        </w:tc>
      </w:tr>
      <w:tr w14:paraId="3E8BB5F1">
        <w:tblPrEx>
          <w:tblBorders>
            <w:top w:val="single" w:color="auto" w:sz="12" w:space="0"/>
            <w:left w:val="single" w:color="auto" w:sz="12" w:space="0"/>
            <w:bottom w:val="single" w:color="auto" w:sz="12" w:space="0"/>
            <w:right w:val="single" w:color="auto" w:sz="12" w:space="0"/>
            <w:insideH w:val="single" w:color="auto" w:sz="2" w:space="0"/>
            <w:insideV w:val="single" w:color="auto" w:sz="4" w:space="0"/>
          </w:tblBorders>
          <w:tblCellMar>
            <w:top w:w="0" w:type="dxa"/>
            <w:left w:w="108" w:type="dxa"/>
            <w:bottom w:w="0" w:type="dxa"/>
            <w:right w:w="108" w:type="dxa"/>
          </w:tblCellMar>
        </w:tblPrEx>
        <w:trPr>
          <w:trHeight w:val="350" w:hRule="atLeast"/>
        </w:trPr>
        <w:tc>
          <w:tcPr>
            <w:tcW w:w="2828" w:type="dxa"/>
            <w:tcBorders>
              <w:tl2br w:val="nil"/>
              <w:tr2bl w:val="nil"/>
            </w:tcBorders>
            <w:vAlign w:val="center"/>
          </w:tcPr>
          <w:p w14:paraId="4A9688CD">
            <w:pPr>
              <w:jc w:val="center"/>
              <w:rPr>
                <w:color w:val="000000"/>
                <w:szCs w:val="21"/>
              </w:rPr>
            </w:pPr>
            <w:r>
              <w:rPr>
                <w:rFonts w:ascii="宋体" w:hAnsi="宋体"/>
                <w:szCs w:val="21"/>
              </w:rPr>
              <w:t>10000.0</w:t>
            </w:r>
          </w:p>
        </w:tc>
        <w:tc>
          <w:tcPr>
            <w:tcW w:w="3354" w:type="dxa"/>
            <w:tcBorders>
              <w:tl2br w:val="nil"/>
              <w:tr2bl w:val="nil"/>
            </w:tcBorders>
            <w:vAlign w:val="center"/>
          </w:tcPr>
          <w:p w14:paraId="0C0B051B">
            <w:pPr>
              <w:jc w:val="center"/>
              <w:rPr>
                <w:rFonts w:ascii="宋体" w:hAnsi="宋体" w:eastAsia="宋体" w:cs="Times New Roman"/>
                <w:szCs w:val="21"/>
              </w:rPr>
            </w:pPr>
            <w:r>
              <w:rPr>
                <w:rFonts w:ascii="宋体" w:hAnsi="宋体" w:eastAsia="宋体" w:cs="Times New Roman"/>
                <w:szCs w:val="21"/>
              </w:rPr>
              <w:t>2.9591</w:t>
            </w:r>
          </w:p>
        </w:tc>
        <w:tc>
          <w:tcPr>
            <w:tcW w:w="2937" w:type="dxa"/>
            <w:tcBorders>
              <w:tl2br w:val="nil"/>
              <w:tr2bl w:val="nil"/>
            </w:tcBorders>
            <w:vAlign w:val="center"/>
          </w:tcPr>
          <w:p w14:paraId="1DCF8E1D">
            <w:pPr>
              <w:jc w:val="center"/>
              <w:rPr>
                <w:rFonts w:ascii="宋体" w:hAnsi="宋体" w:eastAsia="宋体" w:cs="Times New Roman"/>
                <w:szCs w:val="21"/>
              </w:rPr>
            </w:pPr>
            <w:r>
              <w:rPr>
                <w:rFonts w:ascii="宋体" w:hAnsi="宋体" w:eastAsia="宋体" w:cs="Times New Roman"/>
                <w:szCs w:val="21"/>
              </w:rPr>
              <w:t>0.1480</w:t>
            </w:r>
          </w:p>
        </w:tc>
      </w:tr>
      <w:tr w14:paraId="4B82904D">
        <w:tblPrEx>
          <w:tblBorders>
            <w:top w:val="single" w:color="auto" w:sz="12" w:space="0"/>
            <w:left w:val="single" w:color="auto" w:sz="12" w:space="0"/>
            <w:bottom w:val="single" w:color="auto" w:sz="12" w:space="0"/>
            <w:right w:val="single" w:color="auto" w:sz="12" w:space="0"/>
            <w:insideH w:val="single" w:color="auto" w:sz="2" w:space="0"/>
            <w:insideV w:val="single" w:color="auto" w:sz="4" w:space="0"/>
          </w:tblBorders>
          <w:tblCellMar>
            <w:top w:w="0" w:type="dxa"/>
            <w:left w:w="108" w:type="dxa"/>
            <w:bottom w:w="0" w:type="dxa"/>
            <w:right w:w="108" w:type="dxa"/>
          </w:tblCellMar>
        </w:tblPrEx>
        <w:trPr>
          <w:trHeight w:val="350" w:hRule="atLeast"/>
        </w:trPr>
        <w:tc>
          <w:tcPr>
            <w:tcW w:w="2828" w:type="dxa"/>
            <w:tcBorders>
              <w:tl2br w:val="nil"/>
              <w:tr2bl w:val="nil"/>
            </w:tcBorders>
            <w:vAlign w:val="center"/>
          </w:tcPr>
          <w:p w14:paraId="10CFBC5D">
            <w:pPr>
              <w:jc w:val="center"/>
              <w:rPr>
                <w:color w:val="000000"/>
                <w:szCs w:val="21"/>
              </w:rPr>
            </w:pPr>
            <w:r>
              <w:rPr>
                <w:rFonts w:ascii="宋体" w:hAnsi="宋体"/>
                <w:szCs w:val="21"/>
              </w:rPr>
              <w:t>11000.0</w:t>
            </w:r>
          </w:p>
        </w:tc>
        <w:tc>
          <w:tcPr>
            <w:tcW w:w="3354" w:type="dxa"/>
            <w:tcBorders>
              <w:tl2br w:val="nil"/>
              <w:tr2bl w:val="nil"/>
            </w:tcBorders>
            <w:vAlign w:val="center"/>
          </w:tcPr>
          <w:p w14:paraId="0C79FF26">
            <w:pPr>
              <w:jc w:val="center"/>
              <w:rPr>
                <w:rFonts w:ascii="宋体" w:hAnsi="宋体" w:eastAsia="宋体" w:cs="Times New Roman"/>
                <w:szCs w:val="21"/>
              </w:rPr>
            </w:pPr>
            <w:r>
              <w:rPr>
                <w:rFonts w:ascii="宋体" w:hAnsi="宋体" w:eastAsia="宋体" w:cs="Times New Roman"/>
                <w:szCs w:val="21"/>
              </w:rPr>
              <w:t>2.6961</w:t>
            </w:r>
          </w:p>
        </w:tc>
        <w:tc>
          <w:tcPr>
            <w:tcW w:w="2937" w:type="dxa"/>
            <w:tcBorders>
              <w:tl2br w:val="nil"/>
              <w:tr2bl w:val="nil"/>
            </w:tcBorders>
            <w:vAlign w:val="center"/>
          </w:tcPr>
          <w:p w14:paraId="3F3E1398">
            <w:pPr>
              <w:jc w:val="center"/>
              <w:rPr>
                <w:rFonts w:ascii="宋体" w:hAnsi="宋体" w:eastAsia="宋体" w:cs="Times New Roman"/>
                <w:szCs w:val="21"/>
              </w:rPr>
            </w:pPr>
            <w:r>
              <w:rPr>
                <w:rFonts w:ascii="宋体" w:hAnsi="宋体" w:eastAsia="宋体" w:cs="Times New Roman"/>
                <w:szCs w:val="21"/>
              </w:rPr>
              <w:t>0.1348</w:t>
            </w:r>
          </w:p>
        </w:tc>
      </w:tr>
      <w:tr w14:paraId="1522D668">
        <w:tblPrEx>
          <w:tblBorders>
            <w:top w:val="single" w:color="auto" w:sz="12" w:space="0"/>
            <w:left w:val="single" w:color="auto" w:sz="12" w:space="0"/>
            <w:bottom w:val="single" w:color="auto" w:sz="12" w:space="0"/>
            <w:right w:val="single" w:color="auto" w:sz="12" w:space="0"/>
            <w:insideH w:val="single" w:color="auto" w:sz="2" w:space="0"/>
            <w:insideV w:val="single" w:color="auto" w:sz="4" w:space="0"/>
          </w:tblBorders>
          <w:tblCellMar>
            <w:top w:w="0" w:type="dxa"/>
            <w:left w:w="108" w:type="dxa"/>
            <w:bottom w:w="0" w:type="dxa"/>
            <w:right w:w="108" w:type="dxa"/>
          </w:tblCellMar>
        </w:tblPrEx>
        <w:trPr>
          <w:trHeight w:val="350" w:hRule="atLeast"/>
        </w:trPr>
        <w:tc>
          <w:tcPr>
            <w:tcW w:w="2828" w:type="dxa"/>
            <w:tcBorders>
              <w:tl2br w:val="nil"/>
              <w:tr2bl w:val="nil"/>
            </w:tcBorders>
            <w:vAlign w:val="center"/>
          </w:tcPr>
          <w:p w14:paraId="6AE6AAE5">
            <w:pPr>
              <w:jc w:val="center"/>
              <w:rPr>
                <w:color w:val="000000"/>
                <w:szCs w:val="21"/>
              </w:rPr>
            </w:pPr>
            <w:r>
              <w:rPr>
                <w:rFonts w:ascii="宋体" w:hAnsi="宋体"/>
                <w:szCs w:val="21"/>
              </w:rPr>
              <w:t>12000.0</w:t>
            </w:r>
          </w:p>
        </w:tc>
        <w:tc>
          <w:tcPr>
            <w:tcW w:w="3354" w:type="dxa"/>
            <w:tcBorders>
              <w:tl2br w:val="nil"/>
              <w:tr2bl w:val="nil"/>
            </w:tcBorders>
            <w:vAlign w:val="center"/>
          </w:tcPr>
          <w:p w14:paraId="2E36F3A0">
            <w:pPr>
              <w:jc w:val="center"/>
              <w:rPr>
                <w:rFonts w:ascii="宋体" w:hAnsi="宋体" w:eastAsia="宋体" w:cs="Times New Roman"/>
                <w:szCs w:val="21"/>
              </w:rPr>
            </w:pPr>
            <w:r>
              <w:rPr>
                <w:rFonts w:ascii="宋体" w:hAnsi="宋体" w:eastAsia="宋体" w:cs="Times New Roman"/>
                <w:szCs w:val="21"/>
              </w:rPr>
              <w:t>2.6578</w:t>
            </w:r>
          </w:p>
        </w:tc>
        <w:tc>
          <w:tcPr>
            <w:tcW w:w="2937" w:type="dxa"/>
            <w:tcBorders>
              <w:tl2br w:val="nil"/>
              <w:tr2bl w:val="nil"/>
            </w:tcBorders>
            <w:vAlign w:val="center"/>
          </w:tcPr>
          <w:p w14:paraId="0D2D1247">
            <w:pPr>
              <w:jc w:val="center"/>
              <w:rPr>
                <w:rFonts w:ascii="宋体" w:hAnsi="宋体" w:eastAsia="宋体" w:cs="Times New Roman"/>
                <w:szCs w:val="21"/>
              </w:rPr>
            </w:pPr>
            <w:r>
              <w:rPr>
                <w:rFonts w:ascii="宋体" w:hAnsi="宋体" w:eastAsia="宋体" w:cs="Times New Roman"/>
                <w:szCs w:val="21"/>
              </w:rPr>
              <w:t>0.1329</w:t>
            </w:r>
          </w:p>
        </w:tc>
      </w:tr>
      <w:tr w14:paraId="6C76FE86">
        <w:tblPrEx>
          <w:tblBorders>
            <w:top w:val="single" w:color="auto" w:sz="12" w:space="0"/>
            <w:left w:val="single" w:color="auto" w:sz="12" w:space="0"/>
            <w:bottom w:val="single" w:color="auto" w:sz="12" w:space="0"/>
            <w:right w:val="single" w:color="auto" w:sz="12" w:space="0"/>
            <w:insideH w:val="single" w:color="auto" w:sz="2" w:space="0"/>
            <w:insideV w:val="single" w:color="auto" w:sz="4" w:space="0"/>
          </w:tblBorders>
          <w:tblCellMar>
            <w:top w:w="0" w:type="dxa"/>
            <w:left w:w="108" w:type="dxa"/>
            <w:bottom w:w="0" w:type="dxa"/>
            <w:right w:w="108" w:type="dxa"/>
          </w:tblCellMar>
        </w:tblPrEx>
        <w:trPr>
          <w:trHeight w:val="350" w:hRule="atLeast"/>
        </w:trPr>
        <w:tc>
          <w:tcPr>
            <w:tcW w:w="2828" w:type="dxa"/>
            <w:tcBorders>
              <w:tl2br w:val="nil"/>
              <w:tr2bl w:val="nil"/>
            </w:tcBorders>
            <w:vAlign w:val="center"/>
          </w:tcPr>
          <w:p w14:paraId="7488187D">
            <w:pPr>
              <w:jc w:val="center"/>
              <w:rPr>
                <w:color w:val="000000"/>
                <w:szCs w:val="21"/>
              </w:rPr>
            </w:pPr>
            <w:r>
              <w:rPr>
                <w:rFonts w:ascii="宋体" w:hAnsi="宋体"/>
                <w:szCs w:val="21"/>
              </w:rPr>
              <w:t>13000.0</w:t>
            </w:r>
          </w:p>
        </w:tc>
        <w:tc>
          <w:tcPr>
            <w:tcW w:w="3354" w:type="dxa"/>
            <w:tcBorders>
              <w:tl2br w:val="nil"/>
              <w:tr2bl w:val="nil"/>
            </w:tcBorders>
            <w:vAlign w:val="center"/>
          </w:tcPr>
          <w:p w14:paraId="242062E8">
            <w:pPr>
              <w:jc w:val="center"/>
              <w:rPr>
                <w:rFonts w:ascii="宋体" w:hAnsi="宋体" w:eastAsia="宋体" w:cs="Times New Roman"/>
                <w:szCs w:val="21"/>
              </w:rPr>
            </w:pPr>
            <w:r>
              <w:rPr>
                <w:rFonts w:ascii="宋体" w:hAnsi="宋体" w:eastAsia="宋体" w:cs="Times New Roman"/>
                <w:szCs w:val="21"/>
              </w:rPr>
              <w:t>2.5244</w:t>
            </w:r>
          </w:p>
        </w:tc>
        <w:tc>
          <w:tcPr>
            <w:tcW w:w="2937" w:type="dxa"/>
            <w:tcBorders>
              <w:tl2br w:val="nil"/>
              <w:tr2bl w:val="nil"/>
            </w:tcBorders>
            <w:vAlign w:val="center"/>
          </w:tcPr>
          <w:p w14:paraId="097F1C8D">
            <w:pPr>
              <w:jc w:val="center"/>
              <w:rPr>
                <w:rFonts w:ascii="宋体" w:hAnsi="宋体" w:eastAsia="宋体" w:cs="Times New Roman"/>
                <w:szCs w:val="21"/>
              </w:rPr>
            </w:pPr>
            <w:r>
              <w:rPr>
                <w:rFonts w:ascii="宋体" w:hAnsi="宋体" w:eastAsia="宋体" w:cs="Times New Roman"/>
                <w:szCs w:val="21"/>
              </w:rPr>
              <w:t>0.1262</w:t>
            </w:r>
          </w:p>
        </w:tc>
      </w:tr>
      <w:tr w14:paraId="74B1EA05">
        <w:tblPrEx>
          <w:tblBorders>
            <w:top w:val="single" w:color="auto" w:sz="12" w:space="0"/>
            <w:left w:val="single" w:color="auto" w:sz="12" w:space="0"/>
            <w:bottom w:val="single" w:color="auto" w:sz="12" w:space="0"/>
            <w:right w:val="single" w:color="auto" w:sz="12" w:space="0"/>
            <w:insideH w:val="single" w:color="auto" w:sz="2" w:space="0"/>
            <w:insideV w:val="single" w:color="auto" w:sz="4" w:space="0"/>
          </w:tblBorders>
          <w:tblCellMar>
            <w:top w:w="0" w:type="dxa"/>
            <w:left w:w="108" w:type="dxa"/>
            <w:bottom w:w="0" w:type="dxa"/>
            <w:right w:w="108" w:type="dxa"/>
          </w:tblCellMar>
        </w:tblPrEx>
        <w:trPr>
          <w:trHeight w:val="350" w:hRule="atLeast"/>
        </w:trPr>
        <w:tc>
          <w:tcPr>
            <w:tcW w:w="2828" w:type="dxa"/>
            <w:tcBorders>
              <w:tl2br w:val="nil"/>
              <w:tr2bl w:val="nil"/>
            </w:tcBorders>
            <w:vAlign w:val="center"/>
          </w:tcPr>
          <w:p w14:paraId="2C0F4874">
            <w:pPr>
              <w:jc w:val="center"/>
              <w:rPr>
                <w:color w:val="000000"/>
                <w:szCs w:val="21"/>
              </w:rPr>
            </w:pPr>
            <w:r>
              <w:rPr>
                <w:rFonts w:ascii="宋体" w:hAnsi="宋体"/>
                <w:szCs w:val="21"/>
              </w:rPr>
              <w:t>14000.0</w:t>
            </w:r>
          </w:p>
        </w:tc>
        <w:tc>
          <w:tcPr>
            <w:tcW w:w="3354" w:type="dxa"/>
            <w:tcBorders>
              <w:tl2br w:val="nil"/>
              <w:tr2bl w:val="nil"/>
            </w:tcBorders>
            <w:vAlign w:val="center"/>
          </w:tcPr>
          <w:p w14:paraId="615B41A9">
            <w:pPr>
              <w:jc w:val="center"/>
              <w:rPr>
                <w:rFonts w:ascii="宋体" w:hAnsi="宋体" w:eastAsia="宋体" w:cs="Times New Roman"/>
                <w:szCs w:val="21"/>
              </w:rPr>
            </w:pPr>
            <w:r>
              <w:rPr>
                <w:rFonts w:ascii="宋体" w:hAnsi="宋体" w:eastAsia="宋体" w:cs="Times New Roman"/>
                <w:szCs w:val="21"/>
              </w:rPr>
              <w:t>2.5405</w:t>
            </w:r>
          </w:p>
        </w:tc>
        <w:tc>
          <w:tcPr>
            <w:tcW w:w="2937" w:type="dxa"/>
            <w:tcBorders>
              <w:tl2br w:val="nil"/>
              <w:tr2bl w:val="nil"/>
            </w:tcBorders>
            <w:vAlign w:val="center"/>
          </w:tcPr>
          <w:p w14:paraId="04F2E117">
            <w:pPr>
              <w:jc w:val="center"/>
              <w:rPr>
                <w:rFonts w:ascii="宋体" w:hAnsi="宋体" w:eastAsia="宋体" w:cs="Times New Roman"/>
                <w:szCs w:val="21"/>
              </w:rPr>
            </w:pPr>
            <w:r>
              <w:rPr>
                <w:rFonts w:ascii="宋体" w:hAnsi="宋体" w:eastAsia="宋体" w:cs="Times New Roman"/>
                <w:szCs w:val="21"/>
              </w:rPr>
              <w:t>0.1270</w:t>
            </w:r>
          </w:p>
        </w:tc>
      </w:tr>
      <w:tr w14:paraId="0DCFC8CD">
        <w:tblPrEx>
          <w:tblBorders>
            <w:top w:val="single" w:color="auto" w:sz="12" w:space="0"/>
            <w:left w:val="single" w:color="auto" w:sz="12" w:space="0"/>
            <w:bottom w:val="single" w:color="auto" w:sz="12" w:space="0"/>
            <w:right w:val="single" w:color="auto" w:sz="12" w:space="0"/>
            <w:insideH w:val="single" w:color="auto" w:sz="2" w:space="0"/>
            <w:insideV w:val="single" w:color="auto" w:sz="4" w:space="0"/>
          </w:tblBorders>
          <w:tblCellMar>
            <w:top w:w="0" w:type="dxa"/>
            <w:left w:w="108" w:type="dxa"/>
            <w:bottom w:w="0" w:type="dxa"/>
            <w:right w:w="108" w:type="dxa"/>
          </w:tblCellMar>
        </w:tblPrEx>
        <w:trPr>
          <w:trHeight w:val="350" w:hRule="atLeast"/>
        </w:trPr>
        <w:tc>
          <w:tcPr>
            <w:tcW w:w="2828" w:type="dxa"/>
            <w:tcBorders>
              <w:tl2br w:val="nil"/>
              <w:tr2bl w:val="nil"/>
            </w:tcBorders>
            <w:vAlign w:val="center"/>
          </w:tcPr>
          <w:p w14:paraId="686BCAA2">
            <w:pPr>
              <w:jc w:val="center"/>
              <w:rPr>
                <w:color w:val="000000"/>
                <w:szCs w:val="21"/>
              </w:rPr>
            </w:pPr>
            <w:r>
              <w:rPr>
                <w:rFonts w:ascii="宋体" w:hAnsi="宋体"/>
                <w:szCs w:val="21"/>
              </w:rPr>
              <w:t>15000.0</w:t>
            </w:r>
          </w:p>
        </w:tc>
        <w:tc>
          <w:tcPr>
            <w:tcW w:w="3354" w:type="dxa"/>
            <w:tcBorders>
              <w:tl2br w:val="nil"/>
              <w:tr2bl w:val="nil"/>
            </w:tcBorders>
            <w:vAlign w:val="center"/>
          </w:tcPr>
          <w:p w14:paraId="0A499CC5">
            <w:pPr>
              <w:jc w:val="center"/>
              <w:rPr>
                <w:rFonts w:ascii="宋体" w:hAnsi="宋体" w:eastAsia="宋体" w:cs="Times New Roman"/>
                <w:szCs w:val="21"/>
              </w:rPr>
            </w:pPr>
            <w:r>
              <w:rPr>
                <w:rFonts w:ascii="宋体" w:hAnsi="宋体" w:eastAsia="宋体" w:cs="Times New Roman"/>
                <w:szCs w:val="21"/>
              </w:rPr>
              <w:t>2.3275</w:t>
            </w:r>
          </w:p>
        </w:tc>
        <w:tc>
          <w:tcPr>
            <w:tcW w:w="2937" w:type="dxa"/>
            <w:tcBorders>
              <w:tl2br w:val="nil"/>
              <w:tr2bl w:val="nil"/>
            </w:tcBorders>
            <w:vAlign w:val="center"/>
          </w:tcPr>
          <w:p w14:paraId="450FE4F8">
            <w:pPr>
              <w:jc w:val="center"/>
              <w:rPr>
                <w:rFonts w:ascii="宋体" w:hAnsi="宋体" w:eastAsia="宋体" w:cs="Times New Roman"/>
                <w:szCs w:val="21"/>
              </w:rPr>
            </w:pPr>
            <w:r>
              <w:rPr>
                <w:rFonts w:ascii="宋体" w:hAnsi="宋体" w:eastAsia="宋体" w:cs="Times New Roman"/>
                <w:szCs w:val="21"/>
              </w:rPr>
              <w:t>0.1164</w:t>
            </w:r>
          </w:p>
        </w:tc>
      </w:tr>
      <w:tr w14:paraId="295DB127">
        <w:tblPrEx>
          <w:tblBorders>
            <w:top w:val="single" w:color="auto" w:sz="12" w:space="0"/>
            <w:left w:val="single" w:color="auto" w:sz="12" w:space="0"/>
            <w:bottom w:val="single" w:color="auto" w:sz="12" w:space="0"/>
            <w:right w:val="single" w:color="auto" w:sz="12" w:space="0"/>
            <w:insideH w:val="single" w:color="auto" w:sz="2" w:space="0"/>
            <w:insideV w:val="single" w:color="auto" w:sz="4" w:space="0"/>
          </w:tblBorders>
          <w:tblCellMar>
            <w:top w:w="0" w:type="dxa"/>
            <w:left w:w="108" w:type="dxa"/>
            <w:bottom w:w="0" w:type="dxa"/>
            <w:right w:w="108" w:type="dxa"/>
          </w:tblCellMar>
        </w:tblPrEx>
        <w:trPr>
          <w:trHeight w:val="350" w:hRule="atLeast"/>
        </w:trPr>
        <w:tc>
          <w:tcPr>
            <w:tcW w:w="2828" w:type="dxa"/>
            <w:tcBorders>
              <w:tl2br w:val="nil"/>
              <w:tr2bl w:val="nil"/>
            </w:tcBorders>
            <w:vAlign w:val="center"/>
          </w:tcPr>
          <w:p w14:paraId="7757179E">
            <w:pPr>
              <w:jc w:val="center"/>
              <w:rPr>
                <w:color w:val="000000"/>
                <w:szCs w:val="21"/>
              </w:rPr>
            </w:pPr>
            <w:r>
              <w:rPr>
                <w:rFonts w:ascii="宋体" w:hAnsi="宋体"/>
                <w:szCs w:val="21"/>
              </w:rPr>
              <w:t>20000.0</w:t>
            </w:r>
          </w:p>
        </w:tc>
        <w:tc>
          <w:tcPr>
            <w:tcW w:w="3354" w:type="dxa"/>
            <w:tcBorders>
              <w:tl2br w:val="nil"/>
              <w:tr2bl w:val="nil"/>
            </w:tcBorders>
            <w:vAlign w:val="center"/>
          </w:tcPr>
          <w:p w14:paraId="6331FC9C">
            <w:pPr>
              <w:jc w:val="center"/>
              <w:rPr>
                <w:rFonts w:ascii="宋体" w:hAnsi="宋体" w:eastAsia="宋体" w:cs="Times New Roman"/>
                <w:szCs w:val="21"/>
              </w:rPr>
            </w:pPr>
            <w:r>
              <w:rPr>
                <w:rFonts w:ascii="宋体" w:hAnsi="宋体" w:eastAsia="宋体" w:cs="Times New Roman"/>
                <w:szCs w:val="21"/>
              </w:rPr>
              <w:t>1.8680</w:t>
            </w:r>
          </w:p>
        </w:tc>
        <w:tc>
          <w:tcPr>
            <w:tcW w:w="2937" w:type="dxa"/>
            <w:tcBorders>
              <w:tl2br w:val="nil"/>
              <w:tr2bl w:val="nil"/>
            </w:tcBorders>
            <w:vAlign w:val="center"/>
          </w:tcPr>
          <w:p w14:paraId="0FB4E263">
            <w:pPr>
              <w:jc w:val="center"/>
              <w:rPr>
                <w:rFonts w:ascii="宋体" w:hAnsi="宋体" w:eastAsia="宋体" w:cs="Times New Roman"/>
                <w:szCs w:val="21"/>
              </w:rPr>
            </w:pPr>
            <w:r>
              <w:rPr>
                <w:rFonts w:ascii="宋体" w:hAnsi="宋体" w:eastAsia="宋体" w:cs="Times New Roman"/>
                <w:szCs w:val="21"/>
              </w:rPr>
              <w:t>0.0934</w:t>
            </w:r>
          </w:p>
        </w:tc>
      </w:tr>
      <w:tr w14:paraId="0E23298E">
        <w:tblPrEx>
          <w:tblBorders>
            <w:top w:val="single" w:color="auto" w:sz="12" w:space="0"/>
            <w:left w:val="single" w:color="auto" w:sz="12" w:space="0"/>
            <w:bottom w:val="single" w:color="auto" w:sz="12" w:space="0"/>
            <w:right w:val="single" w:color="auto" w:sz="12" w:space="0"/>
            <w:insideH w:val="single" w:color="auto" w:sz="2" w:space="0"/>
            <w:insideV w:val="single" w:color="auto" w:sz="4" w:space="0"/>
          </w:tblBorders>
          <w:tblCellMar>
            <w:top w:w="0" w:type="dxa"/>
            <w:left w:w="108" w:type="dxa"/>
            <w:bottom w:w="0" w:type="dxa"/>
            <w:right w:w="108" w:type="dxa"/>
          </w:tblCellMar>
        </w:tblPrEx>
        <w:trPr>
          <w:trHeight w:val="350" w:hRule="atLeast"/>
        </w:trPr>
        <w:tc>
          <w:tcPr>
            <w:tcW w:w="2828" w:type="dxa"/>
            <w:tcBorders>
              <w:tl2br w:val="nil"/>
              <w:tr2bl w:val="nil"/>
            </w:tcBorders>
            <w:vAlign w:val="center"/>
          </w:tcPr>
          <w:p w14:paraId="0A62000F">
            <w:pPr>
              <w:jc w:val="center"/>
              <w:rPr>
                <w:color w:val="000000"/>
                <w:szCs w:val="21"/>
              </w:rPr>
            </w:pPr>
            <w:r>
              <w:rPr>
                <w:rFonts w:ascii="宋体" w:hAnsi="宋体"/>
                <w:szCs w:val="21"/>
              </w:rPr>
              <w:t>25000.0</w:t>
            </w:r>
          </w:p>
        </w:tc>
        <w:tc>
          <w:tcPr>
            <w:tcW w:w="3354" w:type="dxa"/>
            <w:tcBorders>
              <w:tl2br w:val="nil"/>
              <w:tr2bl w:val="nil"/>
            </w:tcBorders>
            <w:vAlign w:val="center"/>
          </w:tcPr>
          <w:p w14:paraId="6CA8FF96">
            <w:pPr>
              <w:jc w:val="center"/>
              <w:rPr>
                <w:rFonts w:ascii="宋体" w:hAnsi="宋体" w:eastAsia="宋体" w:cs="Times New Roman"/>
                <w:szCs w:val="21"/>
              </w:rPr>
            </w:pPr>
            <w:r>
              <w:rPr>
                <w:rFonts w:ascii="宋体" w:hAnsi="宋体" w:eastAsia="宋体" w:cs="Times New Roman"/>
                <w:szCs w:val="21"/>
              </w:rPr>
              <w:t>1.5108</w:t>
            </w:r>
          </w:p>
        </w:tc>
        <w:tc>
          <w:tcPr>
            <w:tcW w:w="2937" w:type="dxa"/>
            <w:tcBorders>
              <w:tl2br w:val="nil"/>
              <w:tr2bl w:val="nil"/>
            </w:tcBorders>
            <w:vAlign w:val="center"/>
          </w:tcPr>
          <w:p w14:paraId="2A6209EA">
            <w:pPr>
              <w:jc w:val="center"/>
              <w:rPr>
                <w:rFonts w:ascii="宋体" w:hAnsi="宋体" w:eastAsia="宋体" w:cs="Times New Roman"/>
                <w:szCs w:val="21"/>
              </w:rPr>
            </w:pPr>
            <w:r>
              <w:rPr>
                <w:rFonts w:ascii="宋体" w:hAnsi="宋体" w:eastAsia="宋体" w:cs="Times New Roman"/>
                <w:szCs w:val="21"/>
              </w:rPr>
              <w:t>0.0755</w:t>
            </w:r>
          </w:p>
        </w:tc>
      </w:tr>
      <w:tr w14:paraId="662AE2BB">
        <w:tblPrEx>
          <w:tblBorders>
            <w:top w:val="single" w:color="auto" w:sz="12" w:space="0"/>
            <w:left w:val="single" w:color="auto" w:sz="12" w:space="0"/>
            <w:bottom w:val="single" w:color="auto" w:sz="12" w:space="0"/>
            <w:right w:val="single" w:color="auto" w:sz="12" w:space="0"/>
            <w:insideH w:val="single" w:color="auto" w:sz="2" w:space="0"/>
            <w:insideV w:val="single" w:color="auto" w:sz="4" w:space="0"/>
          </w:tblBorders>
          <w:tblCellMar>
            <w:top w:w="0" w:type="dxa"/>
            <w:left w:w="108" w:type="dxa"/>
            <w:bottom w:w="0" w:type="dxa"/>
            <w:right w:w="108" w:type="dxa"/>
          </w:tblCellMar>
        </w:tblPrEx>
        <w:trPr>
          <w:trHeight w:val="350" w:hRule="atLeast"/>
        </w:trPr>
        <w:tc>
          <w:tcPr>
            <w:tcW w:w="2828" w:type="dxa"/>
            <w:tcBorders>
              <w:tl2br w:val="nil"/>
              <w:tr2bl w:val="nil"/>
            </w:tcBorders>
            <w:vAlign w:val="center"/>
          </w:tcPr>
          <w:p w14:paraId="75FDF45D">
            <w:pPr>
              <w:jc w:val="center"/>
              <w:rPr>
                <w:color w:val="000000"/>
                <w:szCs w:val="21"/>
              </w:rPr>
            </w:pPr>
            <w:r>
              <w:rPr>
                <w:rFonts w:ascii="宋体" w:hAnsi="宋体"/>
                <w:szCs w:val="21"/>
              </w:rPr>
              <w:t>下风向最大浓度</w:t>
            </w:r>
          </w:p>
        </w:tc>
        <w:tc>
          <w:tcPr>
            <w:tcW w:w="3354" w:type="dxa"/>
            <w:tcBorders>
              <w:tl2br w:val="nil"/>
              <w:tr2bl w:val="nil"/>
            </w:tcBorders>
            <w:vAlign w:val="center"/>
          </w:tcPr>
          <w:p w14:paraId="2A949470">
            <w:pPr>
              <w:jc w:val="center"/>
              <w:rPr>
                <w:rFonts w:ascii="宋体" w:hAnsi="宋体" w:eastAsia="宋体" w:cs="Times New Roman"/>
                <w:szCs w:val="21"/>
              </w:rPr>
            </w:pPr>
            <w:r>
              <w:rPr>
                <w:rFonts w:ascii="宋体" w:hAnsi="宋体" w:eastAsia="宋体" w:cs="Times New Roman"/>
                <w:szCs w:val="21"/>
              </w:rPr>
              <w:t>43.8230</w:t>
            </w:r>
          </w:p>
        </w:tc>
        <w:tc>
          <w:tcPr>
            <w:tcW w:w="2937" w:type="dxa"/>
            <w:tcBorders>
              <w:tl2br w:val="nil"/>
              <w:tr2bl w:val="nil"/>
            </w:tcBorders>
            <w:vAlign w:val="center"/>
          </w:tcPr>
          <w:p w14:paraId="210F61E2">
            <w:pPr>
              <w:jc w:val="center"/>
              <w:rPr>
                <w:rFonts w:ascii="宋体" w:hAnsi="宋体" w:eastAsia="宋体" w:cs="Times New Roman"/>
                <w:szCs w:val="21"/>
              </w:rPr>
            </w:pPr>
            <w:r>
              <w:rPr>
                <w:rFonts w:ascii="宋体" w:hAnsi="宋体" w:eastAsia="宋体" w:cs="Times New Roman"/>
                <w:szCs w:val="21"/>
              </w:rPr>
              <w:t>2.1911</w:t>
            </w:r>
          </w:p>
        </w:tc>
      </w:tr>
      <w:tr w14:paraId="35E6CFC9">
        <w:tblPrEx>
          <w:tblBorders>
            <w:top w:val="single" w:color="auto" w:sz="12" w:space="0"/>
            <w:left w:val="single" w:color="auto" w:sz="12" w:space="0"/>
            <w:bottom w:val="single" w:color="auto" w:sz="12" w:space="0"/>
            <w:right w:val="single" w:color="auto" w:sz="12" w:space="0"/>
            <w:insideH w:val="single" w:color="auto" w:sz="2" w:space="0"/>
            <w:insideV w:val="single" w:color="auto" w:sz="4" w:space="0"/>
          </w:tblBorders>
          <w:tblCellMar>
            <w:top w:w="0" w:type="dxa"/>
            <w:left w:w="108" w:type="dxa"/>
            <w:bottom w:w="0" w:type="dxa"/>
            <w:right w:w="108" w:type="dxa"/>
          </w:tblCellMar>
        </w:tblPrEx>
        <w:trPr>
          <w:trHeight w:val="350" w:hRule="atLeast"/>
        </w:trPr>
        <w:tc>
          <w:tcPr>
            <w:tcW w:w="2828" w:type="dxa"/>
            <w:tcBorders>
              <w:tl2br w:val="nil"/>
              <w:tr2bl w:val="nil"/>
            </w:tcBorders>
            <w:vAlign w:val="center"/>
          </w:tcPr>
          <w:p w14:paraId="164912A7">
            <w:pPr>
              <w:jc w:val="center"/>
              <w:rPr>
                <w:color w:val="000000"/>
                <w:szCs w:val="21"/>
              </w:rPr>
            </w:pPr>
            <w:r>
              <w:rPr>
                <w:rFonts w:ascii="宋体" w:hAnsi="宋体"/>
                <w:szCs w:val="21"/>
              </w:rPr>
              <w:t>下风向最大浓度出现距离</w:t>
            </w:r>
          </w:p>
        </w:tc>
        <w:tc>
          <w:tcPr>
            <w:tcW w:w="3354" w:type="dxa"/>
            <w:tcBorders>
              <w:tl2br w:val="nil"/>
              <w:tr2bl w:val="nil"/>
            </w:tcBorders>
            <w:vAlign w:val="center"/>
          </w:tcPr>
          <w:p w14:paraId="0C5D47AB">
            <w:pPr>
              <w:jc w:val="center"/>
              <w:rPr>
                <w:rFonts w:ascii="宋体" w:hAnsi="宋体" w:eastAsia="宋体" w:cs="Times New Roman"/>
                <w:szCs w:val="21"/>
              </w:rPr>
            </w:pPr>
            <w:r>
              <w:rPr>
                <w:rFonts w:ascii="宋体" w:hAnsi="宋体" w:eastAsia="宋体" w:cs="Times New Roman"/>
                <w:szCs w:val="21"/>
              </w:rPr>
              <w:t>155.0</w:t>
            </w:r>
          </w:p>
        </w:tc>
        <w:tc>
          <w:tcPr>
            <w:tcW w:w="2937" w:type="dxa"/>
            <w:tcBorders>
              <w:tl2br w:val="nil"/>
              <w:tr2bl w:val="nil"/>
            </w:tcBorders>
            <w:vAlign w:val="center"/>
          </w:tcPr>
          <w:p w14:paraId="71932B08">
            <w:pPr>
              <w:jc w:val="center"/>
              <w:rPr>
                <w:rFonts w:ascii="宋体" w:hAnsi="宋体" w:eastAsia="宋体" w:cs="Times New Roman"/>
                <w:szCs w:val="21"/>
              </w:rPr>
            </w:pPr>
            <w:r>
              <w:rPr>
                <w:rFonts w:ascii="宋体" w:hAnsi="宋体" w:eastAsia="宋体" w:cs="Times New Roman"/>
                <w:szCs w:val="21"/>
              </w:rPr>
              <w:t>155.0</w:t>
            </w:r>
          </w:p>
        </w:tc>
      </w:tr>
      <w:tr w14:paraId="245AC6DD">
        <w:tblPrEx>
          <w:tblBorders>
            <w:top w:val="single" w:color="auto" w:sz="12" w:space="0"/>
            <w:left w:val="single" w:color="auto" w:sz="12" w:space="0"/>
            <w:bottom w:val="single" w:color="auto" w:sz="12" w:space="0"/>
            <w:right w:val="single" w:color="auto" w:sz="12" w:space="0"/>
            <w:insideH w:val="single" w:color="auto" w:sz="2" w:space="0"/>
            <w:insideV w:val="single" w:color="auto" w:sz="4" w:space="0"/>
          </w:tblBorders>
          <w:tblCellMar>
            <w:top w:w="0" w:type="dxa"/>
            <w:left w:w="108" w:type="dxa"/>
            <w:bottom w:w="0" w:type="dxa"/>
            <w:right w:w="108" w:type="dxa"/>
          </w:tblCellMar>
        </w:tblPrEx>
        <w:trPr>
          <w:trHeight w:val="383" w:hRule="atLeast"/>
        </w:trPr>
        <w:tc>
          <w:tcPr>
            <w:tcW w:w="0" w:type="auto"/>
            <w:tcBorders>
              <w:tl2br w:val="nil"/>
              <w:tr2bl w:val="nil"/>
            </w:tcBorders>
            <w:vAlign w:val="center"/>
          </w:tcPr>
          <w:p w14:paraId="72BE31DA">
            <w:pPr>
              <w:pStyle w:val="240"/>
              <w:rPr>
                <w:rFonts w:hint="default"/>
              </w:rPr>
            </w:pPr>
            <w:r>
              <w:t>D10%最远距离</w:t>
            </w:r>
          </w:p>
        </w:tc>
        <w:tc>
          <w:tcPr>
            <w:tcW w:w="3354" w:type="dxa"/>
            <w:tcBorders>
              <w:tl2br w:val="nil"/>
              <w:tr2bl w:val="nil"/>
            </w:tcBorders>
            <w:vAlign w:val="center"/>
          </w:tcPr>
          <w:p w14:paraId="058B5E40">
            <w:pPr>
              <w:pStyle w:val="240"/>
              <w:rPr>
                <w:rFonts w:hint="default"/>
              </w:rPr>
            </w:pPr>
            <w:r>
              <w:rPr>
                <w:rFonts w:hint="default"/>
              </w:rPr>
              <w:t>/</w:t>
            </w:r>
          </w:p>
        </w:tc>
        <w:tc>
          <w:tcPr>
            <w:tcW w:w="2937" w:type="dxa"/>
            <w:tcBorders>
              <w:tl2br w:val="nil"/>
              <w:tr2bl w:val="nil"/>
            </w:tcBorders>
            <w:vAlign w:val="center"/>
          </w:tcPr>
          <w:p w14:paraId="4EAB8003">
            <w:pPr>
              <w:pStyle w:val="240"/>
              <w:rPr>
                <w:rFonts w:hint="default"/>
              </w:rPr>
            </w:pPr>
            <w:r>
              <w:rPr>
                <w:rFonts w:hint="default"/>
              </w:rPr>
              <w:t>/</w:t>
            </w:r>
          </w:p>
        </w:tc>
      </w:tr>
    </w:tbl>
    <w:p w14:paraId="561A8ABA">
      <w:pPr>
        <w:jc w:val="center"/>
        <w:rPr>
          <w:b/>
          <w:bCs/>
          <w:color w:val="000000"/>
          <w:szCs w:val="21"/>
        </w:rPr>
      </w:pPr>
    </w:p>
    <w:p w14:paraId="498BC29C">
      <w:pPr>
        <w:jc w:val="center"/>
        <w:rPr>
          <w:b/>
          <w:bCs/>
          <w:color w:val="000000"/>
          <w:szCs w:val="21"/>
        </w:rPr>
      </w:pPr>
      <w:r>
        <w:rPr>
          <w:b/>
          <w:bCs/>
          <w:color w:val="000000"/>
          <w:szCs w:val="21"/>
        </w:rPr>
        <w:t>表5.2-</w:t>
      </w:r>
      <w:r>
        <w:rPr>
          <w:rFonts w:hint="eastAsia"/>
          <w:b/>
          <w:bCs/>
          <w:color w:val="000000"/>
          <w:szCs w:val="21"/>
          <w:lang w:val="en-US" w:eastAsia="zh-CN"/>
        </w:rPr>
        <w:t>9</w:t>
      </w:r>
      <w:r>
        <w:rPr>
          <w:b/>
          <w:bCs/>
          <w:color w:val="000000"/>
          <w:szCs w:val="21"/>
        </w:rPr>
        <w:t xml:space="preserve">       无组织废气大气污</w:t>
      </w:r>
      <w:r>
        <w:rPr>
          <w:rFonts w:hint="eastAsia"/>
          <w:b/>
          <w:bCs/>
          <w:color w:val="000000"/>
          <w:szCs w:val="21"/>
        </w:rPr>
        <w:t>染物最大落地浓度及占标率估算结果</w:t>
      </w:r>
    </w:p>
    <w:tbl>
      <w:tblPr>
        <w:tblStyle w:val="50"/>
        <w:tblW w:w="9039" w:type="dxa"/>
        <w:tblInd w:w="0" w:type="dxa"/>
        <w:tblBorders>
          <w:top w:val="single" w:color="auto" w:sz="12" w:space="0"/>
          <w:left w:val="single" w:color="auto" w:sz="12" w:space="0"/>
          <w:bottom w:val="single" w:color="auto" w:sz="12" w:space="0"/>
          <w:right w:val="single" w:color="auto" w:sz="12" w:space="0"/>
          <w:insideH w:val="single" w:color="auto" w:sz="2" w:space="0"/>
          <w:insideV w:val="single" w:color="auto" w:sz="4" w:space="0"/>
        </w:tblBorders>
        <w:tblLayout w:type="autofit"/>
        <w:tblCellMar>
          <w:top w:w="0" w:type="dxa"/>
          <w:left w:w="108" w:type="dxa"/>
          <w:bottom w:w="0" w:type="dxa"/>
          <w:right w:w="108" w:type="dxa"/>
        </w:tblCellMar>
      </w:tblPr>
      <w:tblGrid>
        <w:gridCol w:w="2558"/>
        <w:gridCol w:w="3060"/>
        <w:gridCol w:w="3421"/>
      </w:tblGrid>
      <w:tr w14:paraId="22C53A1E">
        <w:tblPrEx>
          <w:tblBorders>
            <w:top w:val="single" w:color="auto" w:sz="12" w:space="0"/>
            <w:left w:val="single" w:color="auto" w:sz="12" w:space="0"/>
            <w:bottom w:val="single" w:color="auto" w:sz="12" w:space="0"/>
            <w:right w:val="single" w:color="auto" w:sz="12" w:space="0"/>
            <w:insideH w:val="single" w:color="auto" w:sz="2" w:space="0"/>
            <w:insideV w:val="single" w:color="auto" w:sz="4" w:space="0"/>
          </w:tblBorders>
          <w:tblCellMar>
            <w:top w:w="0" w:type="dxa"/>
            <w:left w:w="108" w:type="dxa"/>
            <w:bottom w:w="0" w:type="dxa"/>
            <w:right w:w="108" w:type="dxa"/>
          </w:tblCellMar>
        </w:tblPrEx>
        <w:trPr>
          <w:trHeight w:val="299" w:hRule="atLeast"/>
        </w:trPr>
        <w:tc>
          <w:tcPr>
            <w:tcW w:w="0" w:type="auto"/>
            <w:vMerge w:val="restart"/>
            <w:tcBorders>
              <w:tl2br w:val="nil"/>
              <w:tr2bl w:val="nil"/>
            </w:tcBorders>
            <w:vAlign w:val="center"/>
          </w:tcPr>
          <w:p w14:paraId="11B5A89A">
            <w:pPr>
              <w:pStyle w:val="240"/>
              <w:rPr>
                <w:rFonts w:hint="default"/>
              </w:rPr>
            </w:pPr>
            <w:r>
              <w:rPr>
                <w:rFonts w:hint="default"/>
              </w:rPr>
              <w:t>下风向距离（m）</w:t>
            </w:r>
          </w:p>
        </w:tc>
        <w:tc>
          <w:tcPr>
            <w:tcW w:w="6481" w:type="dxa"/>
            <w:gridSpan w:val="2"/>
            <w:tcBorders>
              <w:tl2br w:val="nil"/>
              <w:tr2bl w:val="nil"/>
            </w:tcBorders>
            <w:vAlign w:val="center"/>
          </w:tcPr>
          <w:p w14:paraId="0111CBD4">
            <w:pPr>
              <w:pStyle w:val="240"/>
              <w:rPr>
                <w:rFonts w:hint="default"/>
              </w:rPr>
            </w:pPr>
            <w:r>
              <w:rPr>
                <w:rFonts w:hint="default"/>
              </w:rPr>
              <w:t>非甲烷总烃</w:t>
            </w:r>
          </w:p>
        </w:tc>
      </w:tr>
      <w:tr w14:paraId="62A055B3">
        <w:tblPrEx>
          <w:tblBorders>
            <w:top w:val="single" w:color="auto" w:sz="12" w:space="0"/>
            <w:left w:val="single" w:color="auto" w:sz="12" w:space="0"/>
            <w:bottom w:val="single" w:color="auto" w:sz="12" w:space="0"/>
            <w:right w:val="single" w:color="auto" w:sz="12" w:space="0"/>
            <w:insideH w:val="single" w:color="auto" w:sz="2" w:space="0"/>
            <w:insideV w:val="single" w:color="auto" w:sz="4" w:space="0"/>
          </w:tblBorders>
          <w:tblCellMar>
            <w:top w:w="0" w:type="dxa"/>
            <w:left w:w="108" w:type="dxa"/>
            <w:bottom w:w="0" w:type="dxa"/>
            <w:right w:w="108" w:type="dxa"/>
          </w:tblCellMar>
        </w:tblPrEx>
        <w:trPr>
          <w:trHeight w:val="303" w:hRule="atLeast"/>
        </w:trPr>
        <w:tc>
          <w:tcPr>
            <w:tcW w:w="0" w:type="auto"/>
            <w:vMerge w:val="continue"/>
            <w:tcBorders>
              <w:tl2br w:val="nil"/>
              <w:tr2bl w:val="nil"/>
            </w:tcBorders>
            <w:vAlign w:val="center"/>
          </w:tcPr>
          <w:p w14:paraId="035349ED">
            <w:pPr>
              <w:pStyle w:val="240"/>
              <w:rPr>
                <w:rFonts w:hint="default"/>
              </w:rPr>
            </w:pPr>
          </w:p>
        </w:tc>
        <w:tc>
          <w:tcPr>
            <w:tcW w:w="0" w:type="auto"/>
            <w:tcBorders>
              <w:tl2br w:val="nil"/>
              <w:tr2bl w:val="nil"/>
            </w:tcBorders>
            <w:vAlign w:val="center"/>
          </w:tcPr>
          <w:p w14:paraId="2D47AA7B">
            <w:pPr>
              <w:pStyle w:val="240"/>
              <w:rPr>
                <w:rFonts w:hint="default"/>
              </w:rPr>
            </w:pPr>
            <w:r>
              <w:rPr>
                <w:rFonts w:hint="default"/>
              </w:rPr>
              <w:t>预测浓度C（μg/m</w:t>
            </w:r>
            <w:r>
              <w:rPr>
                <w:rFonts w:hint="default"/>
                <w:vertAlign w:val="superscript"/>
              </w:rPr>
              <w:t>3</w:t>
            </w:r>
            <w:r>
              <w:rPr>
                <w:rFonts w:hint="default"/>
              </w:rPr>
              <w:t>）</w:t>
            </w:r>
          </w:p>
        </w:tc>
        <w:tc>
          <w:tcPr>
            <w:tcW w:w="0" w:type="auto"/>
            <w:tcBorders>
              <w:tl2br w:val="nil"/>
              <w:tr2bl w:val="nil"/>
            </w:tcBorders>
            <w:vAlign w:val="center"/>
          </w:tcPr>
          <w:p w14:paraId="3163F44F">
            <w:pPr>
              <w:pStyle w:val="240"/>
              <w:rPr>
                <w:rFonts w:hint="default"/>
              </w:rPr>
            </w:pPr>
            <w:r>
              <w:rPr>
                <w:rFonts w:hint="default"/>
              </w:rPr>
              <w:t>浓度占标率P（%）</w:t>
            </w:r>
          </w:p>
        </w:tc>
      </w:tr>
      <w:tr w14:paraId="1D16AEA3">
        <w:tblPrEx>
          <w:tblBorders>
            <w:top w:val="single" w:color="auto" w:sz="12" w:space="0"/>
            <w:left w:val="single" w:color="auto" w:sz="12" w:space="0"/>
            <w:bottom w:val="single" w:color="auto" w:sz="12" w:space="0"/>
            <w:right w:val="single" w:color="auto" w:sz="12" w:space="0"/>
            <w:insideH w:val="single" w:color="auto" w:sz="2" w:space="0"/>
            <w:insideV w:val="single" w:color="auto" w:sz="4" w:space="0"/>
          </w:tblBorders>
          <w:tblCellMar>
            <w:top w:w="0" w:type="dxa"/>
            <w:left w:w="108" w:type="dxa"/>
            <w:bottom w:w="0" w:type="dxa"/>
            <w:right w:w="108" w:type="dxa"/>
          </w:tblCellMar>
        </w:tblPrEx>
        <w:trPr>
          <w:trHeight w:val="288" w:hRule="atLeast"/>
        </w:trPr>
        <w:tc>
          <w:tcPr>
            <w:tcW w:w="0" w:type="auto"/>
            <w:tcBorders>
              <w:tl2br w:val="nil"/>
              <w:tr2bl w:val="nil"/>
            </w:tcBorders>
            <w:vAlign w:val="center"/>
          </w:tcPr>
          <w:p w14:paraId="3C0491CD">
            <w:pPr>
              <w:jc w:val="center"/>
              <w:rPr>
                <w:szCs w:val="21"/>
              </w:rPr>
            </w:pPr>
            <w:r>
              <w:rPr>
                <w:rFonts w:ascii="宋体" w:hAnsi="宋体"/>
                <w:szCs w:val="21"/>
              </w:rPr>
              <w:t>50.0</w:t>
            </w:r>
          </w:p>
        </w:tc>
        <w:tc>
          <w:tcPr>
            <w:tcW w:w="3060" w:type="dxa"/>
            <w:tcBorders>
              <w:tl2br w:val="nil"/>
              <w:tr2bl w:val="nil"/>
            </w:tcBorders>
            <w:vAlign w:val="center"/>
          </w:tcPr>
          <w:p w14:paraId="165A387F">
            <w:pPr>
              <w:jc w:val="center"/>
              <w:rPr>
                <w:rFonts w:ascii="宋体" w:hAnsi="宋体" w:eastAsia="宋体" w:cs="Times New Roman"/>
                <w:szCs w:val="21"/>
              </w:rPr>
            </w:pPr>
            <w:r>
              <w:rPr>
                <w:rFonts w:ascii="宋体" w:hAnsi="宋体" w:eastAsia="宋体" w:cs="Times New Roman"/>
                <w:szCs w:val="21"/>
              </w:rPr>
              <w:t>173.0600</w:t>
            </w:r>
          </w:p>
        </w:tc>
        <w:tc>
          <w:tcPr>
            <w:tcW w:w="3421" w:type="dxa"/>
            <w:tcBorders>
              <w:tl2br w:val="nil"/>
              <w:tr2bl w:val="nil"/>
            </w:tcBorders>
            <w:vAlign w:val="center"/>
          </w:tcPr>
          <w:p w14:paraId="1E361D81">
            <w:pPr>
              <w:jc w:val="center"/>
              <w:rPr>
                <w:rFonts w:ascii="宋体" w:hAnsi="宋体" w:eastAsia="宋体" w:cs="Times New Roman"/>
                <w:szCs w:val="21"/>
              </w:rPr>
            </w:pPr>
            <w:r>
              <w:rPr>
                <w:rFonts w:ascii="宋体" w:hAnsi="宋体" w:eastAsia="宋体" w:cs="Times New Roman"/>
                <w:szCs w:val="21"/>
              </w:rPr>
              <w:t>8.6530</w:t>
            </w:r>
          </w:p>
        </w:tc>
      </w:tr>
      <w:tr w14:paraId="1243E901">
        <w:tblPrEx>
          <w:tblBorders>
            <w:top w:val="single" w:color="auto" w:sz="12" w:space="0"/>
            <w:left w:val="single" w:color="auto" w:sz="12" w:space="0"/>
            <w:bottom w:val="single" w:color="auto" w:sz="12" w:space="0"/>
            <w:right w:val="single" w:color="auto" w:sz="12" w:space="0"/>
            <w:insideH w:val="single" w:color="auto" w:sz="2" w:space="0"/>
            <w:insideV w:val="single" w:color="auto" w:sz="4" w:space="0"/>
          </w:tblBorders>
          <w:tblCellMar>
            <w:top w:w="0" w:type="dxa"/>
            <w:left w:w="108" w:type="dxa"/>
            <w:bottom w:w="0" w:type="dxa"/>
            <w:right w:w="108" w:type="dxa"/>
          </w:tblCellMar>
        </w:tblPrEx>
        <w:trPr>
          <w:trHeight w:val="313" w:hRule="atLeast"/>
        </w:trPr>
        <w:tc>
          <w:tcPr>
            <w:tcW w:w="0" w:type="auto"/>
            <w:tcBorders>
              <w:tl2br w:val="nil"/>
              <w:tr2bl w:val="nil"/>
            </w:tcBorders>
            <w:vAlign w:val="center"/>
          </w:tcPr>
          <w:p w14:paraId="0A3675B7">
            <w:pPr>
              <w:jc w:val="center"/>
              <w:rPr>
                <w:szCs w:val="21"/>
              </w:rPr>
            </w:pPr>
            <w:r>
              <w:rPr>
                <w:rFonts w:ascii="宋体" w:hAnsi="宋体"/>
                <w:szCs w:val="21"/>
              </w:rPr>
              <w:t>100.0</w:t>
            </w:r>
          </w:p>
        </w:tc>
        <w:tc>
          <w:tcPr>
            <w:tcW w:w="3060" w:type="dxa"/>
            <w:tcBorders>
              <w:tl2br w:val="nil"/>
              <w:tr2bl w:val="nil"/>
            </w:tcBorders>
            <w:vAlign w:val="center"/>
          </w:tcPr>
          <w:p w14:paraId="664EA06E">
            <w:pPr>
              <w:jc w:val="center"/>
              <w:rPr>
                <w:rFonts w:ascii="宋体" w:hAnsi="宋体" w:eastAsia="宋体" w:cs="Times New Roman"/>
                <w:szCs w:val="21"/>
              </w:rPr>
            </w:pPr>
            <w:r>
              <w:rPr>
                <w:rFonts w:ascii="宋体" w:hAnsi="宋体" w:eastAsia="宋体" w:cs="Times New Roman"/>
                <w:szCs w:val="21"/>
              </w:rPr>
              <w:t>145.4500</w:t>
            </w:r>
          </w:p>
        </w:tc>
        <w:tc>
          <w:tcPr>
            <w:tcW w:w="3421" w:type="dxa"/>
            <w:tcBorders>
              <w:tl2br w:val="nil"/>
              <w:tr2bl w:val="nil"/>
            </w:tcBorders>
            <w:vAlign w:val="center"/>
          </w:tcPr>
          <w:p w14:paraId="716D8994">
            <w:pPr>
              <w:jc w:val="center"/>
              <w:rPr>
                <w:rFonts w:ascii="宋体" w:hAnsi="宋体" w:eastAsia="宋体" w:cs="Times New Roman"/>
                <w:szCs w:val="21"/>
              </w:rPr>
            </w:pPr>
            <w:r>
              <w:rPr>
                <w:rFonts w:ascii="宋体" w:hAnsi="宋体" w:eastAsia="宋体" w:cs="Times New Roman"/>
                <w:szCs w:val="21"/>
              </w:rPr>
              <w:t>7.2725</w:t>
            </w:r>
          </w:p>
        </w:tc>
      </w:tr>
      <w:tr w14:paraId="10982F80">
        <w:tblPrEx>
          <w:tblBorders>
            <w:top w:val="single" w:color="auto" w:sz="12" w:space="0"/>
            <w:left w:val="single" w:color="auto" w:sz="12" w:space="0"/>
            <w:bottom w:val="single" w:color="auto" w:sz="12" w:space="0"/>
            <w:right w:val="single" w:color="auto" w:sz="12" w:space="0"/>
            <w:insideH w:val="single" w:color="auto" w:sz="2" w:space="0"/>
            <w:insideV w:val="single" w:color="auto" w:sz="4" w:space="0"/>
          </w:tblBorders>
          <w:tblCellMar>
            <w:top w:w="0" w:type="dxa"/>
            <w:left w:w="108" w:type="dxa"/>
            <w:bottom w:w="0" w:type="dxa"/>
            <w:right w:w="108" w:type="dxa"/>
          </w:tblCellMar>
        </w:tblPrEx>
        <w:trPr>
          <w:trHeight w:val="288" w:hRule="atLeast"/>
        </w:trPr>
        <w:tc>
          <w:tcPr>
            <w:tcW w:w="0" w:type="auto"/>
            <w:tcBorders>
              <w:tl2br w:val="nil"/>
              <w:tr2bl w:val="nil"/>
            </w:tcBorders>
            <w:vAlign w:val="center"/>
          </w:tcPr>
          <w:p w14:paraId="524E971D">
            <w:pPr>
              <w:jc w:val="center"/>
              <w:rPr>
                <w:szCs w:val="21"/>
              </w:rPr>
            </w:pPr>
            <w:r>
              <w:rPr>
                <w:rFonts w:ascii="宋体" w:hAnsi="宋体"/>
                <w:szCs w:val="21"/>
              </w:rPr>
              <w:t>200.0</w:t>
            </w:r>
          </w:p>
        </w:tc>
        <w:tc>
          <w:tcPr>
            <w:tcW w:w="3060" w:type="dxa"/>
            <w:tcBorders>
              <w:tl2br w:val="nil"/>
              <w:tr2bl w:val="nil"/>
            </w:tcBorders>
            <w:vAlign w:val="center"/>
          </w:tcPr>
          <w:p w14:paraId="2C0825E1">
            <w:pPr>
              <w:jc w:val="center"/>
              <w:rPr>
                <w:rFonts w:ascii="宋体" w:hAnsi="宋体" w:eastAsia="宋体" w:cs="Times New Roman"/>
                <w:szCs w:val="21"/>
              </w:rPr>
            </w:pPr>
            <w:r>
              <w:rPr>
                <w:rFonts w:ascii="宋体" w:hAnsi="宋体" w:eastAsia="宋体" w:cs="Times New Roman"/>
                <w:szCs w:val="21"/>
              </w:rPr>
              <w:t>95.8350</w:t>
            </w:r>
          </w:p>
        </w:tc>
        <w:tc>
          <w:tcPr>
            <w:tcW w:w="3421" w:type="dxa"/>
            <w:tcBorders>
              <w:tl2br w:val="nil"/>
              <w:tr2bl w:val="nil"/>
            </w:tcBorders>
            <w:vAlign w:val="center"/>
          </w:tcPr>
          <w:p w14:paraId="4FA1E342">
            <w:pPr>
              <w:jc w:val="center"/>
              <w:rPr>
                <w:rFonts w:ascii="宋体" w:hAnsi="宋体" w:eastAsia="宋体" w:cs="Times New Roman"/>
                <w:szCs w:val="21"/>
              </w:rPr>
            </w:pPr>
            <w:r>
              <w:rPr>
                <w:rFonts w:ascii="宋体" w:hAnsi="宋体" w:eastAsia="宋体" w:cs="Times New Roman"/>
                <w:szCs w:val="21"/>
              </w:rPr>
              <w:t>4.7917</w:t>
            </w:r>
          </w:p>
        </w:tc>
      </w:tr>
      <w:tr w14:paraId="2DDBC921">
        <w:tblPrEx>
          <w:tblBorders>
            <w:top w:val="single" w:color="auto" w:sz="12" w:space="0"/>
            <w:left w:val="single" w:color="auto" w:sz="12" w:space="0"/>
            <w:bottom w:val="single" w:color="auto" w:sz="12" w:space="0"/>
            <w:right w:val="single" w:color="auto" w:sz="12" w:space="0"/>
            <w:insideH w:val="single" w:color="auto" w:sz="2" w:space="0"/>
            <w:insideV w:val="single" w:color="auto" w:sz="4" w:space="0"/>
          </w:tblBorders>
          <w:tblCellMar>
            <w:top w:w="0" w:type="dxa"/>
            <w:left w:w="108" w:type="dxa"/>
            <w:bottom w:w="0" w:type="dxa"/>
            <w:right w:w="108" w:type="dxa"/>
          </w:tblCellMar>
        </w:tblPrEx>
        <w:trPr>
          <w:trHeight w:val="288" w:hRule="atLeast"/>
        </w:trPr>
        <w:tc>
          <w:tcPr>
            <w:tcW w:w="0" w:type="auto"/>
            <w:tcBorders>
              <w:tl2br w:val="nil"/>
              <w:tr2bl w:val="nil"/>
            </w:tcBorders>
            <w:vAlign w:val="center"/>
          </w:tcPr>
          <w:p w14:paraId="3962F0C8">
            <w:pPr>
              <w:jc w:val="center"/>
              <w:rPr>
                <w:szCs w:val="21"/>
              </w:rPr>
            </w:pPr>
            <w:r>
              <w:rPr>
                <w:rFonts w:ascii="宋体" w:hAnsi="宋体"/>
                <w:szCs w:val="21"/>
              </w:rPr>
              <w:t>300.0</w:t>
            </w:r>
          </w:p>
        </w:tc>
        <w:tc>
          <w:tcPr>
            <w:tcW w:w="3060" w:type="dxa"/>
            <w:tcBorders>
              <w:tl2br w:val="nil"/>
              <w:tr2bl w:val="nil"/>
            </w:tcBorders>
            <w:vAlign w:val="center"/>
          </w:tcPr>
          <w:p w14:paraId="23BBF3BD">
            <w:pPr>
              <w:jc w:val="center"/>
              <w:rPr>
                <w:rFonts w:ascii="宋体" w:hAnsi="宋体" w:eastAsia="宋体" w:cs="Times New Roman"/>
                <w:szCs w:val="21"/>
              </w:rPr>
            </w:pPr>
            <w:r>
              <w:rPr>
                <w:rFonts w:ascii="宋体" w:hAnsi="宋体" w:eastAsia="宋体" w:cs="Times New Roman"/>
                <w:szCs w:val="21"/>
              </w:rPr>
              <w:t>73.4920</w:t>
            </w:r>
          </w:p>
        </w:tc>
        <w:tc>
          <w:tcPr>
            <w:tcW w:w="3421" w:type="dxa"/>
            <w:tcBorders>
              <w:tl2br w:val="nil"/>
              <w:tr2bl w:val="nil"/>
            </w:tcBorders>
            <w:vAlign w:val="center"/>
          </w:tcPr>
          <w:p w14:paraId="7C824D48">
            <w:pPr>
              <w:jc w:val="center"/>
              <w:rPr>
                <w:rFonts w:ascii="宋体" w:hAnsi="宋体" w:eastAsia="宋体" w:cs="Times New Roman"/>
                <w:szCs w:val="21"/>
              </w:rPr>
            </w:pPr>
            <w:r>
              <w:rPr>
                <w:rFonts w:ascii="宋体" w:hAnsi="宋体" w:eastAsia="宋体" w:cs="Times New Roman"/>
                <w:szCs w:val="21"/>
              </w:rPr>
              <w:t>3.6746</w:t>
            </w:r>
          </w:p>
        </w:tc>
      </w:tr>
      <w:tr w14:paraId="34399839">
        <w:tblPrEx>
          <w:tblBorders>
            <w:top w:val="single" w:color="auto" w:sz="12" w:space="0"/>
            <w:left w:val="single" w:color="auto" w:sz="12" w:space="0"/>
            <w:bottom w:val="single" w:color="auto" w:sz="12" w:space="0"/>
            <w:right w:val="single" w:color="auto" w:sz="12" w:space="0"/>
            <w:insideH w:val="single" w:color="auto" w:sz="2" w:space="0"/>
            <w:insideV w:val="single" w:color="auto" w:sz="4" w:space="0"/>
          </w:tblBorders>
          <w:tblCellMar>
            <w:top w:w="0" w:type="dxa"/>
            <w:left w:w="108" w:type="dxa"/>
            <w:bottom w:w="0" w:type="dxa"/>
            <w:right w:w="108" w:type="dxa"/>
          </w:tblCellMar>
        </w:tblPrEx>
        <w:trPr>
          <w:trHeight w:val="288" w:hRule="atLeast"/>
        </w:trPr>
        <w:tc>
          <w:tcPr>
            <w:tcW w:w="0" w:type="auto"/>
            <w:tcBorders>
              <w:tl2br w:val="nil"/>
              <w:tr2bl w:val="nil"/>
            </w:tcBorders>
            <w:vAlign w:val="center"/>
          </w:tcPr>
          <w:p w14:paraId="63BFC822">
            <w:pPr>
              <w:jc w:val="center"/>
              <w:rPr>
                <w:szCs w:val="21"/>
              </w:rPr>
            </w:pPr>
            <w:r>
              <w:rPr>
                <w:rFonts w:ascii="宋体" w:hAnsi="宋体"/>
                <w:szCs w:val="21"/>
              </w:rPr>
              <w:t>400.0</w:t>
            </w:r>
          </w:p>
        </w:tc>
        <w:tc>
          <w:tcPr>
            <w:tcW w:w="3060" w:type="dxa"/>
            <w:tcBorders>
              <w:tl2br w:val="nil"/>
              <w:tr2bl w:val="nil"/>
            </w:tcBorders>
            <w:vAlign w:val="center"/>
          </w:tcPr>
          <w:p w14:paraId="4F6DB5B0">
            <w:pPr>
              <w:jc w:val="center"/>
              <w:rPr>
                <w:rFonts w:ascii="宋体" w:hAnsi="宋体" w:eastAsia="宋体" w:cs="Times New Roman"/>
                <w:szCs w:val="21"/>
              </w:rPr>
            </w:pPr>
            <w:r>
              <w:rPr>
                <w:rFonts w:ascii="宋体" w:hAnsi="宋体" w:eastAsia="宋体" w:cs="Times New Roman"/>
                <w:szCs w:val="21"/>
              </w:rPr>
              <w:t>58.4690</w:t>
            </w:r>
          </w:p>
        </w:tc>
        <w:tc>
          <w:tcPr>
            <w:tcW w:w="3421" w:type="dxa"/>
            <w:tcBorders>
              <w:tl2br w:val="nil"/>
              <w:tr2bl w:val="nil"/>
            </w:tcBorders>
            <w:vAlign w:val="center"/>
          </w:tcPr>
          <w:p w14:paraId="3EE00C03">
            <w:pPr>
              <w:jc w:val="center"/>
              <w:rPr>
                <w:rFonts w:ascii="宋体" w:hAnsi="宋体" w:eastAsia="宋体" w:cs="Times New Roman"/>
                <w:szCs w:val="21"/>
              </w:rPr>
            </w:pPr>
            <w:r>
              <w:rPr>
                <w:rFonts w:ascii="宋体" w:hAnsi="宋体" w:eastAsia="宋体" w:cs="Times New Roman"/>
                <w:szCs w:val="21"/>
              </w:rPr>
              <w:t>2.9234</w:t>
            </w:r>
          </w:p>
        </w:tc>
      </w:tr>
      <w:tr w14:paraId="15035FB8">
        <w:tblPrEx>
          <w:tblBorders>
            <w:top w:val="single" w:color="auto" w:sz="12" w:space="0"/>
            <w:left w:val="single" w:color="auto" w:sz="12" w:space="0"/>
            <w:bottom w:val="single" w:color="auto" w:sz="12" w:space="0"/>
            <w:right w:val="single" w:color="auto" w:sz="12" w:space="0"/>
            <w:insideH w:val="single" w:color="auto" w:sz="2" w:space="0"/>
            <w:insideV w:val="single" w:color="auto" w:sz="4" w:space="0"/>
          </w:tblBorders>
          <w:tblCellMar>
            <w:top w:w="0" w:type="dxa"/>
            <w:left w:w="108" w:type="dxa"/>
            <w:bottom w:w="0" w:type="dxa"/>
            <w:right w:w="108" w:type="dxa"/>
          </w:tblCellMar>
        </w:tblPrEx>
        <w:trPr>
          <w:trHeight w:val="288" w:hRule="atLeast"/>
        </w:trPr>
        <w:tc>
          <w:tcPr>
            <w:tcW w:w="0" w:type="auto"/>
            <w:tcBorders>
              <w:tl2br w:val="nil"/>
              <w:tr2bl w:val="nil"/>
            </w:tcBorders>
            <w:vAlign w:val="center"/>
          </w:tcPr>
          <w:p w14:paraId="209180FA">
            <w:pPr>
              <w:jc w:val="center"/>
              <w:rPr>
                <w:szCs w:val="21"/>
              </w:rPr>
            </w:pPr>
            <w:r>
              <w:rPr>
                <w:rFonts w:ascii="宋体" w:hAnsi="宋体"/>
                <w:szCs w:val="21"/>
              </w:rPr>
              <w:t>500.0</w:t>
            </w:r>
          </w:p>
        </w:tc>
        <w:tc>
          <w:tcPr>
            <w:tcW w:w="3060" w:type="dxa"/>
            <w:tcBorders>
              <w:tl2br w:val="nil"/>
              <w:tr2bl w:val="nil"/>
            </w:tcBorders>
            <w:vAlign w:val="center"/>
          </w:tcPr>
          <w:p w14:paraId="090DA820">
            <w:pPr>
              <w:jc w:val="center"/>
              <w:rPr>
                <w:rFonts w:ascii="宋体" w:hAnsi="宋体" w:eastAsia="宋体" w:cs="Times New Roman"/>
                <w:szCs w:val="21"/>
              </w:rPr>
            </w:pPr>
            <w:r>
              <w:rPr>
                <w:rFonts w:ascii="宋体" w:hAnsi="宋体" w:eastAsia="宋体" w:cs="Times New Roman"/>
                <w:szCs w:val="21"/>
              </w:rPr>
              <w:t>47.6410</w:t>
            </w:r>
          </w:p>
        </w:tc>
        <w:tc>
          <w:tcPr>
            <w:tcW w:w="3421" w:type="dxa"/>
            <w:tcBorders>
              <w:tl2br w:val="nil"/>
              <w:tr2bl w:val="nil"/>
            </w:tcBorders>
            <w:vAlign w:val="center"/>
          </w:tcPr>
          <w:p w14:paraId="6BF79B08">
            <w:pPr>
              <w:jc w:val="center"/>
              <w:rPr>
                <w:rFonts w:ascii="宋体" w:hAnsi="宋体" w:eastAsia="宋体" w:cs="Times New Roman"/>
                <w:szCs w:val="21"/>
              </w:rPr>
            </w:pPr>
            <w:r>
              <w:rPr>
                <w:rFonts w:ascii="宋体" w:hAnsi="宋体" w:eastAsia="宋体" w:cs="Times New Roman"/>
                <w:szCs w:val="21"/>
              </w:rPr>
              <w:t>2.3821</w:t>
            </w:r>
          </w:p>
        </w:tc>
      </w:tr>
      <w:tr w14:paraId="40A8A530">
        <w:tblPrEx>
          <w:tblBorders>
            <w:top w:val="single" w:color="auto" w:sz="12" w:space="0"/>
            <w:left w:val="single" w:color="auto" w:sz="12" w:space="0"/>
            <w:bottom w:val="single" w:color="auto" w:sz="12" w:space="0"/>
            <w:right w:val="single" w:color="auto" w:sz="12" w:space="0"/>
            <w:insideH w:val="single" w:color="auto" w:sz="2" w:space="0"/>
            <w:insideV w:val="single" w:color="auto" w:sz="4" w:space="0"/>
          </w:tblBorders>
          <w:tblCellMar>
            <w:top w:w="0" w:type="dxa"/>
            <w:left w:w="108" w:type="dxa"/>
            <w:bottom w:w="0" w:type="dxa"/>
            <w:right w:w="108" w:type="dxa"/>
          </w:tblCellMar>
        </w:tblPrEx>
        <w:trPr>
          <w:trHeight w:val="288" w:hRule="atLeast"/>
        </w:trPr>
        <w:tc>
          <w:tcPr>
            <w:tcW w:w="0" w:type="auto"/>
            <w:tcBorders>
              <w:tl2br w:val="nil"/>
              <w:tr2bl w:val="nil"/>
            </w:tcBorders>
            <w:vAlign w:val="center"/>
          </w:tcPr>
          <w:p w14:paraId="3D7BD934">
            <w:pPr>
              <w:jc w:val="center"/>
              <w:rPr>
                <w:szCs w:val="21"/>
              </w:rPr>
            </w:pPr>
            <w:r>
              <w:rPr>
                <w:rFonts w:ascii="宋体" w:hAnsi="宋体"/>
                <w:szCs w:val="21"/>
              </w:rPr>
              <w:t>600.0</w:t>
            </w:r>
          </w:p>
        </w:tc>
        <w:tc>
          <w:tcPr>
            <w:tcW w:w="3060" w:type="dxa"/>
            <w:tcBorders>
              <w:tl2br w:val="nil"/>
              <w:tr2bl w:val="nil"/>
            </w:tcBorders>
            <w:vAlign w:val="center"/>
          </w:tcPr>
          <w:p w14:paraId="5348850B">
            <w:pPr>
              <w:jc w:val="center"/>
              <w:rPr>
                <w:rFonts w:ascii="宋体" w:hAnsi="宋体" w:eastAsia="宋体" w:cs="Times New Roman"/>
                <w:szCs w:val="21"/>
              </w:rPr>
            </w:pPr>
            <w:r>
              <w:rPr>
                <w:rFonts w:ascii="宋体" w:hAnsi="宋体" w:eastAsia="宋体" w:cs="Times New Roman"/>
                <w:szCs w:val="21"/>
              </w:rPr>
              <w:t>39.8630</w:t>
            </w:r>
          </w:p>
        </w:tc>
        <w:tc>
          <w:tcPr>
            <w:tcW w:w="3421" w:type="dxa"/>
            <w:tcBorders>
              <w:tl2br w:val="nil"/>
              <w:tr2bl w:val="nil"/>
            </w:tcBorders>
            <w:vAlign w:val="center"/>
          </w:tcPr>
          <w:p w14:paraId="2024D914">
            <w:pPr>
              <w:jc w:val="center"/>
              <w:rPr>
                <w:rFonts w:ascii="宋体" w:hAnsi="宋体" w:eastAsia="宋体" w:cs="Times New Roman"/>
                <w:szCs w:val="21"/>
              </w:rPr>
            </w:pPr>
            <w:r>
              <w:rPr>
                <w:rFonts w:ascii="宋体" w:hAnsi="宋体" w:eastAsia="宋体" w:cs="Times New Roman"/>
                <w:szCs w:val="21"/>
              </w:rPr>
              <w:t>1.9932</w:t>
            </w:r>
          </w:p>
        </w:tc>
      </w:tr>
      <w:tr w14:paraId="0C3332D5">
        <w:tblPrEx>
          <w:tblBorders>
            <w:top w:val="single" w:color="auto" w:sz="12" w:space="0"/>
            <w:left w:val="single" w:color="auto" w:sz="12" w:space="0"/>
            <w:bottom w:val="single" w:color="auto" w:sz="12" w:space="0"/>
            <w:right w:val="single" w:color="auto" w:sz="12" w:space="0"/>
            <w:insideH w:val="single" w:color="auto" w:sz="2" w:space="0"/>
            <w:insideV w:val="single" w:color="auto" w:sz="4" w:space="0"/>
          </w:tblBorders>
          <w:tblCellMar>
            <w:top w:w="0" w:type="dxa"/>
            <w:left w:w="108" w:type="dxa"/>
            <w:bottom w:w="0" w:type="dxa"/>
            <w:right w:w="108" w:type="dxa"/>
          </w:tblCellMar>
        </w:tblPrEx>
        <w:trPr>
          <w:trHeight w:val="288" w:hRule="atLeast"/>
        </w:trPr>
        <w:tc>
          <w:tcPr>
            <w:tcW w:w="0" w:type="auto"/>
            <w:tcBorders>
              <w:tl2br w:val="nil"/>
              <w:tr2bl w:val="nil"/>
            </w:tcBorders>
            <w:vAlign w:val="center"/>
          </w:tcPr>
          <w:p w14:paraId="20D602DF">
            <w:pPr>
              <w:jc w:val="center"/>
              <w:rPr>
                <w:szCs w:val="21"/>
              </w:rPr>
            </w:pPr>
            <w:r>
              <w:rPr>
                <w:rFonts w:ascii="宋体" w:hAnsi="宋体"/>
                <w:szCs w:val="21"/>
              </w:rPr>
              <w:t>700.0</w:t>
            </w:r>
          </w:p>
        </w:tc>
        <w:tc>
          <w:tcPr>
            <w:tcW w:w="3060" w:type="dxa"/>
            <w:tcBorders>
              <w:tl2br w:val="nil"/>
              <w:tr2bl w:val="nil"/>
            </w:tcBorders>
            <w:vAlign w:val="center"/>
          </w:tcPr>
          <w:p w14:paraId="4D38F615">
            <w:pPr>
              <w:jc w:val="center"/>
              <w:rPr>
                <w:rFonts w:ascii="宋体" w:hAnsi="宋体" w:eastAsia="宋体" w:cs="Times New Roman"/>
                <w:szCs w:val="21"/>
              </w:rPr>
            </w:pPr>
            <w:r>
              <w:rPr>
                <w:rFonts w:ascii="宋体" w:hAnsi="宋体" w:eastAsia="宋体" w:cs="Times New Roman"/>
                <w:szCs w:val="21"/>
              </w:rPr>
              <w:t>33.8290</w:t>
            </w:r>
          </w:p>
        </w:tc>
        <w:tc>
          <w:tcPr>
            <w:tcW w:w="3421" w:type="dxa"/>
            <w:tcBorders>
              <w:tl2br w:val="nil"/>
              <w:tr2bl w:val="nil"/>
            </w:tcBorders>
            <w:vAlign w:val="center"/>
          </w:tcPr>
          <w:p w14:paraId="1D457200">
            <w:pPr>
              <w:jc w:val="center"/>
              <w:rPr>
                <w:rFonts w:ascii="宋体" w:hAnsi="宋体" w:eastAsia="宋体" w:cs="Times New Roman"/>
                <w:szCs w:val="21"/>
              </w:rPr>
            </w:pPr>
            <w:r>
              <w:rPr>
                <w:rFonts w:ascii="宋体" w:hAnsi="宋体" w:eastAsia="宋体" w:cs="Times New Roman"/>
                <w:szCs w:val="21"/>
              </w:rPr>
              <w:t>1.6914</w:t>
            </w:r>
          </w:p>
        </w:tc>
      </w:tr>
      <w:tr w14:paraId="643B3976">
        <w:tblPrEx>
          <w:tblBorders>
            <w:top w:val="single" w:color="auto" w:sz="12" w:space="0"/>
            <w:left w:val="single" w:color="auto" w:sz="12" w:space="0"/>
            <w:bottom w:val="single" w:color="auto" w:sz="12" w:space="0"/>
            <w:right w:val="single" w:color="auto" w:sz="12" w:space="0"/>
            <w:insideH w:val="single" w:color="auto" w:sz="2" w:space="0"/>
            <w:insideV w:val="single" w:color="auto" w:sz="4" w:space="0"/>
          </w:tblBorders>
          <w:tblCellMar>
            <w:top w:w="0" w:type="dxa"/>
            <w:left w:w="108" w:type="dxa"/>
            <w:bottom w:w="0" w:type="dxa"/>
            <w:right w:w="108" w:type="dxa"/>
          </w:tblCellMar>
        </w:tblPrEx>
        <w:trPr>
          <w:trHeight w:val="288" w:hRule="atLeast"/>
        </w:trPr>
        <w:tc>
          <w:tcPr>
            <w:tcW w:w="0" w:type="auto"/>
            <w:tcBorders>
              <w:tl2br w:val="nil"/>
              <w:tr2bl w:val="nil"/>
            </w:tcBorders>
            <w:vAlign w:val="center"/>
          </w:tcPr>
          <w:p w14:paraId="2331DE23">
            <w:pPr>
              <w:jc w:val="center"/>
              <w:rPr>
                <w:szCs w:val="21"/>
              </w:rPr>
            </w:pPr>
            <w:r>
              <w:rPr>
                <w:rFonts w:ascii="宋体" w:hAnsi="宋体"/>
                <w:szCs w:val="21"/>
              </w:rPr>
              <w:t>800.0</w:t>
            </w:r>
          </w:p>
        </w:tc>
        <w:tc>
          <w:tcPr>
            <w:tcW w:w="3060" w:type="dxa"/>
            <w:tcBorders>
              <w:tl2br w:val="nil"/>
              <w:tr2bl w:val="nil"/>
            </w:tcBorders>
            <w:vAlign w:val="center"/>
          </w:tcPr>
          <w:p w14:paraId="4B23A680">
            <w:pPr>
              <w:jc w:val="center"/>
              <w:rPr>
                <w:rFonts w:ascii="宋体" w:hAnsi="宋体" w:eastAsia="宋体" w:cs="Times New Roman"/>
                <w:szCs w:val="21"/>
              </w:rPr>
            </w:pPr>
            <w:r>
              <w:rPr>
                <w:rFonts w:ascii="宋体" w:hAnsi="宋体" w:eastAsia="宋体" w:cs="Times New Roman"/>
                <w:szCs w:val="21"/>
              </w:rPr>
              <w:t>29.1780</w:t>
            </w:r>
          </w:p>
        </w:tc>
        <w:tc>
          <w:tcPr>
            <w:tcW w:w="3421" w:type="dxa"/>
            <w:tcBorders>
              <w:tl2br w:val="nil"/>
              <w:tr2bl w:val="nil"/>
            </w:tcBorders>
            <w:vAlign w:val="center"/>
          </w:tcPr>
          <w:p w14:paraId="31B768C6">
            <w:pPr>
              <w:jc w:val="center"/>
              <w:rPr>
                <w:rFonts w:ascii="宋体" w:hAnsi="宋体" w:eastAsia="宋体" w:cs="Times New Roman"/>
                <w:szCs w:val="21"/>
              </w:rPr>
            </w:pPr>
            <w:r>
              <w:rPr>
                <w:rFonts w:ascii="宋体" w:hAnsi="宋体" w:eastAsia="宋体" w:cs="Times New Roman"/>
                <w:szCs w:val="21"/>
              </w:rPr>
              <w:t>1.4589</w:t>
            </w:r>
          </w:p>
        </w:tc>
      </w:tr>
      <w:tr w14:paraId="5FE5129B">
        <w:tblPrEx>
          <w:tblBorders>
            <w:top w:val="single" w:color="auto" w:sz="12" w:space="0"/>
            <w:left w:val="single" w:color="auto" w:sz="12" w:space="0"/>
            <w:bottom w:val="single" w:color="auto" w:sz="12" w:space="0"/>
            <w:right w:val="single" w:color="auto" w:sz="12" w:space="0"/>
            <w:insideH w:val="single" w:color="auto" w:sz="2" w:space="0"/>
            <w:insideV w:val="single" w:color="auto" w:sz="4" w:space="0"/>
          </w:tblBorders>
          <w:tblCellMar>
            <w:top w:w="0" w:type="dxa"/>
            <w:left w:w="108" w:type="dxa"/>
            <w:bottom w:w="0" w:type="dxa"/>
            <w:right w:w="108" w:type="dxa"/>
          </w:tblCellMar>
        </w:tblPrEx>
        <w:trPr>
          <w:trHeight w:val="288" w:hRule="atLeast"/>
        </w:trPr>
        <w:tc>
          <w:tcPr>
            <w:tcW w:w="0" w:type="auto"/>
            <w:tcBorders>
              <w:tl2br w:val="nil"/>
              <w:tr2bl w:val="nil"/>
            </w:tcBorders>
            <w:vAlign w:val="center"/>
          </w:tcPr>
          <w:p w14:paraId="4F185349">
            <w:pPr>
              <w:jc w:val="center"/>
              <w:rPr>
                <w:szCs w:val="21"/>
              </w:rPr>
            </w:pPr>
            <w:r>
              <w:rPr>
                <w:rFonts w:ascii="宋体" w:hAnsi="宋体"/>
                <w:szCs w:val="21"/>
              </w:rPr>
              <w:t>900.0</w:t>
            </w:r>
          </w:p>
        </w:tc>
        <w:tc>
          <w:tcPr>
            <w:tcW w:w="3060" w:type="dxa"/>
            <w:tcBorders>
              <w:tl2br w:val="nil"/>
              <w:tr2bl w:val="nil"/>
            </w:tcBorders>
            <w:vAlign w:val="center"/>
          </w:tcPr>
          <w:p w14:paraId="733FF52D">
            <w:pPr>
              <w:jc w:val="center"/>
              <w:rPr>
                <w:rFonts w:ascii="宋体" w:hAnsi="宋体" w:eastAsia="宋体" w:cs="Times New Roman"/>
                <w:szCs w:val="21"/>
              </w:rPr>
            </w:pPr>
            <w:r>
              <w:rPr>
                <w:rFonts w:ascii="宋体" w:hAnsi="宋体" w:eastAsia="宋体" w:cs="Times New Roman"/>
                <w:szCs w:val="21"/>
              </w:rPr>
              <w:t>25.5090</w:t>
            </w:r>
          </w:p>
        </w:tc>
        <w:tc>
          <w:tcPr>
            <w:tcW w:w="3421" w:type="dxa"/>
            <w:tcBorders>
              <w:tl2br w:val="nil"/>
              <w:tr2bl w:val="nil"/>
            </w:tcBorders>
            <w:vAlign w:val="center"/>
          </w:tcPr>
          <w:p w14:paraId="77ADC17F">
            <w:pPr>
              <w:jc w:val="center"/>
              <w:rPr>
                <w:rFonts w:ascii="宋体" w:hAnsi="宋体" w:eastAsia="宋体" w:cs="Times New Roman"/>
                <w:szCs w:val="21"/>
              </w:rPr>
            </w:pPr>
            <w:r>
              <w:rPr>
                <w:rFonts w:ascii="宋体" w:hAnsi="宋体" w:eastAsia="宋体" w:cs="Times New Roman"/>
                <w:szCs w:val="21"/>
              </w:rPr>
              <w:t>1.2754</w:t>
            </w:r>
          </w:p>
        </w:tc>
      </w:tr>
      <w:tr w14:paraId="2507C9AE">
        <w:tblPrEx>
          <w:tblBorders>
            <w:top w:val="single" w:color="auto" w:sz="12" w:space="0"/>
            <w:left w:val="single" w:color="auto" w:sz="12" w:space="0"/>
            <w:bottom w:val="single" w:color="auto" w:sz="12" w:space="0"/>
            <w:right w:val="single" w:color="auto" w:sz="12" w:space="0"/>
            <w:insideH w:val="single" w:color="auto" w:sz="2" w:space="0"/>
            <w:insideV w:val="single" w:color="auto" w:sz="4" w:space="0"/>
          </w:tblBorders>
          <w:tblCellMar>
            <w:top w:w="0" w:type="dxa"/>
            <w:left w:w="108" w:type="dxa"/>
            <w:bottom w:w="0" w:type="dxa"/>
            <w:right w:w="108" w:type="dxa"/>
          </w:tblCellMar>
        </w:tblPrEx>
        <w:trPr>
          <w:trHeight w:val="288" w:hRule="atLeast"/>
        </w:trPr>
        <w:tc>
          <w:tcPr>
            <w:tcW w:w="0" w:type="auto"/>
            <w:tcBorders>
              <w:tl2br w:val="nil"/>
              <w:tr2bl w:val="nil"/>
            </w:tcBorders>
            <w:vAlign w:val="center"/>
          </w:tcPr>
          <w:p w14:paraId="7207ACAE">
            <w:pPr>
              <w:jc w:val="center"/>
              <w:rPr>
                <w:szCs w:val="21"/>
              </w:rPr>
            </w:pPr>
            <w:r>
              <w:rPr>
                <w:rFonts w:ascii="宋体" w:hAnsi="宋体"/>
                <w:szCs w:val="21"/>
              </w:rPr>
              <w:t>1000.0</w:t>
            </w:r>
          </w:p>
        </w:tc>
        <w:tc>
          <w:tcPr>
            <w:tcW w:w="3060" w:type="dxa"/>
            <w:tcBorders>
              <w:tl2br w:val="nil"/>
              <w:tr2bl w:val="nil"/>
            </w:tcBorders>
            <w:vAlign w:val="center"/>
          </w:tcPr>
          <w:p w14:paraId="2B789064">
            <w:pPr>
              <w:jc w:val="center"/>
              <w:rPr>
                <w:rFonts w:ascii="宋体" w:hAnsi="宋体" w:eastAsia="宋体" w:cs="Times New Roman"/>
                <w:szCs w:val="21"/>
              </w:rPr>
            </w:pPr>
            <w:r>
              <w:rPr>
                <w:rFonts w:ascii="宋体" w:hAnsi="宋体" w:eastAsia="宋体" w:cs="Times New Roman"/>
                <w:szCs w:val="21"/>
              </w:rPr>
              <w:t>22.5570</w:t>
            </w:r>
          </w:p>
        </w:tc>
        <w:tc>
          <w:tcPr>
            <w:tcW w:w="3421" w:type="dxa"/>
            <w:tcBorders>
              <w:tl2br w:val="nil"/>
              <w:tr2bl w:val="nil"/>
            </w:tcBorders>
            <w:vAlign w:val="center"/>
          </w:tcPr>
          <w:p w14:paraId="4B480580">
            <w:pPr>
              <w:jc w:val="center"/>
              <w:rPr>
                <w:rFonts w:ascii="宋体" w:hAnsi="宋体" w:eastAsia="宋体" w:cs="Times New Roman"/>
                <w:szCs w:val="21"/>
              </w:rPr>
            </w:pPr>
            <w:r>
              <w:rPr>
                <w:rFonts w:ascii="宋体" w:hAnsi="宋体" w:eastAsia="宋体" w:cs="Times New Roman"/>
                <w:szCs w:val="21"/>
              </w:rPr>
              <w:t>1.1278</w:t>
            </w:r>
          </w:p>
        </w:tc>
      </w:tr>
      <w:tr w14:paraId="193EEB9C">
        <w:tblPrEx>
          <w:tblBorders>
            <w:top w:val="single" w:color="auto" w:sz="12" w:space="0"/>
            <w:left w:val="single" w:color="auto" w:sz="12" w:space="0"/>
            <w:bottom w:val="single" w:color="auto" w:sz="12" w:space="0"/>
            <w:right w:val="single" w:color="auto" w:sz="12" w:space="0"/>
            <w:insideH w:val="single" w:color="auto" w:sz="2" w:space="0"/>
            <w:insideV w:val="single" w:color="auto" w:sz="4" w:space="0"/>
          </w:tblBorders>
          <w:tblCellMar>
            <w:top w:w="0" w:type="dxa"/>
            <w:left w:w="108" w:type="dxa"/>
            <w:bottom w:w="0" w:type="dxa"/>
            <w:right w:w="108" w:type="dxa"/>
          </w:tblCellMar>
        </w:tblPrEx>
        <w:trPr>
          <w:trHeight w:val="288" w:hRule="atLeast"/>
        </w:trPr>
        <w:tc>
          <w:tcPr>
            <w:tcW w:w="0" w:type="auto"/>
            <w:tcBorders>
              <w:tl2br w:val="nil"/>
              <w:tr2bl w:val="nil"/>
            </w:tcBorders>
            <w:vAlign w:val="center"/>
          </w:tcPr>
          <w:p w14:paraId="36D0EB4F">
            <w:pPr>
              <w:jc w:val="center"/>
              <w:rPr>
                <w:szCs w:val="21"/>
              </w:rPr>
            </w:pPr>
            <w:r>
              <w:rPr>
                <w:rFonts w:ascii="宋体" w:hAnsi="宋体"/>
                <w:szCs w:val="21"/>
              </w:rPr>
              <w:t>1200.0</w:t>
            </w:r>
          </w:p>
        </w:tc>
        <w:tc>
          <w:tcPr>
            <w:tcW w:w="3060" w:type="dxa"/>
            <w:tcBorders>
              <w:tl2br w:val="nil"/>
              <w:tr2bl w:val="nil"/>
            </w:tcBorders>
            <w:vAlign w:val="center"/>
          </w:tcPr>
          <w:p w14:paraId="07DFFA0A">
            <w:pPr>
              <w:jc w:val="center"/>
              <w:rPr>
                <w:rFonts w:ascii="宋体" w:hAnsi="宋体" w:eastAsia="宋体" w:cs="Times New Roman"/>
                <w:szCs w:val="21"/>
              </w:rPr>
            </w:pPr>
            <w:r>
              <w:rPr>
                <w:rFonts w:ascii="宋体" w:hAnsi="宋体" w:eastAsia="宋体" w:cs="Times New Roman"/>
                <w:szCs w:val="21"/>
              </w:rPr>
              <w:t>18.1360</w:t>
            </w:r>
          </w:p>
        </w:tc>
        <w:tc>
          <w:tcPr>
            <w:tcW w:w="3421" w:type="dxa"/>
            <w:tcBorders>
              <w:tl2br w:val="nil"/>
              <w:tr2bl w:val="nil"/>
            </w:tcBorders>
            <w:vAlign w:val="center"/>
          </w:tcPr>
          <w:p w14:paraId="3687F7EC">
            <w:pPr>
              <w:jc w:val="center"/>
              <w:rPr>
                <w:rFonts w:ascii="宋体" w:hAnsi="宋体" w:eastAsia="宋体" w:cs="Times New Roman"/>
                <w:szCs w:val="21"/>
              </w:rPr>
            </w:pPr>
            <w:r>
              <w:rPr>
                <w:rFonts w:ascii="宋体" w:hAnsi="宋体" w:eastAsia="宋体" w:cs="Times New Roman"/>
                <w:szCs w:val="21"/>
              </w:rPr>
              <w:t>0.9068</w:t>
            </w:r>
          </w:p>
        </w:tc>
      </w:tr>
      <w:tr w14:paraId="0BC34079">
        <w:tblPrEx>
          <w:tblBorders>
            <w:top w:val="single" w:color="auto" w:sz="12" w:space="0"/>
            <w:left w:val="single" w:color="auto" w:sz="12" w:space="0"/>
            <w:bottom w:val="single" w:color="auto" w:sz="12" w:space="0"/>
            <w:right w:val="single" w:color="auto" w:sz="12" w:space="0"/>
            <w:insideH w:val="single" w:color="auto" w:sz="2" w:space="0"/>
            <w:insideV w:val="single" w:color="auto" w:sz="4" w:space="0"/>
          </w:tblBorders>
          <w:tblCellMar>
            <w:top w:w="0" w:type="dxa"/>
            <w:left w:w="108" w:type="dxa"/>
            <w:bottom w:w="0" w:type="dxa"/>
            <w:right w:w="108" w:type="dxa"/>
          </w:tblCellMar>
        </w:tblPrEx>
        <w:trPr>
          <w:trHeight w:val="288" w:hRule="atLeast"/>
        </w:trPr>
        <w:tc>
          <w:tcPr>
            <w:tcW w:w="0" w:type="auto"/>
            <w:tcBorders>
              <w:tl2br w:val="nil"/>
              <w:tr2bl w:val="nil"/>
            </w:tcBorders>
            <w:vAlign w:val="center"/>
          </w:tcPr>
          <w:p w14:paraId="1DE16F1B">
            <w:pPr>
              <w:jc w:val="center"/>
              <w:rPr>
                <w:szCs w:val="21"/>
              </w:rPr>
            </w:pPr>
            <w:r>
              <w:rPr>
                <w:rFonts w:ascii="宋体" w:hAnsi="宋体"/>
                <w:szCs w:val="21"/>
              </w:rPr>
              <w:t>1400.0</w:t>
            </w:r>
          </w:p>
        </w:tc>
        <w:tc>
          <w:tcPr>
            <w:tcW w:w="3060" w:type="dxa"/>
            <w:tcBorders>
              <w:tl2br w:val="nil"/>
              <w:tr2bl w:val="nil"/>
            </w:tcBorders>
            <w:vAlign w:val="center"/>
          </w:tcPr>
          <w:p w14:paraId="6C701175">
            <w:pPr>
              <w:jc w:val="center"/>
              <w:rPr>
                <w:rFonts w:ascii="宋体" w:hAnsi="宋体" w:eastAsia="宋体" w:cs="Times New Roman"/>
                <w:szCs w:val="21"/>
              </w:rPr>
            </w:pPr>
            <w:r>
              <w:rPr>
                <w:rFonts w:ascii="宋体" w:hAnsi="宋体" w:eastAsia="宋体" w:cs="Times New Roman"/>
                <w:szCs w:val="21"/>
              </w:rPr>
              <w:t>15.0130</w:t>
            </w:r>
          </w:p>
        </w:tc>
        <w:tc>
          <w:tcPr>
            <w:tcW w:w="3421" w:type="dxa"/>
            <w:tcBorders>
              <w:tl2br w:val="nil"/>
              <w:tr2bl w:val="nil"/>
            </w:tcBorders>
            <w:vAlign w:val="center"/>
          </w:tcPr>
          <w:p w14:paraId="225AAD9E">
            <w:pPr>
              <w:jc w:val="center"/>
              <w:rPr>
                <w:rFonts w:ascii="宋体" w:hAnsi="宋体" w:eastAsia="宋体" w:cs="Times New Roman"/>
                <w:szCs w:val="21"/>
              </w:rPr>
            </w:pPr>
            <w:r>
              <w:rPr>
                <w:rFonts w:ascii="宋体" w:hAnsi="宋体" w:eastAsia="宋体" w:cs="Times New Roman"/>
                <w:szCs w:val="21"/>
              </w:rPr>
              <w:t>0.7507</w:t>
            </w:r>
          </w:p>
        </w:tc>
      </w:tr>
      <w:tr w14:paraId="3A49B70C">
        <w:tblPrEx>
          <w:tblBorders>
            <w:top w:val="single" w:color="auto" w:sz="12" w:space="0"/>
            <w:left w:val="single" w:color="auto" w:sz="12" w:space="0"/>
            <w:bottom w:val="single" w:color="auto" w:sz="12" w:space="0"/>
            <w:right w:val="single" w:color="auto" w:sz="12" w:space="0"/>
            <w:insideH w:val="single" w:color="auto" w:sz="2" w:space="0"/>
            <w:insideV w:val="single" w:color="auto" w:sz="4" w:space="0"/>
          </w:tblBorders>
          <w:tblCellMar>
            <w:top w:w="0" w:type="dxa"/>
            <w:left w:w="108" w:type="dxa"/>
            <w:bottom w:w="0" w:type="dxa"/>
            <w:right w:w="108" w:type="dxa"/>
          </w:tblCellMar>
        </w:tblPrEx>
        <w:trPr>
          <w:trHeight w:val="307" w:hRule="atLeast"/>
        </w:trPr>
        <w:tc>
          <w:tcPr>
            <w:tcW w:w="0" w:type="auto"/>
            <w:tcBorders>
              <w:tl2br w:val="nil"/>
              <w:tr2bl w:val="nil"/>
            </w:tcBorders>
            <w:vAlign w:val="center"/>
          </w:tcPr>
          <w:p w14:paraId="5C8D0CAA">
            <w:pPr>
              <w:jc w:val="center"/>
              <w:rPr>
                <w:szCs w:val="21"/>
              </w:rPr>
            </w:pPr>
            <w:r>
              <w:rPr>
                <w:rFonts w:ascii="宋体" w:hAnsi="宋体"/>
                <w:szCs w:val="21"/>
              </w:rPr>
              <w:t>1600.0</w:t>
            </w:r>
          </w:p>
        </w:tc>
        <w:tc>
          <w:tcPr>
            <w:tcW w:w="3060" w:type="dxa"/>
            <w:tcBorders>
              <w:tl2br w:val="nil"/>
              <w:tr2bl w:val="nil"/>
            </w:tcBorders>
            <w:vAlign w:val="center"/>
          </w:tcPr>
          <w:p w14:paraId="2A2BC421">
            <w:pPr>
              <w:jc w:val="center"/>
              <w:rPr>
                <w:rFonts w:ascii="宋体" w:hAnsi="宋体" w:eastAsia="宋体" w:cs="Times New Roman"/>
                <w:szCs w:val="21"/>
              </w:rPr>
            </w:pPr>
            <w:r>
              <w:rPr>
                <w:rFonts w:ascii="宋体" w:hAnsi="宋体" w:eastAsia="宋体" w:cs="Times New Roman"/>
                <w:szCs w:val="21"/>
              </w:rPr>
              <w:t>12.7120</w:t>
            </w:r>
          </w:p>
        </w:tc>
        <w:tc>
          <w:tcPr>
            <w:tcW w:w="3421" w:type="dxa"/>
            <w:tcBorders>
              <w:tl2br w:val="nil"/>
              <w:tr2bl w:val="nil"/>
            </w:tcBorders>
            <w:vAlign w:val="center"/>
          </w:tcPr>
          <w:p w14:paraId="6C0FEED1">
            <w:pPr>
              <w:jc w:val="center"/>
              <w:rPr>
                <w:rFonts w:ascii="宋体" w:hAnsi="宋体" w:eastAsia="宋体" w:cs="Times New Roman"/>
                <w:szCs w:val="21"/>
              </w:rPr>
            </w:pPr>
            <w:r>
              <w:rPr>
                <w:rFonts w:ascii="宋体" w:hAnsi="宋体" w:eastAsia="宋体" w:cs="Times New Roman"/>
                <w:szCs w:val="21"/>
              </w:rPr>
              <w:t>0.6356</w:t>
            </w:r>
          </w:p>
        </w:tc>
      </w:tr>
      <w:tr w14:paraId="2EC278B6">
        <w:tblPrEx>
          <w:tblBorders>
            <w:top w:val="single" w:color="auto" w:sz="12" w:space="0"/>
            <w:left w:val="single" w:color="auto" w:sz="12" w:space="0"/>
            <w:bottom w:val="single" w:color="auto" w:sz="12" w:space="0"/>
            <w:right w:val="single" w:color="auto" w:sz="12" w:space="0"/>
            <w:insideH w:val="single" w:color="auto" w:sz="2" w:space="0"/>
            <w:insideV w:val="single" w:color="auto" w:sz="4" w:space="0"/>
          </w:tblBorders>
          <w:tblCellMar>
            <w:top w:w="0" w:type="dxa"/>
            <w:left w:w="108" w:type="dxa"/>
            <w:bottom w:w="0" w:type="dxa"/>
            <w:right w:w="108" w:type="dxa"/>
          </w:tblCellMar>
        </w:tblPrEx>
        <w:trPr>
          <w:trHeight w:val="288" w:hRule="atLeast"/>
        </w:trPr>
        <w:tc>
          <w:tcPr>
            <w:tcW w:w="0" w:type="auto"/>
            <w:tcBorders>
              <w:tl2br w:val="nil"/>
              <w:tr2bl w:val="nil"/>
            </w:tcBorders>
            <w:vAlign w:val="center"/>
          </w:tcPr>
          <w:p w14:paraId="39000939">
            <w:pPr>
              <w:jc w:val="center"/>
              <w:rPr>
                <w:szCs w:val="21"/>
              </w:rPr>
            </w:pPr>
            <w:r>
              <w:rPr>
                <w:rFonts w:ascii="宋体" w:hAnsi="宋体"/>
                <w:szCs w:val="21"/>
              </w:rPr>
              <w:t>1800.0</w:t>
            </w:r>
          </w:p>
        </w:tc>
        <w:tc>
          <w:tcPr>
            <w:tcW w:w="3060" w:type="dxa"/>
            <w:tcBorders>
              <w:tl2br w:val="nil"/>
              <w:tr2bl w:val="nil"/>
            </w:tcBorders>
            <w:vAlign w:val="center"/>
          </w:tcPr>
          <w:p w14:paraId="516E9C95">
            <w:pPr>
              <w:jc w:val="center"/>
              <w:rPr>
                <w:rFonts w:ascii="宋体" w:hAnsi="宋体" w:eastAsia="宋体" w:cs="Times New Roman"/>
                <w:szCs w:val="21"/>
              </w:rPr>
            </w:pPr>
            <w:r>
              <w:rPr>
                <w:rFonts w:ascii="宋体" w:hAnsi="宋体" w:eastAsia="宋体" w:cs="Times New Roman"/>
                <w:szCs w:val="21"/>
              </w:rPr>
              <w:t>10.9590</w:t>
            </w:r>
          </w:p>
        </w:tc>
        <w:tc>
          <w:tcPr>
            <w:tcW w:w="3421" w:type="dxa"/>
            <w:tcBorders>
              <w:tl2br w:val="nil"/>
              <w:tr2bl w:val="nil"/>
            </w:tcBorders>
            <w:vAlign w:val="center"/>
          </w:tcPr>
          <w:p w14:paraId="1B79E7E8">
            <w:pPr>
              <w:jc w:val="center"/>
              <w:rPr>
                <w:rFonts w:ascii="宋体" w:hAnsi="宋体" w:eastAsia="宋体" w:cs="Times New Roman"/>
                <w:szCs w:val="21"/>
              </w:rPr>
            </w:pPr>
            <w:r>
              <w:rPr>
                <w:rFonts w:ascii="宋体" w:hAnsi="宋体" w:eastAsia="宋体" w:cs="Times New Roman"/>
                <w:szCs w:val="21"/>
              </w:rPr>
              <w:t>0.5480</w:t>
            </w:r>
          </w:p>
        </w:tc>
      </w:tr>
      <w:tr w14:paraId="021F3BF1">
        <w:tblPrEx>
          <w:tblBorders>
            <w:top w:val="single" w:color="auto" w:sz="12" w:space="0"/>
            <w:left w:val="single" w:color="auto" w:sz="12" w:space="0"/>
            <w:bottom w:val="single" w:color="auto" w:sz="12" w:space="0"/>
            <w:right w:val="single" w:color="auto" w:sz="12" w:space="0"/>
            <w:insideH w:val="single" w:color="auto" w:sz="2" w:space="0"/>
            <w:insideV w:val="single" w:color="auto" w:sz="4" w:space="0"/>
          </w:tblBorders>
          <w:tblCellMar>
            <w:top w:w="0" w:type="dxa"/>
            <w:left w:w="108" w:type="dxa"/>
            <w:bottom w:w="0" w:type="dxa"/>
            <w:right w:w="108" w:type="dxa"/>
          </w:tblCellMar>
        </w:tblPrEx>
        <w:trPr>
          <w:trHeight w:val="288" w:hRule="atLeast"/>
        </w:trPr>
        <w:tc>
          <w:tcPr>
            <w:tcW w:w="0" w:type="auto"/>
            <w:tcBorders>
              <w:tl2br w:val="nil"/>
              <w:tr2bl w:val="nil"/>
            </w:tcBorders>
            <w:vAlign w:val="center"/>
          </w:tcPr>
          <w:p w14:paraId="759DB841">
            <w:pPr>
              <w:jc w:val="center"/>
              <w:rPr>
                <w:szCs w:val="21"/>
              </w:rPr>
            </w:pPr>
            <w:r>
              <w:rPr>
                <w:rFonts w:ascii="宋体" w:hAnsi="宋体"/>
                <w:szCs w:val="21"/>
              </w:rPr>
              <w:t>2000.0</w:t>
            </w:r>
          </w:p>
        </w:tc>
        <w:tc>
          <w:tcPr>
            <w:tcW w:w="3060" w:type="dxa"/>
            <w:tcBorders>
              <w:tl2br w:val="nil"/>
              <w:tr2bl w:val="nil"/>
            </w:tcBorders>
            <w:vAlign w:val="center"/>
          </w:tcPr>
          <w:p w14:paraId="3EB28329">
            <w:pPr>
              <w:jc w:val="center"/>
              <w:rPr>
                <w:rFonts w:ascii="宋体" w:hAnsi="宋体" w:eastAsia="宋体" w:cs="Times New Roman"/>
                <w:szCs w:val="21"/>
              </w:rPr>
            </w:pPr>
            <w:r>
              <w:rPr>
                <w:rFonts w:ascii="宋体" w:hAnsi="宋体" w:eastAsia="宋体" w:cs="Times New Roman"/>
                <w:szCs w:val="21"/>
              </w:rPr>
              <w:t>9.5896</w:t>
            </w:r>
          </w:p>
        </w:tc>
        <w:tc>
          <w:tcPr>
            <w:tcW w:w="3421" w:type="dxa"/>
            <w:tcBorders>
              <w:tl2br w:val="nil"/>
              <w:tr2bl w:val="nil"/>
            </w:tcBorders>
            <w:vAlign w:val="center"/>
          </w:tcPr>
          <w:p w14:paraId="615E84F3">
            <w:pPr>
              <w:jc w:val="center"/>
              <w:rPr>
                <w:rFonts w:ascii="宋体" w:hAnsi="宋体" w:eastAsia="宋体" w:cs="Times New Roman"/>
                <w:szCs w:val="21"/>
              </w:rPr>
            </w:pPr>
            <w:r>
              <w:rPr>
                <w:rFonts w:ascii="宋体" w:hAnsi="宋体" w:eastAsia="宋体" w:cs="Times New Roman"/>
                <w:szCs w:val="21"/>
              </w:rPr>
              <w:t>0.4795</w:t>
            </w:r>
          </w:p>
        </w:tc>
      </w:tr>
      <w:tr w14:paraId="23A26374">
        <w:tblPrEx>
          <w:tblBorders>
            <w:top w:val="single" w:color="auto" w:sz="12" w:space="0"/>
            <w:left w:val="single" w:color="auto" w:sz="12" w:space="0"/>
            <w:bottom w:val="single" w:color="auto" w:sz="12" w:space="0"/>
            <w:right w:val="single" w:color="auto" w:sz="12" w:space="0"/>
            <w:insideH w:val="single" w:color="auto" w:sz="2" w:space="0"/>
            <w:insideV w:val="single" w:color="auto" w:sz="4" w:space="0"/>
          </w:tblBorders>
          <w:tblCellMar>
            <w:top w:w="0" w:type="dxa"/>
            <w:left w:w="108" w:type="dxa"/>
            <w:bottom w:w="0" w:type="dxa"/>
            <w:right w:w="108" w:type="dxa"/>
          </w:tblCellMar>
        </w:tblPrEx>
        <w:trPr>
          <w:trHeight w:val="288" w:hRule="atLeast"/>
        </w:trPr>
        <w:tc>
          <w:tcPr>
            <w:tcW w:w="0" w:type="auto"/>
            <w:tcBorders>
              <w:tl2br w:val="nil"/>
              <w:tr2bl w:val="nil"/>
            </w:tcBorders>
            <w:vAlign w:val="center"/>
          </w:tcPr>
          <w:p w14:paraId="034B41FB">
            <w:pPr>
              <w:jc w:val="center"/>
              <w:rPr>
                <w:szCs w:val="21"/>
              </w:rPr>
            </w:pPr>
            <w:r>
              <w:rPr>
                <w:rFonts w:ascii="宋体" w:hAnsi="宋体"/>
                <w:szCs w:val="21"/>
              </w:rPr>
              <w:t>2500.0</w:t>
            </w:r>
          </w:p>
        </w:tc>
        <w:tc>
          <w:tcPr>
            <w:tcW w:w="3060" w:type="dxa"/>
            <w:tcBorders>
              <w:tl2br w:val="nil"/>
              <w:tr2bl w:val="nil"/>
            </w:tcBorders>
            <w:vAlign w:val="center"/>
          </w:tcPr>
          <w:p w14:paraId="792EDADA">
            <w:pPr>
              <w:jc w:val="center"/>
              <w:rPr>
                <w:rFonts w:ascii="宋体" w:hAnsi="宋体" w:eastAsia="宋体" w:cs="Times New Roman"/>
                <w:szCs w:val="21"/>
              </w:rPr>
            </w:pPr>
            <w:r>
              <w:rPr>
                <w:rFonts w:ascii="宋体" w:hAnsi="宋体" w:eastAsia="宋体" w:cs="Times New Roman"/>
                <w:szCs w:val="21"/>
              </w:rPr>
              <w:t>7.2339</w:t>
            </w:r>
          </w:p>
        </w:tc>
        <w:tc>
          <w:tcPr>
            <w:tcW w:w="3421" w:type="dxa"/>
            <w:tcBorders>
              <w:tl2br w:val="nil"/>
              <w:tr2bl w:val="nil"/>
            </w:tcBorders>
            <w:vAlign w:val="center"/>
          </w:tcPr>
          <w:p w14:paraId="158ED587">
            <w:pPr>
              <w:jc w:val="center"/>
              <w:rPr>
                <w:rFonts w:ascii="宋体" w:hAnsi="宋体" w:eastAsia="宋体" w:cs="Times New Roman"/>
                <w:szCs w:val="21"/>
              </w:rPr>
            </w:pPr>
            <w:r>
              <w:rPr>
                <w:rFonts w:ascii="宋体" w:hAnsi="宋体" w:eastAsia="宋体" w:cs="Times New Roman"/>
                <w:szCs w:val="21"/>
              </w:rPr>
              <w:t>0.3617</w:t>
            </w:r>
          </w:p>
        </w:tc>
      </w:tr>
      <w:tr w14:paraId="14158570">
        <w:tblPrEx>
          <w:tblBorders>
            <w:top w:val="single" w:color="auto" w:sz="12" w:space="0"/>
            <w:left w:val="single" w:color="auto" w:sz="12" w:space="0"/>
            <w:bottom w:val="single" w:color="auto" w:sz="12" w:space="0"/>
            <w:right w:val="single" w:color="auto" w:sz="12" w:space="0"/>
            <w:insideH w:val="single" w:color="auto" w:sz="2" w:space="0"/>
            <w:insideV w:val="single" w:color="auto" w:sz="4" w:space="0"/>
          </w:tblBorders>
          <w:tblCellMar>
            <w:top w:w="0" w:type="dxa"/>
            <w:left w:w="108" w:type="dxa"/>
            <w:bottom w:w="0" w:type="dxa"/>
            <w:right w:w="108" w:type="dxa"/>
          </w:tblCellMar>
        </w:tblPrEx>
        <w:trPr>
          <w:trHeight w:val="288" w:hRule="atLeast"/>
        </w:trPr>
        <w:tc>
          <w:tcPr>
            <w:tcW w:w="0" w:type="auto"/>
            <w:tcBorders>
              <w:tl2br w:val="nil"/>
              <w:tr2bl w:val="nil"/>
            </w:tcBorders>
            <w:vAlign w:val="center"/>
          </w:tcPr>
          <w:p w14:paraId="27CE1097">
            <w:pPr>
              <w:jc w:val="center"/>
              <w:rPr>
                <w:szCs w:val="21"/>
              </w:rPr>
            </w:pPr>
            <w:r>
              <w:rPr>
                <w:rFonts w:ascii="宋体" w:hAnsi="宋体"/>
                <w:szCs w:val="21"/>
              </w:rPr>
              <w:t>3000.0</w:t>
            </w:r>
          </w:p>
        </w:tc>
        <w:tc>
          <w:tcPr>
            <w:tcW w:w="3060" w:type="dxa"/>
            <w:tcBorders>
              <w:tl2br w:val="nil"/>
              <w:tr2bl w:val="nil"/>
            </w:tcBorders>
            <w:vAlign w:val="center"/>
          </w:tcPr>
          <w:p w14:paraId="275F3438">
            <w:pPr>
              <w:jc w:val="center"/>
              <w:rPr>
                <w:rFonts w:ascii="宋体" w:hAnsi="宋体" w:eastAsia="宋体" w:cs="Times New Roman"/>
                <w:szCs w:val="21"/>
              </w:rPr>
            </w:pPr>
            <w:r>
              <w:rPr>
                <w:rFonts w:ascii="宋体" w:hAnsi="宋体" w:eastAsia="宋体" w:cs="Times New Roman"/>
                <w:szCs w:val="21"/>
              </w:rPr>
              <w:t>5.7089</w:t>
            </w:r>
          </w:p>
        </w:tc>
        <w:tc>
          <w:tcPr>
            <w:tcW w:w="3421" w:type="dxa"/>
            <w:tcBorders>
              <w:tl2br w:val="nil"/>
              <w:tr2bl w:val="nil"/>
            </w:tcBorders>
            <w:vAlign w:val="center"/>
          </w:tcPr>
          <w:p w14:paraId="0A630723">
            <w:pPr>
              <w:jc w:val="center"/>
              <w:rPr>
                <w:rFonts w:ascii="宋体" w:hAnsi="宋体" w:eastAsia="宋体" w:cs="Times New Roman"/>
                <w:szCs w:val="21"/>
              </w:rPr>
            </w:pPr>
            <w:r>
              <w:rPr>
                <w:rFonts w:ascii="宋体" w:hAnsi="宋体" w:eastAsia="宋体" w:cs="Times New Roman"/>
                <w:szCs w:val="21"/>
              </w:rPr>
              <w:t>0.2854</w:t>
            </w:r>
          </w:p>
        </w:tc>
      </w:tr>
      <w:tr w14:paraId="5AFAC54A">
        <w:tblPrEx>
          <w:tblBorders>
            <w:top w:val="single" w:color="auto" w:sz="12" w:space="0"/>
            <w:left w:val="single" w:color="auto" w:sz="12" w:space="0"/>
            <w:bottom w:val="single" w:color="auto" w:sz="12" w:space="0"/>
            <w:right w:val="single" w:color="auto" w:sz="12" w:space="0"/>
            <w:insideH w:val="single" w:color="auto" w:sz="2" w:space="0"/>
            <w:insideV w:val="single" w:color="auto" w:sz="4" w:space="0"/>
          </w:tblBorders>
          <w:tblCellMar>
            <w:top w:w="0" w:type="dxa"/>
            <w:left w:w="108" w:type="dxa"/>
            <w:bottom w:w="0" w:type="dxa"/>
            <w:right w:w="108" w:type="dxa"/>
          </w:tblCellMar>
        </w:tblPrEx>
        <w:trPr>
          <w:trHeight w:val="288" w:hRule="atLeast"/>
        </w:trPr>
        <w:tc>
          <w:tcPr>
            <w:tcW w:w="0" w:type="auto"/>
            <w:tcBorders>
              <w:tl2br w:val="nil"/>
              <w:tr2bl w:val="nil"/>
            </w:tcBorders>
            <w:vAlign w:val="center"/>
          </w:tcPr>
          <w:p w14:paraId="18ACC440">
            <w:pPr>
              <w:jc w:val="center"/>
              <w:rPr>
                <w:szCs w:val="21"/>
              </w:rPr>
            </w:pPr>
            <w:r>
              <w:rPr>
                <w:rFonts w:ascii="宋体" w:hAnsi="宋体"/>
                <w:szCs w:val="21"/>
              </w:rPr>
              <w:t>3500.0</w:t>
            </w:r>
          </w:p>
        </w:tc>
        <w:tc>
          <w:tcPr>
            <w:tcW w:w="3060" w:type="dxa"/>
            <w:tcBorders>
              <w:tl2br w:val="nil"/>
              <w:tr2bl w:val="nil"/>
            </w:tcBorders>
            <w:vAlign w:val="center"/>
          </w:tcPr>
          <w:p w14:paraId="36F18552">
            <w:pPr>
              <w:jc w:val="center"/>
              <w:rPr>
                <w:rFonts w:ascii="宋体" w:hAnsi="宋体" w:eastAsia="宋体" w:cs="Times New Roman"/>
                <w:szCs w:val="21"/>
              </w:rPr>
            </w:pPr>
            <w:r>
              <w:rPr>
                <w:rFonts w:ascii="宋体" w:hAnsi="宋体" w:eastAsia="宋体" w:cs="Times New Roman"/>
                <w:szCs w:val="21"/>
              </w:rPr>
              <w:t>4.6664</w:t>
            </w:r>
          </w:p>
        </w:tc>
        <w:tc>
          <w:tcPr>
            <w:tcW w:w="3421" w:type="dxa"/>
            <w:tcBorders>
              <w:tl2br w:val="nil"/>
              <w:tr2bl w:val="nil"/>
            </w:tcBorders>
            <w:vAlign w:val="center"/>
          </w:tcPr>
          <w:p w14:paraId="6A946BDC">
            <w:pPr>
              <w:jc w:val="center"/>
              <w:rPr>
                <w:rFonts w:ascii="宋体" w:hAnsi="宋体" w:eastAsia="宋体" w:cs="Times New Roman"/>
                <w:szCs w:val="21"/>
              </w:rPr>
            </w:pPr>
            <w:r>
              <w:rPr>
                <w:rFonts w:ascii="宋体" w:hAnsi="宋体" w:eastAsia="宋体" w:cs="Times New Roman"/>
                <w:szCs w:val="21"/>
              </w:rPr>
              <w:t>0.2333</w:t>
            </w:r>
          </w:p>
        </w:tc>
      </w:tr>
      <w:tr w14:paraId="1E239601">
        <w:tblPrEx>
          <w:tblBorders>
            <w:top w:val="single" w:color="auto" w:sz="12" w:space="0"/>
            <w:left w:val="single" w:color="auto" w:sz="12" w:space="0"/>
            <w:bottom w:val="single" w:color="auto" w:sz="12" w:space="0"/>
            <w:right w:val="single" w:color="auto" w:sz="12" w:space="0"/>
            <w:insideH w:val="single" w:color="auto" w:sz="2" w:space="0"/>
            <w:insideV w:val="single" w:color="auto" w:sz="4" w:space="0"/>
          </w:tblBorders>
          <w:tblCellMar>
            <w:top w:w="0" w:type="dxa"/>
            <w:left w:w="108" w:type="dxa"/>
            <w:bottom w:w="0" w:type="dxa"/>
            <w:right w:w="108" w:type="dxa"/>
          </w:tblCellMar>
        </w:tblPrEx>
        <w:trPr>
          <w:trHeight w:val="288" w:hRule="atLeast"/>
        </w:trPr>
        <w:tc>
          <w:tcPr>
            <w:tcW w:w="0" w:type="auto"/>
            <w:tcBorders>
              <w:tl2br w:val="nil"/>
              <w:tr2bl w:val="nil"/>
            </w:tcBorders>
            <w:vAlign w:val="center"/>
          </w:tcPr>
          <w:p w14:paraId="616F9713">
            <w:pPr>
              <w:jc w:val="center"/>
              <w:rPr>
                <w:szCs w:val="21"/>
              </w:rPr>
            </w:pPr>
            <w:r>
              <w:rPr>
                <w:rFonts w:ascii="宋体" w:hAnsi="宋体"/>
                <w:szCs w:val="21"/>
              </w:rPr>
              <w:t>4000.0</w:t>
            </w:r>
          </w:p>
        </w:tc>
        <w:tc>
          <w:tcPr>
            <w:tcW w:w="3060" w:type="dxa"/>
            <w:tcBorders>
              <w:tl2br w:val="nil"/>
              <w:tr2bl w:val="nil"/>
            </w:tcBorders>
            <w:vAlign w:val="center"/>
          </w:tcPr>
          <w:p w14:paraId="1103A306">
            <w:pPr>
              <w:jc w:val="center"/>
              <w:rPr>
                <w:rFonts w:ascii="宋体" w:hAnsi="宋体" w:eastAsia="宋体" w:cs="Times New Roman"/>
                <w:szCs w:val="21"/>
              </w:rPr>
            </w:pPr>
            <w:r>
              <w:rPr>
                <w:rFonts w:ascii="宋体" w:hAnsi="宋体" w:eastAsia="宋体" w:cs="Times New Roman"/>
                <w:szCs w:val="21"/>
              </w:rPr>
              <w:t>3.9149</w:t>
            </w:r>
          </w:p>
        </w:tc>
        <w:tc>
          <w:tcPr>
            <w:tcW w:w="3421" w:type="dxa"/>
            <w:tcBorders>
              <w:tl2br w:val="nil"/>
              <w:tr2bl w:val="nil"/>
            </w:tcBorders>
            <w:vAlign w:val="center"/>
          </w:tcPr>
          <w:p w14:paraId="5391DEF7">
            <w:pPr>
              <w:jc w:val="center"/>
              <w:rPr>
                <w:rFonts w:ascii="宋体" w:hAnsi="宋体" w:eastAsia="宋体" w:cs="Times New Roman"/>
                <w:szCs w:val="21"/>
              </w:rPr>
            </w:pPr>
            <w:r>
              <w:rPr>
                <w:rFonts w:ascii="宋体" w:hAnsi="宋体" w:eastAsia="宋体" w:cs="Times New Roman"/>
                <w:szCs w:val="21"/>
              </w:rPr>
              <w:t>0.1957</w:t>
            </w:r>
          </w:p>
        </w:tc>
      </w:tr>
      <w:tr w14:paraId="4F116BAA">
        <w:tblPrEx>
          <w:tblBorders>
            <w:top w:val="single" w:color="auto" w:sz="12" w:space="0"/>
            <w:left w:val="single" w:color="auto" w:sz="12" w:space="0"/>
            <w:bottom w:val="single" w:color="auto" w:sz="12" w:space="0"/>
            <w:right w:val="single" w:color="auto" w:sz="12" w:space="0"/>
            <w:insideH w:val="single" w:color="auto" w:sz="2" w:space="0"/>
            <w:insideV w:val="single" w:color="auto" w:sz="4" w:space="0"/>
          </w:tblBorders>
          <w:tblCellMar>
            <w:top w:w="0" w:type="dxa"/>
            <w:left w:w="108" w:type="dxa"/>
            <w:bottom w:w="0" w:type="dxa"/>
            <w:right w:w="108" w:type="dxa"/>
          </w:tblCellMar>
        </w:tblPrEx>
        <w:trPr>
          <w:trHeight w:val="288" w:hRule="atLeast"/>
        </w:trPr>
        <w:tc>
          <w:tcPr>
            <w:tcW w:w="0" w:type="auto"/>
            <w:tcBorders>
              <w:tl2br w:val="nil"/>
              <w:tr2bl w:val="nil"/>
            </w:tcBorders>
            <w:vAlign w:val="center"/>
          </w:tcPr>
          <w:p w14:paraId="563E69E5">
            <w:pPr>
              <w:jc w:val="center"/>
              <w:rPr>
                <w:szCs w:val="21"/>
              </w:rPr>
            </w:pPr>
            <w:r>
              <w:rPr>
                <w:rFonts w:ascii="宋体" w:hAnsi="宋体"/>
                <w:szCs w:val="21"/>
              </w:rPr>
              <w:t>4500.0</w:t>
            </w:r>
          </w:p>
        </w:tc>
        <w:tc>
          <w:tcPr>
            <w:tcW w:w="3060" w:type="dxa"/>
            <w:tcBorders>
              <w:tl2br w:val="nil"/>
              <w:tr2bl w:val="nil"/>
            </w:tcBorders>
            <w:vAlign w:val="center"/>
          </w:tcPr>
          <w:p w14:paraId="3371659C">
            <w:pPr>
              <w:jc w:val="center"/>
              <w:rPr>
                <w:rFonts w:ascii="宋体" w:hAnsi="宋体" w:eastAsia="宋体" w:cs="Times New Roman"/>
                <w:szCs w:val="21"/>
              </w:rPr>
            </w:pPr>
            <w:r>
              <w:rPr>
                <w:rFonts w:ascii="宋体" w:hAnsi="宋体" w:eastAsia="宋体" w:cs="Times New Roman"/>
                <w:szCs w:val="21"/>
              </w:rPr>
              <w:t>3.3512</w:t>
            </w:r>
          </w:p>
        </w:tc>
        <w:tc>
          <w:tcPr>
            <w:tcW w:w="3421" w:type="dxa"/>
            <w:tcBorders>
              <w:tl2br w:val="nil"/>
              <w:tr2bl w:val="nil"/>
            </w:tcBorders>
            <w:vAlign w:val="center"/>
          </w:tcPr>
          <w:p w14:paraId="2053EF56">
            <w:pPr>
              <w:jc w:val="center"/>
              <w:rPr>
                <w:rFonts w:ascii="宋体" w:hAnsi="宋体" w:eastAsia="宋体" w:cs="Times New Roman"/>
                <w:szCs w:val="21"/>
              </w:rPr>
            </w:pPr>
            <w:r>
              <w:rPr>
                <w:rFonts w:ascii="宋体" w:hAnsi="宋体" w:eastAsia="宋体" w:cs="Times New Roman"/>
                <w:szCs w:val="21"/>
              </w:rPr>
              <w:t>0.1676</w:t>
            </w:r>
          </w:p>
        </w:tc>
      </w:tr>
      <w:tr w14:paraId="2E6A85A9">
        <w:tblPrEx>
          <w:tblBorders>
            <w:top w:val="single" w:color="auto" w:sz="12" w:space="0"/>
            <w:left w:val="single" w:color="auto" w:sz="12" w:space="0"/>
            <w:bottom w:val="single" w:color="auto" w:sz="12" w:space="0"/>
            <w:right w:val="single" w:color="auto" w:sz="12" w:space="0"/>
            <w:insideH w:val="single" w:color="auto" w:sz="2" w:space="0"/>
            <w:insideV w:val="single" w:color="auto" w:sz="4" w:space="0"/>
          </w:tblBorders>
          <w:tblCellMar>
            <w:top w:w="0" w:type="dxa"/>
            <w:left w:w="108" w:type="dxa"/>
            <w:bottom w:w="0" w:type="dxa"/>
            <w:right w:w="108" w:type="dxa"/>
          </w:tblCellMar>
        </w:tblPrEx>
        <w:trPr>
          <w:trHeight w:val="288" w:hRule="atLeast"/>
        </w:trPr>
        <w:tc>
          <w:tcPr>
            <w:tcW w:w="0" w:type="auto"/>
            <w:tcBorders>
              <w:tl2br w:val="nil"/>
              <w:tr2bl w:val="nil"/>
            </w:tcBorders>
            <w:vAlign w:val="center"/>
          </w:tcPr>
          <w:p w14:paraId="6A5C4627">
            <w:pPr>
              <w:jc w:val="center"/>
              <w:rPr>
                <w:szCs w:val="21"/>
              </w:rPr>
            </w:pPr>
            <w:r>
              <w:rPr>
                <w:rFonts w:ascii="宋体" w:hAnsi="宋体"/>
                <w:szCs w:val="21"/>
              </w:rPr>
              <w:t>5000.0</w:t>
            </w:r>
          </w:p>
        </w:tc>
        <w:tc>
          <w:tcPr>
            <w:tcW w:w="3060" w:type="dxa"/>
            <w:tcBorders>
              <w:tl2br w:val="nil"/>
              <w:tr2bl w:val="nil"/>
            </w:tcBorders>
            <w:vAlign w:val="center"/>
          </w:tcPr>
          <w:p w14:paraId="70FC277F">
            <w:pPr>
              <w:jc w:val="center"/>
              <w:rPr>
                <w:rFonts w:ascii="宋体" w:hAnsi="宋体" w:eastAsia="宋体" w:cs="Times New Roman"/>
                <w:szCs w:val="21"/>
              </w:rPr>
            </w:pPr>
            <w:r>
              <w:rPr>
                <w:rFonts w:ascii="宋体" w:hAnsi="宋体" w:eastAsia="宋体" w:cs="Times New Roman"/>
                <w:szCs w:val="21"/>
              </w:rPr>
              <w:t>2.9149</w:t>
            </w:r>
          </w:p>
        </w:tc>
        <w:tc>
          <w:tcPr>
            <w:tcW w:w="3421" w:type="dxa"/>
            <w:tcBorders>
              <w:tl2br w:val="nil"/>
              <w:tr2bl w:val="nil"/>
            </w:tcBorders>
            <w:vAlign w:val="center"/>
          </w:tcPr>
          <w:p w14:paraId="14843178">
            <w:pPr>
              <w:jc w:val="center"/>
              <w:rPr>
                <w:rFonts w:ascii="宋体" w:hAnsi="宋体" w:eastAsia="宋体" w:cs="Times New Roman"/>
                <w:szCs w:val="21"/>
              </w:rPr>
            </w:pPr>
            <w:r>
              <w:rPr>
                <w:rFonts w:ascii="宋体" w:hAnsi="宋体" w:eastAsia="宋体" w:cs="Times New Roman"/>
                <w:szCs w:val="21"/>
              </w:rPr>
              <w:t>0.1457</w:t>
            </w:r>
          </w:p>
        </w:tc>
      </w:tr>
      <w:tr w14:paraId="68DA869F">
        <w:tblPrEx>
          <w:tblBorders>
            <w:top w:val="single" w:color="auto" w:sz="12" w:space="0"/>
            <w:left w:val="single" w:color="auto" w:sz="12" w:space="0"/>
            <w:bottom w:val="single" w:color="auto" w:sz="12" w:space="0"/>
            <w:right w:val="single" w:color="auto" w:sz="12" w:space="0"/>
            <w:insideH w:val="single" w:color="auto" w:sz="2" w:space="0"/>
            <w:insideV w:val="single" w:color="auto" w:sz="4" w:space="0"/>
          </w:tblBorders>
          <w:tblCellMar>
            <w:top w:w="0" w:type="dxa"/>
            <w:left w:w="108" w:type="dxa"/>
            <w:bottom w:w="0" w:type="dxa"/>
            <w:right w:w="108" w:type="dxa"/>
          </w:tblCellMar>
        </w:tblPrEx>
        <w:trPr>
          <w:trHeight w:val="288" w:hRule="atLeast"/>
        </w:trPr>
        <w:tc>
          <w:tcPr>
            <w:tcW w:w="0" w:type="auto"/>
            <w:tcBorders>
              <w:tl2br w:val="nil"/>
              <w:tr2bl w:val="nil"/>
            </w:tcBorders>
            <w:vAlign w:val="center"/>
          </w:tcPr>
          <w:p w14:paraId="47967FA8">
            <w:pPr>
              <w:jc w:val="center"/>
              <w:rPr>
                <w:szCs w:val="21"/>
              </w:rPr>
            </w:pPr>
            <w:r>
              <w:rPr>
                <w:rFonts w:ascii="宋体" w:hAnsi="宋体"/>
                <w:szCs w:val="21"/>
              </w:rPr>
              <w:t>10000.0</w:t>
            </w:r>
          </w:p>
        </w:tc>
        <w:tc>
          <w:tcPr>
            <w:tcW w:w="3060" w:type="dxa"/>
            <w:tcBorders>
              <w:tl2br w:val="nil"/>
              <w:tr2bl w:val="nil"/>
            </w:tcBorders>
            <w:vAlign w:val="center"/>
          </w:tcPr>
          <w:p w14:paraId="73AC3302">
            <w:pPr>
              <w:jc w:val="center"/>
              <w:rPr>
                <w:rFonts w:ascii="宋体" w:hAnsi="宋体" w:eastAsia="宋体" w:cs="Times New Roman"/>
                <w:szCs w:val="21"/>
              </w:rPr>
            </w:pPr>
            <w:r>
              <w:rPr>
                <w:rFonts w:ascii="宋体" w:hAnsi="宋体" w:eastAsia="宋体" w:cs="Times New Roman"/>
                <w:szCs w:val="21"/>
              </w:rPr>
              <w:t>1.1564</w:t>
            </w:r>
          </w:p>
        </w:tc>
        <w:tc>
          <w:tcPr>
            <w:tcW w:w="3421" w:type="dxa"/>
            <w:tcBorders>
              <w:tl2br w:val="nil"/>
              <w:tr2bl w:val="nil"/>
            </w:tcBorders>
            <w:vAlign w:val="center"/>
          </w:tcPr>
          <w:p w14:paraId="302DD1E8">
            <w:pPr>
              <w:jc w:val="center"/>
              <w:rPr>
                <w:rFonts w:ascii="宋体" w:hAnsi="宋体" w:eastAsia="宋体" w:cs="Times New Roman"/>
                <w:szCs w:val="21"/>
              </w:rPr>
            </w:pPr>
            <w:r>
              <w:rPr>
                <w:rFonts w:ascii="宋体" w:hAnsi="宋体" w:eastAsia="宋体" w:cs="Times New Roman"/>
                <w:szCs w:val="21"/>
              </w:rPr>
              <w:t>0.0578</w:t>
            </w:r>
          </w:p>
        </w:tc>
      </w:tr>
      <w:tr w14:paraId="7666E1DD">
        <w:tblPrEx>
          <w:tblBorders>
            <w:top w:val="single" w:color="auto" w:sz="12" w:space="0"/>
            <w:left w:val="single" w:color="auto" w:sz="12" w:space="0"/>
            <w:bottom w:val="single" w:color="auto" w:sz="12" w:space="0"/>
            <w:right w:val="single" w:color="auto" w:sz="12" w:space="0"/>
            <w:insideH w:val="single" w:color="auto" w:sz="2" w:space="0"/>
            <w:insideV w:val="single" w:color="auto" w:sz="4" w:space="0"/>
          </w:tblBorders>
          <w:tblCellMar>
            <w:top w:w="0" w:type="dxa"/>
            <w:left w:w="108" w:type="dxa"/>
            <w:bottom w:w="0" w:type="dxa"/>
            <w:right w:w="108" w:type="dxa"/>
          </w:tblCellMar>
        </w:tblPrEx>
        <w:trPr>
          <w:trHeight w:val="288" w:hRule="atLeast"/>
        </w:trPr>
        <w:tc>
          <w:tcPr>
            <w:tcW w:w="0" w:type="auto"/>
            <w:tcBorders>
              <w:tl2br w:val="nil"/>
              <w:tr2bl w:val="nil"/>
            </w:tcBorders>
            <w:vAlign w:val="center"/>
          </w:tcPr>
          <w:p w14:paraId="226B7DB2">
            <w:pPr>
              <w:jc w:val="center"/>
              <w:rPr>
                <w:szCs w:val="21"/>
              </w:rPr>
            </w:pPr>
            <w:r>
              <w:rPr>
                <w:rFonts w:ascii="宋体" w:hAnsi="宋体"/>
                <w:szCs w:val="21"/>
              </w:rPr>
              <w:t>11000.0</w:t>
            </w:r>
          </w:p>
        </w:tc>
        <w:tc>
          <w:tcPr>
            <w:tcW w:w="3060" w:type="dxa"/>
            <w:tcBorders>
              <w:tl2br w:val="nil"/>
              <w:tr2bl w:val="nil"/>
            </w:tcBorders>
            <w:vAlign w:val="center"/>
          </w:tcPr>
          <w:p w14:paraId="10C1D9C7">
            <w:pPr>
              <w:jc w:val="center"/>
              <w:rPr>
                <w:rFonts w:ascii="宋体" w:hAnsi="宋体" w:eastAsia="宋体" w:cs="Times New Roman"/>
                <w:szCs w:val="21"/>
              </w:rPr>
            </w:pPr>
            <w:r>
              <w:rPr>
                <w:rFonts w:ascii="宋体" w:hAnsi="宋体" w:eastAsia="宋体" w:cs="Times New Roman"/>
                <w:szCs w:val="21"/>
              </w:rPr>
              <w:t>1.0177</w:t>
            </w:r>
          </w:p>
        </w:tc>
        <w:tc>
          <w:tcPr>
            <w:tcW w:w="3421" w:type="dxa"/>
            <w:tcBorders>
              <w:tl2br w:val="nil"/>
              <w:tr2bl w:val="nil"/>
            </w:tcBorders>
            <w:vAlign w:val="center"/>
          </w:tcPr>
          <w:p w14:paraId="77CC5F09">
            <w:pPr>
              <w:jc w:val="center"/>
              <w:rPr>
                <w:rFonts w:ascii="宋体" w:hAnsi="宋体" w:eastAsia="宋体" w:cs="Times New Roman"/>
                <w:szCs w:val="21"/>
              </w:rPr>
            </w:pPr>
            <w:r>
              <w:rPr>
                <w:rFonts w:ascii="宋体" w:hAnsi="宋体" w:eastAsia="宋体" w:cs="Times New Roman"/>
                <w:szCs w:val="21"/>
              </w:rPr>
              <w:t>0.0509</w:t>
            </w:r>
          </w:p>
        </w:tc>
      </w:tr>
      <w:tr w14:paraId="1F724925">
        <w:tblPrEx>
          <w:tblBorders>
            <w:top w:val="single" w:color="auto" w:sz="12" w:space="0"/>
            <w:left w:val="single" w:color="auto" w:sz="12" w:space="0"/>
            <w:bottom w:val="single" w:color="auto" w:sz="12" w:space="0"/>
            <w:right w:val="single" w:color="auto" w:sz="12" w:space="0"/>
            <w:insideH w:val="single" w:color="auto" w:sz="2" w:space="0"/>
            <w:insideV w:val="single" w:color="auto" w:sz="4" w:space="0"/>
          </w:tblBorders>
          <w:tblCellMar>
            <w:top w:w="0" w:type="dxa"/>
            <w:left w:w="108" w:type="dxa"/>
            <w:bottom w:w="0" w:type="dxa"/>
            <w:right w:w="108" w:type="dxa"/>
          </w:tblCellMar>
        </w:tblPrEx>
        <w:trPr>
          <w:trHeight w:val="288" w:hRule="atLeast"/>
        </w:trPr>
        <w:tc>
          <w:tcPr>
            <w:tcW w:w="0" w:type="auto"/>
            <w:tcBorders>
              <w:tl2br w:val="nil"/>
              <w:tr2bl w:val="nil"/>
            </w:tcBorders>
            <w:vAlign w:val="center"/>
          </w:tcPr>
          <w:p w14:paraId="63F3D664">
            <w:pPr>
              <w:jc w:val="center"/>
              <w:rPr>
                <w:szCs w:val="21"/>
              </w:rPr>
            </w:pPr>
            <w:r>
              <w:rPr>
                <w:rFonts w:ascii="宋体" w:hAnsi="宋体"/>
                <w:szCs w:val="21"/>
              </w:rPr>
              <w:t>12000.0</w:t>
            </w:r>
          </w:p>
        </w:tc>
        <w:tc>
          <w:tcPr>
            <w:tcW w:w="3060" w:type="dxa"/>
            <w:tcBorders>
              <w:tl2br w:val="nil"/>
              <w:tr2bl w:val="nil"/>
            </w:tcBorders>
            <w:vAlign w:val="center"/>
          </w:tcPr>
          <w:p w14:paraId="1C74A4F4">
            <w:pPr>
              <w:jc w:val="center"/>
              <w:rPr>
                <w:rFonts w:ascii="宋体" w:hAnsi="宋体" w:eastAsia="宋体" w:cs="Times New Roman"/>
                <w:szCs w:val="21"/>
              </w:rPr>
            </w:pPr>
            <w:r>
              <w:rPr>
                <w:rFonts w:ascii="宋体" w:hAnsi="宋体" w:eastAsia="宋体" w:cs="Times New Roman"/>
                <w:szCs w:val="21"/>
              </w:rPr>
              <w:t>0.9055</w:t>
            </w:r>
          </w:p>
        </w:tc>
        <w:tc>
          <w:tcPr>
            <w:tcW w:w="3421" w:type="dxa"/>
            <w:tcBorders>
              <w:tl2br w:val="nil"/>
              <w:tr2bl w:val="nil"/>
            </w:tcBorders>
            <w:vAlign w:val="center"/>
          </w:tcPr>
          <w:p w14:paraId="41E8EA53">
            <w:pPr>
              <w:jc w:val="center"/>
              <w:rPr>
                <w:rFonts w:ascii="宋体" w:hAnsi="宋体" w:eastAsia="宋体" w:cs="Times New Roman"/>
                <w:szCs w:val="21"/>
              </w:rPr>
            </w:pPr>
            <w:r>
              <w:rPr>
                <w:rFonts w:ascii="宋体" w:hAnsi="宋体" w:eastAsia="宋体" w:cs="Times New Roman"/>
                <w:szCs w:val="21"/>
              </w:rPr>
              <w:t>0.0453</w:t>
            </w:r>
          </w:p>
        </w:tc>
      </w:tr>
      <w:tr w14:paraId="1C1A72EB">
        <w:tblPrEx>
          <w:tblBorders>
            <w:top w:val="single" w:color="auto" w:sz="12" w:space="0"/>
            <w:left w:val="single" w:color="auto" w:sz="12" w:space="0"/>
            <w:bottom w:val="single" w:color="auto" w:sz="12" w:space="0"/>
            <w:right w:val="single" w:color="auto" w:sz="12" w:space="0"/>
            <w:insideH w:val="single" w:color="auto" w:sz="2" w:space="0"/>
            <w:insideV w:val="single" w:color="auto" w:sz="4" w:space="0"/>
          </w:tblBorders>
          <w:tblCellMar>
            <w:top w:w="0" w:type="dxa"/>
            <w:left w:w="108" w:type="dxa"/>
            <w:bottom w:w="0" w:type="dxa"/>
            <w:right w:w="108" w:type="dxa"/>
          </w:tblCellMar>
        </w:tblPrEx>
        <w:trPr>
          <w:trHeight w:val="288" w:hRule="atLeast"/>
        </w:trPr>
        <w:tc>
          <w:tcPr>
            <w:tcW w:w="0" w:type="auto"/>
            <w:tcBorders>
              <w:tl2br w:val="nil"/>
              <w:tr2bl w:val="nil"/>
            </w:tcBorders>
            <w:vAlign w:val="center"/>
          </w:tcPr>
          <w:p w14:paraId="7E6CE5DB">
            <w:pPr>
              <w:jc w:val="center"/>
              <w:rPr>
                <w:szCs w:val="21"/>
              </w:rPr>
            </w:pPr>
            <w:r>
              <w:rPr>
                <w:rFonts w:ascii="宋体" w:hAnsi="宋体"/>
                <w:szCs w:val="21"/>
              </w:rPr>
              <w:t>13000.0</w:t>
            </w:r>
          </w:p>
        </w:tc>
        <w:tc>
          <w:tcPr>
            <w:tcW w:w="3060" w:type="dxa"/>
            <w:tcBorders>
              <w:tl2br w:val="nil"/>
              <w:tr2bl w:val="nil"/>
            </w:tcBorders>
            <w:vAlign w:val="center"/>
          </w:tcPr>
          <w:p w14:paraId="32BB0576">
            <w:pPr>
              <w:jc w:val="center"/>
              <w:rPr>
                <w:rFonts w:ascii="宋体" w:hAnsi="宋体" w:eastAsia="宋体" w:cs="Times New Roman"/>
                <w:szCs w:val="21"/>
              </w:rPr>
            </w:pPr>
            <w:r>
              <w:rPr>
                <w:rFonts w:ascii="宋体" w:hAnsi="宋体" w:eastAsia="宋体" w:cs="Times New Roman"/>
                <w:szCs w:val="21"/>
              </w:rPr>
              <w:t>0.8132</w:t>
            </w:r>
          </w:p>
        </w:tc>
        <w:tc>
          <w:tcPr>
            <w:tcW w:w="3421" w:type="dxa"/>
            <w:tcBorders>
              <w:tl2br w:val="nil"/>
              <w:tr2bl w:val="nil"/>
            </w:tcBorders>
            <w:vAlign w:val="center"/>
          </w:tcPr>
          <w:p w14:paraId="4BCD3FEE">
            <w:pPr>
              <w:jc w:val="center"/>
              <w:rPr>
                <w:rFonts w:ascii="宋体" w:hAnsi="宋体" w:eastAsia="宋体" w:cs="Times New Roman"/>
                <w:szCs w:val="21"/>
              </w:rPr>
            </w:pPr>
            <w:r>
              <w:rPr>
                <w:rFonts w:ascii="宋体" w:hAnsi="宋体" w:eastAsia="宋体" w:cs="Times New Roman"/>
                <w:szCs w:val="21"/>
              </w:rPr>
              <w:t>0.0407</w:t>
            </w:r>
          </w:p>
        </w:tc>
      </w:tr>
      <w:tr w14:paraId="7CF505C1">
        <w:tblPrEx>
          <w:tblBorders>
            <w:top w:val="single" w:color="auto" w:sz="12" w:space="0"/>
            <w:left w:val="single" w:color="auto" w:sz="12" w:space="0"/>
            <w:bottom w:val="single" w:color="auto" w:sz="12" w:space="0"/>
            <w:right w:val="single" w:color="auto" w:sz="12" w:space="0"/>
            <w:insideH w:val="single" w:color="auto" w:sz="2" w:space="0"/>
            <w:insideV w:val="single" w:color="auto" w:sz="4" w:space="0"/>
          </w:tblBorders>
          <w:tblCellMar>
            <w:top w:w="0" w:type="dxa"/>
            <w:left w:w="108" w:type="dxa"/>
            <w:bottom w:w="0" w:type="dxa"/>
            <w:right w:w="108" w:type="dxa"/>
          </w:tblCellMar>
        </w:tblPrEx>
        <w:trPr>
          <w:trHeight w:val="288" w:hRule="atLeast"/>
        </w:trPr>
        <w:tc>
          <w:tcPr>
            <w:tcW w:w="0" w:type="auto"/>
            <w:tcBorders>
              <w:tl2br w:val="nil"/>
              <w:tr2bl w:val="nil"/>
            </w:tcBorders>
            <w:vAlign w:val="center"/>
          </w:tcPr>
          <w:p w14:paraId="3DB75299">
            <w:pPr>
              <w:jc w:val="center"/>
              <w:rPr>
                <w:szCs w:val="21"/>
              </w:rPr>
            </w:pPr>
            <w:r>
              <w:rPr>
                <w:rFonts w:ascii="宋体" w:hAnsi="宋体"/>
                <w:szCs w:val="21"/>
              </w:rPr>
              <w:t>14000.0</w:t>
            </w:r>
          </w:p>
        </w:tc>
        <w:tc>
          <w:tcPr>
            <w:tcW w:w="3060" w:type="dxa"/>
            <w:tcBorders>
              <w:tl2br w:val="nil"/>
              <w:tr2bl w:val="nil"/>
            </w:tcBorders>
            <w:vAlign w:val="center"/>
          </w:tcPr>
          <w:p w14:paraId="3CE89E62">
            <w:pPr>
              <w:jc w:val="center"/>
              <w:rPr>
                <w:rFonts w:ascii="宋体" w:hAnsi="宋体" w:eastAsia="宋体" w:cs="Times New Roman"/>
                <w:szCs w:val="21"/>
              </w:rPr>
            </w:pPr>
            <w:r>
              <w:rPr>
                <w:rFonts w:ascii="宋体" w:hAnsi="宋体" w:eastAsia="宋体" w:cs="Times New Roman"/>
                <w:szCs w:val="21"/>
              </w:rPr>
              <w:t>0.7361</w:t>
            </w:r>
          </w:p>
        </w:tc>
        <w:tc>
          <w:tcPr>
            <w:tcW w:w="3421" w:type="dxa"/>
            <w:tcBorders>
              <w:tl2br w:val="nil"/>
              <w:tr2bl w:val="nil"/>
            </w:tcBorders>
            <w:vAlign w:val="center"/>
          </w:tcPr>
          <w:p w14:paraId="4310F788">
            <w:pPr>
              <w:jc w:val="center"/>
              <w:rPr>
                <w:rFonts w:ascii="宋体" w:hAnsi="宋体" w:eastAsia="宋体" w:cs="Times New Roman"/>
                <w:szCs w:val="21"/>
              </w:rPr>
            </w:pPr>
            <w:r>
              <w:rPr>
                <w:rFonts w:ascii="宋体" w:hAnsi="宋体" w:eastAsia="宋体" w:cs="Times New Roman"/>
                <w:szCs w:val="21"/>
              </w:rPr>
              <w:t>0.0368</w:t>
            </w:r>
          </w:p>
        </w:tc>
      </w:tr>
      <w:tr w14:paraId="4D194067">
        <w:tblPrEx>
          <w:tblBorders>
            <w:top w:val="single" w:color="auto" w:sz="12" w:space="0"/>
            <w:left w:val="single" w:color="auto" w:sz="12" w:space="0"/>
            <w:bottom w:val="single" w:color="auto" w:sz="12" w:space="0"/>
            <w:right w:val="single" w:color="auto" w:sz="12" w:space="0"/>
            <w:insideH w:val="single" w:color="auto" w:sz="2" w:space="0"/>
            <w:insideV w:val="single" w:color="auto" w:sz="4" w:space="0"/>
          </w:tblBorders>
          <w:tblCellMar>
            <w:top w:w="0" w:type="dxa"/>
            <w:left w:w="108" w:type="dxa"/>
            <w:bottom w:w="0" w:type="dxa"/>
            <w:right w:w="108" w:type="dxa"/>
          </w:tblCellMar>
        </w:tblPrEx>
        <w:trPr>
          <w:trHeight w:val="288" w:hRule="atLeast"/>
        </w:trPr>
        <w:tc>
          <w:tcPr>
            <w:tcW w:w="0" w:type="auto"/>
            <w:tcBorders>
              <w:tl2br w:val="nil"/>
              <w:tr2bl w:val="nil"/>
            </w:tcBorders>
            <w:vAlign w:val="center"/>
          </w:tcPr>
          <w:p w14:paraId="5EEAA5C9">
            <w:pPr>
              <w:jc w:val="center"/>
              <w:rPr>
                <w:szCs w:val="21"/>
              </w:rPr>
            </w:pPr>
            <w:r>
              <w:rPr>
                <w:rFonts w:ascii="宋体" w:hAnsi="宋体"/>
                <w:szCs w:val="21"/>
              </w:rPr>
              <w:t>15000.0</w:t>
            </w:r>
          </w:p>
        </w:tc>
        <w:tc>
          <w:tcPr>
            <w:tcW w:w="3060" w:type="dxa"/>
            <w:tcBorders>
              <w:tl2br w:val="nil"/>
              <w:tr2bl w:val="nil"/>
            </w:tcBorders>
            <w:vAlign w:val="center"/>
          </w:tcPr>
          <w:p w14:paraId="6AE706C7">
            <w:pPr>
              <w:jc w:val="center"/>
              <w:rPr>
                <w:rFonts w:ascii="宋体" w:hAnsi="宋体" w:eastAsia="宋体" w:cs="Times New Roman"/>
                <w:szCs w:val="21"/>
              </w:rPr>
            </w:pPr>
            <w:r>
              <w:rPr>
                <w:rFonts w:ascii="宋体" w:hAnsi="宋体" w:eastAsia="宋体" w:cs="Times New Roman"/>
                <w:szCs w:val="21"/>
              </w:rPr>
              <w:t>0.6709</w:t>
            </w:r>
          </w:p>
        </w:tc>
        <w:tc>
          <w:tcPr>
            <w:tcW w:w="3421" w:type="dxa"/>
            <w:tcBorders>
              <w:tl2br w:val="nil"/>
              <w:tr2bl w:val="nil"/>
            </w:tcBorders>
            <w:vAlign w:val="center"/>
          </w:tcPr>
          <w:p w14:paraId="3BFBFCAD">
            <w:pPr>
              <w:jc w:val="center"/>
              <w:rPr>
                <w:rFonts w:ascii="宋体" w:hAnsi="宋体" w:eastAsia="宋体" w:cs="Times New Roman"/>
                <w:szCs w:val="21"/>
              </w:rPr>
            </w:pPr>
            <w:r>
              <w:rPr>
                <w:rFonts w:ascii="宋体" w:hAnsi="宋体" w:eastAsia="宋体" w:cs="Times New Roman"/>
                <w:szCs w:val="21"/>
              </w:rPr>
              <w:t>0.0335</w:t>
            </w:r>
          </w:p>
        </w:tc>
      </w:tr>
      <w:tr w14:paraId="1EF85A5A">
        <w:tblPrEx>
          <w:tblBorders>
            <w:top w:val="single" w:color="auto" w:sz="12" w:space="0"/>
            <w:left w:val="single" w:color="auto" w:sz="12" w:space="0"/>
            <w:bottom w:val="single" w:color="auto" w:sz="12" w:space="0"/>
            <w:right w:val="single" w:color="auto" w:sz="12" w:space="0"/>
            <w:insideH w:val="single" w:color="auto" w:sz="2" w:space="0"/>
            <w:insideV w:val="single" w:color="auto" w:sz="4" w:space="0"/>
          </w:tblBorders>
          <w:tblCellMar>
            <w:top w:w="0" w:type="dxa"/>
            <w:left w:w="108" w:type="dxa"/>
            <w:bottom w:w="0" w:type="dxa"/>
            <w:right w:w="108" w:type="dxa"/>
          </w:tblCellMar>
        </w:tblPrEx>
        <w:trPr>
          <w:trHeight w:val="288" w:hRule="atLeast"/>
        </w:trPr>
        <w:tc>
          <w:tcPr>
            <w:tcW w:w="0" w:type="auto"/>
            <w:tcBorders>
              <w:tl2br w:val="nil"/>
              <w:tr2bl w:val="nil"/>
            </w:tcBorders>
            <w:vAlign w:val="center"/>
          </w:tcPr>
          <w:p w14:paraId="5CC89B2A">
            <w:pPr>
              <w:jc w:val="center"/>
              <w:rPr>
                <w:szCs w:val="21"/>
              </w:rPr>
            </w:pPr>
            <w:r>
              <w:rPr>
                <w:rFonts w:ascii="宋体" w:hAnsi="宋体"/>
                <w:szCs w:val="21"/>
              </w:rPr>
              <w:t>20000.0</w:t>
            </w:r>
          </w:p>
        </w:tc>
        <w:tc>
          <w:tcPr>
            <w:tcW w:w="3060" w:type="dxa"/>
            <w:tcBorders>
              <w:tl2br w:val="nil"/>
              <w:tr2bl w:val="nil"/>
            </w:tcBorders>
            <w:vAlign w:val="center"/>
          </w:tcPr>
          <w:p w14:paraId="16F57BBE">
            <w:pPr>
              <w:jc w:val="center"/>
              <w:rPr>
                <w:rFonts w:ascii="宋体" w:hAnsi="宋体" w:eastAsia="宋体" w:cs="Times New Roman"/>
                <w:szCs w:val="21"/>
              </w:rPr>
            </w:pPr>
            <w:r>
              <w:rPr>
                <w:rFonts w:ascii="宋体" w:hAnsi="宋体" w:eastAsia="宋体" w:cs="Times New Roman"/>
                <w:szCs w:val="21"/>
              </w:rPr>
              <w:t>0.4554</w:t>
            </w:r>
          </w:p>
        </w:tc>
        <w:tc>
          <w:tcPr>
            <w:tcW w:w="3421" w:type="dxa"/>
            <w:tcBorders>
              <w:tl2br w:val="nil"/>
              <w:tr2bl w:val="nil"/>
            </w:tcBorders>
            <w:vAlign w:val="center"/>
          </w:tcPr>
          <w:p w14:paraId="6298E790">
            <w:pPr>
              <w:jc w:val="center"/>
              <w:rPr>
                <w:rFonts w:ascii="宋体" w:hAnsi="宋体" w:eastAsia="宋体" w:cs="Times New Roman"/>
                <w:szCs w:val="21"/>
              </w:rPr>
            </w:pPr>
            <w:r>
              <w:rPr>
                <w:rFonts w:ascii="宋体" w:hAnsi="宋体" w:eastAsia="宋体" w:cs="Times New Roman"/>
                <w:szCs w:val="21"/>
              </w:rPr>
              <w:t>0.0228</w:t>
            </w:r>
          </w:p>
        </w:tc>
      </w:tr>
      <w:tr w14:paraId="1F613E72">
        <w:tblPrEx>
          <w:tblBorders>
            <w:top w:val="single" w:color="auto" w:sz="12" w:space="0"/>
            <w:left w:val="single" w:color="auto" w:sz="12" w:space="0"/>
            <w:bottom w:val="single" w:color="auto" w:sz="12" w:space="0"/>
            <w:right w:val="single" w:color="auto" w:sz="12" w:space="0"/>
            <w:insideH w:val="single" w:color="auto" w:sz="2" w:space="0"/>
            <w:insideV w:val="single" w:color="auto" w:sz="4" w:space="0"/>
          </w:tblBorders>
          <w:tblCellMar>
            <w:top w:w="0" w:type="dxa"/>
            <w:left w:w="108" w:type="dxa"/>
            <w:bottom w:w="0" w:type="dxa"/>
            <w:right w:w="108" w:type="dxa"/>
          </w:tblCellMar>
        </w:tblPrEx>
        <w:trPr>
          <w:trHeight w:val="288" w:hRule="atLeast"/>
        </w:trPr>
        <w:tc>
          <w:tcPr>
            <w:tcW w:w="0" w:type="auto"/>
            <w:tcBorders>
              <w:tl2br w:val="nil"/>
              <w:tr2bl w:val="nil"/>
            </w:tcBorders>
            <w:vAlign w:val="center"/>
          </w:tcPr>
          <w:p w14:paraId="38AEFCC5">
            <w:pPr>
              <w:jc w:val="center"/>
              <w:rPr>
                <w:szCs w:val="21"/>
              </w:rPr>
            </w:pPr>
            <w:r>
              <w:rPr>
                <w:rFonts w:ascii="宋体" w:hAnsi="宋体"/>
                <w:szCs w:val="21"/>
              </w:rPr>
              <w:t>25000.0</w:t>
            </w:r>
          </w:p>
        </w:tc>
        <w:tc>
          <w:tcPr>
            <w:tcW w:w="3060" w:type="dxa"/>
            <w:tcBorders>
              <w:tl2br w:val="nil"/>
              <w:tr2bl w:val="nil"/>
            </w:tcBorders>
            <w:vAlign w:val="center"/>
          </w:tcPr>
          <w:p w14:paraId="2C23F5BF">
            <w:pPr>
              <w:jc w:val="center"/>
              <w:rPr>
                <w:rFonts w:ascii="宋体" w:hAnsi="宋体" w:eastAsia="宋体" w:cs="Times New Roman"/>
                <w:szCs w:val="21"/>
              </w:rPr>
            </w:pPr>
            <w:r>
              <w:rPr>
                <w:rFonts w:ascii="宋体" w:hAnsi="宋体" w:eastAsia="宋体" w:cs="Times New Roman"/>
                <w:szCs w:val="21"/>
              </w:rPr>
              <w:t>0.3371</w:t>
            </w:r>
          </w:p>
        </w:tc>
        <w:tc>
          <w:tcPr>
            <w:tcW w:w="3421" w:type="dxa"/>
            <w:tcBorders>
              <w:tl2br w:val="nil"/>
              <w:tr2bl w:val="nil"/>
            </w:tcBorders>
            <w:vAlign w:val="center"/>
          </w:tcPr>
          <w:p w14:paraId="7A97749A">
            <w:pPr>
              <w:jc w:val="center"/>
              <w:rPr>
                <w:rFonts w:ascii="宋体" w:hAnsi="宋体" w:eastAsia="宋体" w:cs="Times New Roman"/>
                <w:szCs w:val="21"/>
              </w:rPr>
            </w:pPr>
            <w:r>
              <w:rPr>
                <w:rFonts w:ascii="宋体" w:hAnsi="宋体" w:eastAsia="宋体" w:cs="Times New Roman"/>
                <w:szCs w:val="21"/>
              </w:rPr>
              <w:t>0.0169</w:t>
            </w:r>
          </w:p>
        </w:tc>
      </w:tr>
      <w:tr w14:paraId="34232AA9">
        <w:tblPrEx>
          <w:tblBorders>
            <w:top w:val="single" w:color="auto" w:sz="12" w:space="0"/>
            <w:left w:val="single" w:color="auto" w:sz="12" w:space="0"/>
            <w:bottom w:val="single" w:color="auto" w:sz="12" w:space="0"/>
            <w:right w:val="single" w:color="auto" w:sz="12" w:space="0"/>
            <w:insideH w:val="single" w:color="auto" w:sz="2" w:space="0"/>
            <w:insideV w:val="single" w:color="auto" w:sz="4" w:space="0"/>
          </w:tblBorders>
          <w:tblCellMar>
            <w:top w:w="0" w:type="dxa"/>
            <w:left w:w="108" w:type="dxa"/>
            <w:bottom w:w="0" w:type="dxa"/>
            <w:right w:w="108" w:type="dxa"/>
          </w:tblCellMar>
        </w:tblPrEx>
        <w:trPr>
          <w:trHeight w:val="288" w:hRule="atLeast"/>
        </w:trPr>
        <w:tc>
          <w:tcPr>
            <w:tcW w:w="0" w:type="auto"/>
            <w:tcBorders>
              <w:tl2br w:val="nil"/>
              <w:tr2bl w:val="nil"/>
            </w:tcBorders>
            <w:vAlign w:val="center"/>
          </w:tcPr>
          <w:p w14:paraId="70A550AF">
            <w:pPr>
              <w:jc w:val="center"/>
              <w:rPr>
                <w:szCs w:val="21"/>
              </w:rPr>
            </w:pPr>
            <w:r>
              <w:rPr>
                <w:rFonts w:ascii="宋体" w:hAnsi="宋体"/>
                <w:szCs w:val="21"/>
              </w:rPr>
              <w:t>下风向最大浓度</w:t>
            </w:r>
          </w:p>
        </w:tc>
        <w:tc>
          <w:tcPr>
            <w:tcW w:w="3060" w:type="dxa"/>
            <w:tcBorders>
              <w:tl2br w:val="nil"/>
              <w:tr2bl w:val="nil"/>
            </w:tcBorders>
            <w:vAlign w:val="center"/>
          </w:tcPr>
          <w:p w14:paraId="11154F66">
            <w:pPr>
              <w:jc w:val="center"/>
              <w:rPr>
                <w:rFonts w:ascii="宋体" w:hAnsi="宋体" w:eastAsia="宋体" w:cs="Times New Roman"/>
                <w:szCs w:val="21"/>
              </w:rPr>
            </w:pPr>
            <w:r>
              <w:rPr>
                <w:rFonts w:ascii="宋体" w:hAnsi="宋体" w:eastAsia="宋体" w:cs="Times New Roman"/>
                <w:szCs w:val="21"/>
              </w:rPr>
              <w:t>183.6900</w:t>
            </w:r>
          </w:p>
        </w:tc>
        <w:tc>
          <w:tcPr>
            <w:tcW w:w="3421" w:type="dxa"/>
            <w:tcBorders>
              <w:tl2br w:val="nil"/>
              <w:tr2bl w:val="nil"/>
            </w:tcBorders>
            <w:vAlign w:val="center"/>
          </w:tcPr>
          <w:p w14:paraId="7993BF69">
            <w:pPr>
              <w:jc w:val="center"/>
              <w:rPr>
                <w:rFonts w:ascii="宋体" w:hAnsi="宋体" w:eastAsia="宋体" w:cs="Times New Roman"/>
                <w:szCs w:val="21"/>
              </w:rPr>
            </w:pPr>
            <w:r>
              <w:rPr>
                <w:rFonts w:ascii="宋体" w:hAnsi="宋体" w:eastAsia="宋体" w:cs="Times New Roman"/>
                <w:szCs w:val="21"/>
              </w:rPr>
              <w:t>9.1845</w:t>
            </w:r>
          </w:p>
        </w:tc>
      </w:tr>
      <w:tr w14:paraId="31B55E7C">
        <w:tblPrEx>
          <w:tblBorders>
            <w:top w:val="single" w:color="auto" w:sz="12" w:space="0"/>
            <w:left w:val="single" w:color="auto" w:sz="12" w:space="0"/>
            <w:bottom w:val="single" w:color="auto" w:sz="12" w:space="0"/>
            <w:right w:val="single" w:color="auto" w:sz="12" w:space="0"/>
            <w:insideH w:val="single" w:color="auto" w:sz="2" w:space="0"/>
            <w:insideV w:val="single" w:color="auto" w:sz="4" w:space="0"/>
          </w:tblBorders>
          <w:tblCellMar>
            <w:top w:w="0" w:type="dxa"/>
            <w:left w:w="108" w:type="dxa"/>
            <w:bottom w:w="0" w:type="dxa"/>
            <w:right w:w="108" w:type="dxa"/>
          </w:tblCellMar>
        </w:tblPrEx>
        <w:trPr>
          <w:trHeight w:val="288" w:hRule="atLeast"/>
        </w:trPr>
        <w:tc>
          <w:tcPr>
            <w:tcW w:w="0" w:type="auto"/>
            <w:tcBorders>
              <w:tl2br w:val="nil"/>
              <w:tr2bl w:val="nil"/>
            </w:tcBorders>
            <w:vAlign w:val="center"/>
          </w:tcPr>
          <w:p w14:paraId="442877A0">
            <w:pPr>
              <w:jc w:val="center"/>
              <w:rPr>
                <w:szCs w:val="21"/>
              </w:rPr>
            </w:pPr>
            <w:r>
              <w:rPr>
                <w:rFonts w:ascii="宋体" w:hAnsi="宋体"/>
                <w:szCs w:val="21"/>
              </w:rPr>
              <w:t>下风向最大浓度出现距离</w:t>
            </w:r>
          </w:p>
        </w:tc>
        <w:tc>
          <w:tcPr>
            <w:tcW w:w="3060" w:type="dxa"/>
            <w:tcBorders>
              <w:tl2br w:val="nil"/>
              <w:tr2bl w:val="nil"/>
            </w:tcBorders>
            <w:vAlign w:val="center"/>
          </w:tcPr>
          <w:p w14:paraId="5F8213FC">
            <w:pPr>
              <w:jc w:val="center"/>
              <w:rPr>
                <w:rFonts w:ascii="宋体" w:hAnsi="宋体" w:eastAsia="宋体" w:cs="Times New Roman"/>
                <w:szCs w:val="21"/>
              </w:rPr>
            </w:pPr>
            <w:r>
              <w:rPr>
                <w:rFonts w:ascii="宋体" w:hAnsi="宋体" w:eastAsia="宋体" w:cs="Times New Roman"/>
                <w:szCs w:val="21"/>
              </w:rPr>
              <w:t>30.0</w:t>
            </w:r>
          </w:p>
        </w:tc>
        <w:tc>
          <w:tcPr>
            <w:tcW w:w="3421" w:type="dxa"/>
            <w:tcBorders>
              <w:tl2br w:val="nil"/>
              <w:tr2bl w:val="nil"/>
            </w:tcBorders>
            <w:vAlign w:val="center"/>
          </w:tcPr>
          <w:p w14:paraId="1C4582BD">
            <w:pPr>
              <w:jc w:val="center"/>
              <w:rPr>
                <w:rFonts w:ascii="宋体" w:hAnsi="宋体" w:eastAsia="宋体" w:cs="Times New Roman"/>
                <w:szCs w:val="21"/>
              </w:rPr>
            </w:pPr>
            <w:r>
              <w:rPr>
                <w:rFonts w:ascii="宋体" w:hAnsi="宋体" w:eastAsia="宋体" w:cs="Times New Roman"/>
                <w:szCs w:val="21"/>
              </w:rPr>
              <w:t>30.0</w:t>
            </w:r>
          </w:p>
        </w:tc>
      </w:tr>
      <w:tr w14:paraId="7C7078B6">
        <w:tblPrEx>
          <w:tblBorders>
            <w:top w:val="single" w:color="auto" w:sz="12" w:space="0"/>
            <w:left w:val="single" w:color="auto" w:sz="12" w:space="0"/>
            <w:bottom w:val="single" w:color="auto" w:sz="12" w:space="0"/>
            <w:right w:val="single" w:color="auto" w:sz="12" w:space="0"/>
            <w:insideH w:val="single" w:color="auto" w:sz="2" w:space="0"/>
            <w:insideV w:val="single" w:color="auto" w:sz="4" w:space="0"/>
          </w:tblBorders>
          <w:tblCellMar>
            <w:top w:w="0" w:type="dxa"/>
            <w:left w:w="108" w:type="dxa"/>
            <w:bottom w:w="0" w:type="dxa"/>
            <w:right w:w="108" w:type="dxa"/>
          </w:tblCellMar>
        </w:tblPrEx>
        <w:trPr>
          <w:trHeight w:val="349" w:hRule="atLeast"/>
        </w:trPr>
        <w:tc>
          <w:tcPr>
            <w:tcW w:w="0" w:type="auto"/>
            <w:tcBorders>
              <w:tl2br w:val="nil"/>
              <w:tr2bl w:val="nil"/>
            </w:tcBorders>
            <w:vAlign w:val="center"/>
          </w:tcPr>
          <w:p w14:paraId="15F67C03">
            <w:pPr>
              <w:jc w:val="center"/>
              <w:rPr>
                <w:szCs w:val="21"/>
              </w:rPr>
            </w:pPr>
            <w:r>
              <w:rPr>
                <w:rFonts w:ascii="宋体" w:hAnsi="宋体"/>
                <w:szCs w:val="21"/>
              </w:rPr>
              <w:t>D10%最远距离</w:t>
            </w:r>
          </w:p>
        </w:tc>
        <w:tc>
          <w:tcPr>
            <w:tcW w:w="3060" w:type="dxa"/>
            <w:tcBorders>
              <w:tl2br w:val="nil"/>
              <w:tr2bl w:val="nil"/>
            </w:tcBorders>
            <w:vAlign w:val="center"/>
          </w:tcPr>
          <w:p w14:paraId="2C004513">
            <w:pPr>
              <w:jc w:val="center"/>
              <w:rPr>
                <w:szCs w:val="21"/>
              </w:rPr>
            </w:pPr>
            <w:r>
              <w:rPr>
                <w:rFonts w:ascii="宋体" w:hAnsi="宋体"/>
                <w:szCs w:val="21"/>
              </w:rPr>
              <w:t>/</w:t>
            </w:r>
          </w:p>
        </w:tc>
        <w:tc>
          <w:tcPr>
            <w:tcW w:w="3421" w:type="dxa"/>
            <w:tcBorders>
              <w:tl2br w:val="nil"/>
              <w:tr2bl w:val="nil"/>
            </w:tcBorders>
            <w:vAlign w:val="center"/>
          </w:tcPr>
          <w:p w14:paraId="2166B668">
            <w:pPr>
              <w:jc w:val="center"/>
              <w:rPr>
                <w:szCs w:val="21"/>
              </w:rPr>
            </w:pPr>
            <w:r>
              <w:rPr>
                <w:rFonts w:ascii="宋体" w:hAnsi="宋体"/>
                <w:szCs w:val="21"/>
              </w:rPr>
              <w:t>/</w:t>
            </w:r>
          </w:p>
        </w:tc>
      </w:tr>
    </w:tbl>
    <w:p w14:paraId="28EB94E0">
      <w:pPr>
        <w:widowControl/>
        <w:spacing w:line="360" w:lineRule="auto"/>
        <w:ind w:firstLine="480" w:firstLineChars="200"/>
        <w:rPr>
          <w:rFonts w:hint="eastAsia"/>
          <w:color w:val="000000"/>
          <w:sz w:val="24"/>
        </w:rPr>
      </w:pPr>
      <w:r>
        <w:rPr>
          <w:color w:val="000000"/>
          <w:sz w:val="24"/>
        </w:rPr>
        <w:t>由表</w:t>
      </w:r>
      <w:r>
        <w:rPr>
          <w:rFonts w:hint="eastAsia"/>
          <w:color w:val="000000"/>
          <w:sz w:val="24"/>
        </w:rPr>
        <w:t>5.2</w:t>
      </w:r>
      <w:r>
        <w:rPr>
          <w:color w:val="000000"/>
          <w:sz w:val="24"/>
        </w:rPr>
        <w:t>-</w:t>
      </w:r>
      <w:r>
        <w:rPr>
          <w:rFonts w:hint="eastAsia"/>
          <w:color w:val="000000"/>
          <w:sz w:val="24"/>
          <w:lang w:val="en-US" w:eastAsia="zh-CN"/>
        </w:rPr>
        <w:t>8</w:t>
      </w:r>
      <w:r>
        <w:rPr>
          <w:rFonts w:hint="eastAsia"/>
          <w:color w:val="000000"/>
          <w:sz w:val="24"/>
        </w:rPr>
        <w:t>、5.2-</w:t>
      </w:r>
      <w:r>
        <w:rPr>
          <w:rFonts w:hint="eastAsia"/>
          <w:color w:val="000000"/>
          <w:sz w:val="24"/>
          <w:lang w:val="en-US" w:eastAsia="zh-CN"/>
        </w:rPr>
        <w:t>9</w:t>
      </w:r>
      <w:r>
        <w:rPr>
          <w:color w:val="000000"/>
          <w:sz w:val="24"/>
        </w:rPr>
        <w:t>可知，</w:t>
      </w:r>
      <w:r>
        <w:rPr>
          <w:rFonts w:hint="eastAsia"/>
          <w:color w:val="000000"/>
          <w:sz w:val="24"/>
        </w:rPr>
        <w:t>正常排放下，有组织排放源中：DA001</w:t>
      </w:r>
      <w:r>
        <w:rPr>
          <w:color w:val="000000"/>
          <w:sz w:val="24"/>
        </w:rPr>
        <w:t>非甲烷总烃</w:t>
      </w:r>
      <w:r>
        <w:rPr>
          <w:rFonts w:hint="eastAsia"/>
          <w:color w:val="000000"/>
          <w:sz w:val="24"/>
        </w:rPr>
        <w:t>下风向最</w:t>
      </w:r>
      <w:r>
        <w:rPr>
          <w:color w:val="000000"/>
          <w:sz w:val="24"/>
        </w:rPr>
        <w:t>大落地浓度为</w:t>
      </w:r>
      <w:r>
        <w:rPr>
          <w:rFonts w:hint="eastAsia"/>
          <w:color w:val="000000"/>
          <w:sz w:val="24"/>
          <w:lang w:val="en-US" w:eastAsia="zh-CN"/>
        </w:rPr>
        <w:t>43.8230</w:t>
      </w:r>
      <w:r>
        <w:rPr>
          <w:color w:val="000000"/>
          <w:sz w:val="24"/>
        </w:rPr>
        <w:t>μ</w:t>
      </w:r>
      <w:r>
        <w:rPr>
          <w:rFonts w:hint="eastAsia"/>
          <w:color w:val="000000"/>
          <w:sz w:val="24"/>
        </w:rPr>
        <w:t>g</w:t>
      </w:r>
      <w:r>
        <w:rPr>
          <w:color w:val="000000"/>
          <w:sz w:val="24"/>
        </w:rPr>
        <w:t>/m</w:t>
      </w:r>
      <w:r>
        <w:rPr>
          <w:color w:val="000000"/>
          <w:sz w:val="24"/>
          <w:vertAlign w:val="superscript"/>
        </w:rPr>
        <w:t>3</w:t>
      </w:r>
      <w:r>
        <w:rPr>
          <w:rFonts w:hint="eastAsia"/>
          <w:color w:val="000000"/>
          <w:sz w:val="24"/>
        </w:rPr>
        <w:t>、占标率为</w:t>
      </w:r>
      <w:r>
        <w:rPr>
          <w:rFonts w:hint="eastAsia"/>
          <w:color w:val="000000"/>
          <w:sz w:val="24"/>
          <w:lang w:val="en-US" w:eastAsia="zh-CN"/>
        </w:rPr>
        <w:t>2.1911</w:t>
      </w:r>
      <w:r>
        <w:rPr>
          <w:rFonts w:hint="eastAsia"/>
          <w:color w:val="000000"/>
          <w:sz w:val="24"/>
        </w:rPr>
        <w:t>%、对应</w:t>
      </w:r>
      <w:r>
        <w:rPr>
          <w:color w:val="000000"/>
          <w:sz w:val="24"/>
        </w:rPr>
        <w:t>下风向最大浓度出现距离</w:t>
      </w:r>
      <w:r>
        <w:rPr>
          <w:rFonts w:hint="eastAsia"/>
          <w:color w:val="000000"/>
          <w:sz w:val="24"/>
        </w:rPr>
        <w:t>为</w:t>
      </w:r>
      <w:r>
        <w:rPr>
          <w:rFonts w:hint="eastAsia"/>
          <w:color w:val="000000"/>
          <w:sz w:val="24"/>
          <w:lang w:val="en-US" w:eastAsia="zh-CN"/>
        </w:rPr>
        <w:t>155</w:t>
      </w:r>
      <w:r>
        <w:rPr>
          <w:rFonts w:hint="eastAsia"/>
          <w:color w:val="000000"/>
          <w:sz w:val="24"/>
        </w:rPr>
        <w:t>m；无组织排放源中：生产车间非甲烷总烃下风向最</w:t>
      </w:r>
      <w:r>
        <w:rPr>
          <w:color w:val="000000"/>
          <w:sz w:val="24"/>
        </w:rPr>
        <w:t>大落地浓度为</w:t>
      </w:r>
      <w:r>
        <w:rPr>
          <w:rFonts w:hint="eastAsia"/>
          <w:color w:val="000000"/>
          <w:sz w:val="24"/>
        </w:rPr>
        <w:t>183.6900</w:t>
      </w:r>
      <w:r>
        <w:rPr>
          <w:color w:val="000000"/>
          <w:sz w:val="24"/>
        </w:rPr>
        <w:t>μ</w:t>
      </w:r>
      <w:r>
        <w:rPr>
          <w:rFonts w:hint="eastAsia"/>
          <w:color w:val="000000"/>
          <w:sz w:val="24"/>
        </w:rPr>
        <w:t>g</w:t>
      </w:r>
      <w:r>
        <w:rPr>
          <w:color w:val="000000"/>
          <w:sz w:val="24"/>
        </w:rPr>
        <w:t>/m</w:t>
      </w:r>
      <w:r>
        <w:rPr>
          <w:color w:val="000000"/>
          <w:sz w:val="24"/>
          <w:vertAlign w:val="superscript"/>
        </w:rPr>
        <w:t>3</w:t>
      </w:r>
      <w:r>
        <w:rPr>
          <w:rFonts w:hint="eastAsia"/>
          <w:color w:val="000000"/>
          <w:sz w:val="24"/>
        </w:rPr>
        <w:t>、占标率为</w:t>
      </w:r>
      <w:r>
        <w:rPr>
          <w:rFonts w:hint="eastAsia"/>
          <w:color w:val="000000"/>
          <w:sz w:val="24"/>
          <w:lang w:val="en-US" w:eastAsia="zh-CN"/>
        </w:rPr>
        <w:t>9.1845</w:t>
      </w:r>
      <w:r>
        <w:rPr>
          <w:rFonts w:hint="eastAsia"/>
          <w:color w:val="000000"/>
          <w:sz w:val="24"/>
        </w:rPr>
        <w:t>%、对应</w:t>
      </w:r>
      <w:r>
        <w:rPr>
          <w:color w:val="000000"/>
          <w:sz w:val="24"/>
        </w:rPr>
        <w:t>下风向最大浓度出现距离</w:t>
      </w:r>
      <w:r>
        <w:rPr>
          <w:rFonts w:hint="eastAsia"/>
          <w:color w:val="000000"/>
          <w:sz w:val="24"/>
        </w:rPr>
        <w:t>为</w:t>
      </w:r>
      <w:r>
        <w:rPr>
          <w:rFonts w:hint="eastAsia"/>
          <w:color w:val="000000"/>
          <w:sz w:val="24"/>
          <w:lang w:val="en-US" w:eastAsia="zh-CN"/>
        </w:rPr>
        <w:t>30</w:t>
      </w:r>
      <w:r>
        <w:rPr>
          <w:rFonts w:hint="eastAsia"/>
          <w:color w:val="000000"/>
          <w:sz w:val="24"/>
        </w:rPr>
        <w:t>m</w:t>
      </w:r>
      <w:r>
        <w:rPr>
          <w:rFonts w:hint="eastAsia"/>
          <w:color w:val="000000"/>
          <w:sz w:val="24"/>
          <w:lang w:eastAsia="zh-CN"/>
        </w:rPr>
        <w:t>。</w:t>
      </w:r>
      <w:r>
        <w:rPr>
          <w:rFonts w:hint="eastAsia"/>
          <w:color w:val="000000"/>
          <w:sz w:val="24"/>
        </w:rPr>
        <w:t>项目非甲烷总烃最大落地浓度均能够达到《大气污染物综合排放标准详解》中的非甲烷总烃质量标准要求。</w:t>
      </w:r>
    </w:p>
    <w:p w14:paraId="480A007C">
      <w:pPr>
        <w:widowControl/>
        <w:spacing w:line="360" w:lineRule="auto"/>
        <w:ind w:firstLine="480" w:firstLineChars="200"/>
        <w:rPr>
          <w:rFonts w:hint="eastAsia"/>
          <w:color w:val="000000"/>
          <w:sz w:val="24"/>
        </w:rPr>
      </w:pPr>
      <w:r>
        <w:rPr>
          <w:rFonts w:hint="eastAsia"/>
          <w:color w:val="000000"/>
          <w:sz w:val="24"/>
        </w:rPr>
        <w:t>根据《环境影响评价技术导则˙大气环境》（HJ2.2-2018）分级判据，确定本项目大气环境影响评价工作等级为二级。</w:t>
      </w:r>
    </w:p>
    <w:p w14:paraId="38A5BA4B">
      <w:pPr>
        <w:widowControl/>
        <w:spacing w:line="360" w:lineRule="auto"/>
        <w:ind w:firstLine="480" w:firstLineChars="200"/>
        <w:rPr>
          <w:color w:val="000000"/>
          <w:sz w:val="24"/>
        </w:rPr>
      </w:pPr>
      <w:r>
        <w:rPr>
          <w:color w:val="000000"/>
          <w:sz w:val="24"/>
        </w:rPr>
        <w:t>根据环境</w:t>
      </w:r>
      <w:r>
        <w:rPr>
          <w:rFonts w:hint="eastAsia"/>
          <w:color w:val="000000"/>
          <w:sz w:val="24"/>
        </w:rPr>
        <w:t>空气质量评价分析，</w:t>
      </w:r>
      <w:r>
        <w:rPr>
          <w:color w:val="000000"/>
          <w:sz w:val="24"/>
        </w:rPr>
        <w:t>项目所在区域PM</w:t>
      </w:r>
      <w:r>
        <w:rPr>
          <w:color w:val="000000"/>
          <w:sz w:val="24"/>
          <w:vertAlign w:val="subscript"/>
        </w:rPr>
        <w:t>2.5</w:t>
      </w:r>
      <w:r>
        <w:rPr>
          <w:color w:val="000000"/>
          <w:sz w:val="24"/>
        </w:rPr>
        <w:t>、PM</w:t>
      </w:r>
      <w:r>
        <w:rPr>
          <w:color w:val="000000"/>
          <w:sz w:val="24"/>
          <w:vertAlign w:val="subscript"/>
        </w:rPr>
        <w:t>10</w:t>
      </w:r>
      <w:r>
        <w:rPr>
          <w:color w:val="000000"/>
          <w:sz w:val="24"/>
        </w:rPr>
        <w:t>的年均浓度均超过《环境空气质量标准》（GB3095-2012）的二级标准要求，项目所在区域为不达标区域</w:t>
      </w:r>
      <w:r>
        <w:rPr>
          <w:rFonts w:hint="eastAsia"/>
          <w:color w:val="000000"/>
          <w:sz w:val="24"/>
        </w:rPr>
        <w:t>；</w:t>
      </w:r>
      <w:r>
        <w:rPr>
          <w:color w:val="000000"/>
          <w:sz w:val="24"/>
        </w:rPr>
        <w:t>特征污染物非甲烷总烃监测结果达标</w:t>
      </w:r>
      <w:r>
        <w:rPr>
          <w:rFonts w:hint="eastAsia"/>
          <w:color w:val="000000"/>
          <w:sz w:val="24"/>
        </w:rPr>
        <w:t>；项目区非甲烷总烃最大落地浓度183.6900</w:t>
      </w:r>
      <w:r>
        <w:rPr>
          <w:color w:val="000000"/>
          <w:sz w:val="24"/>
        </w:rPr>
        <w:t>μ</w:t>
      </w:r>
      <w:r>
        <w:rPr>
          <w:rFonts w:hint="eastAsia"/>
          <w:color w:val="000000"/>
          <w:sz w:val="24"/>
        </w:rPr>
        <w:t>g</w:t>
      </w:r>
      <w:r>
        <w:rPr>
          <w:color w:val="000000"/>
          <w:sz w:val="24"/>
        </w:rPr>
        <w:t>/m</w:t>
      </w:r>
      <w:r>
        <w:rPr>
          <w:color w:val="000000"/>
          <w:sz w:val="24"/>
          <w:vertAlign w:val="superscript"/>
        </w:rPr>
        <w:t>3</w:t>
      </w:r>
      <w:r>
        <w:rPr>
          <w:rFonts w:hint="eastAsia"/>
          <w:color w:val="000000"/>
          <w:sz w:val="24"/>
        </w:rPr>
        <w:t>，因此，项目排放非甲烷总烃对项目区非甲烷总烃贡献较小，对项目区</w:t>
      </w:r>
      <w:r>
        <w:rPr>
          <w:rFonts w:hint="eastAsia"/>
          <w:color w:val="000000"/>
          <w:sz w:val="24"/>
          <w:lang w:eastAsia="zh-CN"/>
        </w:rPr>
        <w:t>、</w:t>
      </w:r>
      <w:r>
        <w:rPr>
          <w:rFonts w:hint="eastAsia"/>
          <w:color w:val="000000"/>
          <w:sz w:val="24"/>
        </w:rPr>
        <w:t>周边敏感点处及周围区域环境空气质量影响较小。</w:t>
      </w:r>
    </w:p>
    <w:p w14:paraId="48E8AF02">
      <w:pPr>
        <w:widowControl/>
        <w:spacing w:line="360" w:lineRule="auto"/>
        <w:ind w:firstLine="480" w:firstLineChars="200"/>
        <w:rPr>
          <w:color w:val="000000"/>
          <w:sz w:val="24"/>
          <w:szCs w:val="24"/>
        </w:rPr>
      </w:pPr>
      <w:r>
        <w:rPr>
          <w:rFonts w:hint="eastAsia"/>
          <w:color w:val="000000"/>
          <w:sz w:val="24"/>
          <w:szCs w:val="24"/>
        </w:rPr>
        <w:t>②非正常工况</w:t>
      </w:r>
    </w:p>
    <w:p w14:paraId="335F73C3">
      <w:pPr>
        <w:widowControl/>
        <w:tabs>
          <w:tab w:val="left" w:leader="dot" w:pos="8770"/>
        </w:tabs>
        <w:spacing w:line="360" w:lineRule="auto"/>
        <w:ind w:firstLine="480" w:firstLineChars="200"/>
        <w:rPr>
          <w:rFonts w:hint="eastAsia"/>
          <w:color w:val="000000"/>
          <w:sz w:val="24"/>
          <w:lang w:val="en-US" w:eastAsia="zh-CN"/>
        </w:rPr>
      </w:pPr>
      <w:r>
        <w:rPr>
          <w:rFonts w:hint="eastAsia"/>
          <w:color w:val="000000"/>
          <w:sz w:val="24"/>
        </w:rPr>
        <w:t>结合《环境影响评价技术导则  大气环境》（HJ2.2-2018）要求，非正常排放指非正常工况下的污染物排放，如设备检修、污染物排放控制措施达不到应有效率、工艺设备运转异常等情况下的排放。以上情况属污染物控制措施失效导致污染最为严重，故选取废气处理设施出现故障的情形（废气处理设施处理效率设为0）作为非正常排放。本评价采用估算模式（AERSCREEN）对非正常工况下废气排放情况进行预测。</w:t>
      </w:r>
    </w:p>
    <w:p w14:paraId="28E4CF3E">
      <w:pPr>
        <w:widowControl/>
        <w:tabs>
          <w:tab w:val="left" w:leader="dot" w:pos="8770"/>
        </w:tabs>
        <w:spacing w:line="360" w:lineRule="auto"/>
        <w:ind w:firstLine="480" w:firstLineChars="200"/>
        <w:rPr>
          <w:rFonts w:hint="eastAsia"/>
          <w:color w:val="000000"/>
          <w:sz w:val="24"/>
          <w:lang w:val="en-US" w:eastAsia="zh-CN"/>
        </w:rPr>
      </w:pPr>
      <w:r>
        <w:rPr>
          <w:rFonts w:hint="eastAsia"/>
          <w:color w:val="000000"/>
          <w:sz w:val="24"/>
          <w:lang w:val="en-US" w:eastAsia="zh-CN"/>
        </w:rPr>
        <w:t>a、预测参数</w:t>
      </w:r>
    </w:p>
    <w:p w14:paraId="500BED27">
      <w:pPr>
        <w:widowControl/>
        <w:tabs>
          <w:tab w:val="left" w:leader="dot" w:pos="8770"/>
        </w:tabs>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lang w:eastAsia="zh-CN"/>
        </w:rPr>
        <w:t>非</w:t>
      </w:r>
      <w:r>
        <w:rPr>
          <w:rFonts w:hint="eastAsia" w:ascii="宋体" w:hAnsi="宋体" w:cs="宋体"/>
          <w:color w:val="000000"/>
          <w:sz w:val="24"/>
          <w:szCs w:val="24"/>
        </w:rPr>
        <w:t>正常工况下废气排放源主要参数见表5.2</w:t>
      </w:r>
      <w:r>
        <w:rPr>
          <w:rFonts w:hint="eastAsia" w:ascii="宋体" w:hAnsi="宋体" w:cs="宋体"/>
          <w:color w:val="000000"/>
          <w:sz w:val="24"/>
          <w:szCs w:val="24"/>
          <w:lang w:val="en-US" w:eastAsia="zh-CN"/>
        </w:rPr>
        <w:t>-10</w:t>
      </w:r>
      <w:r>
        <w:rPr>
          <w:rFonts w:hint="eastAsia" w:ascii="宋体" w:hAnsi="宋体" w:cs="宋体"/>
          <w:color w:val="000000"/>
          <w:sz w:val="24"/>
          <w:szCs w:val="24"/>
        </w:rPr>
        <w:t>。</w:t>
      </w:r>
    </w:p>
    <w:p w14:paraId="4F025274">
      <w:pPr>
        <w:pStyle w:val="63"/>
        <w:spacing w:line="240" w:lineRule="auto"/>
        <w:ind w:firstLine="422"/>
        <w:jc w:val="center"/>
        <w:rPr>
          <w:rFonts w:hint="default"/>
          <w:b/>
          <w:bCs w:val="0"/>
          <w:color w:val="auto"/>
          <w:sz w:val="21"/>
          <w:szCs w:val="21"/>
        </w:rPr>
      </w:pPr>
      <w:r>
        <w:rPr>
          <w:rFonts w:hint="eastAsia"/>
          <w:b/>
          <w:bCs/>
          <w:color w:val="000000"/>
          <w:szCs w:val="21"/>
        </w:rPr>
        <w:t>表5.2-</w:t>
      </w:r>
      <w:r>
        <w:rPr>
          <w:rFonts w:hint="eastAsia"/>
          <w:b/>
          <w:bCs/>
          <w:color w:val="000000"/>
          <w:szCs w:val="21"/>
          <w:lang w:val="en-US" w:eastAsia="zh-CN"/>
        </w:rPr>
        <w:t xml:space="preserve">10  </w:t>
      </w:r>
      <w:r>
        <w:rPr>
          <w:rFonts w:hint="eastAsia"/>
          <w:b/>
          <w:bCs/>
          <w:color w:val="000000"/>
          <w:szCs w:val="21"/>
        </w:rPr>
        <w:t xml:space="preserve">  </w:t>
      </w:r>
      <w:r>
        <w:rPr>
          <w:rFonts w:hint="default"/>
          <w:b/>
          <w:bCs w:val="0"/>
          <w:color w:val="auto"/>
          <w:sz w:val="21"/>
          <w:szCs w:val="21"/>
        </w:rPr>
        <w:t>废气排放点源参数（非正常工况下）</w:t>
      </w:r>
    </w:p>
    <w:tbl>
      <w:tblPr>
        <w:tblStyle w:val="49"/>
        <w:tblW w:w="4821"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223"/>
        <w:gridCol w:w="999"/>
        <w:gridCol w:w="999"/>
        <w:gridCol w:w="1145"/>
        <w:gridCol w:w="1097"/>
        <w:gridCol w:w="1084"/>
        <w:gridCol w:w="1410"/>
      </w:tblGrid>
      <w:tr w14:paraId="5C6A2C2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2" w:hRule="atLeast"/>
        </w:trPr>
        <w:tc>
          <w:tcPr>
            <w:tcW w:w="1240" w:type="pct"/>
            <w:tcBorders>
              <w:tl2br w:val="nil"/>
              <w:tr2bl w:val="nil"/>
            </w:tcBorders>
            <w:noWrap w:val="0"/>
            <w:vAlign w:val="center"/>
          </w:tcPr>
          <w:p w14:paraId="4E7F9341">
            <w:pPr>
              <w:keepNext w:val="0"/>
              <w:keepLines w:val="0"/>
              <w:pageBreakBefore w:val="0"/>
              <w:widowControl w:val="0"/>
              <w:kinsoku/>
              <w:wordWrap/>
              <w:overflowPunct/>
              <w:topLinePunct w:val="0"/>
              <w:autoSpaceDE w:val="0"/>
              <w:autoSpaceDN w:val="0"/>
              <w:bidi w:val="0"/>
              <w:adjustRightInd/>
              <w:snapToGrid/>
              <w:spacing w:line="240" w:lineRule="auto"/>
              <w:ind w:left="-42" w:leftChars="-20" w:right="-42" w:rightChars="-20" w:firstLine="0" w:firstLineChars="0"/>
              <w:jc w:val="center"/>
              <w:textAlignment w:val="auto"/>
              <w:rPr>
                <w:color w:val="auto"/>
                <w:sz w:val="21"/>
                <w:szCs w:val="21"/>
              </w:rPr>
            </w:pPr>
            <w:r>
              <w:rPr>
                <w:color w:val="auto"/>
                <w:sz w:val="21"/>
                <w:szCs w:val="21"/>
              </w:rPr>
              <w:t>污染源名称</w:t>
            </w:r>
          </w:p>
        </w:tc>
        <w:tc>
          <w:tcPr>
            <w:tcW w:w="557" w:type="pct"/>
            <w:tcBorders>
              <w:tl2br w:val="nil"/>
              <w:tr2bl w:val="nil"/>
            </w:tcBorders>
            <w:noWrap w:val="0"/>
            <w:vAlign w:val="center"/>
          </w:tcPr>
          <w:p w14:paraId="0995DE4B">
            <w:pPr>
              <w:keepNext w:val="0"/>
              <w:keepLines w:val="0"/>
              <w:pageBreakBefore w:val="0"/>
              <w:widowControl w:val="0"/>
              <w:kinsoku/>
              <w:wordWrap/>
              <w:overflowPunct/>
              <w:topLinePunct w:val="0"/>
              <w:autoSpaceDE w:val="0"/>
              <w:autoSpaceDN w:val="0"/>
              <w:bidi w:val="0"/>
              <w:adjustRightInd/>
              <w:snapToGrid/>
              <w:spacing w:line="240" w:lineRule="auto"/>
              <w:ind w:left="-42" w:leftChars="-20" w:right="-42" w:rightChars="-20" w:firstLine="0" w:firstLineChars="0"/>
              <w:jc w:val="center"/>
              <w:textAlignment w:val="auto"/>
              <w:rPr>
                <w:color w:val="auto"/>
                <w:sz w:val="21"/>
                <w:szCs w:val="21"/>
              </w:rPr>
            </w:pPr>
            <w:r>
              <w:rPr>
                <w:color w:val="auto"/>
                <w:sz w:val="21"/>
                <w:szCs w:val="21"/>
              </w:rPr>
              <w:t>排气量（m</w:t>
            </w:r>
            <w:r>
              <w:rPr>
                <w:color w:val="auto"/>
                <w:sz w:val="21"/>
                <w:szCs w:val="21"/>
                <w:vertAlign w:val="superscript"/>
              </w:rPr>
              <w:t>3</w:t>
            </w:r>
            <w:r>
              <w:rPr>
                <w:color w:val="auto"/>
                <w:sz w:val="21"/>
                <w:szCs w:val="21"/>
              </w:rPr>
              <w:t>/h）</w:t>
            </w:r>
          </w:p>
        </w:tc>
        <w:tc>
          <w:tcPr>
            <w:tcW w:w="557" w:type="pct"/>
            <w:tcBorders>
              <w:tl2br w:val="nil"/>
              <w:tr2bl w:val="nil"/>
            </w:tcBorders>
            <w:noWrap w:val="0"/>
            <w:vAlign w:val="center"/>
          </w:tcPr>
          <w:p w14:paraId="22F26604">
            <w:pPr>
              <w:keepNext w:val="0"/>
              <w:keepLines w:val="0"/>
              <w:pageBreakBefore w:val="0"/>
              <w:widowControl w:val="0"/>
              <w:kinsoku/>
              <w:wordWrap/>
              <w:overflowPunct/>
              <w:topLinePunct w:val="0"/>
              <w:autoSpaceDE w:val="0"/>
              <w:autoSpaceDN w:val="0"/>
              <w:bidi w:val="0"/>
              <w:adjustRightInd/>
              <w:snapToGrid/>
              <w:spacing w:line="240" w:lineRule="auto"/>
              <w:ind w:left="-42" w:leftChars="-20" w:right="-42" w:rightChars="-20" w:firstLine="0" w:firstLineChars="0"/>
              <w:jc w:val="center"/>
              <w:textAlignment w:val="auto"/>
              <w:rPr>
                <w:color w:val="auto"/>
                <w:sz w:val="21"/>
                <w:szCs w:val="21"/>
              </w:rPr>
            </w:pPr>
            <w:r>
              <w:rPr>
                <w:color w:val="auto"/>
                <w:sz w:val="21"/>
                <w:szCs w:val="21"/>
              </w:rPr>
              <w:t>污染物名称</w:t>
            </w:r>
          </w:p>
        </w:tc>
        <w:tc>
          <w:tcPr>
            <w:tcW w:w="639" w:type="pct"/>
            <w:tcBorders>
              <w:tl2br w:val="nil"/>
              <w:tr2bl w:val="nil"/>
            </w:tcBorders>
            <w:noWrap w:val="0"/>
            <w:vAlign w:val="center"/>
          </w:tcPr>
          <w:p w14:paraId="5F823FBA">
            <w:pPr>
              <w:keepNext w:val="0"/>
              <w:keepLines w:val="0"/>
              <w:pageBreakBefore w:val="0"/>
              <w:widowControl w:val="0"/>
              <w:kinsoku/>
              <w:wordWrap/>
              <w:overflowPunct/>
              <w:topLinePunct w:val="0"/>
              <w:autoSpaceDE w:val="0"/>
              <w:autoSpaceDN w:val="0"/>
              <w:bidi w:val="0"/>
              <w:adjustRightInd/>
              <w:snapToGrid/>
              <w:spacing w:line="240" w:lineRule="auto"/>
              <w:ind w:left="-42" w:leftChars="-20" w:right="-42" w:rightChars="-20" w:firstLine="0" w:firstLineChars="0"/>
              <w:jc w:val="center"/>
              <w:textAlignment w:val="auto"/>
              <w:rPr>
                <w:color w:val="auto"/>
                <w:sz w:val="21"/>
                <w:szCs w:val="21"/>
              </w:rPr>
            </w:pPr>
            <w:r>
              <w:rPr>
                <w:color w:val="auto"/>
                <w:sz w:val="21"/>
                <w:szCs w:val="21"/>
              </w:rPr>
              <w:t>排放速率（kg/h）</w:t>
            </w:r>
          </w:p>
        </w:tc>
        <w:tc>
          <w:tcPr>
            <w:tcW w:w="612" w:type="pct"/>
            <w:tcBorders>
              <w:tl2br w:val="nil"/>
              <w:tr2bl w:val="nil"/>
            </w:tcBorders>
            <w:noWrap w:val="0"/>
            <w:vAlign w:val="center"/>
          </w:tcPr>
          <w:p w14:paraId="7BB9069C">
            <w:pPr>
              <w:keepNext w:val="0"/>
              <w:keepLines w:val="0"/>
              <w:pageBreakBefore w:val="0"/>
              <w:widowControl w:val="0"/>
              <w:kinsoku/>
              <w:wordWrap/>
              <w:overflowPunct/>
              <w:topLinePunct w:val="0"/>
              <w:autoSpaceDE w:val="0"/>
              <w:autoSpaceDN w:val="0"/>
              <w:bidi w:val="0"/>
              <w:adjustRightInd/>
              <w:snapToGrid/>
              <w:spacing w:line="240" w:lineRule="auto"/>
              <w:ind w:left="-42" w:leftChars="-20" w:right="-42" w:rightChars="-20" w:firstLine="0" w:firstLineChars="0"/>
              <w:jc w:val="center"/>
              <w:textAlignment w:val="auto"/>
              <w:rPr>
                <w:color w:val="auto"/>
                <w:sz w:val="21"/>
                <w:szCs w:val="21"/>
              </w:rPr>
            </w:pPr>
            <w:r>
              <w:rPr>
                <w:color w:val="auto"/>
                <w:sz w:val="21"/>
                <w:szCs w:val="21"/>
              </w:rPr>
              <w:t>排气筒高度（m）</w:t>
            </w:r>
          </w:p>
        </w:tc>
        <w:tc>
          <w:tcPr>
            <w:tcW w:w="605" w:type="pct"/>
            <w:tcBorders>
              <w:tl2br w:val="nil"/>
              <w:tr2bl w:val="nil"/>
            </w:tcBorders>
            <w:noWrap w:val="0"/>
            <w:vAlign w:val="center"/>
          </w:tcPr>
          <w:p w14:paraId="1097EE2D">
            <w:pPr>
              <w:keepNext w:val="0"/>
              <w:keepLines w:val="0"/>
              <w:pageBreakBefore w:val="0"/>
              <w:widowControl w:val="0"/>
              <w:kinsoku/>
              <w:wordWrap/>
              <w:overflowPunct/>
              <w:topLinePunct w:val="0"/>
              <w:autoSpaceDE w:val="0"/>
              <w:autoSpaceDN w:val="0"/>
              <w:bidi w:val="0"/>
              <w:adjustRightInd/>
              <w:snapToGrid/>
              <w:spacing w:line="240" w:lineRule="auto"/>
              <w:ind w:left="-42" w:leftChars="-20" w:right="-42" w:rightChars="-20" w:firstLine="0" w:firstLineChars="0"/>
              <w:jc w:val="center"/>
              <w:textAlignment w:val="auto"/>
              <w:rPr>
                <w:color w:val="auto"/>
                <w:sz w:val="21"/>
                <w:szCs w:val="21"/>
              </w:rPr>
            </w:pPr>
            <w:r>
              <w:rPr>
                <w:color w:val="auto"/>
                <w:sz w:val="21"/>
                <w:szCs w:val="21"/>
              </w:rPr>
              <w:t>排气筒直径（m）</w:t>
            </w:r>
          </w:p>
        </w:tc>
        <w:tc>
          <w:tcPr>
            <w:tcW w:w="787" w:type="pct"/>
            <w:tcBorders>
              <w:tl2br w:val="nil"/>
              <w:tr2bl w:val="nil"/>
            </w:tcBorders>
            <w:noWrap w:val="0"/>
            <w:vAlign w:val="center"/>
          </w:tcPr>
          <w:p w14:paraId="3D13B3E6">
            <w:pPr>
              <w:keepNext w:val="0"/>
              <w:keepLines w:val="0"/>
              <w:pageBreakBefore w:val="0"/>
              <w:widowControl w:val="0"/>
              <w:kinsoku/>
              <w:wordWrap/>
              <w:overflowPunct/>
              <w:topLinePunct w:val="0"/>
              <w:autoSpaceDE w:val="0"/>
              <w:autoSpaceDN w:val="0"/>
              <w:bidi w:val="0"/>
              <w:adjustRightInd/>
              <w:snapToGrid/>
              <w:spacing w:line="240" w:lineRule="auto"/>
              <w:ind w:left="-42" w:leftChars="-20" w:right="-42" w:rightChars="-20" w:firstLine="0" w:firstLineChars="0"/>
              <w:jc w:val="center"/>
              <w:textAlignment w:val="auto"/>
              <w:rPr>
                <w:color w:val="auto"/>
                <w:sz w:val="21"/>
                <w:szCs w:val="21"/>
              </w:rPr>
            </w:pPr>
            <w:r>
              <w:rPr>
                <w:color w:val="auto"/>
                <w:sz w:val="21"/>
                <w:szCs w:val="21"/>
              </w:rPr>
              <w:t>出口处烟气温度（°C）</w:t>
            </w:r>
          </w:p>
        </w:tc>
      </w:tr>
      <w:tr w14:paraId="6DB4F0B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31" w:hRule="atLeast"/>
        </w:trPr>
        <w:tc>
          <w:tcPr>
            <w:tcW w:w="1240" w:type="pct"/>
            <w:tcBorders>
              <w:tl2br w:val="nil"/>
              <w:tr2bl w:val="nil"/>
            </w:tcBorders>
            <w:noWrap w:val="0"/>
            <w:vAlign w:val="center"/>
          </w:tcPr>
          <w:p w14:paraId="65893BFD">
            <w:pPr>
              <w:keepNext w:val="0"/>
              <w:keepLines w:val="0"/>
              <w:pageBreakBefore w:val="0"/>
              <w:widowControl w:val="0"/>
              <w:kinsoku/>
              <w:wordWrap/>
              <w:overflowPunct/>
              <w:topLinePunct w:val="0"/>
              <w:autoSpaceDE w:val="0"/>
              <w:autoSpaceDN w:val="0"/>
              <w:bidi w:val="0"/>
              <w:adjustRightInd/>
              <w:snapToGrid/>
              <w:spacing w:line="240" w:lineRule="auto"/>
              <w:ind w:left="-42" w:leftChars="-20" w:right="-42" w:rightChars="-20" w:firstLine="0" w:firstLineChars="0"/>
              <w:jc w:val="center"/>
              <w:textAlignment w:val="auto"/>
              <w:rPr>
                <w:rFonts w:hint="eastAsia" w:eastAsia="宋体"/>
                <w:color w:val="auto"/>
                <w:sz w:val="21"/>
                <w:szCs w:val="21"/>
                <w:lang w:val="en-US" w:eastAsia="zh-CN"/>
              </w:rPr>
            </w:pPr>
            <w:r>
              <w:rPr>
                <w:rFonts w:hint="eastAsia"/>
                <w:b/>
                <w:bCs/>
                <w:color w:val="auto"/>
                <w:sz w:val="21"/>
                <w:szCs w:val="21"/>
                <w:lang w:val="en-US" w:eastAsia="zh-CN"/>
              </w:rPr>
              <w:t>D</w:t>
            </w:r>
            <w:r>
              <w:rPr>
                <w:rFonts w:hint="eastAsia"/>
                <w:color w:val="auto"/>
                <w:sz w:val="21"/>
                <w:szCs w:val="21"/>
                <w:lang w:val="en-US" w:eastAsia="zh-CN"/>
              </w:rPr>
              <w:t>A</w:t>
            </w:r>
            <w:r>
              <w:rPr>
                <w:rFonts w:hint="eastAsia"/>
                <w:color w:val="auto"/>
                <w:sz w:val="21"/>
                <w:szCs w:val="21"/>
                <w:lang w:val="en-US"/>
              </w:rPr>
              <w:t>00</w:t>
            </w:r>
            <w:r>
              <w:rPr>
                <w:rFonts w:hint="eastAsia"/>
                <w:color w:val="auto"/>
                <w:sz w:val="21"/>
                <w:szCs w:val="21"/>
                <w:lang w:val="en-US" w:eastAsia="zh-CN"/>
              </w:rPr>
              <w:t>1</w:t>
            </w:r>
            <w:r>
              <w:rPr>
                <w:rFonts w:hint="eastAsia"/>
                <w:color w:val="auto"/>
                <w:sz w:val="21"/>
                <w:szCs w:val="21"/>
                <w:lang w:val="en-US"/>
              </w:rPr>
              <w:t>造粒</w:t>
            </w:r>
            <w:r>
              <w:rPr>
                <w:rFonts w:hint="eastAsia"/>
                <w:color w:val="auto"/>
                <w:sz w:val="21"/>
                <w:szCs w:val="21"/>
                <w:lang w:val="en-US" w:eastAsia="zh-CN"/>
              </w:rPr>
              <w:t>、滴灌带</w:t>
            </w:r>
            <w:r>
              <w:rPr>
                <w:color w:val="auto"/>
                <w:sz w:val="21"/>
                <w:szCs w:val="21"/>
              </w:rPr>
              <w:t>热熔</w:t>
            </w:r>
            <w:r>
              <w:rPr>
                <w:rFonts w:hint="eastAsia"/>
                <w:color w:val="auto"/>
                <w:sz w:val="21"/>
                <w:szCs w:val="21"/>
                <w:lang w:val="en-US"/>
              </w:rPr>
              <w:t>挤出</w:t>
            </w:r>
            <w:r>
              <w:rPr>
                <w:rFonts w:hint="eastAsia"/>
                <w:color w:val="auto"/>
                <w:sz w:val="21"/>
                <w:szCs w:val="21"/>
                <w:lang w:val="en-US" w:eastAsia="zh-CN"/>
              </w:rPr>
              <w:t>工序</w:t>
            </w:r>
          </w:p>
        </w:tc>
        <w:tc>
          <w:tcPr>
            <w:tcW w:w="557" w:type="pct"/>
            <w:tcBorders>
              <w:tl2br w:val="nil"/>
              <w:tr2bl w:val="nil"/>
            </w:tcBorders>
            <w:noWrap w:val="0"/>
            <w:vAlign w:val="center"/>
          </w:tcPr>
          <w:p w14:paraId="24F4E159">
            <w:pPr>
              <w:keepNext w:val="0"/>
              <w:keepLines w:val="0"/>
              <w:pageBreakBefore w:val="0"/>
              <w:widowControl w:val="0"/>
              <w:kinsoku/>
              <w:wordWrap/>
              <w:overflowPunct/>
              <w:topLinePunct w:val="0"/>
              <w:autoSpaceDE w:val="0"/>
              <w:autoSpaceDN w:val="0"/>
              <w:bidi w:val="0"/>
              <w:adjustRightInd/>
              <w:snapToGrid/>
              <w:spacing w:line="240" w:lineRule="auto"/>
              <w:ind w:left="-42" w:leftChars="-20" w:right="-42" w:rightChars="-20" w:firstLine="0" w:firstLineChars="0"/>
              <w:jc w:val="center"/>
              <w:textAlignment w:val="auto"/>
              <w:rPr>
                <w:rFonts w:hint="eastAsia"/>
                <w:color w:val="auto"/>
                <w:sz w:val="21"/>
                <w:szCs w:val="21"/>
                <w:lang w:val="en-US"/>
              </w:rPr>
            </w:pPr>
            <w:r>
              <w:rPr>
                <w:rFonts w:hint="eastAsia"/>
                <w:color w:val="auto"/>
                <w:sz w:val="21"/>
                <w:szCs w:val="21"/>
                <w:lang w:val="en-US" w:eastAsia="zh-CN"/>
              </w:rPr>
              <w:t>20</w:t>
            </w:r>
            <w:r>
              <w:rPr>
                <w:rFonts w:hint="eastAsia"/>
                <w:color w:val="auto"/>
                <w:sz w:val="21"/>
                <w:szCs w:val="21"/>
                <w:lang w:val="en-US"/>
              </w:rPr>
              <w:t>000</w:t>
            </w:r>
          </w:p>
        </w:tc>
        <w:tc>
          <w:tcPr>
            <w:tcW w:w="557" w:type="pct"/>
            <w:tcBorders>
              <w:tl2br w:val="nil"/>
              <w:tr2bl w:val="nil"/>
            </w:tcBorders>
            <w:noWrap w:val="0"/>
            <w:vAlign w:val="center"/>
          </w:tcPr>
          <w:p w14:paraId="44531A5E">
            <w:pPr>
              <w:keepNext w:val="0"/>
              <w:keepLines w:val="0"/>
              <w:pageBreakBefore w:val="0"/>
              <w:widowControl w:val="0"/>
              <w:kinsoku/>
              <w:wordWrap/>
              <w:overflowPunct/>
              <w:topLinePunct w:val="0"/>
              <w:autoSpaceDE w:val="0"/>
              <w:autoSpaceDN w:val="0"/>
              <w:bidi w:val="0"/>
              <w:adjustRightInd/>
              <w:snapToGrid/>
              <w:spacing w:line="240" w:lineRule="auto"/>
              <w:ind w:left="-42" w:leftChars="-20" w:right="-42" w:rightChars="-20" w:firstLine="0" w:firstLineChars="0"/>
              <w:jc w:val="center"/>
              <w:textAlignment w:val="auto"/>
              <w:rPr>
                <w:color w:val="auto"/>
                <w:sz w:val="21"/>
                <w:szCs w:val="21"/>
              </w:rPr>
            </w:pPr>
            <w:r>
              <w:rPr>
                <w:color w:val="auto"/>
                <w:sz w:val="21"/>
                <w:szCs w:val="21"/>
              </w:rPr>
              <w:t>非甲烷总烃</w:t>
            </w:r>
          </w:p>
        </w:tc>
        <w:tc>
          <w:tcPr>
            <w:tcW w:w="639" w:type="pct"/>
            <w:tcBorders>
              <w:tl2br w:val="nil"/>
              <w:tr2bl w:val="nil"/>
            </w:tcBorders>
            <w:noWrap w:val="0"/>
            <w:vAlign w:val="center"/>
          </w:tcPr>
          <w:p w14:paraId="19D2ED91">
            <w:pPr>
              <w:keepNext w:val="0"/>
              <w:keepLines w:val="0"/>
              <w:pageBreakBefore w:val="0"/>
              <w:widowControl w:val="0"/>
              <w:kinsoku/>
              <w:wordWrap/>
              <w:overflowPunct/>
              <w:topLinePunct w:val="0"/>
              <w:autoSpaceDE w:val="0"/>
              <w:autoSpaceDN w:val="0"/>
              <w:bidi w:val="0"/>
              <w:adjustRightInd/>
              <w:snapToGrid/>
              <w:spacing w:line="240" w:lineRule="auto"/>
              <w:ind w:left="-42" w:leftChars="-20" w:right="-42" w:rightChars="-20" w:firstLine="0" w:firstLineChars="0"/>
              <w:jc w:val="center"/>
              <w:textAlignment w:val="auto"/>
              <w:rPr>
                <w:rFonts w:hint="default" w:eastAsia="宋体"/>
                <w:color w:val="auto"/>
                <w:sz w:val="21"/>
                <w:szCs w:val="21"/>
                <w:lang w:val="en-US" w:eastAsia="zh-CN"/>
              </w:rPr>
            </w:pPr>
            <w:r>
              <w:rPr>
                <w:rFonts w:hint="eastAsia"/>
                <w:color w:val="auto"/>
                <w:sz w:val="21"/>
                <w:szCs w:val="21"/>
                <w:lang w:val="en-US" w:eastAsia="zh-CN"/>
              </w:rPr>
              <w:t>2.643</w:t>
            </w:r>
          </w:p>
        </w:tc>
        <w:tc>
          <w:tcPr>
            <w:tcW w:w="612" w:type="pct"/>
            <w:tcBorders>
              <w:tl2br w:val="nil"/>
              <w:tr2bl w:val="nil"/>
            </w:tcBorders>
            <w:noWrap w:val="0"/>
            <w:vAlign w:val="center"/>
          </w:tcPr>
          <w:p w14:paraId="56C66B34">
            <w:pPr>
              <w:keepNext w:val="0"/>
              <w:keepLines w:val="0"/>
              <w:pageBreakBefore w:val="0"/>
              <w:widowControl w:val="0"/>
              <w:kinsoku/>
              <w:wordWrap/>
              <w:overflowPunct/>
              <w:topLinePunct w:val="0"/>
              <w:autoSpaceDE w:val="0"/>
              <w:autoSpaceDN w:val="0"/>
              <w:bidi w:val="0"/>
              <w:adjustRightInd/>
              <w:snapToGrid/>
              <w:spacing w:line="240" w:lineRule="auto"/>
              <w:ind w:left="-42" w:leftChars="-20" w:right="-42" w:rightChars="-20" w:firstLine="0" w:firstLineChars="0"/>
              <w:jc w:val="center"/>
              <w:textAlignment w:val="auto"/>
              <w:rPr>
                <w:color w:val="auto"/>
                <w:sz w:val="21"/>
                <w:szCs w:val="21"/>
                <w:lang w:val="en-US"/>
              </w:rPr>
            </w:pPr>
            <w:r>
              <w:rPr>
                <w:rFonts w:hint="eastAsia"/>
                <w:color w:val="auto"/>
                <w:sz w:val="21"/>
                <w:szCs w:val="21"/>
                <w:lang w:val="en-US"/>
              </w:rPr>
              <w:t>15</w:t>
            </w:r>
          </w:p>
        </w:tc>
        <w:tc>
          <w:tcPr>
            <w:tcW w:w="605" w:type="pct"/>
            <w:tcBorders>
              <w:tl2br w:val="nil"/>
              <w:tr2bl w:val="nil"/>
            </w:tcBorders>
            <w:noWrap w:val="0"/>
            <w:vAlign w:val="center"/>
          </w:tcPr>
          <w:p w14:paraId="2034E23F">
            <w:pPr>
              <w:keepNext w:val="0"/>
              <w:keepLines w:val="0"/>
              <w:pageBreakBefore w:val="0"/>
              <w:widowControl w:val="0"/>
              <w:kinsoku/>
              <w:wordWrap/>
              <w:overflowPunct/>
              <w:topLinePunct w:val="0"/>
              <w:autoSpaceDE w:val="0"/>
              <w:autoSpaceDN w:val="0"/>
              <w:bidi w:val="0"/>
              <w:adjustRightInd/>
              <w:snapToGrid/>
              <w:spacing w:line="240" w:lineRule="auto"/>
              <w:ind w:left="-42" w:leftChars="-20" w:right="-42" w:rightChars="-20" w:firstLine="0" w:firstLineChars="0"/>
              <w:jc w:val="center"/>
              <w:textAlignment w:val="auto"/>
              <w:rPr>
                <w:rFonts w:hint="eastAsia" w:eastAsia="宋体"/>
                <w:color w:val="auto"/>
                <w:sz w:val="21"/>
                <w:szCs w:val="21"/>
                <w:lang w:val="en-US" w:eastAsia="zh-CN"/>
              </w:rPr>
            </w:pPr>
            <w:r>
              <w:rPr>
                <w:rFonts w:hint="eastAsia"/>
                <w:color w:val="auto"/>
                <w:sz w:val="21"/>
                <w:szCs w:val="21"/>
                <w:lang w:val="en-US"/>
              </w:rPr>
              <w:t>0.</w:t>
            </w:r>
            <w:r>
              <w:rPr>
                <w:rFonts w:hint="eastAsia"/>
                <w:color w:val="auto"/>
                <w:sz w:val="21"/>
                <w:szCs w:val="21"/>
                <w:lang w:val="en-US" w:eastAsia="zh-CN"/>
              </w:rPr>
              <w:t>5</w:t>
            </w:r>
          </w:p>
        </w:tc>
        <w:tc>
          <w:tcPr>
            <w:tcW w:w="787" w:type="pct"/>
            <w:tcBorders>
              <w:tl2br w:val="nil"/>
              <w:tr2bl w:val="nil"/>
            </w:tcBorders>
            <w:noWrap w:val="0"/>
            <w:vAlign w:val="center"/>
          </w:tcPr>
          <w:p w14:paraId="214C57E0">
            <w:pPr>
              <w:keepNext w:val="0"/>
              <w:keepLines w:val="0"/>
              <w:pageBreakBefore w:val="0"/>
              <w:widowControl w:val="0"/>
              <w:kinsoku/>
              <w:wordWrap/>
              <w:overflowPunct/>
              <w:topLinePunct w:val="0"/>
              <w:autoSpaceDE w:val="0"/>
              <w:autoSpaceDN w:val="0"/>
              <w:bidi w:val="0"/>
              <w:adjustRightInd/>
              <w:snapToGrid/>
              <w:spacing w:line="240" w:lineRule="auto"/>
              <w:ind w:left="-42" w:leftChars="-20" w:right="-42" w:rightChars="-20" w:firstLine="0" w:firstLineChars="0"/>
              <w:jc w:val="center"/>
              <w:textAlignment w:val="auto"/>
              <w:rPr>
                <w:color w:val="auto"/>
                <w:sz w:val="21"/>
                <w:szCs w:val="21"/>
                <w:lang w:val="en-US"/>
              </w:rPr>
            </w:pPr>
            <w:r>
              <w:rPr>
                <w:rFonts w:hint="eastAsia"/>
                <w:color w:val="auto"/>
                <w:sz w:val="21"/>
                <w:szCs w:val="21"/>
                <w:lang w:val="en-US"/>
              </w:rPr>
              <w:t>25</w:t>
            </w:r>
          </w:p>
        </w:tc>
      </w:tr>
    </w:tbl>
    <w:p w14:paraId="3A08F7D6">
      <w:pPr>
        <w:widowControl/>
        <w:tabs>
          <w:tab w:val="left" w:leader="dot" w:pos="8770"/>
        </w:tabs>
        <w:spacing w:line="360" w:lineRule="auto"/>
        <w:ind w:firstLine="480" w:firstLineChars="200"/>
        <w:rPr>
          <w:rFonts w:hint="default" w:eastAsia="宋体"/>
          <w:color w:val="000000"/>
          <w:sz w:val="24"/>
          <w:lang w:val="en-US" w:eastAsia="zh-CN"/>
        </w:rPr>
      </w:pPr>
      <w:r>
        <w:rPr>
          <w:rFonts w:hint="eastAsia"/>
          <w:color w:val="000000"/>
          <w:sz w:val="24"/>
          <w:lang w:val="en-US" w:eastAsia="zh-CN"/>
        </w:rPr>
        <w:t>b、</w:t>
      </w:r>
      <w:r>
        <w:rPr>
          <w:rFonts w:hint="eastAsia"/>
          <w:color w:val="000000"/>
          <w:sz w:val="24"/>
          <w:szCs w:val="24"/>
        </w:rPr>
        <w:t>非正常工况</w:t>
      </w:r>
      <w:r>
        <w:rPr>
          <w:rFonts w:hint="eastAsia"/>
          <w:color w:val="000000"/>
          <w:sz w:val="24"/>
          <w:szCs w:val="24"/>
          <w:lang w:eastAsia="zh-CN"/>
        </w:rPr>
        <w:t>预测结果</w:t>
      </w:r>
      <w:r>
        <w:rPr>
          <w:rFonts w:hint="eastAsia"/>
          <w:color w:val="000000"/>
          <w:sz w:val="24"/>
          <w:szCs w:val="24"/>
          <w:lang w:val="en-US" w:eastAsia="zh-CN"/>
        </w:rPr>
        <w:t xml:space="preserve"> </w:t>
      </w:r>
    </w:p>
    <w:p w14:paraId="218EAF74">
      <w:pPr>
        <w:widowControl/>
        <w:tabs>
          <w:tab w:val="left" w:leader="dot" w:pos="8770"/>
        </w:tabs>
        <w:spacing w:line="360" w:lineRule="auto"/>
        <w:ind w:firstLine="480" w:firstLineChars="200"/>
        <w:rPr>
          <w:color w:val="000000"/>
          <w:sz w:val="24"/>
        </w:rPr>
      </w:pPr>
      <w:r>
        <w:rPr>
          <w:rFonts w:hint="eastAsia"/>
          <w:color w:val="000000"/>
          <w:sz w:val="24"/>
        </w:rPr>
        <w:t>非正常情况下排放的各污染物最大落地浓度和占标率以及评价范围的落地浓度及占标率见表5.2-</w:t>
      </w:r>
      <w:r>
        <w:rPr>
          <w:rFonts w:hint="eastAsia"/>
          <w:color w:val="000000"/>
          <w:sz w:val="24"/>
          <w:lang w:val="en-US" w:eastAsia="zh-CN"/>
        </w:rPr>
        <w:t>11</w:t>
      </w:r>
      <w:r>
        <w:rPr>
          <w:rFonts w:hint="eastAsia"/>
          <w:color w:val="000000"/>
          <w:sz w:val="24"/>
        </w:rPr>
        <w:t>。</w:t>
      </w:r>
    </w:p>
    <w:p w14:paraId="79EDB2CE">
      <w:pPr>
        <w:widowControl/>
        <w:jc w:val="center"/>
        <w:rPr>
          <w:b/>
          <w:color w:val="000000"/>
          <w:szCs w:val="21"/>
        </w:rPr>
      </w:pPr>
      <w:r>
        <w:rPr>
          <w:rFonts w:hAnsi="宋体"/>
          <w:b/>
          <w:color w:val="000000"/>
          <w:szCs w:val="21"/>
        </w:rPr>
        <w:t>表</w:t>
      </w:r>
      <w:r>
        <w:rPr>
          <w:rFonts w:hint="eastAsia"/>
          <w:b/>
          <w:color w:val="000000"/>
          <w:szCs w:val="21"/>
        </w:rPr>
        <w:t>5.2</w:t>
      </w:r>
      <w:r>
        <w:rPr>
          <w:b/>
          <w:color w:val="000000"/>
          <w:szCs w:val="21"/>
        </w:rPr>
        <w:t>-</w:t>
      </w:r>
      <w:r>
        <w:rPr>
          <w:rFonts w:hint="eastAsia"/>
          <w:b/>
          <w:color w:val="000000"/>
          <w:szCs w:val="21"/>
          <w:lang w:val="en-US" w:eastAsia="zh-CN"/>
        </w:rPr>
        <w:t>11</w:t>
      </w:r>
      <w:r>
        <w:rPr>
          <w:b/>
          <w:color w:val="000000"/>
          <w:szCs w:val="21"/>
        </w:rPr>
        <w:t xml:space="preserve">   </w:t>
      </w:r>
      <w:r>
        <w:rPr>
          <w:rFonts w:hint="eastAsia"/>
          <w:b/>
          <w:color w:val="000000"/>
          <w:szCs w:val="21"/>
        </w:rPr>
        <w:t xml:space="preserve">  </w:t>
      </w:r>
      <w:r>
        <w:rPr>
          <w:rFonts w:hint="eastAsia" w:hAnsi="宋体"/>
          <w:b/>
          <w:color w:val="000000"/>
          <w:szCs w:val="21"/>
        </w:rPr>
        <w:t>非正常工况下大气污染物</w:t>
      </w:r>
      <w:r>
        <w:rPr>
          <w:rFonts w:hAnsi="宋体"/>
          <w:b/>
          <w:color w:val="000000"/>
          <w:szCs w:val="21"/>
        </w:rPr>
        <w:t>最大落地浓度</w:t>
      </w:r>
      <w:r>
        <w:rPr>
          <w:rFonts w:hint="eastAsia" w:hAnsi="宋体"/>
          <w:b/>
          <w:color w:val="000000"/>
          <w:szCs w:val="21"/>
        </w:rPr>
        <w:t>及</w:t>
      </w:r>
      <w:r>
        <w:rPr>
          <w:rFonts w:hAnsi="宋体"/>
          <w:b/>
          <w:color w:val="000000"/>
          <w:szCs w:val="21"/>
        </w:rPr>
        <w:t>占标率估算结果</w:t>
      </w:r>
    </w:p>
    <w:tbl>
      <w:tblPr>
        <w:tblStyle w:val="50"/>
        <w:tblW w:w="9139" w:type="dxa"/>
        <w:tblInd w:w="0" w:type="dxa"/>
        <w:tblBorders>
          <w:top w:val="single" w:color="auto" w:sz="12" w:space="0"/>
          <w:left w:val="single" w:color="auto" w:sz="12" w:space="0"/>
          <w:bottom w:val="single" w:color="auto" w:sz="12" w:space="0"/>
          <w:right w:val="single" w:color="auto" w:sz="12" w:space="0"/>
          <w:insideH w:val="single" w:color="auto" w:sz="2" w:space="0"/>
          <w:insideV w:val="single" w:color="auto" w:sz="4" w:space="0"/>
        </w:tblBorders>
        <w:tblLayout w:type="autofit"/>
        <w:tblCellMar>
          <w:top w:w="0" w:type="dxa"/>
          <w:left w:w="108" w:type="dxa"/>
          <w:bottom w:w="0" w:type="dxa"/>
          <w:right w:w="108" w:type="dxa"/>
        </w:tblCellMar>
      </w:tblPr>
      <w:tblGrid>
        <w:gridCol w:w="3813"/>
        <w:gridCol w:w="2692"/>
        <w:gridCol w:w="2634"/>
      </w:tblGrid>
      <w:tr w14:paraId="06575202">
        <w:tblPrEx>
          <w:tblBorders>
            <w:top w:val="single" w:color="auto" w:sz="12" w:space="0"/>
            <w:left w:val="single" w:color="auto" w:sz="12" w:space="0"/>
            <w:bottom w:val="single" w:color="auto" w:sz="12" w:space="0"/>
            <w:right w:val="single" w:color="auto" w:sz="12" w:space="0"/>
            <w:insideH w:val="single" w:color="auto" w:sz="2" w:space="0"/>
            <w:insideV w:val="single" w:color="auto" w:sz="4" w:space="0"/>
          </w:tblBorders>
          <w:tblCellMar>
            <w:top w:w="0" w:type="dxa"/>
            <w:left w:w="108" w:type="dxa"/>
            <w:bottom w:w="0" w:type="dxa"/>
            <w:right w:w="108" w:type="dxa"/>
          </w:tblCellMar>
        </w:tblPrEx>
        <w:trPr>
          <w:trHeight w:val="141" w:hRule="atLeast"/>
        </w:trPr>
        <w:tc>
          <w:tcPr>
            <w:tcW w:w="3813" w:type="dxa"/>
            <w:vMerge w:val="restart"/>
            <w:tcBorders>
              <w:tl2br w:val="nil"/>
              <w:tr2bl w:val="nil"/>
            </w:tcBorders>
            <w:vAlign w:val="center"/>
          </w:tcPr>
          <w:p w14:paraId="2EF1757C">
            <w:pPr>
              <w:pStyle w:val="240"/>
              <w:rPr>
                <w:rFonts w:hint="default"/>
              </w:rPr>
            </w:pPr>
            <w:r>
              <w:rPr>
                <w:rFonts w:hint="default"/>
              </w:rPr>
              <w:t>下风向距离（m）</w:t>
            </w:r>
          </w:p>
        </w:tc>
        <w:tc>
          <w:tcPr>
            <w:tcW w:w="5326" w:type="dxa"/>
            <w:gridSpan w:val="2"/>
            <w:tcBorders>
              <w:tl2br w:val="nil"/>
              <w:tr2bl w:val="nil"/>
            </w:tcBorders>
            <w:vAlign w:val="center"/>
          </w:tcPr>
          <w:p w14:paraId="0034D836">
            <w:pPr>
              <w:pStyle w:val="240"/>
              <w:rPr>
                <w:rFonts w:hint="default"/>
              </w:rPr>
            </w:pPr>
            <w:r>
              <w:rPr>
                <w:rFonts w:hint="default"/>
              </w:rPr>
              <w:t>排气筒DA001非甲烷总烃</w:t>
            </w:r>
          </w:p>
        </w:tc>
      </w:tr>
      <w:tr w14:paraId="5FBBA0F7">
        <w:tblPrEx>
          <w:tblBorders>
            <w:top w:val="single" w:color="auto" w:sz="12" w:space="0"/>
            <w:left w:val="single" w:color="auto" w:sz="12" w:space="0"/>
            <w:bottom w:val="single" w:color="auto" w:sz="12" w:space="0"/>
            <w:right w:val="single" w:color="auto" w:sz="12" w:space="0"/>
            <w:insideH w:val="single" w:color="auto" w:sz="2" w:space="0"/>
            <w:insideV w:val="single" w:color="auto" w:sz="4" w:space="0"/>
          </w:tblBorders>
          <w:tblCellMar>
            <w:top w:w="0" w:type="dxa"/>
            <w:left w:w="108" w:type="dxa"/>
            <w:bottom w:w="0" w:type="dxa"/>
            <w:right w:w="108" w:type="dxa"/>
          </w:tblCellMar>
        </w:tblPrEx>
        <w:trPr>
          <w:trHeight w:val="131" w:hRule="atLeast"/>
        </w:trPr>
        <w:tc>
          <w:tcPr>
            <w:tcW w:w="3813" w:type="dxa"/>
            <w:vMerge w:val="continue"/>
            <w:tcBorders>
              <w:tl2br w:val="nil"/>
              <w:tr2bl w:val="nil"/>
            </w:tcBorders>
            <w:vAlign w:val="center"/>
          </w:tcPr>
          <w:p w14:paraId="5EF1C7A8">
            <w:pPr>
              <w:pStyle w:val="240"/>
              <w:rPr>
                <w:rFonts w:hint="default"/>
              </w:rPr>
            </w:pPr>
          </w:p>
        </w:tc>
        <w:tc>
          <w:tcPr>
            <w:tcW w:w="2692" w:type="dxa"/>
            <w:tcBorders>
              <w:tl2br w:val="nil"/>
              <w:tr2bl w:val="nil"/>
            </w:tcBorders>
            <w:vAlign w:val="center"/>
          </w:tcPr>
          <w:p w14:paraId="7C855154">
            <w:pPr>
              <w:pStyle w:val="240"/>
              <w:rPr>
                <w:rFonts w:hint="default"/>
              </w:rPr>
            </w:pPr>
            <w:r>
              <w:rPr>
                <w:rFonts w:hint="default"/>
              </w:rPr>
              <w:t>预测浓度C（μg/m</w:t>
            </w:r>
            <w:r>
              <w:rPr>
                <w:rFonts w:hint="default"/>
                <w:vertAlign w:val="superscript"/>
              </w:rPr>
              <w:t>3</w:t>
            </w:r>
            <w:r>
              <w:rPr>
                <w:rFonts w:hint="default"/>
              </w:rPr>
              <w:t>）</w:t>
            </w:r>
          </w:p>
        </w:tc>
        <w:tc>
          <w:tcPr>
            <w:tcW w:w="2634" w:type="dxa"/>
            <w:tcBorders>
              <w:tl2br w:val="nil"/>
              <w:tr2bl w:val="nil"/>
            </w:tcBorders>
            <w:vAlign w:val="center"/>
          </w:tcPr>
          <w:p w14:paraId="218E00A6">
            <w:pPr>
              <w:pStyle w:val="240"/>
              <w:rPr>
                <w:rFonts w:hint="default"/>
              </w:rPr>
            </w:pPr>
            <w:r>
              <w:rPr>
                <w:rFonts w:hint="default"/>
              </w:rPr>
              <w:t>浓度占标率P（%）</w:t>
            </w:r>
          </w:p>
        </w:tc>
      </w:tr>
      <w:tr w14:paraId="6C817DEB">
        <w:tblPrEx>
          <w:tblBorders>
            <w:top w:val="single" w:color="auto" w:sz="12" w:space="0"/>
            <w:left w:val="single" w:color="auto" w:sz="12" w:space="0"/>
            <w:bottom w:val="single" w:color="auto" w:sz="12" w:space="0"/>
            <w:right w:val="single" w:color="auto" w:sz="12" w:space="0"/>
            <w:insideH w:val="single" w:color="auto" w:sz="2" w:space="0"/>
            <w:insideV w:val="single" w:color="auto" w:sz="4" w:space="0"/>
          </w:tblBorders>
          <w:tblCellMar>
            <w:top w:w="0" w:type="dxa"/>
            <w:left w:w="108" w:type="dxa"/>
            <w:bottom w:w="0" w:type="dxa"/>
            <w:right w:w="108" w:type="dxa"/>
          </w:tblCellMar>
        </w:tblPrEx>
        <w:trPr>
          <w:trHeight w:val="139" w:hRule="atLeast"/>
        </w:trPr>
        <w:tc>
          <w:tcPr>
            <w:tcW w:w="3813" w:type="dxa"/>
            <w:tcBorders>
              <w:tl2br w:val="nil"/>
              <w:tr2bl w:val="nil"/>
            </w:tcBorders>
            <w:vAlign w:val="center"/>
          </w:tcPr>
          <w:p w14:paraId="3C1B1A91">
            <w:pPr>
              <w:jc w:val="center"/>
              <w:rPr>
                <w:color w:val="000000"/>
                <w:szCs w:val="21"/>
              </w:rPr>
            </w:pPr>
            <w:r>
              <w:rPr>
                <w:rFonts w:ascii="宋体" w:hAnsi="宋体"/>
                <w:szCs w:val="21"/>
              </w:rPr>
              <w:t>50.0</w:t>
            </w:r>
          </w:p>
        </w:tc>
        <w:tc>
          <w:tcPr>
            <w:tcW w:w="2692" w:type="dxa"/>
            <w:tcBorders>
              <w:tl2br w:val="nil"/>
              <w:tr2bl w:val="nil"/>
            </w:tcBorders>
            <w:vAlign w:val="center"/>
          </w:tcPr>
          <w:p w14:paraId="76D709A9">
            <w:pPr>
              <w:jc w:val="center"/>
              <w:rPr>
                <w:rFonts w:ascii="宋体" w:hAnsi="宋体" w:eastAsia="宋体" w:cs="Times New Roman"/>
                <w:szCs w:val="21"/>
              </w:rPr>
            </w:pPr>
            <w:r>
              <w:rPr>
                <w:rFonts w:ascii="宋体" w:hAnsi="宋体" w:eastAsia="宋体" w:cs="Times New Roman"/>
                <w:szCs w:val="21"/>
              </w:rPr>
              <w:t>54.0080</w:t>
            </w:r>
          </w:p>
        </w:tc>
        <w:tc>
          <w:tcPr>
            <w:tcW w:w="2634" w:type="dxa"/>
            <w:tcBorders>
              <w:tl2br w:val="nil"/>
              <w:tr2bl w:val="nil"/>
            </w:tcBorders>
            <w:vAlign w:val="center"/>
          </w:tcPr>
          <w:p w14:paraId="329A8232">
            <w:pPr>
              <w:jc w:val="center"/>
              <w:rPr>
                <w:rFonts w:ascii="宋体" w:hAnsi="宋体" w:eastAsia="宋体" w:cs="Times New Roman"/>
                <w:szCs w:val="21"/>
              </w:rPr>
            </w:pPr>
            <w:r>
              <w:rPr>
                <w:rFonts w:ascii="宋体" w:hAnsi="宋体" w:eastAsia="宋体" w:cs="Times New Roman"/>
                <w:szCs w:val="21"/>
              </w:rPr>
              <w:t>2.7004</w:t>
            </w:r>
          </w:p>
        </w:tc>
      </w:tr>
      <w:tr w14:paraId="1CA64568">
        <w:tblPrEx>
          <w:tblBorders>
            <w:top w:val="single" w:color="auto" w:sz="12" w:space="0"/>
            <w:left w:val="single" w:color="auto" w:sz="12" w:space="0"/>
            <w:bottom w:val="single" w:color="auto" w:sz="12" w:space="0"/>
            <w:right w:val="single" w:color="auto" w:sz="12" w:space="0"/>
            <w:insideH w:val="single" w:color="auto" w:sz="2" w:space="0"/>
            <w:insideV w:val="single" w:color="auto" w:sz="4" w:space="0"/>
          </w:tblBorders>
          <w:tblCellMar>
            <w:top w:w="0" w:type="dxa"/>
            <w:left w:w="108" w:type="dxa"/>
            <w:bottom w:w="0" w:type="dxa"/>
            <w:right w:w="108" w:type="dxa"/>
          </w:tblCellMar>
        </w:tblPrEx>
        <w:trPr>
          <w:trHeight w:val="131" w:hRule="atLeast"/>
        </w:trPr>
        <w:tc>
          <w:tcPr>
            <w:tcW w:w="3813" w:type="dxa"/>
            <w:tcBorders>
              <w:tl2br w:val="nil"/>
              <w:tr2bl w:val="nil"/>
            </w:tcBorders>
            <w:vAlign w:val="center"/>
          </w:tcPr>
          <w:p w14:paraId="3EC8A4B2">
            <w:pPr>
              <w:jc w:val="center"/>
              <w:rPr>
                <w:color w:val="000000"/>
                <w:szCs w:val="21"/>
              </w:rPr>
            </w:pPr>
            <w:r>
              <w:rPr>
                <w:rFonts w:ascii="宋体" w:hAnsi="宋体"/>
                <w:szCs w:val="21"/>
              </w:rPr>
              <w:t>100.0</w:t>
            </w:r>
          </w:p>
        </w:tc>
        <w:tc>
          <w:tcPr>
            <w:tcW w:w="2692" w:type="dxa"/>
            <w:tcBorders>
              <w:tl2br w:val="nil"/>
              <w:tr2bl w:val="nil"/>
            </w:tcBorders>
            <w:vAlign w:val="center"/>
          </w:tcPr>
          <w:p w14:paraId="3263121D">
            <w:pPr>
              <w:jc w:val="center"/>
              <w:rPr>
                <w:rFonts w:ascii="宋体" w:hAnsi="宋体" w:eastAsia="宋体" w:cs="Times New Roman"/>
                <w:szCs w:val="21"/>
              </w:rPr>
            </w:pPr>
            <w:r>
              <w:rPr>
                <w:rFonts w:ascii="宋体" w:hAnsi="宋体" w:eastAsia="宋体" w:cs="Times New Roman"/>
                <w:szCs w:val="21"/>
              </w:rPr>
              <w:t>214.9400</w:t>
            </w:r>
          </w:p>
        </w:tc>
        <w:tc>
          <w:tcPr>
            <w:tcW w:w="2634" w:type="dxa"/>
            <w:tcBorders>
              <w:tl2br w:val="nil"/>
              <w:tr2bl w:val="nil"/>
            </w:tcBorders>
            <w:vAlign w:val="center"/>
          </w:tcPr>
          <w:p w14:paraId="1DBAA706">
            <w:pPr>
              <w:jc w:val="center"/>
              <w:rPr>
                <w:rFonts w:ascii="宋体" w:hAnsi="宋体" w:eastAsia="宋体" w:cs="Times New Roman"/>
                <w:szCs w:val="21"/>
              </w:rPr>
            </w:pPr>
            <w:r>
              <w:rPr>
                <w:rFonts w:ascii="宋体" w:hAnsi="宋体" w:eastAsia="宋体" w:cs="Times New Roman"/>
                <w:szCs w:val="21"/>
              </w:rPr>
              <w:t>10.7470</w:t>
            </w:r>
          </w:p>
        </w:tc>
      </w:tr>
      <w:tr w14:paraId="54FA5D8B">
        <w:tblPrEx>
          <w:tblBorders>
            <w:top w:val="single" w:color="auto" w:sz="12" w:space="0"/>
            <w:left w:val="single" w:color="auto" w:sz="12" w:space="0"/>
            <w:bottom w:val="single" w:color="auto" w:sz="12" w:space="0"/>
            <w:right w:val="single" w:color="auto" w:sz="12" w:space="0"/>
            <w:insideH w:val="single" w:color="auto" w:sz="2" w:space="0"/>
            <w:insideV w:val="single" w:color="auto" w:sz="4" w:space="0"/>
          </w:tblBorders>
          <w:tblCellMar>
            <w:top w:w="0" w:type="dxa"/>
            <w:left w:w="108" w:type="dxa"/>
            <w:bottom w:w="0" w:type="dxa"/>
            <w:right w:w="108" w:type="dxa"/>
          </w:tblCellMar>
        </w:tblPrEx>
        <w:trPr>
          <w:trHeight w:val="131" w:hRule="atLeast"/>
        </w:trPr>
        <w:tc>
          <w:tcPr>
            <w:tcW w:w="3813" w:type="dxa"/>
            <w:tcBorders>
              <w:tl2br w:val="nil"/>
              <w:tr2bl w:val="nil"/>
            </w:tcBorders>
            <w:vAlign w:val="center"/>
          </w:tcPr>
          <w:p w14:paraId="31C17169">
            <w:pPr>
              <w:jc w:val="center"/>
              <w:rPr>
                <w:color w:val="000000"/>
                <w:szCs w:val="21"/>
              </w:rPr>
            </w:pPr>
            <w:r>
              <w:rPr>
                <w:rFonts w:ascii="宋体" w:hAnsi="宋体"/>
                <w:szCs w:val="21"/>
              </w:rPr>
              <w:t>200.0</w:t>
            </w:r>
          </w:p>
        </w:tc>
        <w:tc>
          <w:tcPr>
            <w:tcW w:w="2692" w:type="dxa"/>
            <w:tcBorders>
              <w:tl2br w:val="nil"/>
              <w:tr2bl w:val="nil"/>
            </w:tcBorders>
            <w:vAlign w:val="center"/>
          </w:tcPr>
          <w:p w14:paraId="65289FAF">
            <w:pPr>
              <w:jc w:val="center"/>
              <w:rPr>
                <w:rFonts w:ascii="宋体" w:hAnsi="宋体" w:eastAsia="宋体" w:cs="Times New Roman"/>
                <w:szCs w:val="21"/>
              </w:rPr>
            </w:pPr>
            <w:r>
              <w:rPr>
                <w:rFonts w:ascii="宋体" w:hAnsi="宋体" w:eastAsia="宋体" w:cs="Times New Roman"/>
                <w:szCs w:val="21"/>
              </w:rPr>
              <w:t>272.1500</w:t>
            </w:r>
          </w:p>
        </w:tc>
        <w:tc>
          <w:tcPr>
            <w:tcW w:w="2634" w:type="dxa"/>
            <w:tcBorders>
              <w:tl2br w:val="nil"/>
              <w:tr2bl w:val="nil"/>
            </w:tcBorders>
            <w:vAlign w:val="center"/>
          </w:tcPr>
          <w:p w14:paraId="6282F4E8">
            <w:pPr>
              <w:jc w:val="center"/>
              <w:rPr>
                <w:rFonts w:ascii="宋体" w:hAnsi="宋体" w:eastAsia="宋体" w:cs="Times New Roman"/>
                <w:szCs w:val="21"/>
              </w:rPr>
            </w:pPr>
            <w:r>
              <w:rPr>
                <w:rFonts w:ascii="宋体" w:hAnsi="宋体" w:eastAsia="宋体" w:cs="Times New Roman"/>
                <w:szCs w:val="21"/>
              </w:rPr>
              <w:t>13.6075</w:t>
            </w:r>
          </w:p>
        </w:tc>
      </w:tr>
      <w:tr w14:paraId="6692AC0F">
        <w:tblPrEx>
          <w:tblBorders>
            <w:top w:val="single" w:color="auto" w:sz="12" w:space="0"/>
            <w:left w:val="single" w:color="auto" w:sz="12" w:space="0"/>
            <w:bottom w:val="single" w:color="auto" w:sz="12" w:space="0"/>
            <w:right w:val="single" w:color="auto" w:sz="12" w:space="0"/>
            <w:insideH w:val="single" w:color="auto" w:sz="2" w:space="0"/>
            <w:insideV w:val="single" w:color="auto" w:sz="4" w:space="0"/>
          </w:tblBorders>
          <w:tblCellMar>
            <w:top w:w="0" w:type="dxa"/>
            <w:left w:w="108" w:type="dxa"/>
            <w:bottom w:w="0" w:type="dxa"/>
            <w:right w:w="108" w:type="dxa"/>
          </w:tblCellMar>
        </w:tblPrEx>
        <w:trPr>
          <w:trHeight w:val="131" w:hRule="atLeast"/>
        </w:trPr>
        <w:tc>
          <w:tcPr>
            <w:tcW w:w="3813" w:type="dxa"/>
            <w:tcBorders>
              <w:tl2br w:val="nil"/>
              <w:tr2bl w:val="nil"/>
            </w:tcBorders>
            <w:vAlign w:val="center"/>
          </w:tcPr>
          <w:p w14:paraId="23E3819A">
            <w:pPr>
              <w:jc w:val="center"/>
              <w:rPr>
                <w:color w:val="000000"/>
                <w:szCs w:val="21"/>
              </w:rPr>
            </w:pPr>
            <w:r>
              <w:rPr>
                <w:rFonts w:ascii="宋体" w:hAnsi="宋体"/>
                <w:szCs w:val="21"/>
              </w:rPr>
              <w:t>300.0</w:t>
            </w:r>
          </w:p>
        </w:tc>
        <w:tc>
          <w:tcPr>
            <w:tcW w:w="2692" w:type="dxa"/>
            <w:tcBorders>
              <w:tl2br w:val="nil"/>
              <w:tr2bl w:val="nil"/>
            </w:tcBorders>
            <w:vAlign w:val="center"/>
          </w:tcPr>
          <w:p w14:paraId="69EFBE32">
            <w:pPr>
              <w:jc w:val="center"/>
              <w:rPr>
                <w:rFonts w:ascii="宋体" w:hAnsi="宋体" w:eastAsia="宋体" w:cs="Times New Roman"/>
                <w:szCs w:val="21"/>
              </w:rPr>
            </w:pPr>
            <w:r>
              <w:rPr>
                <w:rFonts w:ascii="宋体" w:hAnsi="宋体" w:eastAsia="宋体" w:cs="Times New Roman"/>
                <w:szCs w:val="21"/>
              </w:rPr>
              <w:t>205.0100</w:t>
            </w:r>
          </w:p>
        </w:tc>
        <w:tc>
          <w:tcPr>
            <w:tcW w:w="2634" w:type="dxa"/>
            <w:tcBorders>
              <w:tl2br w:val="nil"/>
              <w:tr2bl w:val="nil"/>
            </w:tcBorders>
            <w:vAlign w:val="center"/>
          </w:tcPr>
          <w:p w14:paraId="2D60686B">
            <w:pPr>
              <w:jc w:val="center"/>
              <w:rPr>
                <w:rFonts w:ascii="宋体" w:hAnsi="宋体" w:eastAsia="宋体" w:cs="Times New Roman"/>
                <w:szCs w:val="21"/>
              </w:rPr>
            </w:pPr>
            <w:r>
              <w:rPr>
                <w:rFonts w:ascii="宋体" w:hAnsi="宋体" w:eastAsia="宋体" w:cs="Times New Roman"/>
                <w:szCs w:val="21"/>
              </w:rPr>
              <w:t>10.2505</w:t>
            </w:r>
          </w:p>
        </w:tc>
      </w:tr>
      <w:tr w14:paraId="19D00BEE">
        <w:tblPrEx>
          <w:tblBorders>
            <w:top w:val="single" w:color="auto" w:sz="12" w:space="0"/>
            <w:left w:val="single" w:color="auto" w:sz="12" w:space="0"/>
            <w:bottom w:val="single" w:color="auto" w:sz="12" w:space="0"/>
            <w:right w:val="single" w:color="auto" w:sz="12" w:space="0"/>
            <w:insideH w:val="single" w:color="auto" w:sz="2" w:space="0"/>
            <w:insideV w:val="single" w:color="auto" w:sz="4" w:space="0"/>
          </w:tblBorders>
          <w:tblCellMar>
            <w:top w:w="0" w:type="dxa"/>
            <w:left w:w="108" w:type="dxa"/>
            <w:bottom w:w="0" w:type="dxa"/>
            <w:right w:w="108" w:type="dxa"/>
          </w:tblCellMar>
        </w:tblPrEx>
        <w:trPr>
          <w:trHeight w:val="131" w:hRule="atLeast"/>
        </w:trPr>
        <w:tc>
          <w:tcPr>
            <w:tcW w:w="3813" w:type="dxa"/>
            <w:tcBorders>
              <w:tl2br w:val="nil"/>
              <w:tr2bl w:val="nil"/>
            </w:tcBorders>
            <w:vAlign w:val="center"/>
          </w:tcPr>
          <w:p w14:paraId="23DF9777">
            <w:pPr>
              <w:jc w:val="center"/>
              <w:rPr>
                <w:color w:val="000000"/>
                <w:szCs w:val="21"/>
              </w:rPr>
            </w:pPr>
            <w:r>
              <w:rPr>
                <w:rFonts w:ascii="宋体" w:hAnsi="宋体"/>
                <w:szCs w:val="21"/>
              </w:rPr>
              <w:t>400.0</w:t>
            </w:r>
          </w:p>
        </w:tc>
        <w:tc>
          <w:tcPr>
            <w:tcW w:w="2692" w:type="dxa"/>
            <w:tcBorders>
              <w:tl2br w:val="nil"/>
              <w:tr2bl w:val="nil"/>
            </w:tcBorders>
            <w:vAlign w:val="center"/>
          </w:tcPr>
          <w:p w14:paraId="53C265CE">
            <w:pPr>
              <w:jc w:val="center"/>
              <w:rPr>
                <w:rFonts w:ascii="宋体" w:hAnsi="宋体" w:eastAsia="宋体" w:cs="Times New Roman"/>
                <w:szCs w:val="21"/>
              </w:rPr>
            </w:pPr>
            <w:r>
              <w:rPr>
                <w:rFonts w:ascii="宋体" w:hAnsi="宋体" w:eastAsia="宋体" w:cs="Times New Roman"/>
                <w:szCs w:val="21"/>
              </w:rPr>
              <w:t>174.4900</w:t>
            </w:r>
          </w:p>
        </w:tc>
        <w:tc>
          <w:tcPr>
            <w:tcW w:w="2634" w:type="dxa"/>
            <w:tcBorders>
              <w:tl2br w:val="nil"/>
              <w:tr2bl w:val="nil"/>
            </w:tcBorders>
            <w:vAlign w:val="center"/>
          </w:tcPr>
          <w:p w14:paraId="63C864CE">
            <w:pPr>
              <w:jc w:val="center"/>
              <w:rPr>
                <w:rFonts w:ascii="宋体" w:hAnsi="宋体" w:eastAsia="宋体" w:cs="Times New Roman"/>
                <w:szCs w:val="21"/>
              </w:rPr>
            </w:pPr>
            <w:r>
              <w:rPr>
                <w:rFonts w:ascii="宋体" w:hAnsi="宋体" w:eastAsia="宋体" w:cs="Times New Roman"/>
                <w:szCs w:val="21"/>
              </w:rPr>
              <w:t>8.7245</w:t>
            </w:r>
          </w:p>
        </w:tc>
      </w:tr>
      <w:tr w14:paraId="4A1FD93F">
        <w:tblPrEx>
          <w:tblBorders>
            <w:top w:val="single" w:color="auto" w:sz="12" w:space="0"/>
            <w:left w:val="single" w:color="auto" w:sz="12" w:space="0"/>
            <w:bottom w:val="single" w:color="auto" w:sz="12" w:space="0"/>
            <w:right w:val="single" w:color="auto" w:sz="12" w:space="0"/>
            <w:insideH w:val="single" w:color="auto" w:sz="2" w:space="0"/>
            <w:insideV w:val="single" w:color="auto" w:sz="4" w:space="0"/>
          </w:tblBorders>
          <w:tblCellMar>
            <w:top w:w="0" w:type="dxa"/>
            <w:left w:w="108" w:type="dxa"/>
            <w:bottom w:w="0" w:type="dxa"/>
            <w:right w:w="108" w:type="dxa"/>
          </w:tblCellMar>
        </w:tblPrEx>
        <w:trPr>
          <w:trHeight w:val="131" w:hRule="atLeast"/>
        </w:trPr>
        <w:tc>
          <w:tcPr>
            <w:tcW w:w="3813" w:type="dxa"/>
            <w:tcBorders>
              <w:tl2br w:val="nil"/>
              <w:tr2bl w:val="nil"/>
            </w:tcBorders>
            <w:vAlign w:val="center"/>
          </w:tcPr>
          <w:p w14:paraId="5D665BD0">
            <w:pPr>
              <w:jc w:val="center"/>
              <w:rPr>
                <w:b/>
                <w:color w:val="000000"/>
                <w:szCs w:val="21"/>
              </w:rPr>
            </w:pPr>
            <w:r>
              <w:rPr>
                <w:rFonts w:ascii="宋体" w:hAnsi="宋体"/>
                <w:szCs w:val="21"/>
              </w:rPr>
              <w:t>500.0</w:t>
            </w:r>
          </w:p>
        </w:tc>
        <w:tc>
          <w:tcPr>
            <w:tcW w:w="2692" w:type="dxa"/>
            <w:tcBorders>
              <w:tl2br w:val="nil"/>
              <w:tr2bl w:val="nil"/>
            </w:tcBorders>
            <w:vAlign w:val="center"/>
          </w:tcPr>
          <w:p w14:paraId="3ADD16CD">
            <w:pPr>
              <w:jc w:val="center"/>
              <w:rPr>
                <w:rFonts w:ascii="宋体" w:hAnsi="宋体" w:eastAsia="宋体" w:cs="Times New Roman"/>
                <w:szCs w:val="21"/>
              </w:rPr>
            </w:pPr>
            <w:r>
              <w:rPr>
                <w:rFonts w:ascii="宋体" w:hAnsi="宋体" w:eastAsia="宋体" w:cs="Times New Roman"/>
                <w:szCs w:val="21"/>
              </w:rPr>
              <w:t>145.9100</w:t>
            </w:r>
          </w:p>
        </w:tc>
        <w:tc>
          <w:tcPr>
            <w:tcW w:w="2634" w:type="dxa"/>
            <w:tcBorders>
              <w:tl2br w:val="nil"/>
              <w:tr2bl w:val="nil"/>
            </w:tcBorders>
            <w:vAlign w:val="center"/>
          </w:tcPr>
          <w:p w14:paraId="4EC080F3">
            <w:pPr>
              <w:jc w:val="center"/>
              <w:rPr>
                <w:rFonts w:ascii="宋体" w:hAnsi="宋体" w:eastAsia="宋体" w:cs="Times New Roman"/>
                <w:szCs w:val="21"/>
              </w:rPr>
            </w:pPr>
            <w:r>
              <w:rPr>
                <w:rFonts w:ascii="宋体" w:hAnsi="宋体" w:eastAsia="宋体" w:cs="Times New Roman"/>
                <w:szCs w:val="21"/>
              </w:rPr>
              <w:t>7.2955</w:t>
            </w:r>
          </w:p>
        </w:tc>
      </w:tr>
      <w:tr w14:paraId="1C18BB40">
        <w:tblPrEx>
          <w:tblBorders>
            <w:top w:val="single" w:color="auto" w:sz="12" w:space="0"/>
            <w:left w:val="single" w:color="auto" w:sz="12" w:space="0"/>
            <w:bottom w:val="single" w:color="auto" w:sz="12" w:space="0"/>
            <w:right w:val="single" w:color="auto" w:sz="12" w:space="0"/>
            <w:insideH w:val="single" w:color="auto" w:sz="2" w:space="0"/>
            <w:insideV w:val="single" w:color="auto" w:sz="4" w:space="0"/>
          </w:tblBorders>
          <w:tblCellMar>
            <w:top w:w="0" w:type="dxa"/>
            <w:left w:w="108" w:type="dxa"/>
            <w:bottom w:w="0" w:type="dxa"/>
            <w:right w:w="108" w:type="dxa"/>
          </w:tblCellMar>
        </w:tblPrEx>
        <w:trPr>
          <w:trHeight w:val="131" w:hRule="atLeast"/>
        </w:trPr>
        <w:tc>
          <w:tcPr>
            <w:tcW w:w="3813" w:type="dxa"/>
            <w:tcBorders>
              <w:tl2br w:val="nil"/>
              <w:tr2bl w:val="nil"/>
            </w:tcBorders>
            <w:vAlign w:val="center"/>
          </w:tcPr>
          <w:p w14:paraId="42DE201A">
            <w:pPr>
              <w:jc w:val="center"/>
              <w:rPr>
                <w:color w:val="000000"/>
                <w:szCs w:val="21"/>
              </w:rPr>
            </w:pPr>
            <w:r>
              <w:rPr>
                <w:rFonts w:ascii="宋体" w:hAnsi="宋体"/>
                <w:szCs w:val="21"/>
              </w:rPr>
              <w:t>600.0</w:t>
            </w:r>
          </w:p>
        </w:tc>
        <w:tc>
          <w:tcPr>
            <w:tcW w:w="2692" w:type="dxa"/>
            <w:tcBorders>
              <w:tl2br w:val="nil"/>
              <w:tr2bl w:val="nil"/>
            </w:tcBorders>
            <w:vAlign w:val="center"/>
          </w:tcPr>
          <w:p w14:paraId="5E825398">
            <w:pPr>
              <w:jc w:val="center"/>
              <w:rPr>
                <w:rFonts w:ascii="宋体" w:hAnsi="宋体" w:eastAsia="宋体" w:cs="Times New Roman"/>
                <w:szCs w:val="21"/>
              </w:rPr>
            </w:pPr>
            <w:r>
              <w:rPr>
                <w:rFonts w:ascii="宋体" w:hAnsi="宋体" w:eastAsia="宋体" w:cs="Times New Roman"/>
                <w:szCs w:val="21"/>
              </w:rPr>
              <w:t>123.3800</w:t>
            </w:r>
          </w:p>
        </w:tc>
        <w:tc>
          <w:tcPr>
            <w:tcW w:w="2634" w:type="dxa"/>
            <w:tcBorders>
              <w:tl2br w:val="nil"/>
              <w:tr2bl w:val="nil"/>
            </w:tcBorders>
            <w:vAlign w:val="center"/>
          </w:tcPr>
          <w:p w14:paraId="48CDD95E">
            <w:pPr>
              <w:jc w:val="center"/>
              <w:rPr>
                <w:rFonts w:ascii="宋体" w:hAnsi="宋体" w:eastAsia="宋体" w:cs="Times New Roman"/>
                <w:szCs w:val="21"/>
              </w:rPr>
            </w:pPr>
            <w:r>
              <w:rPr>
                <w:rFonts w:ascii="宋体" w:hAnsi="宋体" w:eastAsia="宋体" w:cs="Times New Roman"/>
                <w:szCs w:val="21"/>
              </w:rPr>
              <w:t>6.1690</w:t>
            </w:r>
          </w:p>
        </w:tc>
      </w:tr>
      <w:tr w14:paraId="00446E27">
        <w:tblPrEx>
          <w:tblBorders>
            <w:top w:val="single" w:color="auto" w:sz="12" w:space="0"/>
            <w:left w:val="single" w:color="auto" w:sz="12" w:space="0"/>
            <w:bottom w:val="single" w:color="auto" w:sz="12" w:space="0"/>
            <w:right w:val="single" w:color="auto" w:sz="12" w:space="0"/>
            <w:insideH w:val="single" w:color="auto" w:sz="2" w:space="0"/>
            <w:insideV w:val="single" w:color="auto" w:sz="4" w:space="0"/>
          </w:tblBorders>
          <w:tblCellMar>
            <w:top w:w="0" w:type="dxa"/>
            <w:left w:w="108" w:type="dxa"/>
            <w:bottom w:w="0" w:type="dxa"/>
            <w:right w:w="108" w:type="dxa"/>
          </w:tblCellMar>
        </w:tblPrEx>
        <w:trPr>
          <w:trHeight w:val="131" w:hRule="atLeast"/>
        </w:trPr>
        <w:tc>
          <w:tcPr>
            <w:tcW w:w="3813" w:type="dxa"/>
            <w:tcBorders>
              <w:tl2br w:val="nil"/>
              <w:tr2bl w:val="nil"/>
            </w:tcBorders>
            <w:vAlign w:val="center"/>
          </w:tcPr>
          <w:p w14:paraId="7BD44064">
            <w:pPr>
              <w:jc w:val="center"/>
              <w:rPr>
                <w:color w:val="000000"/>
                <w:szCs w:val="21"/>
              </w:rPr>
            </w:pPr>
            <w:r>
              <w:rPr>
                <w:rFonts w:ascii="宋体" w:hAnsi="宋体"/>
                <w:szCs w:val="21"/>
              </w:rPr>
              <w:t>700.0</w:t>
            </w:r>
          </w:p>
        </w:tc>
        <w:tc>
          <w:tcPr>
            <w:tcW w:w="2692" w:type="dxa"/>
            <w:tcBorders>
              <w:tl2br w:val="nil"/>
              <w:tr2bl w:val="nil"/>
            </w:tcBorders>
            <w:vAlign w:val="center"/>
          </w:tcPr>
          <w:p w14:paraId="18B73ABC">
            <w:pPr>
              <w:jc w:val="center"/>
              <w:rPr>
                <w:rFonts w:ascii="宋体" w:hAnsi="宋体" w:eastAsia="宋体" w:cs="Times New Roman"/>
                <w:szCs w:val="21"/>
              </w:rPr>
            </w:pPr>
            <w:r>
              <w:rPr>
                <w:rFonts w:ascii="宋体" w:hAnsi="宋体" w:eastAsia="宋体" w:cs="Times New Roman"/>
                <w:szCs w:val="21"/>
              </w:rPr>
              <w:t>105.9700</w:t>
            </w:r>
          </w:p>
        </w:tc>
        <w:tc>
          <w:tcPr>
            <w:tcW w:w="2634" w:type="dxa"/>
            <w:tcBorders>
              <w:tl2br w:val="nil"/>
              <w:tr2bl w:val="nil"/>
            </w:tcBorders>
            <w:vAlign w:val="center"/>
          </w:tcPr>
          <w:p w14:paraId="48550242">
            <w:pPr>
              <w:jc w:val="center"/>
              <w:rPr>
                <w:rFonts w:ascii="宋体" w:hAnsi="宋体" w:eastAsia="宋体" w:cs="Times New Roman"/>
                <w:szCs w:val="21"/>
              </w:rPr>
            </w:pPr>
            <w:r>
              <w:rPr>
                <w:rFonts w:ascii="宋体" w:hAnsi="宋体" w:eastAsia="宋体" w:cs="Times New Roman"/>
                <w:szCs w:val="21"/>
              </w:rPr>
              <w:t>5.2985</w:t>
            </w:r>
          </w:p>
        </w:tc>
      </w:tr>
      <w:tr w14:paraId="0A2A97E7">
        <w:tblPrEx>
          <w:tblBorders>
            <w:top w:val="single" w:color="auto" w:sz="12" w:space="0"/>
            <w:left w:val="single" w:color="auto" w:sz="12" w:space="0"/>
            <w:bottom w:val="single" w:color="auto" w:sz="12" w:space="0"/>
            <w:right w:val="single" w:color="auto" w:sz="12" w:space="0"/>
            <w:insideH w:val="single" w:color="auto" w:sz="2" w:space="0"/>
            <w:insideV w:val="single" w:color="auto" w:sz="4" w:space="0"/>
          </w:tblBorders>
          <w:tblCellMar>
            <w:top w:w="0" w:type="dxa"/>
            <w:left w:w="108" w:type="dxa"/>
            <w:bottom w:w="0" w:type="dxa"/>
            <w:right w:w="108" w:type="dxa"/>
          </w:tblCellMar>
        </w:tblPrEx>
        <w:trPr>
          <w:trHeight w:val="131" w:hRule="atLeast"/>
        </w:trPr>
        <w:tc>
          <w:tcPr>
            <w:tcW w:w="3813" w:type="dxa"/>
            <w:tcBorders>
              <w:tl2br w:val="nil"/>
              <w:tr2bl w:val="nil"/>
            </w:tcBorders>
            <w:vAlign w:val="center"/>
          </w:tcPr>
          <w:p w14:paraId="5C428F47">
            <w:pPr>
              <w:jc w:val="center"/>
              <w:rPr>
                <w:color w:val="000000"/>
                <w:szCs w:val="21"/>
              </w:rPr>
            </w:pPr>
            <w:r>
              <w:rPr>
                <w:rFonts w:ascii="宋体" w:hAnsi="宋体"/>
                <w:szCs w:val="21"/>
              </w:rPr>
              <w:t>800.0</w:t>
            </w:r>
          </w:p>
        </w:tc>
        <w:tc>
          <w:tcPr>
            <w:tcW w:w="2692" w:type="dxa"/>
            <w:tcBorders>
              <w:tl2br w:val="nil"/>
              <w:tr2bl w:val="nil"/>
            </w:tcBorders>
            <w:vAlign w:val="center"/>
          </w:tcPr>
          <w:p w14:paraId="007F9115">
            <w:pPr>
              <w:jc w:val="center"/>
              <w:rPr>
                <w:rFonts w:ascii="宋体" w:hAnsi="宋体" w:eastAsia="宋体" w:cs="Times New Roman"/>
                <w:szCs w:val="21"/>
              </w:rPr>
            </w:pPr>
            <w:r>
              <w:rPr>
                <w:rFonts w:ascii="宋体" w:hAnsi="宋体" w:eastAsia="宋体" w:cs="Times New Roman"/>
                <w:szCs w:val="21"/>
              </w:rPr>
              <w:t>94.4240</w:t>
            </w:r>
          </w:p>
        </w:tc>
        <w:tc>
          <w:tcPr>
            <w:tcW w:w="2634" w:type="dxa"/>
            <w:tcBorders>
              <w:tl2br w:val="nil"/>
              <w:tr2bl w:val="nil"/>
            </w:tcBorders>
            <w:vAlign w:val="center"/>
          </w:tcPr>
          <w:p w14:paraId="38ED7EEA">
            <w:pPr>
              <w:jc w:val="center"/>
              <w:rPr>
                <w:rFonts w:ascii="宋体" w:hAnsi="宋体" w:eastAsia="宋体" w:cs="Times New Roman"/>
                <w:szCs w:val="21"/>
              </w:rPr>
            </w:pPr>
            <w:r>
              <w:rPr>
                <w:rFonts w:ascii="宋体" w:hAnsi="宋体" w:eastAsia="宋体" w:cs="Times New Roman"/>
                <w:szCs w:val="21"/>
              </w:rPr>
              <w:t>4.7212</w:t>
            </w:r>
          </w:p>
        </w:tc>
      </w:tr>
      <w:tr w14:paraId="5359C801">
        <w:tblPrEx>
          <w:tblBorders>
            <w:top w:val="single" w:color="auto" w:sz="12" w:space="0"/>
            <w:left w:val="single" w:color="auto" w:sz="12" w:space="0"/>
            <w:bottom w:val="single" w:color="auto" w:sz="12" w:space="0"/>
            <w:right w:val="single" w:color="auto" w:sz="12" w:space="0"/>
            <w:insideH w:val="single" w:color="auto" w:sz="2" w:space="0"/>
            <w:insideV w:val="single" w:color="auto" w:sz="4" w:space="0"/>
          </w:tblBorders>
          <w:tblCellMar>
            <w:top w:w="0" w:type="dxa"/>
            <w:left w:w="108" w:type="dxa"/>
            <w:bottom w:w="0" w:type="dxa"/>
            <w:right w:w="108" w:type="dxa"/>
          </w:tblCellMar>
        </w:tblPrEx>
        <w:trPr>
          <w:trHeight w:val="131" w:hRule="atLeast"/>
        </w:trPr>
        <w:tc>
          <w:tcPr>
            <w:tcW w:w="3813" w:type="dxa"/>
            <w:tcBorders>
              <w:tl2br w:val="nil"/>
              <w:tr2bl w:val="nil"/>
            </w:tcBorders>
            <w:vAlign w:val="center"/>
          </w:tcPr>
          <w:p w14:paraId="1F121D09">
            <w:pPr>
              <w:jc w:val="center"/>
              <w:rPr>
                <w:color w:val="000000"/>
                <w:szCs w:val="21"/>
              </w:rPr>
            </w:pPr>
            <w:r>
              <w:rPr>
                <w:rFonts w:ascii="宋体" w:hAnsi="宋体"/>
                <w:szCs w:val="21"/>
              </w:rPr>
              <w:t>900.0</w:t>
            </w:r>
          </w:p>
        </w:tc>
        <w:tc>
          <w:tcPr>
            <w:tcW w:w="2692" w:type="dxa"/>
            <w:tcBorders>
              <w:tl2br w:val="nil"/>
              <w:tr2bl w:val="nil"/>
            </w:tcBorders>
            <w:vAlign w:val="center"/>
          </w:tcPr>
          <w:p w14:paraId="14F0AAE1">
            <w:pPr>
              <w:jc w:val="center"/>
              <w:rPr>
                <w:rFonts w:ascii="宋体" w:hAnsi="宋体" w:eastAsia="宋体" w:cs="Times New Roman"/>
                <w:szCs w:val="21"/>
              </w:rPr>
            </w:pPr>
            <w:r>
              <w:rPr>
                <w:rFonts w:ascii="宋体" w:hAnsi="宋体" w:eastAsia="宋体" w:cs="Times New Roman"/>
                <w:szCs w:val="21"/>
              </w:rPr>
              <w:t>86.9800</w:t>
            </w:r>
          </w:p>
        </w:tc>
        <w:tc>
          <w:tcPr>
            <w:tcW w:w="2634" w:type="dxa"/>
            <w:tcBorders>
              <w:tl2br w:val="nil"/>
              <w:tr2bl w:val="nil"/>
            </w:tcBorders>
            <w:vAlign w:val="center"/>
          </w:tcPr>
          <w:p w14:paraId="6FD82D96">
            <w:pPr>
              <w:jc w:val="center"/>
              <w:rPr>
                <w:rFonts w:ascii="宋体" w:hAnsi="宋体" w:eastAsia="宋体" w:cs="Times New Roman"/>
                <w:szCs w:val="21"/>
              </w:rPr>
            </w:pPr>
            <w:r>
              <w:rPr>
                <w:rFonts w:ascii="宋体" w:hAnsi="宋体" w:eastAsia="宋体" w:cs="Times New Roman"/>
                <w:szCs w:val="21"/>
              </w:rPr>
              <w:t>4.3490</w:t>
            </w:r>
          </w:p>
        </w:tc>
      </w:tr>
      <w:tr w14:paraId="495FD3A8">
        <w:tblPrEx>
          <w:tblBorders>
            <w:top w:val="single" w:color="auto" w:sz="12" w:space="0"/>
            <w:left w:val="single" w:color="auto" w:sz="12" w:space="0"/>
            <w:bottom w:val="single" w:color="auto" w:sz="12" w:space="0"/>
            <w:right w:val="single" w:color="auto" w:sz="12" w:space="0"/>
            <w:insideH w:val="single" w:color="auto" w:sz="2" w:space="0"/>
            <w:insideV w:val="single" w:color="auto" w:sz="4" w:space="0"/>
          </w:tblBorders>
          <w:tblCellMar>
            <w:top w:w="0" w:type="dxa"/>
            <w:left w:w="108" w:type="dxa"/>
            <w:bottom w:w="0" w:type="dxa"/>
            <w:right w:w="108" w:type="dxa"/>
          </w:tblCellMar>
        </w:tblPrEx>
        <w:trPr>
          <w:trHeight w:val="133" w:hRule="atLeast"/>
        </w:trPr>
        <w:tc>
          <w:tcPr>
            <w:tcW w:w="3813" w:type="dxa"/>
            <w:tcBorders>
              <w:tl2br w:val="nil"/>
              <w:tr2bl w:val="nil"/>
            </w:tcBorders>
            <w:vAlign w:val="center"/>
          </w:tcPr>
          <w:p w14:paraId="365AB996">
            <w:pPr>
              <w:jc w:val="center"/>
              <w:rPr>
                <w:color w:val="000000"/>
                <w:szCs w:val="21"/>
              </w:rPr>
            </w:pPr>
            <w:r>
              <w:rPr>
                <w:rFonts w:ascii="宋体" w:hAnsi="宋体"/>
                <w:szCs w:val="21"/>
              </w:rPr>
              <w:t>1000.0</w:t>
            </w:r>
          </w:p>
        </w:tc>
        <w:tc>
          <w:tcPr>
            <w:tcW w:w="2692" w:type="dxa"/>
            <w:tcBorders>
              <w:tl2br w:val="nil"/>
              <w:tr2bl w:val="nil"/>
            </w:tcBorders>
            <w:vAlign w:val="center"/>
          </w:tcPr>
          <w:p w14:paraId="518E868F">
            <w:pPr>
              <w:jc w:val="center"/>
              <w:rPr>
                <w:rFonts w:ascii="宋体" w:hAnsi="宋体" w:eastAsia="宋体" w:cs="Times New Roman"/>
                <w:szCs w:val="21"/>
              </w:rPr>
            </w:pPr>
            <w:r>
              <w:rPr>
                <w:rFonts w:ascii="宋体" w:hAnsi="宋体" w:eastAsia="宋体" w:cs="Times New Roman"/>
                <w:szCs w:val="21"/>
              </w:rPr>
              <w:t>87.5710</w:t>
            </w:r>
          </w:p>
        </w:tc>
        <w:tc>
          <w:tcPr>
            <w:tcW w:w="2634" w:type="dxa"/>
            <w:tcBorders>
              <w:tl2br w:val="nil"/>
              <w:tr2bl w:val="nil"/>
            </w:tcBorders>
            <w:vAlign w:val="center"/>
          </w:tcPr>
          <w:p w14:paraId="63CCF855">
            <w:pPr>
              <w:jc w:val="center"/>
              <w:rPr>
                <w:rFonts w:ascii="宋体" w:hAnsi="宋体" w:eastAsia="宋体" w:cs="Times New Roman"/>
                <w:szCs w:val="21"/>
              </w:rPr>
            </w:pPr>
            <w:r>
              <w:rPr>
                <w:rFonts w:ascii="宋体" w:hAnsi="宋体" w:eastAsia="宋体" w:cs="Times New Roman"/>
                <w:szCs w:val="21"/>
              </w:rPr>
              <w:t>4.3785</w:t>
            </w:r>
          </w:p>
        </w:tc>
      </w:tr>
      <w:tr w14:paraId="3D827B93">
        <w:tblPrEx>
          <w:tblBorders>
            <w:top w:val="single" w:color="auto" w:sz="12" w:space="0"/>
            <w:left w:val="single" w:color="auto" w:sz="12" w:space="0"/>
            <w:bottom w:val="single" w:color="auto" w:sz="12" w:space="0"/>
            <w:right w:val="single" w:color="auto" w:sz="12" w:space="0"/>
            <w:insideH w:val="single" w:color="auto" w:sz="2" w:space="0"/>
            <w:insideV w:val="single" w:color="auto" w:sz="4" w:space="0"/>
          </w:tblBorders>
          <w:tblCellMar>
            <w:top w:w="0" w:type="dxa"/>
            <w:left w:w="108" w:type="dxa"/>
            <w:bottom w:w="0" w:type="dxa"/>
            <w:right w:w="108" w:type="dxa"/>
          </w:tblCellMar>
        </w:tblPrEx>
        <w:trPr>
          <w:trHeight w:val="131" w:hRule="atLeast"/>
        </w:trPr>
        <w:tc>
          <w:tcPr>
            <w:tcW w:w="3813" w:type="dxa"/>
            <w:tcBorders>
              <w:tl2br w:val="nil"/>
              <w:tr2bl w:val="nil"/>
            </w:tcBorders>
            <w:vAlign w:val="center"/>
          </w:tcPr>
          <w:p w14:paraId="7C47BAC1">
            <w:pPr>
              <w:jc w:val="center"/>
              <w:rPr>
                <w:color w:val="000000"/>
                <w:szCs w:val="21"/>
              </w:rPr>
            </w:pPr>
            <w:r>
              <w:rPr>
                <w:rFonts w:ascii="宋体" w:hAnsi="宋体"/>
                <w:szCs w:val="21"/>
              </w:rPr>
              <w:t>1200.0</w:t>
            </w:r>
          </w:p>
        </w:tc>
        <w:tc>
          <w:tcPr>
            <w:tcW w:w="2692" w:type="dxa"/>
            <w:tcBorders>
              <w:tl2br w:val="nil"/>
              <w:tr2bl w:val="nil"/>
            </w:tcBorders>
            <w:vAlign w:val="center"/>
          </w:tcPr>
          <w:p w14:paraId="66D47F70">
            <w:pPr>
              <w:jc w:val="center"/>
              <w:rPr>
                <w:rFonts w:ascii="宋体" w:hAnsi="宋体" w:eastAsia="宋体" w:cs="Times New Roman"/>
                <w:szCs w:val="21"/>
              </w:rPr>
            </w:pPr>
            <w:r>
              <w:rPr>
                <w:rFonts w:ascii="宋体" w:hAnsi="宋体" w:eastAsia="宋体" w:cs="Times New Roman"/>
                <w:szCs w:val="21"/>
              </w:rPr>
              <w:t>83.4580</w:t>
            </w:r>
          </w:p>
        </w:tc>
        <w:tc>
          <w:tcPr>
            <w:tcW w:w="2634" w:type="dxa"/>
            <w:tcBorders>
              <w:tl2br w:val="nil"/>
              <w:tr2bl w:val="nil"/>
            </w:tcBorders>
            <w:vAlign w:val="center"/>
          </w:tcPr>
          <w:p w14:paraId="0129D950">
            <w:pPr>
              <w:jc w:val="center"/>
              <w:rPr>
                <w:rFonts w:ascii="宋体" w:hAnsi="宋体" w:eastAsia="宋体" w:cs="Times New Roman"/>
                <w:szCs w:val="21"/>
              </w:rPr>
            </w:pPr>
            <w:r>
              <w:rPr>
                <w:rFonts w:ascii="宋体" w:hAnsi="宋体" w:eastAsia="宋体" w:cs="Times New Roman"/>
                <w:szCs w:val="21"/>
              </w:rPr>
              <w:t>4.1729</w:t>
            </w:r>
          </w:p>
        </w:tc>
      </w:tr>
      <w:tr w14:paraId="38633F8F">
        <w:tblPrEx>
          <w:tblBorders>
            <w:top w:val="single" w:color="auto" w:sz="12" w:space="0"/>
            <w:left w:val="single" w:color="auto" w:sz="12" w:space="0"/>
            <w:bottom w:val="single" w:color="auto" w:sz="12" w:space="0"/>
            <w:right w:val="single" w:color="auto" w:sz="12" w:space="0"/>
            <w:insideH w:val="single" w:color="auto" w:sz="2" w:space="0"/>
            <w:insideV w:val="single" w:color="auto" w:sz="4" w:space="0"/>
          </w:tblBorders>
          <w:tblCellMar>
            <w:top w:w="0" w:type="dxa"/>
            <w:left w:w="108" w:type="dxa"/>
            <w:bottom w:w="0" w:type="dxa"/>
            <w:right w:w="108" w:type="dxa"/>
          </w:tblCellMar>
        </w:tblPrEx>
        <w:trPr>
          <w:trHeight w:val="131" w:hRule="atLeast"/>
        </w:trPr>
        <w:tc>
          <w:tcPr>
            <w:tcW w:w="3813" w:type="dxa"/>
            <w:tcBorders>
              <w:tl2br w:val="nil"/>
              <w:tr2bl w:val="nil"/>
            </w:tcBorders>
            <w:vAlign w:val="center"/>
          </w:tcPr>
          <w:p w14:paraId="51CB8201">
            <w:pPr>
              <w:jc w:val="center"/>
              <w:rPr>
                <w:color w:val="000000"/>
                <w:szCs w:val="21"/>
              </w:rPr>
            </w:pPr>
            <w:r>
              <w:rPr>
                <w:rFonts w:ascii="宋体" w:hAnsi="宋体"/>
                <w:szCs w:val="21"/>
              </w:rPr>
              <w:t>1400.0</w:t>
            </w:r>
          </w:p>
        </w:tc>
        <w:tc>
          <w:tcPr>
            <w:tcW w:w="2692" w:type="dxa"/>
            <w:tcBorders>
              <w:tl2br w:val="nil"/>
              <w:tr2bl w:val="nil"/>
            </w:tcBorders>
            <w:vAlign w:val="center"/>
          </w:tcPr>
          <w:p w14:paraId="0747503C">
            <w:pPr>
              <w:jc w:val="center"/>
              <w:rPr>
                <w:rFonts w:ascii="宋体" w:hAnsi="宋体" w:eastAsia="宋体" w:cs="Times New Roman"/>
                <w:szCs w:val="21"/>
              </w:rPr>
            </w:pPr>
            <w:r>
              <w:rPr>
                <w:rFonts w:ascii="宋体" w:hAnsi="宋体" w:eastAsia="宋体" w:cs="Times New Roman"/>
                <w:szCs w:val="21"/>
              </w:rPr>
              <w:t>77.6790</w:t>
            </w:r>
          </w:p>
        </w:tc>
        <w:tc>
          <w:tcPr>
            <w:tcW w:w="2634" w:type="dxa"/>
            <w:tcBorders>
              <w:tl2br w:val="nil"/>
              <w:tr2bl w:val="nil"/>
            </w:tcBorders>
            <w:vAlign w:val="center"/>
          </w:tcPr>
          <w:p w14:paraId="55DDC88A">
            <w:pPr>
              <w:jc w:val="center"/>
              <w:rPr>
                <w:rFonts w:ascii="宋体" w:hAnsi="宋体" w:eastAsia="宋体" w:cs="Times New Roman"/>
                <w:szCs w:val="21"/>
              </w:rPr>
            </w:pPr>
            <w:r>
              <w:rPr>
                <w:rFonts w:ascii="宋体" w:hAnsi="宋体" w:eastAsia="宋体" w:cs="Times New Roman"/>
                <w:szCs w:val="21"/>
              </w:rPr>
              <w:t>3.8840</w:t>
            </w:r>
          </w:p>
        </w:tc>
      </w:tr>
      <w:tr w14:paraId="47EAA4BC">
        <w:tblPrEx>
          <w:tblBorders>
            <w:top w:val="single" w:color="auto" w:sz="12" w:space="0"/>
            <w:left w:val="single" w:color="auto" w:sz="12" w:space="0"/>
            <w:bottom w:val="single" w:color="auto" w:sz="12" w:space="0"/>
            <w:right w:val="single" w:color="auto" w:sz="12" w:space="0"/>
            <w:insideH w:val="single" w:color="auto" w:sz="2" w:space="0"/>
            <w:insideV w:val="single" w:color="auto" w:sz="4" w:space="0"/>
          </w:tblBorders>
          <w:tblCellMar>
            <w:top w:w="0" w:type="dxa"/>
            <w:left w:w="108" w:type="dxa"/>
            <w:bottom w:w="0" w:type="dxa"/>
            <w:right w:w="108" w:type="dxa"/>
          </w:tblCellMar>
        </w:tblPrEx>
        <w:trPr>
          <w:trHeight w:val="131" w:hRule="atLeast"/>
        </w:trPr>
        <w:tc>
          <w:tcPr>
            <w:tcW w:w="3813" w:type="dxa"/>
            <w:tcBorders>
              <w:tl2br w:val="nil"/>
              <w:tr2bl w:val="nil"/>
            </w:tcBorders>
            <w:vAlign w:val="center"/>
          </w:tcPr>
          <w:p w14:paraId="528A1A3A">
            <w:pPr>
              <w:jc w:val="center"/>
              <w:rPr>
                <w:color w:val="000000"/>
                <w:szCs w:val="21"/>
              </w:rPr>
            </w:pPr>
            <w:r>
              <w:rPr>
                <w:rFonts w:ascii="宋体" w:hAnsi="宋体"/>
                <w:szCs w:val="21"/>
              </w:rPr>
              <w:t>1600.0</w:t>
            </w:r>
          </w:p>
        </w:tc>
        <w:tc>
          <w:tcPr>
            <w:tcW w:w="2692" w:type="dxa"/>
            <w:tcBorders>
              <w:tl2br w:val="nil"/>
              <w:tr2bl w:val="nil"/>
            </w:tcBorders>
            <w:vAlign w:val="center"/>
          </w:tcPr>
          <w:p w14:paraId="171D15A3">
            <w:pPr>
              <w:jc w:val="center"/>
              <w:rPr>
                <w:rFonts w:ascii="宋体" w:hAnsi="宋体" w:eastAsia="宋体" w:cs="Times New Roman"/>
                <w:szCs w:val="21"/>
              </w:rPr>
            </w:pPr>
            <w:r>
              <w:rPr>
                <w:rFonts w:ascii="宋体" w:hAnsi="宋体" w:eastAsia="宋体" w:cs="Times New Roman"/>
                <w:szCs w:val="21"/>
              </w:rPr>
              <w:t>71.6240</w:t>
            </w:r>
          </w:p>
        </w:tc>
        <w:tc>
          <w:tcPr>
            <w:tcW w:w="2634" w:type="dxa"/>
            <w:tcBorders>
              <w:tl2br w:val="nil"/>
              <w:tr2bl w:val="nil"/>
            </w:tcBorders>
            <w:vAlign w:val="center"/>
          </w:tcPr>
          <w:p w14:paraId="51D3DDA3">
            <w:pPr>
              <w:jc w:val="center"/>
              <w:rPr>
                <w:rFonts w:ascii="宋体" w:hAnsi="宋体" w:eastAsia="宋体" w:cs="Times New Roman"/>
                <w:szCs w:val="21"/>
              </w:rPr>
            </w:pPr>
            <w:r>
              <w:rPr>
                <w:rFonts w:ascii="宋体" w:hAnsi="宋体" w:eastAsia="宋体" w:cs="Times New Roman"/>
                <w:szCs w:val="21"/>
              </w:rPr>
              <w:t>3.5812</w:t>
            </w:r>
          </w:p>
        </w:tc>
      </w:tr>
      <w:tr w14:paraId="34F1BDF9">
        <w:tblPrEx>
          <w:tblBorders>
            <w:top w:val="single" w:color="auto" w:sz="12" w:space="0"/>
            <w:left w:val="single" w:color="auto" w:sz="12" w:space="0"/>
            <w:bottom w:val="single" w:color="auto" w:sz="12" w:space="0"/>
            <w:right w:val="single" w:color="auto" w:sz="12" w:space="0"/>
            <w:insideH w:val="single" w:color="auto" w:sz="2" w:space="0"/>
            <w:insideV w:val="single" w:color="auto" w:sz="4" w:space="0"/>
          </w:tblBorders>
          <w:tblCellMar>
            <w:top w:w="0" w:type="dxa"/>
            <w:left w:w="108" w:type="dxa"/>
            <w:bottom w:w="0" w:type="dxa"/>
            <w:right w:w="108" w:type="dxa"/>
          </w:tblCellMar>
        </w:tblPrEx>
        <w:trPr>
          <w:trHeight w:val="131" w:hRule="atLeast"/>
        </w:trPr>
        <w:tc>
          <w:tcPr>
            <w:tcW w:w="3813" w:type="dxa"/>
            <w:tcBorders>
              <w:tl2br w:val="nil"/>
              <w:tr2bl w:val="nil"/>
            </w:tcBorders>
            <w:vAlign w:val="center"/>
          </w:tcPr>
          <w:p w14:paraId="0FBE9711">
            <w:pPr>
              <w:jc w:val="center"/>
              <w:rPr>
                <w:color w:val="000000"/>
                <w:szCs w:val="21"/>
              </w:rPr>
            </w:pPr>
            <w:r>
              <w:rPr>
                <w:rFonts w:ascii="宋体" w:hAnsi="宋体"/>
                <w:szCs w:val="21"/>
              </w:rPr>
              <w:t>1800.0</w:t>
            </w:r>
          </w:p>
        </w:tc>
        <w:tc>
          <w:tcPr>
            <w:tcW w:w="2692" w:type="dxa"/>
            <w:tcBorders>
              <w:tl2br w:val="nil"/>
              <w:tr2bl w:val="nil"/>
            </w:tcBorders>
            <w:vAlign w:val="center"/>
          </w:tcPr>
          <w:p w14:paraId="1DB627B1">
            <w:pPr>
              <w:jc w:val="center"/>
              <w:rPr>
                <w:rFonts w:ascii="宋体" w:hAnsi="宋体" w:eastAsia="宋体" w:cs="Times New Roman"/>
                <w:szCs w:val="21"/>
              </w:rPr>
            </w:pPr>
            <w:r>
              <w:rPr>
                <w:rFonts w:ascii="宋体" w:hAnsi="宋体" w:eastAsia="宋体" w:cs="Times New Roman"/>
                <w:szCs w:val="21"/>
              </w:rPr>
              <w:t>65.8580</w:t>
            </w:r>
          </w:p>
        </w:tc>
        <w:tc>
          <w:tcPr>
            <w:tcW w:w="2634" w:type="dxa"/>
            <w:tcBorders>
              <w:tl2br w:val="nil"/>
              <w:tr2bl w:val="nil"/>
            </w:tcBorders>
            <w:vAlign w:val="center"/>
          </w:tcPr>
          <w:p w14:paraId="701D73D6">
            <w:pPr>
              <w:jc w:val="center"/>
              <w:rPr>
                <w:rFonts w:ascii="宋体" w:hAnsi="宋体" w:eastAsia="宋体" w:cs="Times New Roman"/>
                <w:szCs w:val="21"/>
              </w:rPr>
            </w:pPr>
            <w:r>
              <w:rPr>
                <w:rFonts w:ascii="宋体" w:hAnsi="宋体" w:eastAsia="宋体" w:cs="Times New Roman"/>
                <w:szCs w:val="21"/>
              </w:rPr>
              <w:t>3.2929</w:t>
            </w:r>
          </w:p>
        </w:tc>
      </w:tr>
      <w:tr w14:paraId="206D3DB6">
        <w:tblPrEx>
          <w:tblBorders>
            <w:top w:val="single" w:color="auto" w:sz="12" w:space="0"/>
            <w:left w:val="single" w:color="auto" w:sz="12" w:space="0"/>
            <w:bottom w:val="single" w:color="auto" w:sz="12" w:space="0"/>
            <w:right w:val="single" w:color="auto" w:sz="12" w:space="0"/>
            <w:insideH w:val="single" w:color="auto" w:sz="2" w:space="0"/>
            <w:insideV w:val="single" w:color="auto" w:sz="4" w:space="0"/>
          </w:tblBorders>
          <w:tblCellMar>
            <w:top w:w="0" w:type="dxa"/>
            <w:left w:w="108" w:type="dxa"/>
            <w:bottom w:w="0" w:type="dxa"/>
            <w:right w:w="108" w:type="dxa"/>
          </w:tblCellMar>
        </w:tblPrEx>
        <w:trPr>
          <w:trHeight w:val="131" w:hRule="atLeast"/>
        </w:trPr>
        <w:tc>
          <w:tcPr>
            <w:tcW w:w="3813" w:type="dxa"/>
            <w:tcBorders>
              <w:tl2br w:val="nil"/>
              <w:tr2bl w:val="nil"/>
            </w:tcBorders>
            <w:vAlign w:val="center"/>
          </w:tcPr>
          <w:p w14:paraId="3911BC38">
            <w:pPr>
              <w:jc w:val="center"/>
              <w:rPr>
                <w:color w:val="000000"/>
                <w:szCs w:val="21"/>
              </w:rPr>
            </w:pPr>
            <w:r>
              <w:rPr>
                <w:rFonts w:ascii="宋体" w:hAnsi="宋体"/>
                <w:szCs w:val="21"/>
              </w:rPr>
              <w:t>2000.0</w:t>
            </w:r>
          </w:p>
        </w:tc>
        <w:tc>
          <w:tcPr>
            <w:tcW w:w="2692" w:type="dxa"/>
            <w:tcBorders>
              <w:tl2br w:val="nil"/>
              <w:tr2bl w:val="nil"/>
            </w:tcBorders>
            <w:vAlign w:val="center"/>
          </w:tcPr>
          <w:p w14:paraId="786E841C">
            <w:pPr>
              <w:jc w:val="center"/>
              <w:rPr>
                <w:rFonts w:ascii="宋体" w:hAnsi="宋体" w:eastAsia="宋体" w:cs="Times New Roman"/>
                <w:szCs w:val="21"/>
              </w:rPr>
            </w:pPr>
            <w:r>
              <w:rPr>
                <w:rFonts w:ascii="宋体" w:hAnsi="宋体" w:eastAsia="宋体" w:cs="Times New Roman"/>
                <w:szCs w:val="21"/>
              </w:rPr>
              <w:t>60.9620</w:t>
            </w:r>
          </w:p>
        </w:tc>
        <w:tc>
          <w:tcPr>
            <w:tcW w:w="2634" w:type="dxa"/>
            <w:tcBorders>
              <w:tl2br w:val="nil"/>
              <w:tr2bl w:val="nil"/>
            </w:tcBorders>
            <w:vAlign w:val="center"/>
          </w:tcPr>
          <w:p w14:paraId="42CF2939">
            <w:pPr>
              <w:jc w:val="center"/>
              <w:rPr>
                <w:rFonts w:ascii="宋体" w:hAnsi="宋体" w:eastAsia="宋体" w:cs="Times New Roman"/>
                <w:szCs w:val="21"/>
              </w:rPr>
            </w:pPr>
            <w:r>
              <w:rPr>
                <w:rFonts w:ascii="宋体" w:hAnsi="宋体" w:eastAsia="宋体" w:cs="Times New Roman"/>
                <w:szCs w:val="21"/>
              </w:rPr>
              <w:t>3.0481</w:t>
            </w:r>
          </w:p>
        </w:tc>
      </w:tr>
      <w:tr w14:paraId="125FC1B2">
        <w:tblPrEx>
          <w:tblBorders>
            <w:top w:val="single" w:color="auto" w:sz="12" w:space="0"/>
            <w:left w:val="single" w:color="auto" w:sz="12" w:space="0"/>
            <w:bottom w:val="single" w:color="auto" w:sz="12" w:space="0"/>
            <w:right w:val="single" w:color="auto" w:sz="12" w:space="0"/>
            <w:insideH w:val="single" w:color="auto" w:sz="2" w:space="0"/>
            <w:insideV w:val="single" w:color="auto" w:sz="4" w:space="0"/>
          </w:tblBorders>
          <w:tblCellMar>
            <w:top w:w="0" w:type="dxa"/>
            <w:left w:w="108" w:type="dxa"/>
            <w:bottom w:w="0" w:type="dxa"/>
            <w:right w:w="108" w:type="dxa"/>
          </w:tblCellMar>
        </w:tblPrEx>
        <w:trPr>
          <w:trHeight w:val="137" w:hRule="atLeast"/>
        </w:trPr>
        <w:tc>
          <w:tcPr>
            <w:tcW w:w="3813" w:type="dxa"/>
            <w:tcBorders>
              <w:tl2br w:val="nil"/>
              <w:tr2bl w:val="nil"/>
            </w:tcBorders>
            <w:vAlign w:val="center"/>
          </w:tcPr>
          <w:p w14:paraId="19E525F8">
            <w:pPr>
              <w:jc w:val="center"/>
              <w:rPr>
                <w:color w:val="000000"/>
                <w:szCs w:val="21"/>
              </w:rPr>
            </w:pPr>
            <w:r>
              <w:rPr>
                <w:rFonts w:ascii="宋体" w:hAnsi="宋体"/>
                <w:szCs w:val="21"/>
              </w:rPr>
              <w:t>2500.0</w:t>
            </w:r>
          </w:p>
        </w:tc>
        <w:tc>
          <w:tcPr>
            <w:tcW w:w="2692" w:type="dxa"/>
            <w:tcBorders>
              <w:tl2br w:val="nil"/>
              <w:tr2bl w:val="nil"/>
            </w:tcBorders>
            <w:vAlign w:val="center"/>
          </w:tcPr>
          <w:p w14:paraId="06EE4D13">
            <w:pPr>
              <w:jc w:val="center"/>
              <w:rPr>
                <w:rFonts w:ascii="宋体" w:hAnsi="宋体" w:eastAsia="宋体" w:cs="Times New Roman"/>
                <w:szCs w:val="21"/>
              </w:rPr>
            </w:pPr>
            <w:r>
              <w:rPr>
                <w:rFonts w:ascii="宋体" w:hAnsi="宋体" w:eastAsia="宋体" w:cs="Times New Roman"/>
                <w:szCs w:val="21"/>
              </w:rPr>
              <w:t>54.6570</w:t>
            </w:r>
          </w:p>
        </w:tc>
        <w:tc>
          <w:tcPr>
            <w:tcW w:w="2634" w:type="dxa"/>
            <w:tcBorders>
              <w:tl2br w:val="nil"/>
              <w:tr2bl w:val="nil"/>
            </w:tcBorders>
            <w:vAlign w:val="center"/>
          </w:tcPr>
          <w:p w14:paraId="7F0F8B4B">
            <w:pPr>
              <w:jc w:val="center"/>
              <w:rPr>
                <w:rFonts w:ascii="宋体" w:hAnsi="宋体" w:eastAsia="宋体" w:cs="Times New Roman"/>
                <w:szCs w:val="21"/>
              </w:rPr>
            </w:pPr>
            <w:r>
              <w:rPr>
                <w:rFonts w:ascii="宋体" w:hAnsi="宋体" w:eastAsia="宋体" w:cs="Times New Roman"/>
                <w:szCs w:val="21"/>
              </w:rPr>
              <w:t>2.7329</w:t>
            </w:r>
          </w:p>
        </w:tc>
      </w:tr>
      <w:tr w14:paraId="0876A1B2">
        <w:tblPrEx>
          <w:tblBorders>
            <w:top w:val="single" w:color="auto" w:sz="12" w:space="0"/>
            <w:left w:val="single" w:color="auto" w:sz="12" w:space="0"/>
            <w:bottom w:val="single" w:color="auto" w:sz="12" w:space="0"/>
            <w:right w:val="single" w:color="auto" w:sz="12" w:space="0"/>
            <w:insideH w:val="single" w:color="auto" w:sz="2" w:space="0"/>
            <w:insideV w:val="single" w:color="auto" w:sz="4" w:space="0"/>
          </w:tblBorders>
          <w:tblCellMar>
            <w:top w:w="0" w:type="dxa"/>
            <w:left w:w="108" w:type="dxa"/>
            <w:bottom w:w="0" w:type="dxa"/>
            <w:right w:w="108" w:type="dxa"/>
          </w:tblCellMar>
        </w:tblPrEx>
        <w:trPr>
          <w:trHeight w:val="131" w:hRule="atLeast"/>
        </w:trPr>
        <w:tc>
          <w:tcPr>
            <w:tcW w:w="3813" w:type="dxa"/>
            <w:tcBorders>
              <w:tl2br w:val="nil"/>
              <w:tr2bl w:val="nil"/>
            </w:tcBorders>
            <w:vAlign w:val="center"/>
          </w:tcPr>
          <w:p w14:paraId="7E969078">
            <w:pPr>
              <w:jc w:val="center"/>
              <w:rPr>
                <w:color w:val="000000"/>
                <w:szCs w:val="21"/>
              </w:rPr>
            </w:pPr>
            <w:r>
              <w:rPr>
                <w:rFonts w:ascii="宋体" w:hAnsi="宋体"/>
                <w:szCs w:val="21"/>
              </w:rPr>
              <w:t>3000.0</w:t>
            </w:r>
          </w:p>
        </w:tc>
        <w:tc>
          <w:tcPr>
            <w:tcW w:w="2692" w:type="dxa"/>
            <w:tcBorders>
              <w:tl2br w:val="nil"/>
              <w:tr2bl w:val="nil"/>
            </w:tcBorders>
            <w:vAlign w:val="center"/>
          </w:tcPr>
          <w:p w14:paraId="71313E62">
            <w:pPr>
              <w:jc w:val="center"/>
              <w:rPr>
                <w:rFonts w:ascii="宋体" w:hAnsi="宋体" w:eastAsia="宋体" w:cs="Times New Roman"/>
                <w:szCs w:val="21"/>
              </w:rPr>
            </w:pPr>
            <w:r>
              <w:rPr>
                <w:rFonts w:ascii="宋体" w:hAnsi="宋体" w:eastAsia="宋体" w:cs="Times New Roman"/>
                <w:szCs w:val="21"/>
              </w:rPr>
              <w:t>48.6140</w:t>
            </w:r>
          </w:p>
        </w:tc>
        <w:tc>
          <w:tcPr>
            <w:tcW w:w="2634" w:type="dxa"/>
            <w:tcBorders>
              <w:tl2br w:val="nil"/>
              <w:tr2bl w:val="nil"/>
            </w:tcBorders>
            <w:vAlign w:val="center"/>
          </w:tcPr>
          <w:p w14:paraId="093319EF">
            <w:pPr>
              <w:jc w:val="center"/>
              <w:rPr>
                <w:rFonts w:ascii="宋体" w:hAnsi="宋体" w:eastAsia="宋体" w:cs="Times New Roman"/>
                <w:szCs w:val="21"/>
              </w:rPr>
            </w:pPr>
            <w:r>
              <w:rPr>
                <w:rFonts w:ascii="宋体" w:hAnsi="宋体" w:eastAsia="宋体" w:cs="Times New Roman"/>
                <w:szCs w:val="21"/>
              </w:rPr>
              <w:t>2.4307</w:t>
            </w:r>
          </w:p>
        </w:tc>
      </w:tr>
      <w:tr w14:paraId="2F53AAE4">
        <w:tblPrEx>
          <w:tblBorders>
            <w:top w:val="single" w:color="auto" w:sz="12" w:space="0"/>
            <w:left w:val="single" w:color="auto" w:sz="12" w:space="0"/>
            <w:bottom w:val="single" w:color="auto" w:sz="12" w:space="0"/>
            <w:right w:val="single" w:color="auto" w:sz="12" w:space="0"/>
            <w:insideH w:val="single" w:color="auto" w:sz="2" w:space="0"/>
            <w:insideV w:val="single" w:color="auto" w:sz="4" w:space="0"/>
          </w:tblBorders>
          <w:tblCellMar>
            <w:top w:w="0" w:type="dxa"/>
            <w:left w:w="108" w:type="dxa"/>
            <w:bottom w:w="0" w:type="dxa"/>
            <w:right w:w="108" w:type="dxa"/>
          </w:tblCellMar>
        </w:tblPrEx>
        <w:trPr>
          <w:trHeight w:val="133" w:hRule="atLeast"/>
        </w:trPr>
        <w:tc>
          <w:tcPr>
            <w:tcW w:w="3813" w:type="dxa"/>
            <w:tcBorders>
              <w:tl2br w:val="nil"/>
              <w:tr2bl w:val="nil"/>
            </w:tcBorders>
            <w:vAlign w:val="center"/>
          </w:tcPr>
          <w:p w14:paraId="4A25E229">
            <w:pPr>
              <w:jc w:val="center"/>
              <w:rPr>
                <w:color w:val="000000"/>
                <w:szCs w:val="21"/>
              </w:rPr>
            </w:pPr>
            <w:r>
              <w:rPr>
                <w:rFonts w:ascii="宋体" w:hAnsi="宋体"/>
                <w:szCs w:val="21"/>
              </w:rPr>
              <w:t>3500.0</w:t>
            </w:r>
          </w:p>
        </w:tc>
        <w:tc>
          <w:tcPr>
            <w:tcW w:w="2692" w:type="dxa"/>
            <w:tcBorders>
              <w:tl2br w:val="nil"/>
              <w:tr2bl w:val="nil"/>
            </w:tcBorders>
            <w:vAlign w:val="center"/>
          </w:tcPr>
          <w:p w14:paraId="2A621716">
            <w:pPr>
              <w:jc w:val="center"/>
              <w:rPr>
                <w:rFonts w:ascii="宋体" w:hAnsi="宋体" w:eastAsia="宋体" w:cs="Times New Roman"/>
                <w:szCs w:val="21"/>
              </w:rPr>
            </w:pPr>
            <w:r>
              <w:rPr>
                <w:rFonts w:ascii="宋体" w:hAnsi="宋体" w:eastAsia="宋体" w:cs="Times New Roman"/>
                <w:szCs w:val="21"/>
              </w:rPr>
              <w:t>43.2970</w:t>
            </w:r>
          </w:p>
        </w:tc>
        <w:tc>
          <w:tcPr>
            <w:tcW w:w="2634" w:type="dxa"/>
            <w:tcBorders>
              <w:tl2br w:val="nil"/>
              <w:tr2bl w:val="nil"/>
            </w:tcBorders>
            <w:vAlign w:val="center"/>
          </w:tcPr>
          <w:p w14:paraId="101C78D1">
            <w:pPr>
              <w:jc w:val="center"/>
              <w:rPr>
                <w:rFonts w:ascii="宋体" w:hAnsi="宋体" w:eastAsia="宋体" w:cs="Times New Roman"/>
                <w:szCs w:val="21"/>
              </w:rPr>
            </w:pPr>
            <w:r>
              <w:rPr>
                <w:rFonts w:ascii="宋体" w:hAnsi="宋体" w:eastAsia="宋体" w:cs="Times New Roman"/>
                <w:szCs w:val="21"/>
              </w:rPr>
              <w:t>2.1648</w:t>
            </w:r>
          </w:p>
        </w:tc>
      </w:tr>
      <w:tr w14:paraId="1963AF36">
        <w:tblPrEx>
          <w:tblBorders>
            <w:top w:val="single" w:color="auto" w:sz="12" w:space="0"/>
            <w:left w:val="single" w:color="auto" w:sz="12" w:space="0"/>
            <w:bottom w:val="single" w:color="auto" w:sz="12" w:space="0"/>
            <w:right w:val="single" w:color="auto" w:sz="12" w:space="0"/>
            <w:insideH w:val="single" w:color="auto" w:sz="2" w:space="0"/>
            <w:insideV w:val="single" w:color="auto" w:sz="4" w:space="0"/>
          </w:tblBorders>
          <w:tblCellMar>
            <w:top w:w="0" w:type="dxa"/>
            <w:left w:w="108" w:type="dxa"/>
            <w:bottom w:w="0" w:type="dxa"/>
            <w:right w:w="108" w:type="dxa"/>
          </w:tblCellMar>
        </w:tblPrEx>
        <w:trPr>
          <w:trHeight w:val="137" w:hRule="atLeast"/>
        </w:trPr>
        <w:tc>
          <w:tcPr>
            <w:tcW w:w="3813" w:type="dxa"/>
            <w:tcBorders>
              <w:tl2br w:val="nil"/>
              <w:tr2bl w:val="nil"/>
            </w:tcBorders>
            <w:vAlign w:val="center"/>
          </w:tcPr>
          <w:p w14:paraId="37CFB2D0">
            <w:pPr>
              <w:jc w:val="center"/>
              <w:rPr>
                <w:color w:val="000000"/>
                <w:szCs w:val="21"/>
              </w:rPr>
            </w:pPr>
            <w:r>
              <w:rPr>
                <w:rFonts w:ascii="宋体" w:hAnsi="宋体"/>
                <w:szCs w:val="21"/>
              </w:rPr>
              <w:t>4000.0</w:t>
            </w:r>
          </w:p>
        </w:tc>
        <w:tc>
          <w:tcPr>
            <w:tcW w:w="2692" w:type="dxa"/>
            <w:tcBorders>
              <w:tl2br w:val="nil"/>
              <w:tr2bl w:val="nil"/>
            </w:tcBorders>
            <w:vAlign w:val="center"/>
          </w:tcPr>
          <w:p w14:paraId="360BA211">
            <w:pPr>
              <w:jc w:val="center"/>
              <w:rPr>
                <w:rFonts w:ascii="宋体" w:hAnsi="宋体" w:eastAsia="宋体" w:cs="Times New Roman"/>
                <w:szCs w:val="21"/>
              </w:rPr>
            </w:pPr>
            <w:r>
              <w:rPr>
                <w:rFonts w:ascii="宋体" w:hAnsi="宋体" w:eastAsia="宋体" w:cs="Times New Roman"/>
                <w:szCs w:val="21"/>
              </w:rPr>
              <w:t>39.1740</w:t>
            </w:r>
          </w:p>
        </w:tc>
        <w:tc>
          <w:tcPr>
            <w:tcW w:w="2634" w:type="dxa"/>
            <w:tcBorders>
              <w:tl2br w:val="nil"/>
              <w:tr2bl w:val="nil"/>
            </w:tcBorders>
            <w:vAlign w:val="center"/>
          </w:tcPr>
          <w:p w14:paraId="77552B1B">
            <w:pPr>
              <w:jc w:val="center"/>
              <w:rPr>
                <w:rFonts w:ascii="宋体" w:hAnsi="宋体" w:eastAsia="宋体" w:cs="Times New Roman"/>
                <w:szCs w:val="21"/>
              </w:rPr>
            </w:pPr>
            <w:r>
              <w:rPr>
                <w:rFonts w:ascii="宋体" w:hAnsi="宋体" w:eastAsia="宋体" w:cs="Times New Roman"/>
                <w:szCs w:val="21"/>
              </w:rPr>
              <w:t>1.9587</w:t>
            </w:r>
          </w:p>
        </w:tc>
      </w:tr>
      <w:tr w14:paraId="14DC8E04">
        <w:tblPrEx>
          <w:tblBorders>
            <w:top w:val="single" w:color="auto" w:sz="12" w:space="0"/>
            <w:left w:val="single" w:color="auto" w:sz="12" w:space="0"/>
            <w:bottom w:val="single" w:color="auto" w:sz="12" w:space="0"/>
            <w:right w:val="single" w:color="auto" w:sz="12" w:space="0"/>
            <w:insideH w:val="single" w:color="auto" w:sz="2" w:space="0"/>
            <w:insideV w:val="single" w:color="auto" w:sz="4" w:space="0"/>
          </w:tblBorders>
          <w:tblCellMar>
            <w:top w:w="0" w:type="dxa"/>
            <w:left w:w="108" w:type="dxa"/>
            <w:bottom w:w="0" w:type="dxa"/>
            <w:right w:w="108" w:type="dxa"/>
          </w:tblCellMar>
        </w:tblPrEx>
        <w:trPr>
          <w:trHeight w:val="131" w:hRule="atLeast"/>
        </w:trPr>
        <w:tc>
          <w:tcPr>
            <w:tcW w:w="3813" w:type="dxa"/>
            <w:tcBorders>
              <w:tl2br w:val="nil"/>
              <w:tr2bl w:val="nil"/>
            </w:tcBorders>
            <w:vAlign w:val="center"/>
          </w:tcPr>
          <w:p w14:paraId="20455C99">
            <w:pPr>
              <w:jc w:val="center"/>
              <w:rPr>
                <w:color w:val="000000"/>
                <w:szCs w:val="21"/>
              </w:rPr>
            </w:pPr>
            <w:r>
              <w:rPr>
                <w:rFonts w:ascii="宋体" w:hAnsi="宋体"/>
                <w:szCs w:val="21"/>
              </w:rPr>
              <w:t>4500.0</w:t>
            </w:r>
          </w:p>
        </w:tc>
        <w:tc>
          <w:tcPr>
            <w:tcW w:w="2692" w:type="dxa"/>
            <w:tcBorders>
              <w:tl2br w:val="nil"/>
              <w:tr2bl w:val="nil"/>
            </w:tcBorders>
            <w:vAlign w:val="center"/>
          </w:tcPr>
          <w:p w14:paraId="1FFE12FB">
            <w:pPr>
              <w:jc w:val="center"/>
              <w:rPr>
                <w:rFonts w:ascii="宋体" w:hAnsi="宋体" w:eastAsia="宋体" w:cs="Times New Roman"/>
                <w:szCs w:val="21"/>
              </w:rPr>
            </w:pPr>
            <w:r>
              <w:rPr>
                <w:rFonts w:ascii="宋体" w:hAnsi="宋体" w:eastAsia="宋体" w:cs="Times New Roman"/>
                <w:szCs w:val="21"/>
              </w:rPr>
              <w:t>40.7940</w:t>
            </w:r>
          </w:p>
        </w:tc>
        <w:tc>
          <w:tcPr>
            <w:tcW w:w="2634" w:type="dxa"/>
            <w:tcBorders>
              <w:tl2br w:val="nil"/>
              <w:tr2bl w:val="nil"/>
            </w:tcBorders>
            <w:vAlign w:val="center"/>
          </w:tcPr>
          <w:p w14:paraId="712ADFE7">
            <w:pPr>
              <w:jc w:val="center"/>
              <w:rPr>
                <w:rFonts w:ascii="宋体" w:hAnsi="宋体" w:eastAsia="宋体" w:cs="Times New Roman"/>
                <w:szCs w:val="21"/>
              </w:rPr>
            </w:pPr>
            <w:r>
              <w:rPr>
                <w:rFonts w:ascii="宋体" w:hAnsi="宋体" w:eastAsia="宋体" w:cs="Times New Roman"/>
                <w:szCs w:val="21"/>
              </w:rPr>
              <w:t>2.0397</w:t>
            </w:r>
          </w:p>
        </w:tc>
      </w:tr>
      <w:tr w14:paraId="6E768AA7">
        <w:tblPrEx>
          <w:tblBorders>
            <w:top w:val="single" w:color="auto" w:sz="12" w:space="0"/>
            <w:left w:val="single" w:color="auto" w:sz="12" w:space="0"/>
            <w:bottom w:val="single" w:color="auto" w:sz="12" w:space="0"/>
            <w:right w:val="single" w:color="auto" w:sz="12" w:space="0"/>
            <w:insideH w:val="single" w:color="auto" w:sz="2" w:space="0"/>
            <w:insideV w:val="single" w:color="auto" w:sz="4" w:space="0"/>
          </w:tblBorders>
          <w:tblCellMar>
            <w:top w:w="0" w:type="dxa"/>
            <w:left w:w="108" w:type="dxa"/>
            <w:bottom w:w="0" w:type="dxa"/>
            <w:right w:w="108" w:type="dxa"/>
          </w:tblCellMar>
        </w:tblPrEx>
        <w:trPr>
          <w:trHeight w:val="133" w:hRule="atLeast"/>
        </w:trPr>
        <w:tc>
          <w:tcPr>
            <w:tcW w:w="3813" w:type="dxa"/>
            <w:tcBorders>
              <w:tl2br w:val="nil"/>
              <w:tr2bl w:val="nil"/>
            </w:tcBorders>
            <w:vAlign w:val="center"/>
          </w:tcPr>
          <w:p w14:paraId="6C40F4E9">
            <w:pPr>
              <w:jc w:val="center"/>
              <w:rPr>
                <w:color w:val="000000"/>
                <w:szCs w:val="21"/>
              </w:rPr>
            </w:pPr>
            <w:r>
              <w:rPr>
                <w:rFonts w:ascii="宋体" w:hAnsi="宋体"/>
                <w:szCs w:val="21"/>
              </w:rPr>
              <w:t>5000.0</w:t>
            </w:r>
          </w:p>
        </w:tc>
        <w:tc>
          <w:tcPr>
            <w:tcW w:w="2692" w:type="dxa"/>
            <w:tcBorders>
              <w:tl2br w:val="nil"/>
              <w:tr2bl w:val="nil"/>
            </w:tcBorders>
            <w:vAlign w:val="center"/>
          </w:tcPr>
          <w:p w14:paraId="13007719">
            <w:pPr>
              <w:jc w:val="center"/>
              <w:rPr>
                <w:rFonts w:ascii="宋体" w:hAnsi="宋体" w:eastAsia="宋体" w:cs="Times New Roman"/>
                <w:szCs w:val="21"/>
              </w:rPr>
            </w:pPr>
            <w:r>
              <w:rPr>
                <w:rFonts w:ascii="宋体" w:hAnsi="宋体" w:eastAsia="宋体" w:cs="Times New Roman"/>
                <w:szCs w:val="21"/>
              </w:rPr>
              <w:t>32.5830</w:t>
            </w:r>
          </w:p>
        </w:tc>
        <w:tc>
          <w:tcPr>
            <w:tcW w:w="2634" w:type="dxa"/>
            <w:tcBorders>
              <w:tl2br w:val="nil"/>
              <w:tr2bl w:val="nil"/>
            </w:tcBorders>
            <w:vAlign w:val="center"/>
          </w:tcPr>
          <w:p w14:paraId="13E5B5A7">
            <w:pPr>
              <w:jc w:val="center"/>
              <w:rPr>
                <w:rFonts w:ascii="宋体" w:hAnsi="宋体" w:eastAsia="宋体" w:cs="Times New Roman"/>
                <w:szCs w:val="21"/>
              </w:rPr>
            </w:pPr>
            <w:r>
              <w:rPr>
                <w:rFonts w:ascii="宋体" w:hAnsi="宋体" w:eastAsia="宋体" w:cs="Times New Roman"/>
                <w:szCs w:val="21"/>
              </w:rPr>
              <w:t>1.6292</w:t>
            </w:r>
          </w:p>
        </w:tc>
      </w:tr>
      <w:tr w14:paraId="340F4A2E">
        <w:tblPrEx>
          <w:tblBorders>
            <w:top w:val="single" w:color="auto" w:sz="12" w:space="0"/>
            <w:left w:val="single" w:color="auto" w:sz="12" w:space="0"/>
            <w:bottom w:val="single" w:color="auto" w:sz="12" w:space="0"/>
            <w:right w:val="single" w:color="auto" w:sz="12" w:space="0"/>
            <w:insideH w:val="single" w:color="auto" w:sz="2" w:space="0"/>
            <w:insideV w:val="single" w:color="auto" w:sz="4" w:space="0"/>
          </w:tblBorders>
          <w:tblCellMar>
            <w:top w:w="0" w:type="dxa"/>
            <w:left w:w="108" w:type="dxa"/>
            <w:bottom w:w="0" w:type="dxa"/>
            <w:right w:w="108" w:type="dxa"/>
          </w:tblCellMar>
        </w:tblPrEx>
        <w:trPr>
          <w:trHeight w:val="133" w:hRule="atLeast"/>
        </w:trPr>
        <w:tc>
          <w:tcPr>
            <w:tcW w:w="3813" w:type="dxa"/>
            <w:tcBorders>
              <w:tl2br w:val="nil"/>
              <w:tr2bl w:val="nil"/>
            </w:tcBorders>
            <w:vAlign w:val="center"/>
          </w:tcPr>
          <w:p w14:paraId="54B21158">
            <w:pPr>
              <w:jc w:val="center"/>
              <w:rPr>
                <w:color w:val="000000"/>
                <w:szCs w:val="21"/>
              </w:rPr>
            </w:pPr>
            <w:r>
              <w:rPr>
                <w:rFonts w:ascii="宋体" w:hAnsi="宋体"/>
                <w:szCs w:val="21"/>
              </w:rPr>
              <w:t>10000.0</w:t>
            </w:r>
          </w:p>
        </w:tc>
        <w:tc>
          <w:tcPr>
            <w:tcW w:w="2692" w:type="dxa"/>
            <w:tcBorders>
              <w:tl2br w:val="nil"/>
              <w:tr2bl w:val="nil"/>
            </w:tcBorders>
            <w:vAlign w:val="center"/>
          </w:tcPr>
          <w:p w14:paraId="4E502D5E">
            <w:pPr>
              <w:jc w:val="center"/>
              <w:rPr>
                <w:rFonts w:ascii="宋体" w:hAnsi="宋体" w:eastAsia="宋体" w:cs="Times New Roman"/>
                <w:szCs w:val="21"/>
              </w:rPr>
            </w:pPr>
            <w:r>
              <w:rPr>
                <w:rFonts w:ascii="宋体" w:hAnsi="宋体" w:eastAsia="宋体" w:cs="Times New Roman"/>
                <w:szCs w:val="21"/>
              </w:rPr>
              <w:t>19.7500</w:t>
            </w:r>
          </w:p>
        </w:tc>
        <w:tc>
          <w:tcPr>
            <w:tcW w:w="2634" w:type="dxa"/>
            <w:tcBorders>
              <w:tl2br w:val="nil"/>
              <w:tr2bl w:val="nil"/>
            </w:tcBorders>
            <w:vAlign w:val="center"/>
          </w:tcPr>
          <w:p w14:paraId="74E9452A">
            <w:pPr>
              <w:jc w:val="center"/>
              <w:rPr>
                <w:rFonts w:ascii="宋体" w:hAnsi="宋体" w:eastAsia="宋体" w:cs="Times New Roman"/>
                <w:szCs w:val="21"/>
              </w:rPr>
            </w:pPr>
            <w:r>
              <w:rPr>
                <w:rFonts w:ascii="宋体" w:hAnsi="宋体" w:eastAsia="宋体" w:cs="Times New Roman"/>
                <w:szCs w:val="21"/>
              </w:rPr>
              <w:t>0.9875</w:t>
            </w:r>
          </w:p>
        </w:tc>
      </w:tr>
      <w:tr w14:paraId="5AD14F33">
        <w:tblPrEx>
          <w:tblBorders>
            <w:top w:val="single" w:color="auto" w:sz="12" w:space="0"/>
            <w:left w:val="single" w:color="auto" w:sz="12" w:space="0"/>
            <w:bottom w:val="single" w:color="auto" w:sz="12" w:space="0"/>
            <w:right w:val="single" w:color="auto" w:sz="12" w:space="0"/>
            <w:insideH w:val="single" w:color="auto" w:sz="2" w:space="0"/>
            <w:insideV w:val="single" w:color="auto" w:sz="4" w:space="0"/>
          </w:tblBorders>
          <w:tblCellMar>
            <w:top w:w="0" w:type="dxa"/>
            <w:left w:w="108" w:type="dxa"/>
            <w:bottom w:w="0" w:type="dxa"/>
            <w:right w:w="108" w:type="dxa"/>
          </w:tblCellMar>
        </w:tblPrEx>
        <w:trPr>
          <w:trHeight w:val="131" w:hRule="atLeast"/>
        </w:trPr>
        <w:tc>
          <w:tcPr>
            <w:tcW w:w="3813" w:type="dxa"/>
            <w:tcBorders>
              <w:tl2br w:val="nil"/>
              <w:tr2bl w:val="nil"/>
            </w:tcBorders>
            <w:vAlign w:val="center"/>
          </w:tcPr>
          <w:p w14:paraId="499D8C2B">
            <w:pPr>
              <w:jc w:val="center"/>
              <w:rPr>
                <w:color w:val="000000"/>
                <w:szCs w:val="21"/>
              </w:rPr>
            </w:pPr>
            <w:r>
              <w:rPr>
                <w:rFonts w:ascii="宋体" w:hAnsi="宋体"/>
                <w:szCs w:val="21"/>
              </w:rPr>
              <w:t>11000.0</w:t>
            </w:r>
          </w:p>
        </w:tc>
        <w:tc>
          <w:tcPr>
            <w:tcW w:w="2692" w:type="dxa"/>
            <w:tcBorders>
              <w:tl2br w:val="nil"/>
              <w:tr2bl w:val="nil"/>
            </w:tcBorders>
            <w:vAlign w:val="center"/>
          </w:tcPr>
          <w:p w14:paraId="3C173612">
            <w:pPr>
              <w:jc w:val="center"/>
              <w:rPr>
                <w:rFonts w:ascii="宋体" w:hAnsi="宋体" w:eastAsia="宋体" w:cs="Times New Roman"/>
                <w:szCs w:val="21"/>
              </w:rPr>
            </w:pPr>
            <w:r>
              <w:rPr>
                <w:rFonts w:ascii="宋体" w:hAnsi="宋体" w:eastAsia="宋体" w:cs="Times New Roman"/>
                <w:szCs w:val="21"/>
              </w:rPr>
              <w:t>17.9950</w:t>
            </w:r>
          </w:p>
        </w:tc>
        <w:tc>
          <w:tcPr>
            <w:tcW w:w="2634" w:type="dxa"/>
            <w:tcBorders>
              <w:tl2br w:val="nil"/>
              <w:tr2bl w:val="nil"/>
            </w:tcBorders>
            <w:vAlign w:val="center"/>
          </w:tcPr>
          <w:p w14:paraId="61823252">
            <w:pPr>
              <w:jc w:val="center"/>
              <w:rPr>
                <w:rFonts w:ascii="宋体" w:hAnsi="宋体" w:eastAsia="宋体" w:cs="Times New Roman"/>
                <w:szCs w:val="21"/>
              </w:rPr>
            </w:pPr>
            <w:r>
              <w:rPr>
                <w:rFonts w:ascii="宋体" w:hAnsi="宋体" w:eastAsia="宋体" w:cs="Times New Roman"/>
                <w:szCs w:val="21"/>
              </w:rPr>
              <w:t>0.8998</w:t>
            </w:r>
          </w:p>
        </w:tc>
      </w:tr>
      <w:tr w14:paraId="234220E4">
        <w:tblPrEx>
          <w:tblBorders>
            <w:top w:val="single" w:color="auto" w:sz="12" w:space="0"/>
            <w:left w:val="single" w:color="auto" w:sz="12" w:space="0"/>
            <w:bottom w:val="single" w:color="auto" w:sz="12" w:space="0"/>
            <w:right w:val="single" w:color="auto" w:sz="12" w:space="0"/>
            <w:insideH w:val="single" w:color="auto" w:sz="2" w:space="0"/>
            <w:insideV w:val="single" w:color="auto" w:sz="4" w:space="0"/>
          </w:tblBorders>
          <w:tblCellMar>
            <w:top w:w="0" w:type="dxa"/>
            <w:left w:w="108" w:type="dxa"/>
            <w:bottom w:w="0" w:type="dxa"/>
            <w:right w:w="108" w:type="dxa"/>
          </w:tblCellMar>
        </w:tblPrEx>
        <w:trPr>
          <w:trHeight w:val="133" w:hRule="atLeast"/>
        </w:trPr>
        <w:tc>
          <w:tcPr>
            <w:tcW w:w="3813" w:type="dxa"/>
            <w:tcBorders>
              <w:tl2br w:val="nil"/>
              <w:tr2bl w:val="nil"/>
            </w:tcBorders>
            <w:vAlign w:val="center"/>
          </w:tcPr>
          <w:p w14:paraId="2AD84872">
            <w:pPr>
              <w:jc w:val="center"/>
              <w:rPr>
                <w:color w:val="000000"/>
                <w:szCs w:val="21"/>
              </w:rPr>
            </w:pPr>
            <w:r>
              <w:rPr>
                <w:rFonts w:ascii="宋体" w:hAnsi="宋体"/>
                <w:szCs w:val="21"/>
              </w:rPr>
              <w:t>12000.0</w:t>
            </w:r>
          </w:p>
        </w:tc>
        <w:tc>
          <w:tcPr>
            <w:tcW w:w="2692" w:type="dxa"/>
            <w:tcBorders>
              <w:tl2br w:val="nil"/>
              <w:tr2bl w:val="nil"/>
            </w:tcBorders>
            <w:vAlign w:val="center"/>
          </w:tcPr>
          <w:p w14:paraId="46600CFD">
            <w:pPr>
              <w:jc w:val="center"/>
              <w:rPr>
                <w:rFonts w:ascii="宋体" w:hAnsi="宋体" w:eastAsia="宋体" w:cs="Times New Roman"/>
                <w:szCs w:val="21"/>
              </w:rPr>
            </w:pPr>
            <w:r>
              <w:rPr>
                <w:rFonts w:ascii="宋体" w:hAnsi="宋体" w:eastAsia="宋体" w:cs="Times New Roman"/>
                <w:szCs w:val="21"/>
              </w:rPr>
              <w:t>17.7400</w:t>
            </w:r>
          </w:p>
        </w:tc>
        <w:tc>
          <w:tcPr>
            <w:tcW w:w="2634" w:type="dxa"/>
            <w:tcBorders>
              <w:tl2br w:val="nil"/>
              <w:tr2bl w:val="nil"/>
            </w:tcBorders>
            <w:vAlign w:val="center"/>
          </w:tcPr>
          <w:p w14:paraId="6DDF1C00">
            <w:pPr>
              <w:jc w:val="center"/>
              <w:rPr>
                <w:rFonts w:ascii="宋体" w:hAnsi="宋体" w:eastAsia="宋体" w:cs="Times New Roman"/>
                <w:szCs w:val="21"/>
              </w:rPr>
            </w:pPr>
            <w:r>
              <w:rPr>
                <w:rFonts w:ascii="宋体" w:hAnsi="宋体" w:eastAsia="宋体" w:cs="Times New Roman"/>
                <w:szCs w:val="21"/>
              </w:rPr>
              <w:t>0.8870</w:t>
            </w:r>
          </w:p>
        </w:tc>
      </w:tr>
      <w:tr w14:paraId="20C4486F">
        <w:tblPrEx>
          <w:tblBorders>
            <w:top w:val="single" w:color="auto" w:sz="12" w:space="0"/>
            <w:left w:val="single" w:color="auto" w:sz="12" w:space="0"/>
            <w:bottom w:val="single" w:color="auto" w:sz="12" w:space="0"/>
            <w:right w:val="single" w:color="auto" w:sz="12" w:space="0"/>
            <w:insideH w:val="single" w:color="auto" w:sz="2" w:space="0"/>
            <w:insideV w:val="single" w:color="auto" w:sz="4" w:space="0"/>
          </w:tblBorders>
          <w:tblCellMar>
            <w:top w:w="0" w:type="dxa"/>
            <w:left w:w="108" w:type="dxa"/>
            <w:bottom w:w="0" w:type="dxa"/>
            <w:right w:w="108" w:type="dxa"/>
          </w:tblCellMar>
        </w:tblPrEx>
        <w:trPr>
          <w:trHeight w:val="131" w:hRule="atLeast"/>
        </w:trPr>
        <w:tc>
          <w:tcPr>
            <w:tcW w:w="3813" w:type="dxa"/>
            <w:tcBorders>
              <w:tl2br w:val="nil"/>
              <w:tr2bl w:val="nil"/>
            </w:tcBorders>
            <w:vAlign w:val="center"/>
          </w:tcPr>
          <w:p w14:paraId="3AF48C17">
            <w:pPr>
              <w:jc w:val="center"/>
              <w:rPr>
                <w:color w:val="000000"/>
                <w:szCs w:val="21"/>
              </w:rPr>
            </w:pPr>
            <w:r>
              <w:rPr>
                <w:rFonts w:ascii="宋体" w:hAnsi="宋体"/>
                <w:szCs w:val="21"/>
              </w:rPr>
              <w:t>13000.0</w:t>
            </w:r>
          </w:p>
        </w:tc>
        <w:tc>
          <w:tcPr>
            <w:tcW w:w="2692" w:type="dxa"/>
            <w:tcBorders>
              <w:tl2br w:val="nil"/>
              <w:tr2bl w:val="nil"/>
            </w:tcBorders>
            <w:vAlign w:val="center"/>
          </w:tcPr>
          <w:p w14:paraId="52AF3036">
            <w:pPr>
              <w:jc w:val="center"/>
              <w:rPr>
                <w:rFonts w:ascii="宋体" w:hAnsi="宋体" w:eastAsia="宋体" w:cs="Times New Roman"/>
                <w:szCs w:val="21"/>
              </w:rPr>
            </w:pPr>
            <w:r>
              <w:rPr>
                <w:rFonts w:ascii="宋体" w:hAnsi="宋体" w:eastAsia="宋体" w:cs="Times New Roman"/>
                <w:szCs w:val="21"/>
              </w:rPr>
              <w:t>16.8490</w:t>
            </w:r>
          </w:p>
        </w:tc>
        <w:tc>
          <w:tcPr>
            <w:tcW w:w="2634" w:type="dxa"/>
            <w:tcBorders>
              <w:tl2br w:val="nil"/>
              <w:tr2bl w:val="nil"/>
            </w:tcBorders>
            <w:vAlign w:val="center"/>
          </w:tcPr>
          <w:p w14:paraId="25D96A00">
            <w:pPr>
              <w:jc w:val="center"/>
              <w:rPr>
                <w:rFonts w:ascii="宋体" w:hAnsi="宋体" w:eastAsia="宋体" w:cs="Times New Roman"/>
                <w:szCs w:val="21"/>
              </w:rPr>
            </w:pPr>
            <w:r>
              <w:rPr>
                <w:rFonts w:ascii="宋体" w:hAnsi="宋体" w:eastAsia="宋体" w:cs="Times New Roman"/>
                <w:szCs w:val="21"/>
              </w:rPr>
              <w:t>0.8424</w:t>
            </w:r>
          </w:p>
        </w:tc>
      </w:tr>
      <w:tr w14:paraId="3B3CE5A8">
        <w:tblPrEx>
          <w:tblBorders>
            <w:top w:val="single" w:color="auto" w:sz="12" w:space="0"/>
            <w:left w:val="single" w:color="auto" w:sz="12" w:space="0"/>
            <w:bottom w:val="single" w:color="auto" w:sz="12" w:space="0"/>
            <w:right w:val="single" w:color="auto" w:sz="12" w:space="0"/>
            <w:insideH w:val="single" w:color="auto" w:sz="2" w:space="0"/>
            <w:insideV w:val="single" w:color="auto" w:sz="4" w:space="0"/>
          </w:tblBorders>
          <w:tblCellMar>
            <w:top w:w="0" w:type="dxa"/>
            <w:left w:w="108" w:type="dxa"/>
            <w:bottom w:w="0" w:type="dxa"/>
            <w:right w:w="108" w:type="dxa"/>
          </w:tblCellMar>
        </w:tblPrEx>
        <w:trPr>
          <w:trHeight w:val="137" w:hRule="atLeast"/>
        </w:trPr>
        <w:tc>
          <w:tcPr>
            <w:tcW w:w="3813" w:type="dxa"/>
            <w:tcBorders>
              <w:tl2br w:val="nil"/>
              <w:tr2bl w:val="nil"/>
            </w:tcBorders>
            <w:vAlign w:val="center"/>
          </w:tcPr>
          <w:p w14:paraId="251B9A46">
            <w:pPr>
              <w:jc w:val="center"/>
              <w:rPr>
                <w:color w:val="000000"/>
                <w:szCs w:val="21"/>
              </w:rPr>
            </w:pPr>
            <w:r>
              <w:rPr>
                <w:rFonts w:ascii="宋体" w:hAnsi="宋体"/>
                <w:szCs w:val="21"/>
              </w:rPr>
              <w:t>14000.0</w:t>
            </w:r>
          </w:p>
        </w:tc>
        <w:tc>
          <w:tcPr>
            <w:tcW w:w="2692" w:type="dxa"/>
            <w:tcBorders>
              <w:tl2br w:val="nil"/>
              <w:tr2bl w:val="nil"/>
            </w:tcBorders>
            <w:vAlign w:val="center"/>
          </w:tcPr>
          <w:p w14:paraId="2EFA4201">
            <w:pPr>
              <w:jc w:val="center"/>
              <w:rPr>
                <w:rFonts w:ascii="宋体" w:hAnsi="宋体" w:eastAsia="宋体" w:cs="Times New Roman"/>
                <w:szCs w:val="21"/>
              </w:rPr>
            </w:pPr>
            <w:r>
              <w:rPr>
                <w:rFonts w:ascii="宋体" w:hAnsi="宋体" w:eastAsia="宋体" w:cs="Times New Roman"/>
                <w:szCs w:val="21"/>
              </w:rPr>
              <w:t>16.9570</w:t>
            </w:r>
          </w:p>
        </w:tc>
        <w:tc>
          <w:tcPr>
            <w:tcW w:w="2634" w:type="dxa"/>
            <w:tcBorders>
              <w:tl2br w:val="nil"/>
              <w:tr2bl w:val="nil"/>
            </w:tcBorders>
            <w:vAlign w:val="center"/>
          </w:tcPr>
          <w:p w14:paraId="51C2DA48">
            <w:pPr>
              <w:jc w:val="center"/>
              <w:rPr>
                <w:rFonts w:ascii="宋体" w:hAnsi="宋体" w:eastAsia="宋体" w:cs="Times New Roman"/>
                <w:szCs w:val="21"/>
              </w:rPr>
            </w:pPr>
            <w:r>
              <w:rPr>
                <w:rFonts w:ascii="宋体" w:hAnsi="宋体" w:eastAsia="宋体" w:cs="Times New Roman"/>
                <w:szCs w:val="21"/>
              </w:rPr>
              <w:t>0.8478</w:t>
            </w:r>
          </w:p>
        </w:tc>
      </w:tr>
      <w:tr w14:paraId="07C87115">
        <w:tblPrEx>
          <w:tblBorders>
            <w:top w:val="single" w:color="auto" w:sz="12" w:space="0"/>
            <w:left w:val="single" w:color="auto" w:sz="12" w:space="0"/>
            <w:bottom w:val="single" w:color="auto" w:sz="12" w:space="0"/>
            <w:right w:val="single" w:color="auto" w:sz="12" w:space="0"/>
            <w:insideH w:val="single" w:color="auto" w:sz="2" w:space="0"/>
            <w:insideV w:val="single" w:color="auto" w:sz="4" w:space="0"/>
          </w:tblBorders>
          <w:tblCellMar>
            <w:top w:w="0" w:type="dxa"/>
            <w:left w:w="108" w:type="dxa"/>
            <w:bottom w:w="0" w:type="dxa"/>
            <w:right w:w="108" w:type="dxa"/>
          </w:tblCellMar>
        </w:tblPrEx>
        <w:trPr>
          <w:trHeight w:val="137" w:hRule="atLeast"/>
        </w:trPr>
        <w:tc>
          <w:tcPr>
            <w:tcW w:w="3813" w:type="dxa"/>
            <w:tcBorders>
              <w:tl2br w:val="nil"/>
              <w:tr2bl w:val="nil"/>
            </w:tcBorders>
            <w:vAlign w:val="center"/>
          </w:tcPr>
          <w:p w14:paraId="2A432E48">
            <w:pPr>
              <w:jc w:val="center"/>
              <w:rPr>
                <w:color w:val="000000"/>
                <w:szCs w:val="21"/>
              </w:rPr>
            </w:pPr>
            <w:r>
              <w:rPr>
                <w:rFonts w:ascii="宋体" w:hAnsi="宋体"/>
                <w:szCs w:val="21"/>
              </w:rPr>
              <w:t>15000.0</w:t>
            </w:r>
          </w:p>
        </w:tc>
        <w:tc>
          <w:tcPr>
            <w:tcW w:w="2692" w:type="dxa"/>
            <w:tcBorders>
              <w:tl2br w:val="nil"/>
              <w:tr2bl w:val="nil"/>
            </w:tcBorders>
            <w:vAlign w:val="center"/>
          </w:tcPr>
          <w:p w14:paraId="6E53483C">
            <w:pPr>
              <w:jc w:val="center"/>
              <w:rPr>
                <w:rFonts w:ascii="宋体" w:hAnsi="宋体" w:eastAsia="宋体" w:cs="Times New Roman"/>
                <w:szCs w:val="21"/>
              </w:rPr>
            </w:pPr>
            <w:r>
              <w:rPr>
                <w:rFonts w:ascii="宋体" w:hAnsi="宋体" w:eastAsia="宋体" w:cs="Times New Roman"/>
                <w:szCs w:val="21"/>
              </w:rPr>
              <w:t>15.5350</w:t>
            </w:r>
          </w:p>
        </w:tc>
        <w:tc>
          <w:tcPr>
            <w:tcW w:w="2634" w:type="dxa"/>
            <w:tcBorders>
              <w:tl2br w:val="nil"/>
              <w:tr2bl w:val="nil"/>
            </w:tcBorders>
            <w:vAlign w:val="center"/>
          </w:tcPr>
          <w:p w14:paraId="0C071BF6">
            <w:pPr>
              <w:jc w:val="center"/>
              <w:rPr>
                <w:rFonts w:ascii="宋体" w:hAnsi="宋体" w:eastAsia="宋体" w:cs="Times New Roman"/>
                <w:szCs w:val="21"/>
              </w:rPr>
            </w:pPr>
            <w:r>
              <w:rPr>
                <w:rFonts w:ascii="宋体" w:hAnsi="宋体" w:eastAsia="宋体" w:cs="Times New Roman"/>
                <w:szCs w:val="21"/>
              </w:rPr>
              <w:t>0.7768</w:t>
            </w:r>
          </w:p>
        </w:tc>
      </w:tr>
      <w:tr w14:paraId="34FBF4E9">
        <w:tblPrEx>
          <w:tblBorders>
            <w:top w:val="single" w:color="auto" w:sz="12" w:space="0"/>
            <w:left w:val="single" w:color="auto" w:sz="12" w:space="0"/>
            <w:bottom w:val="single" w:color="auto" w:sz="12" w:space="0"/>
            <w:right w:val="single" w:color="auto" w:sz="12" w:space="0"/>
            <w:insideH w:val="single" w:color="auto" w:sz="2" w:space="0"/>
            <w:insideV w:val="single" w:color="auto" w:sz="4" w:space="0"/>
          </w:tblBorders>
          <w:tblCellMar>
            <w:top w:w="0" w:type="dxa"/>
            <w:left w:w="108" w:type="dxa"/>
            <w:bottom w:w="0" w:type="dxa"/>
            <w:right w:w="108" w:type="dxa"/>
          </w:tblCellMar>
        </w:tblPrEx>
        <w:trPr>
          <w:trHeight w:val="131" w:hRule="atLeast"/>
        </w:trPr>
        <w:tc>
          <w:tcPr>
            <w:tcW w:w="3813" w:type="dxa"/>
            <w:tcBorders>
              <w:tl2br w:val="nil"/>
              <w:tr2bl w:val="nil"/>
            </w:tcBorders>
            <w:vAlign w:val="center"/>
          </w:tcPr>
          <w:p w14:paraId="2FA6D566">
            <w:pPr>
              <w:jc w:val="center"/>
              <w:rPr>
                <w:color w:val="000000"/>
                <w:szCs w:val="21"/>
              </w:rPr>
            </w:pPr>
            <w:r>
              <w:rPr>
                <w:rFonts w:ascii="宋体" w:hAnsi="宋体"/>
                <w:szCs w:val="21"/>
              </w:rPr>
              <w:t>20000.0</w:t>
            </w:r>
          </w:p>
        </w:tc>
        <w:tc>
          <w:tcPr>
            <w:tcW w:w="2692" w:type="dxa"/>
            <w:tcBorders>
              <w:tl2br w:val="nil"/>
              <w:tr2bl w:val="nil"/>
            </w:tcBorders>
            <w:vAlign w:val="center"/>
          </w:tcPr>
          <w:p w14:paraId="2E556852">
            <w:pPr>
              <w:jc w:val="center"/>
              <w:rPr>
                <w:rFonts w:ascii="宋体" w:hAnsi="宋体" w:eastAsia="宋体" w:cs="Times New Roman"/>
                <w:szCs w:val="21"/>
              </w:rPr>
            </w:pPr>
            <w:r>
              <w:rPr>
                <w:rFonts w:ascii="宋体" w:hAnsi="宋体" w:eastAsia="宋体" w:cs="Times New Roman"/>
                <w:szCs w:val="21"/>
              </w:rPr>
              <w:t>12.4680</w:t>
            </w:r>
          </w:p>
        </w:tc>
        <w:tc>
          <w:tcPr>
            <w:tcW w:w="2634" w:type="dxa"/>
            <w:tcBorders>
              <w:tl2br w:val="nil"/>
              <w:tr2bl w:val="nil"/>
            </w:tcBorders>
            <w:vAlign w:val="center"/>
          </w:tcPr>
          <w:p w14:paraId="1D8FE975">
            <w:pPr>
              <w:jc w:val="center"/>
              <w:rPr>
                <w:rFonts w:ascii="宋体" w:hAnsi="宋体" w:eastAsia="宋体" w:cs="Times New Roman"/>
                <w:szCs w:val="21"/>
              </w:rPr>
            </w:pPr>
            <w:r>
              <w:rPr>
                <w:rFonts w:ascii="宋体" w:hAnsi="宋体" w:eastAsia="宋体" w:cs="Times New Roman"/>
                <w:szCs w:val="21"/>
              </w:rPr>
              <w:t>0.6234</w:t>
            </w:r>
          </w:p>
        </w:tc>
      </w:tr>
      <w:tr w14:paraId="417BC0C5">
        <w:tblPrEx>
          <w:tblBorders>
            <w:top w:val="single" w:color="auto" w:sz="12" w:space="0"/>
            <w:left w:val="single" w:color="auto" w:sz="12" w:space="0"/>
            <w:bottom w:val="single" w:color="auto" w:sz="12" w:space="0"/>
            <w:right w:val="single" w:color="auto" w:sz="12" w:space="0"/>
            <w:insideH w:val="single" w:color="auto" w:sz="2" w:space="0"/>
            <w:insideV w:val="single" w:color="auto" w:sz="4" w:space="0"/>
          </w:tblBorders>
          <w:tblCellMar>
            <w:top w:w="0" w:type="dxa"/>
            <w:left w:w="108" w:type="dxa"/>
            <w:bottom w:w="0" w:type="dxa"/>
            <w:right w:w="108" w:type="dxa"/>
          </w:tblCellMar>
        </w:tblPrEx>
        <w:trPr>
          <w:trHeight w:val="137" w:hRule="atLeast"/>
        </w:trPr>
        <w:tc>
          <w:tcPr>
            <w:tcW w:w="3813" w:type="dxa"/>
            <w:tcBorders>
              <w:tl2br w:val="nil"/>
              <w:tr2bl w:val="nil"/>
            </w:tcBorders>
            <w:vAlign w:val="center"/>
          </w:tcPr>
          <w:p w14:paraId="40EF6C74">
            <w:pPr>
              <w:jc w:val="center"/>
              <w:rPr>
                <w:color w:val="000000"/>
                <w:szCs w:val="21"/>
              </w:rPr>
            </w:pPr>
            <w:r>
              <w:rPr>
                <w:rFonts w:ascii="宋体" w:hAnsi="宋体"/>
                <w:szCs w:val="21"/>
              </w:rPr>
              <w:t>25000.0</w:t>
            </w:r>
          </w:p>
        </w:tc>
        <w:tc>
          <w:tcPr>
            <w:tcW w:w="2692" w:type="dxa"/>
            <w:tcBorders>
              <w:tl2br w:val="nil"/>
              <w:tr2bl w:val="nil"/>
            </w:tcBorders>
            <w:vAlign w:val="center"/>
          </w:tcPr>
          <w:p w14:paraId="3C2087DD">
            <w:pPr>
              <w:jc w:val="center"/>
              <w:rPr>
                <w:rFonts w:ascii="宋体" w:hAnsi="宋体" w:eastAsia="宋体" w:cs="Times New Roman"/>
                <w:szCs w:val="21"/>
              </w:rPr>
            </w:pPr>
            <w:r>
              <w:rPr>
                <w:rFonts w:ascii="宋体" w:hAnsi="宋体" w:eastAsia="宋体" w:cs="Times New Roman"/>
                <w:szCs w:val="21"/>
              </w:rPr>
              <w:t>10.0840</w:t>
            </w:r>
          </w:p>
        </w:tc>
        <w:tc>
          <w:tcPr>
            <w:tcW w:w="2634" w:type="dxa"/>
            <w:tcBorders>
              <w:tl2br w:val="nil"/>
              <w:tr2bl w:val="nil"/>
            </w:tcBorders>
            <w:vAlign w:val="center"/>
          </w:tcPr>
          <w:p w14:paraId="47090E70">
            <w:pPr>
              <w:jc w:val="center"/>
              <w:rPr>
                <w:rFonts w:ascii="宋体" w:hAnsi="宋体" w:eastAsia="宋体" w:cs="Times New Roman"/>
                <w:szCs w:val="21"/>
              </w:rPr>
            </w:pPr>
            <w:r>
              <w:rPr>
                <w:rFonts w:ascii="宋体" w:hAnsi="宋体" w:eastAsia="宋体" w:cs="Times New Roman"/>
                <w:szCs w:val="21"/>
              </w:rPr>
              <w:t>0.5042</w:t>
            </w:r>
          </w:p>
        </w:tc>
      </w:tr>
      <w:tr w14:paraId="3310D081">
        <w:tblPrEx>
          <w:tblBorders>
            <w:top w:val="single" w:color="auto" w:sz="12" w:space="0"/>
            <w:left w:val="single" w:color="auto" w:sz="12" w:space="0"/>
            <w:bottom w:val="single" w:color="auto" w:sz="12" w:space="0"/>
            <w:right w:val="single" w:color="auto" w:sz="12" w:space="0"/>
            <w:insideH w:val="single" w:color="auto" w:sz="2" w:space="0"/>
            <w:insideV w:val="single" w:color="auto" w:sz="4" w:space="0"/>
          </w:tblBorders>
          <w:tblCellMar>
            <w:top w:w="0" w:type="dxa"/>
            <w:left w:w="108" w:type="dxa"/>
            <w:bottom w:w="0" w:type="dxa"/>
            <w:right w:w="108" w:type="dxa"/>
          </w:tblCellMar>
        </w:tblPrEx>
        <w:trPr>
          <w:trHeight w:val="141" w:hRule="atLeast"/>
        </w:trPr>
        <w:tc>
          <w:tcPr>
            <w:tcW w:w="3813" w:type="dxa"/>
            <w:tcBorders>
              <w:tl2br w:val="nil"/>
              <w:tr2bl w:val="nil"/>
            </w:tcBorders>
            <w:vAlign w:val="center"/>
          </w:tcPr>
          <w:p w14:paraId="439F167D">
            <w:pPr>
              <w:jc w:val="center"/>
              <w:rPr>
                <w:color w:val="000000"/>
                <w:szCs w:val="21"/>
              </w:rPr>
            </w:pPr>
            <w:r>
              <w:rPr>
                <w:rFonts w:ascii="宋体" w:hAnsi="宋体"/>
                <w:szCs w:val="21"/>
              </w:rPr>
              <w:t>下风向最大浓度</w:t>
            </w:r>
          </w:p>
        </w:tc>
        <w:tc>
          <w:tcPr>
            <w:tcW w:w="2692" w:type="dxa"/>
            <w:tcBorders>
              <w:tl2br w:val="nil"/>
              <w:tr2bl w:val="nil"/>
            </w:tcBorders>
            <w:vAlign w:val="center"/>
          </w:tcPr>
          <w:p w14:paraId="492E99D8">
            <w:pPr>
              <w:jc w:val="center"/>
              <w:rPr>
                <w:rFonts w:ascii="宋体" w:hAnsi="宋体" w:eastAsia="宋体" w:cs="Times New Roman"/>
                <w:szCs w:val="21"/>
              </w:rPr>
            </w:pPr>
            <w:r>
              <w:rPr>
                <w:rFonts w:ascii="宋体" w:hAnsi="宋体" w:eastAsia="宋体" w:cs="Times New Roman"/>
                <w:szCs w:val="21"/>
              </w:rPr>
              <w:t>292.5000</w:t>
            </w:r>
          </w:p>
        </w:tc>
        <w:tc>
          <w:tcPr>
            <w:tcW w:w="2634" w:type="dxa"/>
            <w:tcBorders>
              <w:tl2br w:val="nil"/>
              <w:tr2bl w:val="nil"/>
            </w:tcBorders>
            <w:vAlign w:val="center"/>
          </w:tcPr>
          <w:p w14:paraId="1BD0C48B">
            <w:pPr>
              <w:jc w:val="center"/>
              <w:rPr>
                <w:rFonts w:ascii="宋体" w:hAnsi="宋体" w:eastAsia="宋体" w:cs="Times New Roman"/>
                <w:szCs w:val="21"/>
              </w:rPr>
            </w:pPr>
            <w:r>
              <w:rPr>
                <w:rFonts w:ascii="宋体" w:hAnsi="宋体" w:eastAsia="宋体" w:cs="Times New Roman"/>
                <w:szCs w:val="21"/>
              </w:rPr>
              <w:t>14.6250</w:t>
            </w:r>
          </w:p>
        </w:tc>
      </w:tr>
      <w:tr w14:paraId="7865773C">
        <w:tblPrEx>
          <w:tblBorders>
            <w:top w:val="single" w:color="auto" w:sz="12" w:space="0"/>
            <w:left w:val="single" w:color="auto" w:sz="12" w:space="0"/>
            <w:bottom w:val="single" w:color="auto" w:sz="12" w:space="0"/>
            <w:right w:val="single" w:color="auto" w:sz="12" w:space="0"/>
            <w:insideH w:val="single" w:color="auto" w:sz="2" w:space="0"/>
            <w:insideV w:val="single" w:color="auto" w:sz="4" w:space="0"/>
          </w:tblBorders>
          <w:tblCellMar>
            <w:top w:w="0" w:type="dxa"/>
            <w:left w:w="108" w:type="dxa"/>
            <w:bottom w:w="0" w:type="dxa"/>
            <w:right w:w="108" w:type="dxa"/>
          </w:tblCellMar>
        </w:tblPrEx>
        <w:trPr>
          <w:trHeight w:val="131" w:hRule="atLeast"/>
        </w:trPr>
        <w:tc>
          <w:tcPr>
            <w:tcW w:w="3813" w:type="dxa"/>
            <w:tcBorders>
              <w:tl2br w:val="nil"/>
              <w:tr2bl w:val="nil"/>
            </w:tcBorders>
            <w:vAlign w:val="center"/>
          </w:tcPr>
          <w:p w14:paraId="271BADB2">
            <w:pPr>
              <w:jc w:val="center"/>
              <w:rPr>
                <w:color w:val="000000"/>
                <w:szCs w:val="21"/>
              </w:rPr>
            </w:pPr>
            <w:r>
              <w:rPr>
                <w:rFonts w:ascii="宋体" w:hAnsi="宋体"/>
                <w:szCs w:val="21"/>
              </w:rPr>
              <w:t>下风向最大浓度出现距离</w:t>
            </w:r>
          </w:p>
        </w:tc>
        <w:tc>
          <w:tcPr>
            <w:tcW w:w="2692" w:type="dxa"/>
            <w:tcBorders>
              <w:tl2br w:val="nil"/>
              <w:tr2bl w:val="nil"/>
            </w:tcBorders>
            <w:vAlign w:val="center"/>
          </w:tcPr>
          <w:p w14:paraId="6BE34E6B">
            <w:pPr>
              <w:jc w:val="center"/>
              <w:rPr>
                <w:rFonts w:ascii="宋体" w:hAnsi="宋体" w:eastAsia="宋体" w:cs="Times New Roman"/>
                <w:szCs w:val="21"/>
              </w:rPr>
            </w:pPr>
            <w:r>
              <w:rPr>
                <w:rFonts w:ascii="宋体" w:hAnsi="宋体" w:eastAsia="宋体" w:cs="Times New Roman"/>
                <w:szCs w:val="21"/>
              </w:rPr>
              <w:t>155.0</w:t>
            </w:r>
          </w:p>
        </w:tc>
        <w:tc>
          <w:tcPr>
            <w:tcW w:w="2634" w:type="dxa"/>
            <w:tcBorders>
              <w:tl2br w:val="nil"/>
              <w:tr2bl w:val="nil"/>
            </w:tcBorders>
            <w:vAlign w:val="center"/>
          </w:tcPr>
          <w:p w14:paraId="0A444706">
            <w:pPr>
              <w:jc w:val="center"/>
              <w:rPr>
                <w:rFonts w:ascii="宋体" w:hAnsi="宋体" w:eastAsia="宋体" w:cs="Times New Roman"/>
                <w:szCs w:val="21"/>
              </w:rPr>
            </w:pPr>
            <w:r>
              <w:rPr>
                <w:rFonts w:ascii="宋体" w:hAnsi="宋体" w:eastAsia="宋体" w:cs="Times New Roman"/>
                <w:szCs w:val="21"/>
              </w:rPr>
              <w:t>155.0</w:t>
            </w:r>
          </w:p>
        </w:tc>
      </w:tr>
      <w:tr w14:paraId="27F88B4C">
        <w:tblPrEx>
          <w:tblBorders>
            <w:top w:val="single" w:color="auto" w:sz="12" w:space="0"/>
            <w:left w:val="single" w:color="auto" w:sz="12" w:space="0"/>
            <w:bottom w:val="single" w:color="auto" w:sz="12" w:space="0"/>
            <w:right w:val="single" w:color="auto" w:sz="12" w:space="0"/>
            <w:insideH w:val="single" w:color="auto" w:sz="2" w:space="0"/>
            <w:insideV w:val="single" w:color="auto" w:sz="4" w:space="0"/>
          </w:tblBorders>
          <w:tblCellMar>
            <w:top w:w="0" w:type="dxa"/>
            <w:left w:w="108" w:type="dxa"/>
            <w:bottom w:w="0" w:type="dxa"/>
            <w:right w:w="108" w:type="dxa"/>
          </w:tblCellMar>
        </w:tblPrEx>
        <w:trPr>
          <w:trHeight w:val="159" w:hRule="atLeast"/>
        </w:trPr>
        <w:tc>
          <w:tcPr>
            <w:tcW w:w="3813" w:type="dxa"/>
            <w:tcBorders>
              <w:tl2br w:val="nil"/>
              <w:tr2bl w:val="nil"/>
            </w:tcBorders>
            <w:vAlign w:val="center"/>
          </w:tcPr>
          <w:p w14:paraId="679C32A1">
            <w:pPr>
              <w:jc w:val="center"/>
              <w:rPr>
                <w:color w:val="000000"/>
                <w:szCs w:val="21"/>
              </w:rPr>
            </w:pPr>
            <w:r>
              <w:rPr>
                <w:rFonts w:ascii="宋体" w:hAnsi="宋体"/>
                <w:szCs w:val="21"/>
              </w:rPr>
              <w:t>D10%最远距离</w:t>
            </w:r>
          </w:p>
        </w:tc>
        <w:tc>
          <w:tcPr>
            <w:tcW w:w="2692" w:type="dxa"/>
            <w:tcBorders>
              <w:tl2br w:val="nil"/>
              <w:tr2bl w:val="nil"/>
            </w:tcBorders>
            <w:vAlign w:val="center"/>
          </w:tcPr>
          <w:p w14:paraId="6E4F31D0">
            <w:pPr>
              <w:jc w:val="center"/>
              <w:rPr>
                <w:rFonts w:ascii="宋体" w:hAnsi="宋体" w:eastAsia="宋体" w:cs="Times New Roman"/>
                <w:szCs w:val="21"/>
              </w:rPr>
            </w:pPr>
            <w:r>
              <w:rPr>
                <w:rFonts w:ascii="宋体" w:hAnsi="宋体" w:eastAsia="宋体" w:cs="Times New Roman"/>
                <w:szCs w:val="21"/>
              </w:rPr>
              <w:t>325.0</w:t>
            </w:r>
          </w:p>
        </w:tc>
        <w:tc>
          <w:tcPr>
            <w:tcW w:w="2634" w:type="dxa"/>
            <w:tcBorders>
              <w:tl2br w:val="nil"/>
              <w:tr2bl w:val="nil"/>
            </w:tcBorders>
            <w:vAlign w:val="center"/>
          </w:tcPr>
          <w:p w14:paraId="6F36E4E8">
            <w:pPr>
              <w:jc w:val="center"/>
              <w:rPr>
                <w:rFonts w:ascii="宋体" w:hAnsi="宋体" w:eastAsia="宋体" w:cs="Times New Roman"/>
                <w:szCs w:val="21"/>
              </w:rPr>
            </w:pPr>
            <w:r>
              <w:rPr>
                <w:rFonts w:ascii="宋体" w:hAnsi="宋体" w:eastAsia="宋体" w:cs="Times New Roman"/>
                <w:szCs w:val="21"/>
              </w:rPr>
              <w:t>325.0</w:t>
            </w:r>
          </w:p>
        </w:tc>
      </w:tr>
    </w:tbl>
    <w:p w14:paraId="181105F7">
      <w:pPr>
        <w:spacing w:line="360" w:lineRule="auto"/>
        <w:ind w:firstLine="480" w:firstLineChars="200"/>
        <w:rPr>
          <w:rFonts w:hint="eastAsia"/>
          <w:color w:val="000000"/>
          <w:sz w:val="24"/>
          <w:szCs w:val="24"/>
        </w:rPr>
      </w:pPr>
      <w:r>
        <w:rPr>
          <w:color w:val="000000"/>
          <w:sz w:val="24"/>
          <w:szCs w:val="24"/>
        </w:rPr>
        <w:t>由表</w:t>
      </w:r>
      <w:r>
        <w:rPr>
          <w:rFonts w:hint="eastAsia"/>
          <w:color w:val="000000"/>
          <w:sz w:val="24"/>
          <w:szCs w:val="24"/>
        </w:rPr>
        <w:t>5.2</w:t>
      </w:r>
      <w:r>
        <w:rPr>
          <w:color w:val="000000"/>
          <w:sz w:val="24"/>
          <w:szCs w:val="24"/>
        </w:rPr>
        <w:t>-</w:t>
      </w:r>
      <w:r>
        <w:rPr>
          <w:rFonts w:hint="eastAsia"/>
          <w:color w:val="000000"/>
          <w:sz w:val="24"/>
          <w:szCs w:val="24"/>
          <w:lang w:val="en-US" w:eastAsia="zh-CN"/>
        </w:rPr>
        <w:t>11</w:t>
      </w:r>
      <w:r>
        <w:rPr>
          <w:color w:val="000000"/>
          <w:sz w:val="24"/>
          <w:szCs w:val="24"/>
        </w:rPr>
        <w:t>可知，</w:t>
      </w:r>
      <w:r>
        <w:rPr>
          <w:rFonts w:hint="eastAsia"/>
          <w:color w:val="000000"/>
          <w:sz w:val="24"/>
          <w:szCs w:val="24"/>
        </w:rPr>
        <w:t>非正常排放下，非正常工况下，预测结果均在《环境影响评价技术导则·大气环境》（HJ2.2－2018）附录D（其他污染物空气质量浓度参考限值）中浓度限值内，说明处理效率为非正常工况时对周边敏感点处环境影响较小。项目在运营期内产生的大气污染物对周边大气环境及环境敏感点的影响都在功能区范围内，项目正式运营后不会对其产生显著影响。</w:t>
      </w:r>
    </w:p>
    <w:p w14:paraId="20B5E559">
      <w:pPr>
        <w:spacing w:line="360" w:lineRule="auto"/>
        <w:ind w:firstLine="480" w:firstLineChars="200"/>
        <w:rPr>
          <w:rFonts w:hint="eastAsia"/>
          <w:color w:val="000000"/>
          <w:sz w:val="24"/>
        </w:rPr>
      </w:pPr>
      <w:r>
        <w:rPr>
          <w:rFonts w:hint="eastAsia"/>
          <w:color w:val="000000"/>
          <w:sz w:val="24"/>
          <w:szCs w:val="24"/>
        </w:rPr>
        <w:t>非正常情况下，废气不能处理，排放速率有所增加，下风向预测浓度较大。项目发生非正常排放时，项目废气污染物对区域环境质量和周边生态环境造成一定程度的影响。非正常工况排放对区域地面的影响持续时间通常为1小时以内，随着废气处理设施故障的排除，其影响也随之消失。因此企业需加强环保管理，尽量避免非正常排放，发生事故时，应立即采取应急处理措施，减少事故对周边环境的影响。</w:t>
      </w:r>
    </w:p>
    <w:p w14:paraId="3864A950">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eastAsia" w:ascii="Times New Roman" w:hAnsi="Times New Roman" w:eastAsia="宋体" w:cs="Times New Roman"/>
          <w:color w:val="000000"/>
          <w:kern w:val="2"/>
          <w:sz w:val="24"/>
          <w:szCs w:val="20"/>
          <w:lang w:val="en-US" w:eastAsia="zh-CN" w:bidi="ar-SA"/>
        </w:rPr>
      </w:pPr>
      <w:r>
        <w:rPr>
          <w:rFonts w:hint="eastAsia" w:ascii="Times New Roman" w:hAnsi="Times New Roman" w:eastAsia="宋体" w:cs="Times New Roman"/>
          <w:color w:val="000000"/>
          <w:kern w:val="2"/>
          <w:sz w:val="24"/>
          <w:szCs w:val="20"/>
          <w:lang w:val="en-US" w:eastAsia="zh-CN" w:bidi="ar-SA"/>
        </w:rPr>
        <w:t>b、非正常工况敏感点影响分析</w:t>
      </w:r>
    </w:p>
    <w:p w14:paraId="3646B6B1">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color w:val="000000"/>
          <w:sz w:val="24"/>
        </w:rPr>
      </w:pPr>
      <w:r>
        <w:rPr>
          <w:rFonts w:hint="eastAsia" w:ascii="Times New Roman" w:hAnsi="Times New Roman" w:eastAsia="宋体" w:cs="Times New Roman"/>
          <w:color w:val="000000"/>
          <w:kern w:val="2"/>
          <w:sz w:val="24"/>
          <w:szCs w:val="20"/>
          <w:lang w:val="en-US" w:eastAsia="zh-CN" w:bidi="ar-SA"/>
        </w:rPr>
        <w:t>根据预测，</w:t>
      </w:r>
      <w:r>
        <w:rPr>
          <w:rFonts w:hint="eastAsia"/>
          <w:color w:val="000000"/>
          <w:sz w:val="24"/>
        </w:rPr>
        <w:t>非正常工况下，预测结果均在《环境影响评价技术导则·大气环境》（HJ2.2－2018）附录D（其他污染物空气质量浓度参考限值）中浓度限值内，说明处理效率为非正常工况时对周边敏感点处环境影响较小。项目在运营期内产生的大气污染物对周边大气环境及环境敏感点的影响都在功能区范围内，项目正式运营后不会对其产生显著影响。</w:t>
      </w:r>
    </w:p>
    <w:p w14:paraId="637BF38A">
      <w:pPr>
        <w:pStyle w:val="63"/>
        <w:adjustRightInd/>
        <w:jc w:val="center"/>
        <w:rPr>
          <w:rFonts w:hint="eastAsia" w:ascii="Times New Roman" w:hAnsi="Times New Roman" w:eastAsia="宋体" w:cs="Times New Roman"/>
          <w:b/>
          <w:bCs/>
          <w:sz w:val="21"/>
          <w:szCs w:val="21"/>
          <w:lang w:val="en-US" w:eastAsia="zh-CN"/>
        </w:rPr>
      </w:pPr>
      <w:r>
        <w:rPr>
          <w:rFonts w:hint="eastAsia" w:ascii="Times New Roman" w:hAnsi="Times New Roman" w:eastAsia="宋体" w:cs="Times New Roman"/>
          <w:b/>
          <w:bCs/>
          <w:sz w:val="21"/>
          <w:szCs w:val="21"/>
          <w:lang w:val="en-US" w:eastAsia="zh-CN"/>
        </w:rPr>
        <w:t>表5.2-12    非正常情况下敏感点受影响情况一览表</w:t>
      </w:r>
    </w:p>
    <w:tbl>
      <w:tblPr>
        <w:tblStyle w:val="50"/>
        <w:tblW w:w="93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81"/>
        <w:gridCol w:w="1481"/>
        <w:gridCol w:w="1481"/>
        <w:gridCol w:w="1481"/>
        <w:gridCol w:w="1484"/>
        <w:gridCol w:w="1892"/>
      </w:tblGrid>
      <w:tr w14:paraId="47D870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7408" w:type="dxa"/>
            <w:gridSpan w:val="5"/>
            <w:vAlign w:val="center"/>
          </w:tcPr>
          <w:p w14:paraId="6FBCD9C5">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kern w:val="2"/>
                <w:sz w:val="21"/>
                <w:szCs w:val="20"/>
                <w:lang w:val="en-US" w:eastAsia="zh-CN" w:bidi="ar"/>
              </w:rPr>
            </w:pPr>
            <w:r>
              <w:rPr>
                <w:rFonts w:hint="default" w:ascii="Times New Roman" w:hAnsi="Times New Roman" w:eastAsia="宋体" w:cs="Times New Roman"/>
                <w:kern w:val="2"/>
                <w:sz w:val="21"/>
                <w:szCs w:val="20"/>
                <w:lang w:val="en-US" w:eastAsia="zh-CN" w:bidi="ar"/>
              </w:rPr>
              <w:t>敏感点信息</w:t>
            </w:r>
          </w:p>
        </w:tc>
        <w:tc>
          <w:tcPr>
            <w:tcW w:w="1892" w:type="dxa"/>
            <w:vAlign w:val="center"/>
          </w:tcPr>
          <w:p w14:paraId="0A481F7C">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kern w:val="2"/>
                <w:sz w:val="21"/>
                <w:szCs w:val="20"/>
                <w:lang w:val="en-US" w:eastAsia="zh-CN" w:bidi="ar"/>
              </w:rPr>
            </w:pPr>
            <w:r>
              <w:rPr>
                <w:rFonts w:hint="eastAsia" w:ascii="Times New Roman" w:hAnsi="Times New Roman" w:eastAsia="宋体" w:cs="Times New Roman"/>
                <w:kern w:val="2"/>
                <w:sz w:val="21"/>
                <w:szCs w:val="20"/>
                <w:lang w:val="en-US" w:eastAsia="zh-CN" w:bidi="ar"/>
              </w:rPr>
              <w:t>生产车间排气筒DA001</w:t>
            </w:r>
          </w:p>
        </w:tc>
      </w:tr>
      <w:tr w14:paraId="3B8210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1481" w:type="dxa"/>
            <w:vAlign w:val="center"/>
          </w:tcPr>
          <w:p w14:paraId="2E63D1A3">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kern w:val="2"/>
                <w:sz w:val="21"/>
                <w:szCs w:val="20"/>
                <w:lang w:val="en-US" w:eastAsia="zh-CN" w:bidi="ar"/>
              </w:rPr>
            </w:pPr>
            <w:r>
              <w:rPr>
                <w:rFonts w:hint="eastAsia" w:cs="Times New Roman"/>
                <w:kern w:val="2"/>
                <w:sz w:val="21"/>
                <w:szCs w:val="20"/>
                <w:lang w:val="en-US" w:eastAsia="zh-CN" w:bidi="ar"/>
              </w:rPr>
              <w:t>敏感点名称</w:t>
            </w:r>
          </w:p>
        </w:tc>
        <w:tc>
          <w:tcPr>
            <w:tcW w:w="1481" w:type="dxa"/>
            <w:vAlign w:val="center"/>
          </w:tcPr>
          <w:p w14:paraId="0DB344F5">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kern w:val="2"/>
                <w:sz w:val="21"/>
                <w:szCs w:val="20"/>
                <w:lang w:val="en-US" w:eastAsia="zh-CN" w:bidi="ar"/>
              </w:rPr>
            </w:pPr>
            <w:r>
              <w:rPr>
                <w:rFonts w:hint="eastAsia" w:cs="Times New Roman"/>
                <w:kern w:val="2"/>
                <w:sz w:val="21"/>
                <w:szCs w:val="20"/>
                <w:lang w:val="en-US" w:eastAsia="zh-CN" w:bidi="ar"/>
              </w:rPr>
              <w:t>经度（度）</w:t>
            </w:r>
          </w:p>
        </w:tc>
        <w:tc>
          <w:tcPr>
            <w:tcW w:w="1481" w:type="dxa"/>
            <w:vAlign w:val="center"/>
          </w:tcPr>
          <w:p w14:paraId="1E11955E">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kern w:val="2"/>
                <w:sz w:val="21"/>
                <w:szCs w:val="20"/>
                <w:lang w:val="en-US" w:eastAsia="zh-CN" w:bidi="ar"/>
              </w:rPr>
            </w:pPr>
            <w:r>
              <w:rPr>
                <w:rFonts w:hint="eastAsia" w:cs="Times New Roman"/>
                <w:kern w:val="2"/>
                <w:sz w:val="21"/>
                <w:szCs w:val="20"/>
                <w:lang w:val="en-US" w:eastAsia="zh-CN" w:bidi="ar"/>
              </w:rPr>
              <w:t>纬度（度）</w:t>
            </w:r>
          </w:p>
        </w:tc>
        <w:tc>
          <w:tcPr>
            <w:tcW w:w="1481" w:type="dxa"/>
            <w:vAlign w:val="center"/>
          </w:tcPr>
          <w:p w14:paraId="3B7198F6">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kern w:val="2"/>
                <w:sz w:val="21"/>
                <w:szCs w:val="20"/>
                <w:lang w:val="en-US" w:eastAsia="zh-CN" w:bidi="ar"/>
              </w:rPr>
            </w:pPr>
            <w:r>
              <w:rPr>
                <w:rFonts w:hint="eastAsia" w:cs="Times New Roman"/>
                <w:kern w:val="2"/>
                <w:sz w:val="21"/>
                <w:szCs w:val="20"/>
                <w:lang w:val="en-US" w:eastAsia="zh-CN" w:bidi="ar"/>
              </w:rPr>
              <w:t>海拔（m）</w:t>
            </w:r>
          </w:p>
        </w:tc>
        <w:tc>
          <w:tcPr>
            <w:tcW w:w="1484" w:type="dxa"/>
            <w:vAlign w:val="center"/>
          </w:tcPr>
          <w:p w14:paraId="2F4B403C">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kern w:val="2"/>
                <w:sz w:val="21"/>
                <w:szCs w:val="20"/>
                <w:lang w:val="en-US" w:eastAsia="zh-CN" w:bidi="ar"/>
              </w:rPr>
            </w:pPr>
            <w:r>
              <w:rPr>
                <w:rFonts w:hint="eastAsia" w:cs="Times New Roman"/>
                <w:kern w:val="2"/>
                <w:sz w:val="21"/>
                <w:szCs w:val="20"/>
                <w:lang w:val="en-US" w:eastAsia="zh-CN" w:bidi="ar"/>
              </w:rPr>
              <w:t>下风向距离 （m）</w:t>
            </w:r>
          </w:p>
        </w:tc>
        <w:tc>
          <w:tcPr>
            <w:tcW w:w="1892" w:type="dxa"/>
            <w:vAlign w:val="center"/>
          </w:tcPr>
          <w:p w14:paraId="12729090">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kern w:val="2"/>
                <w:sz w:val="21"/>
                <w:szCs w:val="20"/>
                <w:lang w:val="en-US" w:eastAsia="zh-CN" w:bidi="ar"/>
              </w:rPr>
            </w:pPr>
            <w:r>
              <w:rPr>
                <w:rFonts w:hint="default" w:ascii="Times New Roman" w:hAnsi="Times New Roman" w:eastAsia="宋体" w:cs="Times New Roman"/>
                <w:kern w:val="2"/>
                <w:sz w:val="21"/>
                <w:szCs w:val="20"/>
                <w:lang w:val="en-US" w:eastAsia="zh-CN" w:bidi="ar"/>
              </w:rPr>
              <w:t>NMHC</w:t>
            </w:r>
          </w:p>
          <w:p w14:paraId="27DF5FDC">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kern w:val="2"/>
                <w:sz w:val="21"/>
                <w:szCs w:val="20"/>
                <w:lang w:val="en-US" w:eastAsia="zh-CN" w:bidi="ar"/>
              </w:rPr>
            </w:pPr>
            <w:r>
              <w:rPr>
                <w:rFonts w:hint="default" w:ascii="Times New Roman" w:hAnsi="Times New Roman" w:eastAsia="宋体" w:cs="Times New Roman"/>
                <w:kern w:val="2"/>
                <w:sz w:val="21"/>
                <w:szCs w:val="20"/>
                <w:lang w:val="en-US" w:eastAsia="zh-CN" w:bidi="ar"/>
              </w:rPr>
              <w:t>(μg/m³)</w:t>
            </w:r>
          </w:p>
        </w:tc>
      </w:tr>
      <w:tr w14:paraId="37E9AF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1481" w:type="dxa"/>
            <w:vAlign w:val="center"/>
          </w:tcPr>
          <w:p w14:paraId="350CE16C">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kern w:val="2"/>
                <w:sz w:val="21"/>
                <w:szCs w:val="20"/>
                <w:lang w:val="en-US" w:eastAsia="zh-CN" w:bidi="ar"/>
              </w:rPr>
            </w:pPr>
            <w:r>
              <w:rPr>
                <w:rFonts w:hint="default" w:ascii="Times New Roman" w:hAnsi="Times New Roman" w:eastAsia="宋体" w:cs="Times New Roman"/>
                <w:kern w:val="2"/>
                <w:sz w:val="21"/>
                <w:szCs w:val="20"/>
                <w:lang w:val="en-US" w:eastAsia="zh-CN" w:bidi="ar"/>
              </w:rPr>
              <w:t>普惠农场</w:t>
            </w:r>
            <w:r>
              <w:rPr>
                <w:rFonts w:hint="eastAsia" w:cs="Times New Roman"/>
                <w:kern w:val="2"/>
                <w:sz w:val="21"/>
                <w:szCs w:val="20"/>
                <w:lang w:val="en-US" w:eastAsia="zh-CN" w:bidi="ar"/>
              </w:rPr>
              <w:t>二</w:t>
            </w:r>
            <w:r>
              <w:rPr>
                <w:rFonts w:hint="default" w:ascii="Times New Roman" w:hAnsi="Times New Roman" w:eastAsia="宋体" w:cs="Times New Roman"/>
                <w:kern w:val="2"/>
                <w:sz w:val="21"/>
                <w:szCs w:val="20"/>
                <w:lang w:val="en-US" w:eastAsia="zh-CN" w:bidi="ar"/>
              </w:rPr>
              <w:t>队居民区</w:t>
            </w:r>
          </w:p>
        </w:tc>
        <w:tc>
          <w:tcPr>
            <w:tcW w:w="1481" w:type="dxa"/>
            <w:shd w:val="clear" w:color="auto" w:fill="auto"/>
            <w:vAlign w:val="center"/>
          </w:tcPr>
          <w:p w14:paraId="65B96539">
            <w:pPr>
              <w:adjustRightInd w:val="0"/>
              <w:snapToGrid w:val="0"/>
              <w:spacing w:line="320" w:lineRule="exact"/>
              <w:jc w:val="center"/>
              <w:rPr>
                <w:rFonts w:hint="default" w:ascii="Times New Roman" w:hAnsi="Times New Roman" w:eastAsia="宋体" w:cs="Times New Roman"/>
                <w:kern w:val="2"/>
                <w:sz w:val="21"/>
                <w:szCs w:val="21"/>
                <w:lang w:val="en-US" w:eastAsia="zh-CN" w:bidi="ar-SA"/>
              </w:rPr>
            </w:pPr>
            <w:r>
              <w:rPr>
                <w:rFonts w:hint="eastAsia"/>
                <w:szCs w:val="21"/>
                <w:lang w:val="en-US" w:eastAsia="zh-CN"/>
              </w:rPr>
              <w:t>85.864804</w:t>
            </w:r>
          </w:p>
        </w:tc>
        <w:tc>
          <w:tcPr>
            <w:tcW w:w="1481" w:type="dxa"/>
            <w:shd w:val="clear" w:color="auto" w:fill="auto"/>
            <w:vAlign w:val="center"/>
          </w:tcPr>
          <w:p w14:paraId="311870FB">
            <w:pPr>
              <w:adjustRightInd w:val="0"/>
              <w:snapToGrid w:val="0"/>
              <w:spacing w:line="320" w:lineRule="exact"/>
              <w:jc w:val="center"/>
              <w:rPr>
                <w:rFonts w:hint="default" w:ascii="Times New Roman" w:hAnsi="Times New Roman" w:eastAsia="宋体" w:cs="Times New Roman"/>
                <w:kern w:val="2"/>
                <w:sz w:val="21"/>
                <w:szCs w:val="21"/>
                <w:lang w:val="en-US" w:eastAsia="zh-CN" w:bidi="ar-SA"/>
              </w:rPr>
            </w:pPr>
            <w:r>
              <w:rPr>
                <w:rFonts w:hint="eastAsia"/>
                <w:szCs w:val="21"/>
              </w:rPr>
              <w:t>41.</w:t>
            </w:r>
            <w:r>
              <w:rPr>
                <w:rFonts w:hint="eastAsia"/>
                <w:szCs w:val="21"/>
                <w:lang w:val="en-US" w:eastAsia="zh-CN"/>
              </w:rPr>
              <w:t>425298</w:t>
            </w:r>
          </w:p>
        </w:tc>
        <w:tc>
          <w:tcPr>
            <w:tcW w:w="1481" w:type="dxa"/>
            <w:vAlign w:val="center"/>
          </w:tcPr>
          <w:p w14:paraId="36ABD94C">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kern w:val="2"/>
                <w:sz w:val="21"/>
                <w:szCs w:val="20"/>
                <w:lang w:val="en-US" w:eastAsia="zh-CN" w:bidi="ar"/>
              </w:rPr>
            </w:pPr>
            <w:r>
              <w:rPr>
                <w:rFonts w:hint="eastAsia" w:cs="Times New Roman"/>
                <w:kern w:val="2"/>
                <w:sz w:val="21"/>
                <w:szCs w:val="20"/>
                <w:lang w:val="en-US" w:eastAsia="zh-CN" w:bidi="ar"/>
              </w:rPr>
              <w:t>893.51</w:t>
            </w:r>
          </w:p>
        </w:tc>
        <w:tc>
          <w:tcPr>
            <w:tcW w:w="1484" w:type="dxa"/>
            <w:vAlign w:val="center"/>
          </w:tcPr>
          <w:p w14:paraId="41D41470">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kern w:val="2"/>
                <w:sz w:val="21"/>
                <w:szCs w:val="20"/>
                <w:lang w:val="en-US" w:eastAsia="zh-CN" w:bidi="ar"/>
              </w:rPr>
            </w:pPr>
            <w:r>
              <w:rPr>
                <w:rFonts w:hint="eastAsia" w:cs="Times New Roman"/>
                <w:kern w:val="2"/>
                <w:sz w:val="21"/>
                <w:szCs w:val="20"/>
                <w:lang w:val="en-US" w:eastAsia="zh-CN" w:bidi="ar"/>
              </w:rPr>
              <w:t>30</w:t>
            </w:r>
          </w:p>
        </w:tc>
        <w:tc>
          <w:tcPr>
            <w:tcW w:w="1892" w:type="dxa"/>
            <w:vAlign w:val="center"/>
          </w:tcPr>
          <w:p w14:paraId="085A29DF">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kern w:val="2"/>
                <w:sz w:val="21"/>
                <w:szCs w:val="20"/>
                <w:lang w:val="en-US" w:eastAsia="zh-CN" w:bidi="ar"/>
              </w:rPr>
            </w:pPr>
            <w:r>
              <w:rPr>
                <w:rFonts w:hint="eastAsia" w:cs="Times New Roman"/>
                <w:kern w:val="2"/>
                <w:sz w:val="21"/>
                <w:szCs w:val="20"/>
                <w:lang w:val="en-US" w:eastAsia="zh-CN" w:bidi="ar"/>
              </w:rPr>
              <w:t>86.8240</w:t>
            </w:r>
          </w:p>
        </w:tc>
      </w:tr>
      <w:tr w14:paraId="69FB9E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1481" w:type="dxa"/>
            <w:vAlign w:val="center"/>
          </w:tcPr>
          <w:p w14:paraId="0016262E">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kern w:val="2"/>
                <w:sz w:val="21"/>
                <w:szCs w:val="20"/>
                <w:lang w:val="en-US" w:eastAsia="zh-CN" w:bidi="ar"/>
              </w:rPr>
            </w:pPr>
            <w:r>
              <w:rPr>
                <w:rFonts w:hint="default" w:ascii="Times New Roman" w:hAnsi="Times New Roman" w:eastAsia="宋体" w:cs="Times New Roman"/>
                <w:kern w:val="2"/>
                <w:sz w:val="21"/>
                <w:szCs w:val="20"/>
                <w:lang w:val="en-US" w:eastAsia="zh-CN" w:bidi="ar"/>
              </w:rPr>
              <w:t>普惠农场三队居民区</w:t>
            </w:r>
          </w:p>
        </w:tc>
        <w:tc>
          <w:tcPr>
            <w:tcW w:w="1481" w:type="dxa"/>
            <w:shd w:val="clear" w:color="auto" w:fill="auto"/>
            <w:vAlign w:val="center"/>
          </w:tcPr>
          <w:p w14:paraId="72803515">
            <w:pPr>
              <w:adjustRightInd w:val="0"/>
              <w:snapToGrid w:val="0"/>
              <w:spacing w:line="320" w:lineRule="exact"/>
              <w:jc w:val="center"/>
              <w:rPr>
                <w:rFonts w:hint="default" w:ascii="Times New Roman" w:hAnsi="Times New Roman" w:eastAsia="宋体" w:cs="Times New Roman"/>
                <w:kern w:val="2"/>
                <w:sz w:val="21"/>
                <w:szCs w:val="21"/>
                <w:lang w:val="en-US" w:eastAsia="zh-CN" w:bidi="ar-SA"/>
              </w:rPr>
            </w:pPr>
            <w:r>
              <w:rPr>
                <w:rFonts w:hint="eastAsia"/>
                <w:szCs w:val="21"/>
              </w:rPr>
              <w:t>85.853</w:t>
            </w:r>
            <w:r>
              <w:rPr>
                <w:rFonts w:hint="eastAsia"/>
                <w:szCs w:val="21"/>
                <w:lang w:val="en-US" w:eastAsia="zh-CN"/>
              </w:rPr>
              <w:t>432</w:t>
            </w:r>
          </w:p>
        </w:tc>
        <w:tc>
          <w:tcPr>
            <w:tcW w:w="1481" w:type="dxa"/>
            <w:shd w:val="clear" w:color="auto" w:fill="auto"/>
            <w:vAlign w:val="center"/>
          </w:tcPr>
          <w:p w14:paraId="45E3466C">
            <w:pPr>
              <w:adjustRightInd w:val="0"/>
              <w:snapToGrid w:val="0"/>
              <w:spacing w:line="320" w:lineRule="exact"/>
              <w:jc w:val="center"/>
              <w:rPr>
                <w:rFonts w:hint="default" w:ascii="Times New Roman" w:hAnsi="Times New Roman" w:eastAsia="宋体" w:cs="Times New Roman"/>
                <w:kern w:val="2"/>
                <w:sz w:val="21"/>
                <w:szCs w:val="21"/>
                <w:lang w:val="en-US" w:eastAsia="zh-CN" w:bidi="ar-SA"/>
              </w:rPr>
            </w:pPr>
            <w:r>
              <w:rPr>
                <w:rFonts w:hint="eastAsia"/>
                <w:szCs w:val="21"/>
              </w:rPr>
              <w:t>41.413</w:t>
            </w:r>
            <w:r>
              <w:rPr>
                <w:rFonts w:hint="eastAsia"/>
                <w:szCs w:val="21"/>
                <w:lang w:val="en-US" w:eastAsia="zh-CN"/>
              </w:rPr>
              <w:t>153</w:t>
            </w:r>
          </w:p>
        </w:tc>
        <w:tc>
          <w:tcPr>
            <w:tcW w:w="1481" w:type="dxa"/>
            <w:vAlign w:val="center"/>
          </w:tcPr>
          <w:p w14:paraId="7442BCE8">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kern w:val="2"/>
                <w:sz w:val="21"/>
                <w:szCs w:val="20"/>
                <w:lang w:val="en-US" w:eastAsia="zh-CN" w:bidi="ar"/>
              </w:rPr>
            </w:pPr>
            <w:r>
              <w:rPr>
                <w:rFonts w:hint="eastAsia" w:cs="Times New Roman"/>
                <w:kern w:val="2"/>
                <w:sz w:val="21"/>
                <w:szCs w:val="20"/>
                <w:lang w:val="en-US" w:eastAsia="zh-CN" w:bidi="ar"/>
              </w:rPr>
              <w:t>894.34</w:t>
            </w:r>
          </w:p>
        </w:tc>
        <w:tc>
          <w:tcPr>
            <w:tcW w:w="1484" w:type="dxa"/>
            <w:vAlign w:val="center"/>
          </w:tcPr>
          <w:p w14:paraId="1F7CE567">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kern w:val="2"/>
                <w:sz w:val="21"/>
                <w:szCs w:val="20"/>
                <w:lang w:val="en-US" w:eastAsia="zh-CN" w:bidi="ar"/>
              </w:rPr>
            </w:pPr>
            <w:r>
              <w:rPr>
                <w:rFonts w:hint="eastAsia" w:cs="Times New Roman"/>
                <w:kern w:val="2"/>
                <w:sz w:val="21"/>
                <w:szCs w:val="20"/>
                <w:lang w:val="en-US" w:eastAsia="zh-CN" w:bidi="ar"/>
              </w:rPr>
              <w:t>46</w:t>
            </w:r>
          </w:p>
        </w:tc>
        <w:tc>
          <w:tcPr>
            <w:tcW w:w="1892" w:type="dxa"/>
            <w:vAlign w:val="center"/>
          </w:tcPr>
          <w:p w14:paraId="0B84C9E1">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kern w:val="2"/>
                <w:sz w:val="21"/>
                <w:szCs w:val="20"/>
                <w:lang w:val="en-US" w:eastAsia="zh-CN" w:bidi="ar"/>
              </w:rPr>
            </w:pPr>
            <w:r>
              <w:rPr>
                <w:rFonts w:hint="default" w:ascii="Times New Roman" w:hAnsi="Times New Roman" w:eastAsia="宋体" w:cs="Times New Roman"/>
                <w:kern w:val="2"/>
                <w:sz w:val="21"/>
                <w:szCs w:val="20"/>
                <w:lang w:val="en-US" w:eastAsia="zh-CN" w:bidi="ar"/>
              </w:rPr>
              <w:t>97.391</w:t>
            </w:r>
            <w:r>
              <w:rPr>
                <w:rFonts w:hint="eastAsia" w:cs="Times New Roman"/>
                <w:kern w:val="2"/>
                <w:sz w:val="21"/>
                <w:szCs w:val="20"/>
                <w:lang w:val="en-US" w:eastAsia="zh-CN" w:bidi="ar"/>
              </w:rPr>
              <w:t>6</w:t>
            </w:r>
          </w:p>
        </w:tc>
      </w:tr>
      <w:tr w14:paraId="204B32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1481" w:type="dxa"/>
            <w:vAlign w:val="center"/>
          </w:tcPr>
          <w:p w14:paraId="727F6693">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kern w:val="2"/>
                <w:sz w:val="21"/>
                <w:szCs w:val="20"/>
                <w:lang w:val="en-US" w:eastAsia="zh-CN" w:bidi="ar"/>
              </w:rPr>
            </w:pPr>
            <w:r>
              <w:rPr>
                <w:rFonts w:hint="default" w:ascii="Times New Roman" w:hAnsi="Times New Roman" w:eastAsia="宋体" w:cs="Times New Roman"/>
                <w:kern w:val="2"/>
                <w:sz w:val="21"/>
                <w:szCs w:val="20"/>
                <w:lang w:val="en-US" w:eastAsia="zh-CN" w:bidi="ar"/>
              </w:rPr>
              <w:t>普惠农场八队居民区</w:t>
            </w:r>
          </w:p>
        </w:tc>
        <w:tc>
          <w:tcPr>
            <w:tcW w:w="1481" w:type="dxa"/>
            <w:shd w:val="clear" w:color="auto" w:fill="auto"/>
            <w:vAlign w:val="center"/>
          </w:tcPr>
          <w:p w14:paraId="3A358F02">
            <w:pPr>
              <w:adjustRightInd w:val="0"/>
              <w:snapToGrid w:val="0"/>
              <w:spacing w:line="320" w:lineRule="exact"/>
              <w:jc w:val="center"/>
              <w:rPr>
                <w:rFonts w:hint="default" w:ascii="Times New Roman" w:hAnsi="Times New Roman" w:eastAsia="宋体" w:cs="Times New Roman"/>
                <w:kern w:val="2"/>
                <w:sz w:val="21"/>
                <w:szCs w:val="21"/>
                <w:lang w:val="en-US" w:eastAsia="zh-CN" w:bidi="ar-SA"/>
              </w:rPr>
            </w:pPr>
            <w:r>
              <w:rPr>
                <w:rFonts w:hint="eastAsia"/>
                <w:szCs w:val="21"/>
              </w:rPr>
              <w:t>85.</w:t>
            </w:r>
            <w:r>
              <w:rPr>
                <w:rFonts w:hint="eastAsia"/>
                <w:szCs w:val="21"/>
                <w:lang w:val="en-US" w:eastAsia="zh-CN"/>
              </w:rPr>
              <w:t>831502</w:t>
            </w:r>
          </w:p>
        </w:tc>
        <w:tc>
          <w:tcPr>
            <w:tcW w:w="1481" w:type="dxa"/>
            <w:shd w:val="clear" w:color="auto" w:fill="auto"/>
            <w:vAlign w:val="center"/>
          </w:tcPr>
          <w:p w14:paraId="0EBD89B3">
            <w:pPr>
              <w:adjustRightInd w:val="0"/>
              <w:snapToGrid w:val="0"/>
              <w:spacing w:line="320" w:lineRule="exact"/>
              <w:jc w:val="center"/>
              <w:rPr>
                <w:rFonts w:hint="default" w:ascii="Times New Roman" w:hAnsi="Times New Roman" w:eastAsia="宋体" w:cs="Times New Roman"/>
                <w:kern w:val="2"/>
                <w:sz w:val="21"/>
                <w:szCs w:val="21"/>
                <w:lang w:val="en-US" w:eastAsia="zh-CN" w:bidi="ar-SA"/>
              </w:rPr>
            </w:pPr>
            <w:r>
              <w:rPr>
                <w:rFonts w:hint="eastAsia"/>
                <w:szCs w:val="21"/>
              </w:rPr>
              <w:t>41.</w:t>
            </w:r>
            <w:r>
              <w:rPr>
                <w:rFonts w:hint="eastAsia"/>
                <w:szCs w:val="21"/>
                <w:lang w:val="en-US" w:eastAsia="zh-CN"/>
              </w:rPr>
              <w:t>423367</w:t>
            </w:r>
          </w:p>
        </w:tc>
        <w:tc>
          <w:tcPr>
            <w:tcW w:w="1481" w:type="dxa"/>
            <w:vAlign w:val="center"/>
          </w:tcPr>
          <w:p w14:paraId="7839E785">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kern w:val="2"/>
                <w:sz w:val="21"/>
                <w:szCs w:val="20"/>
                <w:lang w:val="en-US" w:eastAsia="zh-CN" w:bidi="ar"/>
              </w:rPr>
            </w:pPr>
            <w:r>
              <w:rPr>
                <w:rFonts w:hint="eastAsia" w:cs="Times New Roman"/>
                <w:kern w:val="2"/>
                <w:sz w:val="21"/>
                <w:szCs w:val="20"/>
                <w:lang w:val="en-US" w:eastAsia="zh-CN" w:bidi="ar"/>
              </w:rPr>
              <w:t>894.94</w:t>
            </w:r>
          </w:p>
        </w:tc>
        <w:tc>
          <w:tcPr>
            <w:tcW w:w="1484" w:type="dxa"/>
            <w:vAlign w:val="center"/>
          </w:tcPr>
          <w:p w14:paraId="004B3893">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kern w:val="2"/>
                <w:sz w:val="21"/>
                <w:szCs w:val="20"/>
                <w:lang w:val="en-US" w:eastAsia="zh-CN" w:bidi="ar"/>
              </w:rPr>
            </w:pPr>
            <w:r>
              <w:rPr>
                <w:rFonts w:hint="eastAsia" w:cs="Times New Roman"/>
                <w:kern w:val="2"/>
                <w:sz w:val="21"/>
                <w:szCs w:val="20"/>
                <w:lang w:val="en-US" w:eastAsia="zh-CN" w:bidi="ar"/>
              </w:rPr>
              <w:t>61</w:t>
            </w:r>
          </w:p>
        </w:tc>
        <w:tc>
          <w:tcPr>
            <w:tcW w:w="1892" w:type="dxa"/>
            <w:vAlign w:val="center"/>
          </w:tcPr>
          <w:p w14:paraId="46F716A5">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kern w:val="2"/>
                <w:sz w:val="21"/>
                <w:szCs w:val="20"/>
                <w:lang w:val="en-US" w:eastAsia="zh-CN" w:bidi="ar"/>
              </w:rPr>
            </w:pPr>
            <w:r>
              <w:rPr>
                <w:rFonts w:hint="eastAsia" w:ascii="Times New Roman" w:hAnsi="Times New Roman" w:eastAsia="宋体" w:cs="Times New Roman"/>
                <w:kern w:val="2"/>
                <w:sz w:val="21"/>
                <w:szCs w:val="20"/>
                <w:lang w:val="en-US" w:eastAsia="zh-CN" w:bidi="ar"/>
              </w:rPr>
              <w:t>114.0400</w:t>
            </w:r>
          </w:p>
        </w:tc>
      </w:tr>
    </w:tbl>
    <w:p w14:paraId="7D2C5C39">
      <w:pPr>
        <w:pStyle w:val="5"/>
        <w:rPr>
          <w:rFonts w:ascii="Times New Roman" w:hAnsi="Times New Roman"/>
          <w:color w:val="000000"/>
          <w:lang w:val="en-US"/>
        </w:rPr>
      </w:pPr>
      <w:bookmarkStart w:id="277" w:name="_Toc16524"/>
      <w:bookmarkStart w:id="278" w:name="_Toc650"/>
      <w:bookmarkStart w:id="279" w:name="_Toc3975"/>
      <w:bookmarkStart w:id="280" w:name="_Toc9413"/>
      <w:r>
        <w:rPr>
          <w:rFonts w:hint="eastAsia" w:ascii="Times New Roman" w:hAnsi="Times New Roman"/>
          <w:color w:val="000000"/>
          <w:lang w:val="en-US"/>
        </w:rPr>
        <w:t>5.2.1.</w:t>
      </w:r>
      <w:r>
        <w:rPr>
          <w:rFonts w:hint="eastAsia" w:ascii="Times New Roman" w:hAnsi="Times New Roman"/>
          <w:color w:val="000000"/>
          <w:lang w:val="en-US" w:eastAsia="zh-CN"/>
        </w:rPr>
        <w:t>3</w:t>
      </w:r>
      <w:r>
        <w:rPr>
          <w:rFonts w:hint="eastAsia" w:ascii="Times New Roman" w:hAnsi="Times New Roman"/>
          <w:color w:val="000000"/>
          <w:lang w:val="en-US"/>
        </w:rPr>
        <w:t>大气污染源排放量核算</w:t>
      </w:r>
      <w:bookmarkEnd w:id="277"/>
      <w:bookmarkEnd w:id="278"/>
    </w:p>
    <w:p w14:paraId="29DAEF32">
      <w:pPr>
        <w:widowControl/>
        <w:spacing w:line="360" w:lineRule="auto"/>
        <w:ind w:firstLine="480" w:firstLineChars="200"/>
        <w:rPr>
          <w:color w:val="000000"/>
        </w:rPr>
      </w:pPr>
      <w:r>
        <w:rPr>
          <w:rFonts w:hint="eastAsia"/>
          <w:color w:val="000000"/>
          <w:sz w:val="24"/>
        </w:rPr>
        <w:t>按评价工作级别的划分原则，大气评价工作等级为二级。根据《环境影响评价技术导则  大气环境》（</w:t>
      </w:r>
      <w:r>
        <w:rPr>
          <w:color w:val="000000"/>
          <w:sz w:val="24"/>
        </w:rPr>
        <w:t>HJ2.2-2018</w:t>
      </w:r>
      <w:r>
        <w:rPr>
          <w:rFonts w:hint="eastAsia"/>
          <w:color w:val="000000"/>
          <w:sz w:val="24"/>
        </w:rPr>
        <w:t>），二级评价项目不进行进一步预测与评价，只对污染物排放量进行核算。大气污染物年排放量核算分述如下。</w:t>
      </w:r>
    </w:p>
    <w:p w14:paraId="4F1707A3">
      <w:pPr>
        <w:widowControl/>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（1）正常工况</w:t>
      </w:r>
    </w:p>
    <w:p w14:paraId="418CD414">
      <w:pPr>
        <w:widowControl/>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项目有组织排放核算见表5.2-</w:t>
      </w:r>
      <w:r>
        <w:rPr>
          <w:rFonts w:hint="eastAsia" w:ascii="宋体" w:hAnsi="宋体" w:cs="宋体"/>
          <w:color w:val="000000"/>
          <w:sz w:val="24"/>
          <w:szCs w:val="24"/>
          <w:lang w:val="en-US" w:eastAsia="zh-CN"/>
        </w:rPr>
        <w:t>13</w:t>
      </w:r>
      <w:r>
        <w:rPr>
          <w:rFonts w:hint="eastAsia" w:ascii="宋体" w:hAnsi="宋体" w:cs="宋体"/>
          <w:color w:val="000000"/>
          <w:sz w:val="24"/>
          <w:szCs w:val="24"/>
        </w:rPr>
        <w:t>，无组织排放核算见表5.2-</w:t>
      </w:r>
      <w:r>
        <w:rPr>
          <w:rFonts w:hint="eastAsia" w:ascii="宋体" w:hAnsi="宋体" w:cs="宋体"/>
          <w:color w:val="000000"/>
          <w:sz w:val="24"/>
          <w:szCs w:val="24"/>
          <w:lang w:val="en-US" w:eastAsia="zh-CN"/>
        </w:rPr>
        <w:t>14</w:t>
      </w:r>
      <w:r>
        <w:rPr>
          <w:rFonts w:hint="eastAsia" w:ascii="宋体" w:hAnsi="宋体" w:cs="宋体"/>
          <w:color w:val="000000"/>
          <w:sz w:val="24"/>
          <w:szCs w:val="24"/>
        </w:rPr>
        <w:t>和大气污染物年排放量核算表5.2-</w:t>
      </w:r>
      <w:r>
        <w:rPr>
          <w:rFonts w:hint="eastAsia" w:ascii="宋体" w:hAnsi="宋体" w:cs="宋体"/>
          <w:color w:val="000000"/>
          <w:sz w:val="24"/>
          <w:szCs w:val="24"/>
          <w:lang w:val="en-US" w:eastAsia="zh-CN"/>
        </w:rPr>
        <w:t>15</w:t>
      </w:r>
      <w:r>
        <w:rPr>
          <w:rFonts w:hint="eastAsia" w:ascii="宋体" w:hAnsi="宋体" w:cs="宋体"/>
          <w:color w:val="000000"/>
          <w:sz w:val="24"/>
          <w:szCs w:val="24"/>
        </w:rPr>
        <w:t>。</w:t>
      </w:r>
    </w:p>
    <w:bookmarkEnd w:id="279"/>
    <w:bookmarkEnd w:id="280"/>
    <w:p w14:paraId="52B0D144">
      <w:pPr>
        <w:pStyle w:val="63"/>
        <w:adjustRightInd/>
        <w:jc w:val="center"/>
        <w:rPr>
          <w:rFonts w:ascii="Times New Roman" w:cs="Times New Roman"/>
          <w:b/>
          <w:bCs/>
          <w:sz w:val="21"/>
          <w:szCs w:val="21"/>
        </w:rPr>
      </w:pPr>
      <w:r>
        <w:rPr>
          <w:rFonts w:hint="eastAsia" w:ascii="Times New Roman" w:cs="Times New Roman"/>
          <w:b/>
          <w:bCs/>
          <w:sz w:val="21"/>
          <w:szCs w:val="21"/>
        </w:rPr>
        <w:t>表5.2-</w:t>
      </w:r>
      <w:r>
        <w:rPr>
          <w:rFonts w:hint="eastAsia" w:ascii="Times New Roman" w:cs="Times New Roman"/>
          <w:b/>
          <w:bCs/>
          <w:sz w:val="21"/>
          <w:szCs w:val="21"/>
          <w:lang w:val="en-US" w:eastAsia="zh-CN"/>
        </w:rPr>
        <w:t>1</w:t>
      </w:r>
      <w:r>
        <w:rPr>
          <w:rFonts w:hint="eastAsia" w:cs="Times New Roman"/>
          <w:b/>
          <w:bCs/>
          <w:sz w:val="21"/>
          <w:szCs w:val="21"/>
          <w:lang w:val="en-US" w:eastAsia="zh-CN"/>
        </w:rPr>
        <w:t>3</w:t>
      </w:r>
      <w:r>
        <w:rPr>
          <w:rFonts w:ascii="Times New Roman" w:cs="Times New Roman"/>
          <w:b/>
          <w:bCs/>
          <w:sz w:val="21"/>
          <w:szCs w:val="21"/>
        </w:rPr>
        <w:t xml:space="preserve">    </w:t>
      </w:r>
      <w:r>
        <w:rPr>
          <w:rFonts w:hint="eastAsia"/>
          <w:b/>
          <w:bCs/>
          <w:sz w:val="21"/>
          <w:szCs w:val="21"/>
        </w:rPr>
        <w:t>正常工况下</w:t>
      </w:r>
      <w:r>
        <w:rPr>
          <w:b/>
          <w:bCs/>
          <w:sz w:val="21"/>
          <w:szCs w:val="21"/>
        </w:rPr>
        <w:t>大气污染物</w:t>
      </w:r>
      <w:r>
        <w:rPr>
          <w:rFonts w:hint="eastAsia" w:ascii="Times New Roman" w:cs="Times New Roman"/>
          <w:b/>
          <w:bCs/>
          <w:sz w:val="21"/>
          <w:szCs w:val="21"/>
        </w:rPr>
        <w:t>有组织废气排放核算表</w:t>
      </w:r>
    </w:p>
    <w:tbl>
      <w:tblPr>
        <w:tblStyle w:val="49"/>
        <w:tblW w:w="4969" w:type="pct"/>
        <w:jc w:val="center"/>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108" w:type="dxa"/>
          <w:bottom w:w="0" w:type="dxa"/>
          <w:right w:w="108" w:type="dxa"/>
        </w:tblCellMar>
      </w:tblPr>
      <w:tblGrid>
        <w:gridCol w:w="460"/>
        <w:gridCol w:w="905"/>
        <w:gridCol w:w="1165"/>
        <w:gridCol w:w="2073"/>
        <w:gridCol w:w="1241"/>
        <w:gridCol w:w="1089"/>
        <w:gridCol w:w="1043"/>
        <w:gridCol w:w="1255"/>
      </w:tblGrid>
      <w:tr w14:paraId="43E1C659">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108" w:type="dxa"/>
            <w:bottom w:w="0" w:type="dxa"/>
            <w:right w:w="108" w:type="dxa"/>
          </w:tblCellMar>
        </w:tblPrEx>
        <w:trPr>
          <w:trHeight w:val="372" w:hRule="atLeast"/>
          <w:jc w:val="center"/>
        </w:trPr>
        <w:tc>
          <w:tcPr>
            <w:tcW w:w="249" w:type="pct"/>
            <w:vMerge w:val="restart"/>
            <w:tcBorders>
              <w:tl2br w:val="nil"/>
              <w:tr2bl w:val="nil"/>
            </w:tcBorders>
            <w:vAlign w:val="center"/>
          </w:tcPr>
          <w:p w14:paraId="6458FAE9">
            <w:pPr>
              <w:pStyle w:val="240"/>
              <w:rPr>
                <w:rFonts w:hint="default"/>
              </w:rPr>
            </w:pPr>
            <w:r>
              <w:rPr>
                <w:rFonts w:hint="default"/>
              </w:rPr>
              <w:t>序号</w:t>
            </w:r>
          </w:p>
        </w:tc>
        <w:tc>
          <w:tcPr>
            <w:tcW w:w="490" w:type="pct"/>
            <w:vMerge w:val="restart"/>
            <w:tcBorders>
              <w:tl2br w:val="nil"/>
              <w:tr2bl w:val="nil"/>
            </w:tcBorders>
            <w:vAlign w:val="center"/>
          </w:tcPr>
          <w:p w14:paraId="449EBB59">
            <w:pPr>
              <w:pStyle w:val="240"/>
              <w:rPr>
                <w:rFonts w:hint="default"/>
              </w:rPr>
            </w:pPr>
            <w:r>
              <w:rPr>
                <w:rFonts w:hint="default"/>
              </w:rPr>
              <w:t>排放口编号</w:t>
            </w:r>
          </w:p>
        </w:tc>
        <w:tc>
          <w:tcPr>
            <w:tcW w:w="631" w:type="pct"/>
            <w:vMerge w:val="restart"/>
            <w:tcBorders>
              <w:tl2br w:val="nil"/>
              <w:tr2bl w:val="nil"/>
            </w:tcBorders>
            <w:vAlign w:val="center"/>
          </w:tcPr>
          <w:p w14:paraId="18862518">
            <w:pPr>
              <w:pStyle w:val="240"/>
              <w:rPr>
                <w:rFonts w:hint="default"/>
              </w:rPr>
            </w:pPr>
            <w:r>
              <w:rPr>
                <w:rFonts w:hint="default"/>
              </w:rPr>
              <w:t>污染物</w:t>
            </w:r>
          </w:p>
        </w:tc>
        <w:tc>
          <w:tcPr>
            <w:tcW w:w="1795" w:type="pct"/>
            <w:gridSpan w:val="2"/>
            <w:tcBorders>
              <w:tl2br w:val="nil"/>
              <w:tr2bl w:val="nil"/>
            </w:tcBorders>
            <w:vAlign w:val="center"/>
          </w:tcPr>
          <w:p w14:paraId="6D49C270">
            <w:pPr>
              <w:pStyle w:val="240"/>
              <w:rPr>
                <w:rFonts w:hint="default"/>
              </w:rPr>
            </w:pPr>
            <w:r>
              <w:t>国家或地方污染物排放标准</w:t>
            </w:r>
          </w:p>
        </w:tc>
        <w:tc>
          <w:tcPr>
            <w:tcW w:w="589" w:type="pct"/>
            <w:vMerge w:val="restart"/>
            <w:tcBorders>
              <w:tl2br w:val="nil"/>
              <w:tr2bl w:val="nil"/>
            </w:tcBorders>
            <w:vAlign w:val="center"/>
          </w:tcPr>
          <w:p w14:paraId="41B52FC9">
            <w:pPr>
              <w:pStyle w:val="240"/>
              <w:rPr>
                <w:rFonts w:hint="default"/>
              </w:rPr>
            </w:pPr>
            <w:r>
              <w:rPr>
                <w:rFonts w:hint="default"/>
              </w:rPr>
              <w:t>核算排放浓度/(mg/m</w:t>
            </w:r>
            <w:r>
              <w:rPr>
                <w:rFonts w:hint="default"/>
                <w:vertAlign w:val="superscript"/>
              </w:rPr>
              <w:t>3</w:t>
            </w:r>
            <w:r>
              <w:rPr>
                <w:rFonts w:hint="default"/>
              </w:rPr>
              <w:t>)</w:t>
            </w:r>
          </w:p>
        </w:tc>
        <w:tc>
          <w:tcPr>
            <w:tcW w:w="564" w:type="pct"/>
            <w:vMerge w:val="restart"/>
            <w:tcBorders>
              <w:tl2br w:val="nil"/>
              <w:tr2bl w:val="nil"/>
            </w:tcBorders>
            <w:vAlign w:val="center"/>
          </w:tcPr>
          <w:p w14:paraId="5EF6F77A">
            <w:pPr>
              <w:pStyle w:val="240"/>
              <w:rPr>
                <w:rFonts w:hint="default"/>
              </w:rPr>
            </w:pPr>
            <w:r>
              <w:rPr>
                <w:rFonts w:hint="default"/>
              </w:rPr>
              <w:t>核算排放速率/(kg/h)</w:t>
            </w:r>
          </w:p>
        </w:tc>
        <w:tc>
          <w:tcPr>
            <w:tcW w:w="679" w:type="pct"/>
            <w:vMerge w:val="restart"/>
            <w:tcBorders>
              <w:tl2br w:val="nil"/>
              <w:tr2bl w:val="nil"/>
            </w:tcBorders>
            <w:vAlign w:val="center"/>
          </w:tcPr>
          <w:p w14:paraId="4380EBC5">
            <w:pPr>
              <w:pStyle w:val="240"/>
              <w:rPr>
                <w:rFonts w:hint="default"/>
              </w:rPr>
            </w:pPr>
            <w:r>
              <w:rPr>
                <w:rFonts w:hint="default"/>
              </w:rPr>
              <w:t>核算年排放量/(t/a)</w:t>
            </w:r>
          </w:p>
        </w:tc>
      </w:tr>
      <w:tr w14:paraId="59E67797">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108" w:type="dxa"/>
            <w:bottom w:w="0" w:type="dxa"/>
            <w:right w:w="108" w:type="dxa"/>
          </w:tblCellMar>
        </w:tblPrEx>
        <w:trPr>
          <w:trHeight w:val="593" w:hRule="atLeast"/>
          <w:jc w:val="center"/>
        </w:trPr>
        <w:tc>
          <w:tcPr>
            <w:tcW w:w="249" w:type="pct"/>
            <w:vMerge w:val="continue"/>
            <w:tcBorders>
              <w:tl2br w:val="nil"/>
              <w:tr2bl w:val="nil"/>
            </w:tcBorders>
            <w:vAlign w:val="center"/>
          </w:tcPr>
          <w:p w14:paraId="47831FBF">
            <w:pPr>
              <w:pStyle w:val="240"/>
              <w:rPr>
                <w:rFonts w:hint="default"/>
              </w:rPr>
            </w:pPr>
          </w:p>
        </w:tc>
        <w:tc>
          <w:tcPr>
            <w:tcW w:w="490" w:type="pct"/>
            <w:vMerge w:val="continue"/>
            <w:tcBorders>
              <w:tl2br w:val="nil"/>
              <w:tr2bl w:val="nil"/>
            </w:tcBorders>
            <w:vAlign w:val="center"/>
          </w:tcPr>
          <w:p w14:paraId="0C65ACF2">
            <w:pPr>
              <w:pStyle w:val="240"/>
              <w:rPr>
                <w:rFonts w:hint="default"/>
              </w:rPr>
            </w:pPr>
          </w:p>
        </w:tc>
        <w:tc>
          <w:tcPr>
            <w:tcW w:w="631" w:type="pct"/>
            <w:vMerge w:val="continue"/>
            <w:tcBorders>
              <w:tl2br w:val="nil"/>
              <w:tr2bl w:val="nil"/>
            </w:tcBorders>
            <w:vAlign w:val="center"/>
          </w:tcPr>
          <w:p w14:paraId="33A86920">
            <w:pPr>
              <w:pStyle w:val="240"/>
              <w:rPr>
                <w:rFonts w:hint="default"/>
              </w:rPr>
            </w:pPr>
          </w:p>
        </w:tc>
        <w:tc>
          <w:tcPr>
            <w:tcW w:w="1122" w:type="pct"/>
            <w:tcBorders>
              <w:tl2br w:val="nil"/>
              <w:tr2bl w:val="nil"/>
            </w:tcBorders>
            <w:vAlign w:val="center"/>
          </w:tcPr>
          <w:p w14:paraId="5ED5C6B7">
            <w:pPr>
              <w:pStyle w:val="240"/>
              <w:rPr>
                <w:rFonts w:hint="default"/>
              </w:rPr>
            </w:pPr>
            <w:r>
              <w:t>标准名称</w:t>
            </w:r>
          </w:p>
        </w:tc>
        <w:tc>
          <w:tcPr>
            <w:tcW w:w="672" w:type="pct"/>
            <w:tcBorders>
              <w:tl2br w:val="nil"/>
              <w:tr2bl w:val="nil"/>
            </w:tcBorders>
            <w:vAlign w:val="center"/>
          </w:tcPr>
          <w:p w14:paraId="4A354F5E">
            <w:pPr>
              <w:pStyle w:val="240"/>
              <w:rPr>
                <w:rFonts w:hint="default"/>
              </w:rPr>
            </w:pPr>
            <w:r>
              <w:t>浓度限值/(mg/m</w:t>
            </w:r>
            <w:r>
              <w:rPr>
                <w:vertAlign w:val="superscript"/>
              </w:rPr>
              <w:t>3</w:t>
            </w:r>
            <w:r>
              <w:t>)</w:t>
            </w:r>
          </w:p>
        </w:tc>
        <w:tc>
          <w:tcPr>
            <w:tcW w:w="589" w:type="pct"/>
            <w:vMerge w:val="continue"/>
            <w:tcBorders>
              <w:tl2br w:val="nil"/>
              <w:tr2bl w:val="nil"/>
            </w:tcBorders>
            <w:vAlign w:val="center"/>
          </w:tcPr>
          <w:p w14:paraId="7A32B0C5">
            <w:pPr>
              <w:pStyle w:val="240"/>
              <w:rPr>
                <w:rFonts w:hint="default"/>
              </w:rPr>
            </w:pPr>
          </w:p>
        </w:tc>
        <w:tc>
          <w:tcPr>
            <w:tcW w:w="564" w:type="pct"/>
            <w:vMerge w:val="continue"/>
            <w:tcBorders>
              <w:tl2br w:val="nil"/>
              <w:tr2bl w:val="nil"/>
            </w:tcBorders>
            <w:vAlign w:val="center"/>
          </w:tcPr>
          <w:p w14:paraId="05B47DCA">
            <w:pPr>
              <w:pStyle w:val="240"/>
              <w:rPr>
                <w:rFonts w:hint="default"/>
              </w:rPr>
            </w:pPr>
          </w:p>
        </w:tc>
        <w:tc>
          <w:tcPr>
            <w:tcW w:w="679" w:type="pct"/>
            <w:vMerge w:val="continue"/>
            <w:tcBorders>
              <w:tl2br w:val="nil"/>
              <w:tr2bl w:val="nil"/>
            </w:tcBorders>
            <w:vAlign w:val="center"/>
          </w:tcPr>
          <w:p w14:paraId="784A6A8C">
            <w:pPr>
              <w:pStyle w:val="240"/>
              <w:rPr>
                <w:rFonts w:hint="default"/>
              </w:rPr>
            </w:pPr>
          </w:p>
        </w:tc>
      </w:tr>
      <w:tr w14:paraId="43031C29">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108" w:type="dxa"/>
            <w:bottom w:w="0" w:type="dxa"/>
            <w:right w:w="108" w:type="dxa"/>
          </w:tblCellMar>
        </w:tblPrEx>
        <w:trPr>
          <w:trHeight w:val="423" w:hRule="atLeast"/>
          <w:jc w:val="center"/>
        </w:trPr>
        <w:tc>
          <w:tcPr>
            <w:tcW w:w="5000" w:type="pct"/>
            <w:gridSpan w:val="8"/>
            <w:tcBorders>
              <w:tl2br w:val="nil"/>
              <w:tr2bl w:val="nil"/>
            </w:tcBorders>
            <w:vAlign w:val="center"/>
          </w:tcPr>
          <w:p w14:paraId="7986CA12">
            <w:pPr>
              <w:pStyle w:val="240"/>
              <w:rPr>
                <w:rFonts w:hint="default"/>
              </w:rPr>
            </w:pPr>
            <w:r>
              <w:rPr>
                <w:rFonts w:hint="default"/>
              </w:rPr>
              <w:t>主要排放口</w:t>
            </w:r>
          </w:p>
        </w:tc>
      </w:tr>
      <w:tr w14:paraId="0DA07451">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108" w:type="dxa"/>
            <w:bottom w:w="0" w:type="dxa"/>
            <w:right w:w="108" w:type="dxa"/>
          </w:tblCellMar>
        </w:tblPrEx>
        <w:trPr>
          <w:trHeight w:val="460" w:hRule="atLeast"/>
          <w:jc w:val="center"/>
        </w:trPr>
        <w:tc>
          <w:tcPr>
            <w:tcW w:w="249" w:type="pct"/>
            <w:tcBorders>
              <w:tl2br w:val="nil"/>
              <w:tr2bl w:val="nil"/>
            </w:tcBorders>
            <w:vAlign w:val="center"/>
          </w:tcPr>
          <w:p w14:paraId="695C220A">
            <w:pPr>
              <w:pStyle w:val="240"/>
              <w:rPr>
                <w:rFonts w:hint="default"/>
              </w:rPr>
            </w:pPr>
            <w:r>
              <w:rPr>
                <w:rFonts w:hint="default"/>
              </w:rPr>
              <w:t>/</w:t>
            </w:r>
          </w:p>
        </w:tc>
        <w:tc>
          <w:tcPr>
            <w:tcW w:w="490" w:type="pct"/>
            <w:tcBorders>
              <w:tl2br w:val="nil"/>
              <w:tr2bl w:val="nil"/>
            </w:tcBorders>
            <w:vAlign w:val="center"/>
          </w:tcPr>
          <w:p w14:paraId="0E92CEF9">
            <w:pPr>
              <w:pStyle w:val="240"/>
              <w:rPr>
                <w:rFonts w:hint="default"/>
              </w:rPr>
            </w:pPr>
            <w:r>
              <w:rPr>
                <w:rFonts w:hint="default"/>
              </w:rPr>
              <w:t>/</w:t>
            </w:r>
          </w:p>
        </w:tc>
        <w:tc>
          <w:tcPr>
            <w:tcW w:w="631" w:type="pct"/>
            <w:tcBorders>
              <w:tl2br w:val="nil"/>
              <w:tr2bl w:val="nil"/>
            </w:tcBorders>
            <w:vAlign w:val="center"/>
          </w:tcPr>
          <w:p w14:paraId="311AEB2B">
            <w:pPr>
              <w:pStyle w:val="240"/>
              <w:rPr>
                <w:rFonts w:hint="default"/>
              </w:rPr>
            </w:pPr>
            <w:r>
              <w:rPr>
                <w:rFonts w:hint="default"/>
              </w:rPr>
              <w:t>/</w:t>
            </w:r>
          </w:p>
        </w:tc>
        <w:tc>
          <w:tcPr>
            <w:tcW w:w="1122" w:type="pct"/>
            <w:tcBorders>
              <w:tl2br w:val="nil"/>
              <w:tr2bl w:val="nil"/>
            </w:tcBorders>
            <w:vAlign w:val="center"/>
          </w:tcPr>
          <w:p w14:paraId="70BC99C0">
            <w:pPr>
              <w:pStyle w:val="240"/>
              <w:rPr>
                <w:rFonts w:hint="default"/>
              </w:rPr>
            </w:pPr>
            <w:r>
              <w:t>/</w:t>
            </w:r>
          </w:p>
        </w:tc>
        <w:tc>
          <w:tcPr>
            <w:tcW w:w="672" w:type="pct"/>
            <w:tcBorders>
              <w:tl2br w:val="nil"/>
              <w:tr2bl w:val="nil"/>
            </w:tcBorders>
            <w:vAlign w:val="center"/>
          </w:tcPr>
          <w:p w14:paraId="0E633F62">
            <w:pPr>
              <w:pStyle w:val="240"/>
              <w:rPr>
                <w:rFonts w:hint="default"/>
              </w:rPr>
            </w:pPr>
            <w:r>
              <w:t>/</w:t>
            </w:r>
          </w:p>
        </w:tc>
        <w:tc>
          <w:tcPr>
            <w:tcW w:w="589" w:type="pct"/>
            <w:tcBorders>
              <w:tl2br w:val="nil"/>
              <w:tr2bl w:val="nil"/>
            </w:tcBorders>
            <w:vAlign w:val="center"/>
          </w:tcPr>
          <w:p w14:paraId="108343FC">
            <w:pPr>
              <w:pStyle w:val="240"/>
              <w:rPr>
                <w:rFonts w:hint="default"/>
              </w:rPr>
            </w:pPr>
            <w:r>
              <w:rPr>
                <w:rFonts w:hint="default"/>
              </w:rPr>
              <w:t>/</w:t>
            </w:r>
          </w:p>
        </w:tc>
        <w:tc>
          <w:tcPr>
            <w:tcW w:w="564" w:type="pct"/>
            <w:tcBorders>
              <w:tl2br w:val="nil"/>
              <w:tr2bl w:val="nil"/>
            </w:tcBorders>
            <w:vAlign w:val="center"/>
          </w:tcPr>
          <w:p w14:paraId="16D3C290">
            <w:pPr>
              <w:pStyle w:val="240"/>
              <w:rPr>
                <w:rFonts w:hint="default"/>
              </w:rPr>
            </w:pPr>
            <w:r>
              <w:rPr>
                <w:rFonts w:hint="default"/>
              </w:rPr>
              <w:t>/</w:t>
            </w:r>
          </w:p>
        </w:tc>
        <w:tc>
          <w:tcPr>
            <w:tcW w:w="679" w:type="pct"/>
            <w:tcBorders>
              <w:tl2br w:val="nil"/>
              <w:tr2bl w:val="nil"/>
            </w:tcBorders>
            <w:vAlign w:val="center"/>
          </w:tcPr>
          <w:p w14:paraId="54DBC1A3">
            <w:pPr>
              <w:pStyle w:val="240"/>
              <w:rPr>
                <w:rFonts w:hint="default"/>
              </w:rPr>
            </w:pPr>
            <w:r>
              <w:rPr>
                <w:rFonts w:hint="default"/>
              </w:rPr>
              <w:t>/</w:t>
            </w:r>
          </w:p>
        </w:tc>
      </w:tr>
      <w:tr w14:paraId="3F9E2F33">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108" w:type="dxa"/>
            <w:bottom w:w="0" w:type="dxa"/>
            <w:right w:w="108" w:type="dxa"/>
          </w:tblCellMar>
        </w:tblPrEx>
        <w:trPr>
          <w:trHeight w:val="626" w:hRule="atLeast"/>
          <w:jc w:val="center"/>
        </w:trPr>
        <w:tc>
          <w:tcPr>
            <w:tcW w:w="739" w:type="pct"/>
            <w:gridSpan w:val="2"/>
            <w:tcBorders>
              <w:tl2br w:val="nil"/>
              <w:tr2bl w:val="nil"/>
            </w:tcBorders>
            <w:vAlign w:val="center"/>
          </w:tcPr>
          <w:p w14:paraId="5F9B02B1">
            <w:pPr>
              <w:pStyle w:val="240"/>
              <w:rPr>
                <w:rFonts w:hint="default"/>
              </w:rPr>
            </w:pPr>
            <w:r>
              <w:rPr>
                <w:rFonts w:hint="default"/>
              </w:rPr>
              <w:t>主要排放口合计</w:t>
            </w:r>
          </w:p>
        </w:tc>
        <w:tc>
          <w:tcPr>
            <w:tcW w:w="3580" w:type="pct"/>
            <w:gridSpan w:val="5"/>
            <w:tcBorders>
              <w:tl2br w:val="nil"/>
              <w:tr2bl w:val="nil"/>
            </w:tcBorders>
            <w:vAlign w:val="center"/>
          </w:tcPr>
          <w:p w14:paraId="58C33424">
            <w:pPr>
              <w:pStyle w:val="240"/>
              <w:rPr>
                <w:rFonts w:hint="default"/>
              </w:rPr>
            </w:pPr>
            <w:r>
              <w:rPr>
                <w:rFonts w:hint="default"/>
              </w:rPr>
              <w:t>/</w:t>
            </w:r>
          </w:p>
        </w:tc>
        <w:tc>
          <w:tcPr>
            <w:tcW w:w="679" w:type="pct"/>
            <w:tcBorders>
              <w:tl2br w:val="nil"/>
              <w:tr2bl w:val="nil"/>
            </w:tcBorders>
            <w:vAlign w:val="center"/>
          </w:tcPr>
          <w:p w14:paraId="53B41BDF">
            <w:pPr>
              <w:pStyle w:val="240"/>
              <w:rPr>
                <w:rFonts w:hint="default"/>
              </w:rPr>
            </w:pPr>
            <w:r>
              <w:rPr>
                <w:rFonts w:hint="default"/>
              </w:rPr>
              <w:t>/</w:t>
            </w:r>
          </w:p>
        </w:tc>
      </w:tr>
      <w:tr w14:paraId="49A50F21">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108" w:type="dxa"/>
            <w:bottom w:w="0" w:type="dxa"/>
            <w:right w:w="108" w:type="dxa"/>
          </w:tblCellMar>
        </w:tblPrEx>
        <w:trPr>
          <w:trHeight w:val="460" w:hRule="atLeast"/>
          <w:jc w:val="center"/>
        </w:trPr>
        <w:tc>
          <w:tcPr>
            <w:tcW w:w="5000" w:type="pct"/>
            <w:gridSpan w:val="8"/>
            <w:tcBorders>
              <w:tl2br w:val="nil"/>
              <w:tr2bl w:val="nil"/>
            </w:tcBorders>
            <w:vAlign w:val="center"/>
          </w:tcPr>
          <w:p w14:paraId="328594AA">
            <w:pPr>
              <w:pStyle w:val="240"/>
              <w:rPr>
                <w:rFonts w:hint="default"/>
              </w:rPr>
            </w:pPr>
            <w:r>
              <w:rPr>
                <w:rFonts w:hint="default"/>
              </w:rPr>
              <w:t>一般排放口</w:t>
            </w:r>
          </w:p>
        </w:tc>
      </w:tr>
      <w:tr w14:paraId="6C128AEF">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108" w:type="dxa"/>
            <w:bottom w:w="0" w:type="dxa"/>
            <w:right w:w="108" w:type="dxa"/>
          </w:tblCellMar>
        </w:tblPrEx>
        <w:trPr>
          <w:trHeight w:val="1247" w:hRule="atLeast"/>
          <w:jc w:val="center"/>
        </w:trPr>
        <w:tc>
          <w:tcPr>
            <w:tcW w:w="249" w:type="pct"/>
            <w:tcBorders>
              <w:tl2br w:val="nil"/>
              <w:tr2bl w:val="nil"/>
            </w:tcBorders>
            <w:vAlign w:val="center"/>
          </w:tcPr>
          <w:p w14:paraId="5C4248DE">
            <w:pPr>
              <w:pStyle w:val="240"/>
              <w:rPr>
                <w:rFonts w:hint="default"/>
              </w:rPr>
            </w:pPr>
            <w:r>
              <w:rPr>
                <w:rFonts w:hint="default"/>
              </w:rPr>
              <w:t>1</w:t>
            </w:r>
          </w:p>
        </w:tc>
        <w:tc>
          <w:tcPr>
            <w:tcW w:w="490" w:type="pct"/>
            <w:tcBorders>
              <w:tl2br w:val="nil"/>
              <w:tr2bl w:val="nil"/>
            </w:tcBorders>
            <w:vAlign w:val="center"/>
          </w:tcPr>
          <w:p w14:paraId="75F24B5B">
            <w:pPr>
              <w:pStyle w:val="240"/>
              <w:rPr>
                <w:rFonts w:hint="default"/>
              </w:rPr>
            </w:pPr>
            <w:r>
              <w:rPr>
                <w:rFonts w:hint="default"/>
              </w:rPr>
              <w:t>DA001</w:t>
            </w:r>
          </w:p>
        </w:tc>
        <w:tc>
          <w:tcPr>
            <w:tcW w:w="631" w:type="pct"/>
            <w:tcBorders>
              <w:tl2br w:val="nil"/>
              <w:tr2bl w:val="nil"/>
            </w:tcBorders>
            <w:vAlign w:val="center"/>
          </w:tcPr>
          <w:p w14:paraId="6B41D2AC">
            <w:pPr>
              <w:pStyle w:val="240"/>
              <w:rPr>
                <w:rFonts w:hint="default"/>
              </w:rPr>
            </w:pPr>
            <w:r>
              <w:rPr>
                <w:rFonts w:hint="default"/>
              </w:rPr>
              <w:t>非甲烷总烃</w:t>
            </w:r>
          </w:p>
        </w:tc>
        <w:tc>
          <w:tcPr>
            <w:tcW w:w="1122" w:type="pct"/>
            <w:tcBorders>
              <w:tl2br w:val="nil"/>
              <w:tr2bl w:val="nil"/>
            </w:tcBorders>
            <w:vAlign w:val="center"/>
          </w:tcPr>
          <w:p w14:paraId="573C10FC">
            <w:pPr>
              <w:pStyle w:val="240"/>
              <w:rPr>
                <w:rFonts w:hint="default"/>
              </w:rPr>
            </w:pPr>
            <w:r>
              <w:t>《合成树脂工业污染物排放标准》（GB31572-2015，含2024年修改单）</w:t>
            </w:r>
          </w:p>
        </w:tc>
        <w:tc>
          <w:tcPr>
            <w:tcW w:w="672" w:type="pct"/>
            <w:tcBorders>
              <w:tl2br w:val="nil"/>
              <w:tr2bl w:val="nil"/>
            </w:tcBorders>
            <w:vAlign w:val="center"/>
          </w:tcPr>
          <w:p w14:paraId="3664812B">
            <w:pPr>
              <w:pStyle w:val="240"/>
              <w:rPr>
                <w:rFonts w:hint="default" w:eastAsia="宋体"/>
                <w:lang w:val="en-US" w:eastAsia="zh-CN"/>
              </w:rPr>
            </w:pPr>
            <w:r>
              <w:rPr>
                <w:rFonts w:hint="eastAsia"/>
                <w:lang w:val="en-US" w:eastAsia="zh-CN"/>
              </w:rPr>
              <w:t>100</w:t>
            </w:r>
          </w:p>
        </w:tc>
        <w:tc>
          <w:tcPr>
            <w:tcW w:w="589" w:type="pct"/>
            <w:tcBorders>
              <w:tl2br w:val="nil"/>
              <w:tr2bl w:val="nil"/>
            </w:tcBorders>
            <w:vAlign w:val="center"/>
          </w:tcPr>
          <w:p w14:paraId="48BC1E7F">
            <w:pPr>
              <w:pStyle w:val="240"/>
              <w:rPr>
                <w:rFonts w:hint="default" w:eastAsia="宋体"/>
                <w:lang w:val="en-US" w:eastAsia="zh-CN"/>
              </w:rPr>
            </w:pPr>
            <w:r>
              <w:rPr>
                <w:rFonts w:hint="eastAsia"/>
                <w:lang w:val="en-US" w:eastAsia="zh-CN"/>
              </w:rPr>
              <w:t>19.8</w:t>
            </w:r>
          </w:p>
        </w:tc>
        <w:tc>
          <w:tcPr>
            <w:tcW w:w="564" w:type="pct"/>
            <w:tcBorders>
              <w:tl2br w:val="nil"/>
              <w:tr2bl w:val="nil"/>
            </w:tcBorders>
            <w:vAlign w:val="center"/>
          </w:tcPr>
          <w:p w14:paraId="73EAB9BD">
            <w:pPr>
              <w:pStyle w:val="240"/>
              <w:rPr>
                <w:rFonts w:hint="default" w:eastAsia="宋体"/>
                <w:lang w:val="en-US" w:eastAsia="zh-CN"/>
              </w:rPr>
            </w:pPr>
            <w:r>
              <w:rPr>
                <w:rFonts w:hint="eastAsia"/>
                <w:lang w:val="en-US" w:eastAsia="zh-CN"/>
              </w:rPr>
              <w:t>0.396</w:t>
            </w:r>
          </w:p>
        </w:tc>
        <w:tc>
          <w:tcPr>
            <w:tcW w:w="679" w:type="pct"/>
            <w:tcBorders>
              <w:tl2br w:val="nil"/>
              <w:tr2bl w:val="nil"/>
            </w:tcBorders>
            <w:vAlign w:val="center"/>
          </w:tcPr>
          <w:p w14:paraId="0EE46C11">
            <w:pPr>
              <w:pStyle w:val="240"/>
              <w:rPr>
                <w:rFonts w:hint="default" w:eastAsia="宋体"/>
                <w:lang w:val="en-US" w:eastAsia="zh-CN"/>
              </w:rPr>
            </w:pPr>
            <w:r>
              <w:rPr>
                <w:rFonts w:hint="eastAsia"/>
                <w:lang w:val="en-US" w:eastAsia="zh-CN"/>
              </w:rPr>
              <w:t>2.284</w:t>
            </w:r>
          </w:p>
        </w:tc>
      </w:tr>
      <w:tr w14:paraId="2DB55138">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108" w:type="dxa"/>
            <w:bottom w:w="0" w:type="dxa"/>
            <w:right w:w="108" w:type="dxa"/>
          </w:tblCellMar>
        </w:tblPrEx>
        <w:trPr>
          <w:trHeight w:val="421" w:hRule="atLeast"/>
          <w:jc w:val="center"/>
        </w:trPr>
        <w:tc>
          <w:tcPr>
            <w:tcW w:w="739" w:type="pct"/>
            <w:gridSpan w:val="2"/>
            <w:vMerge w:val="restart"/>
            <w:tcBorders>
              <w:tl2br w:val="nil"/>
              <w:tr2bl w:val="nil"/>
            </w:tcBorders>
            <w:vAlign w:val="center"/>
          </w:tcPr>
          <w:p w14:paraId="1BCD582A">
            <w:pPr>
              <w:pStyle w:val="240"/>
              <w:rPr>
                <w:rFonts w:hint="default"/>
              </w:rPr>
            </w:pPr>
            <w:r>
              <w:rPr>
                <w:rFonts w:hint="default"/>
              </w:rPr>
              <w:t>一般排放口合计</w:t>
            </w:r>
          </w:p>
        </w:tc>
        <w:tc>
          <w:tcPr>
            <w:tcW w:w="3580" w:type="pct"/>
            <w:gridSpan w:val="5"/>
            <w:tcBorders>
              <w:tl2br w:val="nil"/>
              <w:tr2bl w:val="nil"/>
            </w:tcBorders>
            <w:vAlign w:val="center"/>
          </w:tcPr>
          <w:p w14:paraId="2FBC15C1">
            <w:pPr>
              <w:pStyle w:val="240"/>
              <w:rPr>
                <w:rFonts w:hint="default"/>
              </w:rPr>
            </w:pPr>
            <w:r>
              <w:rPr>
                <w:rFonts w:hint="default"/>
              </w:rPr>
              <w:t>非甲烷总烃</w:t>
            </w:r>
          </w:p>
        </w:tc>
        <w:tc>
          <w:tcPr>
            <w:tcW w:w="679" w:type="pct"/>
            <w:tcBorders>
              <w:tl2br w:val="nil"/>
              <w:tr2bl w:val="nil"/>
            </w:tcBorders>
            <w:vAlign w:val="center"/>
          </w:tcPr>
          <w:p w14:paraId="5D9B666D">
            <w:pPr>
              <w:pStyle w:val="240"/>
              <w:rPr>
                <w:rFonts w:hint="default" w:eastAsia="宋体"/>
                <w:lang w:val="en-US" w:eastAsia="zh-CN"/>
              </w:rPr>
            </w:pPr>
            <w:r>
              <w:rPr>
                <w:rFonts w:hint="eastAsia"/>
                <w:lang w:val="en-US" w:eastAsia="zh-CN"/>
              </w:rPr>
              <w:t>2.284</w:t>
            </w:r>
          </w:p>
        </w:tc>
      </w:tr>
      <w:tr w14:paraId="18E1A08E">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108" w:type="dxa"/>
            <w:bottom w:w="0" w:type="dxa"/>
            <w:right w:w="108" w:type="dxa"/>
          </w:tblCellMar>
        </w:tblPrEx>
        <w:trPr>
          <w:trHeight w:val="403" w:hRule="atLeast"/>
          <w:jc w:val="center"/>
        </w:trPr>
        <w:tc>
          <w:tcPr>
            <w:tcW w:w="739" w:type="pct"/>
            <w:gridSpan w:val="2"/>
            <w:vMerge w:val="continue"/>
            <w:tcBorders>
              <w:tl2br w:val="nil"/>
              <w:tr2bl w:val="nil"/>
            </w:tcBorders>
            <w:vAlign w:val="center"/>
          </w:tcPr>
          <w:p w14:paraId="1FF9A138">
            <w:pPr>
              <w:pStyle w:val="240"/>
              <w:rPr>
                <w:rFonts w:hint="default"/>
              </w:rPr>
            </w:pPr>
          </w:p>
        </w:tc>
        <w:tc>
          <w:tcPr>
            <w:tcW w:w="3580" w:type="pct"/>
            <w:gridSpan w:val="5"/>
            <w:tcBorders>
              <w:tl2br w:val="nil"/>
              <w:tr2bl w:val="nil"/>
            </w:tcBorders>
            <w:vAlign w:val="center"/>
          </w:tcPr>
          <w:p w14:paraId="46AAACF2">
            <w:pPr>
              <w:pStyle w:val="240"/>
              <w:rPr>
                <w:rFonts w:hint="default"/>
              </w:rPr>
            </w:pPr>
            <w:r>
              <w:t>臭气浓度</w:t>
            </w:r>
          </w:p>
        </w:tc>
        <w:tc>
          <w:tcPr>
            <w:tcW w:w="679" w:type="pct"/>
            <w:tcBorders>
              <w:tl2br w:val="nil"/>
              <w:tr2bl w:val="nil"/>
            </w:tcBorders>
            <w:vAlign w:val="center"/>
          </w:tcPr>
          <w:p w14:paraId="1CB9A452">
            <w:pPr>
              <w:pStyle w:val="240"/>
              <w:rPr>
                <w:rFonts w:hint="default"/>
              </w:rPr>
            </w:pPr>
            <w:r>
              <w:t>/</w:t>
            </w:r>
          </w:p>
        </w:tc>
      </w:tr>
      <w:tr w14:paraId="1CBE9766">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108" w:type="dxa"/>
            <w:bottom w:w="0" w:type="dxa"/>
            <w:right w:w="108" w:type="dxa"/>
          </w:tblCellMar>
        </w:tblPrEx>
        <w:trPr>
          <w:trHeight w:val="403" w:hRule="atLeast"/>
          <w:jc w:val="center"/>
        </w:trPr>
        <w:tc>
          <w:tcPr>
            <w:tcW w:w="5000" w:type="pct"/>
            <w:gridSpan w:val="8"/>
            <w:tcBorders>
              <w:tl2br w:val="nil"/>
              <w:tr2bl w:val="nil"/>
            </w:tcBorders>
            <w:vAlign w:val="center"/>
          </w:tcPr>
          <w:p w14:paraId="3E92B1DF">
            <w:pPr>
              <w:pStyle w:val="240"/>
              <w:rPr>
                <w:rFonts w:hint="default"/>
              </w:rPr>
            </w:pPr>
            <w:r>
              <w:rPr>
                <w:rFonts w:hint="default"/>
              </w:rPr>
              <w:t>有组织排放总计</w:t>
            </w:r>
          </w:p>
        </w:tc>
      </w:tr>
      <w:tr w14:paraId="475658FB">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108" w:type="dxa"/>
            <w:bottom w:w="0" w:type="dxa"/>
            <w:right w:w="108" w:type="dxa"/>
          </w:tblCellMar>
        </w:tblPrEx>
        <w:trPr>
          <w:trHeight w:val="403" w:hRule="atLeast"/>
          <w:jc w:val="center"/>
        </w:trPr>
        <w:tc>
          <w:tcPr>
            <w:tcW w:w="739" w:type="pct"/>
            <w:gridSpan w:val="2"/>
            <w:vMerge w:val="restart"/>
            <w:tcBorders>
              <w:tl2br w:val="nil"/>
              <w:tr2bl w:val="nil"/>
            </w:tcBorders>
            <w:vAlign w:val="center"/>
          </w:tcPr>
          <w:p w14:paraId="56C2E04C">
            <w:pPr>
              <w:pStyle w:val="240"/>
              <w:rPr>
                <w:rFonts w:hint="default"/>
              </w:rPr>
            </w:pPr>
            <w:r>
              <w:rPr>
                <w:rFonts w:hint="default"/>
              </w:rPr>
              <w:t>有组织排放总计</w:t>
            </w:r>
          </w:p>
        </w:tc>
        <w:tc>
          <w:tcPr>
            <w:tcW w:w="3580" w:type="pct"/>
            <w:gridSpan w:val="5"/>
            <w:tcBorders>
              <w:tl2br w:val="nil"/>
              <w:tr2bl w:val="nil"/>
            </w:tcBorders>
            <w:vAlign w:val="center"/>
          </w:tcPr>
          <w:p w14:paraId="0D239EF3">
            <w:pPr>
              <w:pStyle w:val="240"/>
              <w:rPr>
                <w:rFonts w:hint="default"/>
              </w:rPr>
            </w:pPr>
            <w:r>
              <w:rPr>
                <w:rFonts w:hint="default"/>
              </w:rPr>
              <w:t>非甲烷总烃</w:t>
            </w:r>
          </w:p>
        </w:tc>
        <w:tc>
          <w:tcPr>
            <w:tcW w:w="679" w:type="pct"/>
            <w:tcBorders>
              <w:tl2br w:val="nil"/>
              <w:tr2bl w:val="nil"/>
            </w:tcBorders>
            <w:vAlign w:val="center"/>
          </w:tcPr>
          <w:p w14:paraId="2A9593DD">
            <w:pPr>
              <w:pStyle w:val="240"/>
              <w:rPr>
                <w:rFonts w:hint="default"/>
                <w:lang w:val="en-US"/>
              </w:rPr>
            </w:pPr>
            <w:r>
              <w:rPr>
                <w:rFonts w:hint="eastAsia"/>
                <w:lang w:val="en-US" w:eastAsia="zh-CN"/>
              </w:rPr>
              <w:t>2.284</w:t>
            </w:r>
          </w:p>
        </w:tc>
      </w:tr>
      <w:tr w14:paraId="7298DB90">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108" w:type="dxa"/>
            <w:bottom w:w="0" w:type="dxa"/>
            <w:right w:w="108" w:type="dxa"/>
          </w:tblCellMar>
        </w:tblPrEx>
        <w:trPr>
          <w:trHeight w:val="421" w:hRule="atLeast"/>
          <w:jc w:val="center"/>
        </w:trPr>
        <w:tc>
          <w:tcPr>
            <w:tcW w:w="739" w:type="pct"/>
            <w:gridSpan w:val="2"/>
            <w:vMerge w:val="continue"/>
            <w:tcBorders>
              <w:tl2br w:val="nil"/>
              <w:tr2bl w:val="nil"/>
            </w:tcBorders>
            <w:vAlign w:val="center"/>
          </w:tcPr>
          <w:p w14:paraId="56A06AE7">
            <w:pPr>
              <w:pStyle w:val="240"/>
              <w:rPr>
                <w:rFonts w:hint="default"/>
              </w:rPr>
            </w:pPr>
          </w:p>
        </w:tc>
        <w:tc>
          <w:tcPr>
            <w:tcW w:w="3580" w:type="pct"/>
            <w:gridSpan w:val="5"/>
            <w:tcBorders>
              <w:tl2br w:val="nil"/>
              <w:tr2bl w:val="nil"/>
            </w:tcBorders>
            <w:vAlign w:val="center"/>
          </w:tcPr>
          <w:p w14:paraId="6331F1F6">
            <w:pPr>
              <w:pStyle w:val="240"/>
              <w:rPr>
                <w:rFonts w:hint="default"/>
              </w:rPr>
            </w:pPr>
            <w:r>
              <w:t>臭气浓度</w:t>
            </w:r>
          </w:p>
        </w:tc>
        <w:tc>
          <w:tcPr>
            <w:tcW w:w="679" w:type="pct"/>
            <w:tcBorders>
              <w:tl2br w:val="nil"/>
              <w:tr2bl w:val="nil"/>
            </w:tcBorders>
            <w:vAlign w:val="center"/>
          </w:tcPr>
          <w:p w14:paraId="0E1C669A">
            <w:pPr>
              <w:pStyle w:val="240"/>
              <w:rPr>
                <w:rFonts w:hint="default"/>
              </w:rPr>
            </w:pPr>
            <w:r>
              <w:t>/</w:t>
            </w:r>
          </w:p>
        </w:tc>
      </w:tr>
    </w:tbl>
    <w:p w14:paraId="4C04B235">
      <w:pPr>
        <w:pStyle w:val="63"/>
        <w:adjustRightInd/>
        <w:jc w:val="center"/>
        <w:textAlignment w:val="auto"/>
        <w:rPr>
          <w:rFonts w:ascii="Times New Roman" w:cs="Times New Roman"/>
          <w:b/>
          <w:bCs/>
          <w:sz w:val="21"/>
          <w:szCs w:val="21"/>
        </w:rPr>
      </w:pPr>
    </w:p>
    <w:p w14:paraId="1C7286AC">
      <w:pPr>
        <w:pStyle w:val="63"/>
        <w:adjustRightInd/>
        <w:jc w:val="center"/>
        <w:textAlignment w:val="auto"/>
        <w:rPr>
          <w:rFonts w:ascii="Times New Roman" w:cs="Times New Roman"/>
          <w:b/>
          <w:bCs/>
          <w:sz w:val="21"/>
          <w:szCs w:val="21"/>
        </w:rPr>
      </w:pPr>
      <w:r>
        <w:rPr>
          <w:rFonts w:hint="eastAsia" w:ascii="Times New Roman" w:cs="Times New Roman"/>
          <w:b/>
          <w:bCs/>
          <w:sz w:val="21"/>
          <w:szCs w:val="21"/>
        </w:rPr>
        <w:t>表5.2-</w:t>
      </w:r>
      <w:r>
        <w:rPr>
          <w:rFonts w:hint="eastAsia" w:ascii="Times New Roman" w:cs="Times New Roman"/>
          <w:b/>
          <w:bCs/>
          <w:sz w:val="21"/>
          <w:szCs w:val="21"/>
          <w:lang w:val="en-US" w:eastAsia="zh-CN"/>
        </w:rPr>
        <w:t>1</w:t>
      </w:r>
      <w:r>
        <w:rPr>
          <w:rFonts w:hint="eastAsia" w:cs="Times New Roman"/>
          <w:b/>
          <w:bCs/>
          <w:sz w:val="21"/>
          <w:szCs w:val="21"/>
          <w:lang w:val="en-US" w:eastAsia="zh-CN"/>
        </w:rPr>
        <w:t>4</w:t>
      </w:r>
      <w:r>
        <w:rPr>
          <w:rFonts w:hint="eastAsia" w:ascii="Times New Roman" w:cs="Times New Roman"/>
          <w:b/>
          <w:bCs/>
          <w:sz w:val="21"/>
          <w:szCs w:val="21"/>
        </w:rPr>
        <w:t xml:space="preserve">    正常工况无组织废气排放核算表</w:t>
      </w:r>
    </w:p>
    <w:tbl>
      <w:tblPr>
        <w:tblStyle w:val="49"/>
        <w:tblW w:w="4961" w:type="pct"/>
        <w:jc w:val="center"/>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108" w:type="dxa"/>
          <w:bottom w:w="0" w:type="dxa"/>
          <w:right w:w="108" w:type="dxa"/>
        </w:tblCellMar>
      </w:tblPr>
      <w:tblGrid>
        <w:gridCol w:w="638"/>
        <w:gridCol w:w="1656"/>
        <w:gridCol w:w="1423"/>
        <w:gridCol w:w="1297"/>
        <w:gridCol w:w="1837"/>
        <w:gridCol w:w="1256"/>
        <w:gridCol w:w="1110"/>
      </w:tblGrid>
      <w:tr w14:paraId="7807E69C">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108" w:type="dxa"/>
            <w:bottom w:w="0" w:type="dxa"/>
            <w:right w:w="108" w:type="dxa"/>
          </w:tblCellMar>
        </w:tblPrEx>
        <w:trPr>
          <w:trHeight w:val="340" w:hRule="atLeast"/>
          <w:jc w:val="center"/>
        </w:trPr>
        <w:tc>
          <w:tcPr>
            <w:tcW w:w="638" w:type="dxa"/>
            <w:vMerge w:val="restart"/>
            <w:tcBorders>
              <w:tl2br w:val="nil"/>
              <w:tr2bl w:val="nil"/>
            </w:tcBorders>
            <w:vAlign w:val="center"/>
          </w:tcPr>
          <w:p w14:paraId="70A53D33">
            <w:pPr>
              <w:pStyle w:val="240"/>
              <w:rPr>
                <w:rFonts w:hint="default"/>
              </w:rPr>
            </w:pPr>
            <w:r>
              <w:t>序号</w:t>
            </w:r>
          </w:p>
        </w:tc>
        <w:tc>
          <w:tcPr>
            <w:tcW w:w="1656" w:type="dxa"/>
            <w:vMerge w:val="restart"/>
            <w:tcBorders>
              <w:tl2br w:val="nil"/>
              <w:tr2bl w:val="nil"/>
            </w:tcBorders>
            <w:vAlign w:val="center"/>
          </w:tcPr>
          <w:p w14:paraId="0E29C561">
            <w:pPr>
              <w:pStyle w:val="240"/>
              <w:rPr>
                <w:rFonts w:hint="default"/>
              </w:rPr>
            </w:pPr>
            <w:r>
              <w:t>面源</w:t>
            </w:r>
          </w:p>
        </w:tc>
        <w:tc>
          <w:tcPr>
            <w:tcW w:w="1423" w:type="dxa"/>
            <w:vMerge w:val="restart"/>
            <w:tcBorders>
              <w:tl2br w:val="nil"/>
              <w:tr2bl w:val="nil"/>
            </w:tcBorders>
            <w:vAlign w:val="center"/>
          </w:tcPr>
          <w:p w14:paraId="7385CF0F">
            <w:pPr>
              <w:pStyle w:val="240"/>
              <w:rPr>
                <w:rFonts w:hint="default"/>
              </w:rPr>
            </w:pPr>
            <w:r>
              <w:t>污染物</w:t>
            </w:r>
          </w:p>
        </w:tc>
        <w:tc>
          <w:tcPr>
            <w:tcW w:w="1297" w:type="dxa"/>
            <w:vMerge w:val="restart"/>
            <w:tcBorders>
              <w:tl2br w:val="nil"/>
              <w:tr2bl w:val="nil"/>
            </w:tcBorders>
            <w:vAlign w:val="center"/>
          </w:tcPr>
          <w:p w14:paraId="6F6574D2">
            <w:pPr>
              <w:pStyle w:val="240"/>
              <w:rPr>
                <w:rFonts w:hint="default"/>
              </w:rPr>
            </w:pPr>
            <w:r>
              <w:t>主要污染防治措施</w:t>
            </w:r>
          </w:p>
        </w:tc>
        <w:tc>
          <w:tcPr>
            <w:tcW w:w="3093" w:type="dxa"/>
            <w:gridSpan w:val="2"/>
            <w:tcBorders>
              <w:tl2br w:val="nil"/>
              <w:tr2bl w:val="nil"/>
            </w:tcBorders>
            <w:vAlign w:val="center"/>
          </w:tcPr>
          <w:p w14:paraId="223F9E97">
            <w:pPr>
              <w:pStyle w:val="240"/>
              <w:rPr>
                <w:rFonts w:hint="default"/>
              </w:rPr>
            </w:pPr>
            <w:r>
              <w:t>国家或地方污染物排放标准</w:t>
            </w:r>
          </w:p>
        </w:tc>
        <w:tc>
          <w:tcPr>
            <w:tcW w:w="1110" w:type="dxa"/>
            <w:vMerge w:val="restart"/>
            <w:tcBorders>
              <w:tl2br w:val="nil"/>
              <w:tr2bl w:val="nil"/>
            </w:tcBorders>
            <w:vAlign w:val="center"/>
          </w:tcPr>
          <w:p w14:paraId="7DB3DBE5">
            <w:pPr>
              <w:pStyle w:val="240"/>
              <w:rPr>
                <w:rFonts w:hint="default"/>
              </w:rPr>
            </w:pPr>
            <w:r>
              <w:t>年排放量</w:t>
            </w:r>
            <w:r>
              <w:rPr>
                <w:rFonts w:hint="default"/>
              </w:rPr>
              <w:t>/(t/a)</w:t>
            </w:r>
          </w:p>
        </w:tc>
      </w:tr>
      <w:tr w14:paraId="4910075E">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108" w:type="dxa"/>
            <w:bottom w:w="0" w:type="dxa"/>
            <w:right w:w="108" w:type="dxa"/>
          </w:tblCellMar>
        </w:tblPrEx>
        <w:trPr>
          <w:trHeight w:val="625" w:hRule="atLeast"/>
          <w:jc w:val="center"/>
        </w:trPr>
        <w:tc>
          <w:tcPr>
            <w:tcW w:w="638" w:type="dxa"/>
            <w:vMerge w:val="continue"/>
            <w:tcBorders>
              <w:tl2br w:val="nil"/>
              <w:tr2bl w:val="nil"/>
            </w:tcBorders>
            <w:vAlign w:val="center"/>
          </w:tcPr>
          <w:p w14:paraId="6226E9C7">
            <w:pPr>
              <w:pStyle w:val="240"/>
              <w:rPr>
                <w:rFonts w:hint="default"/>
              </w:rPr>
            </w:pPr>
          </w:p>
        </w:tc>
        <w:tc>
          <w:tcPr>
            <w:tcW w:w="1656" w:type="dxa"/>
            <w:vMerge w:val="continue"/>
            <w:tcBorders>
              <w:tl2br w:val="nil"/>
              <w:tr2bl w:val="nil"/>
            </w:tcBorders>
            <w:vAlign w:val="center"/>
          </w:tcPr>
          <w:p w14:paraId="09E361EB">
            <w:pPr>
              <w:pStyle w:val="240"/>
              <w:rPr>
                <w:rFonts w:hint="default"/>
              </w:rPr>
            </w:pPr>
          </w:p>
        </w:tc>
        <w:tc>
          <w:tcPr>
            <w:tcW w:w="1423" w:type="dxa"/>
            <w:vMerge w:val="continue"/>
            <w:tcBorders>
              <w:tl2br w:val="nil"/>
              <w:tr2bl w:val="nil"/>
            </w:tcBorders>
            <w:vAlign w:val="center"/>
          </w:tcPr>
          <w:p w14:paraId="73303A0D">
            <w:pPr>
              <w:pStyle w:val="240"/>
              <w:rPr>
                <w:rFonts w:hint="default"/>
              </w:rPr>
            </w:pPr>
          </w:p>
        </w:tc>
        <w:tc>
          <w:tcPr>
            <w:tcW w:w="1297" w:type="dxa"/>
            <w:vMerge w:val="continue"/>
            <w:tcBorders>
              <w:tl2br w:val="nil"/>
              <w:tr2bl w:val="nil"/>
            </w:tcBorders>
            <w:vAlign w:val="center"/>
          </w:tcPr>
          <w:p w14:paraId="1C300215">
            <w:pPr>
              <w:pStyle w:val="240"/>
              <w:rPr>
                <w:rFonts w:hint="default"/>
              </w:rPr>
            </w:pPr>
          </w:p>
        </w:tc>
        <w:tc>
          <w:tcPr>
            <w:tcW w:w="1837" w:type="dxa"/>
            <w:tcBorders>
              <w:tl2br w:val="nil"/>
              <w:tr2bl w:val="nil"/>
            </w:tcBorders>
            <w:vAlign w:val="center"/>
          </w:tcPr>
          <w:p w14:paraId="78CC8EC1">
            <w:pPr>
              <w:pStyle w:val="240"/>
              <w:rPr>
                <w:rFonts w:hint="default"/>
              </w:rPr>
            </w:pPr>
            <w:r>
              <w:t>标准名称</w:t>
            </w:r>
          </w:p>
        </w:tc>
        <w:tc>
          <w:tcPr>
            <w:tcW w:w="1256" w:type="dxa"/>
            <w:tcBorders>
              <w:tl2br w:val="nil"/>
              <w:tr2bl w:val="nil"/>
            </w:tcBorders>
            <w:vAlign w:val="center"/>
          </w:tcPr>
          <w:p w14:paraId="5A8D8BFB">
            <w:pPr>
              <w:pStyle w:val="240"/>
              <w:rPr>
                <w:rFonts w:hint="default"/>
              </w:rPr>
            </w:pPr>
            <w:r>
              <w:t>浓度限值</w:t>
            </w:r>
            <w:r>
              <w:rPr>
                <w:rFonts w:hint="default"/>
              </w:rPr>
              <w:t>/(mg/m</w:t>
            </w:r>
            <w:r>
              <w:rPr>
                <w:rFonts w:hint="default"/>
                <w:vertAlign w:val="superscript"/>
              </w:rPr>
              <w:t>3</w:t>
            </w:r>
            <w:r>
              <w:rPr>
                <w:rFonts w:hint="default"/>
              </w:rPr>
              <w:t>)</w:t>
            </w:r>
          </w:p>
        </w:tc>
        <w:tc>
          <w:tcPr>
            <w:tcW w:w="1110" w:type="dxa"/>
            <w:vMerge w:val="continue"/>
            <w:tcBorders>
              <w:tl2br w:val="nil"/>
              <w:tr2bl w:val="nil"/>
            </w:tcBorders>
            <w:vAlign w:val="center"/>
          </w:tcPr>
          <w:p w14:paraId="033FFE6B">
            <w:pPr>
              <w:pStyle w:val="240"/>
              <w:rPr>
                <w:rFonts w:hint="default"/>
              </w:rPr>
            </w:pPr>
          </w:p>
        </w:tc>
      </w:tr>
      <w:tr w14:paraId="76F2B67B">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108" w:type="dxa"/>
            <w:bottom w:w="0" w:type="dxa"/>
            <w:right w:w="108" w:type="dxa"/>
          </w:tblCellMar>
        </w:tblPrEx>
        <w:trPr>
          <w:trHeight w:val="1554" w:hRule="atLeast"/>
          <w:jc w:val="center"/>
        </w:trPr>
        <w:tc>
          <w:tcPr>
            <w:tcW w:w="638" w:type="dxa"/>
            <w:tcBorders>
              <w:tl2br w:val="nil"/>
              <w:tr2bl w:val="nil"/>
            </w:tcBorders>
            <w:vAlign w:val="center"/>
          </w:tcPr>
          <w:p w14:paraId="06F77958">
            <w:pPr>
              <w:pStyle w:val="240"/>
              <w:rPr>
                <w:rFonts w:hint="default"/>
              </w:rPr>
            </w:pPr>
            <w:r>
              <w:t>1</w:t>
            </w:r>
          </w:p>
        </w:tc>
        <w:tc>
          <w:tcPr>
            <w:tcW w:w="1656" w:type="dxa"/>
            <w:tcBorders>
              <w:tl2br w:val="nil"/>
              <w:tr2bl w:val="nil"/>
            </w:tcBorders>
            <w:vAlign w:val="center"/>
          </w:tcPr>
          <w:p w14:paraId="5EF6E76E">
            <w:pPr>
              <w:pStyle w:val="240"/>
              <w:rPr>
                <w:rFonts w:hint="default"/>
              </w:rPr>
            </w:pPr>
            <w:r>
              <w:t>生产车间</w:t>
            </w:r>
          </w:p>
        </w:tc>
        <w:tc>
          <w:tcPr>
            <w:tcW w:w="1423" w:type="dxa"/>
            <w:tcBorders>
              <w:tl2br w:val="nil"/>
              <w:tr2bl w:val="nil"/>
            </w:tcBorders>
            <w:vAlign w:val="center"/>
          </w:tcPr>
          <w:p w14:paraId="41194539">
            <w:pPr>
              <w:pStyle w:val="240"/>
              <w:rPr>
                <w:rFonts w:hint="default"/>
              </w:rPr>
            </w:pPr>
            <w:r>
              <w:t>非甲烷总烃</w:t>
            </w:r>
          </w:p>
        </w:tc>
        <w:tc>
          <w:tcPr>
            <w:tcW w:w="1297" w:type="dxa"/>
            <w:vMerge w:val="restart"/>
            <w:tcBorders>
              <w:tl2br w:val="nil"/>
              <w:tr2bl w:val="nil"/>
            </w:tcBorders>
            <w:vAlign w:val="center"/>
          </w:tcPr>
          <w:p w14:paraId="01816285">
            <w:pPr>
              <w:pStyle w:val="240"/>
              <w:rPr>
                <w:rFonts w:hint="default"/>
              </w:rPr>
            </w:pPr>
            <w:r>
              <w:t>设置排风扇，生产过程均在厂房内进行</w:t>
            </w:r>
          </w:p>
        </w:tc>
        <w:tc>
          <w:tcPr>
            <w:tcW w:w="1837" w:type="dxa"/>
            <w:tcBorders>
              <w:tl2br w:val="nil"/>
              <w:tr2bl w:val="nil"/>
            </w:tcBorders>
            <w:vAlign w:val="center"/>
          </w:tcPr>
          <w:p w14:paraId="5BAD2E61">
            <w:pPr>
              <w:pStyle w:val="240"/>
              <w:rPr>
                <w:rFonts w:hint="default"/>
              </w:rPr>
            </w:pPr>
            <w:r>
              <w:t>《合成树脂工业污染物排放标准》（GB 31572-2015，含2024年修改单）</w:t>
            </w:r>
          </w:p>
        </w:tc>
        <w:tc>
          <w:tcPr>
            <w:tcW w:w="1256" w:type="dxa"/>
            <w:tcBorders>
              <w:tl2br w:val="nil"/>
              <w:tr2bl w:val="nil"/>
            </w:tcBorders>
            <w:vAlign w:val="center"/>
          </w:tcPr>
          <w:p w14:paraId="1DD92392">
            <w:pPr>
              <w:pStyle w:val="240"/>
              <w:rPr>
                <w:rFonts w:hint="default"/>
              </w:rPr>
            </w:pPr>
            <w:r>
              <w:t>4.0</w:t>
            </w:r>
          </w:p>
        </w:tc>
        <w:tc>
          <w:tcPr>
            <w:tcW w:w="1110" w:type="dxa"/>
            <w:tcBorders>
              <w:tl2br w:val="nil"/>
              <w:tr2bl w:val="nil"/>
            </w:tcBorders>
            <w:vAlign w:val="center"/>
          </w:tcPr>
          <w:p w14:paraId="2E365F4C">
            <w:pPr>
              <w:pStyle w:val="240"/>
              <w:rPr>
                <w:rFonts w:hint="default" w:eastAsia="宋体"/>
                <w:lang w:val="en-US" w:eastAsia="zh-CN"/>
              </w:rPr>
            </w:pPr>
            <w:r>
              <w:rPr>
                <w:rFonts w:hint="eastAsia"/>
                <w:lang w:val="en-US" w:eastAsia="zh-CN"/>
              </w:rPr>
              <w:t>1.6915</w:t>
            </w:r>
          </w:p>
        </w:tc>
      </w:tr>
      <w:tr w14:paraId="13700593">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108" w:type="dxa"/>
            <w:bottom w:w="0" w:type="dxa"/>
            <w:right w:w="108" w:type="dxa"/>
          </w:tblCellMar>
        </w:tblPrEx>
        <w:trPr>
          <w:trHeight w:val="935" w:hRule="atLeast"/>
          <w:jc w:val="center"/>
        </w:trPr>
        <w:tc>
          <w:tcPr>
            <w:tcW w:w="638" w:type="dxa"/>
            <w:tcBorders>
              <w:tl2br w:val="nil"/>
              <w:tr2bl w:val="nil"/>
            </w:tcBorders>
            <w:vAlign w:val="center"/>
          </w:tcPr>
          <w:p w14:paraId="584F7EA6">
            <w:pPr>
              <w:pStyle w:val="240"/>
              <w:rPr>
                <w:rFonts w:hint="default"/>
              </w:rPr>
            </w:pPr>
            <w:r>
              <w:t>2</w:t>
            </w:r>
          </w:p>
        </w:tc>
        <w:tc>
          <w:tcPr>
            <w:tcW w:w="1656" w:type="dxa"/>
            <w:tcBorders>
              <w:tl2br w:val="nil"/>
              <w:tr2bl w:val="nil"/>
            </w:tcBorders>
            <w:vAlign w:val="center"/>
          </w:tcPr>
          <w:p w14:paraId="7CBA8AC8">
            <w:pPr>
              <w:pStyle w:val="240"/>
              <w:rPr>
                <w:rFonts w:hint="default"/>
              </w:rPr>
            </w:pPr>
            <w:r>
              <w:t>生产车间</w:t>
            </w:r>
          </w:p>
        </w:tc>
        <w:tc>
          <w:tcPr>
            <w:tcW w:w="1423" w:type="dxa"/>
            <w:tcBorders>
              <w:tl2br w:val="nil"/>
              <w:tr2bl w:val="nil"/>
            </w:tcBorders>
            <w:vAlign w:val="center"/>
          </w:tcPr>
          <w:p w14:paraId="1B6B0AC0">
            <w:pPr>
              <w:pStyle w:val="240"/>
              <w:rPr>
                <w:rFonts w:hint="default"/>
              </w:rPr>
            </w:pPr>
            <w:r>
              <w:t>臭气浓度</w:t>
            </w:r>
          </w:p>
        </w:tc>
        <w:tc>
          <w:tcPr>
            <w:tcW w:w="1297" w:type="dxa"/>
            <w:vMerge w:val="continue"/>
            <w:tcBorders>
              <w:tl2br w:val="nil"/>
              <w:tr2bl w:val="nil"/>
            </w:tcBorders>
            <w:vAlign w:val="center"/>
          </w:tcPr>
          <w:p w14:paraId="74883765">
            <w:pPr>
              <w:pStyle w:val="240"/>
              <w:rPr>
                <w:rFonts w:hint="default"/>
              </w:rPr>
            </w:pPr>
          </w:p>
        </w:tc>
        <w:tc>
          <w:tcPr>
            <w:tcW w:w="1837" w:type="dxa"/>
            <w:tcBorders>
              <w:tl2br w:val="nil"/>
              <w:tr2bl w:val="nil"/>
            </w:tcBorders>
            <w:vAlign w:val="center"/>
          </w:tcPr>
          <w:p w14:paraId="28C2211E">
            <w:pPr>
              <w:pStyle w:val="240"/>
              <w:rPr>
                <w:rFonts w:hint="default"/>
              </w:rPr>
            </w:pPr>
            <w:r>
              <w:rPr>
                <w:rFonts w:hint="default"/>
              </w:rPr>
              <w:t>《恶臭污染物排放标准》（GB14551-93）</w:t>
            </w:r>
          </w:p>
        </w:tc>
        <w:tc>
          <w:tcPr>
            <w:tcW w:w="1256" w:type="dxa"/>
            <w:tcBorders>
              <w:tl2br w:val="nil"/>
              <w:tr2bl w:val="nil"/>
            </w:tcBorders>
            <w:vAlign w:val="center"/>
          </w:tcPr>
          <w:p w14:paraId="3A7D4674">
            <w:pPr>
              <w:pStyle w:val="240"/>
              <w:rPr>
                <w:rFonts w:hint="default"/>
              </w:rPr>
            </w:pPr>
            <w:r>
              <w:t>20</w:t>
            </w:r>
          </w:p>
        </w:tc>
        <w:tc>
          <w:tcPr>
            <w:tcW w:w="1110" w:type="dxa"/>
            <w:tcBorders>
              <w:tl2br w:val="nil"/>
              <w:tr2bl w:val="nil"/>
            </w:tcBorders>
            <w:vAlign w:val="center"/>
          </w:tcPr>
          <w:p w14:paraId="73049FB6">
            <w:pPr>
              <w:pStyle w:val="240"/>
              <w:rPr>
                <w:rFonts w:hint="default"/>
              </w:rPr>
            </w:pPr>
            <w:r>
              <w:t>/</w:t>
            </w:r>
          </w:p>
        </w:tc>
      </w:tr>
      <w:tr w14:paraId="541D9998">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108" w:type="dxa"/>
            <w:bottom w:w="0" w:type="dxa"/>
            <w:right w:w="108" w:type="dxa"/>
          </w:tblCellMar>
        </w:tblPrEx>
        <w:trPr>
          <w:trHeight w:val="315" w:hRule="atLeast"/>
          <w:jc w:val="center"/>
        </w:trPr>
        <w:tc>
          <w:tcPr>
            <w:tcW w:w="9217" w:type="dxa"/>
            <w:gridSpan w:val="7"/>
            <w:tcBorders>
              <w:tl2br w:val="nil"/>
              <w:tr2bl w:val="nil"/>
            </w:tcBorders>
            <w:vAlign w:val="center"/>
          </w:tcPr>
          <w:p w14:paraId="4B92A700">
            <w:pPr>
              <w:pStyle w:val="240"/>
              <w:rPr>
                <w:rFonts w:hint="default"/>
              </w:rPr>
            </w:pPr>
            <w:r>
              <w:t>无组织排放总计</w:t>
            </w:r>
          </w:p>
        </w:tc>
      </w:tr>
      <w:tr w14:paraId="07494C71">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108" w:type="dxa"/>
            <w:bottom w:w="0" w:type="dxa"/>
            <w:right w:w="108" w:type="dxa"/>
          </w:tblCellMar>
        </w:tblPrEx>
        <w:trPr>
          <w:trHeight w:val="315" w:hRule="atLeast"/>
          <w:jc w:val="center"/>
        </w:trPr>
        <w:tc>
          <w:tcPr>
            <w:tcW w:w="2294" w:type="dxa"/>
            <w:gridSpan w:val="2"/>
            <w:vMerge w:val="restart"/>
            <w:tcBorders>
              <w:tl2br w:val="nil"/>
              <w:tr2bl w:val="nil"/>
            </w:tcBorders>
            <w:vAlign w:val="center"/>
          </w:tcPr>
          <w:p w14:paraId="0E9A39F5">
            <w:pPr>
              <w:pStyle w:val="240"/>
              <w:rPr>
                <w:rFonts w:hint="default"/>
              </w:rPr>
            </w:pPr>
            <w:r>
              <w:t>无组织排放总计</w:t>
            </w:r>
          </w:p>
        </w:tc>
        <w:tc>
          <w:tcPr>
            <w:tcW w:w="5813" w:type="dxa"/>
            <w:gridSpan w:val="4"/>
            <w:tcBorders>
              <w:tl2br w:val="nil"/>
              <w:tr2bl w:val="nil"/>
            </w:tcBorders>
            <w:vAlign w:val="center"/>
          </w:tcPr>
          <w:p w14:paraId="4DAE2865">
            <w:pPr>
              <w:pStyle w:val="240"/>
              <w:rPr>
                <w:rFonts w:hint="default"/>
              </w:rPr>
            </w:pPr>
            <w:r>
              <w:t>非甲烷总烃</w:t>
            </w:r>
          </w:p>
        </w:tc>
        <w:tc>
          <w:tcPr>
            <w:tcW w:w="1110" w:type="dxa"/>
            <w:tcBorders>
              <w:tl2br w:val="nil"/>
              <w:tr2bl w:val="nil"/>
            </w:tcBorders>
            <w:vAlign w:val="center"/>
          </w:tcPr>
          <w:p w14:paraId="2D5093F8">
            <w:pPr>
              <w:pStyle w:val="240"/>
              <w:rPr>
                <w:rFonts w:hint="default" w:eastAsia="宋体"/>
                <w:lang w:val="en-US" w:eastAsia="zh-CN"/>
              </w:rPr>
            </w:pPr>
            <w:r>
              <w:rPr>
                <w:rFonts w:hint="eastAsia"/>
                <w:lang w:val="en-US" w:eastAsia="zh-CN"/>
              </w:rPr>
              <w:t>3.9755</w:t>
            </w:r>
          </w:p>
        </w:tc>
      </w:tr>
      <w:tr w14:paraId="50F45DA3">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108" w:type="dxa"/>
            <w:bottom w:w="0" w:type="dxa"/>
            <w:right w:w="108" w:type="dxa"/>
          </w:tblCellMar>
        </w:tblPrEx>
        <w:trPr>
          <w:trHeight w:val="345" w:hRule="atLeast"/>
          <w:jc w:val="center"/>
        </w:trPr>
        <w:tc>
          <w:tcPr>
            <w:tcW w:w="2294" w:type="dxa"/>
            <w:gridSpan w:val="2"/>
            <w:vMerge w:val="continue"/>
            <w:tcBorders>
              <w:tl2br w:val="nil"/>
              <w:tr2bl w:val="nil"/>
            </w:tcBorders>
            <w:vAlign w:val="center"/>
          </w:tcPr>
          <w:p w14:paraId="22063922">
            <w:pPr>
              <w:pStyle w:val="240"/>
              <w:rPr>
                <w:rFonts w:hint="default"/>
              </w:rPr>
            </w:pPr>
            <w:bookmarkStart w:id="281" w:name="_Toc11444"/>
            <w:bookmarkStart w:id="282" w:name="_Toc4304"/>
            <w:bookmarkStart w:id="283" w:name="_Toc22374"/>
            <w:bookmarkStart w:id="284" w:name="_Toc214"/>
          </w:p>
        </w:tc>
        <w:tc>
          <w:tcPr>
            <w:tcW w:w="5813" w:type="dxa"/>
            <w:gridSpan w:val="4"/>
            <w:tcBorders>
              <w:tl2br w:val="nil"/>
              <w:tr2bl w:val="nil"/>
            </w:tcBorders>
            <w:vAlign w:val="center"/>
          </w:tcPr>
          <w:p w14:paraId="63CA9C06">
            <w:pPr>
              <w:pStyle w:val="240"/>
              <w:rPr>
                <w:rFonts w:hint="default"/>
              </w:rPr>
            </w:pPr>
            <w:r>
              <w:t>臭气浓度</w:t>
            </w:r>
          </w:p>
        </w:tc>
        <w:tc>
          <w:tcPr>
            <w:tcW w:w="1110" w:type="dxa"/>
            <w:tcBorders>
              <w:tl2br w:val="nil"/>
              <w:tr2bl w:val="nil"/>
            </w:tcBorders>
            <w:vAlign w:val="center"/>
          </w:tcPr>
          <w:p w14:paraId="6ED087BD">
            <w:pPr>
              <w:pStyle w:val="240"/>
              <w:rPr>
                <w:rFonts w:hint="default"/>
              </w:rPr>
            </w:pPr>
            <w:r>
              <w:t>/</w:t>
            </w:r>
          </w:p>
        </w:tc>
      </w:tr>
    </w:tbl>
    <w:p w14:paraId="1A6DF407">
      <w:pPr>
        <w:pStyle w:val="63"/>
        <w:adjustRightInd/>
        <w:jc w:val="center"/>
        <w:textAlignment w:val="auto"/>
        <w:rPr>
          <w:rFonts w:hint="eastAsia" w:ascii="Times New Roman" w:cs="Times New Roman"/>
          <w:b/>
          <w:bCs/>
          <w:sz w:val="21"/>
          <w:szCs w:val="21"/>
        </w:rPr>
      </w:pPr>
    </w:p>
    <w:p w14:paraId="389DC671">
      <w:pPr>
        <w:pStyle w:val="63"/>
        <w:adjustRightInd/>
        <w:jc w:val="center"/>
        <w:textAlignment w:val="auto"/>
        <w:rPr>
          <w:rFonts w:hint="eastAsia" w:ascii="Times New Roman" w:cs="Times New Roman"/>
          <w:b/>
          <w:bCs/>
          <w:sz w:val="21"/>
          <w:szCs w:val="21"/>
        </w:rPr>
      </w:pPr>
    </w:p>
    <w:p w14:paraId="69A79D74">
      <w:pPr>
        <w:pStyle w:val="63"/>
        <w:adjustRightInd/>
        <w:jc w:val="center"/>
        <w:textAlignment w:val="auto"/>
        <w:rPr>
          <w:rFonts w:hint="eastAsia" w:ascii="Times New Roman" w:cs="Times New Roman"/>
          <w:b/>
          <w:bCs/>
          <w:sz w:val="21"/>
          <w:szCs w:val="21"/>
        </w:rPr>
      </w:pPr>
    </w:p>
    <w:p w14:paraId="51CD922C">
      <w:pPr>
        <w:pStyle w:val="63"/>
        <w:adjustRightInd/>
        <w:jc w:val="center"/>
        <w:textAlignment w:val="auto"/>
        <w:rPr>
          <w:rFonts w:hint="eastAsia" w:ascii="Times New Roman" w:cs="Times New Roman"/>
          <w:b/>
          <w:bCs/>
          <w:sz w:val="21"/>
          <w:szCs w:val="21"/>
        </w:rPr>
      </w:pPr>
    </w:p>
    <w:p w14:paraId="5D0E2AB8">
      <w:pPr>
        <w:pStyle w:val="63"/>
        <w:adjustRightInd/>
        <w:jc w:val="center"/>
        <w:textAlignment w:val="auto"/>
        <w:rPr>
          <w:rFonts w:ascii="Times New Roman" w:cs="Times New Roman"/>
          <w:b/>
          <w:bCs/>
          <w:sz w:val="21"/>
          <w:szCs w:val="21"/>
        </w:rPr>
      </w:pPr>
      <w:r>
        <w:rPr>
          <w:rFonts w:hint="eastAsia" w:ascii="Times New Roman" w:cs="Times New Roman"/>
          <w:b/>
          <w:bCs/>
          <w:sz w:val="21"/>
          <w:szCs w:val="21"/>
        </w:rPr>
        <w:t>表5.2-</w:t>
      </w:r>
      <w:r>
        <w:rPr>
          <w:rFonts w:hint="eastAsia" w:ascii="Times New Roman" w:cs="Times New Roman"/>
          <w:b/>
          <w:bCs/>
          <w:sz w:val="21"/>
          <w:szCs w:val="21"/>
          <w:lang w:val="en-US" w:eastAsia="zh-CN"/>
        </w:rPr>
        <w:t>1</w:t>
      </w:r>
      <w:r>
        <w:rPr>
          <w:rFonts w:hint="eastAsia" w:cs="Times New Roman"/>
          <w:b/>
          <w:bCs/>
          <w:sz w:val="21"/>
          <w:szCs w:val="21"/>
          <w:lang w:val="en-US" w:eastAsia="zh-CN"/>
        </w:rPr>
        <w:t>5</w:t>
      </w:r>
      <w:r>
        <w:rPr>
          <w:rFonts w:hint="eastAsia" w:ascii="Times New Roman" w:cs="Times New Roman"/>
          <w:b/>
          <w:bCs/>
          <w:sz w:val="21"/>
          <w:szCs w:val="21"/>
        </w:rPr>
        <w:t xml:space="preserve">  项目大气污染物年排放量核算表</w:t>
      </w:r>
    </w:p>
    <w:tbl>
      <w:tblPr>
        <w:tblStyle w:val="50"/>
        <w:tblW w:w="9027" w:type="dxa"/>
        <w:tblInd w:w="92" w:type="dxa"/>
        <w:tblBorders>
          <w:top w:val="single" w:color="auto" w:sz="12" w:space="0"/>
          <w:left w:val="single" w:color="auto" w:sz="12" w:space="0"/>
          <w:bottom w:val="single" w:color="auto" w:sz="12" w:space="0"/>
          <w:right w:val="single" w:color="auto" w:sz="12" w:space="0"/>
          <w:insideH w:val="single" w:color="auto" w:sz="2" w:space="0"/>
          <w:insideV w:val="single" w:color="auto" w:sz="4" w:space="0"/>
        </w:tblBorders>
        <w:tblLayout w:type="autofit"/>
        <w:tblCellMar>
          <w:top w:w="0" w:type="dxa"/>
          <w:left w:w="108" w:type="dxa"/>
          <w:bottom w:w="0" w:type="dxa"/>
          <w:right w:w="108" w:type="dxa"/>
        </w:tblCellMar>
      </w:tblPr>
      <w:tblGrid>
        <w:gridCol w:w="2926"/>
        <w:gridCol w:w="3018"/>
        <w:gridCol w:w="3083"/>
      </w:tblGrid>
      <w:tr w14:paraId="0E86825E">
        <w:tblPrEx>
          <w:tblBorders>
            <w:top w:val="single" w:color="auto" w:sz="12" w:space="0"/>
            <w:left w:val="single" w:color="auto" w:sz="12" w:space="0"/>
            <w:bottom w:val="single" w:color="auto" w:sz="12" w:space="0"/>
            <w:right w:val="single" w:color="auto" w:sz="12" w:space="0"/>
            <w:insideH w:val="single" w:color="auto" w:sz="2" w:space="0"/>
            <w:insideV w:val="single" w:color="auto" w:sz="4" w:space="0"/>
          </w:tblBorders>
          <w:tblCellMar>
            <w:top w:w="0" w:type="dxa"/>
            <w:left w:w="108" w:type="dxa"/>
            <w:bottom w:w="0" w:type="dxa"/>
            <w:right w:w="108" w:type="dxa"/>
          </w:tblCellMar>
        </w:tblPrEx>
        <w:trPr>
          <w:trHeight w:val="320" w:hRule="atLeast"/>
        </w:trPr>
        <w:tc>
          <w:tcPr>
            <w:tcW w:w="2926" w:type="dxa"/>
            <w:tcBorders>
              <w:tl2br w:val="nil"/>
              <w:tr2bl w:val="nil"/>
            </w:tcBorders>
            <w:vAlign w:val="center"/>
          </w:tcPr>
          <w:p w14:paraId="0389C850">
            <w:pPr>
              <w:pStyle w:val="240"/>
              <w:rPr>
                <w:rFonts w:hint="default"/>
              </w:rPr>
            </w:pPr>
            <w:r>
              <w:t>序号</w:t>
            </w:r>
          </w:p>
        </w:tc>
        <w:tc>
          <w:tcPr>
            <w:tcW w:w="3018" w:type="dxa"/>
            <w:tcBorders>
              <w:tl2br w:val="nil"/>
              <w:tr2bl w:val="nil"/>
            </w:tcBorders>
            <w:vAlign w:val="center"/>
          </w:tcPr>
          <w:p w14:paraId="57D65504">
            <w:pPr>
              <w:pStyle w:val="240"/>
              <w:rPr>
                <w:rFonts w:hint="default"/>
              </w:rPr>
            </w:pPr>
            <w:r>
              <w:t>污染物</w:t>
            </w:r>
          </w:p>
        </w:tc>
        <w:tc>
          <w:tcPr>
            <w:tcW w:w="3083" w:type="dxa"/>
            <w:tcBorders>
              <w:tl2br w:val="nil"/>
              <w:tr2bl w:val="nil"/>
            </w:tcBorders>
            <w:vAlign w:val="center"/>
          </w:tcPr>
          <w:p w14:paraId="54885DE2">
            <w:pPr>
              <w:pStyle w:val="240"/>
              <w:rPr>
                <w:rFonts w:hint="default"/>
              </w:rPr>
            </w:pPr>
            <w:r>
              <w:t>年排放量（t/a）</w:t>
            </w:r>
          </w:p>
        </w:tc>
      </w:tr>
      <w:tr w14:paraId="46948676">
        <w:tblPrEx>
          <w:tblBorders>
            <w:top w:val="single" w:color="auto" w:sz="12" w:space="0"/>
            <w:left w:val="single" w:color="auto" w:sz="12" w:space="0"/>
            <w:bottom w:val="single" w:color="auto" w:sz="12" w:space="0"/>
            <w:right w:val="single" w:color="auto" w:sz="12" w:space="0"/>
            <w:insideH w:val="single" w:color="auto" w:sz="2" w:space="0"/>
            <w:insideV w:val="single" w:color="auto" w:sz="4" w:space="0"/>
          </w:tblBorders>
          <w:tblCellMar>
            <w:top w:w="0" w:type="dxa"/>
            <w:left w:w="108" w:type="dxa"/>
            <w:bottom w:w="0" w:type="dxa"/>
            <w:right w:w="108" w:type="dxa"/>
          </w:tblCellMar>
        </w:tblPrEx>
        <w:trPr>
          <w:trHeight w:val="299" w:hRule="atLeast"/>
        </w:trPr>
        <w:tc>
          <w:tcPr>
            <w:tcW w:w="2926" w:type="dxa"/>
            <w:tcBorders>
              <w:tl2br w:val="nil"/>
              <w:tr2bl w:val="nil"/>
            </w:tcBorders>
            <w:vAlign w:val="center"/>
          </w:tcPr>
          <w:p w14:paraId="59440CC4">
            <w:pPr>
              <w:pStyle w:val="240"/>
              <w:rPr>
                <w:rFonts w:hint="default"/>
              </w:rPr>
            </w:pPr>
            <w:r>
              <w:t>1</w:t>
            </w:r>
          </w:p>
        </w:tc>
        <w:tc>
          <w:tcPr>
            <w:tcW w:w="3018" w:type="dxa"/>
            <w:tcBorders>
              <w:tl2br w:val="nil"/>
              <w:tr2bl w:val="nil"/>
            </w:tcBorders>
            <w:vAlign w:val="center"/>
          </w:tcPr>
          <w:p w14:paraId="22AA9305">
            <w:pPr>
              <w:pStyle w:val="240"/>
              <w:rPr>
                <w:rFonts w:hint="default"/>
              </w:rPr>
            </w:pPr>
            <w:r>
              <w:t>非甲烷总烃</w:t>
            </w:r>
          </w:p>
        </w:tc>
        <w:tc>
          <w:tcPr>
            <w:tcW w:w="3083" w:type="dxa"/>
            <w:tcBorders>
              <w:tl2br w:val="nil"/>
              <w:tr2bl w:val="nil"/>
            </w:tcBorders>
            <w:vAlign w:val="center"/>
          </w:tcPr>
          <w:p w14:paraId="04D6FC2A">
            <w:pPr>
              <w:pStyle w:val="240"/>
              <w:rPr>
                <w:rFonts w:hint="default" w:eastAsia="宋体"/>
                <w:lang w:val="en-US" w:eastAsia="zh-CN"/>
              </w:rPr>
            </w:pPr>
            <w:r>
              <w:rPr>
                <w:rFonts w:hint="eastAsia"/>
                <w:lang w:val="en-US" w:eastAsia="zh-CN"/>
              </w:rPr>
              <w:t>3.9755</w:t>
            </w:r>
          </w:p>
        </w:tc>
      </w:tr>
      <w:tr w14:paraId="5F1B4226">
        <w:tblPrEx>
          <w:tblBorders>
            <w:top w:val="single" w:color="auto" w:sz="12" w:space="0"/>
            <w:left w:val="single" w:color="auto" w:sz="12" w:space="0"/>
            <w:bottom w:val="single" w:color="auto" w:sz="12" w:space="0"/>
            <w:right w:val="single" w:color="auto" w:sz="12" w:space="0"/>
            <w:insideH w:val="single" w:color="auto" w:sz="2" w:space="0"/>
            <w:insideV w:val="single" w:color="auto" w:sz="4" w:space="0"/>
          </w:tblBorders>
          <w:tblCellMar>
            <w:top w:w="0" w:type="dxa"/>
            <w:left w:w="108" w:type="dxa"/>
            <w:bottom w:w="0" w:type="dxa"/>
            <w:right w:w="108" w:type="dxa"/>
          </w:tblCellMar>
        </w:tblPrEx>
        <w:trPr>
          <w:trHeight w:val="327" w:hRule="atLeast"/>
        </w:trPr>
        <w:tc>
          <w:tcPr>
            <w:tcW w:w="2926" w:type="dxa"/>
            <w:tcBorders>
              <w:tl2br w:val="nil"/>
              <w:tr2bl w:val="nil"/>
            </w:tcBorders>
            <w:vAlign w:val="center"/>
          </w:tcPr>
          <w:p w14:paraId="4AF74757">
            <w:pPr>
              <w:pStyle w:val="240"/>
              <w:rPr>
                <w:rFonts w:hint="default"/>
              </w:rPr>
            </w:pPr>
            <w:r>
              <w:t>2</w:t>
            </w:r>
          </w:p>
        </w:tc>
        <w:tc>
          <w:tcPr>
            <w:tcW w:w="3018" w:type="dxa"/>
            <w:tcBorders>
              <w:tl2br w:val="nil"/>
              <w:tr2bl w:val="nil"/>
            </w:tcBorders>
            <w:vAlign w:val="center"/>
          </w:tcPr>
          <w:p w14:paraId="0B78B2B8">
            <w:pPr>
              <w:pStyle w:val="240"/>
              <w:rPr>
                <w:rFonts w:hint="default"/>
              </w:rPr>
            </w:pPr>
            <w:r>
              <w:t>臭气浓度</w:t>
            </w:r>
          </w:p>
        </w:tc>
        <w:tc>
          <w:tcPr>
            <w:tcW w:w="3083" w:type="dxa"/>
            <w:tcBorders>
              <w:tl2br w:val="nil"/>
              <w:tr2bl w:val="nil"/>
            </w:tcBorders>
            <w:vAlign w:val="center"/>
          </w:tcPr>
          <w:p w14:paraId="306CF5B7">
            <w:pPr>
              <w:pStyle w:val="240"/>
              <w:rPr>
                <w:rFonts w:hint="default"/>
              </w:rPr>
            </w:pPr>
            <w:r>
              <w:t>/</w:t>
            </w:r>
          </w:p>
        </w:tc>
      </w:tr>
      <w:bookmarkEnd w:id="281"/>
      <w:bookmarkEnd w:id="282"/>
    </w:tbl>
    <w:p w14:paraId="3A292B60">
      <w:pPr>
        <w:spacing w:line="360" w:lineRule="auto"/>
        <w:ind w:left="420" w:leftChars="200"/>
        <w:rPr>
          <w:rFonts w:hint="eastAsia" w:ascii="宋体" w:hAnsi="宋体" w:cs="宋体"/>
          <w:color w:val="000000"/>
          <w:sz w:val="24"/>
          <w:szCs w:val="24"/>
        </w:rPr>
      </w:pPr>
      <w:r>
        <w:rPr>
          <w:rFonts w:hint="eastAsia" w:ascii="宋体" w:hAnsi="宋体" w:cs="宋体"/>
          <w:color w:val="000000"/>
          <w:sz w:val="24"/>
          <w:szCs w:val="24"/>
        </w:rPr>
        <w:t>（2）非正常工况</w:t>
      </w:r>
    </w:p>
    <w:p w14:paraId="5871D498">
      <w:pPr>
        <w:widowControl/>
        <w:spacing w:line="360" w:lineRule="auto"/>
        <w:ind w:firstLine="480" w:firstLineChars="200"/>
        <w:rPr>
          <w:color w:val="000000"/>
          <w:sz w:val="24"/>
        </w:rPr>
      </w:pPr>
      <w:r>
        <w:rPr>
          <w:rFonts w:hint="eastAsia"/>
          <w:color w:val="000000"/>
          <w:sz w:val="24"/>
        </w:rPr>
        <w:t>项目非正常工况废气排放核算见表5.2-1</w:t>
      </w:r>
      <w:r>
        <w:rPr>
          <w:rFonts w:hint="eastAsia"/>
          <w:color w:val="000000"/>
          <w:sz w:val="24"/>
          <w:lang w:val="en-US" w:eastAsia="zh-CN"/>
        </w:rPr>
        <w:t>6</w:t>
      </w:r>
      <w:r>
        <w:rPr>
          <w:rFonts w:hint="eastAsia"/>
          <w:color w:val="000000"/>
          <w:sz w:val="24"/>
        </w:rPr>
        <w:t>。</w:t>
      </w:r>
    </w:p>
    <w:p w14:paraId="21F5B971">
      <w:pPr>
        <w:pStyle w:val="63"/>
        <w:adjustRightInd/>
        <w:jc w:val="center"/>
        <w:rPr>
          <w:rFonts w:ascii="Times New Roman" w:cs="Times New Roman"/>
          <w:b/>
          <w:bCs/>
          <w:sz w:val="21"/>
          <w:szCs w:val="21"/>
        </w:rPr>
      </w:pPr>
      <w:r>
        <w:rPr>
          <w:rFonts w:hint="eastAsia" w:ascii="Times New Roman" w:cs="Times New Roman"/>
          <w:b/>
          <w:bCs/>
          <w:sz w:val="21"/>
          <w:szCs w:val="21"/>
        </w:rPr>
        <w:t>表5.2-1</w:t>
      </w:r>
      <w:r>
        <w:rPr>
          <w:rFonts w:hint="eastAsia" w:cs="Times New Roman"/>
          <w:b/>
          <w:bCs/>
          <w:sz w:val="21"/>
          <w:szCs w:val="21"/>
          <w:lang w:val="en-US" w:eastAsia="zh-CN"/>
        </w:rPr>
        <w:t>6</w:t>
      </w:r>
      <w:r>
        <w:rPr>
          <w:rFonts w:hint="eastAsia" w:ascii="Times New Roman" w:cs="Times New Roman"/>
          <w:b/>
          <w:bCs/>
          <w:sz w:val="21"/>
          <w:szCs w:val="21"/>
        </w:rPr>
        <w:t xml:space="preserve"> </w:t>
      </w:r>
      <w:r>
        <w:rPr>
          <w:rFonts w:ascii="Times New Roman" w:cs="Times New Roman"/>
          <w:b/>
          <w:bCs/>
          <w:sz w:val="21"/>
          <w:szCs w:val="21"/>
        </w:rPr>
        <w:t xml:space="preserve">  </w:t>
      </w:r>
      <w:r>
        <w:rPr>
          <w:rFonts w:hint="eastAsia" w:ascii="Times New Roman" w:cs="Times New Roman"/>
          <w:b/>
          <w:bCs/>
          <w:sz w:val="21"/>
          <w:szCs w:val="21"/>
        </w:rPr>
        <w:t>非正常工况废气排放核算表</w:t>
      </w:r>
    </w:p>
    <w:tbl>
      <w:tblPr>
        <w:tblStyle w:val="49"/>
        <w:tblW w:w="4917" w:type="pct"/>
        <w:jc w:val="center"/>
        <w:tblBorders>
          <w:top w:val="single" w:color="auto" w:sz="12" w:space="0"/>
          <w:left w:val="single" w:color="auto" w:sz="12" w:space="0"/>
          <w:bottom w:val="single" w:color="auto" w:sz="12" w:space="0"/>
          <w:right w:val="single" w:color="auto" w:sz="12" w:space="0"/>
          <w:insideH w:val="single" w:color="auto" w:sz="2" w:space="0"/>
          <w:insideV w:val="single" w:color="auto" w:sz="4" w:space="0"/>
        </w:tblBorders>
        <w:tblLayout w:type="fixed"/>
        <w:tblCellMar>
          <w:top w:w="0" w:type="dxa"/>
          <w:left w:w="108" w:type="dxa"/>
          <w:bottom w:w="0" w:type="dxa"/>
          <w:right w:w="108" w:type="dxa"/>
        </w:tblCellMar>
      </w:tblPr>
      <w:tblGrid>
        <w:gridCol w:w="635"/>
        <w:gridCol w:w="907"/>
        <w:gridCol w:w="911"/>
        <w:gridCol w:w="771"/>
        <w:gridCol w:w="1060"/>
        <w:gridCol w:w="1167"/>
        <w:gridCol w:w="999"/>
        <w:gridCol w:w="847"/>
        <w:gridCol w:w="725"/>
        <w:gridCol w:w="1113"/>
      </w:tblGrid>
      <w:tr w14:paraId="79390DAA">
        <w:tblPrEx>
          <w:tblBorders>
            <w:top w:val="single" w:color="auto" w:sz="12" w:space="0"/>
            <w:left w:val="single" w:color="auto" w:sz="12" w:space="0"/>
            <w:bottom w:val="single" w:color="auto" w:sz="12" w:space="0"/>
            <w:right w:val="single" w:color="auto" w:sz="12" w:space="0"/>
            <w:insideH w:val="single" w:color="auto" w:sz="2" w:space="0"/>
            <w:insideV w:val="single" w:color="auto" w:sz="4" w:space="0"/>
          </w:tblBorders>
        </w:tblPrEx>
        <w:trPr>
          <w:trHeight w:val="955" w:hRule="atLeast"/>
          <w:jc w:val="center"/>
        </w:trPr>
        <w:tc>
          <w:tcPr>
            <w:tcW w:w="844" w:type="pct"/>
            <w:gridSpan w:val="2"/>
            <w:tcBorders>
              <w:tl2br w:val="nil"/>
              <w:tr2bl w:val="nil"/>
            </w:tcBorders>
            <w:vAlign w:val="center"/>
          </w:tcPr>
          <w:p w14:paraId="6AD7DEF1">
            <w:pPr>
              <w:pStyle w:val="240"/>
              <w:rPr>
                <w:rFonts w:hint="default"/>
              </w:rPr>
            </w:pPr>
            <w:r>
              <w:t>污染源</w:t>
            </w:r>
          </w:p>
        </w:tc>
        <w:tc>
          <w:tcPr>
            <w:tcW w:w="498" w:type="pct"/>
            <w:tcBorders>
              <w:tl2br w:val="nil"/>
              <w:tr2bl w:val="nil"/>
            </w:tcBorders>
            <w:vAlign w:val="center"/>
          </w:tcPr>
          <w:p w14:paraId="7690BAE9">
            <w:pPr>
              <w:pStyle w:val="240"/>
              <w:rPr>
                <w:rFonts w:hint="default"/>
              </w:rPr>
            </w:pPr>
            <w:r>
              <w:t>排口编号</w:t>
            </w:r>
          </w:p>
        </w:tc>
        <w:tc>
          <w:tcPr>
            <w:tcW w:w="422" w:type="pct"/>
            <w:tcBorders>
              <w:tl2br w:val="nil"/>
              <w:tr2bl w:val="nil"/>
            </w:tcBorders>
            <w:vAlign w:val="center"/>
          </w:tcPr>
          <w:p w14:paraId="295F641F">
            <w:pPr>
              <w:pStyle w:val="240"/>
              <w:rPr>
                <w:rFonts w:hint="default"/>
              </w:rPr>
            </w:pPr>
            <w:r>
              <w:t>污染物</w:t>
            </w:r>
          </w:p>
        </w:tc>
        <w:tc>
          <w:tcPr>
            <w:tcW w:w="580" w:type="pct"/>
            <w:tcBorders>
              <w:tl2br w:val="nil"/>
              <w:tr2bl w:val="nil"/>
            </w:tcBorders>
            <w:vAlign w:val="center"/>
          </w:tcPr>
          <w:p w14:paraId="4B90CD42">
            <w:pPr>
              <w:pStyle w:val="240"/>
              <w:rPr>
                <w:rFonts w:hint="default"/>
              </w:rPr>
            </w:pPr>
            <w:r>
              <w:t>非正常排放原因</w:t>
            </w:r>
          </w:p>
        </w:tc>
        <w:tc>
          <w:tcPr>
            <w:tcW w:w="638" w:type="pct"/>
            <w:tcBorders>
              <w:tl2br w:val="nil"/>
              <w:tr2bl w:val="nil"/>
            </w:tcBorders>
            <w:vAlign w:val="center"/>
          </w:tcPr>
          <w:p w14:paraId="0D1F2835">
            <w:pPr>
              <w:pStyle w:val="240"/>
              <w:rPr>
                <w:rFonts w:hint="default"/>
              </w:rPr>
            </w:pPr>
            <w:r>
              <w:t>非正常排放浓度</w:t>
            </w:r>
            <w:r>
              <w:rPr>
                <w:rFonts w:hint="default"/>
              </w:rPr>
              <w:t>/</w:t>
            </w:r>
            <w:r>
              <w:t>（</w:t>
            </w:r>
            <w:r>
              <w:rPr>
                <w:rFonts w:hint="default"/>
              </w:rPr>
              <w:t>mg/m</w:t>
            </w:r>
            <w:r>
              <w:rPr>
                <w:rFonts w:hint="default"/>
                <w:vertAlign w:val="superscript"/>
              </w:rPr>
              <w:t>3</w:t>
            </w:r>
            <w:r>
              <w:rPr>
                <w:rFonts w:hint="default"/>
              </w:rPr>
              <w:t>)</w:t>
            </w:r>
          </w:p>
        </w:tc>
        <w:tc>
          <w:tcPr>
            <w:tcW w:w="546" w:type="pct"/>
            <w:tcBorders>
              <w:tl2br w:val="nil"/>
              <w:tr2bl w:val="nil"/>
            </w:tcBorders>
            <w:vAlign w:val="center"/>
          </w:tcPr>
          <w:p w14:paraId="7F563AD0">
            <w:pPr>
              <w:pStyle w:val="240"/>
              <w:rPr>
                <w:rFonts w:hint="default"/>
              </w:rPr>
            </w:pPr>
            <w:r>
              <w:t>非正常排放速率</w:t>
            </w:r>
            <w:r>
              <w:rPr>
                <w:rFonts w:hint="default"/>
              </w:rPr>
              <w:t>/(kg/h)</w:t>
            </w:r>
          </w:p>
        </w:tc>
        <w:tc>
          <w:tcPr>
            <w:tcW w:w="463" w:type="pct"/>
            <w:tcBorders>
              <w:tl2br w:val="nil"/>
              <w:tr2bl w:val="nil"/>
            </w:tcBorders>
            <w:vAlign w:val="center"/>
          </w:tcPr>
          <w:p w14:paraId="2A1B3B4B">
            <w:pPr>
              <w:pStyle w:val="240"/>
              <w:rPr>
                <w:rFonts w:hint="default"/>
              </w:rPr>
            </w:pPr>
            <w:r>
              <w:t>单次持续时间</w:t>
            </w:r>
            <w:r>
              <w:rPr>
                <w:rFonts w:hint="default"/>
              </w:rPr>
              <w:t>/h</w:t>
            </w:r>
          </w:p>
        </w:tc>
        <w:tc>
          <w:tcPr>
            <w:tcW w:w="396" w:type="pct"/>
            <w:tcBorders>
              <w:tl2br w:val="nil"/>
              <w:tr2bl w:val="nil"/>
            </w:tcBorders>
            <w:vAlign w:val="center"/>
          </w:tcPr>
          <w:p w14:paraId="71BE7E4A">
            <w:pPr>
              <w:pStyle w:val="240"/>
              <w:rPr>
                <w:rFonts w:hint="default"/>
              </w:rPr>
            </w:pPr>
            <w:r>
              <w:t>年发生频次</w:t>
            </w:r>
            <w:r>
              <w:rPr>
                <w:rFonts w:hint="default"/>
              </w:rPr>
              <w:t>/</w:t>
            </w:r>
            <w:r>
              <w:t>次</w:t>
            </w:r>
          </w:p>
        </w:tc>
        <w:tc>
          <w:tcPr>
            <w:tcW w:w="609" w:type="pct"/>
            <w:tcBorders>
              <w:tl2br w:val="nil"/>
              <w:tr2bl w:val="nil"/>
            </w:tcBorders>
            <w:vAlign w:val="center"/>
          </w:tcPr>
          <w:p w14:paraId="33FFD91D">
            <w:pPr>
              <w:pStyle w:val="240"/>
              <w:rPr>
                <w:rFonts w:hint="default"/>
              </w:rPr>
            </w:pPr>
            <w:r>
              <w:t>应对措施</w:t>
            </w:r>
          </w:p>
        </w:tc>
      </w:tr>
      <w:tr w14:paraId="4C11EBDA">
        <w:tblPrEx>
          <w:tblBorders>
            <w:top w:val="single" w:color="auto" w:sz="12" w:space="0"/>
            <w:left w:val="single" w:color="auto" w:sz="12" w:space="0"/>
            <w:bottom w:val="single" w:color="auto" w:sz="12" w:space="0"/>
            <w:right w:val="single" w:color="auto" w:sz="12" w:space="0"/>
            <w:insideH w:val="single" w:color="auto" w:sz="2" w:space="0"/>
            <w:insideV w:val="single" w:color="auto" w:sz="4" w:space="0"/>
          </w:tblBorders>
          <w:tblCellMar>
            <w:top w:w="0" w:type="dxa"/>
            <w:left w:w="108" w:type="dxa"/>
            <w:bottom w:w="0" w:type="dxa"/>
            <w:right w:w="108" w:type="dxa"/>
          </w:tblCellMar>
        </w:tblPrEx>
        <w:trPr>
          <w:trHeight w:val="1886" w:hRule="atLeast"/>
          <w:jc w:val="center"/>
        </w:trPr>
        <w:tc>
          <w:tcPr>
            <w:tcW w:w="347" w:type="pct"/>
            <w:tcBorders>
              <w:tl2br w:val="nil"/>
              <w:tr2bl w:val="nil"/>
            </w:tcBorders>
            <w:vAlign w:val="center"/>
          </w:tcPr>
          <w:p w14:paraId="1CCE34B0">
            <w:pPr>
              <w:pStyle w:val="240"/>
              <w:rPr>
                <w:rFonts w:hint="default"/>
              </w:rPr>
            </w:pPr>
            <w:r>
              <w:t>生产车间</w:t>
            </w:r>
          </w:p>
        </w:tc>
        <w:tc>
          <w:tcPr>
            <w:tcW w:w="496" w:type="pct"/>
            <w:tcBorders>
              <w:tl2br w:val="nil"/>
              <w:tr2bl w:val="nil"/>
            </w:tcBorders>
            <w:vAlign w:val="center"/>
          </w:tcPr>
          <w:p w14:paraId="2DC7F637">
            <w:pPr>
              <w:pStyle w:val="240"/>
              <w:rPr>
                <w:rFonts w:hint="default"/>
              </w:rPr>
            </w:pPr>
            <w:r>
              <w:t>生产热熔挤出工序</w:t>
            </w:r>
          </w:p>
        </w:tc>
        <w:tc>
          <w:tcPr>
            <w:tcW w:w="498" w:type="pct"/>
            <w:tcBorders>
              <w:tl2br w:val="nil"/>
              <w:tr2bl w:val="nil"/>
            </w:tcBorders>
            <w:vAlign w:val="center"/>
          </w:tcPr>
          <w:p w14:paraId="6B3D713F">
            <w:pPr>
              <w:pStyle w:val="240"/>
              <w:rPr>
                <w:rFonts w:hint="default"/>
              </w:rPr>
            </w:pPr>
            <w:r>
              <w:t>DA001</w:t>
            </w:r>
          </w:p>
        </w:tc>
        <w:tc>
          <w:tcPr>
            <w:tcW w:w="422" w:type="pct"/>
            <w:tcBorders>
              <w:tl2br w:val="nil"/>
              <w:tr2bl w:val="nil"/>
            </w:tcBorders>
            <w:vAlign w:val="center"/>
          </w:tcPr>
          <w:p w14:paraId="2F2E72DA">
            <w:pPr>
              <w:pStyle w:val="240"/>
              <w:rPr>
                <w:rFonts w:hint="default"/>
              </w:rPr>
            </w:pPr>
            <w:r>
              <w:t>非甲烷总烃</w:t>
            </w:r>
          </w:p>
        </w:tc>
        <w:tc>
          <w:tcPr>
            <w:tcW w:w="580" w:type="pct"/>
            <w:tcBorders>
              <w:tl2br w:val="nil"/>
              <w:tr2bl w:val="nil"/>
            </w:tcBorders>
            <w:vAlign w:val="center"/>
          </w:tcPr>
          <w:p w14:paraId="23F8DD81">
            <w:pPr>
              <w:pStyle w:val="240"/>
              <w:rPr>
                <w:rFonts w:hint="default"/>
              </w:rPr>
            </w:pPr>
            <w:r>
              <w:rPr>
                <w:rFonts w:hAnsi="宋体" w:cs="宋体"/>
                <w:color w:val="auto"/>
              </w:rPr>
              <w:t>集气罩+</w:t>
            </w:r>
            <w:r>
              <w:rPr>
                <w:rFonts w:hint="eastAsia" w:hAnsi="宋体" w:cs="宋体"/>
                <w:color w:val="auto"/>
                <w:lang w:eastAsia="zh-CN"/>
              </w:rPr>
              <w:t>活性炭浓缩吸附+催化燃烧</w:t>
            </w:r>
            <w:r>
              <w:rPr>
                <w:rFonts w:hAnsi="宋体" w:cs="宋体"/>
                <w:color w:val="auto"/>
              </w:rPr>
              <w:t>系统装置</w:t>
            </w:r>
            <w:r>
              <w:rPr>
                <w:rFonts w:ascii="宋体" w:hAnsi="宋体" w:cs="宋体"/>
                <w:color w:val="auto"/>
              </w:rPr>
              <w:t>失效</w:t>
            </w:r>
          </w:p>
        </w:tc>
        <w:tc>
          <w:tcPr>
            <w:tcW w:w="638" w:type="pct"/>
            <w:tcBorders>
              <w:tl2br w:val="nil"/>
              <w:tr2bl w:val="nil"/>
            </w:tcBorders>
            <w:vAlign w:val="center"/>
          </w:tcPr>
          <w:p w14:paraId="1D565C35">
            <w:pPr>
              <w:pStyle w:val="240"/>
              <w:rPr>
                <w:rFonts w:hint="default" w:eastAsia="宋体"/>
                <w:lang w:val="en-US" w:eastAsia="zh-CN"/>
              </w:rPr>
            </w:pPr>
            <w:r>
              <w:rPr>
                <w:rFonts w:hint="eastAsia" w:hAnsi="宋体"/>
                <w:color w:val="auto"/>
                <w:lang w:val="en-US" w:eastAsia="zh-CN"/>
              </w:rPr>
              <w:t>132</w:t>
            </w:r>
          </w:p>
        </w:tc>
        <w:tc>
          <w:tcPr>
            <w:tcW w:w="546" w:type="pct"/>
            <w:tcBorders>
              <w:tl2br w:val="nil"/>
              <w:tr2bl w:val="nil"/>
            </w:tcBorders>
            <w:vAlign w:val="center"/>
          </w:tcPr>
          <w:p w14:paraId="151C1587">
            <w:pPr>
              <w:pStyle w:val="240"/>
              <w:rPr>
                <w:rFonts w:hint="default" w:eastAsia="宋体"/>
                <w:lang w:val="en-US" w:eastAsia="zh-CN"/>
              </w:rPr>
            </w:pPr>
            <w:r>
              <w:rPr>
                <w:rFonts w:hint="eastAsia" w:hAnsi="宋体"/>
                <w:color w:val="auto"/>
                <w:sz w:val="24"/>
                <w:szCs w:val="24"/>
                <w:lang w:val="en-US" w:eastAsia="zh-CN"/>
              </w:rPr>
              <w:t>2.643</w:t>
            </w:r>
          </w:p>
        </w:tc>
        <w:tc>
          <w:tcPr>
            <w:tcW w:w="463" w:type="pct"/>
            <w:tcBorders>
              <w:tl2br w:val="nil"/>
              <w:tr2bl w:val="nil"/>
            </w:tcBorders>
            <w:vAlign w:val="center"/>
          </w:tcPr>
          <w:p w14:paraId="71729F53">
            <w:pPr>
              <w:pStyle w:val="240"/>
              <w:rPr>
                <w:rFonts w:hint="default"/>
              </w:rPr>
            </w:pPr>
            <w:r>
              <w:rPr>
                <w:rFonts w:hint="default"/>
              </w:rPr>
              <w:t>1</w:t>
            </w:r>
          </w:p>
        </w:tc>
        <w:tc>
          <w:tcPr>
            <w:tcW w:w="396" w:type="pct"/>
            <w:tcBorders>
              <w:tl2br w:val="nil"/>
              <w:tr2bl w:val="nil"/>
            </w:tcBorders>
            <w:vAlign w:val="center"/>
          </w:tcPr>
          <w:p w14:paraId="555737B3">
            <w:pPr>
              <w:pStyle w:val="240"/>
              <w:rPr>
                <w:rFonts w:hint="default"/>
              </w:rPr>
            </w:pPr>
            <w:r>
              <w:rPr>
                <w:rFonts w:hint="default"/>
              </w:rPr>
              <w:t>1</w:t>
            </w:r>
          </w:p>
        </w:tc>
        <w:tc>
          <w:tcPr>
            <w:tcW w:w="609" w:type="pct"/>
            <w:tcBorders>
              <w:tl2br w:val="nil"/>
              <w:tr2bl w:val="nil"/>
            </w:tcBorders>
            <w:vAlign w:val="center"/>
          </w:tcPr>
          <w:p w14:paraId="0E00B44F">
            <w:pPr>
              <w:pStyle w:val="240"/>
              <w:rPr>
                <w:rFonts w:hint="default"/>
              </w:rPr>
            </w:pPr>
            <w:r>
              <w:t>立即停止生产，对废气处理设施进行维修</w:t>
            </w:r>
          </w:p>
        </w:tc>
      </w:tr>
    </w:tbl>
    <w:p w14:paraId="6691EA07">
      <w:pPr>
        <w:pStyle w:val="5"/>
        <w:rPr>
          <w:rFonts w:ascii="Times New Roman" w:hAnsi="Times New Roman"/>
          <w:color w:val="000000"/>
          <w:lang w:val="en-US"/>
        </w:rPr>
      </w:pPr>
      <w:r>
        <w:rPr>
          <w:rFonts w:hint="eastAsia" w:ascii="Times New Roman" w:hAnsi="Times New Roman"/>
          <w:color w:val="000000"/>
          <w:lang w:val="en-US"/>
        </w:rPr>
        <w:t>5.2.1.</w:t>
      </w:r>
      <w:r>
        <w:rPr>
          <w:rFonts w:hint="eastAsia" w:ascii="Times New Roman" w:hAnsi="Times New Roman"/>
          <w:color w:val="000000"/>
          <w:lang w:val="en-US" w:eastAsia="zh-CN"/>
        </w:rPr>
        <w:t>4</w:t>
      </w:r>
      <w:r>
        <w:rPr>
          <w:rFonts w:hint="eastAsia" w:ascii="Times New Roman" w:hAnsi="Times New Roman"/>
          <w:color w:val="000000"/>
          <w:lang w:val="en-US"/>
        </w:rPr>
        <w:t>大气环境防护距离</w:t>
      </w:r>
      <w:bookmarkEnd w:id="275"/>
      <w:bookmarkEnd w:id="276"/>
      <w:bookmarkEnd w:id="283"/>
      <w:bookmarkEnd w:id="284"/>
    </w:p>
    <w:p w14:paraId="06CBF499">
      <w:pPr>
        <w:widowControl/>
        <w:spacing w:line="360" w:lineRule="auto"/>
        <w:ind w:firstLine="480" w:firstLineChars="200"/>
        <w:rPr>
          <w:color w:val="000000"/>
          <w:sz w:val="24"/>
        </w:rPr>
      </w:pPr>
      <w:r>
        <w:rPr>
          <w:rFonts w:hint="eastAsia"/>
          <w:color w:val="000000"/>
          <w:sz w:val="24"/>
        </w:rPr>
        <w:t>本项目大气环境影响评价等级为二级。根据导则要求，不需要进一步模型预测，不需设置大气环境防护距离。</w:t>
      </w:r>
    </w:p>
    <w:p w14:paraId="6B1D254C">
      <w:pPr>
        <w:pStyle w:val="5"/>
        <w:rPr>
          <w:rFonts w:ascii="Times New Roman" w:hAnsi="Times New Roman"/>
          <w:color w:val="000000"/>
          <w:lang w:val="en-US"/>
        </w:rPr>
      </w:pPr>
      <w:r>
        <w:rPr>
          <w:rFonts w:hint="eastAsia" w:ascii="Times New Roman" w:hAnsi="Times New Roman"/>
          <w:color w:val="000000"/>
          <w:lang w:val="en-US"/>
        </w:rPr>
        <w:t>5.2.1.</w:t>
      </w:r>
      <w:r>
        <w:rPr>
          <w:rFonts w:hint="eastAsia" w:ascii="Times New Roman" w:hAnsi="Times New Roman"/>
          <w:color w:val="000000"/>
          <w:lang w:val="en-US" w:eastAsia="zh-CN"/>
        </w:rPr>
        <w:t>5</w:t>
      </w:r>
      <w:r>
        <w:rPr>
          <w:rFonts w:hint="eastAsia" w:ascii="Times New Roman" w:hAnsi="Times New Roman"/>
          <w:color w:val="000000"/>
          <w:lang w:val="en-US"/>
        </w:rPr>
        <w:t>大气环境影响评价结论</w:t>
      </w:r>
    </w:p>
    <w:p w14:paraId="582CB1E5">
      <w:pPr>
        <w:spacing w:line="360" w:lineRule="auto"/>
        <w:ind w:firstLine="480" w:firstLineChars="200"/>
        <w:rPr>
          <w:color w:val="000000"/>
          <w:sz w:val="24"/>
          <w:szCs w:val="24"/>
        </w:rPr>
      </w:pPr>
      <w:r>
        <w:rPr>
          <w:rFonts w:hint="eastAsia"/>
          <w:color w:val="000000"/>
          <w:sz w:val="24"/>
          <w:szCs w:val="24"/>
        </w:rPr>
        <w:t>（1）区域环境现状</w:t>
      </w:r>
    </w:p>
    <w:p w14:paraId="45B17D93">
      <w:pPr>
        <w:spacing w:line="360" w:lineRule="auto"/>
        <w:ind w:firstLine="480" w:firstLineChars="200"/>
        <w:rPr>
          <w:color w:val="000000"/>
          <w:sz w:val="24"/>
          <w:szCs w:val="24"/>
        </w:rPr>
      </w:pPr>
      <w:r>
        <w:rPr>
          <w:rFonts w:hint="eastAsia"/>
          <w:color w:val="000000"/>
          <w:sz w:val="24"/>
          <w:szCs w:val="24"/>
        </w:rPr>
        <w:t>本项目位于不达标区域，不达标因子主要为 PM</w:t>
      </w:r>
      <w:r>
        <w:rPr>
          <w:rFonts w:hint="eastAsia"/>
          <w:color w:val="000000"/>
          <w:sz w:val="24"/>
          <w:szCs w:val="24"/>
          <w:vertAlign w:val="subscript"/>
        </w:rPr>
        <w:t>10</w:t>
      </w:r>
      <w:r>
        <w:rPr>
          <w:rFonts w:hint="eastAsia"/>
          <w:color w:val="000000"/>
          <w:sz w:val="24"/>
          <w:szCs w:val="24"/>
        </w:rPr>
        <w:t>、PM</w:t>
      </w:r>
      <w:r>
        <w:rPr>
          <w:rFonts w:hint="eastAsia"/>
          <w:color w:val="000000"/>
          <w:sz w:val="24"/>
          <w:szCs w:val="24"/>
          <w:vertAlign w:val="subscript"/>
        </w:rPr>
        <w:t>2.5</w:t>
      </w:r>
      <w:r>
        <w:rPr>
          <w:rFonts w:hint="eastAsia"/>
          <w:color w:val="000000"/>
          <w:sz w:val="24"/>
          <w:szCs w:val="24"/>
        </w:rPr>
        <w:t>，功能区为二类功能区，根据工程分析和影响分析，污染源排放为有组织和无组织排放。根据估算模式预测结果，各污染源正常排放下，各污染物最大地面浓度占标率为均小于10%，</w:t>
      </w:r>
      <w:r>
        <w:rPr>
          <w:rFonts w:hint="eastAsia" w:hAnsi="宋体"/>
          <w:bCs/>
          <w:color w:val="000000"/>
          <w:sz w:val="24"/>
          <w:szCs w:val="24"/>
        </w:rPr>
        <w:t>Pmax最大值出现为生产车间排放的</w:t>
      </w:r>
      <w:bookmarkStart w:id="285" w:name="OLE_LINK24"/>
      <w:r>
        <w:rPr>
          <w:rFonts w:hint="eastAsia" w:hAnsi="宋体"/>
          <w:bCs/>
          <w:color w:val="000000"/>
          <w:sz w:val="24"/>
          <w:szCs w:val="24"/>
        </w:rPr>
        <w:t>非甲烷总烃P</w:t>
      </w:r>
      <w:r>
        <w:rPr>
          <w:rFonts w:hint="eastAsia" w:hAnsi="宋体"/>
          <w:bCs/>
          <w:color w:val="000000"/>
          <w:sz w:val="24"/>
          <w:szCs w:val="24"/>
          <w:vertAlign w:val="subscript"/>
        </w:rPr>
        <w:t>max</w:t>
      </w:r>
      <w:r>
        <w:rPr>
          <w:rFonts w:hint="eastAsia" w:hAnsi="宋体"/>
          <w:bCs/>
          <w:color w:val="000000"/>
          <w:sz w:val="24"/>
          <w:szCs w:val="24"/>
        </w:rPr>
        <w:t>值为</w:t>
      </w:r>
      <w:r>
        <w:rPr>
          <w:rFonts w:hint="eastAsia"/>
          <w:color w:val="000000"/>
          <w:sz w:val="24"/>
          <w:szCs w:val="24"/>
          <w:lang w:val="en-US" w:eastAsia="zh-CN"/>
        </w:rPr>
        <w:t>9.1845</w:t>
      </w:r>
      <w:r>
        <w:rPr>
          <w:rFonts w:hint="eastAsia" w:hAnsi="宋体"/>
          <w:bCs/>
          <w:color w:val="000000"/>
          <w:sz w:val="24"/>
          <w:szCs w:val="24"/>
        </w:rPr>
        <w:t>%，C</w:t>
      </w:r>
      <w:r>
        <w:rPr>
          <w:rFonts w:hint="eastAsia" w:hAnsi="宋体"/>
          <w:bCs/>
          <w:color w:val="000000"/>
          <w:sz w:val="24"/>
          <w:szCs w:val="24"/>
          <w:vertAlign w:val="subscript"/>
        </w:rPr>
        <w:t>max</w:t>
      </w:r>
      <w:r>
        <w:rPr>
          <w:rFonts w:hint="eastAsia" w:hAnsi="宋体"/>
          <w:bCs/>
          <w:color w:val="000000"/>
          <w:sz w:val="24"/>
          <w:szCs w:val="24"/>
        </w:rPr>
        <w:t>为</w:t>
      </w:r>
      <w:r>
        <w:rPr>
          <w:rFonts w:hint="eastAsia"/>
          <w:color w:val="000000"/>
          <w:sz w:val="24"/>
          <w:szCs w:val="24"/>
          <w:lang w:val="en-US" w:eastAsia="zh-CN"/>
        </w:rPr>
        <w:t>183.6900</w:t>
      </w:r>
      <w:r>
        <w:rPr>
          <w:color w:val="000000"/>
          <w:sz w:val="24"/>
          <w:szCs w:val="24"/>
        </w:rPr>
        <w:t>μ</w:t>
      </w:r>
      <w:r>
        <w:rPr>
          <w:rFonts w:hint="eastAsia"/>
          <w:color w:val="000000"/>
          <w:sz w:val="24"/>
          <w:szCs w:val="24"/>
        </w:rPr>
        <w:t>g</w:t>
      </w:r>
      <w:r>
        <w:rPr>
          <w:rFonts w:hint="eastAsia" w:hAnsi="宋体"/>
          <w:bCs/>
          <w:color w:val="000000"/>
          <w:sz w:val="24"/>
          <w:szCs w:val="24"/>
        </w:rPr>
        <w:t>/m</w:t>
      </w:r>
      <w:r>
        <w:rPr>
          <w:rFonts w:hint="eastAsia" w:hAnsi="宋体"/>
          <w:bCs/>
          <w:color w:val="000000"/>
          <w:sz w:val="24"/>
          <w:szCs w:val="24"/>
          <w:vertAlign w:val="superscript"/>
        </w:rPr>
        <w:t>3</w:t>
      </w:r>
      <w:r>
        <w:rPr>
          <w:rFonts w:hint="eastAsia" w:hAnsi="宋体"/>
          <w:bCs/>
          <w:color w:val="000000"/>
          <w:sz w:val="24"/>
          <w:szCs w:val="24"/>
        </w:rPr>
        <w:t>。</w:t>
      </w:r>
      <w:bookmarkEnd w:id="285"/>
      <w:r>
        <w:rPr>
          <w:rFonts w:hint="eastAsia" w:hAnsi="宋体"/>
          <w:bCs/>
          <w:color w:val="000000"/>
          <w:sz w:val="24"/>
          <w:szCs w:val="24"/>
        </w:rPr>
        <w:t>项目</w:t>
      </w:r>
      <w:r>
        <w:rPr>
          <w:rFonts w:hint="eastAsia"/>
          <w:color w:val="000000"/>
          <w:sz w:val="24"/>
          <w:szCs w:val="24"/>
        </w:rPr>
        <w:t>排放的污染物对评价区贡献值较小，环境影响可以接受。</w:t>
      </w:r>
    </w:p>
    <w:p w14:paraId="452B5302">
      <w:pPr>
        <w:spacing w:line="360" w:lineRule="auto"/>
        <w:ind w:firstLine="480" w:firstLineChars="200"/>
        <w:rPr>
          <w:color w:val="000000"/>
          <w:sz w:val="24"/>
          <w:szCs w:val="24"/>
        </w:rPr>
      </w:pPr>
      <w:r>
        <w:rPr>
          <w:rFonts w:hint="eastAsia"/>
          <w:color w:val="000000"/>
          <w:sz w:val="24"/>
          <w:szCs w:val="24"/>
        </w:rPr>
        <w:t xml:space="preserve">（2）污染物排放量核算结果 </w:t>
      </w:r>
    </w:p>
    <w:p w14:paraId="2A1C4F11">
      <w:pPr>
        <w:spacing w:line="360" w:lineRule="auto"/>
        <w:ind w:firstLine="480" w:firstLineChars="200"/>
        <w:rPr>
          <w:color w:val="000000"/>
          <w:sz w:val="24"/>
          <w:szCs w:val="24"/>
        </w:rPr>
      </w:pPr>
      <w:r>
        <w:rPr>
          <w:rFonts w:hint="eastAsia"/>
          <w:color w:val="000000"/>
          <w:sz w:val="24"/>
          <w:szCs w:val="24"/>
        </w:rPr>
        <w:t>项目建成运营后，在严格按照提出污染治理措施情况下，大气环境影响较小，不会改变区域大气环境现状，环境影响可接受。有组织废气排放量：非甲烷总烃</w:t>
      </w:r>
      <w:r>
        <w:rPr>
          <w:rFonts w:hint="eastAsia"/>
          <w:color w:val="000000"/>
          <w:sz w:val="24"/>
          <w:szCs w:val="24"/>
          <w:lang w:val="en-US" w:eastAsia="zh-CN"/>
        </w:rPr>
        <w:t>2.284</w:t>
      </w:r>
      <w:r>
        <w:rPr>
          <w:rFonts w:hint="eastAsia"/>
          <w:color w:val="000000"/>
          <w:sz w:val="24"/>
          <w:szCs w:val="24"/>
        </w:rPr>
        <w:t>t/a，无组织废气排放量：非甲烷总烃1.691</w:t>
      </w:r>
      <w:r>
        <w:rPr>
          <w:rFonts w:hint="eastAsia"/>
          <w:color w:val="000000"/>
          <w:sz w:val="24"/>
          <w:szCs w:val="24"/>
          <w:lang w:val="en-US" w:eastAsia="zh-CN"/>
        </w:rPr>
        <w:t>5</w:t>
      </w:r>
      <w:r>
        <w:rPr>
          <w:rFonts w:hint="eastAsia"/>
          <w:color w:val="000000"/>
          <w:sz w:val="24"/>
          <w:szCs w:val="24"/>
        </w:rPr>
        <w:t>t/a。</w:t>
      </w:r>
    </w:p>
    <w:p w14:paraId="1B1202C4">
      <w:pPr>
        <w:spacing w:line="360" w:lineRule="auto"/>
        <w:ind w:firstLine="480" w:firstLineChars="200"/>
        <w:rPr>
          <w:color w:val="000000"/>
          <w:sz w:val="24"/>
          <w:szCs w:val="24"/>
        </w:rPr>
      </w:pPr>
      <w:r>
        <w:rPr>
          <w:rFonts w:hint="eastAsia"/>
          <w:color w:val="000000"/>
          <w:sz w:val="24"/>
          <w:szCs w:val="24"/>
        </w:rPr>
        <w:t>（3）大气环境防护距离</w:t>
      </w:r>
    </w:p>
    <w:p w14:paraId="1D00C68A">
      <w:pPr>
        <w:spacing w:line="360" w:lineRule="auto"/>
        <w:ind w:firstLine="480" w:firstLineChars="200"/>
        <w:rPr>
          <w:color w:val="000000"/>
          <w:sz w:val="24"/>
          <w:szCs w:val="24"/>
        </w:rPr>
      </w:pPr>
      <w:r>
        <w:rPr>
          <w:rFonts w:hint="eastAsia"/>
          <w:color w:val="000000"/>
          <w:sz w:val="24"/>
          <w:szCs w:val="24"/>
        </w:rPr>
        <w:t>本项目大气环境影响评价等级为二级。根据《环境空气影响评价技术导则  大气环境》（HI2.2-2018），需要进一步模型预测，不需设置大气环境防护距离。</w:t>
      </w:r>
    </w:p>
    <w:p w14:paraId="54117A5F">
      <w:pPr>
        <w:pStyle w:val="5"/>
        <w:rPr>
          <w:rFonts w:ascii="Times New Roman" w:hAnsi="Times New Roman"/>
          <w:color w:val="000000"/>
          <w:lang w:val="en-US"/>
        </w:rPr>
      </w:pPr>
      <w:r>
        <w:rPr>
          <w:rFonts w:hint="eastAsia" w:ascii="Times New Roman" w:hAnsi="Times New Roman"/>
          <w:color w:val="000000"/>
          <w:lang w:val="en-US"/>
        </w:rPr>
        <w:t>5.2.1.</w:t>
      </w:r>
      <w:r>
        <w:rPr>
          <w:rFonts w:hint="eastAsia" w:ascii="Times New Roman" w:hAnsi="Times New Roman"/>
          <w:color w:val="000000"/>
          <w:lang w:val="en-US" w:eastAsia="zh-CN"/>
        </w:rPr>
        <w:t>6</w:t>
      </w:r>
      <w:r>
        <w:rPr>
          <w:rFonts w:hint="eastAsia" w:ascii="Times New Roman" w:hAnsi="Times New Roman"/>
          <w:color w:val="000000"/>
          <w:lang w:val="en-US"/>
        </w:rPr>
        <w:t>大气环境影响评价自查表</w:t>
      </w:r>
    </w:p>
    <w:p w14:paraId="3D906EA5">
      <w:pPr>
        <w:spacing w:line="360" w:lineRule="auto"/>
        <w:ind w:firstLine="480" w:firstLineChars="200"/>
        <w:rPr>
          <w:color w:val="000000"/>
          <w:sz w:val="24"/>
          <w:szCs w:val="24"/>
        </w:rPr>
      </w:pPr>
      <w:r>
        <w:rPr>
          <w:rFonts w:hint="eastAsia" w:ascii="宋体" w:hAnsi="宋体" w:cs="宋体"/>
          <w:color w:val="000000"/>
          <w:sz w:val="24"/>
          <w:szCs w:val="24"/>
        </w:rPr>
        <w:t>本次</w:t>
      </w:r>
      <w:r>
        <w:rPr>
          <w:color w:val="000000"/>
          <w:sz w:val="24"/>
          <w:szCs w:val="24"/>
        </w:rPr>
        <w:t>大气环境影响评价完成后，对大气环境影响评价主要内容与结论进行自查</w:t>
      </w:r>
      <w:r>
        <w:rPr>
          <w:rFonts w:hint="eastAsia"/>
          <w:color w:val="000000"/>
          <w:sz w:val="24"/>
          <w:szCs w:val="24"/>
        </w:rPr>
        <w:t>。项目大气环境影响评价自查表详见表5.2-1</w:t>
      </w:r>
      <w:r>
        <w:rPr>
          <w:rFonts w:hint="eastAsia"/>
          <w:color w:val="000000"/>
          <w:sz w:val="24"/>
          <w:szCs w:val="24"/>
          <w:lang w:val="en-US" w:eastAsia="zh-CN"/>
        </w:rPr>
        <w:t>7</w:t>
      </w:r>
      <w:r>
        <w:rPr>
          <w:rFonts w:hint="eastAsia"/>
          <w:color w:val="000000"/>
          <w:sz w:val="24"/>
          <w:szCs w:val="24"/>
        </w:rPr>
        <w:t>。</w:t>
      </w:r>
    </w:p>
    <w:p w14:paraId="68F18B80">
      <w:pPr>
        <w:pStyle w:val="63"/>
        <w:jc w:val="center"/>
        <w:textAlignment w:val="auto"/>
        <w:rPr>
          <w:rFonts w:ascii="Times New Roman" w:cs="Times New Roman"/>
          <w:b/>
          <w:bCs/>
          <w:sz w:val="21"/>
          <w:szCs w:val="21"/>
        </w:rPr>
      </w:pPr>
      <w:r>
        <w:rPr>
          <w:rFonts w:ascii="Times New Roman" w:cs="Times New Roman"/>
          <w:b/>
          <w:bCs/>
          <w:sz w:val="21"/>
          <w:szCs w:val="21"/>
        </w:rPr>
        <w:t>表</w:t>
      </w:r>
      <w:r>
        <w:rPr>
          <w:rFonts w:hint="eastAsia" w:ascii="Times New Roman" w:cs="Times New Roman"/>
          <w:b/>
          <w:bCs/>
          <w:sz w:val="21"/>
          <w:szCs w:val="21"/>
        </w:rPr>
        <w:t>5.2</w:t>
      </w:r>
      <w:r>
        <w:rPr>
          <w:rFonts w:ascii="Times New Roman" w:cs="Times New Roman"/>
          <w:b/>
          <w:bCs/>
          <w:sz w:val="21"/>
          <w:szCs w:val="21"/>
        </w:rPr>
        <w:t>-</w:t>
      </w:r>
      <w:r>
        <w:rPr>
          <w:rFonts w:hint="eastAsia" w:ascii="Times New Roman" w:cs="Times New Roman"/>
          <w:b/>
          <w:bCs/>
          <w:sz w:val="21"/>
          <w:szCs w:val="21"/>
        </w:rPr>
        <w:t>1</w:t>
      </w:r>
      <w:r>
        <w:rPr>
          <w:rFonts w:hint="eastAsia" w:cs="Times New Roman"/>
          <w:b/>
          <w:bCs/>
          <w:sz w:val="21"/>
          <w:szCs w:val="21"/>
          <w:lang w:val="en-US" w:eastAsia="zh-CN"/>
        </w:rPr>
        <w:t>7</w:t>
      </w:r>
      <w:r>
        <w:rPr>
          <w:rFonts w:hint="eastAsia" w:ascii="Times New Roman" w:cs="Times New Roman"/>
          <w:b/>
          <w:bCs/>
          <w:sz w:val="21"/>
          <w:szCs w:val="21"/>
        </w:rPr>
        <w:t xml:space="preserve">     </w:t>
      </w:r>
      <w:r>
        <w:rPr>
          <w:rFonts w:ascii="Times New Roman" w:cs="Times New Roman"/>
          <w:b/>
          <w:bCs/>
          <w:sz w:val="21"/>
          <w:szCs w:val="21"/>
        </w:rPr>
        <w:t>项目大气环境影响评价自查表</w:t>
      </w:r>
    </w:p>
    <w:tbl>
      <w:tblPr>
        <w:tblStyle w:val="50"/>
        <w:tblW w:w="5000" w:type="pct"/>
        <w:tblInd w:w="0" w:type="dxa"/>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
      <w:tblGrid>
        <w:gridCol w:w="1031"/>
        <w:gridCol w:w="1638"/>
        <w:gridCol w:w="929"/>
        <w:gridCol w:w="496"/>
        <w:gridCol w:w="372"/>
        <w:gridCol w:w="342"/>
        <w:gridCol w:w="691"/>
        <w:gridCol w:w="65"/>
        <w:gridCol w:w="131"/>
        <w:gridCol w:w="364"/>
        <w:gridCol w:w="554"/>
        <w:gridCol w:w="721"/>
        <w:gridCol w:w="282"/>
        <w:gridCol w:w="210"/>
        <w:gridCol w:w="171"/>
        <w:gridCol w:w="622"/>
        <w:gridCol w:w="669"/>
      </w:tblGrid>
      <w:tr w14:paraId="523C612B">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99" w:hRule="atLeast"/>
        </w:trPr>
        <w:tc>
          <w:tcPr>
            <w:tcW w:w="1437" w:type="pct"/>
            <w:gridSpan w:val="2"/>
            <w:vAlign w:val="center"/>
          </w:tcPr>
          <w:p w14:paraId="1581AC5B">
            <w:pPr>
              <w:pStyle w:val="240"/>
              <w:rPr>
                <w:rFonts w:hint="default"/>
              </w:rPr>
            </w:pPr>
            <w:r>
              <w:rPr>
                <w:rFonts w:hint="default"/>
              </w:rPr>
              <w:t>工作内容</w:t>
            </w:r>
          </w:p>
        </w:tc>
        <w:tc>
          <w:tcPr>
            <w:tcW w:w="3562" w:type="pct"/>
            <w:gridSpan w:val="15"/>
            <w:vAlign w:val="center"/>
          </w:tcPr>
          <w:p w14:paraId="2ABDE664">
            <w:pPr>
              <w:pStyle w:val="240"/>
              <w:rPr>
                <w:rFonts w:hint="default"/>
              </w:rPr>
            </w:pPr>
            <w:r>
              <w:t>自查项目</w:t>
            </w:r>
          </w:p>
        </w:tc>
      </w:tr>
      <w:tr w14:paraId="5B810A78">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99" w:hRule="atLeast"/>
        </w:trPr>
        <w:tc>
          <w:tcPr>
            <w:tcW w:w="555" w:type="pct"/>
            <w:vMerge w:val="restart"/>
            <w:vAlign w:val="center"/>
          </w:tcPr>
          <w:p w14:paraId="71689C77">
            <w:pPr>
              <w:pStyle w:val="240"/>
              <w:rPr>
                <w:rFonts w:hint="default"/>
              </w:rPr>
            </w:pPr>
            <w:r>
              <w:t>评价等级与范围</w:t>
            </w:r>
          </w:p>
        </w:tc>
        <w:tc>
          <w:tcPr>
            <w:tcW w:w="882" w:type="pct"/>
            <w:vAlign w:val="center"/>
          </w:tcPr>
          <w:p w14:paraId="55476602">
            <w:pPr>
              <w:pStyle w:val="240"/>
              <w:rPr>
                <w:rFonts w:hint="default"/>
              </w:rPr>
            </w:pPr>
            <w:r>
              <w:t>评价等级</w:t>
            </w:r>
          </w:p>
        </w:tc>
        <w:tc>
          <w:tcPr>
            <w:tcW w:w="1151" w:type="pct"/>
            <w:gridSpan w:val="4"/>
            <w:vAlign w:val="center"/>
          </w:tcPr>
          <w:p w14:paraId="2F214068">
            <w:pPr>
              <w:pStyle w:val="240"/>
              <w:rPr>
                <w:rFonts w:hint="default"/>
              </w:rPr>
            </w:pPr>
            <w:r>
              <w:t>一级</w:t>
            </w:r>
            <w:r>
              <w:rPr/>
              <w:sym w:font="Wingdings" w:char="00A8"/>
            </w:r>
          </w:p>
        </w:tc>
        <w:tc>
          <w:tcPr>
            <w:tcW w:w="1359" w:type="pct"/>
            <w:gridSpan w:val="6"/>
            <w:vAlign w:val="center"/>
          </w:tcPr>
          <w:p w14:paraId="29B09BEA">
            <w:pPr>
              <w:pStyle w:val="240"/>
              <w:rPr>
                <w:rFonts w:hint="default"/>
              </w:rPr>
            </w:pPr>
            <w:r>
              <w:t>二级</w:t>
            </w:r>
            <w:r>
              <w:rPr/>
              <w:sym w:font="Wingdings" w:char="00FE"/>
            </w:r>
          </w:p>
        </w:tc>
        <w:tc>
          <w:tcPr>
            <w:tcW w:w="1052" w:type="pct"/>
            <w:gridSpan w:val="5"/>
            <w:vAlign w:val="center"/>
          </w:tcPr>
          <w:p w14:paraId="775A3A71">
            <w:pPr>
              <w:pStyle w:val="240"/>
              <w:rPr>
                <w:rFonts w:hint="default"/>
              </w:rPr>
            </w:pPr>
            <w:r>
              <w:t>三级</w:t>
            </w:r>
            <w:r>
              <w:rPr/>
              <w:sym w:font="Wingdings" w:char="00A8"/>
            </w:r>
          </w:p>
        </w:tc>
      </w:tr>
      <w:tr w14:paraId="3234BE8F">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75" w:hRule="atLeast"/>
        </w:trPr>
        <w:tc>
          <w:tcPr>
            <w:tcW w:w="555" w:type="pct"/>
            <w:vMerge w:val="continue"/>
            <w:vAlign w:val="center"/>
          </w:tcPr>
          <w:p w14:paraId="007B7C88">
            <w:pPr>
              <w:pStyle w:val="240"/>
              <w:rPr>
                <w:rFonts w:hint="default"/>
              </w:rPr>
            </w:pPr>
          </w:p>
        </w:tc>
        <w:tc>
          <w:tcPr>
            <w:tcW w:w="882" w:type="pct"/>
            <w:vAlign w:val="center"/>
          </w:tcPr>
          <w:p w14:paraId="1C652634">
            <w:pPr>
              <w:pStyle w:val="240"/>
              <w:rPr>
                <w:rFonts w:hint="default"/>
              </w:rPr>
            </w:pPr>
            <w:r>
              <w:t>评价范围</w:t>
            </w:r>
          </w:p>
        </w:tc>
        <w:tc>
          <w:tcPr>
            <w:tcW w:w="1151" w:type="pct"/>
            <w:gridSpan w:val="4"/>
            <w:vAlign w:val="center"/>
          </w:tcPr>
          <w:p w14:paraId="6F776697">
            <w:pPr>
              <w:pStyle w:val="240"/>
              <w:rPr>
                <w:rFonts w:hint="default"/>
              </w:rPr>
            </w:pPr>
            <w:r>
              <w:t>边长=50km</w:t>
            </w:r>
            <w:r>
              <w:rPr/>
              <w:sym w:font="Wingdings" w:char="00A8"/>
            </w:r>
          </w:p>
        </w:tc>
        <w:tc>
          <w:tcPr>
            <w:tcW w:w="1359" w:type="pct"/>
            <w:gridSpan w:val="6"/>
            <w:vAlign w:val="center"/>
          </w:tcPr>
          <w:p w14:paraId="52A7A20F">
            <w:pPr>
              <w:pStyle w:val="240"/>
              <w:rPr>
                <w:rFonts w:hint="default"/>
              </w:rPr>
            </w:pPr>
            <w:r>
              <w:t>边长5~50km</w:t>
            </w:r>
            <w:r>
              <w:rPr/>
              <w:sym w:font="Wingdings" w:char="00A8"/>
            </w:r>
          </w:p>
        </w:tc>
        <w:tc>
          <w:tcPr>
            <w:tcW w:w="1052" w:type="pct"/>
            <w:gridSpan w:val="5"/>
            <w:vAlign w:val="center"/>
          </w:tcPr>
          <w:p w14:paraId="0400EA9A">
            <w:pPr>
              <w:pStyle w:val="240"/>
              <w:rPr>
                <w:rFonts w:hint="default"/>
              </w:rPr>
            </w:pPr>
            <w:r>
              <w:t>边长=5km</w:t>
            </w:r>
            <w:r>
              <w:rPr/>
              <w:sym w:font="Wingdings" w:char="00FE"/>
            </w:r>
          </w:p>
        </w:tc>
      </w:tr>
      <w:tr w14:paraId="74FD9D65">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86" w:hRule="atLeast"/>
        </w:trPr>
        <w:tc>
          <w:tcPr>
            <w:tcW w:w="555" w:type="pct"/>
            <w:vMerge w:val="restart"/>
            <w:vAlign w:val="center"/>
          </w:tcPr>
          <w:p w14:paraId="2C7F38A9">
            <w:pPr>
              <w:pStyle w:val="240"/>
              <w:rPr>
                <w:rFonts w:hint="default"/>
              </w:rPr>
            </w:pPr>
            <w:r>
              <w:t>评价因子</w:t>
            </w:r>
          </w:p>
        </w:tc>
        <w:tc>
          <w:tcPr>
            <w:tcW w:w="882" w:type="pct"/>
            <w:vAlign w:val="center"/>
          </w:tcPr>
          <w:p w14:paraId="27AD7487">
            <w:pPr>
              <w:pStyle w:val="240"/>
              <w:rPr>
                <w:rFonts w:hint="default"/>
              </w:rPr>
            </w:pPr>
            <w:r>
              <w:t>SO</w:t>
            </w:r>
            <w:r>
              <w:rPr>
                <w:vertAlign w:val="subscript"/>
              </w:rPr>
              <w:t>2</w:t>
            </w:r>
            <w:r>
              <w:t>+NOx排放量</w:t>
            </w:r>
          </w:p>
        </w:tc>
        <w:tc>
          <w:tcPr>
            <w:tcW w:w="1151" w:type="pct"/>
            <w:gridSpan w:val="4"/>
            <w:vAlign w:val="center"/>
          </w:tcPr>
          <w:p w14:paraId="445C1D4F">
            <w:pPr>
              <w:pStyle w:val="240"/>
              <w:rPr>
                <w:rFonts w:hint="default"/>
              </w:rPr>
            </w:pPr>
            <w:r>
              <w:t>≥2000t/a</w:t>
            </w:r>
            <w:r>
              <w:rPr/>
              <w:sym w:font="Wingdings" w:char="00A8"/>
            </w:r>
          </w:p>
        </w:tc>
        <w:tc>
          <w:tcPr>
            <w:tcW w:w="1359" w:type="pct"/>
            <w:gridSpan w:val="6"/>
            <w:vAlign w:val="center"/>
          </w:tcPr>
          <w:p w14:paraId="1CDD375E">
            <w:pPr>
              <w:pStyle w:val="240"/>
              <w:rPr>
                <w:rFonts w:hint="default"/>
              </w:rPr>
            </w:pPr>
            <w:r>
              <w:t>500~2000t/a</w:t>
            </w:r>
            <w:r>
              <w:rPr/>
              <w:sym w:font="Wingdings" w:char="00A8"/>
            </w:r>
          </w:p>
        </w:tc>
        <w:tc>
          <w:tcPr>
            <w:tcW w:w="1052" w:type="pct"/>
            <w:gridSpan w:val="5"/>
            <w:vAlign w:val="center"/>
          </w:tcPr>
          <w:p w14:paraId="6DA1D88D">
            <w:pPr>
              <w:pStyle w:val="240"/>
              <w:rPr>
                <w:rFonts w:hint="default"/>
              </w:rPr>
            </w:pPr>
            <w:r>
              <w:t>＜500t/a</w:t>
            </w:r>
            <w:r>
              <w:rPr/>
              <w:sym w:font="Wingdings" w:char="00FE"/>
            </w:r>
          </w:p>
        </w:tc>
      </w:tr>
      <w:tr w14:paraId="2181E012">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843" w:hRule="atLeast"/>
        </w:trPr>
        <w:tc>
          <w:tcPr>
            <w:tcW w:w="555" w:type="pct"/>
            <w:vMerge w:val="continue"/>
            <w:vAlign w:val="center"/>
          </w:tcPr>
          <w:p w14:paraId="408C156A">
            <w:pPr>
              <w:pStyle w:val="240"/>
              <w:rPr>
                <w:rFonts w:hint="default"/>
              </w:rPr>
            </w:pPr>
          </w:p>
        </w:tc>
        <w:tc>
          <w:tcPr>
            <w:tcW w:w="882" w:type="pct"/>
            <w:vAlign w:val="center"/>
          </w:tcPr>
          <w:p w14:paraId="591E68BC">
            <w:pPr>
              <w:pStyle w:val="240"/>
              <w:rPr>
                <w:rFonts w:hint="default"/>
              </w:rPr>
            </w:pPr>
            <w:r>
              <w:t>评价因子</w:t>
            </w:r>
          </w:p>
        </w:tc>
        <w:tc>
          <w:tcPr>
            <w:tcW w:w="2511" w:type="pct"/>
            <w:gridSpan w:val="10"/>
            <w:vAlign w:val="center"/>
          </w:tcPr>
          <w:p w14:paraId="7EA4DD58">
            <w:pPr>
              <w:pStyle w:val="240"/>
              <w:rPr>
                <w:rFonts w:hint="default"/>
              </w:rPr>
            </w:pPr>
            <w:r>
              <w:t>基本污染物（SO</w:t>
            </w:r>
            <w:r>
              <w:rPr>
                <w:vertAlign w:val="subscript"/>
              </w:rPr>
              <w:t>2</w:t>
            </w:r>
            <w:r>
              <w:t>、NO</w:t>
            </w:r>
            <w:r>
              <w:rPr>
                <w:vertAlign w:val="subscript"/>
              </w:rPr>
              <w:t>2</w:t>
            </w:r>
            <w:r>
              <w:t>、PM</w:t>
            </w:r>
            <w:r>
              <w:rPr>
                <w:vertAlign w:val="subscript"/>
              </w:rPr>
              <w:t>10</w:t>
            </w:r>
            <w:r>
              <w:t>、PM</w:t>
            </w:r>
            <w:r>
              <w:rPr>
                <w:vertAlign w:val="subscript"/>
              </w:rPr>
              <w:t>2.5</w:t>
            </w:r>
            <w:r>
              <w:t>、CO、O</w:t>
            </w:r>
            <w:r>
              <w:rPr>
                <w:vertAlign w:val="subscript"/>
              </w:rPr>
              <w:t>3</w:t>
            </w:r>
            <w:r>
              <w:t>）</w:t>
            </w:r>
          </w:p>
          <w:p w14:paraId="15CC6C23">
            <w:pPr>
              <w:pStyle w:val="240"/>
              <w:rPr>
                <w:rFonts w:hint="default"/>
              </w:rPr>
            </w:pPr>
            <w:r>
              <w:t>其他污染物（非甲烷总烃、TSP）</w:t>
            </w:r>
          </w:p>
        </w:tc>
        <w:tc>
          <w:tcPr>
            <w:tcW w:w="1052" w:type="pct"/>
            <w:gridSpan w:val="5"/>
            <w:vAlign w:val="center"/>
          </w:tcPr>
          <w:p w14:paraId="5E5D353B">
            <w:pPr>
              <w:pStyle w:val="240"/>
              <w:rPr>
                <w:rFonts w:hint="default"/>
              </w:rPr>
            </w:pPr>
            <w:r>
              <w:t>包括二次PM</w:t>
            </w:r>
            <w:r>
              <w:rPr>
                <w:vertAlign w:val="subscript"/>
              </w:rPr>
              <w:t>2.5</w:t>
            </w:r>
            <w:r>
              <w:rPr/>
              <w:sym w:font="Wingdings" w:char="00A8"/>
            </w:r>
          </w:p>
          <w:p w14:paraId="38D01351">
            <w:pPr>
              <w:pStyle w:val="240"/>
              <w:rPr>
                <w:rFonts w:hint="default"/>
              </w:rPr>
            </w:pPr>
            <w:r>
              <w:t>不包括二</w:t>
            </w:r>
            <w:r>
              <w:rPr>
                <w:rFonts w:hint="default"/>
              </w:rPr>
              <w:t>次PM</w:t>
            </w:r>
            <w:r>
              <w:rPr>
                <w:rFonts w:hint="default"/>
                <w:vertAlign w:val="subscript"/>
              </w:rPr>
              <w:t>2.5</w:t>
            </w:r>
            <w:r>
              <w:rPr/>
              <w:sym w:font="Wingdings" w:char="00FE"/>
            </w:r>
          </w:p>
        </w:tc>
      </w:tr>
      <w:tr w14:paraId="499B0F4A">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86" w:hRule="atLeast"/>
        </w:trPr>
        <w:tc>
          <w:tcPr>
            <w:tcW w:w="555" w:type="pct"/>
            <w:vAlign w:val="center"/>
          </w:tcPr>
          <w:p w14:paraId="0E7DDD9F">
            <w:pPr>
              <w:pStyle w:val="240"/>
              <w:rPr>
                <w:rFonts w:hint="default"/>
              </w:rPr>
            </w:pPr>
            <w:r>
              <w:t>评价标准</w:t>
            </w:r>
          </w:p>
        </w:tc>
        <w:tc>
          <w:tcPr>
            <w:tcW w:w="882" w:type="pct"/>
            <w:vAlign w:val="center"/>
          </w:tcPr>
          <w:p w14:paraId="0DABD064">
            <w:pPr>
              <w:pStyle w:val="240"/>
              <w:rPr>
                <w:rFonts w:hint="default"/>
              </w:rPr>
            </w:pPr>
            <w:r>
              <w:t>评价标准</w:t>
            </w:r>
          </w:p>
        </w:tc>
        <w:tc>
          <w:tcPr>
            <w:tcW w:w="1151" w:type="pct"/>
            <w:gridSpan w:val="4"/>
            <w:vAlign w:val="center"/>
          </w:tcPr>
          <w:p w14:paraId="13664594">
            <w:pPr>
              <w:pStyle w:val="240"/>
              <w:rPr>
                <w:rFonts w:hint="default"/>
              </w:rPr>
            </w:pPr>
            <w:r>
              <w:t>国家标准</w:t>
            </w:r>
            <w:r>
              <w:rPr/>
              <w:sym w:font="Wingdings" w:char="00FE"/>
            </w:r>
          </w:p>
        </w:tc>
        <w:tc>
          <w:tcPr>
            <w:tcW w:w="674" w:type="pct"/>
            <w:gridSpan w:val="4"/>
            <w:vAlign w:val="center"/>
          </w:tcPr>
          <w:p w14:paraId="5587E98C">
            <w:pPr>
              <w:pStyle w:val="240"/>
              <w:rPr>
                <w:rFonts w:hint="default"/>
              </w:rPr>
            </w:pPr>
            <w:r>
              <w:t>地方标准</w:t>
            </w:r>
            <w:r>
              <w:rPr/>
              <w:sym w:font="Wingdings" w:char="00A8"/>
            </w:r>
          </w:p>
        </w:tc>
        <w:tc>
          <w:tcPr>
            <w:tcW w:w="685" w:type="pct"/>
            <w:gridSpan w:val="2"/>
            <w:vAlign w:val="center"/>
          </w:tcPr>
          <w:p w14:paraId="5A179532">
            <w:pPr>
              <w:pStyle w:val="240"/>
              <w:rPr>
                <w:rFonts w:hint="default"/>
              </w:rPr>
            </w:pPr>
            <w:r>
              <w:t>附录D</w:t>
            </w:r>
            <w:r>
              <w:rPr/>
              <w:sym w:font="Wingdings" w:char="00A8"/>
            </w:r>
          </w:p>
        </w:tc>
        <w:tc>
          <w:tcPr>
            <w:tcW w:w="1052" w:type="pct"/>
            <w:gridSpan w:val="5"/>
            <w:vAlign w:val="center"/>
          </w:tcPr>
          <w:p w14:paraId="55C38A3C">
            <w:pPr>
              <w:pStyle w:val="240"/>
              <w:rPr>
                <w:rFonts w:hint="default"/>
              </w:rPr>
            </w:pPr>
            <w:r>
              <w:t>其他标准</w:t>
            </w:r>
            <w:r>
              <w:rPr/>
              <w:sym w:font="Wingdings" w:char="00FE"/>
            </w:r>
          </w:p>
        </w:tc>
      </w:tr>
      <w:tr w14:paraId="3D2F0F90">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45" w:hRule="atLeast"/>
        </w:trPr>
        <w:tc>
          <w:tcPr>
            <w:tcW w:w="555" w:type="pct"/>
            <w:vMerge w:val="restart"/>
            <w:vAlign w:val="center"/>
          </w:tcPr>
          <w:p w14:paraId="5CA66E83">
            <w:pPr>
              <w:pStyle w:val="240"/>
              <w:rPr>
                <w:rFonts w:hint="default"/>
              </w:rPr>
            </w:pPr>
            <w:r>
              <w:t>现状评价</w:t>
            </w:r>
          </w:p>
        </w:tc>
        <w:tc>
          <w:tcPr>
            <w:tcW w:w="882" w:type="pct"/>
            <w:vAlign w:val="center"/>
          </w:tcPr>
          <w:p w14:paraId="77EA6F41">
            <w:pPr>
              <w:pStyle w:val="240"/>
              <w:rPr>
                <w:rFonts w:hint="default"/>
              </w:rPr>
            </w:pPr>
            <w:r>
              <w:t>环境功能区</w:t>
            </w:r>
          </w:p>
        </w:tc>
        <w:tc>
          <w:tcPr>
            <w:tcW w:w="1151" w:type="pct"/>
            <w:gridSpan w:val="4"/>
            <w:vAlign w:val="center"/>
          </w:tcPr>
          <w:p w14:paraId="77BAFE61">
            <w:pPr>
              <w:pStyle w:val="240"/>
              <w:rPr>
                <w:rFonts w:hint="default"/>
              </w:rPr>
            </w:pPr>
            <w:r>
              <w:t>一类区</w:t>
            </w:r>
            <w:r>
              <w:rPr/>
              <w:sym w:font="Wingdings" w:char="00A8"/>
            </w:r>
          </w:p>
        </w:tc>
        <w:tc>
          <w:tcPr>
            <w:tcW w:w="1359" w:type="pct"/>
            <w:gridSpan w:val="6"/>
            <w:vAlign w:val="center"/>
          </w:tcPr>
          <w:p w14:paraId="5BBDD37C">
            <w:pPr>
              <w:pStyle w:val="240"/>
              <w:rPr>
                <w:rFonts w:hint="default"/>
              </w:rPr>
            </w:pPr>
            <w:r>
              <w:t>二类区</w:t>
            </w:r>
            <w:r>
              <w:rPr/>
              <w:sym w:font="Wingdings" w:char="00FE"/>
            </w:r>
          </w:p>
        </w:tc>
        <w:tc>
          <w:tcPr>
            <w:tcW w:w="1052" w:type="pct"/>
            <w:gridSpan w:val="5"/>
            <w:vAlign w:val="center"/>
          </w:tcPr>
          <w:p w14:paraId="1C672CD1">
            <w:pPr>
              <w:pStyle w:val="240"/>
              <w:rPr>
                <w:rFonts w:hint="default"/>
              </w:rPr>
            </w:pPr>
            <w:r>
              <w:t>一类区和二类区</w:t>
            </w:r>
            <w:r>
              <w:rPr/>
              <w:sym w:font="Wingdings" w:char="00A8"/>
            </w:r>
          </w:p>
        </w:tc>
      </w:tr>
      <w:tr w14:paraId="6A63E587">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99" w:hRule="atLeast"/>
        </w:trPr>
        <w:tc>
          <w:tcPr>
            <w:tcW w:w="555" w:type="pct"/>
            <w:vMerge w:val="continue"/>
            <w:vAlign w:val="center"/>
          </w:tcPr>
          <w:p w14:paraId="5174E5A5">
            <w:pPr>
              <w:pStyle w:val="240"/>
              <w:rPr>
                <w:rFonts w:hint="default"/>
              </w:rPr>
            </w:pPr>
          </w:p>
        </w:tc>
        <w:tc>
          <w:tcPr>
            <w:tcW w:w="882" w:type="pct"/>
            <w:vAlign w:val="center"/>
          </w:tcPr>
          <w:p w14:paraId="0C9ADF15">
            <w:pPr>
              <w:pStyle w:val="240"/>
              <w:rPr>
                <w:rFonts w:hint="default"/>
              </w:rPr>
            </w:pPr>
            <w:r>
              <w:t>评价基准年</w:t>
            </w:r>
          </w:p>
        </w:tc>
        <w:tc>
          <w:tcPr>
            <w:tcW w:w="3562" w:type="pct"/>
            <w:gridSpan w:val="15"/>
            <w:vAlign w:val="center"/>
          </w:tcPr>
          <w:p w14:paraId="2C6CF0F0">
            <w:pPr>
              <w:pStyle w:val="240"/>
              <w:rPr>
                <w:rFonts w:hint="default"/>
              </w:rPr>
            </w:pPr>
            <w:r>
              <w:t>（2024）年</w:t>
            </w:r>
          </w:p>
        </w:tc>
      </w:tr>
      <w:tr w14:paraId="777C8559">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876" w:hRule="atLeast"/>
        </w:trPr>
        <w:tc>
          <w:tcPr>
            <w:tcW w:w="555" w:type="pct"/>
            <w:vMerge w:val="continue"/>
            <w:vAlign w:val="center"/>
          </w:tcPr>
          <w:p w14:paraId="15694AAE">
            <w:pPr>
              <w:pStyle w:val="240"/>
              <w:rPr>
                <w:rFonts w:hint="default"/>
              </w:rPr>
            </w:pPr>
          </w:p>
        </w:tc>
        <w:tc>
          <w:tcPr>
            <w:tcW w:w="882" w:type="pct"/>
            <w:vAlign w:val="center"/>
          </w:tcPr>
          <w:p w14:paraId="0362B880">
            <w:pPr>
              <w:pStyle w:val="240"/>
              <w:rPr>
                <w:rFonts w:hint="default"/>
              </w:rPr>
            </w:pPr>
            <w:r>
              <w:t>环境空气质量</w:t>
            </w:r>
          </w:p>
          <w:p w14:paraId="7D4CBE51">
            <w:pPr>
              <w:pStyle w:val="240"/>
              <w:rPr>
                <w:rFonts w:hint="default"/>
              </w:rPr>
            </w:pPr>
            <w:r>
              <w:t>现状调查数据来源</w:t>
            </w:r>
          </w:p>
        </w:tc>
        <w:tc>
          <w:tcPr>
            <w:tcW w:w="1151" w:type="pct"/>
            <w:gridSpan w:val="4"/>
            <w:vAlign w:val="center"/>
          </w:tcPr>
          <w:p w14:paraId="042E35FF">
            <w:pPr>
              <w:pStyle w:val="240"/>
              <w:rPr>
                <w:rFonts w:hint="default"/>
              </w:rPr>
            </w:pPr>
            <w:r>
              <w:t>长期例行监测数据</w:t>
            </w:r>
            <w:r>
              <w:rPr/>
              <w:sym w:font="Wingdings" w:char="00FE"/>
            </w:r>
          </w:p>
        </w:tc>
        <w:tc>
          <w:tcPr>
            <w:tcW w:w="1359" w:type="pct"/>
            <w:gridSpan w:val="6"/>
            <w:vAlign w:val="center"/>
          </w:tcPr>
          <w:p w14:paraId="7BDA21D1">
            <w:pPr>
              <w:pStyle w:val="240"/>
              <w:rPr>
                <w:rFonts w:hint="default"/>
              </w:rPr>
            </w:pPr>
            <w:r>
              <w:t>主管部门发布的数据</w:t>
            </w:r>
            <w:r>
              <w:rPr/>
              <w:sym w:font="Wingdings" w:char="00A8"/>
            </w:r>
          </w:p>
        </w:tc>
        <w:tc>
          <w:tcPr>
            <w:tcW w:w="1052" w:type="pct"/>
            <w:gridSpan w:val="5"/>
            <w:vAlign w:val="center"/>
          </w:tcPr>
          <w:p w14:paraId="7A50593D">
            <w:pPr>
              <w:pStyle w:val="240"/>
              <w:rPr>
                <w:rFonts w:hint="default"/>
              </w:rPr>
            </w:pPr>
            <w:r>
              <w:t>现状补充监测</w:t>
            </w:r>
            <w:r>
              <w:rPr/>
              <w:sym w:font="Wingdings" w:char="00FE"/>
            </w:r>
          </w:p>
        </w:tc>
      </w:tr>
      <w:tr w14:paraId="370BFE99">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99" w:hRule="atLeast"/>
        </w:trPr>
        <w:tc>
          <w:tcPr>
            <w:tcW w:w="555" w:type="pct"/>
            <w:vMerge w:val="continue"/>
            <w:vAlign w:val="center"/>
          </w:tcPr>
          <w:p w14:paraId="7F14A1D6">
            <w:pPr>
              <w:pStyle w:val="240"/>
              <w:rPr>
                <w:rFonts w:hint="default"/>
              </w:rPr>
            </w:pPr>
          </w:p>
        </w:tc>
        <w:tc>
          <w:tcPr>
            <w:tcW w:w="882" w:type="pct"/>
            <w:vAlign w:val="center"/>
          </w:tcPr>
          <w:p w14:paraId="55918E58">
            <w:pPr>
              <w:pStyle w:val="240"/>
              <w:rPr>
                <w:rFonts w:hint="default"/>
              </w:rPr>
            </w:pPr>
            <w:r>
              <w:t>现状评价</w:t>
            </w:r>
          </w:p>
        </w:tc>
        <w:tc>
          <w:tcPr>
            <w:tcW w:w="1825" w:type="pct"/>
            <w:gridSpan w:val="8"/>
            <w:vAlign w:val="center"/>
          </w:tcPr>
          <w:p w14:paraId="4C0EACB2">
            <w:pPr>
              <w:pStyle w:val="240"/>
              <w:rPr>
                <w:rFonts w:hint="default"/>
              </w:rPr>
            </w:pPr>
            <w:r>
              <w:t>达标区</w:t>
            </w:r>
            <w:r>
              <w:rPr/>
              <w:sym w:font="Wingdings" w:char="00A8"/>
            </w:r>
          </w:p>
        </w:tc>
        <w:tc>
          <w:tcPr>
            <w:tcW w:w="1738" w:type="pct"/>
            <w:gridSpan w:val="7"/>
            <w:vAlign w:val="center"/>
          </w:tcPr>
          <w:p w14:paraId="6A0403A0">
            <w:pPr>
              <w:pStyle w:val="240"/>
              <w:rPr>
                <w:rFonts w:hint="default"/>
              </w:rPr>
            </w:pPr>
            <w:r>
              <w:t>不达标区</w:t>
            </w:r>
            <w:r>
              <w:rPr/>
              <w:sym w:font="Wingdings" w:char="00FE"/>
            </w:r>
          </w:p>
        </w:tc>
      </w:tr>
      <w:tr w14:paraId="2642FBD7">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1411" w:hRule="atLeast"/>
        </w:trPr>
        <w:tc>
          <w:tcPr>
            <w:tcW w:w="555" w:type="pct"/>
            <w:vAlign w:val="center"/>
          </w:tcPr>
          <w:p w14:paraId="6232F584">
            <w:pPr>
              <w:pStyle w:val="240"/>
              <w:rPr>
                <w:rFonts w:hint="default"/>
              </w:rPr>
            </w:pPr>
            <w:r>
              <w:t>污染源调查</w:t>
            </w:r>
          </w:p>
        </w:tc>
        <w:tc>
          <w:tcPr>
            <w:tcW w:w="882" w:type="pct"/>
            <w:vAlign w:val="center"/>
          </w:tcPr>
          <w:p w14:paraId="5801C329">
            <w:pPr>
              <w:pStyle w:val="240"/>
              <w:rPr>
                <w:rFonts w:hint="default"/>
              </w:rPr>
            </w:pPr>
            <w:r>
              <w:t>调查内容</w:t>
            </w:r>
          </w:p>
        </w:tc>
        <w:tc>
          <w:tcPr>
            <w:tcW w:w="1151" w:type="pct"/>
            <w:gridSpan w:val="4"/>
            <w:vAlign w:val="center"/>
          </w:tcPr>
          <w:p w14:paraId="56A8DF8C">
            <w:pPr>
              <w:pStyle w:val="240"/>
              <w:rPr>
                <w:rFonts w:hint="default"/>
              </w:rPr>
            </w:pPr>
            <w:r>
              <w:t>本项目正常排放源</w:t>
            </w:r>
            <w:r>
              <w:rPr/>
              <w:sym w:font="Wingdings" w:char="00FE"/>
            </w:r>
          </w:p>
          <w:p w14:paraId="2794EE07">
            <w:pPr>
              <w:pStyle w:val="240"/>
              <w:rPr>
                <w:rFonts w:hint="default"/>
              </w:rPr>
            </w:pPr>
            <w:r>
              <w:t>本项目非正常排放源</w:t>
            </w:r>
            <w:r>
              <w:rPr/>
              <w:sym w:font="Wingdings" w:char="00FE"/>
            </w:r>
          </w:p>
          <w:p w14:paraId="177C592A">
            <w:pPr>
              <w:pStyle w:val="240"/>
              <w:rPr>
                <w:rFonts w:hint="default"/>
              </w:rPr>
            </w:pPr>
            <w:r>
              <w:t>现有污染源</w:t>
            </w:r>
            <w:r>
              <w:rPr/>
              <w:sym w:font="Wingdings" w:char="00A8"/>
            </w:r>
          </w:p>
        </w:tc>
        <w:tc>
          <w:tcPr>
            <w:tcW w:w="674" w:type="pct"/>
            <w:gridSpan w:val="4"/>
            <w:vAlign w:val="center"/>
          </w:tcPr>
          <w:p w14:paraId="187552D6">
            <w:pPr>
              <w:pStyle w:val="240"/>
              <w:rPr>
                <w:rFonts w:hint="default"/>
              </w:rPr>
            </w:pPr>
            <w:r>
              <w:t>拟替代的污染源</w:t>
            </w:r>
            <w:r>
              <w:rPr/>
              <w:sym w:font="Wingdings" w:char="00A8"/>
            </w:r>
          </w:p>
        </w:tc>
        <w:tc>
          <w:tcPr>
            <w:tcW w:w="685" w:type="pct"/>
            <w:gridSpan w:val="2"/>
            <w:vAlign w:val="center"/>
          </w:tcPr>
          <w:p w14:paraId="67F7A685">
            <w:pPr>
              <w:pStyle w:val="240"/>
              <w:rPr>
                <w:rFonts w:hint="default"/>
              </w:rPr>
            </w:pPr>
            <w:r>
              <w:t>其他在建、拟建项目污染源</w:t>
            </w:r>
            <w:r>
              <w:rPr/>
              <w:sym w:font="Wingdings" w:char="00A8"/>
            </w:r>
          </w:p>
        </w:tc>
        <w:tc>
          <w:tcPr>
            <w:tcW w:w="1052" w:type="pct"/>
            <w:gridSpan w:val="5"/>
            <w:vAlign w:val="center"/>
          </w:tcPr>
          <w:p w14:paraId="22BC20CC">
            <w:pPr>
              <w:pStyle w:val="240"/>
              <w:rPr>
                <w:rFonts w:hint="default"/>
              </w:rPr>
            </w:pPr>
            <w:r>
              <w:t>区域污染源</w:t>
            </w:r>
            <w:r>
              <w:rPr/>
              <w:sym w:font="Wingdings" w:char="00A8"/>
            </w:r>
          </w:p>
        </w:tc>
      </w:tr>
      <w:tr w14:paraId="6D3D7717">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833" w:hRule="atLeast"/>
        </w:trPr>
        <w:tc>
          <w:tcPr>
            <w:tcW w:w="555" w:type="pct"/>
            <w:vMerge w:val="restart"/>
            <w:vAlign w:val="center"/>
          </w:tcPr>
          <w:p w14:paraId="72C436C0">
            <w:pPr>
              <w:pStyle w:val="240"/>
              <w:rPr>
                <w:rFonts w:hint="default"/>
              </w:rPr>
            </w:pPr>
            <w:r>
              <w:t>大气环境影响预测与评价</w:t>
            </w:r>
          </w:p>
        </w:tc>
        <w:tc>
          <w:tcPr>
            <w:tcW w:w="882" w:type="pct"/>
            <w:vAlign w:val="center"/>
          </w:tcPr>
          <w:p w14:paraId="6C75672C">
            <w:pPr>
              <w:pStyle w:val="240"/>
              <w:rPr>
                <w:rFonts w:hint="default"/>
              </w:rPr>
            </w:pPr>
            <w:r>
              <w:t>预测模型</w:t>
            </w:r>
          </w:p>
        </w:tc>
        <w:tc>
          <w:tcPr>
            <w:tcW w:w="500" w:type="pct"/>
            <w:vAlign w:val="center"/>
          </w:tcPr>
          <w:p w14:paraId="6F03F3E6">
            <w:pPr>
              <w:pStyle w:val="240"/>
              <w:rPr>
                <w:rFonts w:hint="default"/>
              </w:rPr>
            </w:pPr>
            <w:r>
              <w:t>AERMOD</w:t>
            </w:r>
            <w:r>
              <w:rPr/>
              <w:sym w:font="Wingdings" w:char="00A8"/>
            </w:r>
          </w:p>
        </w:tc>
        <w:tc>
          <w:tcPr>
            <w:tcW w:w="467" w:type="pct"/>
            <w:gridSpan w:val="2"/>
            <w:vAlign w:val="center"/>
          </w:tcPr>
          <w:p w14:paraId="05B0B492">
            <w:pPr>
              <w:pStyle w:val="240"/>
              <w:rPr>
                <w:rFonts w:hint="default"/>
              </w:rPr>
            </w:pPr>
            <w:r>
              <w:t>ADMS</w:t>
            </w:r>
            <w:r>
              <w:rPr/>
              <w:sym w:font="Wingdings" w:char="00A8"/>
            </w:r>
          </w:p>
        </w:tc>
        <w:tc>
          <w:tcPr>
            <w:tcW w:w="591" w:type="pct"/>
            <w:gridSpan w:val="3"/>
            <w:vAlign w:val="center"/>
          </w:tcPr>
          <w:p w14:paraId="670BFBCF">
            <w:pPr>
              <w:pStyle w:val="240"/>
              <w:rPr>
                <w:rFonts w:hint="default"/>
              </w:rPr>
            </w:pPr>
            <w:r>
              <w:t>AUSTAL2000</w:t>
            </w:r>
            <w:r>
              <w:rPr/>
              <w:sym w:font="Wingdings" w:char="00A8"/>
            </w:r>
          </w:p>
        </w:tc>
        <w:tc>
          <w:tcPr>
            <w:tcW w:w="563" w:type="pct"/>
            <w:gridSpan w:val="3"/>
            <w:vAlign w:val="center"/>
          </w:tcPr>
          <w:p w14:paraId="51C82BEF">
            <w:pPr>
              <w:pStyle w:val="240"/>
              <w:rPr>
                <w:rFonts w:hint="default"/>
              </w:rPr>
            </w:pPr>
            <w:r>
              <w:t>EDMS/AEDT</w:t>
            </w:r>
            <w:r>
              <w:rPr/>
              <w:sym w:font="Wingdings" w:char="00A8"/>
            </w:r>
          </w:p>
        </w:tc>
        <w:tc>
          <w:tcPr>
            <w:tcW w:w="540" w:type="pct"/>
            <w:gridSpan w:val="2"/>
            <w:vAlign w:val="center"/>
          </w:tcPr>
          <w:p w14:paraId="074A53B5">
            <w:pPr>
              <w:pStyle w:val="240"/>
              <w:rPr>
                <w:rFonts w:hint="default"/>
              </w:rPr>
            </w:pPr>
            <w:r>
              <w:t>CALPUFF</w:t>
            </w:r>
            <w:r>
              <w:rPr/>
              <w:sym w:font="Wingdings" w:char="00A8"/>
            </w:r>
          </w:p>
        </w:tc>
        <w:tc>
          <w:tcPr>
            <w:tcW w:w="540" w:type="pct"/>
            <w:gridSpan w:val="3"/>
            <w:vAlign w:val="center"/>
          </w:tcPr>
          <w:p w14:paraId="4979FF1A">
            <w:pPr>
              <w:pStyle w:val="240"/>
              <w:rPr>
                <w:rFonts w:hint="default"/>
              </w:rPr>
            </w:pPr>
            <w:r>
              <w:t>网格模型</w:t>
            </w:r>
            <w:r>
              <w:rPr/>
              <w:sym w:font="Wingdings" w:char="00A8"/>
            </w:r>
          </w:p>
        </w:tc>
        <w:tc>
          <w:tcPr>
            <w:tcW w:w="359" w:type="pct"/>
            <w:vAlign w:val="center"/>
          </w:tcPr>
          <w:p w14:paraId="683C52B2">
            <w:pPr>
              <w:pStyle w:val="240"/>
              <w:rPr>
                <w:rFonts w:hint="default"/>
              </w:rPr>
            </w:pPr>
            <w:r>
              <w:t>其他</w:t>
            </w:r>
            <w:r>
              <w:rPr/>
              <w:sym w:font="Wingdings" w:char="00FE"/>
            </w:r>
          </w:p>
        </w:tc>
      </w:tr>
      <w:tr w14:paraId="689D1BC1">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99" w:hRule="atLeast"/>
        </w:trPr>
        <w:tc>
          <w:tcPr>
            <w:tcW w:w="555" w:type="pct"/>
            <w:vMerge w:val="continue"/>
            <w:vAlign w:val="center"/>
          </w:tcPr>
          <w:p w14:paraId="6A0E93EE">
            <w:pPr>
              <w:pStyle w:val="240"/>
              <w:rPr>
                <w:rFonts w:hint="default"/>
              </w:rPr>
            </w:pPr>
          </w:p>
        </w:tc>
        <w:tc>
          <w:tcPr>
            <w:tcW w:w="882" w:type="pct"/>
            <w:vAlign w:val="center"/>
          </w:tcPr>
          <w:p w14:paraId="4C4E04ED">
            <w:pPr>
              <w:pStyle w:val="240"/>
              <w:rPr>
                <w:rFonts w:hint="default"/>
              </w:rPr>
            </w:pPr>
            <w:r>
              <w:t>预测范围</w:t>
            </w:r>
          </w:p>
        </w:tc>
        <w:tc>
          <w:tcPr>
            <w:tcW w:w="1151" w:type="pct"/>
            <w:gridSpan w:val="4"/>
            <w:vAlign w:val="center"/>
          </w:tcPr>
          <w:p w14:paraId="681FCE6A">
            <w:pPr>
              <w:pStyle w:val="240"/>
              <w:rPr>
                <w:rFonts w:hint="default"/>
              </w:rPr>
            </w:pPr>
            <w:r>
              <w:t>边长≥50km</w:t>
            </w:r>
            <w:r>
              <w:rPr/>
              <w:sym w:font="Wingdings" w:char="00A8"/>
            </w:r>
          </w:p>
        </w:tc>
        <w:tc>
          <w:tcPr>
            <w:tcW w:w="1359" w:type="pct"/>
            <w:gridSpan w:val="6"/>
            <w:vAlign w:val="center"/>
          </w:tcPr>
          <w:p w14:paraId="273E9BF1">
            <w:pPr>
              <w:pStyle w:val="240"/>
              <w:rPr>
                <w:rFonts w:hint="default"/>
              </w:rPr>
            </w:pPr>
            <w:r>
              <w:t>边长5~50km</w:t>
            </w:r>
            <w:r>
              <w:rPr/>
              <w:sym w:font="Wingdings" w:char="00A8"/>
            </w:r>
          </w:p>
        </w:tc>
        <w:tc>
          <w:tcPr>
            <w:tcW w:w="1052" w:type="pct"/>
            <w:gridSpan w:val="5"/>
            <w:vAlign w:val="center"/>
          </w:tcPr>
          <w:p w14:paraId="27F12174">
            <w:pPr>
              <w:pStyle w:val="240"/>
              <w:rPr>
                <w:rFonts w:hint="default"/>
              </w:rPr>
            </w:pPr>
            <w:r>
              <w:t>边长=5km</w:t>
            </w:r>
            <w:r>
              <w:rPr/>
              <w:sym w:font="Wingdings" w:char="00FE"/>
            </w:r>
          </w:p>
        </w:tc>
      </w:tr>
      <w:tr w14:paraId="2FD6869D">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86" w:hRule="atLeast"/>
        </w:trPr>
        <w:tc>
          <w:tcPr>
            <w:tcW w:w="555" w:type="pct"/>
            <w:vMerge w:val="continue"/>
            <w:vAlign w:val="center"/>
          </w:tcPr>
          <w:p w14:paraId="6E3EB94A">
            <w:pPr>
              <w:pStyle w:val="240"/>
              <w:rPr>
                <w:rFonts w:hint="default"/>
              </w:rPr>
            </w:pPr>
          </w:p>
        </w:tc>
        <w:tc>
          <w:tcPr>
            <w:tcW w:w="882" w:type="pct"/>
            <w:vAlign w:val="center"/>
          </w:tcPr>
          <w:p w14:paraId="77574796">
            <w:pPr>
              <w:pStyle w:val="240"/>
              <w:rPr>
                <w:rFonts w:hint="default"/>
              </w:rPr>
            </w:pPr>
            <w:r>
              <w:t>预测因子</w:t>
            </w:r>
          </w:p>
        </w:tc>
        <w:tc>
          <w:tcPr>
            <w:tcW w:w="1825" w:type="pct"/>
            <w:gridSpan w:val="8"/>
            <w:vAlign w:val="center"/>
          </w:tcPr>
          <w:p w14:paraId="6A62417F">
            <w:pPr>
              <w:pStyle w:val="240"/>
              <w:rPr>
                <w:rFonts w:hint="default"/>
              </w:rPr>
            </w:pPr>
            <w:r>
              <w:t>预测因子（非甲烷总烃）</w:t>
            </w:r>
          </w:p>
        </w:tc>
        <w:tc>
          <w:tcPr>
            <w:tcW w:w="1738" w:type="pct"/>
            <w:gridSpan w:val="7"/>
            <w:vAlign w:val="center"/>
          </w:tcPr>
          <w:p w14:paraId="567796A7">
            <w:pPr>
              <w:pStyle w:val="240"/>
              <w:rPr>
                <w:rFonts w:hint="default"/>
              </w:rPr>
            </w:pPr>
            <w:r>
              <w:t>包括二次PM2.5</w:t>
            </w:r>
            <w:r>
              <w:rPr/>
              <w:sym w:font="Wingdings" w:char="00A8"/>
            </w:r>
          </w:p>
          <w:p w14:paraId="44DB65A0">
            <w:pPr>
              <w:pStyle w:val="240"/>
              <w:rPr>
                <w:rFonts w:hint="default"/>
              </w:rPr>
            </w:pPr>
            <w:r>
              <w:t>不包括二</w:t>
            </w:r>
            <w:r>
              <w:rPr>
                <w:rFonts w:hint="default"/>
              </w:rPr>
              <w:t>次PM2.5</w:t>
            </w:r>
            <w:r>
              <w:rPr/>
              <w:sym w:font="Wingdings" w:char="00FE"/>
            </w:r>
          </w:p>
        </w:tc>
      </w:tr>
      <w:tr w14:paraId="0046319E">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86" w:hRule="atLeast"/>
        </w:trPr>
        <w:tc>
          <w:tcPr>
            <w:tcW w:w="555" w:type="pct"/>
            <w:vMerge w:val="continue"/>
            <w:vAlign w:val="center"/>
          </w:tcPr>
          <w:p w14:paraId="53F7068E">
            <w:pPr>
              <w:pStyle w:val="240"/>
              <w:rPr>
                <w:rFonts w:hint="default"/>
              </w:rPr>
            </w:pPr>
          </w:p>
        </w:tc>
        <w:tc>
          <w:tcPr>
            <w:tcW w:w="882" w:type="pct"/>
            <w:vAlign w:val="center"/>
          </w:tcPr>
          <w:p w14:paraId="46C36767">
            <w:pPr>
              <w:pStyle w:val="240"/>
              <w:rPr>
                <w:rFonts w:hint="default"/>
              </w:rPr>
            </w:pPr>
            <w:r>
              <w:t>正常排放短期浓度贡献值</w:t>
            </w:r>
          </w:p>
        </w:tc>
        <w:tc>
          <w:tcPr>
            <w:tcW w:w="1825" w:type="pct"/>
            <w:gridSpan w:val="8"/>
            <w:vAlign w:val="center"/>
          </w:tcPr>
          <w:p w14:paraId="5162B0E2">
            <w:pPr>
              <w:pStyle w:val="240"/>
              <w:rPr>
                <w:rFonts w:hint="default"/>
              </w:rPr>
            </w:pPr>
            <w:r>
              <w:t>C本项目最大占标率≤100%</w:t>
            </w:r>
            <w:r>
              <w:rPr/>
              <w:sym w:font="Wingdings" w:char="00FE"/>
            </w:r>
          </w:p>
        </w:tc>
        <w:tc>
          <w:tcPr>
            <w:tcW w:w="1738" w:type="pct"/>
            <w:gridSpan w:val="7"/>
            <w:vAlign w:val="center"/>
          </w:tcPr>
          <w:p w14:paraId="5228BF78">
            <w:pPr>
              <w:pStyle w:val="240"/>
              <w:rPr>
                <w:rFonts w:hint="default"/>
              </w:rPr>
            </w:pPr>
            <w:r>
              <w:t>C本项目最大占标率＞100%</w:t>
            </w:r>
            <w:r>
              <w:rPr/>
              <w:sym w:font="Wingdings" w:char="00A8"/>
            </w:r>
          </w:p>
        </w:tc>
      </w:tr>
      <w:tr w14:paraId="2D55FDDA">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53" w:hRule="atLeast"/>
        </w:trPr>
        <w:tc>
          <w:tcPr>
            <w:tcW w:w="555" w:type="pct"/>
            <w:vMerge w:val="continue"/>
            <w:vAlign w:val="center"/>
          </w:tcPr>
          <w:p w14:paraId="1FEA37C4">
            <w:pPr>
              <w:pStyle w:val="240"/>
              <w:rPr>
                <w:rFonts w:hint="default"/>
              </w:rPr>
            </w:pPr>
          </w:p>
        </w:tc>
        <w:tc>
          <w:tcPr>
            <w:tcW w:w="882" w:type="pct"/>
            <w:vMerge w:val="restart"/>
            <w:vAlign w:val="center"/>
          </w:tcPr>
          <w:p w14:paraId="776A2AF9">
            <w:pPr>
              <w:pStyle w:val="240"/>
              <w:rPr>
                <w:rFonts w:hint="default"/>
              </w:rPr>
            </w:pPr>
            <w:r>
              <w:t>正常排放年均浓度贡献值</w:t>
            </w:r>
          </w:p>
        </w:tc>
        <w:tc>
          <w:tcPr>
            <w:tcW w:w="500" w:type="pct"/>
            <w:vAlign w:val="center"/>
          </w:tcPr>
          <w:p w14:paraId="3EFF99B4">
            <w:pPr>
              <w:pStyle w:val="240"/>
              <w:rPr>
                <w:rFonts w:hint="default"/>
              </w:rPr>
            </w:pPr>
            <w:r>
              <w:t>一类区</w:t>
            </w:r>
          </w:p>
        </w:tc>
        <w:tc>
          <w:tcPr>
            <w:tcW w:w="1622" w:type="pct"/>
            <w:gridSpan w:val="8"/>
            <w:vAlign w:val="center"/>
          </w:tcPr>
          <w:p w14:paraId="6EB862FB">
            <w:pPr>
              <w:pStyle w:val="240"/>
              <w:rPr>
                <w:rFonts w:hint="default"/>
              </w:rPr>
            </w:pPr>
            <w:r>
              <w:t>C本项目最大占标率≤10%</w:t>
            </w:r>
            <w:r>
              <w:rPr/>
              <w:sym w:font="Wingdings" w:char="00A8"/>
            </w:r>
          </w:p>
        </w:tc>
        <w:tc>
          <w:tcPr>
            <w:tcW w:w="1439" w:type="pct"/>
            <w:gridSpan w:val="6"/>
            <w:vAlign w:val="center"/>
          </w:tcPr>
          <w:p w14:paraId="32BA3A29">
            <w:pPr>
              <w:pStyle w:val="240"/>
              <w:rPr>
                <w:rFonts w:hint="default"/>
              </w:rPr>
            </w:pPr>
            <w:r>
              <w:t>C本项目最大占标率＞10%</w:t>
            </w:r>
            <w:r>
              <w:rPr/>
              <w:sym w:font="Wingdings" w:char="00A8"/>
            </w:r>
          </w:p>
        </w:tc>
      </w:tr>
      <w:tr w14:paraId="601243AE">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53" w:hRule="atLeast"/>
        </w:trPr>
        <w:tc>
          <w:tcPr>
            <w:tcW w:w="555" w:type="pct"/>
            <w:vMerge w:val="continue"/>
            <w:vAlign w:val="center"/>
          </w:tcPr>
          <w:p w14:paraId="56F86E8F">
            <w:pPr>
              <w:pStyle w:val="240"/>
              <w:rPr>
                <w:rFonts w:hint="default"/>
              </w:rPr>
            </w:pPr>
          </w:p>
        </w:tc>
        <w:tc>
          <w:tcPr>
            <w:tcW w:w="882" w:type="pct"/>
            <w:vMerge w:val="continue"/>
            <w:vAlign w:val="center"/>
          </w:tcPr>
          <w:p w14:paraId="13B6400A">
            <w:pPr>
              <w:pStyle w:val="240"/>
              <w:rPr>
                <w:rFonts w:hint="default"/>
              </w:rPr>
            </w:pPr>
          </w:p>
        </w:tc>
        <w:tc>
          <w:tcPr>
            <w:tcW w:w="500" w:type="pct"/>
            <w:vAlign w:val="center"/>
          </w:tcPr>
          <w:p w14:paraId="51C37C2D">
            <w:pPr>
              <w:pStyle w:val="240"/>
              <w:rPr>
                <w:rFonts w:hint="default"/>
              </w:rPr>
            </w:pPr>
            <w:r>
              <w:t>二类区</w:t>
            </w:r>
          </w:p>
        </w:tc>
        <w:tc>
          <w:tcPr>
            <w:tcW w:w="1622" w:type="pct"/>
            <w:gridSpan w:val="8"/>
            <w:vAlign w:val="center"/>
          </w:tcPr>
          <w:p w14:paraId="537F9B32">
            <w:pPr>
              <w:pStyle w:val="240"/>
              <w:rPr>
                <w:rFonts w:hint="default"/>
              </w:rPr>
            </w:pPr>
            <w:r>
              <w:t>C本项目最大占标率≤30%</w:t>
            </w:r>
            <w:r>
              <w:rPr/>
              <w:sym w:font="Wingdings" w:char="00FE"/>
            </w:r>
          </w:p>
        </w:tc>
        <w:tc>
          <w:tcPr>
            <w:tcW w:w="1439" w:type="pct"/>
            <w:gridSpan w:val="6"/>
            <w:vAlign w:val="center"/>
          </w:tcPr>
          <w:p w14:paraId="6171A6A0">
            <w:pPr>
              <w:pStyle w:val="240"/>
              <w:rPr>
                <w:rFonts w:hint="default"/>
              </w:rPr>
            </w:pPr>
            <w:r>
              <w:t>C本项目最大占标率＞30%</w:t>
            </w:r>
            <w:r>
              <w:rPr/>
              <w:sym w:font="Wingdings" w:char="00A8"/>
            </w:r>
          </w:p>
        </w:tc>
      </w:tr>
      <w:tr w14:paraId="1CFDCEE0">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876" w:hRule="atLeast"/>
        </w:trPr>
        <w:tc>
          <w:tcPr>
            <w:tcW w:w="555" w:type="pct"/>
            <w:vMerge w:val="continue"/>
            <w:vAlign w:val="center"/>
          </w:tcPr>
          <w:p w14:paraId="37BB5835">
            <w:pPr>
              <w:pStyle w:val="240"/>
              <w:rPr>
                <w:rFonts w:hint="default"/>
              </w:rPr>
            </w:pPr>
          </w:p>
        </w:tc>
        <w:tc>
          <w:tcPr>
            <w:tcW w:w="882" w:type="pct"/>
            <w:vAlign w:val="center"/>
          </w:tcPr>
          <w:p w14:paraId="2933B59C">
            <w:pPr>
              <w:pStyle w:val="240"/>
              <w:rPr>
                <w:rFonts w:hint="default"/>
              </w:rPr>
            </w:pPr>
            <w:r>
              <w:t>非正常排放1h浓度贡献值</w:t>
            </w:r>
          </w:p>
        </w:tc>
        <w:tc>
          <w:tcPr>
            <w:tcW w:w="1151" w:type="pct"/>
            <w:gridSpan w:val="4"/>
            <w:vAlign w:val="center"/>
          </w:tcPr>
          <w:p w14:paraId="3FCAD8AB">
            <w:pPr>
              <w:pStyle w:val="240"/>
              <w:rPr>
                <w:rFonts w:hint="default"/>
              </w:rPr>
            </w:pPr>
            <w:r>
              <w:t>非正常持续时间（1）h</w:t>
            </w:r>
          </w:p>
        </w:tc>
        <w:tc>
          <w:tcPr>
            <w:tcW w:w="972" w:type="pct"/>
            <w:gridSpan w:val="5"/>
            <w:vAlign w:val="center"/>
          </w:tcPr>
          <w:p w14:paraId="63E6FE65">
            <w:pPr>
              <w:pStyle w:val="240"/>
              <w:rPr>
                <w:rFonts w:hint="default"/>
              </w:rPr>
            </w:pPr>
            <w:r>
              <w:t>C非正常占标率≤100%</w:t>
            </w:r>
            <w:r>
              <w:rPr/>
              <w:sym w:font="Wingdings" w:char="00FE"/>
            </w:r>
          </w:p>
        </w:tc>
        <w:tc>
          <w:tcPr>
            <w:tcW w:w="1439" w:type="pct"/>
            <w:gridSpan w:val="6"/>
            <w:vAlign w:val="center"/>
          </w:tcPr>
          <w:p w14:paraId="2FBA6692">
            <w:pPr>
              <w:pStyle w:val="240"/>
              <w:rPr>
                <w:rFonts w:hint="default"/>
              </w:rPr>
            </w:pPr>
            <w:r>
              <w:t>C非正常占标率＞100%</w:t>
            </w:r>
            <w:r>
              <w:rPr/>
              <w:sym w:font="Wingdings" w:char="00A8"/>
            </w:r>
          </w:p>
        </w:tc>
      </w:tr>
      <w:tr w14:paraId="5DB711D2">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876" w:hRule="atLeast"/>
        </w:trPr>
        <w:tc>
          <w:tcPr>
            <w:tcW w:w="555" w:type="pct"/>
            <w:vMerge w:val="continue"/>
            <w:vAlign w:val="center"/>
          </w:tcPr>
          <w:p w14:paraId="4FF62710">
            <w:pPr>
              <w:pStyle w:val="240"/>
              <w:rPr>
                <w:rFonts w:hint="default"/>
              </w:rPr>
            </w:pPr>
          </w:p>
        </w:tc>
        <w:tc>
          <w:tcPr>
            <w:tcW w:w="882" w:type="pct"/>
            <w:vAlign w:val="center"/>
          </w:tcPr>
          <w:p w14:paraId="314579CA">
            <w:pPr>
              <w:pStyle w:val="240"/>
              <w:rPr>
                <w:rFonts w:hint="default"/>
              </w:rPr>
            </w:pPr>
            <w:r>
              <w:t>保证率日平均浓度和年平均浓度叠加值</w:t>
            </w:r>
          </w:p>
        </w:tc>
        <w:tc>
          <w:tcPr>
            <w:tcW w:w="1523" w:type="pct"/>
            <w:gridSpan w:val="5"/>
            <w:vAlign w:val="center"/>
          </w:tcPr>
          <w:p w14:paraId="515E0037">
            <w:pPr>
              <w:pStyle w:val="240"/>
              <w:rPr>
                <w:rFonts w:hint="default"/>
              </w:rPr>
            </w:pPr>
            <w:r>
              <w:t>C叠加达标</w:t>
            </w:r>
            <w:r>
              <w:rPr/>
              <w:sym w:font="Wingdings" w:char="00A8"/>
            </w:r>
          </w:p>
        </w:tc>
        <w:tc>
          <w:tcPr>
            <w:tcW w:w="2039" w:type="pct"/>
            <w:gridSpan w:val="10"/>
            <w:vAlign w:val="center"/>
          </w:tcPr>
          <w:p w14:paraId="1E3B22E9">
            <w:pPr>
              <w:pStyle w:val="240"/>
              <w:rPr>
                <w:rFonts w:hint="default"/>
              </w:rPr>
            </w:pPr>
            <w:r>
              <w:t>C叠加不达标</w:t>
            </w:r>
            <w:r>
              <w:rPr/>
              <w:sym w:font="Wingdings" w:char="00A8"/>
            </w:r>
          </w:p>
        </w:tc>
      </w:tr>
      <w:tr w14:paraId="030EF290">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876" w:hRule="atLeast"/>
        </w:trPr>
        <w:tc>
          <w:tcPr>
            <w:tcW w:w="555" w:type="pct"/>
            <w:vMerge w:val="continue"/>
            <w:vAlign w:val="center"/>
          </w:tcPr>
          <w:p w14:paraId="53338293">
            <w:pPr>
              <w:pStyle w:val="240"/>
              <w:rPr>
                <w:rFonts w:hint="default"/>
              </w:rPr>
            </w:pPr>
          </w:p>
        </w:tc>
        <w:tc>
          <w:tcPr>
            <w:tcW w:w="882" w:type="pct"/>
            <w:vAlign w:val="center"/>
          </w:tcPr>
          <w:p w14:paraId="7A2520B5">
            <w:pPr>
              <w:pStyle w:val="240"/>
              <w:rPr>
                <w:rFonts w:hint="default"/>
              </w:rPr>
            </w:pPr>
            <w:r>
              <w:t>区域环境质量的整体变化情况</w:t>
            </w:r>
          </w:p>
        </w:tc>
        <w:tc>
          <w:tcPr>
            <w:tcW w:w="1523" w:type="pct"/>
            <w:gridSpan w:val="5"/>
            <w:vAlign w:val="center"/>
          </w:tcPr>
          <w:p w14:paraId="7D64C1C0">
            <w:pPr>
              <w:pStyle w:val="240"/>
              <w:rPr>
                <w:rFonts w:hint="default"/>
              </w:rPr>
            </w:pPr>
            <w:r>
              <w:t>K≤-20%</w:t>
            </w:r>
            <w:r>
              <w:rPr/>
              <w:sym w:font="Wingdings" w:char="00A8"/>
            </w:r>
          </w:p>
        </w:tc>
        <w:tc>
          <w:tcPr>
            <w:tcW w:w="2039" w:type="pct"/>
            <w:gridSpan w:val="10"/>
            <w:vAlign w:val="center"/>
          </w:tcPr>
          <w:p w14:paraId="1D69E8A6">
            <w:pPr>
              <w:pStyle w:val="240"/>
              <w:rPr>
                <w:rFonts w:hint="default"/>
              </w:rPr>
            </w:pPr>
            <w:r>
              <w:t>K＞-20%</w:t>
            </w:r>
            <w:r>
              <w:rPr/>
              <w:sym w:font="Wingdings" w:char="00A8"/>
            </w:r>
          </w:p>
        </w:tc>
      </w:tr>
      <w:tr w14:paraId="0E075FA7">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86" w:hRule="atLeast"/>
        </w:trPr>
        <w:tc>
          <w:tcPr>
            <w:tcW w:w="555" w:type="pct"/>
            <w:vMerge w:val="restart"/>
            <w:vAlign w:val="center"/>
          </w:tcPr>
          <w:p w14:paraId="6F7C3203">
            <w:pPr>
              <w:pStyle w:val="240"/>
              <w:rPr>
                <w:rFonts w:hint="default"/>
              </w:rPr>
            </w:pPr>
            <w:r>
              <w:t>环境监测计划</w:t>
            </w:r>
          </w:p>
        </w:tc>
        <w:tc>
          <w:tcPr>
            <w:tcW w:w="882" w:type="pct"/>
            <w:vAlign w:val="center"/>
          </w:tcPr>
          <w:p w14:paraId="0A9783AC">
            <w:pPr>
              <w:pStyle w:val="240"/>
              <w:rPr>
                <w:rFonts w:hint="default"/>
              </w:rPr>
            </w:pPr>
            <w:r>
              <w:t>污染源监测</w:t>
            </w:r>
          </w:p>
        </w:tc>
        <w:tc>
          <w:tcPr>
            <w:tcW w:w="1151" w:type="pct"/>
            <w:gridSpan w:val="4"/>
            <w:vAlign w:val="center"/>
          </w:tcPr>
          <w:p w14:paraId="71A31B26">
            <w:pPr>
              <w:pStyle w:val="240"/>
              <w:rPr>
                <w:rFonts w:hint="default"/>
              </w:rPr>
            </w:pPr>
            <w:r>
              <w:t>监测因子：（非甲烷总烃）</w:t>
            </w:r>
          </w:p>
        </w:tc>
        <w:tc>
          <w:tcPr>
            <w:tcW w:w="1717" w:type="pct"/>
            <w:gridSpan w:val="9"/>
            <w:vAlign w:val="center"/>
          </w:tcPr>
          <w:p w14:paraId="19556D74">
            <w:pPr>
              <w:pStyle w:val="240"/>
              <w:rPr>
                <w:rFonts w:hint="default"/>
              </w:rPr>
            </w:pPr>
            <w:r>
              <w:t>有组织废气监测</w:t>
            </w:r>
            <w:r>
              <w:rPr/>
              <w:sym w:font="Wingdings" w:char="00FE"/>
            </w:r>
          </w:p>
          <w:p w14:paraId="7D54BD4D">
            <w:pPr>
              <w:pStyle w:val="240"/>
              <w:rPr>
                <w:rFonts w:hint="default"/>
              </w:rPr>
            </w:pPr>
            <w:r>
              <w:t>无组织废气监测</w:t>
            </w:r>
            <w:r>
              <w:rPr/>
              <w:sym w:font="Wingdings" w:char="00FE"/>
            </w:r>
          </w:p>
        </w:tc>
        <w:tc>
          <w:tcPr>
            <w:tcW w:w="694" w:type="pct"/>
            <w:gridSpan w:val="2"/>
            <w:vAlign w:val="center"/>
          </w:tcPr>
          <w:p w14:paraId="36EF1BB9">
            <w:pPr>
              <w:pStyle w:val="240"/>
              <w:rPr>
                <w:rFonts w:hint="default"/>
              </w:rPr>
            </w:pPr>
            <w:r>
              <w:t>无监测</w:t>
            </w:r>
            <w:r>
              <w:rPr/>
              <w:sym w:font="Wingdings" w:char="00A8"/>
            </w:r>
          </w:p>
        </w:tc>
      </w:tr>
      <w:tr w14:paraId="27D9567A">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99" w:hRule="atLeast"/>
        </w:trPr>
        <w:tc>
          <w:tcPr>
            <w:tcW w:w="555" w:type="pct"/>
            <w:vMerge w:val="continue"/>
            <w:vAlign w:val="center"/>
          </w:tcPr>
          <w:p w14:paraId="4BED3C2B">
            <w:pPr>
              <w:pStyle w:val="240"/>
              <w:rPr>
                <w:rFonts w:hint="default"/>
              </w:rPr>
            </w:pPr>
          </w:p>
        </w:tc>
        <w:tc>
          <w:tcPr>
            <w:tcW w:w="882" w:type="pct"/>
            <w:vAlign w:val="center"/>
          </w:tcPr>
          <w:p w14:paraId="672A27CB">
            <w:pPr>
              <w:pStyle w:val="240"/>
              <w:rPr>
                <w:rFonts w:hint="default"/>
              </w:rPr>
            </w:pPr>
            <w:r>
              <w:t>环境质量监测</w:t>
            </w:r>
          </w:p>
        </w:tc>
        <w:tc>
          <w:tcPr>
            <w:tcW w:w="1151" w:type="pct"/>
            <w:gridSpan w:val="4"/>
            <w:vAlign w:val="center"/>
          </w:tcPr>
          <w:p w14:paraId="57457F58">
            <w:pPr>
              <w:pStyle w:val="240"/>
              <w:rPr>
                <w:rFonts w:hint="default"/>
              </w:rPr>
            </w:pPr>
            <w:r>
              <w:t>监测因子：（）</w:t>
            </w:r>
          </w:p>
        </w:tc>
        <w:tc>
          <w:tcPr>
            <w:tcW w:w="1717" w:type="pct"/>
            <w:gridSpan w:val="9"/>
            <w:vAlign w:val="center"/>
          </w:tcPr>
          <w:p w14:paraId="203342B0">
            <w:pPr>
              <w:pStyle w:val="240"/>
              <w:rPr>
                <w:rFonts w:hint="default"/>
              </w:rPr>
            </w:pPr>
            <w:r>
              <w:t>监测点位数（）</w:t>
            </w:r>
          </w:p>
        </w:tc>
        <w:tc>
          <w:tcPr>
            <w:tcW w:w="694" w:type="pct"/>
            <w:gridSpan w:val="2"/>
            <w:vAlign w:val="center"/>
          </w:tcPr>
          <w:p w14:paraId="69922D1B">
            <w:pPr>
              <w:pStyle w:val="240"/>
              <w:rPr>
                <w:rFonts w:hint="default"/>
              </w:rPr>
            </w:pPr>
            <w:r>
              <w:t>无监测</w:t>
            </w:r>
            <w:r>
              <w:rPr/>
              <w:sym w:font="Wingdings" w:char="00FE"/>
            </w:r>
          </w:p>
        </w:tc>
      </w:tr>
      <w:tr w14:paraId="0470C5B7">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99" w:hRule="atLeast"/>
        </w:trPr>
        <w:tc>
          <w:tcPr>
            <w:tcW w:w="555" w:type="pct"/>
            <w:vMerge w:val="restart"/>
            <w:vAlign w:val="center"/>
          </w:tcPr>
          <w:p w14:paraId="57D74EDA">
            <w:pPr>
              <w:pStyle w:val="240"/>
              <w:rPr>
                <w:rFonts w:hint="default"/>
              </w:rPr>
            </w:pPr>
            <w:r>
              <w:t>评价结论</w:t>
            </w:r>
          </w:p>
        </w:tc>
        <w:tc>
          <w:tcPr>
            <w:tcW w:w="882" w:type="pct"/>
            <w:vAlign w:val="center"/>
          </w:tcPr>
          <w:p w14:paraId="79F8D470">
            <w:pPr>
              <w:pStyle w:val="240"/>
              <w:rPr>
                <w:rFonts w:hint="default"/>
              </w:rPr>
            </w:pPr>
            <w:r>
              <w:t>环境影响</w:t>
            </w:r>
          </w:p>
        </w:tc>
        <w:tc>
          <w:tcPr>
            <w:tcW w:w="3562" w:type="pct"/>
            <w:gridSpan w:val="15"/>
            <w:vAlign w:val="center"/>
          </w:tcPr>
          <w:p w14:paraId="59FAC552">
            <w:pPr>
              <w:pStyle w:val="240"/>
              <w:rPr>
                <w:rFonts w:hint="default"/>
              </w:rPr>
            </w:pPr>
            <w:r>
              <w:t>可以接受</w:t>
            </w:r>
            <w:r>
              <w:rPr/>
              <w:sym w:font="Wingdings" w:char="00FE"/>
            </w:r>
            <w:r>
              <w:t xml:space="preserve">              不可以接受</w:t>
            </w:r>
            <w:r>
              <w:rPr/>
              <w:sym w:font="Wingdings" w:char="00A8"/>
            </w:r>
          </w:p>
        </w:tc>
      </w:tr>
      <w:tr w14:paraId="7CE73D23">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86" w:hRule="atLeast"/>
        </w:trPr>
        <w:tc>
          <w:tcPr>
            <w:tcW w:w="555" w:type="pct"/>
            <w:vMerge w:val="continue"/>
            <w:vAlign w:val="center"/>
          </w:tcPr>
          <w:p w14:paraId="755DB8AC">
            <w:pPr>
              <w:pStyle w:val="240"/>
              <w:rPr>
                <w:rFonts w:hint="default"/>
              </w:rPr>
            </w:pPr>
          </w:p>
        </w:tc>
        <w:tc>
          <w:tcPr>
            <w:tcW w:w="882" w:type="pct"/>
            <w:vAlign w:val="center"/>
          </w:tcPr>
          <w:p w14:paraId="27828B5B">
            <w:pPr>
              <w:pStyle w:val="240"/>
              <w:rPr>
                <w:rFonts w:hint="default"/>
              </w:rPr>
            </w:pPr>
            <w:r>
              <w:t>大气环境防护距离</w:t>
            </w:r>
          </w:p>
        </w:tc>
        <w:tc>
          <w:tcPr>
            <w:tcW w:w="3562" w:type="pct"/>
            <w:gridSpan w:val="15"/>
            <w:vAlign w:val="center"/>
          </w:tcPr>
          <w:p w14:paraId="5628F90D">
            <w:pPr>
              <w:pStyle w:val="240"/>
              <w:rPr>
                <w:rFonts w:hint="default"/>
              </w:rPr>
            </w:pPr>
            <w:r>
              <w:t>距（）厂界最远（）m</w:t>
            </w:r>
          </w:p>
        </w:tc>
      </w:tr>
      <w:tr w14:paraId="3ECC70F5">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86" w:hRule="atLeast"/>
        </w:trPr>
        <w:tc>
          <w:tcPr>
            <w:tcW w:w="555" w:type="pct"/>
            <w:vMerge w:val="continue"/>
            <w:vAlign w:val="center"/>
          </w:tcPr>
          <w:p w14:paraId="4E216A9D">
            <w:pPr>
              <w:pStyle w:val="240"/>
              <w:rPr>
                <w:rFonts w:hint="default"/>
              </w:rPr>
            </w:pPr>
          </w:p>
        </w:tc>
        <w:tc>
          <w:tcPr>
            <w:tcW w:w="882" w:type="pct"/>
            <w:vAlign w:val="center"/>
          </w:tcPr>
          <w:p w14:paraId="7303EF76">
            <w:pPr>
              <w:pStyle w:val="240"/>
              <w:rPr>
                <w:rFonts w:hint="default"/>
              </w:rPr>
            </w:pPr>
            <w:r>
              <w:t>污染源年排放量</w:t>
            </w:r>
          </w:p>
        </w:tc>
        <w:tc>
          <w:tcPr>
            <w:tcW w:w="767" w:type="pct"/>
            <w:gridSpan w:val="2"/>
            <w:vAlign w:val="center"/>
          </w:tcPr>
          <w:p w14:paraId="79066751">
            <w:pPr>
              <w:pStyle w:val="240"/>
              <w:rPr>
                <w:rFonts w:hint="default"/>
              </w:rPr>
            </w:pPr>
            <w:r>
              <w:t>SO</w:t>
            </w:r>
            <w:r>
              <w:rPr>
                <w:vertAlign w:val="subscript"/>
              </w:rPr>
              <w:t>2</w:t>
            </w:r>
            <w:r>
              <w:t>：（0）t/a</w:t>
            </w:r>
          </w:p>
        </w:tc>
        <w:tc>
          <w:tcPr>
            <w:tcW w:w="862" w:type="pct"/>
            <w:gridSpan w:val="5"/>
            <w:vAlign w:val="center"/>
          </w:tcPr>
          <w:p w14:paraId="05B68C89">
            <w:pPr>
              <w:pStyle w:val="240"/>
              <w:rPr>
                <w:rFonts w:hint="default"/>
              </w:rPr>
            </w:pPr>
            <w:r>
              <w:t>NOx：（0）t/a</w:t>
            </w:r>
          </w:p>
        </w:tc>
        <w:tc>
          <w:tcPr>
            <w:tcW w:w="1147" w:type="pct"/>
            <w:gridSpan w:val="5"/>
            <w:vAlign w:val="center"/>
          </w:tcPr>
          <w:p w14:paraId="473A0BDB">
            <w:pPr>
              <w:pStyle w:val="240"/>
              <w:rPr>
                <w:rFonts w:hint="default"/>
              </w:rPr>
            </w:pPr>
            <w:r>
              <w:t>颗粒物：（0）t/a</w:t>
            </w:r>
          </w:p>
        </w:tc>
        <w:tc>
          <w:tcPr>
            <w:tcW w:w="786" w:type="pct"/>
            <w:gridSpan w:val="3"/>
            <w:vAlign w:val="center"/>
          </w:tcPr>
          <w:p w14:paraId="18E5B138">
            <w:pPr>
              <w:pStyle w:val="240"/>
              <w:rPr>
                <w:rFonts w:hint="default"/>
              </w:rPr>
            </w:pPr>
            <w:r>
              <w:t>VOCs：（</w:t>
            </w:r>
            <w:r>
              <w:rPr>
                <w:rFonts w:hint="eastAsia"/>
                <w:lang w:val="en-US" w:eastAsia="zh-CN"/>
              </w:rPr>
              <w:t>3.9755</w:t>
            </w:r>
            <w:r>
              <w:t>）t/a</w:t>
            </w:r>
          </w:p>
        </w:tc>
      </w:tr>
      <w:tr w14:paraId="25FBC20C">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09" w:hRule="atLeast"/>
        </w:trPr>
        <w:tc>
          <w:tcPr>
            <w:tcW w:w="5000" w:type="pct"/>
            <w:gridSpan w:val="17"/>
            <w:vAlign w:val="center"/>
          </w:tcPr>
          <w:p w14:paraId="44164903">
            <w:pPr>
              <w:pStyle w:val="240"/>
              <w:rPr>
                <w:rFonts w:hint="default"/>
              </w:rPr>
            </w:pPr>
            <w:r>
              <w:t>注：“</w:t>
            </w:r>
            <w:r>
              <w:rPr/>
              <w:sym w:font="Wingdings" w:char="00A8"/>
            </w:r>
            <w:r>
              <w:t>”为勾选项，填“</w:t>
            </w:r>
            <w:r>
              <w:rPr>
                <w:rFonts w:hint="default"/>
              </w:rPr>
              <w:t>√</w:t>
            </w:r>
            <w:r>
              <w:t>”；“（）”为内容填写项</w:t>
            </w:r>
          </w:p>
        </w:tc>
      </w:tr>
    </w:tbl>
    <w:p w14:paraId="4650048D">
      <w:pPr>
        <w:pStyle w:val="4"/>
        <w:autoSpaceDE w:val="0"/>
        <w:autoSpaceDN w:val="0"/>
        <w:spacing w:before="0" w:after="0" w:line="360" w:lineRule="auto"/>
        <w:jc w:val="left"/>
        <w:rPr>
          <w:kern w:val="0"/>
          <w:sz w:val="24"/>
          <w:lang w:val="en-US" w:bidi="zh-CN"/>
        </w:rPr>
      </w:pPr>
      <w:r>
        <w:rPr>
          <w:rFonts w:hint="eastAsia"/>
          <w:kern w:val="0"/>
          <w:sz w:val="24"/>
          <w:lang w:val="en-US" w:bidi="zh-CN"/>
        </w:rPr>
        <w:t>5.2.2运营期水环境影响分析</w:t>
      </w:r>
    </w:p>
    <w:p w14:paraId="06CB65ED">
      <w:pPr>
        <w:pStyle w:val="5"/>
        <w:rPr>
          <w:rFonts w:ascii="Times New Roman" w:hAnsi="Times New Roman"/>
          <w:color w:val="000000"/>
          <w:lang w:val="en-US"/>
        </w:rPr>
      </w:pPr>
      <w:r>
        <w:rPr>
          <w:rFonts w:hint="eastAsia" w:ascii="Times New Roman" w:hAnsi="Times New Roman"/>
          <w:color w:val="000000"/>
          <w:lang w:val="en-US"/>
        </w:rPr>
        <w:t>5.2.2.1地表水环境影响分析</w:t>
      </w:r>
    </w:p>
    <w:p w14:paraId="4411DA43">
      <w:pPr>
        <w:adjustRightInd w:val="0"/>
        <w:spacing w:line="360" w:lineRule="auto"/>
        <w:ind w:firstLine="480" w:firstLineChars="200"/>
        <w:textAlignment w:val="baseline"/>
        <w:rPr>
          <w:color w:val="000000"/>
          <w:sz w:val="24"/>
          <w:szCs w:val="24"/>
        </w:rPr>
      </w:pPr>
      <w:r>
        <w:rPr>
          <w:rFonts w:hint="eastAsia"/>
          <w:color w:val="000000"/>
          <w:sz w:val="24"/>
          <w:szCs w:val="24"/>
        </w:rPr>
        <w:t>本项目运营期无生产废水，</w:t>
      </w:r>
      <w:r>
        <w:rPr>
          <w:rFonts w:hint="eastAsia" w:ascii="宋体" w:hAnsi="宋体"/>
          <w:sz w:val="24"/>
          <w:szCs w:val="24"/>
        </w:rPr>
        <w:t>生活污水排入</w:t>
      </w:r>
      <w:r>
        <w:rPr>
          <w:rFonts w:hint="eastAsia" w:ascii="宋体" w:hAnsi="宋体"/>
          <w:sz w:val="24"/>
          <w:szCs w:val="24"/>
          <w:vertAlign w:val="superscript"/>
          <w:lang w:val="en-US" w:eastAsia="zh-CN"/>
        </w:rPr>
        <w:t>10</w:t>
      </w:r>
      <w:r>
        <w:rPr>
          <w:rFonts w:ascii="宋体" w:hAnsi="宋体"/>
          <w:sz w:val="24"/>
          <w:szCs w:val="24"/>
          <w:vertAlign w:val="superscript"/>
        </w:rPr>
        <w:t>m3</w:t>
      </w:r>
      <w:r>
        <w:rPr>
          <w:rFonts w:hint="eastAsia" w:ascii="宋体" w:hAnsi="宋体"/>
          <w:sz w:val="24"/>
          <w:szCs w:val="24"/>
          <w:vertAlign w:val="superscript"/>
          <w:lang w:val="en-US" w:eastAsia="zh-CN"/>
        </w:rPr>
        <w:t>防渗化粪池</w:t>
      </w:r>
      <w:r>
        <w:rPr>
          <w:rFonts w:hint="eastAsia" w:ascii="宋体" w:hAnsi="宋体"/>
          <w:sz w:val="24"/>
          <w:szCs w:val="24"/>
          <w:lang w:eastAsia="zh-CN"/>
        </w:rPr>
        <w:t>，定期由库尔勒龙润水处理有限公司采用罐车拉运至库尔勒南市区污水处理厂</w:t>
      </w:r>
      <w:r>
        <w:rPr>
          <w:rFonts w:hint="eastAsia"/>
          <w:color w:val="000000"/>
          <w:sz w:val="24"/>
          <w:szCs w:val="24"/>
        </w:rPr>
        <w:t>，为间接排放，根据《环境影响评价技术导则  地表水环境》（</w:t>
      </w:r>
      <w:r>
        <w:rPr>
          <w:color w:val="000000"/>
          <w:sz w:val="24"/>
          <w:szCs w:val="24"/>
        </w:rPr>
        <w:t>HJ2.3</w:t>
      </w:r>
      <w:r>
        <w:rPr>
          <w:rFonts w:hint="eastAsia"/>
          <w:color w:val="000000"/>
          <w:sz w:val="24"/>
          <w:szCs w:val="24"/>
        </w:rPr>
        <w:t>-</w:t>
      </w:r>
      <w:r>
        <w:rPr>
          <w:color w:val="000000"/>
          <w:sz w:val="24"/>
          <w:szCs w:val="24"/>
        </w:rPr>
        <w:t>2018</w:t>
      </w:r>
      <w:r>
        <w:rPr>
          <w:rFonts w:hint="eastAsia"/>
          <w:color w:val="000000"/>
          <w:sz w:val="24"/>
          <w:szCs w:val="24"/>
        </w:rPr>
        <w:t>）中表1“水污染影响型建设项目评价等级判定”，项目地表水环境影响评价工作等级为三级B。因此，本次评价对地表水影响进行简单分析，评价主要评价内容包括水污染控制和水环境影响减缓措施有效性评价。</w:t>
      </w:r>
    </w:p>
    <w:p w14:paraId="7BEF19C6">
      <w:pPr>
        <w:widowControl/>
        <w:spacing w:line="360" w:lineRule="auto"/>
        <w:ind w:firstLine="480" w:firstLineChars="200"/>
        <w:rPr>
          <w:rFonts w:hint="eastAsia" w:ascii="宋体" w:hAnsi="宋体"/>
          <w:color w:val="000000"/>
          <w:sz w:val="24"/>
          <w:szCs w:val="24"/>
        </w:rPr>
      </w:pPr>
      <w:r>
        <w:rPr>
          <w:color w:val="000000"/>
          <w:sz w:val="24"/>
          <w:szCs w:val="24"/>
        </w:rPr>
        <w:t>（1）排</w:t>
      </w:r>
      <w:r>
        <w:rPr>
          <w:rFonts w:hint="eastAsia"/>
          <w:color w:val="000000"/>
          <w:sz w:val="24"/>
          <w:szCs w:val="24"/>
        </w:rPr>
        <w:t>放情况与达标分析</w:t>
      </w:r>
    </w:p>
    <w:p w14:paraId="1EBCAE2D">
      <w:pPr>
        <w:widowControl/>
        <w:spacing w:line="360" w:lineRule="auto"/>
        <w:ind w:firstLine="480" w:firstLineChars="200"/>
        <w:rPr>
          <w:rFonts w:hint="eastAsia" w:ascii="宋体" w:hAnsi="宋体"/>
          <w:color w:val="000000"/>
          <w:sz w:val="24"/>
          <w:szCs w:val="24"/>
        </w:rPr>
      </w:pPr>
      <w:r>
        <w:rPr>
          <w:rFonts w:hint="eastAsia" w:ascii="宋体" w:hAnsi="宋体"/>
          <w:color w:val="000000"/>
          <w:sz w:val="24"/>
          <w:szCs w:val="24"/>
        </w:rPr>
        <w:t>本</w:t>
      </w:r>
      <w:r>
        <w:rPr>
          <w:rFonts w:hint="eastAsia"/>
          <w:color w:val="000000"/>
          <w:sz w:val="24"/>
          <w:szCs w:val="24"/>
        </w:rPr>
        <w:t>项目运营期废水主要为生活污水。</w:t>
      </w:r>
    </w:p>
    <w:p w14:paraId="09067182">
      <w:pPr>
        <w:widowControl/>
        <w:spacing w:line="360" w:lineRule="auto"/>
        <w:ind w:firstLine="480" w:firstLineChars="200"/>
        <w:rPr>
          <w:color w:val="000000"/>
          <w:sz w:val="24"/>
          <w:szCs w:val="24"/>
        </w:rPr>
      </w:pPr>
      <w:r>
        <w:rPr>
          <w:rFonts w:hint="eastAsia"/>
          <w:color w:val="000000"/>
          <w:sz w:val="24"/>
          <w:szCs w:val="24"/>
        </w:rPr>
        <w:t>生活污水产生量</w:t>
      </w:r>
      <w:r>
        <w:rPr>
          <w:rFonts w:hint="eastAsia"/>
          <w:color w:val="000000"/>
          <w:sz w:val="24"/>
          <w:szCs w:val="24"/>
          <w:lang w:val="en-US" w:eastAsia="zh-CN"/>
        </w:rPr>
        <w:t>0.384</w:t>
      </w:r>
      <w:r>
        <w:rPr>
          <w:rFonts w:hint="eastAsia"/>
          <w:color w:val="000000"/>
          <w:sz w:val="24"/>
          <w:szCs w:val="24"/>
        </w:rPr>
        <w:t>m</w:t>
      </w:r>
      <w:r>
        <w:rPr>
          <w:rFonts w:hint="eastAsia"/>
          <w:color w:val="000000"/>
          <w:sz w:val="24"/>
          <w:szCs w:val="24"/>
          <w:vertAlign w:val="superscript"/>
        </w:rPr>
        <w:t>3</w:t>
      </w:r>
      <w:r>
        <w:rPr>
          <w:rFonts w:hint="eastAsia"/>
          <w:color w:val="000000"/>
          <w:sz w:val="24"/>
          <w:szCs w:val="24"/>
        </w:rPr>
        <w:t>/d（</w:t>
      </w:r>
      <w:r>
        <w:rPr>
          <w:rFonts w:hint="eastAsia"/>
          <w:color w:val="000000"/>
          <w:sz w:val="24"/>
          <w:szCs w:val="24"/>
          <w:lang w:val="en-US" w:eastAsia="zh-CN"/>
        </w:rPr>
        <w:t>92.16</w:t>
      </w:r>
      <w:r>
        <w:rPr>
          <w:rFonts w:hint="eastAsia"/>
          <w:color w:val="000000"/>
          <w:sz w:val="24"/>
          <w:szCs w:val="24"/>
        </w:rPr>
        <w:t>m</w:t>
      </w:r>
      <w:r>
        <w:rPr>
          <w:rFonts w:hint="eastAsia"/>
          <w:color w:val="000000"/>
          <w:sz w:val="24"/>
          <w:szCs w:val="24"/>
          <w:vertAlign w:val="superscript"/>
        </w:rPr>
        <w:t>3</w:t>
      </w:r>
      <w:r>
        <w:rPr>
          <w:rFonts w:hint="eastAsia"/>
          <w:color w:val="000000"/>
          <w:sz w:val="24"/>
          <w:szCs w:val="24"/>
        </w:rPr>
        <w:t>/a）</w:t>
      </w:r>
      <w:r>
        <w:rPr>
          <w:color w:val="000000"/>
          <w:sz w:val="24"/>
          <w:szCs w:val="24"/>
        </w:rPr>
        <w:t>，</w:t>
      </w:r>
      <w:r>
        <w:rPr>
          <w:rFonts w:hint="eastAsia" w:ascii="宋体" w:hAnsi="宋体"/>
          <w:sz w:val="24"/>
          <w:szCs w:val="24"/>
        </w:rPr>
        <w:t>排入</w:t>
      </w:r>
      <w:r>
        <w:rPr>
          <w:rFonts w:hint="eastAsia" w:ascii="宋体" w:hAnsi="宋体"/>
          <w:sz w:val="24"/>
          <w:szCs w:val="24"/>
          <w:lang w:val="en-US" w:eastAsia="zh-CN"/>
        </w:rPr>
        <w:t>10</w:t>
      </w:r>
      <w:r>
        <w:rPr>
          <w:rFonts w:ascii="宋体" w:hAnsi="宋体"/>
          <w:sz w:val="24"/>
          <w:szCs w:val="24"/>
        </w:rPr>
        <w:t>m</w:t>
      </w:r>
      <w:r>
        <w:rPr>
          <w:rFonts w:ascii="宋体" w:hAnsi="宋体"/>
          <w:sz w:val="24"/>
          <w:szCs w:val="24"/>
          <w:vertAlign w:val="superscript"/>
        </w:rPr>
        <w:t>3</w:t>
      </w:r>
      <w:r>
        <w:rPr>
          <w:rFonts w:hint="eastAsia" w:ascii="宋体" w:hAnsi="宋体"/>
          <w:sz w:val="24"/>
          <w:szCs w:val="24"/>
          <w:lang w:val="en-US" w:eastAsia="zh-CN"/>
        </w:rPr>
        <w:t>防渗化粪池</w:t>
      </w:r>
      <w:r>
        <w:rPr>
          <w:rFonts w:hint="eastAsia" w:ascii="宋体" w:hAnsi="宋体"/>
          <w:sz w:val="24"/>
          <w:szCs w:val="24"/>
          <w:lang w:eastAsia="zh-CN"/>
        </w:rPr>
        <w:t>，定期由库尔勒龙润水处理有限公司采用罐车拉运至库尔勒南市区污水处理厂</w:t>
      </w:r>
      <w:r>
        <w:rPr>
          <w:rFonts w:hint="eastAsia"/>
          <w:color w:val="000000"/>
          <w:sz w:val="24"/>
          <w:szCs w:val="24"/>
        </w:rPr>
        <w:t>。</w:t>
      </w:r>
    </w:p>
    <w:p w14:paraId="573D48E3">
      <w:pPr>
        <w:spacing w:line="360" w:lineRule="auto"/>
        <w:ind w:firstLine="480" w:firstLineChars="200"/>
        <w:rPr>
          <w:color w:val="000000"/>
          <w:sz w:val="24"/>
          <w:szCs w:val="24"/>
        </w:rPr>
      </w:pPr>
      <w:r>
        <w:rPr>
          <w:rFonts w:hint="eastAsia"/>
          <w:color w:val="000000"/>
          <w:sz w:val="24"/>
          <w:szCs w:val="24"/>
        </w:rPr>
        <w:t>（2）地表水环境影响评价自查表</w:t>
      </w:r>
    </w:p>
    <w:p w14:paraId="6522234D">
      <w:pPr>
        <w:spacing w:line="360" w:lineRule="auto"/>
        <w:ind w:firstLine="480" w:firstLineChars="200"/>
        <w:rPr>
          <w:color w:val="000000"/>
          <w:sz w:val="24"/>
          <w:szCs w:val="24"/>
          <w:lang w:val="en-GB"/>
        </w:rPr>
      </w:pPr>
      <w:r>
        <w:rPr>
          <w:color w:val="000000"/>
          <w:sz w:val="24"/>
          <w:szCs w:val="24"/>
          <w:lang w:val="en-GB"/>
        </w:rPr>
        <w:t>本项目地表水环境影响评价自查表见表</w:t>
      </w:r>
      <w:r>
        <w:rPr>
          <w:color w:val="000000"/>
          <w:sz w:val="24"/>
          <w:szCs w:val="24"/>
        </w:rPr>
        <w:t>5.2-</w:t>
      </w:r>
      <w:r>
        <w:rPr>
          <w:rFonts w:hint="eastAsia"/>
          <w:color w:val="000000"/>
          <w:sz w:val="24"/>
          <w:szCs w:val="24"/>
        </w:rPr>
        <w:t>1</w:t>
      </w:r>
      <w:r>
        <w:rPr>
          <w:rFonts w:hint="eastAsia"/>
          <w:color w:val="000000"/>
          <w:sz w:val="24"/>
          <w:szCs w:val="24"/>
          <w:lang w:val="en-US" w:eastAsia="zh-CN"/>
        </w:rPr>
        <w:t>8</w:t>
      </w:r>
      <w:r>
        <w:rPr>
          <w:color w:val="000000"/>
          <w:sz w:val="24"/>
          <w:szCs w:val="24"/>
          <w:lang w:val="en-GB"/>
        </w:rPr>
        <w:t>。</w:t>
      </w:r>
    </w:p>
    <w:p w14:paraId="69B11DF5">
      <w:pPr>
        <w:widowControl/>
        <w:jc w:val="center"/>
        <w:rPr>
          <w:b/>
          <w:color w:val="000000"/>
          <w:szCs w:val="21"/>
        </w:rPr>
      </w:pPr>
      <w:r>
        <w:rPr>
          <w:b/>
          <w:color w:val="000000"/>
          <w:szCs w:val="21"/>
        </w:rPr>
        <w:t>表5.2-</w:t>
      </w:r>
      <w:r>
        <w:rPr>
          <w:rFonts w:hint="eastAsia"/>
          <w:b/>
          <w:color w:val="000000"/>
          <w:szCs w:val="21"/>
        </w:rPr>
        <w:t>1</w:t>
      </w:r>
      <w:r>
        <w:rPr>
          <w:rFonts w:hint="eastAsia"/>
          <w:b/>
          <w:color w:val="000000"/>
          <w:szCs w:val="21"/>
          <w:lang w:val="en-US" w:eastAsia="zh-CN"/>
        </w:rPr>
        <w:t>8</w:t>
      </w:r>
      <w:r>
        <w:rPr>
          <w:rFonts w:hint="eastAsia"/>
          <w:b/>
          <w:color w:val="000000"/>
          <w:szCs w:val="21"/>
        </w:rPr>
        <w:t xml:space="preserve">  </w:t>
      </w:r>
      <w:r>
        <w:rPr>
          <w:b/>
          <w:color w:val="000000"/>
          <w:szCs w:val="21"/>
        </w:rPr>
        <w:t xml:space="preserve">  地表水环境影响评价自查表</w:t>
      </w:r>
    </w:p>
    <w:tbl>
      <w:tblPr>
        <w:tblStyle w:val="49"/>
        <w:tblW w:w="4998" w:type="pct"/>
        <w:jc w:val="center"/>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autofit"/>
        <w:tblCellMar>
          <w:top w:w="0" w:type="dxa"/>
          <w:left w:w="108" w:type="dxa"/>
          <w:bottom w:w="0" w:type="dxa"/>
          <w:right w:w="108" w:type="dxa"/>
        </w:tblCellMar>
      </w:tblPr>
      <w:tblGrid>
        <w:gridCol w:w="496"/>
        <w:gridCol w:w="1673"/>
        <w:gridCol w:w="1071"/>
        <w:gridCol w:w="462"/>
        <w:gridCol w:w="308"/>
        <w:gridCol w:w="61"/>
        <w:gridCol w:w="563"/>
        <w:gridCol w:w="1094"/>
        <w:gridCol w:w="305"/>
        <w:gridCol w:w="496"/>
        <w:gridCol w:w="152"/>
        <w:gridCol w:w="624"/>
        <w:gridCol w:w="91"/>
        <w:gridCol w:w="761"/>
        <w:gridCol w:w="1127"/>
      </w:tblGrid>
      <w:tr w14:paraId="278A6A2E">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108" w:type="dxa"/>
            <w:bottom w:w="0" w:type="dxa"/>
            <w:right w:w="108" w:type="dxa"/>
          </w:tblCellMar>
        </w:tblPrEx>
        <w:trPr>
          <w:trHeight w:val="23" w:hRule="atLeast"/>
          <w:jc w:val="center"/>
        </w:trPr>
        <w:tc>
          <w:tcPr>
            <w:tcW w:w="1168" w:type="pct"/>
            <w:gridSpan w:val="2"/>
            <w:tcBorders>
              <w:tl2br w:val="nil"/>
              <w:tr2bl w:val="nil"/>
            </w:tcBorders>
            <w:vAlign w:val="center"/>
          </w:tcPr>
          <w:p w14:paraId="4AD729CD">
            <w:pPr>
              <w:pStyle w:val="240"/>
              <w:rPr>
                <w:rFonts w:hint="default"/>
              </w:rPr>
            </w:pPr>
            <w:r>
              <w:rPr>
                <w:rFonts w:hint="default"/>
              </w:rPr>
              <w:t>工作内容</w:t>
            </w:r>
          </w:p>
        </w:tc>
        <w:tc>
          <w:tcPr>
            <w:tcW w:w="3831" w:type="pct"/>
            <w:gridSpan w:val="13"/>
            <w:tcBorders>
              <w:tl2br w:val="nil"/>
              <w:tr2bl w:val="nil"/>
            </w:tcBorders>
            <w:vAlign w:val="center"/>
          </w:tcPr>
          <w:p w14:paraId="3B6B8998">
            <w:pPr>
              <w:pStyle w:val="240"/>
              <w:rPr>
                <w:rFonts w:hint="default"/>
              </w:rPr>
            </w:pPr>
            <w:r>
              <w:rPr>
                <w:rFonts w:hint="default"/>
              </w:rPr>
              <w:t>自查项目</w:t>
            </w:r>
          </w:p>
        </w:tc>
      </w:tr>
      <w:tr w14:paraId="354FEF3D">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108" w:type="dxa"/>
            <w:bottom w:w="0" w:type="dxa"/>
            <w:right w:w="108" w:type="dxa"/>
          </w:tblCellMar>
        </w:tblPrEx>
        <w:trPr>
          <w:trHeight w:val="23" w:hRule="atLeast"/>
          <w:jc w:val="center"/>
        </w:trPr>
        <w:tc>
          <w:tcPr>
            <w:tcW w:w="267" w:type="pct"/>
            <w:vMerge w:val="restart"/>
            <w:tcBorders>
              <w:tl2br w:val="nil"/>
              <w:tr2bl w:val="nil"/>
            </w:tcBorders>
            <w:vAlign w:val="center"/>
          </w:tcPr>
          <w:p w14:paraId="04183803">
            <w:pPr>
              <w:pStyle w:val="240"/>
              <w:rPr>
                <w:rFonts w:hint="default"/>
              </w:rPr>
            </w:pPr>
            <w:r>
              <w:rPr>
                <w:rFonts w:hint="default"/>
              </w:rPr>
              <w:t>影响识别</w:t>
            </w:r>
          </w:p>
        </w:tc>
        <w:tc>
          <w:tcPr>
            <w:tcW w:w="901" w:type="pct"/>
            <w:tcBorders>
              <w:tl2br w:val="nil"/>
              <w:tr2bl w:val="nil"/>
            </w:tcBorders>
            <w:vAlign w:val="center"/>
          </w:tcPr>
          <w:p w14:paraId="302981A4">
            <w:pPr>
              <w:pStyle w:val="240"/>
              <w:rPr>
                <w:rFonts w:hint="default"/>
              </w:rPr>
            </w:pPr>
            <w:r>
              <w:rPr>
                <w:rFonts w:hint="default"/>
              </w:rPr>
              <w:t>影响类型</w:t>
            </w:r>
          </w:p>
        </w:tc>
        <w:tc>
          <w:tcPr>
            <w:tcW w:w="3831" w:type="pct"/>
            <w:gridSpan w:val="13"/>
            <w:tcBorders>
              <w:tl2br w:val="nil"/>
              <w:tr2bl w:val="nil"/>
            </w:tcBorders>
            <w:vAlign w:val="center"/>
          </w:tcPr>
          <w:p w14:paraId="435F2D0C">
            <w:pPr>
              <w:pStyle w:val="240"/>
              <w:rPr>
                <w:rFonts w:hint="default"/>
              </w:rPr>
            </w:pPr>
            <w:r>
              <w:rPr>
                <w:rFonts w:hint="default"/>
              </w:rPr>
              <w:t>水污染影响型</w:t>
            </w:r>
            <w:r>
              <w:t>☑</w:t>
            </w:r>
            <w:r>
              <w:rPr>
                <w:rFonts w:hint="default"/>
              </w:rPr>
              <w:t>；水文要素影响型</w:t>
            </w:r>
            <w:r>
              <w:t>□</w:t>
            </w:r>
          </w:p>
        </w:tc>
      </w:tr>
      <w:tr w14:paraId="1A5DFABE">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108" w:type="dxa"/>
            <w:bottom w:w="0" w:type="dxa"/>
            <w:right w:w="108" w:type="dxa"/>
          </w:tblCellMar>
        </w:tblPrEx>
        <w:trPr>
          <w:trHeight w:val="23" w:hRule="atLeast"/>
          <w:jc w:val="center"/>
        </w:trPr>
        <w:tc>
          <w:tcPr>
            <w:tcW w:w="267" w:type="pct"/>
            <w:vMerge w:val="continue"/>
            <w:tcBorders>
              <w:tl2br w:val="nil"/>
              <w:tr2bl w:val="nil"/>
            </w:tcBorders>
            <w:vAlign w:val="center"/>
          </w:tcPr>
          <w:p w14:paraId="5699D4BF">
            <w:pPr>
              <w:pStyle w:val="240"/>
              <w:rPr>
                <w:rFonts w:hint="default"/>
              </w:rPr>
            </w:pPr>
          </w:p>
        </w:tc>
        <w:tc>
          <w:tcPr>
            <w:tcW w:w="901" w:type="pct"/>
            <w:tcBorders>
              <w:tl2br w:val="nil"/>
              <w:tr2bl w:val="nil"/>
            </w:tcBorders>
            <w:vAlign w:val="center"/>
          </w:tcPr>
          <w:p w14:paraId="66837834">
            <w:pPr>
              <w:pStyle w:val="240"/>
              <w:rPr>
                <w:rFonts w:hint="default"/>
              </w:rPr>
            </w:pPr>
            <w:r>
              <w:rPr>
                <w:rFonts w:hint="default"/>
              </w:rPr>
              <w:t>水环境保护目标</w:t>
            </w:r>
          </w:p>
        </w:tc>
        <w:tc>
          <w:tcPr>
            <w:tcW w:w="3831" w:type="pct"/>
            <w:gridSpan w:val="13"/>
            <w:tcBorders>
              <w:tl2br w:val="nil"/>
              <w:tr2bl w:val="nil"/>
            </w:tcBorders>
            <w:vAlign w:val="center"/>
          </w:tcPr>
          <w:p w14:paraId="5CA75468">
            <w:pPr>
              <w:pStyle w:val="240"/>
              <w:rPr>
                <w:rFonts w:hint="default"/>
              </w:rPr>
            </w:pPr>
            <w:r>
              <w:rPr>
                <w:rFonts w:hint="default"/>
              </w:rPr>
              <w:t>饮用水水源保护区□；饮用水取水口□；涉水的自然保护区□；重要湿地□；重点保护与</w:t>
            </w:r>
            <w:r>
              <w:t>珍稀</w:t>
            </w:r>
            <w:r>
              <w:rPr>
                <w:rFonts w:hint="default"/>
              </w:rPr>
              <w:t>水生生物的栖息地□；重要水生生物的自然产卵场及索饵场、越冬场和洄游通道、天然渔场等渔业水体□；涉水的风景名胜区□；其他</w:t>
            </w:r>
            <w:r>
              <w:t>□</w:t>
            </w:r>
          </w:p>
        </w:tc>
      </w:tr>
      <w:tr w14:paraId="18441752">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108" w:type="dxa"/>
            <w:bottom w:w="0" w:type="dxa"/>
            <w:right w:w="108" w:type="dxa"/>
          </w:tblCellMar>
        </w:tblPrEx>
        <w:trPr>
          <w:trHeight w:val="23" w:hRule="atLeast"/>
          <w:jc w:val="center"/>
        </w:trPr>
        <w:tc>
          <w:tcPr>
            <w:tcW w:w="267" w:type="pct"/>
            <w:vMerge w:val="continue"/>
            <w:tcBorders>
              <w:tl2br w:val="nil"/>
              <w:tr2bl w:val="nil"/>
            </w:tcBorders>
            <w:vAlign w:val="center"/>
          </w:tcPr>
          <w:p w14:paraId="22690026">
            <w:pPr>
              <w:pStyle w:val="240"/>
              <w:rPr>
                <w:rFonts w:hint="default"/>
              </w:rPr>
            </w:pPr>
          </w:p>
        </w:tc>
        <w:tc>
          <w:tcPr>
            <w:tcW w:w="901" w:type="pct"/>
            <w:vMerge w:val="restart"/>
            <w:tcBorders>
              <w:tl2br w:val="nil"/>
              <w:tr2bl w:val="nil"/>
            </w:tcBorders>
            <w:vAlign w:val="center"/>
          </w:tcPr>
          <w:p w14:paraId="31378354">
            <w:pPr>
              <w:pStyle w:val="240"/>
              <w:rPr>
                <w:rFonts w:hint="default"/>
              </w:rPr>
            </w:pPr>
            <w:r>
              <w:rPr>
                <w:rFonts w:hint="default"/>
              </w:rPr>
              <w:t>影响途径</w:t>
            </w:r>
          </w:p>
        </w:tc>
        <w:tc>
          <w:tcPr>
            <w:tcW w:w="1917" w:type="pct"/>
            <w:gridSpan w:val="6"/>
            <w:tcBorders>
              <w:tl2br w:val="nil"/>
              <w:tr2bl w:val="nil"/>
            </w:tcBorders>
            <w:vAlign w:val="center"/>
          </w:tcPr>
          <w:p w14:paraId="39B5F8F8">
            <w:pPr>
              <w:pStyle w:val="240"/>
              <w:rPr>
                <w:rFonts w:hint="default"/>
              </w:rPr>
            </w:pPr>
            <w:r>
              <w:rPr>
                <w:rFonts w:hint="default"/>
              </w:rPr>
              <w:t>水污染影响型</w:t>
            </w:r>
          </w:p>
        </w:tc>
        <w:tc>
          <w:tcPr>
            <w:tcW w:w="1913" w:type="pct"/>
            <w:gridSpan w:val="7"/>
            <w:tcBorders>
              <w:tl2br w:val="nil"/>
              <w:tr2bl w:val="nil"/>
            </w:tcBorders>
            <w:vAlign w:val="center"/>
          </w:tcPr>
          <w:p w14:paraId="151D1890">
            <w:pPr>
              <w:pStyle w:val="240"/>
              <w:rPr>
                <w:rFonts w:hint="default"/>
              </w:rPr>
            </w:pPr>
            <w:r>
              <w:rPr>
                <w:rFonts w:hint="default"/>
              </w:rPr>
              <w:t>水文要素影响型</w:t>
            </w:r>
          </w:p>
        </w:tc>
      </w:tr>
      <w:tr w14:paraId="36E22BA3">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108" w:type="dxa"/>
            <w:bottom w:w="0" w:type="dxa"/>
            <w:right w:w="108" w:type="dxa"/>
          </w:tblCellMar>
        </w:tblPrEx>
        <w:trPr>
          <w:trHeight w:val="23" w:hRule="atLeast"/>
          <w:jc w:val="center"/>
        </w:trPr>
        <w:tc>
          <w:tcPr>
            <w:tcW w:w="267" w:type="pct"/>
            <w:vMerge w:val="continue"/>
            <w:tcBorders>
              <w:tl2br w:val="nil"/>
              <w:tr2bl w:val="nil"/>
            </w:tcBorders>
            <w:vAlign w:val="center"/>
          </w:tcPr>
          <w:p w14:paraId="073F5173">
            <w:pPr>
              <w:pStyle w:val="240"/>
              <w:rPr>
                <w:rFonts w:hint="default"/>
              </w:rPr>
            </w:pPr>
          </w:p>
        </w:tc>
        <w:tc>
          <w:tcPr>
            <w:tcW w:w="901" w:type="pct"/>
            <w:vMerge w:val="continue"/>
            <w:tcBorders>
              <w:tl2br w:val="nil"/>
              <w:tr2bl w:val="nil"/>
            </w:tcBorders>
            <w:vAlign w:val="center"/>
          </w:tcPr>
          <w:p w14:paraId="23246625">
            <w:pPr>
              <w:pStyle w:val="240"/>
              <w:rPr>
                <w:rFonts w:hint="default"/>
              </w:rPr>
            </w:pPr>
          </w:p>
        </w:tc>
        <w:tc>
          <w:tcPr>
            <w:tcW w:w="1917" w:type="pct"/>
            <w:gridSpan w:val="6"/>
            <w:tcBorders>
              <w:tl2br w:val="nil"/>
              <w:tr2bl w:val="nil"/>
            </w:tcBorders>
            <w:vAlign w:val="center"/>
          </w:tcPr>
          <w:p w14:paraId="466F6A37">
            <w:pPr>
              <w:pStyle w:val="240"/>
              <w:rPr>
                <w:rFonts w:hint="default"/>
              </w:rPr>
            </w:pPr>
            <w:r>
              <w:rPr>
                <w:rFonts w:hint="default"/>
              </w:rPr>
              <w:t>直接排放</w:t>
            </w:r>
            <w:r>
              <w:t>□</w:t>
            </w:r>
            <w:r>
              <w:rPr>
                <w:rFonts w:hint="default"/>
              </w:rPr>
              <w:t>；间接排放</w:t>
            </w:r>
            <w:r>
              <w:t>☑</w:t>
            </w:r>
            <w:r>
              <w:rPr>
                <w:rFonts w:hint="default"/>
              </w:rPr>
              <w:t>；其他</w:t>
            </w:r>
            <w:r>
              <w:t>□</w:t>
            </w:r>
          </w:p>
        </w:tc>
        <w:tc>
          <w:tcPr>
            <w:tcW w:w="1913" w:type="pct"/>
            <w:gridSpan w:val="7"/>
            <w:tcBorders>
              <w:tl2br w:val="nil"/>
              <w:tr2bl w:val="nil"/>
            </w:tcBorders>
            <w:vAlign w:val="center"/>
          </w:tcPr>
          <w:p w14:paraId="3B4A927A">
            <w:pPr>
              <w:pStyle w:val="240"/>
              <w:rPr>
                <w:rFonts w:hint="default"/>
              </w:rPr>
            </w:pPr>
            <w:r>
              <w:rPr>
                <w:rFonts w:hint="default"/>
              </w:rPr>
              <w:t>水温</w:t>
            </w:r>
            <w:r>
              <w:t>□</w:t>
            </w:r>
            <w:r>
              <w:rPr>
                <w:rFonts w:hint="default"/>
              </w:rPr>
              <w:t>；径流</w:t>
            </w:r>
            <w:r>
              <w:t>□</w:t>
            </w:r>
            <w:r>
              <w:rPr>
                <w:rFonts w:hint="default"/>
              </w:rPr>
              <w:t>；水域面积</w:t>
            </w:r>
            <w:r>
              <w:t>□</w:t>
            </w:r>
          </w:p>
        </w:tc>
      </w:tr>
      <w:tr w14:paraId="373F1E9E">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108" w:type="dxa"/>
            <w:bottom w:w="0" w:type="dxa"/>
            <w:right w:w="108" w:type="dxa"/>
          </w:tblCellMar>
        </w:tblPrEx>
        <w:trPr>
          <w:trHeight w:val="23" w:hRule="atLeast"/>
          <w:jc w:val="center"/>
        </w:trPr>
        <w:tc>
          <w:tcPr>
            <w:tcW w:w="267" w:type="pct"/>
            <w:vMerge w:val="continue"/>
            <w:tcBorders>
              <w:tl2br w:val="nil"/>
              <w:tr2bl w:val="nil"/>
            </w:tcBorders>
            <w:vAlign w:val="center"/>
          </w:tcPr>
          <w:p w14:paraId="1DB0D379">
            <w:pPr>
              <w:pStyle w:val="240"/>
              <w:rPr>
                <w:rFonts w:hint="default"/>
              </w:rPr>
            </w:pPr>
          </w:p>
        </w:tc>
        <w:tc>
          <w:tcPr>
            <w:tcW w:w="901" w:type="pct"/>
            <w:tcBorders>
              <w:tl2br w:val="nil"/>
              <w:tr2bl w:val="nil"/>
            </w:tcBorders>
            <w:vAlign w:val="center"/>
          </w:tcPr>
          <w:p w14:paraId="23AD98D5">
            <w:pPr>
              <w:pStyle w:val="240"/>
              <w:rPr>
                <w:rFonts w:hint="default"/>
              </w:rPr>
            </w:pPr>
            <w:r>
              <w:rPr>
                <w:rFonts w:hint="default"/>
              </w:rPr>
              <w:t>影响因子</w:t>
            </w:r>
          </w:p>
        </w:tc>
        <w:tc>
          <w:tcPr>
            <w:tcW w:w="1917" w:type="pct"/>
            <w:gridSpan w:val="6"/>
            <w:tcBorders>
              <w:tl2br w:val="nil"/>
              <w:tr2bl w:val="nil"/>
            </w:tcBorders>
            <w:vAlign w:val="center"/>
          </w:tcPr>
          <w:p w14:paraId="55CCEEFB">
            <w:pPr>
              <w:pStyle w:val="240"/>
              <w:rPr>
                <w:rFonts w:hint="default"/>
              </w:rPr>
            </w:pPr>
            <w:r>
              <w:rPr>
                <w:rFonts w:hint="default"/>
              </w:rPr>
              <w:t>持久性污染物□；有毒有害污染物□；非持久性污染物</w:t>
            </w:r>
            <w:r>
              <w:t>☑</w:t>
            </w:r>
            <w:r>
              <w:rPr>
                <w:rFonts w:hint="default"/>
              </w:rPr>
              <w:t>；pH值□；热污染□；富营养化□；其他□</w:t>
            </w:r>
          </w:p>
        </w:tc>
        <w:tc>
          <w:tcPr>
            <w:tcW w:w="1913" w:type="pct"/>
            <w:gridSpan w:val="7"/>
            <w:tcBorders>
              <w:tl2br w:val="nil"/>
              <w:tr2bl w:val="nil"/>
            </w:tcBorders>
            <w:vAlign w:val="center"/>
          </w:tcPr>
          <w:p w14:paraId="31F8F797">
            <w:pPr>
              <w:pStyle w:val="240"/>
              <w:rPr>
                <w:rFonts w:hint="default"/>
              </w:rPr>
            </w:pPr>
            <w:r>
              <w:rPr>
                <w:rFonts w:hint="default"/>
              </w:rPr>
              <w:t>水温□；水位（水深）□；流速□；流量□；其他□</w:t>
            </w:r>
          </w:p>
        </w:tc>
      </w:tr>
      <w:tr w14:paraId="6F46A55D">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108" w:type="dxa"/>
            <w:bottom w:w="0" w:type="dxa"/>
            <w:right w:w="108" w:type="dxa"/>
          </w:tblCellMar>
        </w:tblPrEx>
        <w:trPr>
          <w:trHeight w:val="23" w:hRule="atLeast"/>
          <w:jc w:val="center"/>
        </w:trPr>
        <w:tc>
          <w:tcPr>
            <w:tcW w:w="1168" w:type="pct"/>
            <w:gridSpan w:val="2"/>
            <w:vMerge w:val="restart"/>
            <w:tcBorders>
              <w:tl2br w:val="nil"/>
              <w:tr2bl w:val="nil"/>
            </w:tcBorders>
            <w:vAlign w:val="center"/>
          </w:tcPr>
          <w:p w14:paraId="0B86672C">
            <w:pPr>
              <w:pStyle w:val="240"/>
              <w:rPr>
                <w:rFonts w:hint="default"/>
              </w:rPr>
            </w:pPr>
            <w:r>
              <w:rPr>
                <w:rFonts w:hint="default"/>
              </w:rPr>
              <w:t>评价等级</w:t>
            </w:r>
          </w:p>
        </w:tc>
        <w:tc>
          <w:tcPr>
            <w:tcW w:w="1917" w:type="pct"/>
            <w:gridSpan w:val="6"/>
            <w:tcBorders>
              <w:tl2br w:val="nil"/>
              <w:tr2bl w:val="nil"/>
            </w:tcBorders>
            <w:vAlign w:val="center"/>
          </w:tcPr>
          <w:p w14:paraId="3E30B94F">
            <w:pPr>
              <w:pStyle w:val="240"/>
              <w:rPr>
                <w:rFonts w:hint="default"/>
              </w:rPr>
            </w:pPr>
            <w:r>
              <w:rPr>
                <w:rFonts w:hint="default"/>
              </w:rPr>
              <w:t>水污染影响型</w:t>
            </w:r>
          </w:p>
        </w:tc>
        <w:tc>
          <w:tcPr>
            <w:tcW w:w="1913" w:type="pct"/>
            <w:gridSpan w:val="7"/>
            <w:tcBorders>
              <w:tl2br w:val="nil"/>
              <w:tr2bl w:val="nil"/>
            </w:tcBorders>
            <w:vAlign w:val="center"/>
          </w:tcPr>
          <w:p w14:paraId="6E41D99F">
            <w:pPr>
              <w:pStyle w:val="240"/>
              <w:rPr>
                <w:rFonts w:hint="default"/>
              </w:rPr>
            </w:pPr>
            <w:r>
              <w:rPr>
                <w:rFonts w:hint="default"/>
              </w:rPr>
              <w:t>水文要素影响型</w:t>
            </w:r>
          </w:p>
        </w:tc>
      </w:tr>
      <w:tr w14:paraId="5CC9F9BB">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108" w:type="dxa"/>
            <w:bottom w:w="0" w:type="dxa"/>
            <w:right w:w="108" w:type="dxa"/>
          </w:tblCellMar>
        </w:tblPrEx>
        <w:trPr>
          <w:trHeight w:val="23" w:hRule="atLeast"/>
          <w:jc w:val="center"/>
        </w:trPr>
        <w:tc>
          <w:tcPr>
            <w:tcW w:w="1168" w:type="pct"/>
            <w:gridSpan w:val="2"/>
            <w:vMerge w:val="continue"/>
            <w:tcBorders>
              <w:tl2br w:val="nil"/>
              <w:tr2bl w:val="nil"/>
            </w:tcBorders>
            <w:vAlign w:val="center"/>
          </w:tcPr>
          <w:p w14:paraId="0442E3B0">
            <w:pPr>
              <w:pStyle w:val="240"/>
              <w:rPr>
                <w:rFonts w:hint="default"/>
              </w:rPr>
            </w:pPr>
          </w:p>
        </w:tc>
        <w:tc>
          <w:tcPr>
            <w:tcW w:w="1917" w:type="pct"/>
            <w:gridSpan w:val="6"/>
            <w:tcBorders>
              <w:tl2br w:val="nil"/>
              <w:tr2bl w:val="nil"/>
            </w:tcBorders>
            <w:vAlign w:val="center"/>
          </w:tcPr>
          <w:p w14:paraId="15259701">
            <w:pPr>
              <w:pStyle w:val="240"/>
              <w:rPr>
                <w:rFonts w:hint="default"/>
              </w:rPr>
            </w:pPr>
            <w:r>
              <w:rPr>
                <w:rFonts w:hint="default"/>
              </w:rPr>
              <w:t>一级□；二级□；三级 A□；三级 B</w:t>
            </w:r>
            <w:r>
              <w:t>☑</w:t>
            </w:r>
          </w:p>
        </w:tc>
        <w:tc>
          <w:tcPr>
            <w:tcW w:w="1913" w:type="pct"/>
            <w:gridSpan w:val="7"/>
            <w:tcBorders>
              <w:tl2br w:val="nil"/>
              <w:tr2bl w:val="nil"/>
            </w:tcBorders>
            <w:vAlign w:val="center"/>
          </w:tcPr>
          <w:p w14:paraId="5E1EC074">
            <w:pPr>
              <w:pStyle w:val="240"/>
              <w:rPr>
                <w:rFonts w:hint="default"/>
              </w:rPr>
            </w:pPr>
            <w:r>
              <w:rPr>
                <w:rFonts w:hint="default"/>
              </w:rPr>
              <w:t>一级□；二级□；三级□</w:t>
            </w:r>
          </w:p>
        </w:tc>
      </w:tr>
      <w:tr w14:paraId="1D04B92F">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108" w:type="dxa"/>
            <w:bottom w:w="0" w:type="dxa"/>
            <w:right w:w="108" w:type="dxa"/>
          </w:tblCellMar>
        </w:tblPrEx>
        <w:trPr>
          <w:trHeight w:val="23" w:hRule="atLeast"/>
          <w:jc w:val="center"/>
        </w:trPr>
        <w:tc>
          <w:tcPr>
            <w:tcW w:w="267" w:type="pct"/>
            <w:vMerge w:val="restart"/>
            <w:tcBorders>
              <w:tl2br w:val="nil"/>
              <w:tr2bl w:val="nil"/>
            </w:tcBorders>
            <w:vAlign w:val="center"/>
          </w:tcPr>
          <w:p w14:paraId="4B7E61BC">
            <w:pPr>
              <w:pStyle w:val="240"/>
              <w:rPr>
                <w:rFonts w:hint="default"/>
              </w:rPr>
            </w:pPr>
            <w:r>
              <w:rPr>
                <w:rFonts w:hint="default"/>
              </w:rPr>
              <w:t>现状调查</w:t>
            </w:r>
          </w:p>
        </w:tc>
        <w:tc>
          <w:tcPr>
            <w:tcW w:w="901" w:type="pct"/>
            <w:vMerge w:val="restart"/>
            <w:tcBorders>
              <w:tl2br w:val="nil"/>
              <w:tr2bl w:val="nil"/>
            </w:tcBorders>
            <w:vAlign w:val="center"/>
          </w:tcPr>
          <w:p w14:paraId="4A784B3A">
            <w:pPr>
              <w:pStyle w:val="240"/>
              <w:rPr>
                <w:rFonts w:hint="default"/>
              </w:rPr>
            </w:pPr>
            <w:r>
              <w:rPr>
                <w:rFonts w:hint="default"/>
              </w:rPr>
              <w:t>区域污染源</w:t>
            </w:r>
          </w:p>
        </w:tc>
        <w:tc>
          <w:tcPr>
            <w:tcW w:w="1917" w:type="pct"/>
            <w:gridSpan w:val="6"/>
            <w:tcBorders>
              <w:tl2br w:val="nil"/>
              <w:tr2bl w:val="nil"/>
            </w:tcBorders>
            <w:vAlign w:val="center"/>
          </w:tcPr>
          <w:p w14:paraId="03EAD96C">
            <w:pPr>
              <w:pStyle w:val="240"/>
              <w:rPr>
                <w:rFonts w:hint="default"/>
              </w:rPr>
            </w:pPr>
            <w:r>
              <w:rPr>
                <w:rFonts w:hint="default"/>
              </w:rPr>
              <w:t>调查项目</w:t>
            </w:r>
          </w:p>
        </w:tc>
        <w:tc>
          <w:tcPr>
            <w:tcW w:w="1913" w:type="pct"/>
            <w:gridSpan w:val="7"/>
            <w:tcBorders>
              <w:tl2br w:val="nil"/>
              <w:tr2bl w:val="nil"/>
            </w:tcBorders>
            <w:vAlign w:val="center"/>
          </w:tcPr>
          <w:p w14:paraId="63A3C68B">
            <w:pPr>
              <w:pStyle w:val="240"/>
              <w:rPr>
                <w:rFonts w:hint="default"/>
              </w:rPr>
            </w:pPr>
            <w:r>
              <w:rPr>
                <w:rFonts w:hint="default"/>
              </w:rPr>
              <w:t>数据来源</w:t>
            </w:r>
          </w:p>
        </w:tc>
      </w:tr>
      <w:tr w14:paraId="7B2299DA">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108" w:type="dxa"/>
            <w:bottom w:w="0" w:type="dxa"/>
            <w:right w:w="108" w:type="dxa"/>
          </w:tblCellMar>
        </w:tblPrEx>
        <w:trPr>
          <w:trHeight w:val="23" w:hRule="atLeast"/>
          <w:jc w:val="center"/>
        </w:trPr>
        <w:tc>
          <w:tcPr>
            <w:tcW w:w="267" w:type="pct"/>
            <w:vMerge w:val="continue"/>
            <w:tcBorders>
              <w:tl2br w:val="nil"/>
              <w:tr2bl w:val="nil"/>
            </w:tcBorders>
            <w:vAlign w:val="center"/>
          </w:tcPr>
          <w:p w14:paraId="59410F1F">
            <w:pPr>
              <w:pStyle w:val="240"/>
              <w:rPr>
                <w:rFonts w:hint="default"/>
              </w:rPr>
            </w:pPr>
          </w:p>
        </w:tc>
        <w:tc>
          <w:tcPr>
            <w:tcW w:w="901" w:type="pct"/>
            <w:vMerge w:val="continue"/>
            <w:tcBorders>
              <w:tl2br w:val="nil"/>
              <w:tr2bl w:val="nil"/>
            </w:tcBorders>
            <w:vAlign w:val="center"/>
          </w:tcPr>
          <w:p w14:paraId="2FEE0A4E">
            <w:pPr>
              <w:pStyle w:val="240"/>
              <w:rPr>
                <w:rFonts w:hint="default"/>
              </w:rPr>
            </w:pPr>
          </w:p>
        </w:tc>
        <w:tc>
          <w:tcPr>
            <w:tcW w:w="826" w:type="pct"/>
            <w:gridSpan w:val="2"/>
            <w:tcBorders>
              <w:tl2br w:val="nil"/>
              <w:tr2bl w:val="nil"/>
            </w:tcBorders>
            <w:vAlign w:val="center"/>
          </w:tcPr>
          <w:p w14:paraId="5A0E1758">
            <w:pPr>
              <w:pStyle w:val="240"/>
              <w:rPr>
                <w:rFonts w:hint="default"/>
              </w:rPr>
            </w:pPr>
            <w:r>
              <w:rPr>
                <w:rFonts w:hint="default"/>
              </w:rPr>
              <w:t>已建□；在建□；</w:t>
            </w:r>
          </w:p>
          <w:p w14:paraId="69A26FF8">
            <w:pPr>
              <w:pStyle w:val="240"/>
              <w:rPr>
                <w:rFonts w:hint="default"/>
              </w:rPr>
            </w:pPr>
            <w:r>
              <w:rPr>
                <w:rFonts w:hint="default"/>
              </w:rPr>
              <w:t>拟建</w:t>
            </w:r>
            <w:r>
              <w:t>□</w:t>
            </w:r>
            <w:r>
              <w:rPr>
                <w:rFonts w:hint="default"/>
              </w:rPr>
              <w:t>；其他□</w:t>
            </w:r>
          </w:p>
        </w:tc>
        <w:tc>
          <w:tcPr>
            <w:tcW w:w="1090" w:type="pct"/>
            <w:gridSpan w:val="4"/>
            <w:tcBorders>
              <w:tl2br w:val="nil"/>
              <w:tr2bl w:val="nil"/>
            </w:tcBorders>
            <w:vAlign w:val="center"/>
          </w:tcPr>
          <w:p w14:paraId="17AE779B">
            <w:pPr>
              <w:pStyle w:val="240"/>
              <w:rPr>
                <w:rFonts w:hint="default"/>
              </w:rPr>
            </w:pPr>
            <w:r>
              <w:rPr>
                <w:rFonts w:hint="default"/>
              </w:rPr>
              <w:t>拟替代的污染源□</w:t>
            </w:r>
          </w:p>
        </w:tc>
        <w:tc>
          <w:tcPr>
            <w:tcW w:w="1913" w:type="pct"/>
            <w:gridSpan w:val="7"/>
            <w:tcBorders>
              <w:tl2br w:val="nil"/>
              <w:tr2bl w:val="nil"/>
            </w:tcBorders>
            <w:vAlign w:val="center"/>
          </w:tcPr>
          <w:p w14:paraId="1B2F281D">
            <w:pPr>
              <w:pStyle w:val="240"/>
              <w:rPr>
                <w:rFonts w:hint="default"/>
              </w:rPr>
            </w:pPr>
            <w:r>
              <w:rPr>
                <w:rFonts w:hint="default"/>
              </w:rPr>
              <w:t>排污许可证□；环评□；环保验收□；即有实施□；现场监测□；入河排放口数据□；其他□</w:t>
            </w:r>
          </w:p>
        </w:tc>
      </w:tr>
      <w:tr w14:paraId="1B89FC61">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108" w:type="dxa"/>
            <w:bottom w:w="0" w:type="dxa"/>
            <w:right w:w="108" w:type="dxa"/>
          </w:tblCellMar>
        </w:tblPrEx>
        <w:trPr>
          <w:trHeight w:val="23" w:hRule="atLeast"/>
          <w:jc w:val="center"/>
        </w:trPr>
        <w:tc>
          <w:tcPr>
            <w:tcW w:w="267" w:type="pct"/>
            <w:vMerge w:val="continue"/>
            <w:tcBorders>
              <w:tl2br w:val="nil"/>
              <w:tr2bl w:val="nil"/>
            </w:tcBorders>
            <w:vAlign w:val="center"/>
          </w:tcPr>
          <w:p w14:paraId="79753EAC">
            <w:pPr>
              <w:pStyle w:val="240"/>
              <w:rPr>
                <w:rFonts w:hint="default"/>
              </w:rPr>
            </w:pPr>
          </w:p>
        </w:tc>
        <w:tc>
          <w:tcPr>
            <w:tcW w:w="901" w:type="pct"/>
            <w:vMerge w:val="restart"/>
            <w:tcBorders>
              <w:tl2br w:val="nil"/>
              <w:tr2bl w:val="nil"/>
            </w:tcBorders>
            <w:vAlign w:val="center"/>
          </w:tcPr>
          <w:p w14:paraId="21F23DB4">
            <w:pPr>
              <w:pStyle w:val="240"/>
              <w:rPr>
                <w:rFonts w:hint="default"/>
              </w:rPr>
            </w:pPr>
            <w:r>
              <w:rPr>
                <w:rFonts w:hint="default"/>
              </w:rPr>
              <w:t>受影响水体水环境质量</w:t>
            </w:r>
          </w:p>
        </w:tc>
        <w:tc>
          <w:tcPr>
            <w:tcW w:w="1917" w:type="pct"/>
            <w:gridSpan w:val="6"/>
            <w:tcBorders>
              <w:tl2br w:val="nil"/>
              <w:tr2bl w:val="nil"/>
            </w:tcBorders>
            <w:vAlign w:val="center"/>
          </w:tcPr>
          <w:p w14:paraId="6535E78C">
            <w:pPr>
              <w:pStyle w:val="240"/>
              <w:rPr>
                <w:rFonts w:hint="default"/>
              </w:rPr>
            </w:pPr>
            <w:r>
              <w:rPr>
                <w:rFonts w:hint="default"/>
              </w:rPr>
              <w:t>调查时期</w:t>
            </w:r>
          </w:p>
        </w:tc>
        <w:tc>
          <w:tcPr>
            <w:tcW w:w="1913" w:type="pct"/>
            <w:gridSpan w:val="7"/>
            <w:tcBorders>
              <w:tl2br w:val="nil"/>
              <w:tr2bl w:val="nil"/>
            </w:tcBorders>
            <w:vAlign w:val="center"/>
          </w:tcPr>
          <w:p w14:paraId="6000D8CC">
            <w:pPr>
              <w:pStyle w:val="240"/>
              <w:rPr>
                <w:rFonts w:hint="default"/>
              </w:rPr>
            </w:pPr>
            <w:r>
              <w:rPr>
                <w:rFonts w:hint="default"/>
              </w:rPr>
              <w:t>数据来源</w:t>
            </w:r>
          </w:p>
        </w:tc>
      </w:tr>
      <w:tr w14:paraId="4E046C43">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108" w:type="dxa"/>
            <w:bottom w:w="0" w:type="dxa"/>
            <w:right w:w="108" w:type="dxa"/>
          </w:tblCellMar>
        </w:tblPrEx>
        <w:trPr>
          <w:trHeight w:val="23" w:hRule="atLeast"/>
          <w:jc w:val="center"/>
        </w:trPr>
        <w:tc>
          <w:tcPr>
            <w:tcW w:w="267" w:type="pct"/>
            <w:vMerge w:val="continue"/>
            <w:tcBorders>
              <w:tl2br w:val="nil"/>
              <w:tr2bl w:val="nil"/>
            </w:tcBorders>
            <w:vAlign w:val="center"/>
          </w:tcPr>
          <w:p w14:paraId="17A3C8CB">
            <w:pPr>
              <w:pStyle w:val="240"/>
              <w:rPr>
                <w:rFonts w:hint="default"/>
              </w:rPr>
            </w:pPr>
          </w:p>
        </w:tc>
        <w:tc>
          <w:tcPr>
            <w:tcW w:w="901" w:type="pct"/>
            <w:vMerge w:val="continue"/>
            <w:tcBorders>
              <w:tl2br w:val="nil"/>
              <w:tr2bl w:val="nil"/>
            </w:tcBorders>
            <w:vAlign w:val="center"/>
          </w:tcPr>
          <w:p w14:paraId="015AC607">
            <w:pPr>
              <w:pStyle w:val="240"/>
              <w:rPr>
                <w:rFonts w:hint="default"/>
              </w:rPr>
            </w:pPr>
          </w:p>
        </w:tc>
        <w:tc>
          <w:tcPr>
            <w:tcW w:w="1917" w:type="pct"/>
            <w:gridSpan w:val="6"/>
            <w:tcBorders>
              <w:tl2br w:val="nil"/>
              <w:tr2bl w:val="nil"/>
            </w:tcBorders>
            <w:vAlign w:val="center"/>
          </w:tcPr>
          <w:p w14:paraId="126BA974">
            <w:pPr>
              <w:pStyle w:val="240"/>
              <w:rPr>
                <w:rFonts w:hint="default"/>
              </w:rPr>
            </w:pPr>
            <w:r>
              <w:rPr>
                <w:rFonts w:hint="default"/>
              </w:rPr>
              <w:t>丰水期□；平水期□；枯水期□；</w:t>
            </w:r>
          </w:p>
          <w:p w14:paraId="47506F61">
            <w:pPr>
              <w:pStyle w:val="240"/>
              <w:rPr>
                <w:rFonts w:hint="default"/>
              </w:rPr>
            </w:pPr>
            <w:r>
              <w:rPr>
                <w:rFonts w:hint="default"/>
              </w:rPr>
              <w:t>冰封期□；春季□；夏季</w:t>
            </w:r>
            <w:r>
              <w:t>□</w:t>
            </w:r>
            <w:r>
              <w:rPr>
                <w:rFonts w:hint="default"/>
              </w:rPr>
              <w:t>；秋季□；</w:t>
            </w:r>
          </w:p>
          <w:p w14:paraId="73CDAFF8">
            <w:pPr>
              <w:pStyle w:val="240"/>
              <w:rPr>
                <w:rFonts w:hint="default"/>
              </w:rPr>
            </w:pPr>
            <w:r>
              <w:rPr>
                <w:rFonts w:hint="default"/>
              </w:rPr>
              <w:t>冬季□</w:t>
            </w:r>
          </w:p>
        </w:tc>
        <w:tc>
          <w:tcPr>
            <w:tcW w:w="1913" w:type="pct"/>
            <w:gridSpan w:val="7"/>
            <w:tcBorders>
              <w:tl2br w:val="nil"/>
              <w:tr2bl w:val="nil"/>
            </w:tcBorders>
            <w:vAlign w:val="center"/>
          </w:tcPr>
          <w:p w14:paraId="34E4A971">
            <w:pPr>
              <w:pStyle w:val="240"/>
              <w:rPr>
                <w:rFonts w:hint="default"/>
              </w:rPr>
            </w:pPr>
            <w:r>
              <w:rPr>
                <w:rFonts w:hint="default"/>
              </w:rPr>
              <w:t>生态环境保护主管部门□；</w:t>
            </w:r>
          </w:p>
          <w:p w14:paraId="434520B4">
            <w:pPr>
              <w:pStyle w:val="240"/>
              <w:rPr>
                <w:rFonts w:hint="default"/>
              </w:rPr>
            </w:pPr>
            <w:r>
              <w:rPr>
                <w:rFonts w:hint="default"/>
              </w:rPr>
              <w:t>补充监测□；其他□</w:t>
            </w:r>
          </w:p>
        </w:tc>
      </w:tr>
      <w:tr w14:paraId="40C4E1A0">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108" w:type="dxa"/>
            <w:bottom w:w="0" w:type="dxa"/>
            <w:right w:w="108" w:type="dxa"/>
          </w:tblCellMar>
        </w:tblPrEx>
        <w:trPr>
          <w:trHeight w:val="23" w:hRule="atLeast"/>
          <w:jc w:val="center"/>
        </w:trPr>
        <w:tc>
          <w:tcPr>
            <w:tcW w:w="267" w:type="pct"/>
            <w:vMerge w:val="continue"/>
            <w:tcBorders>
              <w:tl2br w:val="nil"/>
              <w:tr2bl w:val="nil"/>
            </w:tcBorders>
            <w:vAlign w:val="center"/>
          </w:tcPr>
          <w:p w14:paraId="1ABA1C23">
            <w:pPr>
              <w:pStyle w:val="240"/>
              <w:rPr>
                <w:rFonts w:hint="default"/>
              </w:rPr>
            </w:pPr>
          </w:p>
        </w:tc>
        <w:tc>
          <w:tcPr>
            <w:tcW w:w="901" w:type="pct"/>
            <w:tcBorders>
              <w:tl2br w:val="nil"/>
              <w:tr2bl w:val="nil"/>
            </w:tcBorders>
            <w:vAlign w:val="center"/>
          </w:tcPr>
          <w:p w14:paraId="70D61D5D">
            <w:pPr>
              <w:pStyle w:val="240"/>
              <w:rPr>
                <w:rFonts w:hint="default"/>
              </w:rPr>
            </w:pPr>
            <w:r>
              <w:rPr>
                <w:rFonts w:hint="default"/>
              </w:rPr>
              <w:t>区域水资源开发利用状况</w:t>
            </w:r>
          </w:p>
        </w:tc>
        <w:tc>
          <w:tcPr>
            <w:tcW w:w="3831" w:type="pct"/>
            <w:gridSpan w:val="13"/>
            <w:tcBorders>
              <w:tl2br w:val="nil"/>
              <w:tr2bl w:val="nil"/>
            </w:tcBorders>
            <w:vAlign w:val="center"/>
          </w:tcPr>
          <w:p w14:paraId="613170E5">
            <w:pPr>
              <w:pStyle w:val="240"/>
              <w:rPr>
                <w:rFonts w:hint="default"/>
              </w:rPr>
            </w:pPr>
            <w:r>
              <w:rPr>
                <w:rFonts w:hint="default"/>
              </w:rPr>
              <w:t>未开发</w:t>
            </w:r>
            <w:r>
              <w:t>□</w:t>
            </w:r>
            <w:r>
              <w:rPr>
                <w:rFonts w:hint="default"/>
              </w:rPr>
              <w:t>；开发量40%以下□；开发量40%以上□</w:t>
            </w:r>
          </w:p>
        </w:tc>
      </w:tr>
      <w:tr w14:paraId="2F0BA6CB">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108" w:type="dxa"/>
            <w:bottom w:w="0" w:type="dxa"/>
            <w:right w:w="108" w:type="dxa"/>
          </w:tblCellMar>
        </w:tblPrEx>
        <w:trPr>
          <w:trHeight w:val="23" w:hRule="atLeast"/>
          <w:jc w:val="center"/>
        </w:trPr>
        <w:tc>
          <w:tcPr>
            <w:tcW w:w="267" w:type="pct"/>
            <w:vMerge w:val="continue"/>
            <w:tcBorders>
              <w:tl2br w:val="nil"/>
              <w:tr2bl w:val="nil"/>
            </w:tcBorders>
            <w:vAlign w:val="center"/>
          </w:tcPr>
          <w:p w14:paraId="5C108832">
            <w:pPr>
              <w:pStyle w:val="240"/>
              <w:rPr>
                <w:rFonts w:hint="default"/>
              </w:rPr>
            </w:pPr>
          </w:p>
        </w:tc>
        <w:tc>
          <w:tcPr>
            <w:tcW w:w="901" w:type="pct"/>
            <w:vMerge w:val="restart"/>
            <w:tcBorders>
              <w:tl2br w:val="nil"/>
              <w:tr2bl w:val="nil"/>
            </w:tcBorders>
            <w:vAlign w:val="center"/>
          </w:tcPr>
          <w:p w14:paraId="0145D48A">
            <w:pPr>
              <w:pStyle w:val="240"/>
              <w:rPr>
                <w:rFonts w:hint="default"/>
              </w:rPr>
            </w:pPr>
            <w:r>
              <w:rPr>
                <w:rFonts w:hint="default"/>
              </w:rPr>
              <w:t>水文情势调查</w:t>
            </w:r>
          </w:p>
        </w:tc>
        <w:tc>
          <w:tcPr>
            <w:tcW w:w="1917" w:type="pct"/>
            <w:gridSpan w:val="6"/>
            <w:tcBorders>
              <w:tl2br w:val="nil"/>
              <w:tr2bl w:val="nil"/>
            </w:tcBorders>
            <w:vAlign w:val="center"/>
          </w:tcPr>
          <w:p w14:paraId="6EF75499">
            <w:pPr>
              <w:pStyle w:val="240"/>
              <w:rPr>
                <w:rFonts w:hint="default"/>
              </w:rPr>
            </w:pPr>
            <w:r>
              <w:rPr>
                <w:rFonts w:hint="default"/>
              </w:rPr>
              <w:t>调查时期</w:t>
            </w:r>
          </w:p>
        </w:tc>
        <w:tc>
          <w:tcPr>
            <w:tcW w:w="1913" w:type="pct"/>
            <w:gridSpan w:val="7"/>
            <w:tcBorders>
              <w:tl2br w:val="nil"/>
              <w:tr2bl w:val="nil"/>
            </w:tcBorders>
            <w:vAlign w:val="center"/>
          </w:tcPr>
          <w:p w14:paraId="217560B4">
            <w:pPr>
              <w:pStyle w:val="240"/>
              <w:rPr>
                <w:rFonts w:hint="default"/>
              </w:rPr>
            </w:pPr>
            <w:r>
              <w:rPr>
                <w:rFonts w:hint="default"/>
              </w:rPr>
              <w:t>数据来源</w:t>
            </w:r>
          </w:p>
        </w:tc>
      </w:tr>
      <w:tr w14:paraId="1B162FA6">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108" w:type="dxa"/>
            <w:bottom w:w="0" w:type="dxa"/>
            <w:right w:w="108" w:type="dxa"/>
          </w:tblCellMar>
        </w:tblPrEx>
        <w:trPr>
          <w:trHeight w:val="23" w:hRule="atLeast"/>
          <w:jc w:val="center"/>
        </w:trPr>
        <w:tc>
          <w:tcPr>
            <w:tcW w:w="267" w:type="pct"/>
            <w:vMerge w:val="continue"/>
            <w:tcBorders>
              <w:tl2br w:val="nil"/>
              <w:tr2bl w:val="nil"/>
            </w:tcBorders>
            <w:vAlign w:val="center"/>
          </w:tcPr>
          <w:p w14:paraId="6D0A8592">
            <w:pPr>
              <w:pStyle w:val="240"/>
              <w:rPr>
                <w:rFonts w:hint="default"/>
              </w:rPr>
            </w:pPr>
          </w:p>
        </w:tc>
        <w:tc>
          <w:tcPr>
            <w:tcW w:w="901" w:type="pct"/>
            <w:vMerge w:val="continue"/>
            <w:tcBorders>
              <w:tl2br w:val="nil"/>
              <w:tr2bl w:val="nil"/>
            </w:tcBorders>
            <w:vAlign w:val="center"/>
          </w:tcPr>
          <w:p w14:paraId="47B32B59">
            <w:pPr>
              <w:pStyle w:val="240"/>
              <w:rPr>
                <w:rFonts w:hint="default"/>
              </w:rPr>
            </w:pPr>
          </w:p>
        </w:tc>
        <w:tc>
          <w:tcPr>
            <w:tcW w:w="1917" w:type="pct"/>
            <w:gridSpan w:val="6"/>
            <w:tcBorders>
              <w:tl2br w:val="nil"/>
              <w:tr2bl w:val="nil"/>
            </w:tcBorders>
            <w:vAlign w:val="center"/>
          </w:tcPr>
          <w:p w14:paraId="3F92D22B">
            <w:pPr>
              <w:pStyle w:val="240"/>
              <w:rPr>
                <w:rFonts w:hint="default"/>
              </w:rPr>
            </w:pPr>
            <w:r>
              <w:rPr>
                <w:rFonts w:hint="default"/>
              </w:rPr>
              <w:t>丰水期</w:t>
            </w:r>
            <w:r>
              <w:t>□</w:t>
            </w:r>
            <w:r>
              <w:rPr>
                <w:rFonts w:hint="default"/>
              </w:rPr>
              <w:t>；平水期</w:t>
            </w:r>
            <w:r>
              <w:t>□</w:t>
            </w:r>
            <w:r>
              <w:rPr>
                <w:rFonts w:hint="default"/>
              </w:rPr>
              <w:t>；枯水期</w:t>
            </w:r>
            <w:r>
              <w:t>□</w:t>
            </w:r>
            <w:r>
              <w:rPr>
                <w:rFonts w:hint="default"/>
              </w:rPr>
              <w:t>；</w:t>
            </w:r>
          </w:p>
          <w:p w14:paraId="7E95977B">
            <w:pPr>
              <w:pStyle w:val="240"/>
              <w:rPr>
                <w:rFonts w:hint="default"/>
              </w:rPr>
            </w:pPr>
            <w:r>
              <w:rPr>
                <w:rFonts w:hint="default"/>
              </w:rPr>
              <w:t>冰封期</w:t>
            </w:r>
            <w:r>
              <w:t>□</w:t>
            </w:r>
            <w:r>
              <w:rPr>
                <w:rFonts w:hint="default"/>
              </w:rPr>
              <w:t>；春季</w:t>
            </w:r>
            <w:r>
              <w:t>□</w:t>
            </w:r>
            <w:r>
              <w:rPr>
                <w:rFonts w:hint="default"/>
              </w:rPr>
              <w:t>；夏季</w:t>
            </w:r>
            <w:r>
              <w:t>□</w:t>
            </w:r>
            <w:r>
              <w:rPr>
                <w:rFonts w:hint="default"/>
              </w:rPr>
              <w:t>；秋季</w:t>
            </w:r>
            <w:r>
              <w:t>□</w:t>
            </w:r>
            <w:r>
              <w:rPr>
                <w:rFonts w:hint="default"/>
              </w:rPr>
              <w:t>；冬季</w:t>
            </w:r>
            <w:r>
              <w:t>□</w:t>
            </w:r>
          </w:p>
        </w:tc>
        <w:tc>
          <w:tcPr>
            <w:tcW w:w="1913" w:type="pct"/>
            <w:gridSpan w:val="7"/>
            <w:tcBorders>
              <w:tl2br w:val="nil"/>
              <w:tr2bl w:val="nil"/>
            </w:tcBorders>
            <w:vAlign w:val="center"/>
          </w:tcPr>
          <w:p w14:paraId="4BE13E0C">
            <w:pPr>
              <w:pStyle w:val="240"/>
              <w:rPr>
                <w:rFonts w:hint="default"/>
              </w:rPr>
            </w:pPr>
            <w:r>
              <w:rPr>
                <w:rFonts w:hint="default"/>
              </w:rPr>
              <w:t>水行政主管部门</w:t>
            </w:r>
            <w:r>
              <w:t>□</w:t>
            </w:r>
            <w:r>
              <w:rPr>
                <w:rFonts w:hint="default"/>
              </w:rPr>
              <w:t>；补充监测</w:t>
            </w:r>
            <w:r>
              <w:t>□</w:t>
            </w:r>
            <w:r>
              <w:rPr>
                <w:rFonts w:hint="default"/>
              </w:rPr>
              <w:t>；其他</w:t>
            </w:r>
            <w:r>
              <w:t>□</w:t>
            </w:r>
          </w:p>
        </w:tc>
      </w:tr>
      <w:tr w14:paraId="0D205056">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108" w:type="dxa"/>
            <w:bottom w:w="0" w:type="dxa"/>
            <w:right w:w="108" w:type="dxa"/>
          </w:tblCellMar>
        </w:tblPrEx>
        <w:trPr>
          <w:trHeight w:val="23" w:hRule="atLeast"/>
          <w:jc w:val="center"/>
        </w:trPr>
        <w:tc>
          <w:tcPr>
            <w:tcW w:w="267" w:type="pct"/>
            <w:vMerge w:val="continue"/>
            <w:tcBorders>
              <w:tl2br w:val="nil"/>
              <w:tr2bl w:val="nil"/>
            </w:tcBorders>
            <w:vAlign w:val="center"/>
          </w:tcPr>
          <w:p w14:paraId="3D2EAC40">
            <w:pPr>
              <w:pStyle w:val="240"/>
              <w:rPr>
                <w:rFonts w:hint="default"/>
              </w:rPr>
            </w:pPr>
          </w:p>
        </w:tc>
        <w:tc>
          <w:tcPr>
            <w:tcW w:w="901" w:type="pct"/>
            <w:vMerge w:val="restart"/>
            <w:tcBorders>
              <w:tl2br w:val="nil"/>
              <w:tr2bl w:val="nil"/>
            </w:tcBorders>
            <w:vAlign w:val="center"/>
          </w:tcPr>
          <w:p w14:paraId="4292EEE3">
            <w:pPr>
              <w:pStyle w:val="240"/>
              <w:rPr>
                <w:rFonts w:hint="default"/>
              </w:rPr>
            </w:pPr>
            <w:r>
              <w:rPr>
                <w:rFonts w:hint="default"/>
              </w:rPr>
              <w:t>补充监测</w:t>
            </w:r>
          </w:p>
        </w:tc>
        <w:tc>
          <w:tcPr>
            <w:tcW w:w="1917" w:type="pct"/>
            <w:gridSpan w:val="6"/>
            <w:tcBorders>
              <w:tl2br w:val="nil"/>
              <w:tr2bl w:val="nil"/>
            </w:tcBorders>
            <w:vAlign w:val="center"/>
          </w:tcPr>
          <w:p w14:paraId="19E359ED">
            <w:pPr>
              <w:pStyle w:val="240"/>
              <w:rPr>
                <w:rFonts w:hint="default"/>
              </w:rPr>
            </w:pPr>
            <w:r>
              <w:rPr>
                <w:rFonts w:hint="default"/>
              </w:rPr>
              <w:t>监测时间</w:t>
            </w:r>
          </w:p>
        </w:tc>
        <w:tc>
          <w:tcPr>
            <w:tcW w:w="849" w:type="pct"/>
            <w:gridSpan w:val="4"/>
            <w:tcBorders>
              <w:tl2br w:val="nil"/>
              <w:tr2bl w:val="nil"/>
            </w:tcBorders>
            <w:vAlign w:val="center"/>
          </w:tcPr>
          <w:p w14:paraId="41FD9C4F">
            <w:pPr>
              <w:pStyle w:val="240"/>
              <w:rPr>
                <w:rFonts w:hint="default"/>
              </w:rPr>
            </w:pPr>
            <w:r>
              <w:rPr>
                <w:rFonts w:hint="default"/>
              </w:rPr>
              <w:t>监测因子</w:t>
            </w:r>
          </w:p>
        </w:tc>
        <w:tc>
          <w:tcPr>
            <w:tcW w:w="1064" w:type="pct"/>
            <w:gridSpan w:val="3"/>
            <w:tcBorders>
              <w:tl2br w:val="nil"/>
              <w:tr2bl w:val="nil"/>
            </w:tcBorders>
            <w:vAlign w:val="center"/>
          </w:tcPr>
          <w:p w14:paraId="396259EB">
            <w:pPr>
              <w:pStyle w:val="240"/>
              <w:rPr>
                <w:rFonts w:hint="default"/>
              </w:rPr>
            </w:pPr>
            <w:r>
              <w:rPr>
                <w:rFonts w:hint="default"/>
              </w:rPr>
              <w:t>监测断面或点位</w:t>
            </w:r>
          </w:p>
        </w:tc>
      </w:tr>
      <w:tr w14:paraId="7E88662D">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108" w:type="dxa"/>
            <w:bottom w:w="0" w:type="dxa"/>
            <w:right w:w="108" w:type="dxa"/>
          </w:tblCellMar>
        </w:tblPrEx>
        <w:trPr>
          <w:trHeight w:val="23" w:hRule="atLeast"/>
          <w:jc w:val="center"/>
        </w:trPr>
        <w:tc>
          <w:tcPr>
            <w:tcW w:w="267" w:type="pct"/>
            <w:vMerge w:val="continue"/>
            <w:tcBorders>
              <w:tl2br w:val="nil"/>
              <w:tr2bl w:val="nil"/>
            </w:tcBorders>
            <w:vAlign w:val="center"/>
          </w:tcPr>
          <w:p w14:paraId="2BB69D0E">
            <w:pPr>
              <w:pStyle w:val="240"/>
              <w:rPr>
                <w:rFonts w:hint="default"/>
              </w:rPr>
            </w:pPr>
          </w:p>
        </w:tc>
        <w:tc>
          <w:tcPr>
            <w:tcW w:w="901" w:type="pct"/>
            <w:vMerge w:val="continue"/>
            <w:tcBorders>
              <w:tl2br w:val="nil"/>
              <w:tr2bl w:val="nil"/>
            </w:tcBorders>
            <w:vAlign w:val="center"/>
          </w:tcPr>
          <w:p w14:paraId="17B3E334">
            <w:pPr>
              <w:pStyle w:val="240"/>
              <w:rPr>
                <w:rFonts w:hint="default"/>
              </w:rPr>
            </w:pPr>
          </w:p>
        </w:tc>
        <w:tc>
          <w:tcPr>
            <w:tcW w:w="1917" w:type="pct"/>
            <w:gridSpan w:val="6"/>
            <w:tcBorders>
              <w:tl2br w:val="nil"/>
              <w:tr2bl w:val="nil"/>
            </w:tcBorders>
            <w:vAlign w:val="center"/>
          </w:tcPr>
          <w:p w14:paraId="6B1FEF72">
            <w:pPr>
              <w:pStyle w:val="240"/>
              <w:rPr>
                <w:rFonts w:hint="default"/>
              </w:rPr>
            </w:pPr>
            <w:r>
              <w:rPr>
                <w:rFonts w:hint="default"/>
              </w:rPr>
              <w:t>丰水期</w:t>
            </w:r>
            <w:r>
              <w:t>□</w:t>
            </w:r>
            <w:r>
              <w:rPr>
                <w:rFonts w:hint="default"/>
              </w:rPr>
              <w:t>；平水期</w:t>
            </w:r>
            <w:r>
              <w:t>□</w:t>
            </w:r>
            <w:r>
              <w:rPr>
                <w:rFonts w:hint="default"/>
              </w:rPr>
              <w:t>；枯水期</w:t>
            </w:r>
            <w:r>
              <w:t>□</w:t>
            </w:r>
            <w:r>
              <w:rPr>
                <w:rFonts w:hint="default"/>
              </w:rPr>
              <w:t>；</w:t>
            </w:r>
          </w:p>
          <w:p w14:paraId="4331D30A">
            <w:pPr>
              <w:pStyle w:val="240"/>
              <w:rPr>
                <w:rFonts w:hint="default"/>
              </w:rPr>
            </w:pPr>
            <w:r>
              <w:rPr>
                <w:rFonts w:hint="default"/>
              </w:rPr>
              <w:t>冰封期</w:t>
            </w:r>
            <w:r>
              <w:t>□</w:t>
            </w:r>
            <w:r>
              <w:rPr>
                <w:rFonts w:hint="default"/>
              </w:rPr>
              <w:t>；春季</w:t>
            </w:r>
            <w:r>
              <w:t>□</w:t>
            </w:r>
            <w:r>
              <w:rPr>
                <w:rFonts w:hint="default"/>
              </w:rPr>
              <w:t>；夏季</w:t>
            </w:r>
            <w:r>
              <w:t>□</w:t>
            </w:r>
            <w:r>
              <w:rPr>
                <w:rFonts w:hint="default"/>
              </w:rPr>
              <w:t>；秋季</w:t>
            </w:r>
            <w:r>
              <w:t>□</w:t>
            </w:r>
            <w:r>
              <w:rPr>
                <w:rFonts w:hint="default"/>
              </w:rPr>
              <w:t>；冬季</w:t>
            </w:r>
            <w:r>
              <w:t>□</w:t>
            </w:r>
          </w:p>
        </w:tc>
        <w:tc>
          <w:tcPr>
            <w:tcW w:w="849" w:type="pct"/>
            <w:gridSpan w:val="4"/>
            <w:tcBorders>
              <w:tl2br w:val="nil"/>
              <w:tr2bl w:val="nil"/>
            </w:tcBorders>
            <w:vAlign w:val="center"/>
          </w:tcPr>
          <w:p w14:paraId="6979EC64">
            <w:pPr>
              <w:pStyle w:val="240"/>
              <w:rPr>
                <w:rFonts w:hint="default"/>
              </w:rPr>
            </w:pPr>
            <w:r>
              <w:rPr>
                <w:rFonts w:hint="default"/>
              </w:rPr>
              <w:t>（）</w:t>
            </w:r>
          </w:p>
        </w:tc>
        <w:tc>
          <w:tcPr>
            <w:tcW w:w="1064" w:type="pct"/>
            <w:gridSpan w:val="3"/>
            <w:tcBorders>
              <w:tl2br w:val="nil"/>
              <w:tr2bl w:val="nil"/>
            </w:tcBorders>
            <w:vAlign w:val="center"/>
          </w:tcPr>
          <w:p w14:paraId="056E964B">
            <w:pPr>
              <w:pStyle w:val="240"/>
              <w:rPr>
                <w:rFonts w:hint="default"/>
              </w:rPr>
            </w:pPr>
            <w:r>
              <w:rPr>
                <w:rFonts w:hint="default"/>
              </w:rPr>
              <w:t>监测断面或点位个数（）个</w:t>
            </w:r>
          </w:p>
        </w:tc>
      </w:tr>
      <w:tr w14:paraId="6A433AAA">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108" w:type="dxa"/>
            <w:bottom w:w="0" w:type="dxa"/>
            <w:right w:w="108" w:type="dxa"/>
          </w:tblCellMar>
        </w:tblPrEx>
        <w:trPr>
          <w:trHeight w:val="23" w:hRule="atLeast"/>
          <w:jc w:val="center"/>
        </w:trPr>
        <w:tc>
          <w:tcPr>
            <w:tcW w:w="267" w:type="pct"/>
            <w:vMerge w:val="restart"/>
            <w:tcBorders>
              <w:tl2br w:val="nil"/>
              <w:tr2bl w:val="nil"/>
            </w:tcBorders>
            <w:vAlign w:val="center"/>
          </w:tcPr>
          <w:p w14:paraId="51C4CF9F">
            <w:pPr>
              <w:pStyle w:val="240"/>
              <w:rPr>
                <w:rFonts w:hint="default"/>
              </w:rPr>
            </w:pPr>
            <w:r>
              <w:rPr>
                <w:rFonts w:hint="default"/>
              </w:rPr>
              <w:t>现状评价</w:t>
            </w:r>
          </w:p>
        </w:tc>
        <w:tc>
          <w:tcPr>
            <w:tcW w:w="901" w:type="pct"/>
            <w:tcBorders>
              <w:tl2br w:val="nil"/>
              <w:tr2bl w:val="nil"/>
            </w:tcBorders>
            <w:vAlign w:val="center"/>
          </w:tcPr>
          <w:p w14:paraId="065DE999">
            <w:pPr>
              <w:pStyle w:val="240"/>
              <w:rPr>
                <w:rFonts w:hint="default"/>
              </w:rPr>
            </w:pPr>
            <w:r>
              <w:rPr>
                <w:rFonts w:hint="default"/>
              </w:rPr>
              <w:t>评价范围</w:t>
            </w:r>
          </w:p>
        </w:tc>
        <w:tc>
          <w:tcPr>
            <w:tcW w:w="3831" w:type="pct"/>
            <w:gridSpan w:val="13"/>
            <w:tcBorders>
              <w:tl2br w:val="nil"/>
              <w:tr2bl w:val="nil"/>
            </w:tcBorders>
            <w:vAlign w:val="center"/>
          </w:tcPr>
          <w:p w14:paraId="5BD73619">
            <w:pPr>
              <w:pStyle w:val="240"/>
              <w:rPr>
                <w:rFonts w:hint="default"/>
              </w:rPr>
            </w:pPr>
            <w:r>
              <w:rPr>
                <w:rFonts w:hint="default"/>
              </w:rPr>
              <w:t>河流：长度（）km；湖库、河口及近岸海域：面积（）km2</w:t>
            </w:r>
          </w:p>
        </w:tc>
      </w:tr>
      <w:tr w14:paraId="2B3729D2">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108" w:type="dxa"/>
            <w:bottom w:w="0" w:type="dxa"/>
            <w:right w:w="108" w:type="dxa"/>
          </w:tblCellMar>
        </w:tblPrEx>
        <w:trPr>
          <w:trHeight w:val="23" w:hRule="atLeast"/>
          <w:jc w:val="center"/>
        </w:trPr>
        <w:tc>
          <w:tcPr>
            <w:tcW w:w="267" w:type="pct"/>
            <w:vMerge w:val="continue"/>
            <w:tcBorders>
              <w:tl2br w:val="nil"/>
              <w:tr2bl w:val="nil"/>
            </w:tcBorders>
            <w:vAlign w:val="center"/>
          </w:tcPr>
          <w:p w14:paraId="302E86F1">
            <w:pPr>
              <w:pStyle w:val="240"/>
              <w:rPr>
                <w:rFonts w:hint="default"/>
              </w:rPr>
            </w:pPr>
          </w:p>
        </w:tc>
        <w:tc>
          <w:tcPr>
            <w:tcW w:w="901" w:type="pct"/>
            <w:tcBorders>
              <w:tl2br w:val="nil"/>
              <w:tr2bl w:val="nil"/>
            </w:tcBorders>
            <w:vAlign w:val="center"/>
          </w:tcPr>
          <w:p w14:paraId="03FB96B5">
            <w:pPr>
              <w:pStyle w:val="240"/>
              <w:rPr>
                <w:rFonts w:hint="default"/>
              </w:rPr>
            </w:pPr>
            <w:r>
              <w:rPr>
                <w:rFonts w:hint="default"/>
              </w:rPr>
              <w:t>评价因子</w:t>
            </w:r>
          </w:p>
        </w:tc>
        <w:tc>
          <w:tcPr>
            <w:tcW w:w="3831" w:type="pct"/>
            <w:gridSpan w:val="13"/>
            <w:tcBorders>
              <w:tl2br w:val="nil"/>
              <w:tr2bl w:val="nil"/>
            </w:tcBorders>
            <w:vAlign w:val="center"/>
          </w:tcPr>
          <w:p w14:paraId="65D15859">
            <w:pPr>
              <w:pStyle w:val="240"/>
              <w:rPr>
                <w:rFonts w:hint="default"/>
              </w:rPr>
            </w:pPr>
            <w:r>
              <w:rPr>
                <w:rFonts w:hint="default"/>
              </w:rPr>
              <w:t>（</w:t>
            </w:r>
            <w:r>
              <w:t xml:space="preserve">      </w:t>
            </w:r>
            <w:r>
              <w:rPr>
                <w:rFonts w:hint="default"/>
              </w:rPr>
              <w:t>）</w:t>
            </w:r>
          </w:p>
        </w:tc>
      </w:tr>
      <w:tr w14:paraId="3ACA8825">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108" w:type="dxa"/>
            <w:bottom w:w="0" w:type="dxa"/>
            <w:right w:w="108" w:type="dxa"/>
          </w:tblCellMar>
        </w:tblPrEx>
        <w:trPr>
          <w:trHeight w:val="23" w:hRule="atLeast"/>
          <w:jc w:val="center"/>
        </w:trPr>
        <w:tc>
          <w:tcPr>
            <w:tcW w:w="267" w:type="pct"/>
            <w:vMerge w:val="continue"/>
            <w:tcBorders>
              <w:tl2br w:val="nil"/>
              <w:tr2bl w:val="nil"/>
            </w:tcBorders>
            <w:vAlign w:val="center"/>
          </w:tcPr>
          <w:p w14:paraId="7E4C2ECF">
            <w:pPr>
              <w:pStyle w:val="240"/>
              <w:rPr>
                <w:rFonts w:hint="default"/>
              </w:rPr>
            </w:pPr>
          </w:p>
        </w:tc>
        <w:tc>
          <w:tcPr>
            <w:tcW w:w="901" w:type="pct"/>
            <w:tcBorders>
              <w:tl2br w:val="nil"/>
              <w:tr2bl w:val="nil"/>
            </w:tcBorders>
            <w:vAlign w:val="center"/>
          </w:tcPr>
          <w:p w14:paraId="4BACAD04">
            <w:pPr>
              <w:pStyle w:val="240"/>
              <w:rPr>
                <w:rFonts w:hint="default"/>
              </w:rPr>
            </w:pPr>
            <w:r>
              <w:rPr>
                <w:rFonts w:hint="default"/>
              </w:rPr>
              <w:t>评价标准</w:t>
            </w:r>
          </w:p>
        </w:tc>
        <w:tc>
          <w:tcPr>
            <w:tcW w:w="3831" w:type="pct"/>
            <w:gridSpan w:val="13"/>
            <w:tcBorders>
              <w:tl2br w:val="nil"/>
              <w:tr2bl w:val="nil"/>
            </w:tcBorders>
            <w:vAlign w:val="center"/>
          </w:tcPr>
          <w:p w14:paraId="3A7648FF">
            <w:pPr>
              <w:pStyle w:val="240"/>
              <w:rPr>
                <w:rFonts w:hint="default"/>
              </w:rPr>
            </w:pPr>
            <w:r>
              <w:rPr>
                <w:rFonts w:hint="default"/>
              </w:rPr>
              <w:t>河流、湖库、河口：Ⅰ类□；Ⅱ类；Ⅲ类</w:t>
            </w:r>
            <w:r>
              <w:t>□</w:t>
            </w:r>
            <w:r>
              <w:rPr>
                <w:rFonts w:hint="default"/>
              </w:rPr>
              <w:t>；Ⅳ类□；Ⅴ类□</w:t>
            </w:r>
          </w:p>
          <w:p w14:paraId="66DB309B">
            <w:pPr>
              <w:pStyle w:val="240"/>
              <w:rPr>
                <w:rFonts w:hint="default"/>
              </w:rPr>
            </w:pPr>
            <w:r>
              <w:rPr>
                <w:rFonts w:hint="default"/>
              </w:rPr>
              <w:t>近岸海域：第一类□；第二类□；第三类□；第四类□</w:t>
            </w:r>
          </w:p>
          <w:p w14:paraId="01E49F93">
            <w:pPr>
              <w:pStyle w:val="240"/>
              <w:rPr>
                <w:rFonts w:hint="default"/>
              </w:rPr>
            </w:pPr>
            <w:r>
              <w:rPr>
                <w:rFonts w:hint="default"/>
              </w:rPr>
              <w:t>规划年评价标准（）</w:t>
            </w:r>
          </w:p>
        </w:tc>
      </w:tr>
      <w:tr w14:paraId="626FB6BC">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108" w:type="dxa"/>
            <w:bottom w:w="0" w:type="dxa"/>
            <w:right w:w="108" w:type="dxa"/>
          </w:tblCellMar>
        </w:tblPrEx>
        <w:trPr>
          <w:trHeight w:val="23" w:hRule="atLeast"/>
          <w:jc w:val="center"/>
        </w:trPr>
        <w:tc>
          <w:tcPr>
            <w:tcW w:w="267" w:type="pct"/>
            <w:vMerge w:val="continue"/>
            <w:tcBorders>
              <w:tl2br w:val="nil"/>
              <w:tr2bl w:val="nil"/>
            </w:tcBorders>
            <w:vAlign w:val="center"/>
          </w:tcPr>
          <w:p w14:paraId="06D5C0B3">
            <w:pPr>
              <w:pStyle w:val="240"/>
              <w:rPr>
                <w:rFonts w:hint="default"/>
              </w:rPr>
            </w:pPr>
          </w:p>
        </w:tc>
        <w:tc>
          <w:tcPr>
            <w:tcW w:w="901" w:type="pct"/>
            <w:tcBorders>
              <w:tl2br w:val="nil"/>
              <w:tr2bl w:val="nil"/>
            </w:tcBorders>
            <w:vAlign w:val="center"/>
          </w:tcPr>
          <w:p w14:paraId="514E418F">
            <w:pPr>
              <w:pStyle w:val="240"/>
              <w:rPr>
                <w:rFonts w:hint="default"/>
              </w:rPr>
            </w:pPr>
            <w:r>
              <w:rPr>
                <w:rFonts w:hint="default"/>
              </w:rPr>
              <w:t>评价时期</w:t>
            </w:r>
          </w:p>
        </w:tc>
        <w:tc>
          <w:tcPr>
            <w:tcW w:w="3831" w:type="pct"/>
            <w:gridSpan w:val="13"/>
            <w:tcBorders>
              <w:tl2br w:val="nil"/>
              <w:tr2bl w:val="nil"/>
            </w:tcBorders>
            <w:vAlign w:val="center"/>
          </w:tcPr>
          <w:p w14:paraId="4235DD12">
            <w:pPr>
              <w:pStyle w:val="240"/>
              <w:rPr>
                <w:rFonts w:hint="default"/>
              </w:rPr>
            </w:pPr>
            <w:r>
              <w:rPr>
                <w:rFonts w:hint="default"/>
              </w:rPr>
              <w:t>丰水期□；平水期□；枯水期</w:t>
            </w:r>
            <w:r>
              <w:t>□</w:t>
            </w:r>
            <w:r>
              <w:rPr>
                <w:rFonts w:hint="default"/>
              </w:rPr>
              <w:t>；冰封期□；</w:t>
            </w:r>
          </w:p>
          <w:p w14:paraId="276ED861">
            <w:pPr>
              <w:pStyle w:val="240"/>
              <w:rPr>
                <w:rFonts w:hint="default"/>
              </w:rPr>
            </w:pPr>
            <w:r>
              <w:rPr>
                <w:rFonts w:hint="default"/>
              </w:rPr>
              <w:t>春季</w:t>
            </w:r>
            <w:r>
              <w:t>□</w:t>
            </w:r>
            <w:r>
              <w:rPr>
                <w:rFonts w:hint="default"/>
              </w:rPr>
              <w:t>；夏季</w:t>
            </w:r>
            <w:r>
              <w:t>□</w:t>
            </w:r>
            <w:r>
              <w:rPr>
                <w:rFonts w:hint="default"/>
              </w:rPr>
              <w:t>；秋季□；冬季□</w:t>
            </w:r>
          </w:p>
        </w:tc>
      </w:tr>
      <w:tr w14:paraId="696CA909">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108" w:type="dxa"/>
            <w:bottom w:w="0" w:type="dxa"/>
            <w:right w:w="108" w:type="dxa"/>
          </w:tblCellMar>
        </w:tblPrEx>
        <w:trPr>
          <w:trHeight w:val="23" w:hRule="atLeast"/>
          <w:jc w:val="center"/>
        </w:trPr>
        <w:tc>
          <w:tcPr>
            <w:tcW w:w="267" w:type="pct"/>
            <w:vMerge w:val="continue"/>
            <w:tcBorders>
              <w:tl2br w:val="nil"/>
              <w:tr2bl w:val="nil"/>
            </w:tcBorders>
            <w:vAlign w:val="center"/>
          </w:tcPr>
          <w:p w14:paraId="72C23EA8">
            <w:pPr>
              <w:pStyle w:val="240"/>
              <w:rPr>
                <w:rFonts w:hint="default"/>
              </w:rPr>
            </w:pPr>
          </w:p>
        </w:tc>
        <w:tc>
          <w:tcPr>
            <w:tcW w:w="901" w:type="pct"/>
            <w:tcBorders>
              <w:tl2br w:val="nil"/>
              <w:tr2bl w:val="nil"/>
            </w:tcBorders>
            <w:vAlign w:val="center"/>
          </w:tcPr>
          <w:p w14:paraId="20EAB69C">
            <w:pPr>
              <w:pStyle w:val="240"/>
              <w:rPr>
                <w:rFonts w:hint="default"/>
              </w:rPr>
            </w:pPr>
            <w:r>
              <w:rPr>
                <w:rFonts w:hint="default"/>
              </w:rPr>
              <w:t>评价结论</w:t>
            </w:r>
          </w:p>
        </w:tc>
        <w:tc>
          <w:tcPr>
            <w:tcW w:w="3225" w:type="pct"/>
            <w:gridSpan w:val="12"/>
            <w:tcBorders>
              <w:tl2br w:val="nil"/>
              <w:tr2bl w:val="nil"/>
            </w:tcBorders>
            <w:vAlign w:val="center"/>
          </w:tcPr>
          <w:p w14:paraId="676C30A6">
            <w:pPr>
              <w:pStyle w:val="240"/>
              <w:jc w:val="left"/>
              <w:rPr>
                <w:rFonts w:hint="default"/>
              </w:rPr>
            </w:pPr>
            <w:r>
              <w:rPr>
                <w:rFonts w:hint="default"/>
              </w:rPr>
              <w:t>水环境功能区或水功能区、近岸海域环境功能区水质达标状况：达标</w:t>
            </w:r>
            <w:r>
              <w:t>□</w:t>
            </w:r>
            <w:r>
              <w:rPr>
                <w:rFonts w:hint="default"/>
              </w:rPr>
              <w:t>；不达标</w:t>
            </w:r>
            <w:r>
              <w:t>□</w:t>
            </w:r>
          </w:p>
          <w:p w14:paraId="3C933010">
            <w:pPr>
              <w:pStyle w:val="240"/>
              <w:jc w:val="left"/>
              <w:rPr>
                <w:rFonts w:hint="default"/>
              </w:rPr>
            </w:pPr>
            <w:r>
              <w:rPr>
                <w:rFonts w:hint="default"/>
              </w:rPr>
              <w:t>水环境控制单元或断面水质达标状况□：达标</w:t>
            </w:r>
            <w:r>
              <w:t>□</w:t>
            </w:r>
            <w:r>
              <w:rPr>
                <w:rFonts w:hint="default"/>
              </w:rPr>
              <w:t>；不达标</w:t>
            </w:r>
            <w:r>
              <w:t>□</w:t>
            </w:r>
          </w:p>
          <w:p w14:paraId="75A7B4E5">
            <w:pPr>
              <w:pStyle w:val="240"/>
              <w:jc w:val="left"/>
              <w:rPr>
                <w:rFonts w:hint="default"/>
              </w:rPr>
            </w:pPr>
            <w:r>
              <w:rPr>
                <w:rFonts w:hint="default"/>
              </w:rPr>
              <w:t>水环境保护目标质量状况：达标</w:t>
            </w:r>
            <w:r>
              <w:t>□</w:t>
            </w:r>
            <w:r>
              <w:rPr>
                <w:rFonts w:hint="default"/>
              </w:rPr>
              <w:t>；不达标</w:t>
            </w:r>
            <w:r>
              <w:t>□</w:t>
            </w:r>
          </w:p>
          <w:p w14:paraId="3DD3A24A">
            <w:pPr>
              <w:pStyle w:val="240"/>
              <w:jc w:val="left"/>
              <w:rPr>
                <w:rFonts w:hint="default"/>
              </w:rPr>
            </w:pPr>
            <w:r>
              <w:rPr>
                <w:rFonts w:hint="default"/>
              </w:rPr>
              <w:t>对照断面、控制断面等代表性断面的水质状况：达标</w:t>
            </w:r>
            <w:r>
              <w:t>□</w:t>
            </w:r>
            <w:r>
              <w:rPr>
                <w:rFonts w:hint="default"/>
              </w:rPr>
              <w:t>；不达标</w:t>
            </w:r>
            <w:r>
              <w:t>□</w:t>
            </w:r>
          </w:p>
          <w:p w14:paraId="7B05B657">
            <w:pPr>
              <w:pStyle w:val="240"/>
              <w:jc w:val="left"/>
              <w:rPr>
                <w:rFonts w:hint="default"/>
              </w:rPr>
            </w:pPr>
            <w:r>
              <w:rPr>
                <w:rFonts w:hint="default"/>
              </w:rPr>
              <w:t>底泥污染评价</w:t>
            </w:r>
            <w:r>
              <w:t>□</w:t>
            </w:r>
          </w:p>
          <w:p w14:paraId="2531100F">
            <w:pPr>
              <w:pStyle w:val="240"/>
              <w:jc w:val="left"/>
              <w:rPr>
                <w:rFonts w:hint="default"/>
              </w:rPr>
            </w:pPr>
            <w:r>
              <w:rPr>
                <w:rFonts w:hint="default"/>
              </w:rPr>
              <w:t>水资源与开发利用程度及其水文情势评价</w:t>
            </w:r>
            <w:r>
              <w:t>□</w:t>
            </w:r>
          </w:p>
          <w:p w14:paraId="6641CB04">
            <w:pPr>
              <w:pStyle w:val="240"/>
              <w:jc w:val="left"/>
              <w:rPr>
                <w:rFonts w:hint="default"/>
              </w:rPr>
            </w:pPr>
            <w:r>
              <w:rPr>
                <w:rFonts w:hint="default"/>
              </w:rPr>
              <w:t>水环境质量回顾评价</w:t>
            </w:r>
            <w:r>
              <w:t>□</w:t>
            </w:r>
          </w:p>
          <w:p w14:paraId="051641CE">
            <w:pPr>
              <w:pStyle w:val="240"/>
              <w:jc w:val="left"/>
              <w:rPr>
                <w:rFonts w:hint="default"/>
              </w:rPr>
            </w:pPr>
            <w:r>
              <w:rPr>
                <w:rFonts w:hint="default"/>
              </w:rPr>
              <w:t>流域（区域）水资源（包括水能资源）与开发利用总体状况、生态流量管理要求与现状满足程度、建设项目占用水域空间的水流状况与河湖演变状况</w:t>
            </w:r>
            <w:r>
              <w:t>□</w:t>
            </w:r>
          </w:p>
        </w:tc>
        <w:tc>
          <w:tcPr>
            <w:tcW w:w="605" w:type="pct"/>
            <w:tcBorders>
              <w:tl2br w:val="nil"/>
              <w:tr2bl w:val="nil"/>
            </w:tcBorders>
            <w:vAlign w:val="center"/>
          </w:tcPr>
          <w:p w14:paraId="41E73E26">
            <w:pPr>
              <w:pStyle w:val="240"/>
              <w:rPr>
                <w:rFonts w:hint="default"/>
              </w:rPr>
            </w:pPr>
            <w:r>
              <w:rPr>
                <w:rFonts w:hint="default"/>
              </w:rPr>
              <w:t>达标区</w:t>
            </w:r>
            <w:r>
              <w:t>□</w:t>
            </w:r>
          </w:p>
          <w:p w14:paraId="5F480820">
            <w:pPr>
              <w:pStyle w:val="240"/>
              <w:rPr>
                <w:rFonts w:hint="default"/>
              </w:rPr>
            </w:pPr>
            <w:r>
              <w:rPr>
                <w:rFonts w:hint="default"/>
              </w:rPr>
              <w:t>不达标区</w:t>
            </w:r>
            <w:r>
              <w:t>□</w:t>
            </w:r>
          </w:p>
        </w:tc>
      </w:tr>
      <w:tr w14:paraId="787445A3">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108" w:type="dxa"/>
            <w:bottom w:w="0" w:type="dxa"/>
            <w:right w:w="108" w:type="dxa"/>
          </w:tblCellMar>
        </w:tblPrEx>
        <w:trPr>
          <w:trHeight w:val="23" w:hRule="atLeast"/>
          <w:jc w:val="center"/>
        </w:trPr>
        <w:tc>
          <w:tcPr>
            <w:tcW w:w="267" w:type="pct"/>
            <w:vMerge w:val="restart"/>
            <w:tcBorders>
              <w:tl2br w:val="nil"/>
              <w:tr2bl w:val="nil"/>
            </w:tcBorders>
            <w:vAlign w:val="center"/>
          </w:tcPr>
          <w:p w14:paraId="089DB050">
            <w:pPr>
              <w:pStyle w:val="240"/>
              <w:rPr>
                <w:rFonts w:hint="default"/>
              </w:rPr>
            </w:pPr>
            <w:r>
              <w:rPr>
                <w:rFonts w:hint="default"/>
              </w:rPr>
              <w:t>影响预测</w:t>
            </w:r>
          </w:p>
        </w:tc>
        <w:tc>
          <w:tcPr>
            <w:tcW w:w="901" w:type="pct"/>
            <w:tcBorders>
              <w:tl2br w:val="nil"/>
              <w:tr2bl w:val="nil"/>
            </w:tcBorders>
            <w:vAlign w:val="center"/>
          </w:tcPr>
          <w:p w14:paraId="2481B213">
            <w:pPr>
              <w:pStyle w:val="240"/>
              <w:rPr>
                <w:rFonts w:hint="default"/>
              </w:rPr>
            </w:pPr>
            <w:r>
              <w:rPr>
                <w:rFonts w:hint="default"/>
              </w:rPr>
              <w:t>预测范围</w:t>
            </w:r>
          </w:p>
        </w:tc>
        <w:tc>
          <w:tcPr>
            <w:tcW w:w="3831" w:type="pct"/>
            <w:gridSpan w:val="13"/>
            <w:tcBorders>
              <w:tl2br w:val="nil"/>
              <w:tr2bl w:val="nil"/>
            </w:tcBorders>
            <w:vAlign w:val="center"/>
          </w:tcPr>
          <w:p w14:paraId="1E99418B">
            <w:pPr>
              <w:pStyle w:val="240"/>
              <w:rPr>
                <w:rFonts w:hint="default"/>
              </w:rPr>
            </w:pPr>
            <w:r>
              <w:rPr>
                <w:rFonts w:hint="default"/>
              </w:rPr>
              <w:t>河流：长度（）km；湖库、河口及近岸海域：面积（）km</w:t>
            </w:r>
            <w:r>
              <w:rPr>
                <w:rFonts w:hint="default"/>
                <w:vertAlign w:val="superscript"/>
              </w:rPr>
              <w:t>2</w:t>
            </w:r>
          </w:p>
        </w:tc>
      </w:tr>
      <w:tr w14:paraId="4C224DCC">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108" w:type="dxa"/>
            <w:bottom w:w="0" w:type="dxa"/>
            <w:right w:w="108" w:type="dxa"/>
          </w:tblCellMar>
        </w:tblPrEx>
        <w:trPr>
          <w:trHeight w:val="23" w:hRule="atLeast"/>
          <w:jc w:val="center"/>
        </w:trPr>
        <w:tc>
          <w:tcPr>
            <w:tcW w:w="267" w:type="pct"/>
            <w:vMerge w:val="continue"/>
            <w:tcBorders>
              <w:tl2br w:val="nil"/>
              <w:tr2bl w:val="nil"/>
            </w:tcBorders>
            <w:vAlign w:val="center"/>
          </w:tcPr>
          <w:p w14:paraId="1FA07DBF">
            <w:pPr>
              <w:pStyle w:val="240"/>
              <w:rPr>
                <w:rFonts w:hint="default"/>
              </w:rPr>
            </w:pPr>
          </w:p>
        </w:tc>
        <w:tc>
          <w:tcPr>
            <w:tcW w:w="901" w:type="pct"/>
            <w:tcBorders>
              <w:tl2br w:val="nil"/>
              <w:tr2bl w:val="nil"/>
            </w:tcBorders>
            <w:vAlign w:val="center"/>
          </w:tcPr>
          <w:p w14:paraId="6B04C1DB">
            <w:pPr>
              <w:pStyle w:val="240"/>
              <w:rPr>
                <w:rFonts w:hint="default"/>
              </w:rPr>
            </w:pPr>
            <w:r>
              <w:rPr>
                <w:rFonts w:hint="default"/>
              </w:rPr>
              <w:t>预测因子</w:t>
            </w:r>
          </w:p>
        </w:tc>
        <w:tc>
          <w:tcPr>
            <w:tcW w:w="3831" w:type="pct"/>
            <w:gridSpan w:val="13"/>
            <w:tcBorders>
              <w:tl2br w:val="nil"/>
              <w:tr2bl w:val="nil"/>
            </w:tcBorders>
            <w:vAlign w:val="center"/>
          </w:tcPr>
          <w:p w14:paraId="308DD49D">
            <w:pPr>
              <w:pStyle w:val="240"/>
              <w:rPr>
                <w:rFonts w:hint="default"/>
              </w:rPr>
            </w:pPr>
            <w:r>
              <w:rPr>
                <w:rFonts w:hint="default"/>
              </w:rPr>
              <w:t>（）</w:t>
            </w:r>
          </w:p>
        </w:tc>
      </w:tr>
      <w:tr w14:paraId="707F5931">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108" w:type="dxa"/>
            <w:bottom w:w="0" w:type="dxa"/>
            <w:right w:w="108" w:type="dxa"/>
          </w:tblCellMar>
        </w:tblPrEx>
        <w:trPr>
          <w:trHeight w:val="23" w:hRule="atLeast"/>
          <w:jc w:val="center"/>
        </w:trPr>
        <w:tc>
          <w:tcPr>
            <w:tcW w:w="267" w:type="pct"/>
            <w:vMerge w:val="continue"/>
            <w:tcBorders>
              <w:tl2br w:val="nil"/>
              <w:tr2bl w:val="nil"/>
            </w:tcBorders>
            <w:vAlign w:val="center"/>
          </w:tcPr>
          <w:p w14:paraId="5B0F5EE1">
            <w:pPr>
              <w:pStyle w:val="240"/>
              <w:rPr>
                <w:rFonts w:hint="default"/>
              </w:rPr>
            </w:pPr>
          </w:p>
        </w:tc>
        <w:tc>
          <w:tcPr>
            <w:tcW w:w="901" w:type="pct"/>
            <w:tcBorders>
              <w:tl2br w:val="nil"/>
              <w:tr2bl w:val="nil"/>
            </w:tcBorders>
            <w:vAlign w:val="center"/>
          </w:tcPr>
          <w:p w14:paraId="77B7BA6C">
            <w:pPr>
              <w:pStyle w:val="240"/>
              <w:rPr>
                <w:rFonts w:hint="default"/>
              </w:rPr>
            </w:pPr>
            <w:r>
              <w:rPr>
                <w:rFonts w:hint="default"/>
              </w:rPr>
              <w:t>预测时期</w:t>
            </w:r>
          </w:p>
        </w:tc>
        <w:tc>
          <w:tcPr>
            <w:tcW w:w="3831" w:type="pct"/>
            <w:gridSpan w:val="13"/>
            <w:tcBorders>
              <w:tl2br w:val="nil"/>
              <w:tr2bl w:val="nil"/>
            </w:tcBorders>
            <w:vAlign w:val="center"/>
          </w:tcPr>
          <w:p w14:paraId="5E77B586">
            <w:pPr>
              <w:pStyle w:val="240"/>
              <w:rPr>
                <w:rFonts w:hint="default"/>
              </w:rPr>
            </w:pPr>
            <w:r>
              <w:rPr>
                <w:rFonts w:hint="default"/>
              </w:rPr>
              <w:t>丰水期□；平水期□；枯水期□；冰封期□；春季□；夏季</w:t>
            </w:r>
            <w:r>
              <w:t>□</w:t>
            </w:r>
            <w:r>
              <w:rPr>
                <w:rFonts w:hint="default"/>
              </w:rPr>
              <w:t>；秋季□；</w:t>
            </w:r>
          </w:p>
          <w:p w14:paraId="317BABEC">
            <w:pPr>
              <w:pStyle w:val="240"/>
              <w:rPr>
                <w:rFonts w:hint="default"/>
              </w:rPr>
            </w:pPr>
            <w:r>
              <w:rPr>
                <w:rFonts w:hint="default"/>
              </w:rPr>
              <w:t>冬季□；设计水文条件□</w:t>
            </w:r>
          </w:p>
        </w:tc>
      </w:tr>
      <w:tr w14:paraId="17700987">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108" w:type="dxa"/>
            <w:bottom w:w="0" w:type="dxa"/>
            <w:right w:w="108" w:type="dxa"/>
          </w:tblCellMar>
        </w:tblPrEx>
        <w:trPr>
          <w:trHeight w:val="23" w:hRule="atLeast"/>
          <w:jc w:val="center"/>
        </w:trPr>
        <w:tc>
          <w:tcPr>
            <w:tcW w:w="267" w:type="pct"/>
            <w:vMerge w:val="continue"/>
            <w:tcBorders>
              <w:tl2br w:val="nil"/>
              <w:tr2bl w:val="nil"/>
            </w:tcBorders>
            <w:vAlign w:val="center"/>
          </w:tcPr>
          <w:p w14:paraId="608DB28C">
            <w:pPr>
              <w:pStyle w:val="240"/>
              <w:rPr>
                <w:rFonts w:hint="default"/>
              </w:rPr>
            </w:pPr>
          </w:p>
        </w:tc>
        <w:tc>
          <w:tcPr>
            <w:tcW w:w="901" w:type="pct"/>
            <w:tcBorders>
              <w:tl2br w:val="nil"/>
              <w:tr2bl w:val="nil"/>
            </w:tcBorders>
            <w:vAlign w:val="center"/>
          </w:tcPr>
          <w:p w14:paraId="3707878A">
            <w:pPr>
              <w:pStyle w:val="240"/>
              <w:rPr>
                <w:rFonts w:hint="default"/>
              </w:rPr>
            </w:pPr>
            <w:r>
              <w:rPr>
                <w:rFonts w:hint="default"/>
              </w:rPr>
              <w:t>预测情景</w:t>
            </w:r>
          </w:p>
        </w:tc>
        <w:tc>
          <w:tcPr>
            <w:tcW w:w="3831" w:type="pct"/>
            <w:gridSpan w:val="13"/>
            <w:tcBorders>
              <w:tl2br w:val="nil"/>
              <w:tr2bl w:val="nil"/>
            </w:tcBorders>
            <w:vAlign w:val="center"/>
          </w:tcPr>
          <w:p w14:paraId="36E79B71">
            <w:pPr>
              <w:pStyle w:val="240"/>
              <w:rPr>
                <w:rFonts w:hint="default"/>
              </w:rPr>
            </w:pPr>
            <w:r>
              <w:rPr>
                <w:rFonts w:hint="default"/>
              </w:rPr>
              <w:t>建设期□；生产运行期□；服务期满后□；</w:t>
            </w:r>
          </w:p>
          <w:p w14:paraId="6E42FD83">
            <w:pPr>
              <w:pStyle w:val="240"/>
              <w:rPr>
                <w:rFonts w:hint="default"/>
              </w:rPr>
            </w:pPr>
            <w:r>
              <w:rPr>
                <w:rFonts w:hint="default"/>
              </w:rPr>
              <w:t>正常工况□；非正常工况□；污染控制和减缓措施方案□；</w:t>
            </w:r>
          </w:p>
          <w:p w14:paraId="1B048506">
            <w:pPr>
              <w:pStyle w:val="240"/>
              <w:rPr>
                <w:rFonts w:hint="default"/>
              </w:rPr>
            </w:pPr>
            <w:r>
              <w:rPr>
                <w:rFonts w:hint="default"/>
              </w:rPr>
              <w:t>区（流）域环境质量改善目标要求情景□</w:t>
            </w:r>
          </w:p>
        </w:tc>
      </w:tr>
      <w:tr w14:paraId="5DF715E1">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108" w:type="dxa"/>
            <w:bottom w:w="0" w:type="dxa"/>
            <w:right w:w="108" w:type="dxa"/>
          </w:tblCellMar>
        </w:tblPrEx>
        <w:trPr>
          <w:trHeight w:val="23" w:hRule="atLeast"/>
          <w:jc w:val="center"/>
        </w:trPr>
        <w:tc>
          <w:tcPr>
            <w:tcW w:w="267" w:type="pct"/>
            <w:vMerge w:val="continue"/>
            <w:tcBorders>
              <w:tl2br w:val="nil"/>
              <w:tr2bl w:val="nil"/>
            </w:tcBorders>
            <w:vAlign w:val="center"/>
          </w:tcPr>
          <w:p w14:paraId="402A4B6C">
            <w:pPr>
              <w:pStyle w:val="240"/>
              <w:rPr>
                <w:rFonts w:hint="default"/>
              </w:rPr>
            </w:pPr>
          </w:p>
        </w:tc>
        <w:tc>
          <w:tcPr>
            <w:tcW w:w="901" w:type="pct"/>
            <w:tcBorders>
              <w:tl2br w:val="nil"/>
              <w:tr2bl w:val="nil"/>
            </w:tcBorders>
            <w:vAlign w:val="center"/>
          </w:tcPr>
          <w:p w14:paraId="319C3DBC">
            <w:pPr>
              <w:pStyle w:val="240"/>
              <w:rPr>
                <w:rFonts w:hint="default"/>
              </w:rPr>
            </w:pPr>
            <w:r>
              <w:rPr>
                <w:rFonts w:hint="default"/>
              </w:rPr>
              <w:t>预测方法</w:t>
            </w:r>
          </w:p>
        </w:tc>
        <w:tc>
          <w:tcPr>
            <w:tcW w:w="3831" w:type="pct"/>
            <w:gridSpan w:val="13"/>
            <w:tcBorders>
              <w:tl2br w:val="nil"/>
              <w:tr2bl w:val="nil"/>
            </w:tcBorders>
            <w:vAlign w:val="center"/>
          </w:tcPr>
          <w:p w14:paraId="51F9246C">
            <w:pPr>
              <w:pStyle w:val="240"/>
              <w:rPr>
                <w:rFonts w:hint="default"/>
              </w:rPr>
            </w:pPr>
            <w:r>
              <w:rPr>
                <w:rFonts w:hint="default"/>
              </w:rPr>
              <w:t>数值解□；解析解□；其他□；导则推荐模式□；其他□</w:t>
            </w:r>
          </w:p>
        </w:tc>
      </w:tr>
      <w:tr w14:paraId="3B57CCA8">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108" w:type="dxa"/>
            <w:bottom w:w="0" w:type="dxa"/>
            <w:right w:w="108" w:type="dxa"/>
          </w:tblCellMar>
        </w:tblPrEx>
        <w:trPr>
          <w:trHeight w:val="23" w:hRule="atLeast"/>
          <w:jc w:val="center"/>
        </w:trPr>
        <w:tc>
          <w:tcPr>
            <w:tcW w:w="267" w:type="pct"/>
            <w:vMerge w:val="restart"/>
            <w:tcBorders>
              <w:tl2br w:val="nil"/>
              <w:tr2bl w:val="nil"/>
            </w:tcBorders>
            <w:vAlign w:val="center"/>
          </w:tcPr>
          <w:p w14:paraId="6B0F3FFD">
            <w:pPr>
              <w:pStyle w:val="240"/>
              <w:rPr>
                <w:rFonts w:hint="default"/>
              </w:rPr>
            </w:pPr>
            <w:r>
              <w:rPr>
                <w:rFonts w:hint="default"/>
              </w:rPr>
              <w:t>影响评价</w:t>
            </w:r>
          </w:p>
        </w:tc>
        <w:tc>
          <w:tcPr>
            <w:tcW w:w="901" w:type="pct"/>
            <w:tcBorders>
              <w:tl2br w:val="nil"/>
              <w:tr2bl w:val="nil"/>
            </w:tcBorders>
            <w:vAlign w:val="center"/>
          </w:tcPr>
          <w:p w14:paraId="4316B24A">
            <w:pPr>
              <w:pStyle w:val="240"/>
              <w:rPr>
                <w:rFonts w:hint="default"/>
              </w:rPr>
            </w:pPr>
            <w:r>
              <w:rPr>
                <w:rFonts w:hint="default"/>
              </w:rPr>
              <w:t>水污染物控制和水环境影响减缓措施有效性评价</w:t>
            </w:r>
          </w:p>
        </w:tc>
        <w:tc>
          <w:tcPr>
            <w:tcW w:w="3831" w:type="pct"/>
            <w:gridSpan w:val="13"/>
            <w:tcBorders>
              <w:tl2br w:val="nil"/>
              <w:tr2bl w:val="nil"/>
            </w:tcBorders>
            <w:vAlign w:val="center"/>
          </w:tcPr>
          <w:p w14:paraId="58C29194">
            <w:pPr>
              <w:pStyle w:val="240"/>
              <w:rPr>
                <w:rFonts w:hint="default"/>
              </w:rPr>
            </w:pPr>
            <w:r>
              <w:rPr>
                <w:rFonts w:hint="default"/>
              </w:rPr>
              <w:t>区（流）域水环境质量改善目标□；替代消减源□</w:t>
            </w:r>
          </w:p>
        </w:tc>
      </w:tr>
      <w:tr w14:paraId="4186798D">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108" w:type="dxa"/>
            <w:bottom w:w="0" w:type="dxa"/>
            <w:right w:w="108" w:type="dxa"/>
          </w:tblCellMar>
        </w:tblPrEx>
        <w:trPr>
          <w:trHeight w:val="23" w:hRule="atLeast"/>
          <w:jc w:val="center"/>
        </w:trPr>
        <w:tc>
          <w:tcPr>
            <w:tcW w:w="267" w:type="pct"/>
            <w:vMerge w:val="continue"/>
            <w:tcBorders>
              <w:tl2br w:val="nil"/>
              <w:tr2bl w:val="nil"/>
            </w:tcBorders>
            <w:vAlign w:val="center"/>
          </w:tcPr>
          <w:p w14:paraId="32532678">
            <w:pPr>
              <w:pStyle w:val="240"/>
              <w:rPr>
                <w:rFonts w:hint="default"/>
              </w:rPr>
            </w:pPr>
          </w:p>
        </w:tc>
        <w:tc>
          <w:tcPr>
            <w:tcW w:w="901" w:type="pct"/>
            <w:tcBorders>
              <w:tl2br w:val="nil"/>
              <w:tr2bl w:val="nil"/>
            </w:tcBorders>
            <w:vAlign w:val="center"/>
          </w:tcPr>
          <w:p w14:paraId="3AF7907A">
            <w:pPr>
              <w:pStyle w:val="240"/>
              <w:rPr>
                <w:rFonts w:hint="default"/>
              </w:rPr>
            </w:pPr>
            <w:r>
              <w:rPr>
                <w:rFonts w:hint="default"/>
              </w:rPr>
              <w:t>水环境影响评价</w:t>
            </w:r>
          </w:p>
        </w:tc>
        <w:tc>
          <w:tcPr>
            <w:tcW w:w="3831" w:type="pct"/>
            <w:gridSpan w:val="13"/>
            <w:tcBorders>
              <w:tl2br w:val="nil"/>
              <w:tr2bl w:val="nil"/>
            </w:tcBorders>
            <w:vAlign w:val="center"/>
          </w:tcPr>
          <w:p w14:paraId="466E6BB7">
            <w:pPr>
              <w:pStyle w:val="240"/>
              <w:jc w:val="left"/>
              <w:rPr>
                <w:rFonts w:hint="default"/>
              </w:rPr>
            </w:pPr>
            <w:r>
              <w:rPr>
                <w:rFonts w:hint="default"/>
              </w:rPr>
              <w:t xml:space="preserve">排放口混合区外满足水环境管理要求 □ </w:t>
            </w:r>
          </w:p>
          <w:p w14:paraId="15272BB1">
            <w:pPr>
              <w:pStyle w:val="240"/>
              <w:jc w:val="left"/>
              <w:rPr>
                <w:rFonts w:hint="default"/>
              </w:rPr>
            </w:pPr>
            <w:r>
              <w:rPr>
                <w:rFonts w:hint="default"/>
              </w:rPr>
              <w:t xml:space="preserve">水环境功能区或水功能区、近岸海域环境功能区水质达标 □ </w:t>
            </w:r>
          </w:p>
          <w:p w14:paraId="1AC3E179">
            <w:pPr>
              <w:pStyle w:val="240"/>
              <w:jc w:val="left"/>
              <w:rPr>
                <w:rFonts w:hint="default"/>
              </w:rPr>
            </w:pPr>
            <w:r>
              <w:rPr>
                <w:rFonts w:hint="default"/>
              </w:rPr>
              <w:t xml:space="preserve">满足水环境保护目标水域水环境质量要求 □ </w:t>
            </w:r>
          </w:p>
          <w:p w14:paraId="67AD8CF6">
            <w:pPr>
              <w:pStyle w:val="240"/>
              <w:jc w:val="left"/>
              <w:rPr>
                <w:rFonts w:hint="default"/>
              </w:rPr>
            </w:pPr>
            <w:r>
              <w:rPr>
                <w:rFonts w:hint="default"/>
              </w:rPr>
              <w:t xml:space="preserve">水环境控制单元或断面水质达标 □ </w:t>
            </w:r>
          </w:p>
          <w:p w14:paraId="0805A771">
            <w:pPr>
              <w:pStyle w:val="240"/>
              <w:jc w:val="left"/>
              <w:rPr>
                <w:rFonts w:hint="default"/>
              </w:rPr>
            </w:pPr>
            <w:r>
              <w:rPr>
                <w:rFonts w:hint="default"/>
              </w:rPr>
              <w:t xml:space="preserve">满足重点水污染物排放总量控制指标要求，重点行业建设项目， 主要污染物排放满足等量或减量替代要求 □ </w:t>
            </w:r>
          </w:p>
          <w:p w14:paraId="5BF54702">
            <w:pPr>
              <w:pStyle w:val="240"/>
              <w:jc w:val="left"/>
              <w:rPr>
                <w:rFonts w:hint="default"/>
              </w:rPr>
            </w:pPr>
            <w:r>
              <w:rPr>
                <w:rFonts w:hint="default"/>
              </w:rPr>
              <w:t xml:space="preserve">满足区（流）域水环境质量改善目标要求 □ </w:t>
            </w:r>
          </w:p>
          <w:p w14:paraId="6BB1F0F7">
            <w:pPr>
              <w:pStyle w:val="240"/>
              <w:jc w:val="left"/>
              <w:rPr>
                <w:rFonts w:hint="default"/>
              </w:rPr>
            </w:pPr>
            <w:r>
              <w:rPr>
                <w:rFonts w:hint="default"/>
              </w:rPr>
              <w:t xml:space="preserve">水文要素影响型建设项目同时应包括水文情势变化评价、主要水文特征值影响评价、生态流量符合性评价 □ </w:t>
            </w:r>
          </w:p>
          <w:p w14:paraId="24761A62">
            <w:pPr>
              <w:pStyle w:val="240"/>
              <w:jc w:val="left"/>
              <w:rPr>
                <w:rFonts w:hint="default"/>
              </w:rPr>
            </w:pPr>
            <w:r>
              <w:rPr>
                <w:rFonts w:hint="default"/>
              </w:rPr>
              <w:t xml:space="preserve">对于新设或调整入河（湖库、近岸海域）排放口的建设项目，应包括排放口设置的环境合理性评价 □ </w:t>
            </w:r>
          </w:p>
          <w:p w14:paraId="61DEF5BF">
            <w:pPr>
              <w:pStyle w:val="240"/>
              <w:jc w:val="left"/>
              <w:rPr>
                <w:rFonts w:hint="default"/>
              </w:rPr>
            </w:pPr>
            <w:r>
              <w:rPr>
                <w:rFonts w:hint="default"/>
              </w:rPr>
              <w:t xml:space="preserve">满足生态保护红线、水环境质量底线、资源利用上线和环境准入清单管理要求 </w:t>
            </w:r>
            <w:r>
              <w:t>☑</w:t>
            </w:r>
          </w:p>
        </w:tc>
      </w:tr>
      <w:tr w14:paraId="39AB5685">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108" w:type="dxa"/>
            <w:bottom w:w="0" w:type="dxa"/>
            <w:right w:w="108" w:type="dxa"/>
          </w:tblCellMar>
        </w:tblPrEx>
        <w:trPr>
          <w:trHeight w:val="23" w:hRule="atLeast"/>
          <w:jc w:val="center"/>
        </w:trPr>
        <w:tc>
          <w:tcPr>
            <w:tcW w:w="267" w:type="pct"/>
            <w:vMerge w:val="continue"/>
            <w:tcBorders>
              <w:tl2br w:val="nil"/>
              <w:tr2bl w:val="nil"/>
            </w:tcBorders>
            <w:vAlign w:val="center"/>
          </w:tcPr>
          <w:p w14:paraId="5EF1F5E8">
            <w:pPr>
              <w:pStyle w:val="240"/>
              <w:rPr>
                <w:rFonts w:hint="default"/>
              </w:rPr>
            </w:pPr>
          </w:p>
        </w:tc>
        <w:tc>
          <w:tcPr>
            <w:tcW w:w="901" w:type="pct"/>
            <w:vMerge w:val="restart"/>
            <w:tcBorders>
              <w:tl2br w:val="nil"/>
              <w:tr2bl w:val="nil"/>
            </w:tcBorders>
            <w:vAlign w:val="center"/>
          </w:tcPr>
          <w:p w14:paraId="03739D67">
            <w:pPr>
              <w:pStyle w:val="240"/>
              <w:rPr>
                <w:rFonts w:hint="default"/>
              </w:rPr>
            </w:pPr>
            <w:r>
              <w:rPr>
                <w:rFonts w:hint="default"/>
              </w:rPr>
              <w:t>污染源排放量核算</w:t>
            </w:r>
          </w:p>
        </w:tc>
        <w:tc>
          <w:tcPr>
            <w:tcW w:w="992" w:type="pct"/>
            <w:gridSpan w:val="3"/>
            <w:tcBorders>
              <w:tl2br w:val="nil"/>
              <w:tr2bl w:val="nil"/>
            </w:tcBorders>
            <w:vAlign w:val="center"/>
          </w:tcPr>
          <w:p w14:paraId="056A1CE9">
            <w:pPr>
              <w:pStyle w:val="240"/>
              <w:rPr>
                <w:rFonts w:hint="default"/>
              </w:rPr>
            </w:pPr>
            <w:r>
              <w:rPr>
                <w:rFonts w:hint="default"/>
              </w:rPr>
              <w:t>污染物名称</w:t>
            </w:r>
          </w:p>
        </w:tc>
        <w:tc>
          <w:tcPr>
            <w:tcW w:w="1356" w:type="pct"/>
            <w:gridSpan w:val="5"/>
            <w:tcBorders>
              <w:tl2br w:val="nil"/>
              <w:tr2bl w:val="nil"/>
            </w:tcBorders>
            <w:vAlign w:val="center"/>
          </w:tcPr>
          <w:p w14:paraId="52E3DBBA">
            <w:pPr>
              <w:pStyle w:val="240"/>
              <w:rPr>
                <w:rFonts w:hint="default"/>
              </w:rPr>
            </w:pPr>
            <w:r>
              <w:rPr>
                <w:rFonts w:hint="default"/>
              </w:rPr>
              <w:t>排放量/（t/a）</w:t>
            </w:r>
          </w:p>
        </w:tc>
        <w:tc>
          <w:tcPr>
            <w:tcW w:w="1481" w:type="pct"/>
            <w:gridSpan w:val="5"/>
            <w:tcBorders>
              <w:tl2br w:val="nil"/>
              <w:tr2bl w:val="nil"/>
            </w:tcBorders>
            <w:vAlign w:val="center"/>
          </w:tcPr>
          <w:p w14:paraId="0A715A8C">
            <w:pPr>
              <w:pStyle w:val="240"/>
              <w:rPr>
                <w:rFonts w:hint="default"/>
              </w:rPr>
            </w:pPr>
            <w:r>
              <w:rPr>
                <w:rFonts w:hint="default"/>
              </w:rPr>
              <w:t>排放浓度/（mg/L）</w:t>
            </w:r>
          </w:p>
        </w:tc>
      </w:tr>
      <w:tr w14:paraId="2B7D9CD1">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108" w:type="dxa"/>
            <w:bottom w:w="0" w:type="dxa"/>
            <w:right w:w="108" w:type="dxa"/>
          </w:tblCellMar>
        </w:tblPrEx>
        <w:trPr>
          <w:trHeight w:val="23" w:hRule="atLeast"/>
          <w:jc w:val="center"/>
        </w:trPr>
        <w:tc>
          <w:tcPr>
            <w:tcW w:w="267" w:type="pct"/>
            <w:vMerge w:val="continue"/>
            <w:tcBorders>
              <w:tl2br w:val="nil"/>
              <w:tr2bl w:val="nil"/>
            </w:tcBorders>
            <w:vAlign w:val="center"/>
          </w:tcPr>
          <w:p w14:paraId="7D2305DA">
            <w:pPr>
              <w:pStyle w:val="240"/>
              <w:rPr>
                <w:rFonts w:hint="default"/>
              </w:rPr>
            </w:pPr>
          </w:p>
        </w:tc>
        <w:tc>
          <w:tcPr>
            <w:tcW w:w="901" w:type="pct"/>
            <w:vMerge w:val="continue"/>
            <w:tcBorders>
              <w:tl2br w:val="nil"/>
              <w:tr2bl w:val="nil"/>
            </w:tcBorders>
            <w:vAlign w:val="center"/>
          </w:tcPr>
          <w:p w14:paraId="43A47EB8">
            <w:pPr>
              <w:pStyle w:val="240"/>
              <w:rPr>
                <w:rFonts w:hint="default"/>
              </w:rPr>
            </w:pPr>
          </w:p>
        </w:tc>
        <w:tc>
          <w:tcPr>
            <w:tcW w:w="992" w:type="pct"/>
            <w:gridSpan w:val="3"/>
            <w:tcBorders>
              <w:tl2br w:val="nil"/>
              <w:tr2bl w:val="nil"/>
            </w:tcBorders>
            <w:vAlign w:val="center"/>
          </w:tcPr>
          <w:p w14:paraId="189E42DF">
            <w:pPr>
              <w:pStyle w:val="240"/>
              <w:rPr>
                <w:rFonts w:hint="default"/>
              </w:rPr>
            </w:pPr>
          </w:p>
        </w:tc>
        <w:tc>
          <w:tcPr>
            <w:tcW w:w="1356" w:type="pct"/>
            <w:gridSpan w:val="5"/>
            <w:tcBorders>
              <w:tl2br w:val="nil"/>
              <w:tr2bl w:val="nil"/>
            </w:tcBorders>
            <w:vAlign w:val="center"/>
          </w:tcPr>
          <w:p w14:paraId="0A781951">
            <w:pPr>
              <w:pStyle w:val="240"/>
              <w:rPr>
                <w:rFonts w:hint="default"/>
              </w:rPr>
            </w:pPr>
          </w:p>
        </w:tc>
        <w:tc>
          <w:tcPr>
            <w:tcW w:w="1481" w:type="pct"/>
            <w:gridSpan w:val="5"/>
            <w:tcBorders>
              <w:tl2br w:val="nil"/>
              <w:tr2bl w:val="nil"/>
            </w:tcBorders>
            <w:vAlign w:val="center"/>
          </w:tcPr>
          <w:p w14:paraId="3C6FE3A9">
            <w:pPr>
              <w:pStyle w:val="240"/>
              <w:rPr>
                <w:rFonts w:hint="default"/>
              </w:rPr>
            </w:pPr>
          </w:p>
        </w:tc>
      </w:tr>
      <w:tr w14:paraId="0AAE82D1">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108" w:type="dxa"/>
            <w:bottom w:w="0" w:type="dxa"/>
            <w:right w:w="108" w:type="dxa"/>
          </w:tblCellMar>
        </w:tblPrEx>
        <w:trPr>
          <w:trHeight w:val="23" w:hRule="atLeast"/>
          <w:jc w:val="center"/>
        </w:trPr>
        <w:tc>
          <w:tcPr>
            <w:tcW w:w="267" w:type="pct"/>
            <w:vMerge w:val="continue"/>
            <w:tcBorders>
              <w:tl2br w:val="nil"/>
              <w:tr2bl w:val="nil"/>
            </w:tcBorders>
            <w:vAlign w:val="center"/>
          </w:tcPr>
          <w:p w14:paraId="0CF5D047">
            <w:pPr>
              <w:pStyle w:val="240"/>
              <w:rPr>
                <w:rFonts w:hint="default"/>
              </w:rPr>
            </w:pPr>
          </w:p>
        </w:tc>
        <w:tc>
          <w:tcPr>
            <w:tcW w:w="901" w:type="pct"/>
            <w:vMerge w:val="continue"/>
            <w:tcBorders>
              <w:tl2br w:val="nil"/>
              <w:tr2bl w:val="nil"/>
            </w:tcBorders>
            <w:vAlign w:val="center"/>
          </w:tcPr>
          <w:p w14:paraId="4D43D8CF">
            <w:pPr>
              <w:pStyle w:val="240"/>
              <w:rPr>
                <w:rFonts w:hint="default"/>
              </w:rPr>
            </w:pPr>
          </w:p>
        </w:tc>
        <w:tc>
          <w:tcPr>
            <w:tcW w:w="992" w:type="pct"/>
            <w:gridSpan w:val="3"/>
            <w:tcBorders>
              <w:tl2br w:val="nil"/>
              <w:tr2bl w:val="nil"/>
            </w:tcBorders>
            <w:vAlign w:val="center"/>
          </w:tcPr>
          <w:p w14:paraId="3EE14CB3">
            <w:pPr>
              <w:pStyle w:val="240"/>
              <w:rPr>
                <w:rFonts w:hint="default"/>
              </w:rPr>
            </w:pPr>
          </w:p>
        </w:tc>
        <w:tc>
          <w:tcPr>
            <w:tcW w:w="1356" w:type="pct"/>
            <w:gridSpan w:val="5"/>
            <w:tcBorders>
              <w:tl2br w:val="nil"/>
              <w:tr2bl w:val="nil"/>
            </w:tcBorders>
            <w:vAlign w:val="center"/>
          </w:tcPr>
          <w:p w14:paraId="64483E26">
            <w:pPr>
              <w:pStyle w:val="240"/>
              <w:rPr>
                <w:rFonts w:hint="default"/>
              </w:rPr>
            </w:pPr>
          </w:p>
        </w:tc>
        <w:tc>
          <w:tcPr>
            <w:tcW w:w="1481" w:type="pct"/>
            <w:gridSpan w:val="5"/>
            <w:tcBorders>
              <w:tl2br w:val="nil"/>
              <w:tr2bl w:val="nil"/>
            </w:tcBorders>
            <w:vAlign w:val="center"/>
          </w:tcPr>
          <w:p w14:paraId="428530D0">
            <w:pPr>
              <w:pStyle w:val="240"/>
              <w:rPr>
                <w:rFonts w:hint="default"/>
              </w:rPr>
            </w:pPr>
          </w:p>
        </w:tc>
      </w:tr>
      <w:tr w14:paraId="2B953004">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108" w:type="dxa"/>
            <w:bottom w:w="0" w:type="dxa"/>
            <w:right w:w="108" w:type="dxa"/>
          </w:tblCellMar>
        </w:tblPrEx>
        <w:trPr>
          <w:trHeight w:val="23" w:hRule="atLeast"/>
          <w:jc w:val="center"/>
        </w:trPr>
        <w:tc>
          <w:tcPr>
            <w:tcW w:w="267" w:type="pct"/>
            <w:vMerge w:val="continue"/>
            <w:tcBorders>
              <w:tl2br w:val="nil"/>
              <w:tr2bl w:val="nil"/>
            </w:tcBorders>
            <w:vAlign w:val="center"/>
          </w:tcPr>
          <w:p w14:paraId="63DD4AF0">
            <w:pPr>
              <w:pStyle w:val="240"/>
              <w:rPr>
                <w:rFonts w:hint="default"/>
              </w:rPr>
            </w:pPr>
          </w:p>
        </w:tc>
        <w:tc>
          <w:tcPr>
            <w:tcW w:w="901" w:type="pct"/>
            <w:vMerge w:val="restart"/>
            <w:tcBorders>
              <w:tl2br w:val="nil"/>
              <w:tr2bl w:val="nil"/>
            </w:tcBorders>
            <w:vAlign w:val="center"/>
          </w:tcPr>
          <w:p w14:paraId="3B90D02D">
            <w:pPr>
              <w:pStyle w:val="240"/>
              <w:rPr>
                <w:rFonts w:hint="default"/>
              </w:rPr>
            </w:pPr>
            <w:r>
              <w:rPr>
                <w:rFonts w:hint="default"/>
              </w:rPr>
              <w:t>替代源排放情况</w:t>
            </w:r>
          </w:p>
        </w:tc>
        <w:tc>
          <w:tcPr>
            <w:tcW w:w="577" w:type="pct"/>
            <w:tcBorders>
              <w:tl2br w:val="nil"/>
              <w:tr2bl w:val="nil"/>
            </w:tcBorders>
            <w:vAlign w:val="center"/>
          </w:tcPr>
          <w:p w14:paraId="3D8F12E8">
            <w:pPr>
              <w:pStyle w:val="240"/>
              <w:rPr>
                <w:rFonts w:hint="default"/>
              </w:rPr>
            </w:pPr>
            <w:r>
              <w:rPr>
                <w:rFonts w:hint="default"/>
              </w:rPr>
              <w:t>污染源名称</w:t>
            </w:r>
          </w:p>
        </w:tc>
        <w:tc>
          <w:tcPr>
            <w:tcW w:w="751" w:type="pct"/>
            <w:gridSpan w:val="4"/>
            <w:tcBorders>
              <w:tl2br w:val="nil"/>
              <w:tr2bl w:val="nil"/>
            </w:tcBorders>
            <w:vAlign w:val="center"/>
          </w:tcPr>
          <w:p w14:paraId="34D52FD7">
            <w:pPr>
              <w:pStyle w:val="240"/>
              <w:rPr>
                <w:rFonts w:hint="default"/>
              </w:rPr>
            </w:pPr>
            <w:r>
              <w:rPr>
                <w:rFonts w:hint="default"/>
              </w:rPr>
              <w:t>排污许可证号</w:t>
            </w:r>
          </w:p>
        </w:tc>
        <w:tc>
          <w:tcPr>
            <w:tcW w:w="752" w:type="pct"/>
            <w:gridSpan w:val="2"/>
            <w:tcBorders>
              <w:tl2br w:val="nil"/>
              <w:tr2bl w:val="nil"/>
            </w:tcBorders>
            <w:vAlign w:val="center"/>
          </w:tcPr>
          <w:p w14:paraId="7199119C">
            <w:pPr>
              <w:pStyle w:val="240"/>
              <w:rPr>
                <w:rFonts w:hint="default"/>
              </w:rPr>
            </w:pPr>
            <w:r>
              <w:rPr>
                <w:rFonts w:hint="default"/>
              </w:rPr>
              <w:t>污染物名称</w:t>
            </w:r>
          </w:p>
        </w:tc>
        <w:tc>
          <w:tcPr>
            <w:tcW w:w="734" w:type="pct"/>
            <w:gridSpan w:val="4"/>
            <w:tcBorders>
              <w:tl2br w:val="nil"/>
              <w:tr2bl w:val="nil"/>
            </w:tcBorders>
            <w:vAlign w:val="center"/>
          </w:tcPr>
          <w:p w14:paraId="18458AF4">
            <w:pPr>
              <w:pStyle w:val="240"/>
              <w:rPr>
                <w:rFonts w:hint="default"/>
              </w:rPr>
            </w:pPr>
            <w:r>
              <w:rPr>
                <w:rFonts w:hint="default"/>
              </w:rPr>
              <w:t>排放量/（t/a）</w:t>
            </w:r>
          </w:p>
        </w:tc>
        <w:tc>
          <w:tcPr>
            <w:tcW w:w="1015" w:type="pct"/>
            <w:gridSpan w:val="2"/>
            <w:tcBorders>
              <w:tl2br w:val="nil"/>
              <w:tr2bl w:val="nil"/>
            </w:tcBorders>
            <w:vAlign w:val="center"/>
          </w:tcPr>
          <w:p w14:paraId="3EF08117">
            <w:pPr>
              <w:pStyle w:val="240"/>
              <w:rPr>
                <w:rFonts w:hint="default"/>
              </w:rPr>
            </w:pPr>
            <w:r>
              <w:rPr>
                <w:rFonts w:hint="default"/>
              </w:rPr>
              <w:t>排放浓度/（mg/L）</w:t>
            </w:r>
          </w:p>
        </w:tc>
      </w:tr>
      <w:tr w14:paraId="3E7604C5">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108" w:type="dxa"/>
            <w:bottom w:w="0" w:type="dxa"/>
            <w:right w:w="108" w:type="dxa"/>
          </w:tblCellMar>
        </w:tblPrEx>
        <w:trPr>
          <w:trHeight w:val="23" w:hRule="atLeast"/>
          <w:jc w:val="center"/>
        </w:trPr>
        <w:tc>
          <w:tcPr>
            <w:tcW w:w="267" w:type="pct"/>
            <w:vMerge w:val="continue"/>
            <w:tcBorders>
              <w:tl2br w:val="nil"/>
              <w:tr2bl w:val="nil"/>
            </w:tcBorders>
            <w:vAlign w:val="center"/>
          </w:tcPr>
          <w:p w14:paraId="155FC912">
            <w:pPr>
              <w:pStyle w:val="240"/>
              <w:rPr>
                <w:rFonts w:hint="default"/>
              </w:rPr>
            </w:pPr>
          </w:p>
        </w:tc>
        <w:tc>
          <w:tcPr>
            <w:tcW w:w="901" w:type="pct"/>
            <w:vMerge w:val="continue"/>
            <w:tcBorders>
              <w:tl2br w:val="nil"/>
              <w:tr2bl w:val="nil"/>
            </w:tcBorders>
            <w:vAlign w:val="center"/>
          </w:tcPr>
          <w:p w14:paraId="16B1732F">
            <w:pPr>
              <w:pStyle w:val="240"/>
              <w:rPr>
                <w:rFonts w:hint="default"/>
              </w:rPr>
            </w:pPr>
          </w:p>
        </w:tc>
        <w:tc>
          <w:tcPr>
            <w:tcW w:w="577" w:type="pct"/>
            <w:tcBorders>
              <w:tl2br w:val="nil"/>
              <w:tr2bl w:val="nil"/>
            </w:tcBorders>
            <w:vAlign w:val="center"/>
          </w:tcPr>
          <w:p w14:paraId="309C9C08">
            <w:pPr>
              <w:pStyle w:val="240"/>
              <w:rPr>
                <w:rFonts w:hint="default"/>
              </w:rPr>
            </w:pPr>
          </w:p>
        </w:tc>
        <w:tc>
          <w:tcPr>
            <w:tcW w:w="751" w:type="pct"/>
            <w:gridSpan w:val="4"/>
            <w:tcBorders>
              <w:tl2br w:val="nil"/>
              <w:tr2bl w:val="nil"/>
            </w:tcBorders>
            <w:vAlign w:val="center"/>
          </w:tcPr>
          <w:p w14:paraId="031A9D1A">
            <w:pPr>
              <w:pStyle w:val="240"/>
              <w:rPr>
                <w:rFonts w:hint="default"/>
              </w:rPr>
            </w:pPr>
          </w:p>
        </w:tc>
        <w:tc>
          <w:tcPr>
            <w:tcW w:w="752" w:type="pct"/>
            <w:gridSpan w:val="2"/>
            <w:tcBorders>
              <w:tl2br w:val="nil"/>
              <w:tr2bl w:val="nil"/>
            </w:tcBorders>
            <w:vAlign w:val="center"/>
          </w:tcPr>
          <w:p w14:paraId="2F0998C8">
            <w:pPr>
              <w:pStyle w:val="240"/>
              <w:rPr>
                <w:rFonts w:hint="default"/>
              </w:rPr>
            </w:pPr>
          </w:p>
        </w:tc>
        <w:tc>
          <w:tcPr>
            <w:tcW w:w="734" w:type="pct"/>
            <w:gridSpan w:val="4"/>
            <w:tcBorders>
              <w:tl2br w:val="nil"/>
              <w:tr2bl w:val="nil"/>
            </w:tcBorders>
            <w:vAlign w:val="center"/>
          </w:tcPr>
          <w:p w14:paraId="1E36FC30">
            <w:pPr>
              <w:pStyle w:val="240"/>
              <w:rPr>
                <w:rFonts w:hint="default"/>
              </w:rPr>
            </w:pPr>
          </w:p>
        </w:tc>
        <w:tc>
          <w:tcPr>
            <w:tcW w:w="1015" w:type="pct"/>
            <w:gridSpan w:val="2"/>
            <w:tcBorders>
              <w:tl2br w:val="nil"/>
              <w:tr2bl w:val="nil"/>
            </w:tcBorders>
            <w:vAlign w:val="center"/>
          </w:tcPr>
          <w:p w14:paraId="3E758B83">
            <w:pPr>
              <w:pStyle w:val="240"/>
              <w:rPr>
                <w:rFonts w:hint="default"/>
              </w:rPr>
            </w:pPr>
          </w:p>
        </w:tc>
      </w:tr>
      <w:tr w14:paraId="0061A5EF">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108" w:type="dxa"/>
            <w:bottom w:w="0" w:type="dxa"/>
            <w:right w:w="108" w:type="dxa"/>
          </w:tblCellMar>
        </w:tblPrEx>
        <w:trPr>
          <w:trHeight w:val="23" w:hRule="atLeast"/>
          <w:jc w:val="center"/>
        </w:trPr>
        <w:tc>
          <w:tcPr>
            <w:tcW w:w="267" w:type="pct"/>
            <w:vMerge w:val="continue"/>
            <w:tcBorders>
              <w:tl2br w:val="nil"/>
              <w:tr2bl w:val="nil"/>
            </w:tcBorders>
            <w:vAlign w:val="center"/>
          </w:tcPr>
          <w:p w14:paraId="50A1CDC9">
            <w:pPr>
              <w:pStyle w:val="240"/>
              <w:rPr>
                <w:rFonts w:hint="default"/>
              </w:rPr>
            </w:pPr>
          </w:p>
        </w:tc>
        <w:tc>
          <w:tcPr>
            <w:tcW w:w="901" w:type="pct"/>
            <w:tcBorders>
              <w:tl2br w:val="nil"/>
              <w:tr2bl w:val="nil"/>
            </w:tcBorders>
            <w:vAlign w:val="center"/>
          </w:tcPr>
          <w:p w14:paraId="6A607826">
            <w:pPr>
              <w:pStyle w:val="240"/>
              <w:rPr>
                <w:rFonts w:hint="default"/>
              </w:rPr>
            </w:pPr>
            <w:r>
              <w:rPr>
                <w:rFonts w:hint="default"/>
              </w:rPr>
              <w:t>生态流量确定</w:t>
            </w:r>
          </w:p>
        </w:tc>
        <w:tc>
          <w:tcPr>
            <w:tcW w:w="3831" w:type="pct"/>
            <w:gridSpan w:val="13"/>
            <w:tcBorders>
              <w:tl2br w:val="nil"/>
              <w:tr2bl w:val="nil"/>
            </w:tcBorders>
            <w:vAlign w:val="center"/>
          </w:tcPr>
          <w:p w14:paraId="11EE4BBC">
            <w:pPr>
              <w:pStyle w:val="240"/>
              <w:rPr>
                <w:rFonts w:hint="default"/>
              </w:rPr>
            </w:pPr>
            <w:r>
              <w:rPr>
                <w:rFonts w:hint="default"/>
              </w:rPr>
              <w:t>生态流量：一般水期（）m³/s；鱼类繁殖期（）m³/s；其他（）m³/s</w:t>
            </w:r>
          </w:p>
          <w:p w14:paraId="7DDC1D6C">
            <w:pPr>
              <w:pStyle w:val="240"/>
              <w:rPr>
                <w:rFonts w:hint="default"/>
              </w:rPr>
            </w:pPr>
            <w:r>
              <w:rPr>
                <w:rFonts w:hint="default"/>
              </w:rPr>
              <w:t>生态水位：一般水期（）m；鱼类繁殖期（）m；其他（）m</w:t>
            </w:r>
          </w:p>
        </w:tc>
      </w:tr>
      <w:tr w14:paraId="24490D2A">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108" w:type="dxa"/>
            <w:bottom w:w="0" w:type="dxa"/>
            <w:right w:w="108" w:type="dxa"/>
          </w:tblCellMar>
        </w:tblPrEx>
        <w:trPr>
          <w:trHeight w:val="23" w:hRule="atLeast"/>
          <w:jc w:val="center"/>
        </w:trPr>
        <w:tc>
          <w:tcPr>
            <w:tcW w:w="267" w:type="pct"/>
            <w:vMerge w:val="restart"/>
            <w:tcBorders>
              <w:tl2br w:val="nil"/>
              <w:tr2bl w:val="nil"/>
            </w:tcBorders>
            <w:vAlign w:val="center"/>
          </w:tcPr>
          <w:p w14:paraId="3D27724E">
            <w:pPr>
              <w:pStyle w:val="240"/>
              <w:rPr>
                <w:rFonts w:hint="default"/>
              </w:rPr>
            </w:pPr>
            <w:r>
              <w:rPr>
                <w:rFonts w:hint="default"/>
              </w:rPr>
              <w:t>防治措施</w:t>
            </w:r>
          </w:p>
        </w:tc>
        <w:tc>
          <w:tcPr>
            <w:tcW w:w="901" w:type="pct"/>
            <w:tcBorders>
              <w:tl2br w:val="nil"/>
              <w:tr2bl w:val="nil"/>
            </w:tcBorders>
            <w:vAlign w:val="center"/>
          </w:tcPr>
          <w:p w14:paraId="2D58E1D2">
            <w:pPr>
              <w:pStyle w:val="240"/>
              <w:rPr>
                <w:rFonts w:hint="default"/>
              </w:rPr>
            </w:pPr>
            <w:r>
              <w:rPr>
                <w:rFonts w:hint="default"/>
              </w:rPr>
              <w:t>环保措施</w:t>
            </w:r>
          </w:p>
        </w:tc>
        <w:tc>
          <w:tcPr>
            <w:tcW w:w="3831" w:type="pct"/>
            <w:gridSpan w:val="13"/>
            <w:tcBorders>
              <w:tl2br w:val="nil"/>
              <w:tr2bl w:val="nil"/>
            </w:tcBorders>
            <w:vAlign w:val="center"/>
          </w:tcPr>
          <w:p w14:paraId="45DC0217">
            <w:pPr>
              <w:pStyle w:val="240"/>
              <w:rPr>
                <w:rFonts w:hint="default"/>
              </w:rPr>
            </w:pPr>
            <w:r>
              <w:rPr>
                <w:rFonts w:hint="default"/>
              </w:rPr>
              <w:t>污水处理设施</w:t>
            </w:r>
            <w:r>
              <w:t>□</w:t>
            </w:r>
            <w:r>
              <w:rPr>
                <w:rFonts w:hint="default"/>
              </w:rPr>
              <w:t>；水文减缓设施□；生态流量保障设施□；区域削减□；依托其他工程措施</w:t>
            </w:r>
            <w:r>
              <w:t>☑</w:t>
            </w:r>
            <w:r>
              <w:rPr>
                <w:rFonts w:hint="default"/>
              </w:rPr>
              <w:t>；其他□</w:t>
            </w:r>
          </w:p>
        </w:tc>
      </w:tr>
      <w:tr w14:paraId="5281117E">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108" w:type="dxa"/>
            <w:bottom w:w="0" w:type="dxa"/>
            <w:right w:w="108" w:type="dxa"/>
          </w:tblCellMar>
        </w:tblPrEx>
        <w:trPr>
          <w:trHeight w:val="23" w:hRule="atLeast"/>
          <w:jc w:val="center"/>
        </w:trPr>
        <w:tc>
          <w:tcPr>
            <w:tcW w:w="267" w:type="pct"/>
            <w:vMerge w:val="continue"/>
            <w:tcBorders>
              <w:tl2br w:val="nil"/>
              <w:tr2bl w:val="nil"/>
            </w:tcBorders>
            <w:vAlign w:val="center"/>
          </w:tcPr>
          <w:p w14:paraId="218AD1D0">
            <w:pPr>
              <w:pStyle w:val="240"/>
              <w:rPr>
                <w:rFonts w:hint="default"/>
              </w:rPr>
            </w:pPr>
          </w:p>
        </w:tc>
        <w:tc>
          <w:tcPr>
            <w:tcW w:w="901" w:type="pct"/>
            <w:vMerge w:val="restart"/>
            <w:tcBorders>
              <w:tl2br w:val="nil"/>
              <w:tr2bl w:val="nil"/>
            </w:tcBorders>
            <w:vAlign w:val="center"/>
          </w:tcPr>
          <w:p w14:paraId="659FCBF6">
            <w:pPr>
              <w:pStyle w:val="240"/>
              <w:rPr>
                <w:rFonts w:hint="default"/>
              </w:rPr>
            </w:pPr>
            <w:r>
              <w:rPr>
                <w:rFonts w:hint="default"/>
              </w:rPr>
              <w:t>监测计划</w:t>
            </w:r>
          </w:p>
        </w:tc>
        <w:tc>
          <w:tcPr>
            <w:tcW w:w="1025" w:type="pct"/>
            <w:gridSpan w:val="4"/>
            <w:tcBorders>
              <w:tl2br w:val="nil"/>
              <w:tr2bl w:val="nil"/>
            </w:tcBorders>
            <w:vAlign w:val="center"/>
          </w:tcPr>
          <w:p w14:paraId="3E608D6F">
            <w:pPr>
              <w:pStyle w:val="240"/>
              <w:rPr>
                <w:rFonts w:hint="default"/>
              </w:rPr>
            </w:pPr>
          </w:p>
        </w:tc>
        <w:tc>
          <w:tcPr>
            <w:tcW w:w="1405" w:type="pct"/>
            <w:gridSpan w:val="5"/>
            <w:tcBorders>
              <w:tl2br w:val="nil"/>
              <w:tr2bl w:val="nil"/>
            </w:tcBorders>
            <w:vAlign w:val="center"/>
          </w:tcPr>
          <w:p w14:paraId="191EB8D6">
            <w:pPr>
              <w:pStyle w:val="240"/>
              <w:rPr>
                <w:rFonts w:hint="default"/>
              </w:rPr>
            </w:pPr>
            <w:r>
              <w:rPr>
                <w:rFonts w:hint="default"/>
              </w:rPr>
              <w:t>环境质量</w:t>
            </w:r>
          </w:p>
        </w:tc>
        <w:tc>
          <w:tcPr>
            <w:tcW w:w="1399" w:type="pct"/>
            <w:gridSpan w:val="4"/>
            <w:tcBorders>
              <w:tl2br w:val="nil"/>
              <w:tr2bl w:val="nil"/>
            </w:tcBorders>
            <w:vAlign w:val="center"/>
          </w:tcPr>
          <w:p w14:paraId="4AA5B798">
            <w:pPr>
              <w:pStyle w:val="240"/>
              <w:rPr>
                <w:rFonts w:hint="default"/>
              </w:rPr>
            </w:pPr>
            <w:r>
              <w:rPr>
                <w:rFonts w:hint="default"/>
              </w:rPr>
              <w:t>污染源</w:t>
            </w:r>
          </w:p>
        </w:tc>
      </w:tr>
      <w:tr w14:paraId="6E9757BB">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108" w:type="dxa"/>
            <w:bottom w:w="0" w:type="dxa"/>
            <w:right w:w="108" w:type="dxa"/>
          </w:tblCellMar>
        </w:tblPrEx>
        <w:trPr>
          <w:trHeight w:val="23" w:hRule="atLeast"/>
          <w:jc w:val="center"/>
        </w:trPr>
        <w:tc>
          <w:tcPr>
            <w:tcW w:w="267" w:type="pct"/>
            <w:vMerge w:val="continue"/>
            <w:tcBorders>
              <w:tl2br w:val="nil"/>
              <w:tr2bl w:val="nil"/>
            </w:tcBorders>
            <w:vAlign w:val="center"/>
          </w:tcPr>
          <w:p w14:paraId="3C88EF5B">
            <w:pPr>
              <w:pStyle w:val="240"/>
              <w:rPr>
                <w:rFonts w:hint="default"/>
              </w:rPr>
            </w:pPr>
          </w:p>
        </w:tc>
        <w:tc>
          <w:tcPr>
            <w:tcW w:w="901" w:type="pct"/>
            <w:vMerge w:val="continue"/>
            <w:tcBorders>
              <w:tl2br w:val="nil"/>
              <w:tr2bl w:val="nil"/>
            </w:tcBorders>
            <w:vAlign w:val="center"/>
          </w:tcPr>
          <w:p w14:paraId="6C535511">
            <w:pPr>
              <w:pStyle w:val="240"/>
              <w:rPr>
                <w:rFonts w:hint="default"/>
              </w:rPr>
            </w:pPr>
          </w:p>
        </w:tc>
        <w:tc>
          <w:tcPr>
            <w:tcW w:w="1025" w:type="pct"/>
            <w:gridSpan w:val="4"/>
            <w:tcBorders>
              <w:tl2br w:val="nil"/>
              <w:tr2bl w:val="nil"/>
            </w:tcBorders>
            <w:vAlign w:val="center"/>
          </w:tcPr>
          <w:p w14:paraId="53F3534D">
            <w:pPr>
              <w:pStyle w:val="240"/>
              <w:rPr>
                <w:rFonts w:hint="default"/>
              </w:rPr>
            </w:pPr>
            <w:r>
              <w:rPr>
                <w:rFonts w:hint="default"/>
              </w:rPr>
              <w:t>监测方式</w:t>
            </w:r>
          </w:p>
        </w:tc>
        <w:tc>
          <w:tcPr>
            <w:tcW w:w="1405" w:type="pct"/>
            <w:gridSpan w:val="5"/>
            <w:tcBorders>
              <w:tl2br w:val="nil"/>
              <w:tr2bl w:val="nil"/>
            </w:tcBorders>
            <w:vAlign w:val="center"/>
          </w:tcPr>
          <w:p w14:paraId="38CFA0FE">
            <w:pPr>
              <w:pStyle w:val="240"/>
              <w:rPr>
                <w:rFonts w:hint="default"/>
              </w:rPr>
            </w:pPr>
            <w:r>
              <w:rPr>
                <w:rFonts w:hint="default"/>
              </w:rPr>
              <w:t>手动</w:t>
            </w:r>
            <w:r>
              <w:t>□</w:t>
            </w:r>
            <w:r>
              <w:rPr>
                <w:rFonts w:hint="default"/>
              </w:rPr>
              <w:t>；自动</w:t>
            </w:r>
            <w:r>
              <w:t>□</w:t>
            </w:r>
            <w:r>
              <w:rPr>
                <w:rFonts w:hint="default"/>
              </w:rPr>
              <w:t>；</w:t>
            </w:r>
          </w:p>
          <w:p w14:paraId="105FF8F5">
            <w:pPr>
              <w:pStyle w:val="240"/>
              <w:rPr>
                <w:rFonts w:hint="default"/>
              </w:rPr>
            </w:pPr>
            <w:r>
              <w:rPr>
                <w:rFonts w:hint="default"/>
              </w:rPr>
              <w:t>无监测</w:t>
            </w:r>
            <w:r>
              <w:t>☑</w:t>
            </w:r>
          </w:p>
        </w:tc>
        <w:tc>
          <w:tcPr>
            <w:tcW w:w="1399" w:type="pct"/>
            <w:gridSpan w:val="4"/>
            <w:tcBorders>
              <w:tl2br w:val="nil"/>
              <w:tr2bl w:val="nil"/>
            </w:tcBorders>
            <w:vAlign w:val="center"/>
          </w:tcPr>
          <w:p w14:paraId="4CDE89D2">
            <w:pPr>
              <w:pStyle w:val="240"/>
              <w:rPr>
                <w:rFonts w:hint="default"/>
              </w:rPr>
            </w:pPr>
            <w:r>
              <w:rPr>
                <w:rFonts w:hint="default"/>
              </w:rPr>
              <w:t>手动</w:t>
            </w:r>
            <w:r>
              <w:t>□</w:t>
            </w:r>
            <w:r>
              <w:rPr>
                <w:rFonts w:hint="default"/>
              </w:rPr>
              <w:t>；自动□；</w:t>
            </w:r>
          </w:p>
          <w:p w14:paraId="105A2DAF">
            <w:pPr>
              <w:pStyle w:val="240"/>
              <w:rPr>
                <w:rFonts w:hint="default"/>
              </w:rPr>
            </w:pPr>
            <w:r>
              <w:rPr>
                <w:rFonts w:hint="default"/>
              </w:rPr>
              <w:t>无监测</w:t>
            </w:r>
            <w:r>
              <w:t>☑</w:t>
            </w:r>
          </w:p>
        </w:tc>
      </w:tr>
      <w:tr w14:paraId="26A742B5">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108" w:type="dxa"/>
            <w:bottom w:w="0" w:type="dxa"/>
            <w:right w:w="108" w:type="dxa"/>
          </w:tblCellMar>
        </w:tblPrEx>
        <w:trPr>
          <w:trHeight w:val="23" w:hRule="atLeast"/>
          <w:jc w:val="center"/>
        </w:trPr>
        <w:tc>
          <w:tcPr>
            <w:tcW w:w="267" w:type="pct"/>
            <w:vMerge w:val="continue"/>
            <w:tcBorders>
              <w:tl2br w:val="nil"/>
              <w:tr2bl w:val="nil"/>
            </w:tcBorders>
            <w:vAlign w:val="center"/>
          </w:tcPr>
          <w:p w14:paraId="3F0D93E0">
            <w:pPr>
              <w:pStyle w:val="240"/>
              <w:rPr>
                <w:rFonts w:hint="default"/>
              </w:rPr>
            </w:pPr>
          </w:p>
        </w:tc>
        <w:tc>
          <w:tcPr>
            <w:tcW w:w="901" w:type="pct"/>
            <w:vMerge w:val="continue"/>
            <w:tcBorders>
              <w:tl2br w:val="nil"/>
              <w:tr2bl w:val="nil"/>
            </w:tcBorders>
            <w:vAlign w:val="center"/>
          </w:tcPr>
          <w:p w14:paraId="06EEC46E">
            <w:pPr>
              <w:pStyle w:val="240"/>
              <w:rPr>
                <w:rFonts w:hint="default"/>
              </w:rPr>
            </w:pPr>
          </w:p>
        </w:tc>
        <w:tc>
          <w:tcPr>
            <w:tcW w:w="1025" w:type="pct"/>
            <w:gridSpan w:val="4"/>
            <w:tcBorders>
              <w:tl2br w:val="nil"/>
              <w:tr2bl w:val="nil"/>
            </w:tcBorders>
            <w:vAlign w:val="center"/>
          </w:tcPr>
          <w:p w14:paraId="10F27174">
            <w:pPr>
              <w:pStyle w:val="240"/>
              <w:rPr>
                <w:rFonts w:hint="default"/>
              </w:rPr>
            </w:pPr>
            <w:r>
              <w:rPr>
                <w:rFonts w:hint="default"/>
              </w:rPr>
              <w:t>监测点位</w:t>
            </w:r>
          </w:p>
        </w:tc>
        <w:tc>
          <w:tcPr>
            <w:tcW w:w="1405" w:type="pct"/>
            <w:gridSpan w:val="5"/>
            <w:tcBorders>
              <w:tl2br w:val="nil"/>
              <w:tr2bl w:val="nil"/>
            </w:tcBorders>
            <w:vAlign w:val="center"/>
          </w:tcPr>
          <w:p w14:paraId="3FF7192D">
            <w:pPr>
              <w:pStyle w:val="240"/>
              <w:rPr>
                <w:rFonts w:hint="default"/>
              </w:rPr>
            </w:pPr>
            <w:r>
              <w:rPr>
                <w:rFonts w:hint="default"/>
              </w:rPr>
              <w:t>（）</w:t>
            </w:r>
          </w:p>
        </w:tc>
        <w:tc>
          <w:tcPr>
            <w:tcW w:w="1399" w:type="pct"/>
            <w:gridSpan w:val="4"/>
            <w:tcBorders>
              <w:tl2br w:val="nil"/>
              <w:tr2bl w:val="nil"/>
            </w:tcBorders>
            <w:vAlign w:val="center"/>
          </w:tcPr>
          <w:p w14:paraId="058DA95F">
            <w:pPr>
              <w:pStyle w:val="240"/>
              <w:rPr>
                <w:rFonts w:hint="default"/>
              </w:rPr>
            </w:pPr>
            <w:r>
              <w:rPr>
                <w:rFonts w:hint="default"/>
              </w:rPr>
              <w:t>（）</w:t>
            </w:r>
          </w:p>
        </w:tc>
      </w:tr>
      <w:tr w14:paraId="4C74795C">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108" w:type="dxa"/>
            <w:bottom w:w="0" w:type="dxa"/>
            <w:right w:w="108" w:type="dxa"/>
          </w:tblCellMar>
        </w:tblPrEx>
        <w:trPr>
          <w:trHeight w:val="23" w:hRule="atLeast"/>
          <w:jc w:val="center"/>
        </w:trPr>
        <w:tc>
          <w:tcPr>
            <w:tcW w:w="267" w:type="pct"/>
            <w:vMerge w:val="continue"/>
            <w:tcBorders>
              <w:tl2br w:val="nil"/>
              <w:tr2bl w:val="nil"/>
            </w:tcBorders>
            <w:vAlign w:val="center"/>
          </w:tcPr>
          <w:p w14:paraId="79B6DF22">
            <w:pPr>
              <w:pStyle w:val="240"/>
              <w:rPr>
                <w:rFonts w:hint="default"/>
              </w:rPr>
            </w:pPr>
          </w:p>
        </w:tc>
        <w:tc>
          <w:tcPr>
            <w:tcW w:w="901" w:type="pct"/>
            <w:vMerge w:val="continue"/>
            <w:tcBorders>
              <w:tl2br w:val="nil"/>
              <w:tr2bl w:val="nil"/>
            </w:tcBorders>
            <w:vAlign w:val="center"/>
          </w:tcPr>
          <w:p w14:paraId="779B2332">
            <w:pPr>
              <w:pStyle w:val="240"/>
              <w:rPr>
                <w:rFonts w:hint="default"/>
              </w:rPr>
            </w:pPr>
          </w:p>
        </w:tc>
        <w:tc>
          <w:tcPr>
            <w:tcW w:w="1025" w:type="pct"/>
            <w:gridSpan w:val="4"/>
            <w:tcBorders>
              <w:tl2br w:val="nil"/>
              <w:tr2bl w:val="nil"/>
            </w:tcBorders>
            <w:vAlign w:val="center"/>
          </w:tcPr>
          <w:p w14:paraId="15A21B25">
            <w:pPr>
              <w:pStyle w:val="240"/>
              <w:rPr>
                <w:rFonts w:hint="default"/>
              </w:rPr>
            </w:pPr>
            <w:r>
              <w:rPr>
                <w:rFonts w:hint="default"/>
              </w:rPr>
              <w:t>监测因子</w:t>
            </w:r>
          </w:p>
        </w:tc>
        <w:tc>
          <w:tcPr>
            <w:tcW w:w="1405" w:type="pct"/>
            <w:gridSpan w:val="5"/>
            <w:tcBorders>
              <w:tl2br w:val="nil"/>
              <w:tr2bl w:val="nil"/>
            </w:tcBorders>
            <w:vAlign w:val="center"/>
          </w:tcPr>
          <w:p w14:paraId="06F8162A">
            <w:pPr>
              <w:pStyle w:val="240"/>
              <w:rPr>
                <w:rFonts w:hint="default"/>
              </w:rPr>
            </w:pPr>
            <w:r>
              <w:rPr>
                <w:rFonts w:hint="default"/>
              </w:rPr>
              <w:t>（）</w:t>
            </w:r>
          </w:p>
        </w:tc>
        <w:tc>
          <w:tcPr>
            <w:tcW w:w="1399" w:type="pct"/>
            <w:gridSpan w:val="4"/>
            <w:tcBorders>
              <w:tl2br w:val="nil"/>
              <w:tr2bl w:val="nil"/>
            </w:tcBorders>
            <w:vAlign w:val="center"/>
          </w:tcPr>
          <w:p w14:paraId="7676F3D0">
            <w:pPr>
              <w:pStyle w:val="240"/>
              <w:rPr>
                <w:rFonts w:hint="default"/>
              </w:rPr>
            </w:pPr>
            <w:r>
              <w:rPr>
                <w:rFonts w:hint="default"/>
              </w:rPr>
              <w:t>（）</w:t>
            </w:r>
          </w:p>
        </w:tc>
      </w:tr>
      <w:tr w14:paraId="4AA93563">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108" w:type="dxa"/>
            <w:bottom w:w="0" w:type="dxa"/>
            <w:right w:w="108" w:type="dxa"/>
          </w:tblCellMar>
        </w:tblPrEx>
        <w:trPr>
          <w:trHeight w:val="23" w:hRule="atLeast"/>
          <w:jc w:val="center"/>
        </w:trPr>
        <w:tc>
          <w:tcPr>
            <w:tcW w:w="267" w:type="pct"/>
            <w:vMerge w:val="continue"/>
            <w:tcBorders>
              <w:tl2br w:val="nil"/>
              <w:tr2bl w:val="nil"/>
            </w:tcBorders>
            <w:vAlign w:val="center"/>
          </w:tcPr>
          <w:p w14:paraId="2B608F92">
            <w:pPr>
              <w:pStyle w:val="240"/>
              <w:rPr>
                <w:rFonts w:hint="default"/>
              </w:rPr>
            </w:pPr>
          </w:p>
        </w:tc>
        <w:tc>
          <w:tcPr>
            <w:tcW w:w="901" w:type="pct"/>
            <w:tcBorders>
              <w:tl2br w:val="nil"/>
              <w:tr2bl w:val="nil"/>
            </w:tcBorders>
            <w:vAlign w:val="center"/>
          </w:tcPr>
          <w:p w14:paraId="3270A304">
            <w:pPr>
              <w:pStyle w:val="240"/>
              <w:rPr>
                <w:rFonts w:hint="default"/>
              </w:rPr>
            </w:pPr>
            <w:r>
              <w:rPr>
                <w:rFonts w:hint="default"/>
              </w:rPr>
              <w:t>污染物排放清单</w:t>
            </w:r>
          </w:p>
        </w:tc>
        <w:tc>
          <w:tcPr>
            <w:tcW w:w="3831" w:type="pct"/>
            <w:gridSpan w:val="13"/>
            <w:tcBorders>
              <w:tl2br w:val="nil"/>
              <w:tr2bl w:val="nil"/>
            </w:tcBorders>
            <w:vAlign w:val="center"/>
          </w:tcPr>
          <w:p w14:paraId="262A952A">
            <w:pPr>
              <w:pStyle w:val="240"/>
              <w:rPr>
                <w:rFonts w:hint="default"/>
              </w:rPr>
            </w:pPr>
            <w:r>
              <w:t>☑</w:t>
            </w:r>
          </w:p>
        </w:tc>
      </w:tr>
      <w:tr w14:paraId="1D6044E0">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108" w:type="dxa"/>
            <w:bottom w:w="0" w:type="dxa"/>
            <w:right w:w="108" w:type="dxa"/>
          </w:tblCellMar>
        </w:tblPrEx>
        <w:trPr>
          <w:trHeight w:val="23" w:hRule="atLeast"/>
          <w:jc w:val="center"/>
        </w:trPr>
        <w:tc>
          <w:tcPr>
            <w:tcW w:w="1168" w:type="pct"/>
            <w:gridSpan w:val="2"/>
            <w:tcBorders>
              <w:tl2br w:val="nil"/>
              <w:tr2bl w:val="nil"/>
            </w:tcBorders>
            <w:vAlign w:val="center"/>
          </w:tcPr>
          <w:p w14:paraId="5871FB98">
            <w:pPr>
              <w:pStyle w:val="240"/>
              <w:rPr>
                <w:rFonts w:hint="default"/>
              </w:rPr>
            </w:pPr>
            <w:r>
              <w:rPr>
                <w:rFonts w:hint="default"/>
              </w:rPr>
              <w:t>评价结论</w:t>
            </w:r>
          </w:p>
        </w:tc>
        <w:tc>
          <w:tcPr>
            <w:tcW w:w="3831" w:type="pct"/>
            <w:gridSpan w:val="13"/>
            <w:tcBorders>
              <w:tl2br w:val="nil"/>
              <w:tr2bl w:val="nil"/>
            </w:tcBorders>
            <w:vAlign w:val="center"/>
          </w:tcPr>
          <w:p w14:paraId="27CDCDE3">
            <w:pPr>
              <w:pStyle w:val="240"/>
              <w:rPr>
                <w:rFonts w:hint="default"/>
              </w:rPr>
            </w:pPr>
            <w:r>
              <w:rPr>
                <w:rFonts w:hint="default"/>
              </w:rPr>
              <w:t>可以接受√；不可以接受□</w:t>
            </w:r>
          </w:p>
        </w:tc>
      </w:tr>
      <w:tr w14:paraId="3875EE03">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108" w:type="dxa"/>
            <w:bottom w:w="0" w:type="dxa"/>
            <w:right w:w="108" w:type="dxa"/>
          </w:tblCellMar>
        </w:tblPrEx>
        <w:trPr>
          <w:trHeight w:val="23" w:hRule="atLeast"/>
          <w:jc w:val="center"/>
        </w:trPr>
        <w:tc>
          <w:tcPr>
            <w:tcW w:w="5000" w:type="pct"/>
            <w:gridSpan w:val="15"/>
            <w:tcBorders>
              <w:tl2br w:val="nil"/>
              <w:tr2bl w:val="nil"/>
            </w:tcBorders>
            <w:vAlign w:val="center"/>
          </w:tcPr>
          <w:p w14:paraId="113EFCD3">
            <w:pPr>
              <w:pStyle w:val="240"/>
              <w:rPr>
                <w:rFonts w:hint="default"/>
              </w:rPr>
            </w:pPr>
            <w:r>
              <w:rPr>
                <w:rFonts w:hint="default"/>
              </w:rPr>
              <w:t>注：“□”为勾选项，填“√”；“（）”为内容填写项</w:t>
            </w:r>
          </w:p>
        </w:tc>
      </w:tr>
    </w:tbl>
    <w:p w14:paraId="1F38CE3F">
      <w:pPr>
        <w:pStyle w:val="5"/>
        <w:rPr>
          <w:rFonts w:ascii="Times New Roman" w:hAnsi="Times New Roman"/>
          <w:color w:val="000000"/>
          <w:lang w:val="en-US"/>
        </w:rPr>
      </w:pPr>
      <w:r>
        <w:rPr>
          <w:rFonts w:hint="eastAsia" w:ascii="Times New Roman" w:hAnsi="Times New Roman"/>
          <w:color w:val="000000"/>
          <w:lang w:val="en-US"/>
        </w:rPr>
        <w:t>5.2.2.2地下水环境影响分析</w:t>
      </w:r>
    </w:p>
    <w:p w14:paraId="614D029A">
      <w:pPr>
        <w:widowControl/>
        <w:spacing w:line="360" w:lineRule="auto"/>
        <w:ind w:firstLine="480" w:firstLineChars="200"/>
        <w:rPr>
          <w:color w:val="000000"/>
          <w:sz w:val="24"/>
          <w:szCs w:val="24"/>
        </w:rPr>
      </w:pPr>
      <w:bookmarkStart w:id="286" w:name="_Toc29693"/>
      <w:bookmarkStart w:id="287" w:name="_Toc487"/>
      <w:r>
        <w:rPr>
          <w:color w:val="000000"/>
          <w:sz w:val="24"/>
          <w:szCs w:val="24"/>
        </w:rPr>
        <w:t>根据《环境影响评价技术导则</w:t>
      </w:r>
      <w:r>
        <w:rPr>
          <w:rFonts w:hint="eastAsia"/>
          <w:color w:val="000000"/>
          <w:sz w:val="24"/>
          <w:szCs w:val="24"/>
        </w:rPr>
        <w:t xml:space="preserve"> </w:t>
      </w:r>
      <w:r>
        <w:rPr>
          <w:color w:val="000000"/>
          <w:sz w:val="24"/>
          <w:szCs w:val="24"/>
        </w:rPr>
        <w:t xml:space="preserve"> 地下水环境》（HJ610-2016）</w:t>
      </w:r>
      <w:r>
        <w:rPr>
          <w:rFonts w:hint="eastAsia"/>
          <w:color w:val="000000"/>
          <w:sz w:val="24"/>
          <w:szCs w:val="24"/>
        </w:rPr>
        <w:t>，</w:t>
      </w:r>
      <w:r>
        <w:rPr>
          <w:color w:val="000000"/>
          <w:sz w:val="24"/>
          <w:szCs w:val="24"/>
        </w:rPr>
        <w:t>本项目地下水环境评价等级为三级，三级评价地下水环境影响预测可采用解析法或类比分析法。采用解析法对地下水环境影响进行预测</w:t>
      </w:r>
      <w:r>
        <w:rPr>
          <w:rFonts w:hint="eastAsia"/>
          <w:color w:val="000000"/>
          <w:sz w:val="24"/>
          <w:szCs w:val="24"/>
        </w:rPr>
        <w:t>。</w:t>
      </w:r>
      <w:bookmarkEnd w:id="286"/>
      <w:bookmarkEnd w:id="287"/>
    </w:p>
    <w:p w14:paraId="6269C53B">
      <w:pPr>
        <w:autoSpaceDE w:val="0"/>
        <w:autoSpaceDN w:val="0"/>
        <w:spacing w:line="360" w:lineRule="auto"/>
        <w:ind w:firstLine="480" w:firstLineChars="200"/>
        <w:rPr>
          <w:kern w:val="0"/>
          <w:sz w:val="24"/>
          <w:szCs w:val="24"/>
        </w:rPr>
      </w:pPr>
      <w:bookmarkStart w:id="288" w:name="_Toc19603"/>
      <w:bookmarkStart w:id="289" w:name="_Toc9194"/>
      <w:bookmarkStart w:id="290" w:name="_Toc17782"/>
      <w:bookmarkStart w:id="291" w:name="_Toc18436"/>
      <w:r>
        <w:rPr>
          <w:rFonts w:hint="eastAsia"/>
          <w:color w:val="000000"/>
          <w:sz w:val="24"/>
          <w:szCs w:val="24"/>
        </w:rPr>
        <w:t>（1）</w:t>
      </w:r>
      <w:bookmarkEnd w:id="288"/>
      <w:bookmarkEnd w:id="289"/>
      <w:bookmarkEnd w:id="290"/>
      <w:bookmarkEnd w:id="291"/>
      <w:r>
        <w:rPr>
          <w:kern w:val="0"/>
          <w:sz w:val="24"/>
          <w:szCs w:val="24"/>
        </w:rPr>
        <w:t>地质概况</w:t>
      </w:r>
    </w:p>
    <w:p w14:paraId="0EC048DF">
      <w:pPr>
        <w:autoSpaceDE w:val="0"/>
        <w:autoSpaceDN w:val="0"/>
        <w:adjustRightInd w:val="0"/>
        <w:snapToGrid w:val="0"/>
        <w:spacing w:line="360" w:lineRule="auto"/>
        <w:ind w:firstLine="480" w:firstLineChars="200"/>
        <w:rPr>
          <w:kern w:val="0"/>
          <w:sz w:val="24"/>
          <w:szCs w:val="24"/>
          <w:lang w:val="zh-CN" w:bidi="zh-CN"/>
        </w:rPr>
      </w:pPr>
      <w:r>
        <w:rPr>
          <w:rFonts w:hint="eastAsia" w:cs="宋体"/>
          <w:kern w:val="0"/>
          <w:sz w:val="24"/>
          <w:szCs w:val="24"/>
          <w:lang w:val="zh-CN" w:bidi="zh-CN"/>
        </w:rPr>
        <w:t>库尔勒中部及南部为塔里木盆地北缘开阔的冲积、洪积平原和风积沙丘地带，地表全为第四系松散沉积物。北部为霍拉山区，由于地质构造运动及沉积环境的影响，地层出露不够齐全。</w:t>
      </w:r>
    </w:p>
    <w:p w14:paraId="01B83DBA">
      <w:pPr>
        <w:autoSpaceDE w:val="0"/>
        <w:autoSpaceDN w:val="0"/>
        <w:adjustRightInd w:val="0"/>
        <w:snapToGrid w:val="0"/>
        <w:spacing w:line="360" w:lineRule="auto"/>
        <w:ind w:firstLine="480" w:firstLineChars="200"/>
        <w:rPr>
          <w:kern w:val="0"/>
          <w:sz w:val="24"/>
          <w:szCs w:val="24"/>
          <w:lang w:val="zh-CN" w:bidi="zh-CN"/>
        </w:rPr>
      </w:pPr>
      <w:r>
        <w:rPr>
          <w:rFonts w:hint="eastAsia" w:cs="宋体"/>
          <w:kern w:val="0"/>
          <w:sz w:val="24"/>
          <w:szCs w:val="24"/>
          <w:lang w:val="zh-CN" w:bidi="zh-CN"/>
        </w:rPr>
        <w:t>本区在大地构造上包含了库鲁克塔格陆缘地块与塔里木中央地块。在新构造上，包含霍拉山隆起区和塔里木沉降区北缘，两者以北轮台断裂为界。近场区内的地层是以古生界为基底，盖层为中、新生界，第四系广为分布。新构造运动期间，隆升幅度不大，其主要隆升时期在中、晚更新世期间，其隆起幅度达</w:t>
      </w:r>
      <w:r>
        <w:rPr>
          <w:kern w:val="0"/>
          <w:sz w:val="24"/>
          <w:szCs w:val="24"/>
          <w:lang w:val="zh-CN" w:bidi="zh-CN"/>
        </w:rPr>
        <w:t>50m</w:t>
      </w:r>
      <w:r>
        <w:rPr>
          <w:rFonts w:hint="eastAsia" w:cs="宋体"/>
          <w:kern w:val="0"/>
          <w:sz w:val="24"/>
          <w:szCs w:val="24"/>
          <w:lang w:val="zh-CN" w:bidi="zh-CN"/>
        </w:rPr>
        <w:t>，主要由华力西期花岗岩与元古界构成。</w:t>
      </w:r>
    </w:p>
    <w:p w14:paraId="1424AA37">
      <w:pPr>
        <w:autoSpaceDE w:val="0"/>
        <w:autoSpaceDN w:val="0"/>
        <w:spacing w:line="360" w:lineRule="auto"/>
        <w:ind w:firstLine="480" w:firstLineChars="200"/>
        <w:rPr>
          <w:kern w:val="0"/>
          <w:sz w:val="24"/>
          <w:szCs w:val="24"/>
          <w:highlight w:val="yellow"/>
        </w:rPr>
      </w:pPr>
      <w:r>
        <w:rPr>
          <w:rFonts w:hint="eastAsia" w:cs="宋体"/>
          <w:kern w:val="0"/>
          <w:sz w:val="24"/>
          <w:szCs w:val="24"/>
          <w:lang w:val="zh-CN" w:bidi="zh-CN"/>
        </w:rPr>
        <w:t>本区出露地层有：上太古界、下元古界、下石炭统、中</w:t>
      </w:r>
      <w:r>
        <w:rPr>
          <w:kern w:val="0"/>
          <w:sz w:val="24"/>
          <w:szCs w:val="24"/>
          <w:lang w:val="zh-CN" w:bidi="zh-CN"/>
        </w:rPr>
        <w:t>-</w:t>
      </w:r>
      <w:r>
        <w:rPr>
          <w:rFonts w:hint="eastAsia" w:cs="宋体"/>
          <w:kern w:val="0"/>
          <w:sz w:val="24"/>
          <w:szCs w:val="24"/>
          <w:lang w:val="zh-CN" w:bidi="zh-CN"/>
        </w:rPr>
        <w:t>上石炭统及第四系、华力西期花岗岩。太古界以斜长片麻岩、片岩及大理岩为主。元古界为一套片麻岩、片岩。古生界为一套火山岩、碎屑岩和碳酸盐岩建造。第三系主要鲜有分布，岩性主要为砖红色砂岩、砾岩和泥岩。第四系广泛分布于山前洪积扇与塔里木盆地，成因类型主要有坡积、洪积、冲积和湖积等。</w:t>
      </w:r>
    </w:p>
    <w:p w14:paraId="5DA2C8D0">
      <w:pPr>
        <w:widowControl/>
        <w:autoSpaceDE w:val="0"/>
        <w:autoSpaceDN w:val="0"/>
        <w:spacing w:line="360" w:lineRule="auto"/>
        <w:ind w:firstLine="480" w:firstLineChars="200"/>
        <w:rPr>
          <w:kern w:val="0"/>
          <w:sz w:val="24"/>
          <w:szCs w:val="24"/>
          <w:lang w:val="zh-CN" w:bidi="zh-CN"/>
        </w:rPr>
      </w:pPr>
      <w:r>
        <w:rPr>
          <w:rFonts w:hint="eastAsia" w:ascii="宋体" w:hAnsi="宋体" w:cs="宋体"/>
          <w:kern w:val="0"/>
          <w:sz w:val="24"/>
          <w:szCs w:val="24"/>
          <w:lang w:val="zh-CN" w:bidi="zh-CN"/>
        </w:rPr>
        <w:t>库尔勒市普惠乡</w:t>
      </w:r>
      <w:r>
        <w:rPr>
          <w:rFonts w:hint="eastAsia" w:ascii="宋体" w:hAnsi="宋体" w:cs="宋体"/>
          <w:kern w:val="0"/>
          <w:sz w:val="24"/>
          <w:szCs w:val="24"/>
          <w:lang w:bidi="ar"/>
        </w:rPr>
        <w:t xml:space="preserve">岩土类型及分布除场区南侧出露基岩为下元古代结晶灰岩、砂质灰岩及砂岩，场区西南侧梁岗状山丘及北、东侧外围低山丘陵出露的基岩为第三系上新统的砾岩外，区域大部分为山间洼地平原覆盖的松散层，为第四系全新统坡洪积砾砂、粉土层、仅在场区内南东规模极小的冲沟内沉积了全新统洪积砾砂石。 </w:t>
      </w:r>
    </w:p>
    <w:p w14:paraId="48FEB352">
      <w:pPr>
        <w:widowControl/>
        <w:autoSpaceDE w:val="0"/>
        <w:autoSpaceDN w:val="0"/>
        <w:spacing w:line="360" w:lineRule="auto"/>
        <w:ind w:firstLine="480" w:firstLineChars="200"/>
        <w:rPr>
          <w:kern w:val="0"/>
          <w:sz w:val="24"/>
          <w:szCs w:val="24"/>
          <w:lang w:val="zh-CN" w:bidi="zh-CN"/>
        </w:rPr>
      </w:pPr>
      <w:r>
        <w:rPr>
          <w:rFonts w:hint="eastAsia" w:ascii="宋体" w:hAnsi="宋体" w:cs="宋体"/>
          <w:kern w:val="0"/>
          <w:sz w:val="24"/>
          <w:szCs w:val="24"/>
          <w:lang w:val="zh-CN" w:bidi="zh-CN"/>
        </w:rPr>
        <w:t>库尔勒市普惠乡</w:t>
      </w:r>
      <w:r>
        <w:rPr>
          <w:rFonts w:hint="eastAsia" w:ascii="宋体" w:hAnsi="宋体" w:cs="宋体"/>
          <w:kern w:val="0"/>
          <w:sz w:val="24"/>
          <w:szCs w:val="24"/>
          <w:lang w:bidi="ar"/>
        </w:rPr>
        <w:t>大面积分布的第四系坡洪积砾砂层、粉土，土黄色、灰白色，厚度</w:t>
      </w:r>
      <w:r>
        <w:rPr>
          <w:kern w:val="0"/>
          <w:sz w:val="24"/>
          <w:szCs w:val="24"/>
          <w:lang w:bidi="ar"/>
        </w:rPr>
        <w:t>0.2-2.2m</w:t>
      </w:r>
      <w:r>
        <w:rPr>
          <w:rFonts w:hint="eastAsia" w:ascii="宋体" w:hAnsi="宋体" w:cs="宋体"/>
          <w:kern w:val="0"/>
          <w:sz w:val="24"/>
          <w:szCs w:val="24"/>
          <w:lang w:bidi="ar"/>
        </w:rPr>
        <w:t>，分布不连续，岩性不均一，局部砾砂、粉土混合，稍密，干燥，其中粉土层主要分布在北部侧，承载力标准值</w:t>
      </w:r>
      <w:r>
        <w:rPr>
          <w:kern w:val="0"/>
          <w:sz w:val="24"/>
          <w:szCs w:val="24"/>
          <w:lang w:bidi="ar"/>
        </w:rPr>
        <w:t>fk=200kPa</w:t>
      </w:r>
      <w:r>
        <w:rPr>
          <w:rFonts w:hint="eastAsia" w:ascii="宋体" w:hAnsi="宋体" w:cs="宋体"/>
          <w:kern w:val="0"/>
          <w:sz w:val="24"/>
          <w:szCs w:val="24"/>
          <w:lang w:bidi="ar"/>
        </w:rPr>
        <w:t>，砾砂承载力标准值</w:t>
      </w:r>
      <w:r>
        <w:rPr>
          <w:kern w:val="0"/>
          <w:sz w:val="24"/>
          <w:szCs w:val="24"/>
          <w:lang w:bidi="ar"/>
        </w:rPr>
        <w:t>fk=300kPa</w:t>
      </w:r>
      <w:r>
        <w:rPr>
          <w:rFonts w:hint="eastAsia" w:ascii="宋体" w:hAnsi="宋体" w:cs="宋体"/>
          <w:kern w:val="0"/>
          <w:sz w:val="24"/>
          <w:szCs w:val="24"/>
          <w:lang w:bidi="ar"/>
        </w:rPr>
        <w:t>。基岩岩性主要为第三系上新统的砾岩，产状不明显，呈块状结构，粒状结构，密实，厚度</w:t>
      </w:r>
      <w:r>
        <w:rPr>
          <w:kern w:val="0"/>
          <w:sz w:val="24"/>
          <w:szCs w:val="24"/>
          <w:lang w:bidi="ar"/>
        </w:rPr>
        <w:t xml:space="preserve">0.0-8.0m </w:t>
      </w:r>
      <w:r>
        <w:rPr>
          <w:rFonts w:hint="eastAsia" w:ascii="宋体" w:hAnsi="宋体" w:cs="宋体"/>
          <w:kern w:val="0"/>
          <w:sz w:val="24"/>
          <w:szCs w:val="24"/>
          <w:lang w:bidi="ar"/>
        </w:rPr>
        <w:t>左右，灰红色，厂区内少见砾岩天然露头，砾岩的允许承载力</w:t>
      </w:r>
      <w:r>
        <w:rPr>
          <w:kern w:val="0"/>
          <w:sz w:val="24"/>
          <w:szCs w:val="24"/>
          <w:lang w:bidi="ar"/>
        </w:rPr>
        <w:t>R0=500kPa</w:t>
      </w:r>
      <w:r>
        <w:rPr>
          <w:rFonts w:hint="eastAsia" w:ascii="宋体" w:hAnsi="宋体" w:cs="宋体"/>
          <w:kern w:val="0"/>
          <w:sz w:val="24"/>
          <w:szCs w:val="24"/>
          <w:lang w:bidi="ar"/>
        </w:rPr>
        <w:t>。局部出露的下元古代结晶灰岩等，灰色、紫红色，岩石坚硬，表层风化程度达强风化，层理较发育，产状</w:t>
      </w:r>
      <w:r>
        <w:rPr>
          <w:kern w:val="0"/>
          <w:sz w:val="24"/>
          <w:szCs w:val="24"/>
          <w:lang w:bidi="ar"/>
        </w:rPr>
        <w:t>60˚&lt;80˚</w:t>
      </w:r>
      <w:r>
        <w:rPr>
          <w:rFonts w:hint="eastAsia" w:ascii="宋体" w:hAnsi="宋体" w:cs="宋体"/>
          <w:kern w:val="0"/>
          <w:sz w:val="24"/>
          <w:szCs w:val="24"/>
          <w:lang w:bidi="ar"/>
        </w:rPr>
        <w:t>，均属硬质岩层，允许承载力</w:t>
      </w:r>
      <w:r>
        <w:rPr>
          <w:kern w:val="0"/>
          <w:sz w:val="24"/>
          <w:szCs w:val="24"/>
          <w:lang w:bidi="ar"/>
        </w:rPr>
        <w:t>R0=800kPa</w:t>
      </w:r>
      <w:r>
        <w:rPr>
          <w:rFonts w:hint="eastAsia" w:ascii="宋体" w:hAnsi="宋体" w:cs="宋体"/>
          <w:kern w:val="0"/>
          <w:sz w:val="24"/>
          <w:szCs w:val="24"/>
          <w:lang w:bidi="ar"/>
        </w:rPr>
        <w:t xml:space="preserve">。 </w:t>
      </w:r>
    </w:p>
    <w:p w14:paraId="6E322FDF">
      <w:pPr>
        <w:autoSpaceDE w:val="0"/>
        <w:autoSpaceDN w:val="0"/>
        <w:spacing w:line="360" w:lineRule="auto"/>
        <w:ind w:firstLine="480" w:firstLineChars="200"/>
        <w:rPr>
          <w:kern w:val="0"/>
          <w:sz w:val="24"/>
          <w:szCs w:val="22"/>
          <w:lang w:val="zh-CN"/>
        </w:rPr>
      </w:pPr>
      <w:r>
        <w:rPr>
          <w:kern w:val="0"/>
          <w:sz w:val="24"/>
          <w:szCs w:val="22"/>
        </w:rPr>
        <w:t>（</w:t>
      </w:r>
      <w:r>
        <w:rPr>
          <w:rFonts w:hint="eastAsia"/>
          <w:kern w:val="0"/>
          <w:sz w:val="24"/>
          <w:szCs w:val="22"/>
        </w:rPr>
        <w:t>2</w:t>
      </w:r>
      <w:r>
        <w:rPr>
          <w:kern w:val="0"/>
          <w:sz w:val="24"/>
          <w:szCs w:val="22"/>
        </w:rPr>
        <w:t>）</w:t>
      </w:r>
      <w:r>
        <w:rPr>
          <w:kern w:val="0"/>
          <w:sz w:val="24"/>
          <w:szCs w:val="22"/>
          <w:lang w:val="zh-CN"/>
        </w:rPr>
        <w:t>地下水补给、径流、排泄条件</w:t>
      </w:r>
    </w:p>
    <w:p w14:paraId="16636B1C">
      <w:pPr>
        <w:autoSpaceDE w:val="0"/>
        <w:autoSpaceDN w:val="0"/>
        <w:spacing w:line="360" w:lineRule="auto"/>
        <w:ind w:firstLine="480" w:firstLineChars="200"/>
        <w:rPr>
          <w:kern w:val="0"/>
          <w:sz w:val="24"/>
          <w:szCs w:val="24"/>
        </w:rPr>
      </w:pPr>
      <w:r>
        <w:rPr>
          <w:kern w:val="0"/>
          <w:sz w:val="24"/>
          <w:szCs w:val="24"/>
        </w:rPr>
        <w:t>在山前洪积倾斜平原区，第四系孔隙水主要接受河流入渗补给、山前沟谷潜流侧向补给、大气降水入渗补给。在山前冲洪积微倾斜平原区，地下水主要接受田间灌溉水的入渗补给。由于研究区降水稀少，降水入渗对地下水的补给量相对有限。近年来，河水入渗补给量减少</w:t>
      </w:r>
      <w:r>
        <w:rPr>
          <w:rFonts w:hint="eastAsia"/>
          <w:kern w:val="0"/>
          <w:sz w:val="24"/>
          <w:szCs w:val="24"/>
        </w:rPr>
        <w:t>；</w:t>
      </w:r>
      <w:r>
        <w:rPr>
          <w:kern w:val="0"/>
          <w:sz w:val="24"/>
          <w:szCs w:val="24"/>
        </w:rPr>
        <w:t>而在灌区内大量抽取地下水用于灌溉</w:t>
      </w:r>
      <w:r>
        <w:rPr>
          <w:rFonts w:hint="eastAsia"/>
          <w:kern w:val="0"/>
          <w:sz w:val="24"/>
          <w:szCs w:val="24"/>
        </w:rPr>
        <w:t>，</w:t>
      </w:r>
      <w:r>
        <w:rPr>
          <w:kern w:val="0"/>
          <w:sz w:val="24"/>
          <w:szCs w:val="24"/>
        </w:rPr>
        <w:t>因此田间灌溉水入渗是地下水主要的垂向补给来源。</w:t>
      </w:r>
    </w:p>
    <w:p w14:paraId="7F10D6A0">
      <w:pPr>
        <w:autoSpaceDE w:val="0"/>
        <w:autoSpaceDN w:val="0"/>
        <w:spacing w:line="360" w:lineRule="auto"/>
        <w:ind w:firstLine="480" w:firstLineChars="200"/>
        <w:rPr>
          <w:kern w:val="0"/>
          <w:sz w:val="24"/>
          <w:szCs w:val="24"/>
        </w:rPr>
      </w:pPr>
      <w:r>
        <w:rPr>
          <w:kern w:val="0"/>
          <w:sz w:val="24"/>
          <w:szCs w:val="24"/>
        </w:rPr>
        <w:t>受区内地形地貌特征及地层沉积规律影响，潜水呈现出由东北向西南径流的特征。在山前洪积倾斜平原区，由于地形坡度较大，含水层介质较粗，同时河水.入渗补给地下水，地下水径流相对较快。地下水径流至调查评价区微倾斜平原后，潜水含水层岩性渐变为砂土和粉土，含水层导水能力变弱，且水力梯度相对平缓，地下水径流相对较慢。地下水径流至细土平原后，含水层岩性主要为粉土，含水层导水能力变差，水力坡度急剧变小，地下水径流缓慢。区内地下水的主要排泄方式为人工开采、蒸发、植物蒸腾及向下游径流。</w:t>
      </w:r>
    </w:p>
    <w:p w14:paraId="4406C6F0">
      <w:pPr>
        <w:autoSpaceDE w:val="0"/>
        <w:autoSpaceDN w:val="0"/>
        <w:spacing w:line="360" w:lineRule="auto"/>
        <w:ind w:firstLine="480" w:firstLineChars="200"/>
        <w:rPr>
          <w:kern w:val="0"/>
          <w:sz w:val="24"/>
          <w:szCs w:val="24"/>
        </w:rPr>
      </w:pPr>
      <w:r>
        <w:rPr>
          <w:rFonts w:hint="eastAsia"/>
          <w:kern w:val="0"/>
          <w:sz w:val="24"/>
          <w:szCs w:val="24"/>
        </w:rPr>
        <w:t>（3）</w:t>
      </w:r>
      <w:r>
        <w:rPr>
          <w:kern w:val="0"/>
          <w:sz w:val="24"/>
          <w:szCs w:val="24"/>
        </w:rPr>
        <w:t>地下水动态特征</w:t>
      </w:r>
    </w:p>
    <w:p w14:paraId="530AC71E">
      <w:pPr>
        <w:autoSpaceDE w:val="0"/>
        <w:autoSpaceDN w:val="0"/>
        <w:spacing w:line="360" w:lineRule="auto"/>
        <w:ind w:firstLine="480" w:firstLineChars="200"/>
        <w:rPr>
          <w:kern w:val="0"/>
          <w:sz w:val="24"/>
          <w:szCs w:val="24"/>
        </w:rPr>
      </w:pPr>
      <w:r>
        <w:rPr>
          <w:kern w:val="0"/>
          <w:sz w:val="24"/>
          <w:szCs w:val="24"/>
        </w:rPr>
        <w:t>调查评价区地处山前冲洪积微倾斜平原，系统内潜水动态类型为渗入-径流型，潜水水位年内动态曲线呈现为双峰状。表现为2月份水位上升，至3~4月份达到</w:t>
      </w:r>
      <w:r>
        <w:rPr>
          <w:rFonts w:hint="eastAsia"/>
          <w:kern w:val="0"/>
          <w:sz w:val="24"/>
          <w:szCs w:val="24"/>
        </w:rPr>
        <w:t>第一个</w:t>
      </w:r>
      <w:r>
        <w:rPr>
          <w:kern w:val="0"/>
          <w:sz w:val="24"/>
          <w:szCs w:val="24"/>
        </w:rPr>
        <w:t>峰值，5~7月份为低水位期，8~10月水位微上升，持续至12月达到年内最高水位，之后开始下降，至2月份达到低水位，年内水位变幅0.7~2m，年际变幅0.27m。</w:t>
      </w:r>
    </w:p>
    <w:p w14:paraId="5F85B33F">
      <w:pPr>
        <w:autoSpaceDE w:val="0"/>
        <w:autoSpaceDN w:val="0"/>
        <w:spacing w:line="360" w:lineRule="auto"/>
        <w:ind w:firstLine="480" w:firstLineChars="200"/>
        <w:rPr>
          <w:kern w:val="0"/>
          <w:sz w:val="24"/>
          <w:szCs w:val="24"/>
        </w:rPr>
      </w:pPr>
      <w:r>
        <w:rPr>
          <w:kern w:val="0"/>
          <w:sz w:val="24"/>
          <w:szCs w:val="24"/>
        </w:rPr>
        <w:t>（4）</w:t>
      </w:r>
      <w:r>
        <w:rPr>
          <w:rFonts w:hint="eastAsia"/>
          <w:kern w:val="0"/>
          <w:sz w:val="24"/>
          <w:szCs w:val="24"/>
        </w:rPr>
        <w:t>地下</w:t>
      </w:r>
      <w:r>
        <w:rPr>
          <w:kern w:val="0"/>
          <w:sz w:val="24"/>
          <w:szCs w:val="24"/>
        </w:rPr>
        <w:t>水化学特性</w:t>
      </w:r>
    </w:p>
    <w:p w14:paraId="273A6090">
      <w:pPr>
        <w:autoSpaceDE w:val="0"/>
        <w:autoSpaceDN w:val="0"/>
        <w:spacing w:line="360" w:lineRule="auto"/>
        <w:ind w:firstLine="480" w:firstLineChars="200"/>
        <w:rPr>
          <w:kern w:val="0"/>
          <w:sz w:val="24"/>
          <w:szCs w:val="24"/>
        </w:rPr>
      </w:pPr>
      <w:r>
        <w:rPr>
          <w:kern w:val="0"/>
          <w:sz w:val="24"/>
          <w:szCs w:val="24"/>
        </w:rPr>
        <w:t>区内地下水水化学条件受补给源和径流条件的控制，由山前洪积倾斜平原、山前冲洪积微倾平原到冲积平原，水化学特征表现出水平分带规律。</w:t>
      </w:r>
    </w:p>
    <w:p w14:paraId="059744A4">
      <w:pPr>
        <w:autoSpaceDE w:val="0"/>
        <w:autoSpaceDN w:val="0"/>
        <w:spacing w:line="360" w:lineRule="auto"/>
        <w:ind w:firstLine="480" w:firstLineChars="200"/>
        <w:rPr>
          <w:kern w:val="0"/>
          <w:sz w:val="24"/>
          <w:szCs w:val="24"/>
        </w:rPr>
      </w:pPr>
      <w:r>
        <w:rPr>
          <w:kern w:val="0"/>
          <w:sz w:val="24"/>
          <w:szCs w:val="24"/>
        </w:rPr>
        <w:t>山前砾质平原的单一潜水区，水化学类型依次为SO</w:t>
      </w:r>
      <w:r>
        <w:rPr>
          <w:kern w:val="0"/>
          <w:sz w:val="24"/>
          <w:szCs w:val="24"/>
          <w:vertAlign w:val="subscript"/>
        </w:rPr>
        <w:t>4</w:t>
      </w:r>
      <w:r>
        <w:rPr>
          <w:kern w:val="0"/>
          <w:sz w:val="24"/>
          <w:szCs w:val="24"/>
        </w:rPr>
        <w:t>. HCO</w:t>
      </w:r>
      <w:r>
        <w:rPr>
          <w:kern w:val="0"/>
          <w:sz w:val="24"/>
          <w:szCs w:val="24"/>
          <w:vertAlign w:val="subscript"/>
        </w:rPr>
        <w:t>3</w:t>
      </w:r>
      <w:r>
        <w:rPr>
          <w:kern w:val="0"/>
          <w:sz w:val="24"/>
          <w:szCs w:val="24"/>
        </w:rPr>
        <w:t>(CI)-Na.Ca(Ca.Na)型、S0</w:t>
      </w:r>
      <w:r>
        <w:rPr>
          <w:kern w:val="0"/>
          <w:sz w:val="24"/>
          <w:szCs w:val="24"/>
          <w:vertAlign w:val="subscript"/>
        </w:rPr>
        <w:t>4</w:t>
      </w:r>
      <w:r>
        <w:rPr>
          <w:kern w:val="0"/>
          <w:sz w:val="24"/>
          <w:szCs w:val="24"/>
        </w:rPr>
        <w:t>.C1- Na:Mg 型、C1. S0</w:t>
      </w:r>
      <w:r>
        <w:rPr>
          <w:kern w:val="0"/>
          <w:sz w:val="24"/>
          <w:szCs w:val="24"/>
          <w:vertAlign w:val="subscript"/>
        </w:rPr>
        <w:t>4</w:t>
      </w:r>
      <w:r>
        <w:rPr>
          <w:kern w:val="0"/>
          <w:sz w:val="24"/>
          <w:szCs w:val="24"/>
        </w:rPr>
        <w:t>. HC0</w:t>
      </w:r>
      <w:r>
        <w:rPr>
          <w:kern w:val="0"/>
          <w:sz w:val="24"/>
          <w:szCs w:val="24"/>
          <w:vertAlign w:val="subscript"/>
        </w:rPr>
        <w:t>3</w:t>
      </w:r>
      <w:r>
        <w:rPr>
          <w:kern w:val="0"/>
          <w:sz w:val="24"/>
          <w:szCs w:val="24"/>
        </w:rPr>
        <w:t>- -Na. Ca. Mg型，TDS</w:t>
      </w:r>
      <w:r>
        <w:rPr>
          <w:rFonts w:hint="eastAsia"/>
          <w:kern w:val="0"/>
          <w:sz w:val="24"/>
          <w:szCs w:val="24"/>
        </w:rPr>
        <w:t>一般</w:t>
      </w:r>
      <w:r>
        <w:rPr>
          <w:kern w:val="0"/>
          <w:sz w:val="24"/>
          <w:szCs w:val="24"/>
        </w:rPr>
        <w:t>小于1g/L，个别地段1~3g/L。</w:t>
      </w:r>
    </w:p>
    <w:p w14:paraId="1730F044">
      <w:pPr>
        <w:autoSpaceDE w:val="0"/>
        <w:autoSpaceDN w:val="0"/>
        <w:spacing w:line="360" w:lineRule="auto"/>
        <w:ind w:firstLine="480" w:firstLineChars="200"/>
        <w:rPr>
          <w:kern w:val="0"/>
          <w:sz w:val="24"/>
          <w:szCs w:val="24"/>
        </w:rPr>
      </w:pPr>
      <w:r>
        <w:rPr>
          <w:kern w:val="0"/>
          <w:sz w:val="24"/>
          <w:szCs w:val="24"/>
        </w:rPr>
        <w:t>调查评价区及南侧的多层结构潜水-承压水区，潜水水化学类型由SO</w:t>
      </w:r>
      <w:r>
        <w:rPr>
          <w:kern w:val="0"/>
          <w:sz w:val="24"/>
          <w:szCs w:val="24"/>
          <w:vertAlign w:val="subscript"/>
        </w:rPr>
        <w:t>4</w:t>
      </w:r>
      <w:r>
        <w:rPr>
          <w:kern w:val="0"/>
          <w:sz w:val="24"/>
          <w:szCs w:val="24"/>
        </w:rPr>
        <w:t>. HCO</w:t>
      </w:r>
      <w:r>
        <w:rPr>
          <w:kern w:val="0"/>
          <w:sz w:val="24"/>
          <w:szCs w:val="24"/>
          <w:vertAlign w:val="subscript"/>
        </w:rPr>
        <w:t>3</w:t>
      </w:r>
      <w:r>
        <w:rPr>
          <w:kern w:val="0"/>
          <w:sz w:val="24"/>
          <w:szCs w:val="24"/>
        </w:rPr>
        <w:t>-Ca.Mg型、CISO</w:t>
      </w:r>
      <w:r>
        <w:rPr>
          <w:kern w:val="0"/>
          <w:sz w:val="24"/>
          <w:szCs w:val="24"/>
          <w:vertAlign w:val="subscript"/>
        </w:rPr>
        <w:t>4</w:t>
      </w:r>
      <w:r>
        <w:rPr>
          <w:kern w:val="0"/>
          <w:sz w:val="24"/>
          <w:szCs w:val="24"/>
        </w:rPr>
        <w:t>. HCO</w:t>
      </w:r>
      <w:r>
        <w:rPr>
          <w:kern w:val="0"/>
          <w:sz w:val="24"/>
          <w:szCs w:val="24"/>
          <w:vertAlign w:val="subscript"/>
        </w:rPr>
        <w:t>3</w:t>
      </w:r>
      <w:r>
        <w:rPr>
          <w:kern w:val="0"/>
          <w:sz w:val="24"/>
          <w:szCs w:val="24"/>
        </w:rPr>
        <w:t>-NaCa.Mg型渐变为C1. SO</w:t>
      </w:r>
      <w:r>
        <w:rPr>
          <w:kern w:val="0"/>
          <w:sz w:val="24"/>
          <w:szCs w:val="24"/>
          <w:vertAlign w:val="subscript"/>
        </w:rPr>
        <w:t>4</w:t>
      </w:r>
      <w:r>
        <w:rPr>
          <w:kern w:val="0"/>
          <w:sz w:val="24"/>
          <w:szCs w:val="24"/>
        </w:rPr>
        <w:t>-Na:Mg型、CI-Na型，TDS由小于1g/L渐变为1~3gL、3~10g/L。承压水水化学类型由SO</w:t>
      </w:r>
      <w:r>
        <w:rPr>
          <w:kern w:val="0"/>
          <w:sz w:val="24"/>
          <w:szCs w:val="24"/>
          <w:vertAlign w:val="subscript"/>
        </w:rPr>
        <w:t>4</w:t>
      </w:r>
      <w:r>
        <w:rPr>
          <w:kern w:val="0"/>
          <w:sz w:val="24"/>
          <w:szCs w:val="24"/>
        </w:rPr>
        <w:t>-CI-Na.Ca型渐变为CI. S0</w:t>
      </w:r>
      <w:r>
        <w:rPr>
          <w:kern w:val="0"/>
          <w:sz w:val="24"/>
          <w:szCs w:val="24"/>
          <w:vertAlign w:val="subscript"/>
        </w:rPr>
        <w:t>4</w:t>
      </w:r>
      <w:r>
        <w:rPr>
          <w:kern w:val="0"/>
          <w:sz w:val="24"/>
          <w:szCs w:val="24"/>
        </w:rPr>
        <w:t>-Na(Na.Ca)型，TDS</w:t>
      </w:r>
      <w:r>
        <w:rPr>
          <w:rFonts w:hint="eastAsia"/>
          <w:kern w:val="0"/>
          <w:sz w:val="24"/>
          <w:szCs w:val="24"/>
        </w:rPr>
        <w:t>一般</w:t>
      </w:r>
      <w:r>
        <w:rPr>
          <w:kern w:val="0"/>
          <w:sz w:val="24"/>
          <w:szCs w:val="24"/>
        </w:rPr>
        <w:t>大于1g/L。</w:t>
      </w:r>
    </w:p>
    <w:p w14:paraId="24B7B956">
      <w:pPr>
        <w:spacing w:line="360" w:lineRule="auto"/>
        <w:ind w:firstLine="482"/>
        <w:rPr>
          <w:kern w:val="0"/>
          <w:sz w:val="24"/>
          <w:szCs w:val="24"/>
        </w:rPr>
      </w:pPr>
      <w:r>
        <w:rPr>
          <w:kern w:val="0"/>
          <w:sz w:val="24"/>
          <w:szCs w:val="24"/>
        </w:rPr>
        <w:t>（5）项目区地下水现状</w:t>
      </w:r>
    </w:p>
    <w:p w14:paraId="4279709C">
      <w:pPr>
        <w:spacing w:line="360" w:lineRule="auto"/>
        <w:ind w:firstLine="482"/>
        <w:rPr>
          <w:kern w:val="0"/>
          <w:sz w:val="24"/>
          <w:szCs w:val="24"/>
          <w:lang w:val="zh-CN" w:bidi="zh-CN"/>
        </w:rPr>
      </w:pPr>
      <w:r>
        <w:rPr>
          <w:rFonts w:hint="eastAsia" w:ascii="宋体" w:hAnsi="宋体" w:cs="宋体"/>
          <w:kern w:val="0"/>
          <w:sz w:val="24"/>
          <w:szCs w:val="24"/>
          <w:lang w:val="zh-CN" w:bidi="zh-CN"/>
        </w:rPr>
        <w:t>依据区域水文地质资料，</w:t>
      </w:r>
      <w:r>
        <w:rPr>
          <w:rFonts w:hint="eastAsia" w:ascii="宋体" w:hAnsi="宋体" w:cs="宋体"/>
          <w:kern w:val="0"/>
          <w:sz w:val="24"/>
          <w:szCs w:val="24"/>
          <w:lang w:bidi="ar"/>
        </w:rPr>
        <w:t>地下水基本上是自北向南流动，北部水利坡度为</w:t>
      </w:r>
      <w:r>
        <w:rPr>
          <w:kern w:val="0"/>
          <w:sz w:val="24"/>
          <w:szCs w:val="24"/>
          <w:lang w:bidi="ar"/>
        </w:rPr>
        <w:t>6.25‰</w:t>
      </w:r>
      <w:r>
        <w:rPr>
          <w:rFonts w:hint="eastAsia" w:ascii="宋体" w:hAnsi="宋体" w:cs="宋体"/>
          <w:kern w:val="0"/>
          <w:sz w:val="24"/>
          <w:szCs w:val="24"/>
          <w:lang w:bidi="ar"/>
        </w:rPr>
        <w:t>，南部水利坡度为</w:t>
      </w:r>
      <w:r>
        <w:rPr>
          <w:kern w:val="0"/>
          <w:sz w:val="24"/>
          <w:szCs w:val="24"/>
          <w:lang w:bidi="ar"/>
        </w:rPr>
        <w:t>1.28‰</w:t>
      </w:r>
      <w:r>
        <w:rPr>
          <w:rFonts w:hint="eastAsia" w:ascii="宋体" w:hAnsi="宋体" w:cs="宋体"/>
          <w:kern w:val="0"/>
          <w:sz w:val="24"/>
          <w:szCs w:val="24"/>
          <w:lang w:bidi="ar"/>
        </w:rPr>
        <w:t>，以侧向径流形式向南排泄。孔雀河分水闸至上户地段属潜水水量丰富区。</w:t>
      </w:r>
    </w:p>
    <w:p w14:paraId="47E1F5AD">
      <w:pPr>
        <w:spacing w:line="360" w:lineRule="auto"/>
        <w:ind w:firstLine="482"/>
        <w:rPr>
          <w:rFonts w:hint="eastAsia" w:ascii="宋体" w:hAnsi="宋体" w:cs="宋体"/>
          <w:kern w:val="0"/>
          <w:sz w:val="24"/>
          <w:szCs w:val="24"/>
          <w:lang w:val="zh-CN" w:bidi="zh-CN"/>
        </w:rPr>
      </w:pPr>
      <w:r>
        <w:rPr>
          <w:rFonts w:hint="eastAsia" w:ascii="宋体" w:hAnsi="宋体" w:cs="宋体"/>
          <w:kern w:val="0"/>
          <w:sz w:val="24"/>
          <w:szCs w:val="24"/>
          <w:lang w:val="zh-CN" w:bidi="zh-CN"/>
        </w:rPr>
        <w:t>项目所在地下水赋存特征为上部孔隙潜水、下部孔隙承压水的多层结构。依据本工程水文地质勘探资料，调查评价区地表以下</w:t>
      </w:r>
      <w:r>
        <w:rPr>
          <w:rFonts w:ascii="宋体" w:hAnsi="宋体" w:cs="宋体"/>
          <w:kern w:val="0"/>
          <w:sz w:val="24"/>
          <w:szCs w:val="24"/>
          <w:lang w:val="zh-CN" w:bidi="zh-CN"/>
        </w:rPr>
        <w:t>20</w:t>
      </w:r>
      <w:r>
        <w:rPr>
          <w:rFonts w:hint="eastAsia" w:ascii="宋体" w:hAnsi="宋体" w:cs="宋体"/>
          <w:kern w:val="0"/>
          <w:sz w:val="24"/>
          <w:szCs w:val="24"/>
          <w:lang w:val="zh-CN" w:bidi="zh-CN"/>
        </w:rPr>
        <w:t>～</w:t>
      </w:r>
      <w:r>
        <w:rPr>
          <w:rFonts w:ascii="宋体" w:hAnsi="宋体" w:cs="宋体"/>
          <w:kern w:val="0"/>
          <w:sz w:val="24"/>
          <w:szCs w:val="24"/>
          <w:lang w:val="zh-CN" w:bidi="zh-CN"/>
        </w:rPr>
        <w:t>30m</w:t>
      </w:r>
      <w:r>
        <w:rPr>
          <w:rFonts w:hint="eastAsia" w:ascii="宋体" w:hAnsi="宋体" w:cs="宋体"/>
          <w:kern w:val="0"/>
          <w:sz w:val="24"/>
          <w:szCs w:val="24"/>
          <w:lang w:val="zh-CN" w:bidi="zh-CN"/>
        </w:rPr>
        <w:t>左右深度范围内，地层由砂土和粉土构成，其中赋存孔隙潜水，而下部为大于</w:t>
      </w:r>
      <w:r>
        <w:rPr>
          <w:rFonts w:ascii="宋体" w:hAnsi="宋体" w:cs="宋体"/>
          <w:kern w:val="0"/>
          <w:sz w:val="24"/>
          <w:szCs w:val="24"/>
          <w:lang w:val="zh-CN" w:bidi="zh-CN"/>
        </w:rPr>
        <w:t>10.0m</w:t>
      </w:r>
      <w:r>
        <w:rPr>
          <w:rFonts w:hint="eastAsia" w:ascii="宋体" w:hAnsi="宋体" w:cs="宋体"/>
          <w:kern w:val="0"/>
          <w:sz w:val="24"/>
          <w:szCs w:val="24"/>
          <w:lang w:val="zh-CN" w:bidi="zh-CN"/>
        </w:rPr>
        <w:t>连续稳定分布的粉质粘土层，构成了潜水含水层良好的隔水底板。</w:t>
      </w:r>
    </w:p>
    <w:p w14:paraId="429AC1FE">
      <w:pPr>
        <w:spacing w:line="360" w:lineRule="auto"/>
        <w:ind w:firstLine="480" w:firstLineChars="200"/>
        <w:rPr>
          <w:kern w:val="0"/>
          <w:sz w:val="24"/>
          <w:szCs w:val="24"/>
          <w:lang w:bidi="zh-CN"/>
        </w:rPr>
      </w:pPr>
      <w:r>
        <w:rPr>
          <w:rFonts w:hint="eastAsia"/>
          <w:kern w:val="0"/>
          <w:sz w:val="24"/>
          <w:szCs w:val="24"/>
          <w:lang w:bidi="zh-CN"/>
        </w:rPr>
        <w:t>（6）地下水污染途径</w:t>
      </w:r>
    </w:p>
    <w:p w14:paraId="46110670">
      <w:pPr>
        <w:spacing w:line="360" w:lineRule="auto"/>
        <w:ind w:firstLine="480" w:firstLineChars="200"/>
        <w:rPr>
          <w:color w:val="000000"/>
          <w:sz w:val="24"/>
        </w:rPr>
      </w:pPr>
      <w:r>
        <w:rPr>
          <w:rFonts w:hint="eastAsia"/>
          <w:color w:val="000000"/>
          <w:sz w:val="24"/>
        </w:rPr>
        <w:t>本项目产生及排放的污染物如废气、废水可以通过大气环境的干、湿沉降、废水处理构筑物的渗漏等环节进入地下水，原辅材料及固体废物贮存、运输、处置等环节的不严格或不妥善，造成地下水污染。污染物进入地下水环境的主要可能途径有：</w:t>
      </w:r>
    </w:p>
    <w:p w14:paraId="1630D660">
      <w:pPr>
        <w:spacing w:line="360" w:lineRule="auto"/>
        <w:ind w:firstLine="480" w:firstLineChars="200"/>
        <w:rPr>
          <w:color w:val="000000"/>
          <w:sz w:val="24"/>
        </w:rPr>
      </w:pPr>
      <w:r>
        <w:rPr>
          <w:rFonts w:hint="eastAsia" w:ascii="宋体" w:hAnsi="宋体" w:cs="宋体"/>
          <w:color w:val="000000"/>
          <w:sz w:val="24"/>
        </w:rPr>
        <w:t>①</w:t>
      </w:r>
      <w:r>
        <w:rPr>
          <w:color w:val="000000"/>
          <w:sz w:val="24"/>
        </w:rPr>
        <w:t xml:space="preserve"> </w:t>
      </w:r>
      <w:r>
        <w:rPr>
          <w:rFonts w:hint="eastAsia"/>
          <w:color w:val="000000"/>
          <w:sz w:val="24"/>
        </w:rPr>
        <w:t>废物产生后，不能完全收集而流失于环境中；</w:t>
      </w:r>
    </w:p>
    <w:p w14:paraId="6A9CD2A0">
      <w:pPr>
        <w:spacing w:line="360" w:lineRule="auto"/>
        <w:ind w:firstLine="480" w:firstLineChars="200"/>
        <w:rPr>
          <w:color w:val="000000"/>
          <w:sz w:val="24"/>
        </w:rPr>
      </w:pPr>
      <w:r>
        <w:rPr>
          <w:rFonts w:hint="eastAsia" w:ascii="宋体" w:hAnsi="宋体" w:cs="宋体"/>
          <w:color w:val="000000"/>
          <w:sz w:val="24"/>
        </w:rPr>
        <w:t>②</w:t>
      </w:r>
      <w:r>
        <w:rPr>
          <w:color w:val="000000"/>
          <w:sz w:val="24"/>
        </w:rPr>
        <w:t xml:space="preserve"> </w:t>
      </w:r>
      <w:r>
        <w:rPr>
          <w:rFonts w:hint="eastAsia"/>
          <w:color w:val="000000"/>
          <w:sz w:val="24"/>
        </w:rPr>
        <w:t>废物临时堆放地无防雨、防风、防渗设施，雨水洗淋后污染物随渗滤液进入地下水环境，大风时也可造成风蚀流失；</w:t>
      </w:r>
    </w:p>
    <w:p w14:paraId="1D493558">
      <w:pPr>
        <w:spacing w:line="360" w:lineRule="auto"/>
        <w:ind w:firstLine="480" w:firstLineChars="200"/>
        <w:rPr>
          <w:color w:val="000000"/>
          <w:sz w:val="24"/>
        </w:rPr>
      </w:pPr>
      <w:r>
        <w:rPr>
          <w:rFonts w:hint="eastAsia" w:ascii="宋体" w:hAnsi="宋体" w:cs="宋体"/>
          <w:color w:val="000000"/>
          <w:sz w:val="24"/>
        </w:rPr>
        <w:t>③</w:t>
      </w:r>
      <w:r>
        <w:rPr>
          <w:color w:val="000000"/>
          <w:sz w:val="24"/>
        </w:rPr>
        <w:t xml:space="preserve"> </w:t>
      </w:r>
      <w:r>
        <w:rPr>
          <w:rFonts w:hint="eastAsia"/>
          <w:color w:val="000000"/>
          <w:sz w:val="24"/>
        </w:rPr>
        <w:t>因管理不善而造成人为流失继而污染环境；</w:t>
      </w:r>
    </w:p>
    <w:p w14:paraId="1C90360E">
      <w:pPr>
        <w:spacing w:line="360" w:lineRule="auto"/>
        <w:ind w:firstLine="480" w:firstLineChars="200"/>
        <w:rPr>
          <w:color w:val="000000"/>
          <w:sz w:val="24"/>
        </w:rPr>
      </w:pPr>
      <w:r>
        <w:rPr>
          <w:rFonts w:hint="eastAsia" w:ascii="宋体" w:hAnsi="宋体" w:cs="宋体"/>
          <w:color w:val="000000"/>
          <w:sz w:val="24"/>
        </w:rPr>
        <w:t>④</w:t>
      </w:r>
      <w:r>
        <w:rPr>
          <w:color w:val="000000"/>
          <w:sz w:val="24"/>
        </w:rPr>
        <w:t xml:space="preserve"> </w:t>
      </w:r>
      <w:r>
        <w:rPr>
          <w:rFonts w:hint="eastAsia"/>
          <w:color w:val="000000"/>
          <w:sz w:val="24"/>
        </w:rPr>
        <w:t>废物得不到及时处置，在处置场所因各种因素造成流失；</w:t>
      </w:r>
    </w:p>
    <w:p w14:paraId="63767CB1">
      <w:pPr>
        <w:spacing w:line="360" w:lineRule="auto"/>
        <w:ind w:firstLine="480" w:firstLineChars="200"/>
        <w:rPr>
          <w:color w:val="000000"/>
          <w:sz w:val="24"/>
        </w:rPr>
      </w:pPr>
      <w:r>
        <w:rPr>
          <w:rFonts w:hint="eastAsia" w:ascii="宋体" w:hAnsi="宋体" w:cs="宋体"/>
          <w:color w:val="000000"/>
          <w:sz w:val="24"/>
        </w:rPr>
        <w:t>⑤</w:t>
      </w:r>
      <w:r>
        <w:rPr>
          <w:color w:val="000000"/>
          <w:sz w:val="24"/>
        </w:rPr>
        <w:t xml:space="preserve"> </w:t>
      </w:r>
      <w:r>
        <w:rPr>
          <w:rFonts w:hint="eastAsia"/>
          <w:color w:val="000000"/>
          <w:sz w:val="24"/>
        </w:rPr>
        <w:t>原辅材料库区管理不妥，原辅材料流失而造成污染；</w:t>
      </w:r>
    </w:p>
    <w:p w14:paraId="539A88B0">
      <w:pPr>
        <w:spacing w:line="360" w:lineRule="auto"/>
        <w:ind w:firstLine="480" w:firstLineChars="200"/>
        <w:rPr>
          <w:color w:val="000000"/>
          <w:sz w:val="24"/>
        </w:rPr>
      </w:pPr>
      <w:r>
        <w:rPr>
          <w:rFonts w:hint="eastAsia" w:ascii="宋体" w:hAnsi="宋体" w:cs="宋体"/>
          <w:color w:val="000000"/>
          <w:sz w:val="24"/>
        </w:rPr>
        <w:t>⑥</w:t>
      </w:r>
      <w:r>
        <w:rPr>
          <w:color w:val="000000"/>
          <w:sz w:val="24"/>
        </w:rPr>
        <w:t xml:space="preserve"> </w:t>
      </w:r>
      <w:r>
        <w:rPr>
          <w:rFonts w:hint="eastAsia"/>
          <w:color w:val="000000"/>
          <w:sz w:val="24"/>
        </w:rPr>
        <w:t>废水处理构筑物渗漏，导致污染物进入地下水。</w:t>
      </w:r>
    </w:p>
    <w:p w14:paraId="6A7AA179">
      <w:pPr>
        <w:spacing w:line="360" w:lineRule="auto"/>
        <w:ind w:firstLine="480" w:firstLineChars="200"/>
        <w:rPr>
          <w:kern w:val="0"/>
          <w:sz w:val="24"/>
          <w:szCs w:val="24"/>
          <w:lang w:bidi="zh-CN"/>
        </w:rPr>
      </w:pPr>
      <w:bookmarkStart w:id="292" w:name="_Toc20478"/>
      <w:bookmarkStart w:id="293" w:name="_Toc19926"/>
      <w:bookmarkStart w:id="294" w:name="_Toc24778"/>
      <w:bookmarkStart w:id="295" w:name="_Toc20000"/>
      <w:r>
        <w:rPr>
          <w:rFonts w:hint="eastAsia"/>
          <w:kern w:val="0"/>
          <w:sz w:val="24"/>
          <w:szCs w:val="24"/>
          <w:lang w:bidi="zh-CN"/>
        </w:rPr>
        <w:t>（7）地下水环境污染危害影响分析</w:t>
      </w:r>
      <w:bookmarkEnd w:id="292"/>
      <w:bookmarkEnd w:id="293"/>
      <w:bookmarkEnd w:id="294"/>
      <w:bookmarkEnd w:id="295"/>
    </w:p>
    <w:p w14:paraId="7D91A17B">
      <w:pPr>
        <w:spacing w:line="360" w:lineRule="auto"/>
        <w:ind w:firstLine="480" w:firstLineChars="200"/>
        <w:rPr>
          <w:color w:val="000000"/>
          <w:sz w:val="24"/>
        </w:rPr>
      </w:pPr>
      <w:r>
        <w:rPr>
          <w:rFonts w:hint="eastAsia"/>
          <w:color w:val="000000"/>
          <w:sz w:val="24"/>
        </w:rPr>
        <w:t>项目污染物排放如不受控制，可能对地下水环境的污染危害影响主要有：</w:t>
      </w:r>
    </w:p>
    <w:p w14:paraId="56ECD58E">
      <w:pPr>
        <w:spacing w:line="360" w:lineRule="auto"/>
        <w:ind w:firstLine="480" w:firstLineChars="200"/>
        <w:rPr>
          <w:color w:val="000000"/>
          <w:sz w:val="24"/>
        </w:rPr>
      </w:pPr>
      <w:r>
        <w:rPr>
          <w:rFonts w:hint="eastAsia" w:ascii="宋体" w:hAnsi="宋体" w:cs="宋体"/>
          <w:color w:val="000000"/>
          <w:sz w:val="24"/>
        </w:rPr>
        <w:t>①</w:t>
      </w:r>
      <w:r>
        <w:rPr>
          <w:color w:val="000000"/>
          <w:sz w:val="24"/>
        </w:rPr>
        <w:t xml:space="preserve"> </w:t>
      </w:r>
      <w:r>
        <w:rPr>
          <w:rFonts w:hint="eastAsia"/>
          <w:color w:val="000000"/>
          <w:sz w:val="24"/>
        </w:rPr>
        <w:t>污染物使土壤受污染后，由于污染物在雨水淋滤下转移至地下含水层，致使地下水（特别是潜水）受到污染；</w:t>
      </w:r>
    </w:p>
    <w:p w14:paraId="56C99BC0">
      <w:pPr>
        <w:spacing w:line="360" w:lineRule="auto"/>
        <w:ind w:firstLine="480" w:firstLineChars="200"/>
        <w:rPr>
          <w:color w:val="000000"/>
          <w:sz w:val="24"/>
        </w:rPr>
      </w:pPr>
      <w:r>
        <w:rPr>
          <w:rFonts w:hint="eastAsia" w:ascii="宋体" w:hAnsi="宋体" w:cs="宋体"/>
          <w:color w:val="000000"/>
          <w:sz w:val="24"/>
        </w:rPr>
        <w:t>②</w:t>
      </w:r>
      <w:r>
        <w:rPr>
          <w:color w:val="000000"/>
          <w:sz w:val="24"/>
        </w:rPr>
        <w:t xml:space="preserve"> </w:t>
      </w:r>
      <w:r>
        <w:rPr>
          <w:rFonts w:hint="eastAsia"/>
          <w:color w:val="000000"/>
          <w:sz w:val="24"/>
        </w:rPr>
        <w:t>污染物在地下水中迁移、弥散速度很慢，因此一旦受到污染，其污染影响是长期的。</w:t>
      </w:r>
    </w:p>
    <w:p w14:paraId="0F68F590">
      <w:pPr>
        <w:spacing w:line="360" w:lineRule="auto"/>
        <w:ind w:firstLine="480" w:firstLineChars="200"/>
        <w:rPr>
          <w:kern w:val="0"/>
          <w:sz w:val="24"/>
          <w:szCs w:val="24"/>
          <w:lang w:bidi="zh-CN"/>
        </w:rPr>
      </w:pPr>
      <w:bookmarkStart w:id="296" w:name="_Toc15079"/>
      <w:bookmarkStart w:id="297" w:name="_Toc24520"/>
      <w:bookmarkStart w:id="298" w:name="_Toc5742"/>
      <w:bookmarkStart w:id="299" w:name="_Toc28061"/>
      <w:r>
        <w:rPr>
          <w:rFonts w:hint="eastAsia"/>
          <w:kern w:val="0"/>
          <w:sz w:val="24"/>
          <w:szCs w:val="24"/>
          <w:lang w:bidi="zh-CN"/>
        </w:rPr>
        <w:t>（8）地下水污染途径及影响分析</w:t>
      </w:r>
      <w:bookmarkEnd w:id="296"/>
      <w:bookmarkEnd w:id="297"/>
      <w:bookmarkEnd w:id="298"/>
      <w:bookmarkEnd w:id="299"/>
    </w:p>
    <w:p w14:paraId="6FF80FF0">
      <w:pPr>
        <w:pStyle w:val="38"/>
        <w:ind w:left="426" w:leftChars="203" w:firstLine="0"/>
        <w:rPr>
          <w:rFonts w:hint="eastAsia" w:hAnsi="宋体"/>
          <w:color w:val="000000"/>
        </w:rPr>
      </w:pPr>
      <w:r>
        <w:rPr>
          <w:rFonts w:hint="eastAsia" w:hAnsi="宋体"/>
          <w:color w:val="000000"/>
        </w:rPr>
        <w:t>根据本项目所在区域的地质情况，可能对地下水造成污染的途径主要有：项目生活</w:t>
      </w:r>
    </w:p>
    <w:p w14:paraId="0ACDFF69">
      <w:pPr>
        <w:pStyle w:val="38"/>
        <w:ind w:left="210" w:leftChars="100" w:firstLine="0"/>
        <w:rPr>
          <w:rFonts w:hint="eastAsia" w:ascii="宋体" w:hAnsi="宋体" w:cs="宋体"/>
          <w:color w:val="000000"/>
          <w:sz w:val="24"/>
        </w:rPr>
      </w:pPr>
      <w:r>
        <w:rPr>
          <w:rFonts w:hint="eastAsia" w:hAnsi="宋体"/>
          <w:color w:val="000000"/>
        </w:rPr>
        <w:t>区生活污水收集管道沿途有渗漏、</w:t>
      </w:r>
      <w:r>
        <w:rPr>
          <w:rFonts w:hint="eastAsia" w:hAnsi="宋体"/>
          <w:color w:val="000000"/>
          <w:lang w:eastAsia="zh-CN"/>
        </w:rPr>
        <w:t>防渗</w:t>
      </w:r>
      <w:r>
        <w:rPr>
          <w:rFonts w:hint="eastAsia" w:hAnsi="宋体"/>
          <w:color w:val="000000"/>
          <w:lang w:val="en-US" w:eastAsia="zh-CN"/>
        </w:rPr>
        <w:t>化粪池</w:t>
      </w:r>
      <w:r>
        <w:rPr>
          <w:rFonts w:hint="eastAsia" w:hAnsi="宋体"/>
          <w:color w:val="000000"/>
        </w:rPr>
        <w:t>渗漏，可污染浅层地下</w:t>
      </w:r>
      <w:r>
        <w:rPr>
          <w:rFonts w:hint="eastAsia" w:ascii="宋体" w:hAnsi="宋体" w:cs="宋体"/>
          <w:color w:val="000000"/>
          <w:sz w:val="24"/>
        </w:rPr>
        <w:t>水。根据实地踏勘，评价范围内无地下水敏感点、无饮用水水源保护区。</w:t>
      </w:r>
    </w:p>
    <w:p w14:paraId="1BCC165F">
      <w:pPr>
        <w:widowControl/>
        <w:spacing w:line="360" w:lineRule="auto"/>
        <w:ind w:firstLine="480" w:firstLineChars="200"/>
        <w:rPr>
          <w:color w:val="000000"/>
          <w:sz w:val="24"/>
        </w:rPr>
      </w:pPr>
      <w:r>
        <w:rPr>
          <w:rFonts w:hint="eastAsia" w:ascii="宋体" w:hAnsi="宋体" w:cs="宋体"/>
          <w:color w:val="000000"/>
          <w:sz w:val="24"/>
        </w:rPr>
        <w:t>①</w:t>
      </w:r>
      <w:r>
        <w:rPr>
          <w:color w:val="000000"/>
          <w:sz w:val="24"/>
        </w:rPr>
        <w:t xml:space="preserve"> </w:t>
      </w:r>
      <w:r>
        <w:rPr>
          <w:rFonts w:hint="eastAsia"/>
          <w:color w:val="000000"/>
          <w:sz w:val="24"/>
        </w:rPr>
        <w:t>正常状况地下水影响分析</w:t>
      </w:r>
    </w:p>
    <w:p w14:paraId="7F82E8F7">
      <w:pPr>
        <w:widowControl/>
        <w:spacing w:line="360" w:lineRule="auto"/>
        <w:ind w:firstLine="480" w:firstLineChars="200"/>
        <w:rPr>
          <w:color w:val="000000"/>
          <w:sz w:val="24"/>
        </w:rPr>
      </w:pPr>
      <w:r>
        <w:rPr>
          <w:rFonts w:hint="eastAsia"/>
          <w:color w:val="000000"/>
          <w:sz w:val="24"/>
        </w:rPr>
        <w:t>根据工程分析，本项目</w:t>
      </w:r>
      <w:r>
        <w:rPr>
          <w:rFonts w:hint="eastAsia"/>
          <w:color w:val="000000"/>
          <w:sz w:val="24"/>
          <w:lang w:eastAsia="zh-CN"/>
        </w:rPr>
        <w:t>无生产废水</w:t>
      </w:r>
      <w:r>
        <w:rPr>
          <w:rFonts w:hint="eastAsia"/>
          <w:color w:val="000000"/>
          <w:sz w:val="24"/>
        </w:rPr>
        <w:t>，</w:t>
      </w:r>
      <w:r>
        <w:rPr>
          <w:rFonts w:hint="eastAsia" w:ascii="宋体" w:hAnsi="宋体"/>
          <w:sz w:val="24"/>
          <w:szCs w:val="24"/>
        </w:rPr>
        <w:t>生活污水排入</w:t>
      </w:r>
      <w:r>
        <w:rPr>
          <w:rFonts w:hint="eastAsia" w:ascii="宋体" w:hAnsi="宋体"/>
          <w:sz w:val="24"/>
          <w:szCs w:val="24"/>
          <w:lang w:val="en-US" w:eastAsia="zh-CN"/>
        </w:rPr>
        <w:t>10</w:t>
      </w:r>
      <w:r>
        <w:rPr>
          <w:rFonts w:ascii="宋体" w:hAnsi="宋体"/>
          <w:sz w:val="24"/>
          <w:szCs w:val="24"/>
        </w:rPr>
        <w:t>m</w:t>
      </w:r>
      <w:r>
        <w:rPr>
          <w:rFonts w:ascii="宋体" w:hAnsi="宋体"/>
          <w:sz w:val="24"/>
          <w:szCs w:val="24"/>
          <w:vertAlign w:val="superscript"/>
        </w:rPr>
        <w:t>3</w:t>
      </w:r>
      <w:r>
        <w:rPr>
          <w:rFonts w:hint="eastAsia" w:ascii="宋体" w:hAnsi="宋体"/>
          <w:sz w:val="24"/>
          <w:szCs w:val="24"/>
          <w:lang w:val="en-US" w:eastAsia="zh-CN"/>
        </w:rPr>
        <w:t>防渗化粪池</w:t>
      </w:r>
      <w:r>
        <w:rPr>
          <w:rFonts w:hint="eastAsia" w:ascii="宋体" w:hAnsi="宋体"/>
          <w:sz w:val="24"/>
          <w:szCs w:val="24"/>
          <w:lang w:eastAsia="zh-CN"/>
        </w:rPr>
        <w:t>，定期由库尔勒龙润水处理有限公司采用罐车拉运至库尔勒南市区污水处理厂</w:t>
      </w:r>
      <w:r>
        <w:rPr>
          <w:rFonts w:hint="eastAsia"/>
          <w:color w:val="000000"/>
          <w:sz w:val="24"/>
        </w:rPr>
        <w:t>。</w:t>
      </w:r>
    </w:p>
    <w:p w14:paraId="5C303D3F">
      <w:pPr>
        <w:widowControl/>
        <w:spacing w:line="360" w:lineRule="auto"/>
        <w:ind w:firstLine="480" w:firstLineChars="200"/>
        <w:rPr>
          <w:color w:val="000000"/>
          <w:sz w:val="24"/>
        </w:rPr>
      </w:pPr>
      <w:r>
        <w:rPr>
          <w:rFonts w:hint="eastAsia"/>
          <w:color w:val="000000"/>
          <w:sz w:val="24"/>
        </w:rPr>
        <w:t>正常情况下，项目严格按照报告中提出的“源头控制、分区防控、污染监控、应急响应”原则，在做好各区域防渗的基础上，本项目废水不会通过下渗而进入地下水从而导致场地地下包气带及地下水环境造成影响。</w:t>
      </w:r>
    </w:p>
    <w:p w14:paraId="41AA7AEB">
      <w:pPr>
        <w:widowControl/>
        <w:spacing w:line="360" w:lineRule="auto"/>
        <w:ind w:firstLine="480" w:firstLineChars="200"/>
        <w:rPr>
          <w:color w:val="000000"/>
          <w:sz w:val="24"/>
        </w:rPr>
      </w:pPr>
      <w:r>
        <w:rPr>
          <w:rFonts w:hint="eastAsia"/>
          <w:color w:val="000000"/>
          <w:sz w:val="24"/>
        </w:rPr>
        <w:t>②非正常状况下地下水环境影响分析</w:t>
      </w:r>
    </w:p>
    <w:p w14:paraId="443A6BD4">
      <w:pPr>
        <w:widowControl/>
        <w:spacing w:line="360" w:lineRule="auto"/>
        <w:ind w:firstLine="480" w:firstLineChars="200"/>
        <w:rPr>
          <w:color w:val="000000"/>
          <w:sz w:val="24"/>
        </w:rPr>
      </w:pPr>
      <w:r>
        <w:rPr>
          <w:rFonts w:hint="eastAsia"/>
          <w:color w:val="000000"/>
          <w:sz w:val="24"/>
        </w:rPr>
        <w:t>影响途径：考虑到非正常情况下，建设项目的工艺设备或地下水环境保护措施因系统老化、腐蚀等原因不能正常运行或保护效果达不到设计要求时的运行状况，导致污水或物料“跑冒滴漏”对项目区地下水的影响。由于泄漏的废水通过垂直渗透进入包气带，进入包气带的污染物在物理、化学和生物作用下经吸附、转化、迁移和分解后</w:t>
      </w:r>
      <w:r>
        <w:rPr>
          <w:rFonts w:hint="eastAsia"/>
          <w:color w:val="000000"/>
          <w:sz w:val="24"/>
          <w:lang w:eastAsia="zh-CN"/>
        </w:rPr>
        <w:t>进入</w:t>
      </w:r>
      <w:r>
        <w:rPr>
          <w:rFonts w:hint="eastAsia"/>
          <w:color w:val="000000"/>
          <w:sz w:val="24"/>
        </w:rPr>
        <w:t>地下水。因此，包气带是连接地面污染物与地下含水层的主要通道和过渡带，既是污染媒介体，又是污染物的净化场所和防护层。地下水能否被污染跟污染物的种类、性质及污染途径有密切关系。一般来说，土壤粒细而紧密，渗透性差，则污染慢；反之，颗粒大松散，渗透性能良好则污染重废水进入地下后，其污染物在地下水系统的迁移途径为：</w:t>
      </w:r>
    </w:p>
    <w:p w14:paraId="1047716B">
      <w:pPr>
        <w:widowControl/>
        <w:spacing w:line="360" w:lineRule="auto"/>
        <w:ind w:firstLine="480" w:firstLineChars="200"/>
        <w:rPr>
          <w:color w:val="000000"/>
          <w:sz w:val="24"/>
        </w:rPr>
      </w:pPr>
      <w:r>
        <w:rPr>
          <w:color w:val="000000"/>
          <w:sz w:val="24"/>
        </w:rPr>
        <mc:AlternateContent>
          <mc:Choice Requires="wps">
            <w:drawing>
              <wp:anchor distT="0" distB="0" distL="114300" distR="114300" simplePos="0" relativeHeight="251697152" behindDoc="0" locked="0" layoutInCell="1" allowOverlap="1">
                <wp:simplePos x="0" y="0"/>
                <wp:positionH relativeFrom="column">
                  <wp:posOffset>1091565</wp:posOffset>
                </wp:positionH>
                <wp:positionV relativeFrom="paragraph">
                  <wp:posOffset>140970</wp:posOffset>
                </wp:positionV>
                <wp:extent cx="342900" cy="8890"/>
                <wp:effectExtent l="10160" t="76200" r="18415" b="67310"/>
                <wp:wrapNone/>
                <wp:docPr id="808903281" name="Line 55"/>
                <wp:cNvGraphicFramePr/>
                <a:graphic xmlns:a="http://schemas.openxmlformats.org/drawingml/2006/main">
                  <a:graphicData uri="http://schemas.microsoft.com/office/word/2010/wordprocessingShape">
                    <wps:wsp>
                      <wps:cNvCnPr>
                        <a:cxnSpLocks noChangeShapeType="1"/>
                      </wps:cNvCnPr>
                      <wps:spPr bwMode="auto">
                        <a:xfrm flipV="1">
                          <a:off x="0" y="0"/>
                          <a:ext cx="342900" cy="8890"/>
                        </a:xfrm>
                        <a:prstGeom prst="line">
                          <a:avLst/>
                        </a:prstGeom>
                        <a:noFill/>
                        <a:ln w="9525">
                          <a:solidFill>
                            <a:srgbClr val="000000"/>
                          </a:solidFill>
                          <a:round/>
                          <a:tailEnd type="arrow" w="med" len="med"/>
                        </a:ln>
                      </wps:spPr>
                      <wps:bodyPr/>
                    </wps:wsp>
                  </a:graphicData>
                </a:graphic>
              </wp:anchor>
            </w:drawing>
          </mc:Choice>
          <mc:Fallback>
            <w:pict>
              <v:line id="Line 55" o:spid="_x0000_s1026" o:spt="20" style="position:absolute;left:0pt;flip:y;margin-left:85.95pt;margin-top:11.1pt;height:0.7pt;width:27pt;z-index:251697152;mso-width-relative:page;mso-height-relative:page;" filled="f" stroked="t" coordsize="21600,21600" o:gfxdata="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Af8Mj9cAAAAJAQAADwAAAAAAAAABACAAAAAiAAAAZHJzL2Rvd25yZXYueG1sUEsBAhQAFAAA&#10;AAgAh07iQM6dnXDwAQAA3wMAAA4AAAAAAAAAAQAgAAAAJgEAAGRycy9lMm9Eb2MueG1sUEsFBgAA&#10;AAAGAAYAWQEAAIgFAAAAAA==&#10;">
                <v:fill on="f" focussize="0,0"/>
                <v:stroke color="#000000" joinstyle="round" endarrow="open"/>
                <v:imagedata o:title=""/>
                <o:lock v:ext="edit" aspectratio="f"/>
              </v:line>
            </w:pict>
          </mc:Fallback>
        </mc:AlternateContent>
      </w:r>
      <w:r>
        <w:rPr>
          <w:color w:val="000000"/>
          <w:sz w:val="24"/>
        </w:rPr>
        <mc:AlternateContent>
          <mc:Choice Requires="wps">
            <w:drawing>
              <wp:anchor distT="0" distB="0" distL="114300" distR="114300" simplePos="0" relativeHeight="251700224" behindDoc="0" locked="0" layoutInCell="1" allowOverlap="1">
                <wp:simplePos x="0" y="0"/>
                <wp:positionH relativeFrom="column">
                  <wp:posOffset>3604895</wp:posOffset>
                </wp:positionH>
                <wp:positionV relativeFrom="paragraph">
                  <wp:posOffset>132715</wp:posOffset>
                </wp:positionV>
                <wp:extent cx="342900" cy="8890"/>
                <wp:effectExtent l="8890" t="77470" r="19685" b="66040"/>
                <wp:wrapNone/>
                <wp:docPr id="1551307140" name="Line 52"/>
                <wp:cNvGraphicFramePr/>
                <a:graphic xmlns:a="http://schemas.openxmlformats.org/drawingml/2006/main">
                  <a:graphicData uri="http://schemas.microsoft.com/office/word/2010/wordprocessingShape">
                    <wps:wsp>
                      <wps:cNvCnPr>
                        <a:cxnSpLocks noChangeShapeType="1"/>
                      </wps:cNvCnPr>
                      <wps:spPr bwMode="auto">
                        <a:xfrm flipV="1">
                          <a:off x="0" y="0"/>
                          <a:ext cx="342900" cy="8890"/>
                        </a:xfrm>
                        <a:prstGeom prst="line">
                          <a:avLst/>
                        </a:prstGeom>
                        <a:noFill/>
                        <a:ln w="9525">
                          <a:solidFill>
                            <a:srgbClr val="000000"/>
                          </a:solidFill>
                          <a:round/>
                          <a:tailEnd type="arrow" w="med" len="med"/>
                        </a:ln>
                      </wps:spPr>
                      <wps:bodyPr/>
                    </wps:wsp>
                  </a:graphicData>
                </a:graphic>
              </wp:anchor>
            </w:drawing>
          </mc:Choice>
          <mc:Fallback>
            <w:pict>
              <v:line id="Line 52" o:spid="_x0000_s1026" o:spt="20" style="position:absolute;left:0pt;flip:y;margin-left:283.85pt;margin-top:10.45pt;height:0.7pt;width:27pt;z-index:251700224;mso-width-relative:page;mso-height-relative:page;" filled="f" stroked="t" coordsize="21600,21600" o:gfxdata="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OkG1m9cAAAAJAQAADwAAAAAAAAABACAAAAAiAAAAZHJzL2Rvd25yZXYueG1sUEsBAhQA&#10;FAAAAAgAh07iQKadmgHzAQAA4AMAAA4AAAAAAAAAAQAgAAAAJgEAAGRycy9lMm9Eb2MueG1sUEsF&#10;BgAAAAAGAAYAWQEAAIsFAAAAAA==&#10;">
                <v:fill on="f" focussize="0,0"/>
                <v:stroke color="#000000" joinstyle="round" endarrow="open"/>
                <v:imagedata o:title=""/>
                <o:lock v:ext="edit" aspectratio="f"/>
              </v:line>
            </w:pict>
          </mc:Fallback>
        </mc:AlternateContent>
      </w:r>
      <w:r>
        <w:rPr>
          <w:color w:val="000000"/>
          <w:sz w:val="24"/>
        </w:rPr>
        <mc:AlternateContent>
          <mc:Choice Requires="wps">
            <w:drawing>
              <wp:anchor distT="0" distB="0" distL="114300" distR="114300" simplePos="0" relativeHeight="251699200" behindDoc="0" locked="0" layoutInCell="1" allowOverlap="1">
                <wp:simplePos x="0" y="0"/>
                <wp:positionH relativeFrom="column">
                  <wp:posOffset>2752725</wp:posOffset>
                </wp:positionH>
                <wp:positionV relativeFrom="paragraph">
                  <wp:posOffset>153670</wp:posOffset>
                </wp:positionV>
                <wp:extent cx="342900" cy="8890"/>
                <wp:effectExtent l="13970" t="79375" r="24130" b="64135"/>
                <wp:wrapNone/>
                <wp:docPr id="358938657" name="Line 53"/>
                <wp:cNvGraphicFramePr/>
                <a:graphic xmlns:a="http://schemas.openxmlformats.org/drawingml/2006/main">
                  <a:graphicData uri="http://schemas.microsoft.com/office/word/2010/wordprocessingShape">
                    <wps:wsp>
                      <wps:cNvCnPr>
                        <a:cxnSpLocks noChangeShapeType="1"/>
                      </wps:cNvCnPr>
                      <wps:spPr bwMode="auto">
                        <a:xfrm flipV="1">
                          <a:off x="0" y="0"/>
                          <a:ext cx="342900" cy="8890"/>
                        </a:xfrm>
                        <a:prstGeom prst="line">
                          <a:avLst/>
                        </a:prstGeom>
                        <a:noFill/>
                        <a:ln w="9525">
                          <a:solidFill>
                            <a:srgbClr val="000000"/>
                          </a:solidFill>
                          <a:round/>
                          <a:tailEnd type="arrow" w="med" len="med"/>
                        </a:ln>
                      </wps:spPr>
                      <wps:bodyPr/>
                    </wps:wsp>
                  </a:graphicData>
                </a:graphic>
              </wp:anchor>
            </w:drawing>
          </mc:Choice>
          <mc:Fallback>
            <w:pict>
              <v:line id="Line 53" o:spid="_x0000_s1026" o:spt="20" style="position:absolute;left:0pt;flip:y;margin-left:216.75pt;margin-top:12.1pt;height:0.7pt;width:27pt;z-index:251699200;mso-width-relative:page;mso-height-relative:page;" filled="f" stroked="t" coordsize="21600,21600" o:gfxdata="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IZconPYAAAACQEAAA8AAAAAAAAAAQAgAAAAIgAAAGRycy9kb3ducmV2LnhtbFBLAQIU&#10;ABQAAAAIAIdO4kCKzrbl8wEAAN8DAAAOAAAAAAAAAAEAIAAAACcBAABkcnMvZTJvRG9jLnhtbFBL&#10;BQYAAAAABgAGAFkBAACMBQAAAAA=&#10;">
                <v:fill on="f" focussize="0,0"/>
                <v:stroke color="#000000" joinstyle="round" endarrow="open"/>
                <v:imagedata o:title=""/>
                <o:lock v:ext="edit" aspectratio="f"/>
              </v:line>
            </w:pict>
          </mc:Fallback>
        </mc:AlternateContent>
      </w:r>
      <w:r>
        <w:rPr>
          <w:color w:val="000000"/>
          <w:sz w:val="24"/>
        </w:rPr>
        <mc:AlternateContent>
          <mc:Choice Requires="wps">
            <w:drawing>
              <wp:anchor distT="0" distB="0" distL="114300" distR="114300" simplePos="0" relativeHeight="251698176" behindDoc="0" locked="0" layoutInCell="1" allowOverlap="1">
                <wp:simplePos x="0" y="0"/>
                <wp:positionH relativeFrom="column">
                  <wp:posOffset>1919605</wp:posOffset>
                </wp:positionH>
                <wp:positionV relativeFrom="paragraph">
                  <wp:posOffset>155575</wp:posOffset>
                </wp:positionV>
                <wp:extent cx="342900" cy="8890"/>
                <wp:effectExtent l="9525" t="71755" r="19050" b="71755"/>
                <wp:wrapNone/>
                <wp:docPr id="1759636782" name="Line 54"/>
                <wp:cNvGraphicFramePr/>
                <a:graphic xmlns:a="http://schemas.openxmlformats.org/drawingml/2006/main">
                  <a:graphicData uri="http://schemas.microsoft.com/office/word/2010/wordprocessingShape">
                    <wps:wsp>
                      <wps:cNvCnPr>
                        <a:cxnSpLocks noChangeShapeType="1"/>
                      </wps:cNvCnPr>
                      <wps:spPr bwMode="auto">
                        <a:xfrm flipV="1">
                          <a:off x="0" y="0"/>
                          <a:ext cx="342900" cy="8890"/>
                        </a:xfrm>
                        <a:prstGeom prst="line">
                          <a:avLst/>
                        </a:prstGeom>
                        <a:noFill/>
                        <a:ln w="9525">
                          <a:solidFill>
                            <a:srgbClr val="000000"/>
                          </a:solidFill>
                          <a:round/>
                          <a:tailEnd type="arrow" w="med" len="med"/>
                        </a:ln>
                      </wps:spPr>
                      <wps:bodyPr/>
                    </wps:wsp>
                  </a:graphicData>
                </a:graphic>
              </wp:anchor>
            </w:drawing>
          </mc:Choice>
          <mc:Fallback>
            <w:pict>
              <v:line id="Line 54" o:spid="_x0000_s1026" o:spt="20" style="position:absolute;left:0pt;flip:y;margin-left:151.15pt;margin-top:12.25pt;height:0.7pt;width:27pt;z-index:251698176;mso-width-relative:page;mso-height-relative:page;" filled="f" stroked="t" coordsize="21600,21600" o:gfxdata="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BbvdTk2AAAAAkBAAAPAAAAAAAAAAEAIAAAACIAAABkcnMvZG93bnJldi54bWxQSwEC&#10;FAAUAAAACACHTuJAHfnctfQBAADgAwAADgAAAAAAAAABACAAAAAnAQAAZHJzL2Uyb0RvYy54bWxQ&#10;SwUGAAAAAAYABgBZAQAAjQUAAAAA&#10;">
                <v:fill on="f" focussize="0,0"/>
                <v:stroke color="#000000" joinstyle="round" endarrow="open"/>
                <v:imagedata o:title=""/>
                <o:lock v:ext="edit" aspectratio="f"/>
              </v:line>
            </w:pict>
          </mc:Fallback>
        </mc:AlternateContent>
      </w:r>
      <w:r>
        <w:rPr>
          <w:rFonts w:hint="eastAsia"/>
          <w:color w:val="000000"/>
          <w:sz w:val="24"/>
        </w:rPr>
        <w:t>入渗污染物     表土层     包气带     含水层     运移</w:t>
      </w:r>
    </w:p>
    <w:p w14:paraId="1FD6E1B3">
      <w:pPr>
        <w:widowControl/>
        <w:spacing w:line="360" w:lineRule="auto"/>
        <w:ind w:firstLine="480" w:firstLineChars="200"/>
        <w:rPr>
          <w:color w:val="000000"/>
          <w:sz w:val="24"/>
        </w:rPr>
      </w:pPr>
      <w:r>
        <w:rPr>
          <w:rFonts w:hint="eastAsia"/>
          <w:color w:val="000000"/>
          <w:sz w:val="24"/>
        </w:rPr>
        <w:t>（9）地下水影响预测</w:t>
      </w:r>
    </w:p>
    <w:p w14:paraId="119D62FA">
      <w:pPr>
        <w:widowControl/>
        <w:spacing w:line="360" w:lineRule="auto"/>
        <w:ind w:firstLine="480" w:firstLineChars="200"/>
        <w:rPr>
          <w:color w:val="000000"/>
          <w:sz w:val="24"/>
        </w:rPr>
      </w:pPr>
      <w:r>
        <w:rPr>
          <w:rFonts w:hint="eastAsia"/>
          <w:color w:val="000000"/>
          <w:sz w:val="24"/>
        </w:rPr>
        <w:t>①地下水质预测</w:t>
      </w:r>
    </w:p>
    <w:p w14:paraId="5DEAC737">
      <w:pPr>
        <w:widowControl/>
        <w:spacing w:line="360" w:lineRule="auto"/>
        <w:ind w:firstLine="480" w:firstLineChars="200"/>
        <w:rPr>
          <w:color w:val="000000"/>
          <w:sz w:val="24"/>
        </w:rPr>
      </w:pPr>
      <w:r>
        <w:rPr>
          <w:rFonts w:hint="eastAsia"/>
          <w:color w:val="000000"/>
          <w:sz w:val="24"/>
        </w:rPr>
        <w:t>根据</w:t>
      </w:r>
      <w:r>
        <w:rPr>
          <w:color w:val="000000"/>
          <w:sz w:val="24"/>
        </w:rPr>
        <w:t xml:space="preserve">《环境影响评价技术导则 </w:t>
      </w:r>
      <w:r>
        <w:rPr>
          <w:rFonts w:hint="eastAsia"/>
          <w:color w:val="000000"/>
          <w:sz w:val="24"/>
        </w:rPr>
        <w:t xml:space="preserve"> </w:t>
      </w:r>
      <w:r>
        <w:rPr>
          <w:color w:val="000000"/>
          <w:sz w:val="24"/>
        </w:rPr>
        <w:t>地下水环境》（HJ610-2016）</w:t>
      </w:r>
      <w:r>
        <w:rPr>
          <w:rFonts w:hint="eastAsia"/>
          <w:color w:val="000000"/>
          <w:sz w:val="24"/>
        </w:rPr>
        <w:t>调查与评价原则，结合本项目的工程特征，本次评价重点预测项目厂址对潜水含水层的影响。</w:t>
      </w:r>
    </w:p>
    <w:p w14:paraId="12E9843E">
      <w:pPr>
        <w:widowControl/>
        <w:spacing w:line="360" w:lineRule="auto"/>
        <w:ind w:firstLine="480" w:firstLineChars="200"/>
        <w:rPr>
          <w:color w:val="000000"/>
          <w:sz w:val="24"/>
        </w:rPr>
      </w:pPr>
      <w:r>
        <w:rPr>
          <w:rFonts w:hint="eastAsia"/>
          <w:color w:val="000000"/>
          <w:sz w:val="24"/>
        </w:rPr>
        <w:t>②污染源选取</w:t>
      </w:r>
    </w:p>
    <w:p w14:paraId="2382EA49">
      <w:pPr>
        <w:widowControl/>
        <w:spacing w:line="360" w:lineRule="auto"/>
        <w:ind w:firstLine="480" w:firstLineChars="200"/>
        <w:rPr>
          <w:color w:val="000000"/>
          <w:sz w:val="24"/>
        </w:rPr>
      </w:pPr>
      <w:r>
        <w:rPr>
          <w:color w:val="000000"/>
          <w:sz w:val="24"/>
        </w:rPr>
        <w:t>预测因子选取原则：可能造成地下水污染的装置和设施（位置、规模、材质等）建设项目在建设期、运营期后可能的地下水污染途径；建设项目可能</w:t>
      </w:r>
      <w:r>
        <w:rPr>
          <w:rFonts w:hint="eastAsia"/>
          <w:color w:val="000000"/>
          <w:sz w:val="24"/>
          <w:lang w:eastAsia="zh-CN"/>
        </w:rPr>
        <w:t>导致</w:t>
      </w:r>
      <w:r>
        <w:rPr>
          <w:color w:val="000000"/>
          <w:sz w:val="24"/>
        </w:rPr>
        <w:t>地下水污染的特征因子。特征因子应根据建设项目污废水成分（可参照HJ/T2.3</w:t>
      </w:r>
      <w:r>
        <w:rPr>
          <w:rFonts w:hint="eastAsia"/>
          <w:color w:val="000000"/>
          <w:sz w:val="24"/>
        </w:rPr>
        <w:t>）</w:t>
      </w:r>
      <w:r>
        <w:rPr>
          <w:color w:val="000000"/>
          <w:sz w:val="24"/>
        </w:rPr>
        <w:t>物料成分、固废浸出液成分等确定。</w:t>
      </w:r>
    </w:p>
    <w:p w14:paraId="7062A8FD">
      <w:pPr>
        <w:widowControl/>
        <w:spacing w:line="360" w:lineRule="auto"/>
        <w:ind w:firstLine="480" w:firstLineChars="200"/>
        <w:rPr>
          <w:color w:val="000000"/>
          <w:sz w:val="24"/>
        </w:rPr>
      </w:pPr>
      <w:r>
        <w:rPr>
          <w:rFonts w:hint="eastAsia"/>
          <w:color w:val="000000"/>
          <w:sz w:val="24"/>
        </w:rPr>
        <w:t>建设单位对可能产生地下水污染的各生产区进行分区防渗，防渗措施按照国家相关规定进行设计，正常状况下，不会对当地地下水产生污染影响。</w:t>
      </w:r>
      <w:r>
        <w:rPr>
          <w:color w:val="000000"/>
          <w:sz w:val="24"/>
        </w:rPr>
        <w:t>本次评价重点是</w:t>
      </w:r>
      <w:r>
        <w:rPr>
          <w:rFonts w:hint="eastAsia"/>
          <w:color w:val="000000"/>
          <w:sz w:val="24"/>
        </w:rPr>
        <w:t>非正常情况下</w:t>
      </w:r>
      <w:r>
        <w:rPr>
          <w:rFonts w:hint="eastAsia"/>
          <w:color w:val="000000"/>
          <w:kern w:val="0"/>
          <w:sz w:val="24"/>
          <w:szCs w:val="24"/>
          <w:lang w:eastAsia="zh-CN"/>
        </w:rPr>
        <w:t>防渗</w:t>
      </w:r>
      <w:r>
        <w:rPr>
          <w:rFonts w:hint="eastAsia"/>
          <w:color w:val="000000"/>
          <w:kern w:val="0"/>
          <w:sz w:val="24"/>
          <w:szCs w:val="24"/>
          <w:lang w:val="en-US" w:eastAsia="zh-CN"/>
        </w:rPr>
        <w:t>化粪池</w:t>
      </w:r>
      <w:r>
        <w:rPr>
          <w:rFonts w:hint="eastAsia"/>
          <w:color w:val="000000"/>
          <w:kern w:val="0"/>
          <w:sz w:val="24"/>
          <w:szCs w:val="24"/>
        </w:rPr>
        <w:t>（容积</w:t>
      </w:r>
      <w:r>
        <w:rPr>
          <w:rFonts w:hint="eastAsia"/>
          <w:color w:val="000000"/>
          <w:kern w:val="0"/>
          <w:sz w:val="24"/>
          <w:szCs w:val="24"/>
          <w:lang w:val="en-US" w:eastAsia="zh-CN"/>
        </w:rPr>
        <w:t>10</w:t>
      </w:r>
      <w:r>
        <w:rPr>
          <w:rFonts w:hint="eastAsia"/>
          <w:color w:val="000000"/>
          <w:kern w:val="0"/>
          <w:sz w:val="24"/>
          <w:szCs w:val="24"/>
        </w:rPr>
        <w:t>m</w:t>
      </w:r>
      <w:r>
        <w:rPr>
          <w:rFonts w:hint="eastAsia"/>
          <w:color w:val="000000"/>
          <w:kern w:val="0"/>
          <w:sz w:val="24"/>
          <w:szCs w:val="24"/>
          <w:vertAlign w:val="superscript"/>
        </w:rPr>
        <w:t>3</w:t>
      </w:r>
      <w:r>
        <w:rPr>
          <w:rFonts w:hint="eastAsia"/>
          <w:color w:val="000000"/>
          <w:kern w:val="0"/>
          <w:sz w:val="24"/>
          <w:szCs w:val="24"/>
        </w:rPr>
        <w:t>）</w:t>
      </w:r>
      <w:r>
        <w:rPr>
          <w:rFonts w:hint="eastAsia"/>
          <w:color w:val="000000"/>
          <w:kern w:val="0"/>
          <w:sz w:val="24"/>
          <w:szCs w:val="24"/>
          <w:lang w:eastAsia="zh-CN"/>
        </w:rPr>
        <w:t>池体</w:t>
      </w:r>
      <w:r>
        <w:rPr>
          <w:rFonts w:hint="eastAsia"/>
          <w:color w:val="000000"/>
          <w:sz w:val="24"/>
        </w:rPr>
        <w:t>破裂，出现3个2</w:t>
      </w:r>
      <w:r>
        <w:rPr>
          <w:color w:val="000000"/>
          <w:sz w:val="24"/>
        </w:rPr>
        <w:t>m×0.01m</w:t>
      </w:r>
      <w:r>
        <w:rPr>
          <w:rFonts w:hint="eastAsia"/>
          <w:color w:val="000000"/>
          <w:sz w:val="24"/>
        </w:rPr>
        <w:t>的裂缝，导致生活污水</w:t>
      </w:r>
      <w:r>
        <w:rPr>
          <w:color w:val="000000"/>
          <w:sz w:val="24"/>
        </w:rPr>
        <w:t>渗漏对地下水水质的影响，选取</w:t>
      </w:r>
      <w:r>
        <w:rPr>
          <w:rFonts w:hint="eastAsia"/>
          <w:color w:val="000000"/>
          <w:sz w:val="24"/>
        </w:rPr>
        <w:t>COD、氨氮</w:t>
      </w:r>
      <w:r>
        <w:rPr>
          <w:color w:val="000000"/>
          <w:sz w:val="24"/>
        </w:rPr>
        <w:t>作为预测因子。</w:t>
      </w:r>
    </w:p>
    <w:p w14:paraId="13F9F423">
      <w:pPr>
        <w:widowControl/>
        <w:spacing w:line="360" w:lineRule="auto"/>
        <w:ind w:firstLine="480" w:firstLineChars="200"/>
        <w:rPr>
          <w:color w:val="000000"/>
          <w:sz w:val="24"/>
        </w:rPr>
      </w:pPr>
      <w:r>
        <w:rPr>
          <w:rFonts w:hint="eastAsia"/>
          <w:color w:val="000000"/>
          <w:sz w:val="24"/>
        </w:rPr>
        <w:t>③预测时间</w:t>
      </w:r>
    </w:p>
    <w:p w14:paraId="7717B0DD">
      <w:pPr>
        <w:widowControl/>
        <w:spacing w:line="360" w:lineRule="auto"/>
        <w:ind w:firstLine="480" w:firstLineChars="200"/>
        <w:rPr>
          <w:color w:val="000000"/>
          <w:sz w:val="24"/>
        </w:rPr>
      </w:pPr>
      <w:r>
        <w:rPr>
          <w:rFonts w:hint="eastAsia"/>
          <w:color w:val="000000"/>
          <w:sz w:val="24"/>
        </w:rPr>
        <w:t>污水对地下水的影响是在泄漏等非正常情况下发生的，加之地下水隔水性能的差异性、含水层、土壤层分布的各向异性等原因，对地下水的预测只能建立在人为的假设基础之上，预测不同情况下的污染变化。预测层位以潜水含水层为主，预测时段为污染发生后100d、1000d年。</w:t>
      </w:r>
    </w:p>
    <w:p w14:paraId="62E8F96E">
      <w:pPr>
        <w:widowControl/>
        <w:spacing w:line="360" w:lineRule="auto"/>
        <w:ind w:firstLine="480" w:firstLineChars="200"/>
        <w:rPr>
          <w:color w:val="000000"/>
          <w:sz w:val="24"/>
        </w:rPr>
      </w:pPr>
      <w:r>
        <w:rPr>
          <w:rFonts w:hint="eastAsia"/>
          <w:color w:val="000000"/>
          <w:sz w:val="24"/>
        </w:rPr>
        <w:t>④预测源强</w:t>
      </w:r>
    </w:p>
    <w:p w14:paraId="1EB5E793">
      <w:pPr>
        <w:widowControl/>
        <w:spacing w:line="360" w:lineRule="auto"/>
        <w:ind w:firstLine="480" w:firstLineChars="200"/>
        <w:rPr>
          <w:color w:val="000000"/>
          <w:sz w:val="24"/>
        </w:rPr>
      </w:pPr>
      <w:r>
        <w:rPr>
          <w:rFonts w:hint="eastAsia"/>
          <w:color w:val="000000"/>
          <w:sz w:val="24"/>
        </w:rPr>
        <w:t>项目运营期对地下水可能产生影响的污染物为废水中</w:t>
      </w:r>
      <w:r>
        <w:rPr>
          <w:color w:val="000000"/>
          <w:sz w:val="24"/>
        </w:rPr>
        <w:t>COD</w:t>
      </w:r>
      <w:r>
        <w:rPr>
          <w:rFonts w:hint="eastAsia"/>
          <w:color w:val="000000"/>
          <w:sz w:val="24"/>
        </w:rPr>
        <w:t>、氨氮，</w:t>
      </w:r>
      <w:r>
        <w:rPr>
          <w:rFonts w:hint="eastAsia"/>
          <w:color w:val="000000"/>
          <w:sz w:val="24"/>
          <w:szCs w:val="24"/>
        </w:rPr>
        <w:t>根据源强分析，COD浓度35</w:t>
      </w:r>
      <w:r>
        <w:rPr>
          <w:rFonts w:hint="eastAsia"/>
          <w:color w:val="000000"/>
          <w:sz w:val="24"/>
          <w:szCs w:val="24"/>
          <w:lang w:val="en-US" w:eastAsia="zh-CN"/>
        </w:rPr>
        <w:t>0</w:t>
      </w:r>
      <w:r>
        <w:rPr>
          <w:rFonts w:hint="eastAsia"/>
          <w:color w:val="000000"/>
          <w:sz w:val="24"/>
          <w:szCs w:val="24"/>
        </w:rPr>
        <w:t>mg/L，NH</w:t>
      </w:r>
      <w:r>
        <w:rPr>
          <w:rFonts w:hint="eastAsia"/>
          <w:color w:val="000000"/>
          <w:sz w:val="24"/>
          <w:szCs w:val="24"/>
          <w:vertAlign w:val="subscript"/>
        </w:rPr>
        <w:t>3</w:t>
      </w:r>
      <w:r>
        <w:rPr>
          <w:rFonts w:hint="eastAsia"/>
          <w:color w:val="000000"/>
          <w:sz w:val="24"/>
          <w:szCs w:val="24"/>
        </w:rPr>
        <w:t>-N浓度为</w:t>
      </w:r>
      <w:r>
        <w:rPr>
          <w:rFonts w:hint="eastAsia"/>
          <w:color w:val="000000"/>
          <w:sz w:val="24"/>
          <w:szCs w:val="24"/>
          <w:lang w:val="en-US" w:eastAsia="zh-CN"/>
        </w:rPr>
        <w:t>3</w:t>
      </w:r>
      <w:r>
        <w:rPr>
          <w:rFonts w:hint="eastAsia"/>
          <w:color w:val="000000"/>
          <w:sz w:val="24"/>
          <w:szCs w:val="24"/>
        </w:rPr>
        <w:t>0mg/L。按照《给水排水构筑物工程施工及验收规范》（GB50141）</w:t>
      </w:r>
      <w:r>
        <w:rPr>
          <w:rFonts w:hint="eastAsia"/>
          <w:color w:val="000000"/>
          <w:sz w:val="24"/>
          <w:szCs w:val="24"/>
          <w:lang w:eastAsia="zh-CN"/>
        </w:rPr>
        <w:t>防渗</w:t>
      </w:r>
      <w:r>
        <w:rPr>
          <w:rFonts w:hint="eastAsia"/>
          <w:color w:val="000000"/>
          <w:sz w:val="24"/>
          <w:szCs w:val="24"/>
          <w:lang w:val="en-US" w:eastAsia="zh-CN"/>
        </w:rPr>
        <w:t>化粪池</w:t>
      </w:r>
      <w:r>
        <w:rPr>
          <w:rFonts w:hint="eastAsia"/>
          <w:color w:val="000000"/>
          <w:sz w:val="24"/>
          <w:szCs w:val="24"/>
          <w:lang w:eastAsia="zh-CN"/>
        </w:rPr>
        <w:t>池体</w:t>
      </w:r>
      <w:r>
        <w:rPr>
          <w:rFonts w:hint="eastAsia"/>
          <w:color w:val="000000"/>
          <w:sz w:val="24"/>
          <w:szCs w:val="24"/>
        </w:rPr>
        <w:t>水量应按池壁和池底的浸湿面积计算，钢筋混凝土结构水池渗水量不得超过</w:t>
      </w:r>
      <w:r>
        <w:rPr>
          <w:color w:val="000000"/>
          <w:sz w:val="24"/>
          <w:szCs w:val="24"/>
        </w:rPr>
        <w:t>2L/（m</w:t>
      </w:r>
      <w:r>
        <w:rPr>
          <w:color w:val="000000"/>
          <w:sz w:val="24"/>
          <w:szCs w:val="24"/>
          <w:vertAlign w:val="superscript"/>
        </w:rPr>
        <w:t>2</w:t>
      </w:r>
      <w:r>
        <w:rPr>
          <w:color w:val="000000"/>
          <w:sz w:val="24"/>
          <w:szCs w:val="24"/>
        </w:rPr>
        <w:t>·d）</w:t>
      </w:r>
      <w:r>
        <w:rPr>
          <w:rFonts w:hint="eastAsia"/>
          <w:color w:val="000000"/>
          <w:sz w:val="24"/>
          <w:szCs w:val="24"/>
        </w:rPr>
        <w:t>，</w:t>
      </w:r>
      <w:r>
        <w:rPr>
          <w:color w:val="000000"/>
          <w:sz w:val="24"/>
          <w:szCs w:val="24"/>
        </w:rPr>
        <w:t>各特征污染物的渗漏量计算如下：</w:t>
      </w:r>
    </w:p>
    <w:p w14:paraId="4381BA7C">
      <w:pPr>
        <w:spacing w:line="360" w:lineRule="auto"/>
        <w:ind w:firstLine="480" w:firstLineChars="200"/>
        <w:rPr>
          <w:color w:val="000000"/>
          <w:sz w:val="24"/>
          <w:szCs w:val="24"/>
        </w:rPr>
      </w:pPr>
      <w:r>
        <w:rPr>
          <w:color w:val="000000"/>
          <w:sz w:val="24"/>
          <w:szCs w:val="24"/>
        </w:rPr>
        <w:t>COD泄漏量：</w:t>
      </w:r>
      <w:r>
        <w:rPr>
          <w:rFonts w:hint="eastAsia"/>
          <w:color w:val="000000"/>
          <w:sz w:val="24"/>
          <w:szCs w:val="24"/>
        </w:rPr>
        <w:t>3</w:t>
      </w:r>
      <w:r>
        <w:rPr>
          <w:color w:val="000000"/>
          <w:sz w:val="24"/>
          <w:szCs w:val="24"/>
        </w:rPr>
        <w:t>×</w:t>
      </w:r>
      <w:r>
        <w:rPr>
          <w:rFonts w:hint="eastAsia"/>
          <w:color w:val="000000"/>
          <w:sz w:val="24"/>
          <w:szCs w:val="24"/>
        </w:rPr>
        <w:t>2</w:t>
      </w:r>
      <w:r>
        <w:rPr>
          <w:color w:val="000000"/>
          <w:sz w:val="24"/>
          <w:szCs w:val="24"/>
        </w:rPr>
        <w:t>m×0.01m×2L/（m</w:t>
      </w:r>
      <w:r>
        <w:rPr>
          <w:color w:val="000000"/>
          <w:sz w:val="24"/>
          <w:szCs w:val="24"/>
          <w:vertAlign w:val="superscript"/>
        </w:rPr>
        <w:t>2</w:t>
      </w:r>
      <w:r>
        <w:rPr>
          <w:color w:val="000000"/>
          <w:sz w:val="24"/>
          <w:szCs w:val="24"/>
        </w:rPr>
        <w:t>·d）×</w:t>
      </w:r>
      <w:r>
        <w:rPr>
          <w:rFonts w:hint="eastAsia"/>
          <w:color w:val="000000"/>
          <w:sz w:val="24"/>
          <w:szCs w:val="24"/>
        </w:rPr>
        <w:t>350</w:t>
      </w:r>
      <w:r>
        <w:rPr>
          <w:color w:val="000000"/>
          <w:sz w:val="24"/>
          <w:szCs w:val="24"/>
        </w:rPr>
        <w:t>mg/L×10</w:t>
      </w:r>
      <w:r>
        <w:rPr>
          <w:color w:val="000000"/>
          <w:sz w:val="24"/>
          <w:szCs w:val="24"/>
          <w:vertAlign w:val="superscript"/>
        </w:rPr>
        <w:t>-</w:t>
      </w:r>
      <w:r>
        <w:rPr>
          <w:rFonts w:hint="eastAsia"/>
          <w:color w:val="000000"/>
          <w:sz w:val="24"/>
          <w:szCs w:val="24"/>
          <w:vertAlign w:val="superscript"/>
        </w:rPr>
        <w:t>3</w:t>
      </w:r>
      <w:r>
        <w:rPr>
          <w:color w:val="000000"/>
          <w:sz w:val="24"/>
          <w:szCs w:val="24"/>
        </w:rPr>
        <w:t>=</w:t>
      </w:r>
      <w:r>
        <w:rPr>
          <w:rFonts w:hint="eastAsia"/>
          <w:color w:val="000000"/>
          <w:sz w:val="24"/>
          <w:szCs w:val="24"/>
        </w:rPr>
        <w:t>0.042g</w:t>
      </w:r>
    </w:p>
    <w:p w14:paraId="62DBF6D8">
      <w:pPr>
        <w:widowControl/>
        <w:spacing w:line="360" w:lineRule="auto"/>
        <w:ind w:firstLine="480" w:firstLineChars="200"/>
        <w:rPr>
          <w:color w:val="000000"/>
          <w:sz w:val="24"/>
        </w:rPr>
      </w:pPr>
      <w:r>
        <w:rPr>
          <w:color w:val="000000"/>
          <w:sz w:val="24"/>
          <w:szCs w:val="24"/>
        </w:rPr>
        <w:t>氨氮泄漏量：</w:t>
      </w:r>
      <w:r>
        <w:rPr>
          <w:rFonts w:hint="eastAsia"/>
          <w:color w:val="000000"/>
          <w:sz w:val="24"/>
          <w:szCs w:val="24"/>
        </w:rPr>
        <w:t>3</w:t>
      </w:r>
      <w:r>
        <w:rPr>
          <w:color w:val="000000"/>
          <w:sz w:val="24"/>
          <w:szCs w:val="24"/>
        </w:rPr>
        <w:t>×</w:t>
      </w:r>
      <w:r>
        <w:rPr>
          <w:rFonts w:hint="eastAsia"/>
          <w:color w:val="000000"/>
          <w:sz w:val="24"/>
          <w:szCs w:val="24"/>
        </w:rPr>
        <w:t>2</w:t>
      </w:r>
      <w:r>
        <w:rPr>
          <w:color w:val="000000"/>
          <w:sz w:val="24"/>
          <w:szCs w:val="24"/>
        </w:rPr>
        <w:t>m×0.01m×2L/（m</w:t>
      </w:r>
      <w:r>
        <w:rPr>
          <w:color w:val="000000"/>
          <w:sz w:val="24"/>
          <w:szCs w:val="24"/>
          <w:vertAlign w:val="superscript"/>
        </w:rPr>
        <w:t>2</w:t>
      </w:r>
      <w:r>
        <w:rPr>
          <w:color w:val="000000"/>
          <w:sz w:val="24"/>
          <w:szCs w:val="24"/>
        </w:rPr>
        <w:t>·d）×</w:t>
      </w:r>
      <w:r>
        <w:rPr>
          <w:rFonts w:hint="eastAsia"/>
          <w:color w:val="000000"/>
          <w:sz w:val="24"/>
          <w:szCs w:val="24"/>
          <w:lang w:val="en-US" w:eastAsia="zh-CN"/>
        </w:rPr>
        <w:t>3</w:t>
      </w:r>
      <w:r>
        <w:rPr>
          <w:rFonts w:hint="eastAsia"/>
          <w:color w:val="000000"/>
          <w:sz w:val="24"/>
          <w:szCs w:val="24"/>
        </w:rPr>
        <w:t>0</w:t>
      </w:r>
      <w:r>
        <w:rPr>
          <w:color w:val="000000"/>
          <w:sz w:val="24"/>
          <w:szCs w:val="24"/>
        </w:rPr>
        <w:t>mg/L×10</w:t>
      </w:r>
      <w:r>
        <w:rPr>
          <w:color w:val="000000"/>
          <w:sz w:val="24"/>
          <w:szCs w:val="24"/>
          <w:vertAlign w:val="superscript"/>
        </w:rPr>
        <w:t>-</w:t>
      </w:r>
      <w:r>
        <w:rPr>
          <w:rFonts w:hint="eastAsia"/>
          <w:color w:val="000000"/>
          <w:sz w:val="24"/>
          <w:szCs w:val="24"/>
          <w:vertAlign w:val="superscript"/>
        </w:rPr>
        <w:t>3</w:t>
      </w:r>
      <w:r>
        <w:rPr>
          <w:color w:val="000000"/>
          <w:sz w:val="24"/>
          <w:szCs w:val="24"/>
        </w:rPr>
        <w:t>=</w:t>
      </w:r>
      <w:r>
        <w:rPr>
          <w:rFonts w:hint="eastAsia"/>
          <w:color w:val="000000"/>
          <w:sz w:val="24"/>
          <w:szCs w:val="24"/>
        </w:rPr>
        <w:t>0.00</w:t>
      </w:r>
      <w:r>
        <w:rPr>
          <w:rFonts w:hint="eastAsia"/>
          <w:color w:val="000000"/>
          <w:sz w:val="24"/>
          <w:szCs w:val="24"/>
          <w:lang w:val="en-US" w:eastAsia="zh-CN"/>
        </w:rPr>
        <w:t>1</w:t>
      </w:r>
      <w:r>
        <w:rPr>
          <w:rFonts w:hint="eastAsia"/>
          <w:color w:val="000000"/>
          <w:sz w:val="24"/>
          <w:szCs w:val="24"/>
        </w:rPr>
        <w:t>8g</w:t>
      </w:r>
    </w:p>
    <w:p w14:paraId="2B99A778">
      <w:pPr>
        <w:widowControl/>
        <w:spacing w:line="360" w:lineRule="auto"/>
        <w:ind w:firstLine="480" w:firstLineChars="200"/>
        <w:rPr>
          <w:color w:val="000000"/>
          <w:sz w:val="24"/>
        </w:rPr>
      </w:pPr>
      <w:r>
        <w:rPr>
          <w:rFonts w:hint="eastAsia"/>
          <w:color w:val="000000"/>
          <w:sz w:val="24"/>
        </w:rPr>
        <w:t>⑤</w:t>
      </w:r>
      <w:r>
        <w:rPr>
          <w:color w:val="000000"/>
          <w:sz w:val="24"/>
        </w:rPr>
        <w:t>预测</w:t>
      </w:r>
      <w:r>
        <w:rPr>
          <w:rFonts w:hint="eastAsia"/>
          <w:color w:val="000000"/>
          <w:sz w:val="24"/>
        </w:rPr>
        <w:t>模型</w:t>
      </w:r>
    </w:p>
    <w:p w14:paraId="40BA68C1">
      <w:pPr>
        <w:widowControl/>
        <w:spacing w:line="360" w:lineRule="auto"/>
        <w:ind w:firstLine="480" w:firstLineChars="200"/>
        <w:rPr>
          <w:color w:val="000000"/>
          <w:sz w:val="24"/>
        </w:rPr>
      </w:pPr>
      <w:r>
        <w:rPr>
          <w:color w:val="000000"/>
          <w:sz w:val="24"/>
        </w:rPr>
        <w:t>预测按最不利的情况设计情景，污染物泄漏直接进入地下水，并在含水层中沿水力梯度方向径流，污染质浓度在未渗入地下水前不发生变化，不考虑污水在包气带中下渗过程的降解与吸附作用，不考虑含水层中对污染物的吸附、挥发、生物化学反应。设计情景为极端情况，用于表征污水排放对地下水环境的最大影响程度和影响范围。</w:t>
      </w:r>
    </w:p>
    <w:p w14:paraId="4A519CDD">
      <w:pPr>
        <w:widowControl/>
        <w:spacing w:line="360" w:lineRule="auto"/>
        <w:ind w:firstLine="480" w:firstLineChars="200"/>
        <w:rPr>
          <w:color w:val="000000"/>
          <w:sz w:val="24"/>
          <w:szCs w:val="24"/>
        </w:rPr>
      </w:pPr>
      <w:r>
        <w:rPr>
          <w:color w:val="000000"/>
          <w:sz w:val="24"/>
        </w:rPr>
        <w:t>污染物在</w:t>
      </w:r>
      <w:r>
        <w:rPr>
          <w:rFonts w:hint="eastAsia"/>
          <w:color w:val="000000"/>
          <w:sz w:val="24"/>
        </w:rPr>
        <w:t>潜水</w:t>
      </w:r>
      <w:r>
        <w:rPr>
          <w:color w:val="000000"/>
          <w:sz w:val="24"/>
        </w:rPr>
        <w:t>含水层中的迁移，可概化为瞬时注入示踪剂（平面瞬时点源）的一维稳定流动</w:t>
      </w:r>
      <w:r>
        <w:rPr>
          <w:rFonts w:hint="eastAsia"/>
          <w:color w:val="000000"/>
          <w:sz w:val="24"/>
        </w:rPr>
        <w:t>一</w:t>
      </w:r>
      <w:r>
        <w:rPr>
          <w:color w:val="000000"/>
          <w:sz w:val="24"/>
        </w:rPr>
        <w:t>维水动力弥散问题，</w:t>
      </w:r>
      <w:r>
        <w:rPr>
          <w:rFonts w:hint="eastAsia"/>
          <w:color w:val="000000"/>
          <w:sz w:val="24"/>
        </w:rPr>
        <w:t>预测模型</w:t>
      </w:r>
      <w:r>
        <w:rPr>
          <w:rFonts w:hint="eastAsia"/>
          <w:color w:val="000000"/>
          <w:sz w:val="24"/>
          <w:lang w:eastAsia="zh-CN"/>
        </w:rPr>
        <w:t>公式</w:t>
      </w:r>
      <w:r>
        <w:rPr>
          <w:rFonts w:hint="eastAsia"/>
          <w:color w:val="000000"/>
          <w:sz w:val="24"/>
        </w:rPr>
        <w:t>如下</w:t>
      </w:r>
      <w:r>
        <w:rPr>
          <w:color w:val="000000"/>
          <w:sz w:val="24"/>
          <w:szCs w:val="24"/>
        </w:rPr>
        <w:t>：</w:t>
      </w:r>
    </w:p>
    <w:p w14:paraId="37FBA194">
      <w:pPr>
        <w:pStyle w:val="63"/>
        <w:spacing w:line="360" w:lineRule="auto"/>
        <w:ind w:firstLine="482" w:firstLineChars="200"/>
        <w:jc w:val="center"/>
        <w:textAlignment w:val="auto"/>
        <w:rPr>
          <w:rFonts w:ascii="Times New Roman" w:cs="Times New Roman"/>
        </w:rPr>
      </w:pPr>
      <w:r>
        <w:rPr>
          <w:rFonts w:ascii="Times New Roman" w:cs="Times New Roman"/>
          <w:position w:val="-34"/>
        </w:rPr>
        <w:object>
          <v:shape id="_x0000_i1026" o:spt="75" type="#_x0000_t75" style="height:41.95pt;width:131.7pt;" o:ole="t" filled="f" o:preferrelative="t" stroked="f" coordsize="21600,21600">
            <v:path/>
            <v:fill on="f" focussize="0,0"/>
            <v:stroke on="f" joinstyle="miter"/>
            <v:imagedata r:id="rId34" o:title=""/>
            <o:lock v:ext="edit" aspectratio="t"/>
            <w10:wrap type="none"/>
            <w10:anchorlock/>
          </v:shape>
          <o:OLEObject Type="Embed" ProgID="Equation.KSEE3" ShapeID="_x0000_i1026" DrawAspect="Content" ObjectID="_1468075728" r:id="rId33">
            <o:LockedField>false</o:LockedField>
          </o:OLEObject>
        </w:object>
      </w:r>
    </w:p>
    <w:p w14:paraId="4B7275B2">
      <w:pPr>
        <w:widowControl/>
        <w:spacing w:line="360" w:lineRule="auto"/>
        <w:ind w:firstLine="480" w:firstLineChars="200"/>
        <w:rPr>
          <w:color w:val="000000"/>
          <w:sz w:val="24"/>
        </w:rPr>
      </w:pPr>
      <w:r>
        <w:rPr>
          <w:color w:val="000000"/>
          <w:sz w:val="24"/>
        </w:rPr>
        <w:t>式中：x——</w:t>
      </w:r>
      <w:r>
        <w:rPr>
          <w:rFonts w:hint="eastAsia"/>
          <w:color w:val="000000"/>
          <w:sz w:val="24"/>
        </w:rPr>
        <w:t>距注入点的距离，m</w:t>
      </w:r>
      <w:r>
        <w:rPr>
          <w:color w:val="000000"/>
          <w:sz w:val="24"/>
        </w:rPr>
        <w:t>；</w:t>
      </w:r>
    </w:p>
    <w:p w14:paraId="0119F9B8">
      <w:pPr>
        <w:widowControl/>
        <w:spacing w:line="360" w:lineRule="auto"/>
        <w:ind w:firstLine="480" w:firstLineChars="200"/>
        <w:rPr>
          <w:color w:val="000000"/>
          <w:sz w:val="24"/>
        </w:rPr>
      </w:pPr>
      <w:r>
        <w:rPr>
          <w:color w:val="000000"/>
          <w:sz w:val="24"/>
        </w:rPr>
        <w:t xml:space="preserve">      t——时间，d；</w:t>
      </w:r>
    </w:p>
    <w:p w14:paraId="5C8DC954">
      <w:pPr>
        <w:widowControl/>
        <w:spacing w:line="360" w:lineRule="auto"/>
        <w:ind w:firstLine="480" w:firstLineChars="200"/>
        <w:rPr>
          <w:color w:val="000000"/>
          <w:sz w:val="24"/>
        </w:rPr>
      </w:pPr>
      <w:r>
        <w:rPr>
          <w:color w:val="000000"/>
          <w:sz w:val="24"/>
        </w:rPr>
        <w:t xml:space="preserve">      C（x，t）——t时刻点x处的示踪剂浓度，g/L；</w:t>
      </w:r>
    </w:p>
    <w:p w14:paraId="46719247">
      <w:pPr>
        <w:widowControl/>
        <w:spacing w:line="360" w:lineRule="auto"/>
        <w:ind w:firstLine="1200" w:firstLineChars="500"/>
        <w:rPr>
          <w:color w:val="000000"/>
          <w:sz w:val="24"/>
        </w:rPr>
      </w:pPr>
      <w:r>
        <w:rPr>
          <w:color w:val="000000"/>
          <w:sz w:val="24"/>
        </w:rPr>
        <w:t>m——注入</w:t>
      </w:r>
      <w:r>
        <w:rPr>
          <w:rFonts w:hint="eastAsia"/>
          <w:color w:val="000000"/>
          <w:sz w:val="24"/>
        </w:rPr>
        <w:t>的</w:t>
      </w:r>
      <w:r>
        <w:rPr>
          <w:color w:val="000000"/>
          <w:sz w:val="24"/>
        </w:rPr>
        <w:t>示踪剂质量，kg</w:t>
      </w:r>
      <w:r>
        <w:rPr>
          <w:rFonts w:hint="eastAsia"/>
          <w:color w:val="000000"/>
          <w:sz w:val="24"/>
        </w:rPr>
        <w:t>；</w:t>
      </w:r>
    </w:p>
    <w:p w14:paraId="0E058F47">
      <w:pPr>
        <w:widowControl/>
        <w:spacing w:line="360" w:lineRule="auto"/>
        <w:ind w:firstLine="1200" w:firstLineChars="500"/>
        <w:rPr>
          <w:color w:val="000000"/>
          <w:sz w:val="24"/>
        </w:rPr>
      </w:pPr>
      <w:r>
        <w:rPr>
          <w:rFonts w:hint="eastAsia"/>
          <w:color w:val="000000"/>
          <w:sz w:val="24"/>
        </w:rPr>
        <w:t>W</w:t>
      </w:r>
      <w:r>
        <w:rPr>
          <w:color w:val="000000"/>
          <w:sz w:val="24"/>
        </w:rPr>
        <w:t>——</w:t>
      </w:r>
      <w:r>
        <w:rPr>
          <w:rFonts w:hint="eastAsia"/>
          <w:color w:val="000000"/>
          <w:sz w:val="24"/>
        </w:rPr>
        <w:t>横截面面积</w:t>
      </w:r>
      <w:r>
        <w:rPr>
          <w:color w:val="000000"/>
          <w:sz w:val="24"/>
        </w:rPr>
        <w:t>，m</w:t>
      </w:r>
      <w:r>
        <w:rPr>
          <w:rFonts w:hint="eastAsia"/>
          <w:color w:val="000000"/>
          <w:sz w:val="24"/>
          <w:vertAlign w:val="superscript"/>
        </w:rPr>
        <w:t>2</w:t>
      </w:r>
      <w:r>
        <w:rPr>
          <w:color w:val="000000"/>
          <w:sz w:val="24"/>
        </w:rPr>
        <w:t>；</w:t>
      </w:r>
    </w:p>
    <w:p w14:paraId="06565656">
      <w:pPr>
        <w:widowControl/>
        <w:spacing w:line="360" w:lineRule="auto"/>
        <w:ind w:firstLine="1200" w:firstLineChars="500"/>
        <w:rPr>
          <w:color w:val="000000"/>
          <w:sz w:val="24"/>
        </w:rPr>
      </w:pPr>
      <w:r>
        <w:rPr>
          <w:color w:val="000000"/>
          <w:sz w:val="24"/>
        </w:rPr>
        <w:t>u——水流速度，m/d；</w:t>
      </w:r>
    </w:p>
    <w:p w14:paraId="393AD5EB">
      <w:pPr>
        <w:widowControl/>
        <w:spacing w:line="360" w:lineRule="auto"/>
        <w:ind w:firstLine="1200" w:firstLineChars="500"/>
        <w:rPr>
          <w:color w:val="000000"/>
          <w:sz w:val="24"/>
        </w:rPr>
      </w:pPr>
      <w:r>
        <w:rPr>
          <w:color w:val="000000"/>
          <w:sz w:val="24"/>
        </w:rPr>
        <w:t>n</w:t>
      </w:r>
      <w:r>
        <w:rPr>
          <w:color w:val="000000"/>
          <w:sz w:val="24"/>
          <w:vertAlign w:val="subscript"/>
        </w:rPr>
        <w:t>e</w:t>
      </w:r>
      <w:r>
        <w:rPr>
          <w:color w:val="000000"/>
          <w:sz w:val="24"/>
        </w:rPr>
        <w:t>——有效孔隙度，无量纲；</w:t>
      </w:r>
    </w:p>
    <w:p w14:paraId="212D6673">
      <w:pPr>
        <w:widowControl/>
        <w:spacing w:line="360" w:lineRule="auto"/>
        <w:ind w:firstLine="1200" w:firstLineChars="500"/>
        <w:rPr>
          <w:color w:val="000000"/>
          <w:sz w:val="24"/>
        </w:rPr>
      </w:pPr>
      <w:r>
        <w:rPr>
          <w:color w:val="000000"/>
          <w:sz w:val="24"/>
        </w:rPr>
        <w:t>D</w:t>
      </w:r>
      <w:r>
        <w:rPr>
          <w:color w:val="000000"/>
          <w:sz w:val="24"/>
          <w:vertAlign w:val="subscript"/>
        </w:rPr>
        <w:t>L</w:t>
      </w:r>
      <w:r>
        <w:rPr>
          <w:color w:val="000000"/>
          <w:sz w:val="24"/>
        </w:rPr>
        <w:t>——纵向弥散系数，m</w:t>
      </w:r>
      <w:r>
        <w:rPr>
          <w:color w:val="000000"/>
          <w:sz w:val="24"/>
          <w:vertAlign w:val="superscript"/>
        </w:rPr>
        <w:t>2</w:t>
      </w:r>
      <w:r>
        <w:rPr>
          <w:color w:val="000000"/>
          <w:sz w:val="24"/>
        </w:rPr>
        <w:t>/d；</w:t>
      </w:r>
    </w:p>
    <w:p w14:paraId="65C00797">
      <w:pPr>
        <w:widowControl/>
        <w:spacing w:line="360" w:lineRule="auto"/>
        <w:ind w:firstLine="1200" w:firstLineChars="500"/>
        <w:rPr>
          <w:color w:val="000000"/>
          <w:sz w:val="24"/>
        </w:rPr>
      </w:pPr>
      <w:r>
        <w:rPr>
          <w:color w:val="000000"/>
          <w:sz w:val="24"/>
        </w:rPr>
        <w:t>π——圆周率。</w:t>
      </w:r>
    </w:p>
    <w:p w14:paraId="12F02671">
      <w:pPr>
        <w:widowControl/>
        <w:spacing w:line="360" w:lineRule="auto"/>
        <w:rPr>
          <w:color w:val="000000"/>
          <w:sz w:val="24"/>
        </w:rPr>
      </w:pPr>
      <w:r>
        <w:rPr>
          <w:rFonts w:hint="eastAsia"/>
          <w:color w:val="000000"/>
          <w:sz w:val="24"/>
        </w:rPr>
        <w:t>模型中所需参数及来源见表5.2-1</w:t>
      </w:r>
      <w:r>
        <w:rPr>
          <w:rFonts w:hint="eastAsia"/>
          <w:color w:val="000000"/>
          <w:sz w:val="24"/>
          <w:lang w:val="en-US" w:eastAsia="zh-CN"/>
        </w:rPr>
        <w:t>9</w:t>
      </w:r>
      <w:r>
        <w:rPr>
          <w:rFonts w:hint="eastAsia"/>
          <w:color w:val="000000"/>
          <w:sz w:val="24"/>
        </w:rPr>
        <w:t>。</w:t>
      </w:r>
    </w:p>
    <w:p w14:paraId="66D69B5D">
      <w:pPr>
        <w:jc w:val="center"/>
        <w:rPr>
          <w:b/>
          <w:color w:val="000000"/>
          <w:szCs w:val="21"/>
        </w:rPr>
      </w:pPr>
    </w:p>
    <w:p w14:paraId="6E457103">
      <w:pPr>
        <w:jc w:val="center"/>
        <w:rPr>
          <w:b/>
          <w:color w:val="000000"/>
          <w:szCs w:val="21"/>
        </w:rPr>
      </w:pPr>
    </w:p>
    <w:p w14:paraId="21FF76D3">
      <w:pPr>
        <w:jc w:val="center"/>
        <w:rPr>
          <w:b/>
          <w:color w:val="000000"/>
          <w:szCs w:val="21"/>
        </w:rPr>
      </w:pPr>
      <w:r>
        <w:rPr>
          <w:b/>
          <w:color w:val="000000"/>
          <w:szCs w:val="21"/>
        </w:rPr>
        <w:t>表</w:t>
      </w:r>
      <w:r>
        <w:rPr>
          <w:rFonts w:hint="eastAsia"/>
          <w:b/>
          <w:color w:val="000000"/>
          <w:szCs w:val="21"/>
        </w:rPr>
        <w:t>5.2-1</w:t>
      </w:r>
      <w:r>
        <w:rPr>
          <w:rFonts w:hint="eastAsia"/>
          <w:b/>
          <w:color w:val="000000"/>
          <w:szCs w:val="21"/>
          <w:lang w:val="en-US" w:eastAsia="zh-CN"/>
        </w:rPr>
        <w:t>9</w:t>
      </w:r>
      <w:r>
        <w:rPr>
          <w:rFonts w:hint="eastAsia"/>
          <w:b/>
          <w:color w:val="000000"/>
          <w:szCs w:val="21"/>
        </w:rPr>
        <w:t xml:space="preserve">   水质预测模型所需参数一览表</w:t>
      </w:r>
    </w:p>
    <w:tbl>
      <w:tblPr>
        <w:tblStyle w:val="50"/>
        <w:tblW w:w="4918" w:type="pct"/>
        <w:tblInd w:w="0" w:type="dxa"/>
        <w:tblBorders>
          <w:top w:val="single" w:color="auto" w:sz="12" w:space="0"/>
          <w:left w:val="single" w:color="auto" w:sz="12" w:space="0"/>
          <w:bottom w:val="single" w:color="auto" w:sz="12" w:space="0"/>
          <w:right w:val="single" w:color="auto" w:sz="12" w:space="0"/>
          <w:insideH w:val="single" w:color="auto" w:sz="2" w:space="0"/>
          <w:insideV w:val="single" w:color="auto" w:sz="6" w:space="0"/>
        </w:tblBorders>
        <w:tblLayout w:type="fixed"/>
        <w:tblCellMar>
          <w:top w:w="0" w:type="dxa"/>
          <w:left w:w="108" w:type="dxa"/>
          <w:bottom w:w="0" w:type="dxa"/>
          <w:right w:w="108" w:type="dxa"/>
        </w:tblCellMar>
      </w:tblPr>
      <w:tblGrid>
        <w:gridCol w:w="633"/>
        <w:gridCol w:w="841"/>
        <w:gridCol w:w="964"/>
        <w:gridCol w:w="857"/>
        <w:gridCol w:w="1572"/>
        <w:gridCol w:w="4270"/>
      </w:tblGrid>
      <w:tr w14:paraId="7624C267">
        <w:tblPrEx>
          <w:tblBorders>
            <w:top w:val="single" w:color="auto" w:sz="12" w:space="0"/>
            <w:left w:val="single" w:color="auto" w:sz="12" w:space="0"/>
            <w:bottom w:val="single" w:color="auto" w:sz="12" w:space="0"/>
            <w:right w:val="single" w:color="auto" w:sz="12" w:space="0"/>
            <w:insideH w:val="single" w:color="auto" w:sz="2" w:space="0"/>
            <w:insideV w:val="single" w:color="auto" w:sz="6" w:space="0"/>
          </w:tblBorders>
          <w:tblCellMar>
            <w:top w:w="0" w:type="dxa"/>
            <w:left w:w="108" w:type="dxa"/>
            <w:bottom w:w="0" w:type="dxa"/>
            <w:right w:w="108" w:type="dxa"/>
          </w:tblCellMar>
        </w:tblPrEx>
        <w:trPr>
          <w:trHeight w:val="652" w:hRule="atLeast"/>
        </w:trPr>
        <w:tc>
          <w:tcPr>
            <w:tcW w:w="346" w:type="pct"/>
            <w:tcBorders>
              <w:tl2br w:val="nil"/>
              <w:tr2bl w:val="nil"/>
            </w:tcBorders>
            <w:vAlign w:val="center"/>
          </w:tcPr>
          <w:p w14:paraId="607E31DA">
            <w:pPr>
              <w:pStyle w:val="240"/>
              <w:rPr>
                <w:rFonts w:hint="default"/>
              </w:rPr>
            </w:pPr>
            <w:r>
              <w:rPr>
                <w:rFonts w:hint="default"/>
              </w:rPr>
              <w:t>序号</w:t>
            </w:r>
          </w:p>
        </w:tc>
        <w:tc>
          <w:tcPr>
            <w:tcW w:w="460" w:type="pct"/>
            <w:tcBorders>
              <w:tl2br w:val="nil"/>
              <w:tr2bl w:val="nil"/>
            </w:tcBorders>
            <w:vAlign w:val="center"/>
          </w:tcPr>
          <w:p w14:paraId="644B50AF">
            <w:pPr>
              <w:pStyle w:val="240"/>
              <w:rPr>
                <w:rFonts w:hint="default"/>
              </w:rPr>
            </w:pPr>
            <w:r>
              <w:rPr>
                <w:rFonts w:hint="default"/>
              </w:rPr>
              <w:t>参数符号</w:t>
            </w:r>
          </w:p>
        </w:tc>
        <w:tc>
          <w:tcPr>
            <w:tcW w:w="996" w:type="pct"/>
            <w:gridSpan w:val="2"/>
            <w:tcBorders>
              <w:tl2br w:val="nil"/>
              <w:tr2bl w:val="nil"/>
            </w:tcBorders>
            <w:vAlign w:val="center"/>
          </w:tcPr>
          <w:p w14:paraId="38633745">
            <w:pPr>
              <w:pStyle w:val="240"/>
              <w:rPr>
                <w:rFonts w:hint="default"/>
              </w:rPr>
            </w:pPr>
            <w:r>
              <w:rPr>
                <w:rFonts w:hint="default"/>
              </w:rPr>
              <w:t>参数名称</w:t>
            </w:r>
          </w:p>
        </w:tc>
        <w:tc>
          <w:tcPr>
            <w:tcW w:w="859" w:type="pct"/>
            <w:tcBorders>
              <w:tl2br w:val="nil"/>
              <w:tr2bl w:val="nil"/>
            </w:tcBorders>
            <w:vAlign w:val="center"/>
          </w:tcPr>
          <w:p w14:paraId="514C28E8">
            <w:pPr>
              <w:pStyle w:val="240"/>
              <w:rPr>
                <w:rFonts w:hint="default"/>
              </w:rPr>
            </w:pPr>
            <w:r>
              <w:rPr>
                <w:rFonts w:hint="default"/>
              </w:rPr>
              <w:t>参数数值</w:t>
            </w:r>
          </w:p>
        </w:tc>
        <w:tc>
          <w:tcPr>
            <w:tcW w:w="2336" w:type="pct"/>
            <w:tcBorders>
              <w:tl2br w:val="nil"/>
              <w:tr2bl w:val="nil"/>
            </w:tcBorders>
            <w:vAlign w:val="center"/>
          </w:tcPr>
          <w:p w14:paraId="71CA3A20">
            <w:pPr>
              <w:pStyle w:val="240"/>
              <w:rPr>
                <w:rFonts w:hint="default"/>
              </w:rPr>
            </w:pPr>
            <w:r>
              <w:rPr>
                <w:rFonts w:hint="default"/>
              </w:rPr>
              <w:t>数值来源</w:t>
            </w:r>
          </w:p>
        </w:tc>
      </w:tr>
      <w:tr w14:paraId="431D6C5F">
        <w:tblPrEx>
          <w:tblBorders>
            <w:top w:val="single" w:color="auto" w:sz="12" w:space="0"/>
            <w:left w:val="single" w:color="auto" w:sz="12" w:space="0"/>
            <w:bottom w:val="single" w:color="auto" w:sz="12" w:space="0"/>
            <w:right w:val="single" w:color="auto" w:sz="12" w:space="0"/>
            <w:insideH w:val="single" w:color="auto" w:sz="2" w:space="0"/>
            <w:insideV w:val="single" w:color="auto" w:sz="6" w:space="0"/>
          </w:tblBorders>
          <w:tblCellMar>
            <w:top w:w="0" w:type="dxa"/>
            <w:left w:w="108" w:type="dxa"/>
            <w:bottom w:w="0" w:type="dxa"/>
            <w:right w:w="108" w:type="dxa"/>
          </w:tblCellMar>
        </w:tblPrEx>
        <w:trPr>
          <w:trHeight w:val="344" w:hRule="atLeast"/>
        </w:trPr>
        <w:tc>
          <w:tcPr>
            <w:tcW w:w="346" w:type="pct"/>
            <w:vMerge w:val="restart"/>
            <w:tcBorders>
              <w:tl2br w:val="nil"/>
              <w:tr2bl w:val="nil"/>
            </w:tcBorders>
            <w:vAlign w:val="center"/>
          </w:tcPr>
          <w:p w14:paraId="7B42CF18">
            <w:pPr>
              <w:pStyle w:val="240"/>
              <w:rPr>
                <w:rFonts w:hint="default"/>
              </w:rPr>
            </w:pPr>
            <w:r>
              <w:rPr>
                <w:rFonts w:hint="default"/>
              </w:rPr>
              <w:t>1</w:t>
            </w:r>
          </w:p>
        </w:tc>
        <w:tc>
          <w:tcPr>
            <w:tcW w:w="460" w:type="pct"/>
            <w:vMerge w:val="restart"/>
            <w:tcBorders>
              <w:tl2br w:val="nil"/>
              <w:tr2bl w:val="nil"/>
            </w:tcBorders>
            <w:vAlign w:val="center"/>
          </w:tcPr>
          <w:p w14:paraId="4D0FB84A">
            <w:pPr>
              <w:pStyle w:val="240"/>
              <w:rPr>
                <w:rFonts w:hint="default"/>
              </w:rPr>
            </w:pPr>
            <w:r>
              <w:t>m</w:t>
            </w:r>
          </w:p>
        </w:tc>
        <w:tc>
          <w:tcPr>
            <w:tcW w:w="527" w:type="pct"/>
            <w:vMerge w:val="restart"/>
            <w:tcBorders>
              <w:tl2br w:val="nil"/>
              <w:tr2bl w:val="nil"/>
            </w:tcBorders>
            <w:vAlign w:val="center"/>
          </w:tcPr>
          <w:p w14:paraId="6F1DD05D">
            <w:pPr>
              <w:pStyle w:val="240"/>
              <w:rPr>
                <w:rFonts w:hint="default"/>
              </w:rPr>
            </w:pPr>
            <w:r>
              <w:t>污染物质量</w:t>
            </w:r>
          </w:p>
        </w:tc>
        <w:tc>
          <w:tcPr>
            <w:tcW w:w="469" w:type="pct"/>
            <w:tcBorders>
              <w:tl2br w:val="nil"/>
              <w:tr2bl w:val="nil"/>
            </w:tcBorders>
            <w:vAlign w:val="center"/>
          </w:tcPr>
          <w:p w14:paraId="65CF65B0">
            <w:pPr>
              <w:pStyle w:val="240"/>
              <w:rPr>
                <w:rFonts w:hint="default"/>
              </w:rPr>
            </w:pPr>
            <w:r>
              <w:t>COD</w:t>
            </w:r>
          </w:p>
        </w:tc>
        <w:tc>
          <w:tcPr>
            <w:tcW w:w="859" w:type="pct"/>
            <w:tcBorders>
              <w:tl2br w:val="nil"/>
              <w:tr2bl w:val="nil"/>
            </w:tcBorders>
            <w:vAlign w:val="center"/>
          </w:tcPr>
          <w:p w14:paraId="607CEBF9">
            <w:pPr>
              <w:pStyle w:val="240"/>
              <w:rPr>
                <w:rFonts w:hint="default"/>
              </w:rPr>
            </w:pPr>
            <w:r>
              <w:t>0.042g</w:t>
            </w:r>
          </w:p>
        </w:tc>
        <w:tc>
          <w:tcPr>
            <w:tcW w:w="2336" w:type="pct"/>
            <w:vMerge w:val="restart"/>
            <w:tcBorders>
              <w:tl2br w:val="nil"/>
              <w:tr2bl w:val="nil"/>
            </w:tcBorders>
            <w:vAlign w:val="center"/>
          </w:tcPr>
          <w:p w14:paraId="3375A3E6">
            <w:pPr>
              <w:pStyle w:val="240"/>
              <w:rPr>
                <w:rFonts w:hint="default"/>
              </w:rPr>
            </w:pPr>
            <w:r>
              <w:rPr>
                <w:rFonts w:hint="default"/>
              </w:rPr>
              <w:t>污染情景源强数据通过工程分析予以确定，COD浓度</w:t>
            </w:r>
            <w:r>
              <w:t>350</w:t>
            </w:r>
            <w:r>
              <w:rPr>
                <w:rFonts w:hint="default"/>
              </w:rPr>
              <w:t>mg/L，</w:t>
            </w:r>
            <w:r>
              <w:t>氨氮</w:t>
            </w:r>
            <w:r>
              <w:rPr>
                <w:rFonts w:hint="default"/>
              </w:rPr>
              <w:t>浓度</w:t>
            </w:r>
            <w:r>
              <w:rPr>
                <w:rFonts w:hint="eastAsia"/>
                <w:lang w:val="en-US" w:eastAsia="zh-CN"/>
              </w:rPr>
              <w:t>3</w:t>
            </w:r>
            <w:r>
              <w:t>0</w:t>
            </w:r>
            <w:r>
              <w:rPr>
                <w:rFonts w:hint="default"/>
              </w:rPr>
              <w:t>mg/L。</w:t>
            </w:r>
          </w:p>
        </w:tc>
      </w:tr>
      <w:tr w14:paraId="35A587DB">
        <w:tblPrEx>
          <w:tblBorders>
            <w:top w:val="single" w:color="auto" w:sz="12" w:space="0"/>
            <w:left w:val="single" w:color="auto" w:sz="12" w:space="0"/>
            <w:bottom w:val="single" w:color="auto" w:sz="12" w:space="0"/>
            <w:right w:val="single" w:color="auto" w:sz="12" w:space="0"/>
            <w:insideH w:val="single" w:color="auto" w:sz="2" w:space="0"/>
            <w:insideV w:val="single" w:color="auto" w:sz="6" w:space="0"/>
          </w:tblBorders>
          <w:tblCellMar>
            <w:top w:w="0" w:type="dxa"/>
            <w:left w:w="108" w:type="dxa"/>
            <w:bottom w:w="0" w:type="dxa"/>
            <w:right w:w="108" w:type="dxa"/>
          </w:tblCellMar>
        </w:tblPrEx>
        <w:trPr>
          <w:trHeight w:val="344" w:hRule="atLeast"/>
        </w:trPr>
        <w:tc>
          <w:tcPr>
            <w:tcW w:w="346" w:type="pct"/>
            <w:vMerge w:val="continue"/>
            <w:tcBorders>
              <w:tl2br w:val="nil"/>
              <w:tr2bl w:val="nil"/>
            </w:tcBorders>
            <w:vAlign w:val="center"/>
          </w:tcPr>
          <w:p w14:paraId="5AD34CBB">
            <w:pPr>
              <w:pStyle w:val="240"/>
              <w:rPr>
                <w:rFonts w:hint="default"/>
              </w:rPr>
            </w:pPr>
          </w:p>
        </w:tc>
        <w:tc>
          <w:tcPr>
            <w:tcW w:w="460" w:type="pct"/>
            <w:vMerge w:val="continue"/>
            <w:tcBorders>
              <w:tl2br w:val="nil"/>
              <w:tr2bl w:val="nil"/>
            </w:tcBorders>
            <w:vAlign w:val="center"/>
          </w:tcPr>
          <w:p w14:paraId="77338210">
            <w:pPr>
              <w:pStyle w:val="240"/>
              <w:rPr>
                <w:rFonts w:hint="default"/>
              </w:rPr>
            </w:pPr>
          </w:p>
        </w:tc>
        <w:tc>
          <w:tcPr>
            <w:tcW w:w="527" w:type="pct"/>
            <w:vMerge w:val="continue"/>
            <w:tcBorders>
              <w:tl2br w:val="nil"/>
              <w:tr2bl w:val="nil"/>
            </w:tcBorders>
            <w:vAlign w:val="center"/>
          </w:tcPr>
          <w:p w14:paraId="0E11A1BE">
            <w:pPr>
              <w:pStyle w:val="240"/>
              <w:rPr>
                <w:rFonts w:hint="default"/>
              </w:rPr>
            </w:pPr>
          </w:p>
        </w:tc>
        <w:tc>
          <w:tcPr>
            <w:tcW w:w="469" w:type="pct"/>
            <w:tcBorders>
              <w:tl2br w:val="nil"/>
              <w:tr2bl w:val="nil"/>
            </w:tcBorders>
            <w:vAlign w:val="center"/>
          </w:tcPr>
          <w:p w14:paraId="5576A84D">
            <w:pPr>
              <w:pStyle w:val="240"/>
              <w:rPr>
                <w:rFonts w:hint="default"/>
              </w:rPr>
            </w:pPr>
            <w:r>
              <w:t>氨氮</w:t>
            </w:r>
          </w:p>
        </w:tc>
        <w:tc>
          <w:tcPr>
            <w:tcW w:w="859" w:type="pct"/>
            <w:tcBorders>
              <w:tl2br w:val="nil"/>
              <w:tr2bl w:val="nil"/>
            </w:tcBorders>
            <w:vAlign w:val="center"/>
          </w:tcPr>
          <w:p w14:paraId="4423673E">
            <w:pPr>
              <w:pStyle w:val="240"/>
              <w:rPr>
                <w:rFonts w:hint="default"/>
              </w:rPr>
            </w:pPr>
            <w:r>
              <w:t>0.00</w:t>
            </w:r>
            <w:r>
              <w:rPr>
                <w:rFonts w:hint="eastAsia"/>
                <w:lang w:val="en-US" w:eastAsia="zh-CN"/>
              </w:rPr>
              <w:t>1</w:t>
            </w:r>
            <w:r>
              <w:t>8g</w:t>
            </w:r>
          </w:p>
        </w:tc>
        <w:tc>
          <w:tcPr>
            <w:tcW w:w="2336" w:type="pct"/>
            <w:vMerge w:val="continue"/>
            <w:tcBorders>
              <w:tl2br w:val="nil"/>
              <w:tr2bl w:val="nil"/>
            </w:tcBorders>
            <w:vAlign w:val="center"/>
          </w:tcPr>
          <w:p w14:paraId="1D3C8420">
            <w:pPr>
              <w:pStyle w:val="240"/>
              <w:rPr>
                <w:rFonts w:hint="default"/>
              </w:rPr>
            </w:pPr>
          </w:p>
        </w:tc>
      </w:tr>
      <w:tr w14:paraId="08765093">
        <w:tblPrEx>
          <w:tblBorders>
            <w:top w:val="single" w:color="auto" w:sz="12" w:space="0"/>
            <w:left w:val="single" w:color="auto" w:sz="12" w:space="0"/>
            <w:bottom w:val="single" w:color="auto" w:sz="12" w:space="0"/>
            <w:right w:val="single" w:color="auto" w:sz="12" w:space="0"/>
            <w:insideH w:val="single" w:color="auto" w:sz="2" w:space="0"/>
            <w:insideV w:val="single" w:color="auto" w:sz="6" w:space="0"/>
          </w:tblBorders>
          <w:tblCellMar>
            <w:top w:w="0" w:type="dxa"/>
            <w:left w:w="108" w:type="dxa"/>
            <w:bottom w:w="0" w:type="dxa"/>
            <w:right w:w="108" w:type="dxa"/>
          </w:tblCellMar>
        </w:tblPrEx>
        <w:trPr>
          <w:trHeight w:val="344" w:hRule="atLeast"/>
        </w:trPr>
        <w:tc>
          <w:tcPr>
            <w:tcW w:w="346" w:type="pct"/>
            <w:tcBorders>
              <w:tl2br w:val="nil"/>
              <w:tr2bl w:val="nil"/>
            </w:tcBorders>
            <w:vAlign w:val="center"/>
          </w:tcPr>
          <w:p w14:paraId="2A59BA4C">
            <w:pPr>
              <w:pStyle w:val="240"/>
              <w:rPr>
                <w:rFonts w:hint="default"/>
              </w:rPr>
            </w:pPr>
            <w:r>
              <w:t>2</w:t>
            </w:r>
          </w:p>
        </w:tc>
        <w:tc>
          <w:tcPr>
            <w:tcW w:w="460" w:type="pct"/>
            <w:tcBorders>
              <w:tl2br w:val="nil"/>
              <w:tr2bl w:val="nil"/>
            </w:tcBorders>
            <w:vAlign w:val="center"/>
          </w:tcPr>
          <w:p w14:paraId="4F4CB200">
            <w:pPr>
              <w:pStyle w:val="240"/>
              <w:rPr>
                <w:rFonts w:hint="default"/>
              </w:rPr>
            </w:pPr>
            <w:r>
              <w:t>W</w:t>
            </w:r>
          </w:p>
        </w:tc>
        <w:tc>
          <w:tcPr>
            <w:tcW w:w="996" w:type="pct"/>
            <w:gridSpan w:val="2"/>
            <w:tcBorders>
              <w:tl2br w:val="nil"/>
              <w:tr2bl w:val="nil"/>
            </w:tcBorders>
            <w:vAlign w:val="center"/>
          </w:tcPr>
          <w:p w14:paraId="4C559346">
            <w:pPr>
              <w:pStyle w:val="240"/>
              <w:rPr>
                <w:rFonts w:hint="default"/>
              </w:rPr>
            </w:pPr>
            <w:r>
              <w:t>横截面面积</w:t>
            </w:r>
          </w:p>
        </w:tc>
        <w:tc>
          <w:tcPr>
            <w:tcW w:w="859" w:type="pct"/>
            <w:tcBorders>
              <w:tl2br w:val="nil"/>
              <w:tr2bl w:val="nil"/>
            </w:tcBorders>
            <w:vAlign w:val="center"/>
          </w:tcPr>
          <w:p w14:paraId="09FFC624">
            <w:pPr>
              <w:pStyle w:val="240"/>
              <w:rPr>
                <w:rFonts w:hint="default"/>
              </w:rPr>
            </w:pPr>
            <w:r>
              <w:t>0.06</w:t>
            </w:r>
            <w:r>
              <w:rPr>
                <w:rFonts w:hint="default"/>
              </w:rPr>
              <w:t>m</w:t>
            </w:r>
            <w:r>
              <w:rPr>
                <w:vertAlign w:val="superscript"/>
              </w:rPr>
              <w:t>2</w:t>
            </w:r>
          </w:p>
        </w:tc>
        <w:tc>
          <w:tcPr>
            <w:tcW w:w="2336" w:type="pct"/>
            <w:tcBorders>
              <w:tl2br w:val="nil"/>
              <w:tr2bl w:val="nil"/>
            </w:tcBorders>
            <w:vAlign w:val="center"/>
          </w:tcPr>
          <w:p w14:paraId="34610129">
            <w:pPr>
              <w:pStyle w:val="240"/>
              <w:rPr>
                <w:rFonts w:hint="default"/>
              </w:rPr>
            </w:pPr>
            <w:r>
              <w:rPr>
                <w:rFonts w:hint="default"/>
              </w:rPr>
              <w:t>3个2m×0.01m的裂缝</w:t>
            </w:r>
          </w:p>
        </w:tc>
      </w:tr>
      <w:tr w14:paraId="7F88A654">
        <w:tblPrEx>
          <w:tblBorders>
            <w:top w:val="single" w:color="auto" w:sz="12" w:space="0"/>
            <w:left w:val="single" w:color="auto" w:sz="12" w:space="0"/>
            <w:bottom w:val="single" w:color="auto" w:sz="12" w:space="0"/>
            <w:right w:val="single" w:color="auto" w:sz="12" w:space="0"/>
            <w:insideH w:val="single" w:color="auto" w:sz="2" w:space="0"/>
            <w:insideV w:val="single" w:color="auto" w:sz="6" w:space="0"/>
          </w:tblBorders>
          <w:tblCellMar>
            <w:top w:w="0" w:type="dxa"/>
            <w:left w:w="108" w:type="dxa"/>
            <w:bottom w:w="0" w:type="dxa"/>
            <w:right w:w="108" w:type="dxa"/>
          </w:tblCellMar>
        </w:tblPrEx>
        <w:trPr>
          <w:trHeight w:val="627" w:hRule="atLeast"/>
        </w:trPr>
        <w:tc>
          <w:tcPr>
            <w:tcW w:w="346" w:type="pct"/>
            <w:tcBorders>
              <w:tl2br w:val="nil"/>
              <w:tr2bl w:val="nil"/>
            </w:tcBorders>
            <w:vAlign w:val="center"/>
          </w:tcPr>
          <w:p w14:paraId="3DFDC03D">
            <w:pPr>
              <w:pStyle w:val="240"/>
              <w:rPr>
                <w:rFonts w:hint="default"/>
              </w:rPr>
            </w:pPr>
            <w:r>
              <w:t>3</w:t>
            </w:r>
          </w:p>
        </w:tc>
        <w:tc>
          <w:tcPr>
            <w:tcW w:w="460" w:type="pct"/>
            <w:tcBorders>
              <w:tl2br w:val="nil"/>
              <w:tr2bl w:val="nil"/>
            </w:tcBorders>
            <w:vAlign w:val="center"/>
          </w:tcPr>
          <w:p w14:paraId="4AC4BDC6">
            <w:pPr>
              <w:pStyle w:val="240"/>
              <w:rPr>
                <w:rFonts w:hint="default"/>
              </w:rPr>
            </w:pPr>
            <w:r>
              <w:rPr>
                <w:rFonts w:hint="default"/>
              </w:rPr>
              <w:t>n</w:t>
            </w:r>
            <w:r>
              <w:rPr>
                <w:rFonts w:hint="default"/>
                <w:vertAlign w:val="subscript"/>
              </w:rPr>
              <w:t>e</w:t>
            </w:r>
          </w:p>
        </w:tc>
        <w:tc>
          <w:tcPr>
            <w:tcW w:w="996" w:type="pct"/>
            <w:gridSpan w:val="2"/>
            <w:tcBorders>
              <w:tl2br w:val="nil"/>
              <w:tr2bl w:val="nil"/>
            </w:tcBorders>
            <w:vAlign w:val="center"/>
          </w:tcPr>
          <w:p w14:paraId="78B1380F">
            <w:pPr>
              <w:pStyle w:val="240"/>
              <w:rPr>
                <w:rFonts w:hint="default"/>
              </w:rPr>
            </w:pPr>
            <w:r>
              <w:rPr>
                <w:rFonts w:hint="default"/>
              </w:rPr>
              <w:t>有效孔隙度</w:t>
            </w:r>
          </w:p>
        </w:tc>
        <w:tc>
          <w:tcPr>
            <w:tcW w:w="859" w:type="pct"/>
            <w:tcBorders>
              <w:tl2br w:val="nil"/>
              <w:tr2bl w:val="nil"/>
            </w:tcBorders>
            <w:vAlign w:val="center"/>
          </w:tcPr>
          <w:p w14:paraId="41C07D34">
            <w:pPr>
              <w:pStyle w:val="240"/>
              <w:rPr>
                <w:rFonts w:hint="default"/>
              </w:rPr>
            </w:pPr>
            <w:r>
              <w:t>0.2</w:t>
            </w:r>
          </w:p>
        </w:tc>
        <w:tc>
          <w:tcPr>
            <w:tcW w:w="2336" w:type="pct"/>
            <w:tcBorders>
              <w:tl2br w:val="nil"/>
              <w:tr2bl w:val="nil"/>
            </w:tcBorders>
            <w:vAlign w:val="center"/>
          </w:tcPr>
          <w:p w14:paraId="10900125">
            <w:pPr>
              <w:pStyle w:val="240"/>
              <w:rPr>
                <w:rFonts w:hint="default"/>
              </w:rPr>
            </w:pPr>
            <w:r>
              <w:rPr>
                <w:rFonts w:hint="default"/>
              </w:rPr>
              <w:t>有效孔隙度取 0.20：(根据导则附录B 综合确定的（粉砂、细砂）给水度经验值)</w:t>
            </w:r>
          </w:p>
        </w:tc>
      </w:tr>
      <w:tr w14:paraId="3ED55F09">
        <w:tblPrEx>
          <w:tblBorders>
            <w:top w:val="single" w:color="auto" w:sz="12" w:space="0"/>
            <w:left w:val="single" w:color="auto" w:sz="12" w:space="0"/>
            <w:bottom w:val="single" w:color="auto" w:sz="12" w:space="0"/>
            <w:right w:val="single" w:color="auto" w:sz="12" w:space="0"/>
            <w:insideH w:val="single" w:color="auto" w:sz="2" w:space="0"/>
            <w:insideV w:val="single" w:color="auto" w:sz="6" w:space="0"/>
          </w:tblBorders>
          <w:tblCellMar>
            <w:top w:w="0" w:type="dxa"/>
            <w:left w:w="108" w:type="dxa"/>
            <w:bottom w:w="0" w:type="dxa"/>
            <w:right w:w="108" w:type="dxa"/>
          </w:tblCellMar>
        </w:tblPrEx>
        <w:trPr>
          <w:trHeight w:val="1871" w:hRule="atLeast"/>
        </w:trPr>
        <w:tc>
          <w:tcPr>
            <w:tcW w:w="346" w:type="pct"/>
            <w:tcBorders>
              <w:tl2br w:val="nil"/>
              <w:tr2bl w:val="nil"/>
            </w:tcBorders>
            <w:vAlign w:val="center"/>
          </w:tcPr>
          <w:p w14:paraId="3861E611">
            <w:pPr>
              <w:pStyle w:val="240"/>
              <w:rPr>
                <w:rFonts w:hint="default"/>
              </w:rPr>
            </w:pPr>
            <w:r>
              <w:t>4</w:t>
            </w:r>
          </w:p>
        </w:tc>
        <w:tc>
          <w:tcPr>
            <w:tcW w:w="460" w:type="pct"/>
            <w:tcBorders>
              <w:tl2br w:val="nil"/>
              <w:tr2bl w:val="nil"/>
            </w:tcBorders>
            <w:vAlign w:val="center"/>
          </w:tcPr>
          <w:p w14:paraId="1EC3F644">
            <w:pPr>
              <w:pStyle w:val="240"/>
              <w:rPr>
                <w:rFonts w:hint="default"/>
              </w:rPr>
            </w:pPr>
            <w:r>
              <w:rPr>
                <w:rFonts w:hint="default"/>
              </w:rPr>
              <w:t>u</w:t>
            </w:r>
          </w:p>
        </w:tc>
        <w:tc>
          <w:tcPr>
            <w:tcW w:w="996" w:type="pct"/>
            <w:gridSpan w:val="2"/>
            <w:tcBorders>
              <w:tl2br w:val="nil"/>
              <w:tr2bl w:val="nil"/>
            </w:tcBorders>
            <w:vAlign w:val="center"/>
          </w:tcPr>
          <w:p w14:paraId="5ECB4B3E">
            <w:pPr>
              <w:pStyle w:val="240"/>
              <w:rPr>
                <w:rFonts w:hint="default"/>
              </w:rPr>
            </w:pPr>
            <w:r>
              <w:rPr>
                <w:rFonts w:hint="default"/>
              </w:rPr>
              <w:t>水流速度</w:t>
            </w:r>
          </w:p>
        </w:tc>
        <w:tc>
          <w:tcPr>
            <w:tcW w:w="859" w:type="pct"/>
            <w:tcBorders>
              <w:tl2br w:val="nil"/>
              <w:tr2bl w:val="nil"/>
            </w:tcBorders>
            <w:vAlign w:val="center"/>
          </w:tcPr>
          <w:p w14:paraId="381280BC">
            <w:pPr>
              <w:pStyle w:val="240"/>
              <w:rPr>
                <w:rFonts w:hint="default"/>
              </w:rPr>
            </w:pPr>
            <w:r>
              <w:rPr>
                <w:rFonts w:hint="default"/>
              </w:rPr>
              <w:t>0.</w:t>
            </w:r>
            <w:r>
              <w:t>004305</w:t>
            </w:r>
            <w:r>
              <w:rPr>
                <w:rFonts w:hint="default"/>
              </w:rPr>
              <w:t>m/d</w:t>
            </w:r>
          </w:p>
        </w:tc>
        <w:tc>
          <w:tcPr>
            <w:tcW w:w="2336" w:type="pct"/>
            <w:tcBorders>
              <w:tl2br w:val="nil"/>
              <w:tr2bl w:val="nil"/>
            </w:tcBorders>
            <w:vAlign w:val="center"/>
          </w:tcPr>
          <w:p w14:paraId="38E185C3">
            <w:pPr>
              <w:pStyle w:val="240"/>
              <w:rPr>
                <w:rFonts w:hint="default"/>
              </w:rPr>
            </w:pPr>
            <w:r>
              <w:rPr>
                <w:rFonts w:hint="default"/>
              </w:rPr>
              <w:t>u=kI/n。本区域潜水含水层渗透系数为0.386m/d。根据</w:t>
            </w:r>
            <w:r>
              <w:t>区域</w:t>
            </w:r>
            <w:r>
              <w:rPr>
                <w:rFonts w:hint="default"/>
              </w:rPr>
              <w:t>水文地质</w:t>
            </w:r>
            <w:r>
              <w:rPr>
                <w:rFonts w:hint="eastAsia"/>
                <w:lang w:eastAsia="zh-CN"/>
              </w:rPr>
              <w:t>勘查资料</w:t>
            </w:r>
            <w:r>
              <w:rPr>
                <w:rFonts w:hint="default"/>
              </w:rPr>
              <w:t>，水力坡度在0.113～0.123 % 之间，考虑不利影响，本次预测取最大值水力坡度I=0.123%，因此地下水的渗透流速平均实际流速u=KI/n==0.004305m/d。</w:t>
            </w:r>
          </w:p>
        </w:tc>
      </w:tr>
      <w:tr w14:paraId="52069AA9">
        <w:tblPrEx>
          <w:tblBorders>
            <w:top w:val="single" w:color="auto" w:sz="12" w:space="0"/>
            <w:left w:val="single" w:color="auto" w:sz="12" w:space="0"/>
            <w:bottom w:val="single" w:color="auto" w:sz="12" w:space="0"/>
            <w:right w:val="single" w:color="auto" w:sz="12" w:space="0"/>
            <w:insideH w:val="single" w:color="auto" w:sz="2" w:space="0"/>
            <w:insideV w:val="single" w:color="auto" w:sz="6" w:space="0"/>
          </w:tblBorders>
          <w:tblCellMar>
            <w:top w:w="0" w:type="dxa"/>
            <w:left w:w="108" w:type="dxa"/>
            <w:bottom w:w="0" w:type="dxa"/>
            <w:right w:w="108" w:type="dxa"/>
          </w:tblCellMar>
        </w:tblPrEx>
        <w:trPr>
          <w:trHeight w:val="938" w:hRule="atLeast"/>
        </w:trPr>
        <w:tc>
          <w:tcPr>
            <w:tcW w:w="346" w:type="pct"/>
            <w:tcBorders>
              <w:tl2br w:val="nil"/>
              <w:tr2bl w:val="nil"/>
            </w:tcBorders>
            <w:vAlign w:val="center"/>
          </w:tcPr>
          <w:p w14:paraId="1AABA3E7">
            <w:pPr>
              <w:pStyle w:val="240"/>
              <w:rPr>
                <w:rFonts w:hint="default"/>
              </w:rPr>
            </w:pPr>
            <w:r>
              <w:t>5</w:t>
            </w:r>
          </w:p>
        </w:tc>
        <w:tc>
          <w:tcPr>
            <w:tcW w:w="460" w:type="pct"/>
            <w:tcBorders>
              <w:tl2br w:val="nil"/>
              <w:tr2bl w:val="nil"/>
            </w:tcBorders>
            <w:vAlign w:val="center"/>
          </w:tcPr>
          <w:p w14:paraId="45BBA145">
            <w:pPr>
              <w:pStyle w:val="240"/>
              <w:rPr>
                <w:rFonts w:hint="default"/>
              </w:rPr>
            </w:pPr>
            <w:r>
              <w:rPr>
                <w:rFonts w:hint="default"/>
              </w:rPr>
              <w:t>D</w:t>
            </w:r>
            <w:r>
              <w:rPr>
                <w:rFonts w:hint="default"/>
                <w:vertAlign w:val="subscript"/>
              </w:rPr>
              <w:t>L</w:t>
            </w:r>
          </w:p>
        </w:tc>
        <w:tc>
          <w:tcPr>
            <w:tcW w:w="996" w:type="pct"/>
            <w:gridSpan w:val="2"/>
            <w:tcBorders>
              <w:tl2br w:val="nil"/>
              <w:tr2bl w:val="nil"/>
            </w:tcBorders>
            <w:vAlign w:val="center"/>
          </w:tcPr>
          <w:p w14:paraId="4A26B16D">
            <w:pPr>
              <w:pStyle w:val="240"/>
              <w:rPr>
                <w:rFonts w:hint="default"/>
              </w:rPr>
            </w:pPr>
            <w:r>
              <w:rPr>
                <w:rFonts w:hint="default"/>
              </w:rPr>
              <w:t>纵向弥散系数</w:t>
            </w:r>
          </w:p>
        </w:tc>
        <w:tc>
          <w:tcPr>
            <w:tcW w:w="859" w:type="pct"/>
            <w:tcBorders>
              <w:tl2br w:val="nil"/>
              <w:tr2bl w:val="nil"/>
            </w:tcBorders>
            <w:vAlign w:val="center"/>
          </w:tcPr>
          <w:p w14:paraId="497188E0">
            <w:pPr>
              <w:pStyle w:val="240"/>
              <w:rPr>
                <w:rFonts w:hint="default"/>
              </w:rPr>
            </w:pPr>
            <w:r>
              <w:t>0.02374</w:t>
            </w:r>
            <w:r>
              <w:rPr>
                <w:rFonts w:hint="default"/>
              </w:rPr>
              <w:t>m</w:t>
            </w:r>
            <w:r>
              <w:rPr>
                <w:rFonts w:hint="default"/>
                <w:vertAlign w:val="superscript"/>
              </w:rPr>
              <w:t>2</w:t>
            </w:r>
            <w:r>
              <w:rPr>
                <w:rFonts w:hint="default"/>
              </w:rPr>
              <w:t>/d</w:t>
            </w:r>
          </w:p>
        </w:tc>
        <w:tc>
          <w:tcPr>
            <w:tcW w:w="2336" w:type="pct"/>
            <w:tcBorders>
              <w:tl2br w:val="nil"/>
              <w:tr2bl w:val="nil"/>
            </w:tcBorders>
            <w:vAlign w:val="center"/>
          </w:tcPr>
          <w:p w14:paraId="239CD0E5">
            <w:pPr>
              <w:pStyle w:val="240"/>
              <w:rPr>
                <w:rFonts w:hint="default"/>
              </w:rPr>
            </w:pPr>
            <w:r>
              <w:rPr>
                <w:rFonts w:hint="default"/>
              </w:rPr>
              <w:t>DL=αLu，αL为纵向弥散度。参考前人的研究成果，弥散度应介于1～10之间，按照最不利的评价原则，αL取10。</w:t>
            </w:r>
          </w:p>
        </w:tc>
      </w:tr>
      <w:tr w14:paraId="39D013D4">
        <w:tblPrEx>
          <w:tblBorders>
            <w:top w:val="single" w:color="auto" w:sz="12" w:space="0"/>
            <w:left w:val="single" w:color="auto" w:sz="12" w:space="0"/>
            <w:bottom w:val="single" w:color="auto" w:sz="12" w:space="0"/>
            <w:right w:val="single" w:color="auto" w:sz="12" w:space="0"/>
            <w:insideH w:val="single" w:color="auto" w:sz="2" w:space="0"/>
            <w:insideV w:val="single" w:color="auto" w:sz="6" w:space="0"/>
          </w:tblBorders>
          <w:tblCellMar>
            <w:top w:w="0" w:type="dxa"/>
            <w:left w:w="108" w:type="dxa"/>
            <w:bottom w:w="0" w:type="dxa"/>
            <w:right w:w="108" w:type="dxa"/>
          </w:tblCellMar>
        </w:tblPrEx>
        <w:trPr>
          <w:trHeight w:val="374" w:hRule="atLeast"/>
        </w:trPr>
        <w:tc>
          <w:tcPr>
            <w:tcW w:w="346" w:type="pct"/>
            <w:tcBorders>
              <w:tl2br w:val="nil"/>
              <w:tr2bl w:val="nil"/>
            </w:tcBorders>
            <w:vAlign w:val="center"/>
          </w:tcPr>
          <w:p w14:paraId="62682B72">
            <w:pPr>
              <w:pStyle w:val="240"/>
              <w:rPr>
                <w:rFonts w:hint="default"/>
              </w:rPr>
            </w:pPr>
            <w:r>
              <w:rPr>
                <w:rFonts w:hint="default"/>
              </w:rPr>
              <w:t>6</w:t>
            </w:r>
          </w:p>
        </w:tc>
        <w:tc>
          <w:tcPr>
            <w:tcW w:w="460" w:type="pct"/>
            <w:tcBorders>
              <w:tl2br w:val="nil"/>
              <w:tr2bl w:val="nil"/>
            </w:tcBorders>
            <w:vAlign w:val="center"/>
          </w:tcPr>
          <w:p w14:paraId="51579D63">
            <w:pPr>
              <w:pStyle w:val="240"/>
              <w:rPr>
                <w:rFonts w:hint="default"/>
              </w:rPr>
            </w:pPr>
            <w:r>
              <w:rPr>
                <w:rFonts w:hint="default"/>
              </w:rPr>
              <w:t>t</w:t>
            </w:r>
          </w:p>
        </w:tc>
        <w:tc>
          <w:tcPr>
            <w:tcW w:w="996" w:type="pct"/>
            <w:gridSpan w:val="2"/>
            <w:tcBorders>
              <w:tl2br w:val="nil"/>
              <w:tr2bl w:val="nil"/>
            </w:tcBorders>
            <w:vAlign w:val="center"/>
          </w:tcPr>
          <w:p w14:paraId="293DCB2A">
            <w:pPr>
              <w:pStyle w:val="240"/>
              <w:rPr>
                <w:rFonts w:hint="default"/>
              </w:rPr>
            </w:pPr>
            <w:r>
              <w:rPr>
                <w:rFonts w:hint="default"/>
              </w:rPr>
              <w:t>时间</w:t>
            </w:r>
          </w:p>
        </w:tc>
        <w:tc>
          <w:tcPr>
            <w:tcW w:w="3195" w:type="pct"/>
            <w:gridSpan w:val="2"/>
            <w:tcBorders>
              <w:tl2br w:val="nil"/>
              <w:tr2bl w:val="nil"/>
            </w:tcBorders>
            <w:vAlign w:val="center"/>
          </w:tcPr>
          <w:p w14:paraId="42A7C8D3">
            <w:pPr>
              <w:pStyle w:val="240"/>
              <w:rPr>
                <w:rFonts w:hint="default"/>
              </w:rPr>
            </w:pPr>
            <w:r>
              <w:rPr>
                <w:rFonts w:hint="default"/>
              </w:rPr>
              <w:t>计算发生渗漏后100d、1000d后各预测点的浓度</w:t>
            </w:r>
          </w:p>
        </w:tc>
      </w:tr>
    </w:tbl>
    <w:p w14:paraId="7E95894C">
      <w:pPr>
        <w:widowControl/>
        <w:spacing w:line="360" w:lineRule="auto"/>
        <w:ind w:firstLine="480" w:firstLineChars="200"/>
        <w:rPr>
          <w:color w:val="000000"/>
          <w:sz w:val="24"/>
        </w:rPr>
      </w:pPr>
      <w:r>
        <w:rPr>
          <w:rFonts w:hint="eastAsia"/>
          <w:color w:val="000000"/>
          <w:sz w:val="24"/>
        </w:rPr>
        <w:t>⑥</w:t>
      </w:r>
      <w:r>
        <w:rPr>
          <w:color w:val="000000"/>
          <w:sz w:val="24"/>
        </w:rPr>
        <w:t>预测结果</w:t>
      </w:r>
    </w:p>
    <w:p w14:paraId="49C12E48">
      <w:pPr>
        <w:spacing w:line="360" w:lineRule="auto"/>
        <w:ind w:firstLine="480" w:firstLineChars="200"/>
        <w:rPr>
          <w:color w:val="000000"/>
          <w:sz w:val="24"/>
        </w:rPr>
      </w:pPr>
      <w:r>
        <w:rPr>
          <w:rFonts w:hint="eastAsia"/>
          <w:color w:val="000000"/>
          <w:sz w:val="24"/>
        </w:rPr>
        <w:t>本次模型分别对100d、1000d进行模拟计算，模型计算的主要结果</w:t>
      </w:r>
      <w:r>
        <w:rPr>
          <w:rFonts w:hint="eastAsia"/>
          <w:color w:val="000000"/>
          <w:sz w:val="24"/>
          <w:lang w:eastAsia="zh-CN"/>
        </w:rPr>
        <w:t>见</w:t>
      </w:r>
      <w:r>
        <w:rPr>
          <w:rFonts w:hint="eastAsia"/>
          <w:color w:val="000000"/>
          <w:sz w:val="24"/>
        </w:rPr>
        <w:t>图表5.2-</w:t>
      </w:r>
      <w:r>
        <w:rPr>
          <w:rFonts w:hint="eastAsia"/>
          <w:color w:val="000000"/>
          <w:sz w:val="24"/>
          <w:lang w:val="en-US" w:eastAsia="zh-CN"/>
        </w:rPr>
        <w:t>20</w:t>
      </w:r>
      <w:r>
        <w:rPr>
          <w:rFonts w:hint="eastAsia"/>
          <w:color w:val="000000"/>
          <w:sz w:val="24"/>
        </w:rPr>
        <w:t>、5.2-</w:t>
      </w:r>
      <w:r>
        <w:rPr>
          <w:rFonts w:hint="eastAsia"/>
          <w:color w:val="000000"/>
          <w:sz w:val="24"/>
          <w:lang w:val="en-US" w:eastAsia="zh-CN"/>
        </w:rPr>
        <w:t>21</w:t>
      </w:r>
      <w:r>
        <w:rPr>
          <w:rFonts w:hint="eastAsia"/>
          <w:color w:val="000000"/>
          <w:sz w:val="24"/>
        </w:rPr>
        <w:t>。</w:t>
      </w:r>
    </w:p>
    <w:p w14:paraId="13195BCC">
      <w:pPr>
        <w:jc w:val="center"/>
        <w:rPr>
          <w:b/>
          <w:color w:val="000000"/>
          <w:szCs w:val="21"/>
        </w:rPr>
      </w:pPr>
      <w:r>
        <w:rPr>
          <w:rFonts w:hint="eastAsia"/>
          <w:b/>
          <w:color w:val="000000"/>
          <w:szCs w:val="21"/>
        </w:rPr>
        <w:t>表5.2-</w:t>
      </w:r>
      <w:r>
        <w:rPr>
          <w:rFonts w:hint="eastAsia"/>
          <w:b/>
          <w:color w:val="000000"/>
          <w:szCs w:val="21"/>
          <w:lang w:val="en-US" w:eastAsia="zh-CN"/>
        </w:rPr>
        <w:t>20</w:t>
      </w:r>
      <w:r>
        <w:rPr>
          <w:rFonts w:hint="eastAsia"/>
          <w:b/>
          <w:color w:val="000000"/>
          <w:szCs w:val="21"/>
        </w:rPr>
        <w:t xml:space="preserve">  非正常状况下耗氧量（以COD计）在含水层中运移情况汇总表</w:t>
      </w:r>
    </w:p>
    <w:tbl>
      <w:tblPr>
        <w:tblStyle w:val="50"/>
        <w:tblW w:w="4981"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30"/>
        <w:gridCol w:w="2167"/>
        <w:gridCol w:w="6356"/>
      </w:tblGrid>
      <w:tr w14:paraId="31B091B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94" w:type="pct"/>
            <w:tcBorders>
              <w:tl2br w:val="nil"/>
              <w:tr2bl w:val="nil"/>
            </w:tcBorders>
            <w:vAlign w:val="center"/>
          </w:tcPr>
          <w:p w14:paraId="4EE35A34">
            <w:pPr>
              <w:pStyle w:val="240"/>
              <w:rPr>
                <w:rFonts w:hint="default"/>
              </w:rPr>
            </w:pPr>
            <w:r>
              <w:t>X</w:t>
            </w:r>
          </w:p>
        </w:tc>
        <w:tc>
          <w:tcPr>
            <w:tcW w:w="1171" w:type="pct"/>
            <w:tcBorders>
              <w:tl2br w:val="nil"/>
              <w:tr2bl w:val="nil"/>
            </w:tcBorders>
            <w:vAlign w:val="center"/>
          </w:tcPr>
          <w:p w14:paraId="03086678">
            <w:pPr>
              <w:pStyle w:val="240"/>
              <w:rPr>
                <w:rFonts w:hint="default"/>
              </w:rPr>
            </w:pPr>
            <w:r>
              <w:t>耗氧量（以COD计）mg/L</w:t>
            </w:r>
          </w:p>
        </w:tc>
        <w:tc>
          <w:tcPr>
            <w:tcW w:w="3433" w:type="pct"/>
            <w:tcBorders>
              <w:tl2br w:val="nil"/>
              <w:tr2bl w:val="nil"/>
            </w:tcBorders>
            <w:vAlign w:val="center"/>
          </w:tcPr>
          <w:p w14:paraId="744FBA72">
            <w:pPr>
              <w:pStyle w:val="240"/>
              <w:rPr>
                <w:rFonts w:hint="default"/>
              </w:rPr>
            </w:pPr>
            <w:r>
              <w:rPr>
                <w:rFonts w:hint="eastAsia"/>
                <w:lang w:eastAsia="zh-CN"/>
              </w:rPr>
              <w:t>泄漏</w:t>
            </w:r>
            <w:r>
              <w:t>100d预测结果图</w:t>
            </w:r>
          </w:p>
        </w:tc>
      </w:tr>
      <w:tr w14:paraId="7A50D5D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2" w:hRule="atLeast"/>
        </w:trPr>
        <w:tc>
          <w:tcPr>
            <w:tcW w:w="394" w:type="pct"/>
            <w:tcBorders>
              <w:tl2br w:val="nil"/>
              <w:tr2bl w:val="nil"/>
            </w:tcBorders>
            <w:vAlign w:val="center"/>
          </w:tcPr>
          <w:p w14:paraId="5DD3E6D6">
            <w:pPr>
              <w:pStyle w:val="240"/>
              <w:rPr>
                <w:rFonts w:hint="default"/>
              </w:rPr>
            </w:pPr>
            <w:r>
              <w:t>0</w:t>
            </w:r>
          </w:p>
        </w:tc>
        <w:tc>
          <w:tcPr>
            <w:tcW w:w="1171" w:type="pct"/>
            <w:tcBorders>
              <w:tl2br w:val="nil"/>
              <w:tr2bl w:val="nil"/>
            </w:tcBorders>
            <w:vAlign w:val="center"/>
          </w:tcPr>
          <w:p w14:paraId="254B7E27">
            <w:pPr>
              <w:pStyle w:val="240"/>
              <w:rPr>
                <w:rFonts w:hint="default"/>
              </w:rPr>
            </w:pPr>
            <w:r>
              <w:t>0.0718189</w:t>
            </w:r>
          </w:p>
        </w:tc>
        <w:tc>
          <w:tcPr>
            <w:tcW w:w="3433" w:type="pct"/>
            <w:vMerge w:val="restart"/>
            <w:tcBorders>
              <w:tl2br w:val="nil"/>
              <w:tr2bl w:val="nil"/>
            </w:tcBorders>
            <w:vAlign w:val="center"/>
          </w:tcPr>
          <w:p w14:paraId="5C3372E9">
            <w:pPr>
              <w:pStyle w:val="240"/>
              <w:rPr>
                <w:rFonts w:hint="default"/>
              </w:rPr>
            </w:pPr>
            <w:r>
              <w:drawing>
                <wp:inline distT="0" distB="0" distL="114300" distR="114300">
                  <wp:extent cx="3609975" cy="2028825"/>
                  <wp:effectExtent l="0" t="0" r="9525" b="9525"/>
                  <wp:docPr id="13"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1"/>
                          <pic:cNvPicPr>
                            <a:picLocks noChangeAspect="1"/>
                          </pic:cNvPicPr>
                        </pic:nvPicPr>
                        <pic:blipFill>
                          <a:blip r:embed="rId35"/>
                          <a:stretch>
                            <a:fillRect/>
                          </a:stretch>
                        </pic:blipFill>
                        <pic:spPr>
                          <a:xfrm>
                            <a:off x="0" y="0"/>
                            <a:ext cx="3609975" cy="2028825"/>
                          </a:xfrm>
                          <a:prstGeom prst="rect">
                            <a:avLst/>
                          </a:prstGeom>
                          <a:noFill/>
                          <a:ln>
                            <a:noFill/>
                          </a:ln>
                        </pic:spPr>
                      </pic:pic>
                    </a:graphicData>
                  </a:graphic>
                </wp:inline>
              </w:drawing>
            </w:r>
          </w:p>
          <w:p w14:paraId="3CCC3F31">
            <w:pPr>
              <w:pStyle w:val="240"/>
              <w:rPr>
                <w:rFonts w:hint="default"/>
              </w:rPr>
            </w:pPr>
            <w:r>
              <w:t>时间T=100天时，预测结果如下：</w:t>
            </w:r>
          </w:p>
          <w:p w14:paraId="02A11FE2">
            <w:pPr>
              <w:pStyle w:val="240"/>
              <w:rPr>
                <w:rFonts w:hint="default"/>
              </w:rPr>
            </w:pPr>
            <w:r>
              <w:t>耗氧量（以COD计）预测的最大值为0.6284153mg/L，预测结果均未超标，且预测结果均低于检出限。</w:t>
            </w:r>
          </w:p>
        </w:tc>
      </w:tr>
      <w:tr w14:paraId="6D78B13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2" w:hRule="atLeast"/>
        </w:trPr>
        <w:tc>
          <w:tcPr>
            <w:tcW w:w="394" w:type="pct"/>
            <w:tcBorders>
              <w:tl2br w:val="nil"/>
              <w:tr2bl w:val="nil"/>
            </w:tcBorders>
            <w:vAlign w:val="center"/>
          </w:tcPr>
          <w:p w14:paraId="0A28E13F">
            <w:pPr>
              <w:pStyle w:val="240"/>
              <w:rPr>
                <w:rFonts w:hint="default"/>
              </w:rPr>
            </w:pPr>
            <w:r>
              <w:t>10</w:t>
            </w:r>
          </w:p>
        </w:tc>
        <w:tc>
          <w:tcPr>
            <w:tcW w:w="1171" w:type="pct"/>
            <w:tcBorders>
              <w:tl2br w:val="nil"/>
              <w:tr2bl w:val="nil"/>
            </w:tcBorders>
            <w:vAlign w:val="center"/>
          </w:tcPr>
          <w:p w14:paraId="5D55D838">
            <w:pPr>
              <w:pStyle w:val="240"/>
              <w:rPr>
                <w:rFonts w:hint="default"/>
              </w:rPr>
            </w:pPr>
            <w:r>
              <w:t xml:space="preserve">  4.748602E-06</w:t>
            </w:r>
          </w:p>
        </w:tc>
        <w:tc>
          <w:tcPr>
            <w:tcW w:w="3433" w:type="pct"/>
            <w:vMerge w:val="continue"/>
            <w:tcBorders>
              <w:tl2br w:val="nil"/>
              <w:tr2bl w:val="nil"/>
            </w:tcBorders>
            <w:vAlign w:val="center"/>
          </w:tcPr>
          <w:p w14:paraId="4154CE3C">
            <w:pPr>
              <w:pStyle w:val="240"/>
              <w:rPr>
                <w:rFonts w:hint="default"/>
              </w:rPr>
            </w:pPr>
          </w:p>
        </w:tc>
      </w:tr>
      <w:tr w14:paraId="764BDB4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2" w:hRule="atLeast"/>
        </w:trPr>
        <w:tc>
          <w:tcPr>
            <w:tcW w:w="394" w:type="pct"/>
            <w:tcBorders>
              <w:tl2br w:val="nil"/>
              <w:tr2bl w:val="nil"/>
            </w:tcBorders>
            <w:vAlign w:val="center"/>
          </w:tcPr>
          <w:p w14:paraId="4A3411AE">
            <w:pPr>
              <w:pStyle w:val="240"/>
              <w:rPr>
                <w:rFonts w:hint="default"/>
              </w:rPr>
            </w:pPr>
            <w:r>
              <w:t>20</w:t>
            </w:r>
          </w:p>
        </w:tc>
        <w:tc>
          <w:tcPr>
            <w:tcW w:w="1171" w:type="pct"/>
            <w:tcBorders>
              <w:tl2br w:val="nil"/>
              <w:tr2bl w:val="nil"/>
            </w:tcBorders>
            <w:vAlign w:val="center"/>
          </w:tcPr>
          <w:p w14:paraId="4A9713C1">
            <w:pPr>
              <w:pStyle w:val="240"/>
              <w:rPr>
                <w:rFonts w:hint="default"/>
              </w:rPr>
            </w:pPr>
            <w:r>
              <w:t>2.238719E-198</w:t>
            </w:r>
          </w:p>
        </w:tc>
        <w:tc>
          <w:tcPr>
            <w:tcW w:w="3433" w:type="pct"/>
            <w:vMerge w:val="continue"/>
            <w:tcBorders>
              <w:tl2br w:val="nil"/>
              <w:tr2bl w:val="nil"/>
            </w:tcBorders>
            <w:vAlign w:val="center"/>
          </w:tcPr>
          <w:p w14:paraId="20DDC143">
            <w:pPr>
              <w:pStyle w:val="240"/>
              <w:rPr>
                <w:rFonts w:hint="default"/>
              </w:rPr>
            </w:pPr>
          </w:p>
        </w:tc>
      </w:tr>
      <w:tr w14:paraId="3BB1168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2" w:hRule="atLeast"/>
        </w:trPr>
        <w:tc>
          <w:tcPr>
            <w:tcW w:w="394" w:type="pct"/>
            <w:tcBorders>
              <w:tl2br w:val="nil"/>
              <w:tr2bl w:val="nil"/>
            </w:tcBorders>
            <w:vAlign w:val="center"/>
          </w:tcPr>
          <w:p w14:paraId="572794D2">
            <w:pPr>
              <w:pStyle w:val="240"/>
              <w:rPr>
                <w:rFonts w:hint="default"/>
              </w:rPr>
            </w:pPr>
            <w:r>
              <w:t>30</w:t>
            </w:r>
          </w:p>
        </w:tc>
        <w:tc>
          <w:tcPr>
            <w:tcW w:w="1171" w:type="pct"/>
            <w:tcBorders>
              <w:tl2br w:val="nil"/>
              <w:tr2bl w:val="nil"/>
            </w:tcBorders>
            <w:vAlign w:val="center"/>
          </w:tcPr>
          <w:p w14:paraId="24852351">
            <w:pPr>
              <w:pStyle w:val="240"/>
              <w:rPr>
                <w:rFonts w:hint="default"/>
              </w:rPr>
            </w:pPr>
            <w:r>
              <w:t>7.524973E-42</w:t>
            </w:r>
          </w:p>
        </w:tc>
        <w:tc>
          <w:tcPr>
            <w:tcW w:w="3433" w:type="pct"/>
            <w:vMerge w:val="continue"/>
            <w:tcBorders>
              <w:tl2br w:val="nil"/>
              <w:tr2bl w:val="nil"/>
            </w:tcBorders>
            <w:vAlign w:val="center"/>
          </w:tcPr>
          <w:p w14:paraId="22A8AAE7">
            <w:pPr>
              <w:pStyle w:val="240"/>
              <w:rPr>
                <w:rFonts w:hint="default"/>
              </w:rPr>
            </w:pPr>
          </w:p>
        </w:tc>
      </w:tr>
      <w:tr w14:paraId="48361CC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2" w:hRule="atLeast"/>
        </w:trPr>
        <w:tc>
          <w:tcPr>
            <w:tcW w:w="394" w:type="pct"/>
            <w:tcBorders>
              <w:tl2br w:val="nil"/>
              <w:tr2bl w:val="nil"/>
            </w:tcBorders>
            <w:vAlign w:val="center"/>
          </w:tcPr>
          <w:p w14:paraId="13BA95EF">
            <w:pPr>
              <w:pStyle w:val="240"/>
              <w:rPr>
                <w:rFonts w:hint="default"/>
              </w:rPr>
            </w:pPr>
            <w:r>
              <w:t>40</w:t>
            </w:r>
          </w:p>
        </w:tc>
        <w:tc>
          <w:tcPr>
            <w:tcW w:w="1171" w:type="pct"/>
            <w:tcBorders>
              <w:tl2br w:val="nil"/>
              <w:tr2bl w:val="nil"/>
            </w:tcBorders>
            <w:vAlign w:val="center"/>
          </w:tcPr>
          <w:p w14:paraId="7816B794">
            <w:pPr>
              <w:pStyle w:val="240"/>
              <w:rPr>
                <w:rFonts w:hint="default"/>
              </w:rPr>
            </w:pPr>
            <w:r>
              <w:t>0</w:t>
            </w:r>
          </w:p>
        </w:tc>
        <w:tc>
          <w:tcPr>
            <w:tcW w:w="3433" w:type="pct"/>
            <w:vMerge w:val="continue"/>
            <w:tcBorders>
              <w:tl2br w:val="nil"/>
              <w:tr2bl w:val="nil"/>
            </w:tcBorders>
            <w:vAlign w:val="center"/>
          </w:tcPr>
          <w:p w14:paraId="1A8DAD17">
            <w:pPr>
              <w:pStyle w:val="240"/>
              <w:rPr>
                <w:rFonts w:hint="default"/>
              </w:rPr>
            </w:pPr>
          </w:p>
        </w:tc>
      </w:tr>
      <w:tr w14:paraId="6661913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2" w:hRule="atLeast"/>
        </w:trPr>
        <w:tc>
          <w:tcPr>
            <w:tcW w:w="394" w:type="pct"/>
            <w:tcBorders>
              <w:tl2br w:val="nil"/>
              <w:tr2bl w:val="nil"/>
            </w:tcBorders>
            <w:vAlign w:val="center"/>
          </w:tcPr>
          <w:p w14:paraId="5EFBCF52">
            <w:pPr>
              <w:pStyle w:val="240"/>
              <w:rPr>
                <w:rFonts w:hint="default"/>
              </w:rPr>
            </w:pPr>
            <w:r>
              <w:t>50</w:t>
            </w:r>
          </w:p>
        </w:tc>
        <w:tc>
          <w:tcPr>
            <w:tcW w:w="1171" w:type="pct"/>
            <w:tcBorders>
              <w:tl2br w:val="nil"/>
              <w:tr2bl w:val="nil"/>
            </w:tcBorders>
            <w:vAlign w:val="center"/>
          </w:tcPr>
          <w:p w14:paraId="7D4D5760">
            <w:pPr>
              <w:pStyle w:val="240"/>
              <w:rPr>
                <w:rFonts w:hint="default"/>
              </w:rPr>
            </w:pPr>
            <w:r>
              <w:t>0</w:t>
            </w:r>
          </w:p>
        </w:tc>
        <w:tc>
          <w:tcPr>
            <w:tcW w:w="3433" w:type="pct"/>
            <w:vMerge w:val="continue"/>
            <w:tcBorders>
              <w:tl2br w:val="nil"/>
              <w:tr2bl w:val="nil"/>
            </w:tcBorders>
            <w:vAlign w:val="center"/>
          </w:tcPr>
          <w:p w14:paraId="1B1DEEDF">
            <w:pPr>
              <w:pStyle w:val="240"/>
              <w:rPr>
                <w:rFonts w:hint="default"/>
              </w:rPr>
            </w:pPr>
          </w:p>
        </w:tc>
      </w:tr>
      <w:tr w14:paraId="5B37CF8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2" w:hRule="atLeast"/>
        </w:trPr>
        <w:tc>
          <w:tcPr>
            <w:tcW w:w="394" w:type="pct"/>
            <w:tcBorders>
              <w:tl2br w:val="nil"/>
              <w:tr2bl w:val="nil"/>
            </w:tcBorders>
            <w:vAlign w:val="center"/>
          </w:tcPr>
          <w:p w14:paraId="480BD6C6">
            <w:pPr>
              <w:pStyle w:val="240"/>
              <w:rPr>
                <w:rFonts w:hint="default"/>
              </w:rPr>
            </w:pPr>
            <w:r>
              <w:t>60</w:t>
            </w:r>
          </w:p>
        </w:tc>
        <w:tc>
          <w:tcPr>
            <w:tcW w:w="1171" w:type="pct"/>
            <w:tcBorders>
              <w:tl2br w:val="nil"/>
              <w:tr2bl w:val="nil"/>
            </w:tcBorders>
            <w:vAlign w:val="center"/>
          </w:tcPr>
          <w:p w14:paraId="093B38D5">
            <w:pPr>
              <w:pStyle w:val="240"/>
              <w:rPr>
                <w:rFonts w:hint="default"/>
              </w:rPr>
            </w:pPr>
            <w:r>
              <w:t>0</w:t>
            </w:r>
          </w:p>
        </w:tc>
        <w:tc>
          <w:tcPr>
            <w:tcW w:w="3433" w:type="pct"/>
            <w:vMerge w:val="continue"/>
            <w:tcBorders>
              <w:tl2br w:val="nil"/>
              <w:tr2bl w:val="nil"/>
            </w:tcBorders>
            <w:vAlign w:val="center"/>
          </w:tcPr>
          <w:p w14:paraId="4000011F">
            <w:pPr>
              <w:pStyle w:val="240"/>
              <w:rPr>
                <w:rFonts w:hint="default"/>
              </w:rPr>
            </w:pPr>
          </w:p>
        </w:tc>
      </w:tr>
      <w:tr w14:paraId="39301FE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2" w:hRule="atLeast"/>
        </w:trPr>
        <w:tc>
          <w:tcPr>
            <w:tcW w:w="394" w:type="pct"/>
            <w:tcBorders>
              <w:tl2br w:val="nil"/>
              <w:tr2bl w:val="nil"/>
            </w:tcBorders>
            <w:vAlign w:val="center"/>
          </w:tcPr>
          <w:p w14:paraId="0720B8D9">
            <w:pPr>
              <w:pStyle w:val="240"/>
              <w:rPr>
                <w:rFonts w:hint="default"/>
              </w:rPr>
            </w:pPr>
            <w:r>
              <w:t>70</w:t>
            </w:r>
          </w:p>
        </w:tc>
        <w:tc>
          <w:tcPr>
            <w:tcW w:w="1171" w:type="pct"/>
            <w:tcBorders>
              <w:tl2br w:val="nil"/>
              <w:tr2bl w:val="nil"/>
            </w:tcBorders>
            <w:vAlign w:val="center"/>
          </w:tcPr>
          <w:p w14:paraId="0D6011A9">
            <w:pPr>
              <w:pStyle w:val="240"/>
              <w:rPr>
                <w:rFonts w:hint="default"/>
              </w:rPr>
            </w:pPr>
            <w:r>
              <w:t>0</w:t>
            </w:r>
          </w:p>
        </w:tc>
        <w:tc>
          <w:tcPr>
            <w:tcW w:w="3433" w:type="pct"/>
            <w:vMerge w:val="continue"/>
            <w:tcBorders>
              <w:tl2br w:val="nil"/>
              <w:tr2bl w:val="nil"/>
            </w:tcBorders>
            <w:vAlign w:val="center"/>
          </w:tcPr>
          <w:p w14:paraId="3992360B">
            <w:pPr>
              <w:pStyle w:val="240"/>
              <w:rPr>
                <w:rFonts w:hint="default"/>
              </w:rPr>
            </w:pPr>
          </w:p>
        </w:tc>
      </w:tr>
      <w:tr w14:paraId="1BF552B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2" w:hRule="atLeast"/>
        </w:trPr>
        <w:tc>
          <w:tcPr>
            <w:tcW w:w="394" w:type="pct"/>
            <w:tcBorders>
              <w:tl2br w:val="nil"/>
              <w:tr2bl w:val="nil"/>
            </w:tcBorders>
            <w:vAlign w:val="center"/>
          </w:tcPr>
          <w:p w14:paraId="0645E8CC">
            <w:pPr>
              <w:pStyle w:val="240"/>
              <w:rPr>
                <w:rFonts w:hint="default"/>
              </w:rPr>
            </w:pPr>
            <w:r>
              <w:t>80</w:t>
            </w:r>
          </w:p>
        </w:tc>
        <w:tc>
          <w:tcPr>
            <w:tcW w:w="1171" w:type="pct"/>
            <w:tcBorders>
              <w:tl2br w:val="nil"/>
              <w:tr2bl w:val="nil"/>
            </w:tcBorders>
            <w:vAlign w:val="center"/>
          </w:tcPr>
          <w:p w14:paraId="43008CD6">
            <w:pPr>
              <w:pStyle w:val="240"/>
              <w:rPr>
                <w:rFonts w:hint="default"/>
              </w:rPr>
            </w:pPr>
            <w:r>
              <w:t>0</w:t>
            </w:r>
          </w:p>
        </w:tc>
        <w:tc>
          <w:tcPr>
            <w:tcW w:w="3433" w:type="pct"/>
            <w:vMerge w:val="continue"/>
            <w:tcBorders>
              <w:tl2br w:val="nil"/>
              <w:tr2bl w:val="nil"/>
            </w:tcBorders>
            <w:vAlign w:val="center"/>
          </w:tcPr>
          <w:p w14:paraId="0727C676">
            <w:pPr>
              <w:pStyle w:val="240"/>
              <w:rPr>
                <w:rFonts w:hint="default"/>
              </w:rPr>
            </w:pPr>
          </w:p>
        </w:tc>
      </w:tr>
      <w:tr w14:paraId="72093A5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2" w:hRule="atLeast"/>
        </w:trPr>
        <w:tc>
          <w:tcPr>
            <w:tcW w:w="394" w:type="pct"/>
            <w:tcBorders>
              <w:tl2br w:val="nil"/>
              <w:tr2bl w:val="nil"/>
            </w:tcBorders>
            <w:vAlign w:val="center"/>
          </w:tcPr>
          <w:p w14:paraId="2D740D81">
            <w:pPr>
              <w:pStyle w:val="240"/>
              <w:rPr>
                <w:rFonts w:hint="default"/>
              </w:rPr>
            </w:pPr>
            <w:r>
              <w:t>90</w:t>
            </w:r>
          </w:p>
        </w:tc>
        <w:tc>
          <w:tcPr>
            <w:tcW w:w="1171" w:type="pct"/>
            <w:tcBorders>
              <w:tl2br w:val="nil"/>
              <w:tr2bl w:val="nil"/>
            </w:tcBorders>
            <w:vAlign w:val="center"/>
          </w:tcPr>
          <w:p w14:paraId="5836D678">
            <w:pPr>
              <w:pStyle w:val="240"/>
              <w:rPr>
                <w:rFonts w:hint="default"/>
              </w:rPr>
            </w:pPr>
            <w:r>
              <w:t>0</w:t>
            </w:r>
          </w:p>
        </w:tc>
        <w:tc>
          <w:tcPr>
            <w:tcW w:w="3433" w:type="pct"/>
            <w:vMerge w:val="continue"/>
            <w:tcBorders>
              <w:tl2br w:val="nil"/>
              <w:tr2bl w:val="nil"/>
            </w:tcBorders>
            <w:vAlign w:val="center"/>
          </w:tcPr>
          <w:p w14:paraId="4ACE93CF">
            <w:pPr>
              <w:pStyle w:val="240"/>
              <w:rPr>
                <w:rFonts w:hint="default"/>
              </w:rPr>
            </w:pPr>
          </w:p>
        </w:tc>
      </w:tr>
      <w:tr w14:paraId="7DDE193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2" w:hRule="atLeast"/>
        </w:trPr>
        <w:tc>
          <w:tcPr>
            <w:tcW w:w="394" w:type="pct"/>
            <w:tcBorders>
              <w:tl2br w:val="nil"/>
              <w:tr2bl w:val="nil"/>
            </w:tcBorders>
            <w:vAlign w:val="center"/>
          </w:tcPr>
          <w:p w14:paraId="6710537A">
            <w:pPr>
              <w:pStyle w:val="240"/>
              <w:rPr>
                <w:rFonts w:hint="default"/>
              </w:rPr>
            </w:pPr>
            <w:r>
              <w:t>100</w:t>
            </w:r>
          </w:p>
        </w:tc>
        <w:tc>
          <w:tcPr>
            <w:tcW w:w="1171" w:type="pct"/>
            <w:tcBorders>
              <w:tl2br w:val="nil"/>
              <w:tr2bl w:val="nil"/>
            </w:tcBorders>
            <w:vAlign w:val="center"/>
          </w:tcPr>
          <w:p w14:paraId="785F65EE">
            <w:pPr>
              <w:pStyle w:val="240"/>
              <w:rPr>
                <w:rFonts w:hint="default"/>
              </w:rPr>
            </w:pPr>
            <w:r>
              <w:t>0</w:t>
            </w:r>
          </w:p>
        </w:tc>
        <w:tc>
          <w:tcPr>
            <w:tcW w:w="3433" w:type="pct"/>
            <w:vMerge w:val="continue"/>
            <w:tcBorders>
              <w:tl2br w:val="nil"/>
              <w:tr2bl w:val="nil"/>
            </w:tcBorders>
            <w:vAlign w:val="center"/>
          </w:tcPr>
          <w:p w14:paraId="7ED649E7">
            <w:pPr>
              <w:pStyle w:val="240"/>
              <w:rPr>
                <w:rFonts w:hint="default"/>
              </w:rPr>
            </w:pPr>
          </w:p>
        </w:tc>
      </w:tr>
      <w:tr w14:paraId="24D4216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2" w:hRule="atLeast"/>
        </w:trPr>
        <w:tc>
          <w:tcPr>
            <w:tcW w:w="394" w:type="pct"/>
            <w:tcBorders>
              <w:tl2br w:val="nil"/>
              <w:tr2bl w:val="nil"/>
            </w:tcBorders>
            <w:vAlign w:val="center"/>
          </w:tcPr>
          <w:p w14:paraId="4C7ABF14">
            <w:pPr>
              <w:pStyle w:val="240"/>
              <w:rPr>
                <w:rFonts w:hint="default"/>
              </w:rPr>
            </w:pPr>
            <w:r>
              <w:t>200</w:t>
            </w:r>
          </w:p>
        </w:tc>
        <w:tc>
          <w:tcPr>
            <w:tcW w:w="1171" w:type="pct"/>
            <w:tcBorders>
              <w:tl2br w:val="nil"/>
              <w:tr2bl w:val="nil"/>
            </w:tcBorders>
            <w:vAlign w:val="center"/>
          </w:tcPr>
          <w:p w14:paraId="1C014998">
            <w:pPr>
              <w:pStyle w:val="240"/>
              <w:rPr>
                <w:rFonts w:hint="default"/>
              </w:rPr>
            </w:pPr>
            <w:r>
              <w:t>0</w:t>
            </w:r>
          </w:p>
        </w:tc>
        <w:tc>
          <w:tcPr>
            <w:tcW w:w="3433" w:type="pct"/>
            <w:vMerge w:val="continue"/>
            <w:tcBorders>
              <w:tl2br w:val="nil"/>
              <w:tr2bl w:val="nil"/>
            </w:tcBorders>
            <w:vAlign w:val="center"/>
          </w:tcPr>
          <w:p w14:paraId="78711233">
            <w:pPr>
              <w:pStyle w:val="240"/>
              <w:rPr>
                <w:rFonts w:hint="default"/>
              </w:rPr>
            </w:pPr>
          </w:p>
        </w:tc>
      </w:tr>
      <w:tr w14:paraId="34B242E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394" w:type="pct"/>
            <w:tcBorders>
              <w:tl2br w:val="nil"/>
              <w:tr2bl w:val="nil"/>
            </w:tcBorders>
            <w:vAlign w:val="center"/>
          </w:tcPr>
          <w:p w14:paraId="7911E4B2">
            <w:pPr>
              <w:pStyle w:val="240"/>
              <w:rPr>
                <w:rFonts w:hint="default"/>
              </w:rPr>
            </w:pPr>
            <w:r>
              <w:t>X</w:t>
            </w:r>
          </w:p>
        </w:tc>
        <w:tc>
          <w:tcPr>
            <w:tcW w:w="1171" w:type="pct"/>
            <w:tcBorders>
              <w:tl2br w:val="nil"/>
              <w:tr2bl w:val="nil"/>
            </w:tcBorders>
            <w:vAlign w:val="center"/>
          </w:tcPr>
          <w:p w14:paraId="3E7F8C08">
            <w:pPr>
              <w:pStyle w:val="240"/>
              <w:rPr>
                <w:rFonts w:hint="default"/>
              </w:rPr>
            </w:pPr>
            <w:r>
              <w:t>耗氧量（以COD计）mg/L</w:t>
            </w:r>
          </w:p>
        </w:tc>
        <w:tc>
          <w:tcPr>
            <w:tcW w:w="3433" w:type="pct"/>
            <w:tcBorders>
              <w:tl2br w:val="nil"/>
              <w:tr2bl w:val="nil"/>
            </w:tcBorders>
            <w:vAlign w:val="center"/>
          </w:tcPr>
          <w:p w14:paraId="3E2BE30D">
            <w:pPr>
              <w:pStyle w:val="240"/>
              <w:rPr>
                <w:rFonts w:hint="default"/>
              </w:rPr>
            </w:pPr>
            <w:r>
              <w:rPr>
                <w:rFonts w:hint="eastAsia"/>
                <w:lang w:eastAsia="zh-CN"/>
              </w:rPr>
              <w:t>泄漏</w:t>
            </w:r>
            <w:r>
              <w:t>1000d预测结果图</w:t>
            </w:r>
          </w:p>
        </w:tc>
      </w:tr>
      <w:tr w14:paraId="0049E75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394" w:type="pct"/>
            <w:tcBorders>
              <w:tl2br w:val="nil"/>
              <w:tr2bl w:val="nil"/>
            </w:tcBorders>
            <w:vAlign w:val="center"/>
          </w:tcPr>
          <w:p w14:paraId="35BCDE26">
            <w:pPr>
              <w:pStyle w:val="240"/>
              <w:rPr>
                <w:rFonts w:hint="default"/>
              </w:rPr>
            </w:pPr>
            <w:r>
              <w:t>100</w:t>
            </w:r>
          </w:p>
        </w:tc>
        <w:tc>
          <w:tcPr>
            <w:tcW w:w="1171" w:type="pct"/>
            <w:tcBorders>
              <w:tl2br w:val="nil"/>
              <w:tr2bl w:val="nil"/>
            </w:tcBorders>
            <w:vAlign w:val="center"/>
          </w:tcPr>
          <w:p w14:paraId="29A32FEC">
            <w:pPr>
              <w:pStyle w:val="240"/>
              <w:rPr>
                <w:rFonts w:hint="default"/>
              </w:rPr>
            </w:pPr>
            <w:r>
              <w:t>2.662467E-43</w:t>
            </w:r>
          </w:p>
        </w:tc>
        <w:tc>
          <w:tcPr>
            <w:tcW w:w="3433" w:type="pct"/>
            <w:vMerge w:val="restart"/>
            <w:tcBorders>
              <w:tl2br w:val="nil"/>
              <w:tr2bl w:val="nil"/>
            </w:tcBorders>
            <w:vAlign w:val="center"/>
          </w:tcPr>
          <w:p w14:paraId="74723B96">
            <w:pPr>
              <w:pStyle w:val="240"/>
              <w:rPr>
                <w:rFonts w:hint="default"/>
              </w:rPr>
            </w:pPr>
            <w:r>
              <w:drawing>
                <wp:inline distT="0" distB="0" distL="114300" distR="114300">
                  <wp:extent cx="3567430" cy="1715770"/>
                  <wp:effectExtent l="0" t="0" r="0" b="0"/>
                  <wp:docPr id="14"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2"/>
                          <pic:cNvPicPr>
                            <a:picLocks noChangeAspect="1"/>
                          </pic:cNvPicPr>
                        </pic:nvPicPr>
                        <pic:blipFill>
                          <a:blip r:embed="rId36"/>
                          <a:stretch>
                            <a:fillRect/>
                          </a:stretch>
                        </pic:blipFill>
                        <pic:spPr>
                          <a:xfrm>
                            <a:off x="0" y="0"/>
                            <a:ext cx="3570380" cy="1717544"/>
                          </a:xfrm>
                          <a:prstGeom prst="rect">
                            <a:avLst/>
                          </a:prstGeom>
                          <a:noFill/>
                          <a:ln>
                            <a:noFill/>
                          </a:ln>
                        </pic:spPr>
                      </pic:pic>
                    </a:graphicData>
                  </a:graphic>
                </wp:inline>
              </w:drawing>
            </w:r>
            <w:r>
              <w:t>时间T=1000天时，预测结果如下：</w:t>
            </w:r>
          </w:p>
          <w:p w14:paraId="5D64D4F0">
            <w:pPr>
              <w:pStyle w:val="240"/>
              <w:rPr>
                <w:rFonts w:hint="default"/>
              </w:rPr>
            </w:pPr>
            <w:r>
              <w:t>耗氧量（以COD计）预测的最大值为0.1667105mg/L，预测结果均未超标，且预测结果均低于检出限。</w:t>
            </w:r>
          </w:p>
        </w:tc>
      </w:tr>
      <w:tr w14:paraId="3126379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2" w:hRule="atLeast"/>
        </w:trPr>
        <w:tc>
          <w:tcPr>
            <w:tcW w:w="394" w:type="pct"/>
            <w:tcBorders>
              <w:tl2br w:val="nil"/>
              <w:tr2bl w:val="nil"/>
            </w:tcBorders>
            <w:vAlign w:val="center"/>
          </w:tcPr>
          <w:p w14:paraId="2E3B9FA9">
            <w:pPr>
              <w:pStyle w:val="240"/>
              <w:rPr>
                <w:rFonts w:hint="default"/>
              </w:rPr>
            </w:pPr>
            <w:r>
              <w:t>250</w:t>
            </w:r>
          </w:p>
        </w:tc>
        <w:tc>
          <w:tcPr>
            <w:tcW w:w="1171" w:type="pct"/>
            <w:tcBorders>
              <w:tl2br w:val="nil"/>
              <w:tr2bl w:val="nil"/>
            </w:tcBorders>
            <w:vAlign w:val="center"/>
          </w:tcPr>
          <w:p w14:paraId="4068E7B2">
            <w:pPr>
              <w:pStyle w:val="240"/>
              <w:rPr>
                <w:rFonts w:hint="default"/>
              </w:rPr>
            </w:pPr>
            <w:r>
              <w:t>0</w:t>
            </w:r>
          </w:p>
        </w:tc>
        <w:tc>
          <w:tcPr>
            <w:tcW w:w="3433" w:type="pct"/>
            <w:vMerge w:val="continue"/>
            <w:tcBorders>
              <w:tl2br w:val="nil"/>
              <w:tr2bl w:val="nil"/>
            </w:tcBorders>
            <w:vAlign w:val="center"/>
          </w:tcPr>
          <w:p w14:paraId="138D5C9A">
            <w:pPr>
              <w:pStyle w:val="240"/>
              <w:rPr>
                <w:rFonts w:hint="default"/>
              </w:rPr>
            </w:pPr>
          </w:p>
        </w:tc>
      </w:tr>
      <w:tr w14:paraId="55E3DA8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2" w:hRule="atLeast"/>
        </w:trPr>
        <w:tc>
          <w:tcPr>
            <w:tcW w:w="394" w:type="pct"/>
            <w:tcBorders>
              <w:tl2br w:val="nil"/>
              <w:tr2bl w:val="nil"/>
            </w:tcBorders>
            <w:vAlign w:val="center"/>
          </w:tcPr>
          <w:p w14:paraId="223080AB">
            <w:pPr>
              <w:pStyle w:val="240"/>
              <w:rPr>
                <w:rFonts w:hint="default"/>
              </w:rPr>
            </w:pPr>
            <w:r>
              <w:t>260</w:t>
            </w:r>
          </w:p>
        </w:tc>
        <w:tc>
          <w:tcPr>
            <w:tcW w:w="1171" w:type="pct"/>
            <w:tcBorders>
              <w:tl2br w:val="nil"/>
              <w:tr2bl w:val="nil"/>
            </w:tcBorders>
            <w:vAlign w:val="center"/>
          </w:tcPr>
          <w:p w14:paraId="39C4D28C">
            <w:pPr>
              <w:pStyle w:val="240"/>
              <w:rPr>
                <w:rFonts w:hint="default"/>
              </w:rPr>
            </w:pPr>
            <w:r>
              <w:t>0</w:t>
            </w:r>
          </w:p>
        </w:tc>
        <w:tc>
          <w:tcPr>
            <w:tcW w:w="3433" w:type="pct"/>
            <w:vMerge w:val="continue"/>
            <w:tcBorders>
              <w:tl2br w:val="nil"/>
              <w:tr2bl w:val="nil"/>
            </w:tcBorders>
            <w:vAlign w:val="center"/>
          </w:tcPr>
          <w:p w14:paraId="4ECE2810">
            <w:pPr>
              <w:pStyle w:val="240"/>
              <w:rPr>
                <w:rFonts w:hint="default"/>
              </w:rPr>
            </w:pPr>
          </w:p>
        </w:tc>
      </w:tr>
      <w:tr w14:paraId="5B52800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2" w:hRule="atLeast"/>
        </w:trPr>
        <w:tc>
          <w:tcPr>
            <w:tcW w:w="394" w:type="pct"/>
            <w:tcBorders>
              <w:tl2br w:val="nil"/>
              <w:tr2bl w:val="nil"/>
            </w:tcBorders>
            <w:vAlign w:val="center"/>
          </w:tcPr>
          <w:p w14:paraId="214382C0">
            <w:pPr>
              <w:pStyle w:val="240"/>
              <w:rPr>
                <w:rFonts w:hint="default"/>
              </w:rPr>
            </w:pPr>
            <w:r>
              <w:t>270</w:t>
            </w:r>
          </w:p>
        </w:tc>
        <w:tc>
          <w:tcPr>
            <w:tcW w:w="1171" w:type="pct"/>
            <w:tcBorders>
              <w:tl2br w:val="nil"/>
              <w:tr2bl w:val="nil"/>
            </w:tcBorders>
            <w:vAlign w:val="center"/>
          </w:tcPr>
          <w:p w14:paraId="35FBD671">
            <w:pPr>
              <w:pStyle w:val="240"/>
              <w:rPr>
                <w:rFonts w:hint="default"/>
              </w:rPr>
            </w:pPr>
            <w:r>
              <w:t>0</w:t>
            </w:r>
          </w:p>
        </w:tc>
        <w:tc>
          <w:tcPr>
            <w:tcW w:w="3433" w:type="pct"/>
            <w:vMerge w:val="continue"/>
            <w:tcBorders>
              <w:tl2br w:val="nil"/>
              <w:tr2bl w:val="nil"/>
            </w:tcBorders>
            <w:vAlign w:val="center"/>
          </w:tcPr>
          <w:p w14:paraId="195E8CF6">
            <w:pPr>
              <w:pStyle w:val="240"/>
              <w:rPr>
                <w:rFonts w:hint="default"/>
              </w:rPr>
            </w:pPr>
          </w:p>
        </w:tc>
      </w:tr>
      <w:tr w14:paraId="4041718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2" w:hRule="atLeast"/>
        </w:trPr>
        <w:tc>
          <w:tcPr>
            <w:tcW w:w="394" w:type="pct"/>
            <w:tcBorders>
              <w:tl2br w:val="nil"/>
              <w:tr2bl w:val="nil"/>
            </w:tcBorders>
            <w:vAlign w:val="center"/>
          </w:tcPr>
          <w:p w14:paraId="07064B09">
            <w:pPr>
              <w:pStyle w:val="240"/>
              <w:rPr>
                <w:rFonts w:hint="default"/>
              </w:rPr>
            </w:pPr>
            <w:r>
              <w:t>280</w:t>
            </w:r>
          </w:p>
        </w:tc>
        <w:tc>
          <w:tcPr>
            <w:tcW w:w="1171" w:type="pct"/>
            <w:tcBorders>
              <w:tl2br w:val="nil"/>
              <w:tr2bl w:val="nil"/>
            </w:tcBorders>
            <w:vAlign w:val="center"/>
          </w:tcPr>
          <w:p w14:paraId="17795E7B">
            <w:pPr>
              <w:pStyle w:val="240"/>
              <w:rPr>
                <w:rFonts w:hint="default"/>
              </w:rPr>
            </w:pPr>
            <w:r>
              <w:t>0</w:t>
            </w:r>
          </w:p>
        </w:tc>
        <w:tc>
          <w:tcPr>
            <w:tcW w:w="3433" w:type="pct"/>
            <w:vMerge w:val="continue"/>
            <w:tcBorders>
              <w:tl2br w:val="nil"/>
              <w:tr2bl w:val="nil"/>
            </w:tcBorders>
            <w:vAlign w:val="center"/>
          </w:tcPr>
          <w:p w14:paraId="262A4FBB">
            <w:pPr>
              <w:pStyle w:val="240"/>
              <w:rPr>
                <w:rFonts w:hint="default"/>
              </w:rPr>
            </w:pPr>
          </w:p>
        </w:tc>
      </w:tr>
      <w:tr w14:paraId="44B5448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2" w:hRule="atLeast"/>
        </w:trPr>
        <w:tc>
          <w:tcPr>
            <w:tcW w:w="394" w:type="pct"/>
            <w:tcBorders>
              <w:tl2br w:val="nil"/>
              <w:tr2bl w:val="nil"/>
            </w:tcBorders>
            <w:vAlign w:val="center"/>
          </w:tcPr>
          <w:p w14:paraId="29AC4106">
            <w:pPr>
              <w:pStyle w:val="240"/>
              <w:rPr>
                <w:rFonts w:hint="default"/>
              </w:rPr>
            </w:pPr>
            <w:r>
              <w:t>290</w:t>
            </w:r>
          </w:p>
        </w:tc>
        <w:tc>
          <w:tcPr>
            <w:tcW w:w="1171" w:type="pct"/>
            <w:tcBorders>
              <w:tl2br w:val="nil"/>
              <w:tr2bl w:val="nil"/>
            </w:tcBorders>
            <w:vAlign w:val="center"/>
          </w:tcPr>
          <w:p w14:paraId="504750E1">
            <w:pPr>
              <w:pStyle w:val="240"/>
              <w:rPr>
                <w:rFonts w:hint="default"/>
              </w:rPr>
            </w:pPr>
            <w:r>
              <w:t>0</w:t>
            </w:r>
          </w:p>
        </w:tc>
        <w:tc>
          <w:tcPr>
            <w:tcW w:w="3433" w:type="pct"/>
            <w:vMerge w:val="continue"/>
            <w:tcBorders>
              <w:tl2br w:val="nil"/>
              <w:tr2bl w:val="nil"/>
            </w:tcBorders>
            <w:vAlign w:val="center"/>
          </w:tcPr>
          <w:p w14:paraId="5AF6AF70">
            <w:pPr>
              <w:pStyle w:val="240"/>
              <w:rPr>
                <w:rFonts w:hint="default"/>
              </w:rPr>
            </w:pPr>
          </w:p>
        </w:tc>
      </w:tr>
      <w:tr w14:paraId="6AD9749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2" w:hRule="atLeast"/>
        </w:trPr>
        <w:tc>
          <w:tcPr>
            <w:tcW w:w="394" w:type="pct"/>
            <w:tcBorders>
              <w:tl2br w:val="nil"/>
              <w:tr2bl w:val="nil"/>
            </w:tcBorders>
            <w:vAlign w:val="center"/>
          </w:tcPr>
          <w:p w14:paraId="791233D9">
            <w:pPr>
              <w:pStyle w:val="240"/>
              <w:rPr>
                <w:rFonts w:hint="default"/>
              </w:rPr>
            </w:pPr>
            <w:r>
              <w:t>300</w:t>
            </w:r>
          </w:p>
        </w:tc>
        <w:tc>
          <w:tcPr>
            <w:tcW w:w="1171" w:type="pct"/>
            <w:tcBorders>
              <w:tl2br w:val="nil"/>
              <w:tr2bl w:val="nil"/>
            </w:tcBorders>
            <w:vAlign w:val="center"/>
          </w:tcPr>
          <w:p w14:paraId="4A5BF901">
            <w:pPr>
              <w:pStyle w:val="240"/>
              <w:rPr>
                <w:rFonts w:hint="default"/>
              </w:rPr>
            </w:pPr>
            <w:r>
              <w:t>0</w:t>
            </w:r>
          </w:p>
        </w:tc>
        <w:tc>
          <w:tcPr>
            <w:tcW w:w="3433" w:type="pct"/>
            <w:vMerge w:val="continue"/>
            <w:tcBorders>
              <w:tl2br w:val="nil"/>
              <w:tr2bl w:val="nil"/>
            </w:tcBorders>
            <w:vAlign w:val="center"/>
          </w:tcPr>
          <w:p w14:paraId="456C67DD">
            <w:pPr>
              <w:pStyle w:val="240"/>
              <w:rPr>
                <w:rFonts w:hint="default"/>
              </w:rPr>
            </w:pPr>
          </w:p>
        </w:tc>
      </w:tr>
      <w:tr w14:paraId="3D5A8AB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2" w:hRule="atLeast"/>
        </w:trPr>
        <w:tc>
          <w:tcPr>
            <w:tcW w:w="394" w:type="pct"/>
            <w:tcBorders>
              <w:tl2br w:val="nil"/>
              <w:tr2bl w:val="nil"/>
            </w:tcBorders>
            <w:vAlign w:val="center"/>
          </w:tcPr>
          <w:p w14:paraId="335A562A">
            <w:pPr>
              <w:pStyle w:val="240"/>
              <w:rPr>
                <w:rFonts w:hint="default"/>
              </w:rPr>
            </w:pPr>
            <w:r>
              <w:t>310</w:t>
            </w:r>
          </w:p>
        </w:tc>
        <w:tc>
          <w:tcPr>
            <w:tcW w:w="1171" w:type="pct"/>
            <w:tcBorders>
              <w:tl2br w:val="nil"/>
              <w:tr2bl w:val="nil"/>
            </w:tcBorders>
            <w:vAlign w:val="center"/>
          </w:tcPr>
          <w:p w14:paraId="2BA8619A">
            <w:pPr>
              <w:pStyle w:val="240"/>
              <w:rPr>
                <w:rFonts w:hint="default"/>
              </w:rPr>
            </w:pPr>
            <w:r>
              <w:t>0</w:t>
            </w:r>
          </w:p>
        </w:tc>
        <w:tc>
          <w:tcPr>
            <w:tcW w:w="3433" w:type="pct"/>
            <w:vMerge w:val="continue"/>
            <w:tcBorders>
              <w:tl2br w:val="nil"/>
              <w:tr2bl w:val="nil"/>
            </w:tcBorders>
            <w:vAlign w:val="center"/>
          </w:tcPr>
          <w:p w14:paraId="75B50A56">
            <w:pPr>
              <w:pStyle w:val="240"/>
              <w:rPr>
                <w:rFonts w:hint="default"/>
              </w:rPr>
            </w:pPr>
          </w:p>
        </w:tc>
      </w:tr>
      <w:tr w14:paraId="0D7352C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2" w:hRule="atLeast"/>
        </w:trPr>
        <w:tc>
          <w:tcPr>
            <w:tcW w:w="394" w:type="pct"/>
            <w:tcBorders>
              <w:tl2br w:val="nil"/>
              <w:tr2bl w:val="nil"/>
            </w:tcBorders>
            <w:vAlign w:val="center"/>
          </w:tcPr>
          <w:p w14:paraId="55876F1B">
            <w:pPr>
              <w:pStyle w:val="240"/>
              <w:rPr>
                <w:rFonts w:hint="default"/>
              </w:rPr>
            </w:pPr>
            <w:r>
              <w:t>320</w:t>
            </w:r>
          </w:p>
        </w:tc>
        <w:tc>
          <w:tcPr>
            <w:tcW w:w="1171" w:type="pct"/>
            <w:tcBorders>
              <w:tl2br w:val="nil"/>
              <w:tr2bl w:val="nil"/>
            </w:tcBorders>
            <w:vAlign w:val="center"/>
          </w:tcPr>
          <w:p w14:paraId="47BE5199">
            <w:pPr>
              <w:pStyle w:val="240"/>
              <w:rPr>
                <w:rFonts w:hint="default"/>
              </w:rPr>
            </w:pPr>
            <w:r>
              <w:t>0</w:t>
            </w:r>
          </w:p>
        </w:tc>
        <w:tc>
          <w:tcPr>
            <w:tcW w:w="3433" w:type="pct"/>
            <w:vMerge w:val="continue"/>
            <w:tcBorders>
              <w:tl2br w:val="nil"/>
              <w:tr2bl w:val="nil"/>
            </w:tcBorders>
            <w:vAlign w:val="center"/>
          </w:tcPr>
          <w:p w14:paraId="6B4D3EE9">
            <w:pPr>
              <w:pStyle w:val="240"/>
              <w:rPr>
                <w:rFonts w:hint="default"/>
              </w:rPr>
            </w:pPr>
          </w:p>
        </w:tc>
      </w:tr>
      <w:tr w14:paraId="1242044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2" w:hRule="atLeast"/>
        </w:trPr>
        <w:tc>
          <w:tcPr>
            <w:tcW w:w="394" w:type="pct"/>
            <w:tcBorders>
              <w:tl2br w:val="nil"/>
              <w:tr2bl w:val="nil"/>
            </w:tcBorders>
            <w:vAlign w:val="center"/>
          </w:tcPr>
          <w:p w14:paraId="1C3C5A84">
            <w:pPr>
              <w:pStyle w:val="240"/>
              <w:rPr>
                <w:rFonts w:hint="default"/>
              </w:rPr>
            </w:pPr>
            <w:r>
              <w:t>330</w:t>
            </w:r>
          </w:p>
        </w:tc>
        <w:tc>
          <w:tcPr>
            <w:tcW w:w="1171" w:type="pct"/>
            <w:tcBorders>
              <w:tl2br w:val="nil"/>
              <w:tr2bl w:val="nil"/>
            </w:tcBorders>
            <w:vAlign w:val="center"/>
          </w:tcPr>
          <w:p w14:paraId="52693DD6">
            <w:pPr>
              <w:pStyle w:val="240"/>
              <w:rPr>
                <w:rFonts w:hint="default"/>
              </w:rPr>
            </w:pPr>
            <w:r>
              <w:t>0</w:t>
            </w:r>
          </w:p>
        </w:tc>
        <w:tc>
          <w:tcPr>
            <w:tcW w:w="3433" w:type="pct"/>
            <w:vMerge w:val="continue"/>
            <w:tcBorders>
              <w:tl2br w:val="nil"/>
              <w:tr2bl w:val="nil"/>
            </w:tcBorders>
            <w:vAlign w:val="center"/>
          </w:tcPr>
          <w:p w14:paraId="2A762A50">
            <w:pPr>
              <w:pStyle w:val="240"/>
              <w:rPr>
                <w:rFonts w:hint="default"/>
              </w:rPr>
            </w:pPr>
          </w:p>
        </w:tc>
      </w:tr>
      <w:tr w14:paraId="39E839D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2" w:hRule="atLeast"/>
        </w:trPr>
        <w:tc>
          <w:tcPr>
            <w:tcW w:w="394" w:type="pct"/>
            <w:tcBorders>
              <w:tl2br w:val="nil"/>
              <w:tr2bl w:val="nil"/>
            </w:tcBorders>
            <w:vAlign w:val="center"/>
          </w:tcPr>
          <w:p w14:paraId="09ABAB28">
            <w:pPr>
              <w:pStyle w:val="240"/>
              <w:rPr>
                <w:rFonts w:hint="default"/>
              </w:rPr>
            </w:pPr>
            <w:r>
              <w:t>340</w:t>
            </w:r>
          </w:p>
        </w:tc>
        <w:tc>
          <w:tcPr>
            <w:tcW w:w="1171" w:type="pct"/>
            <w:tcBorders>
              <w:tl2br w:val="nil"/>
              <w:tr2bl w:val="nil"/>
            </w:tcBorders>
            <w:vAlign w:val="center"/>
          </w:tcPr>
          <w:p w14:paraId="19D1E551">
            <w:pPr>
              <w:pStyle w:val="240"/>
              <w:rPr>
                <w:rFonts w:hint="default"/>
              </w:rPr>
            </w:pPr>
            <w:r>
              <w:t>0</w:t>
            </w:r>
          </w:p>
        </w:tc>
        <w:tc>
          <w:tcPr>
            <w:tcW w:w="3433" w:type="pct"/>
            <w:vMerge w:val="continue"/>
            <w:tcBorders>
              <w:tl2br w:val="nil"/>
              <w:tr2bl w:val="nil"/>
            </w:tcBorders>
            <w:vAlign w:val="center"/>
          </w:tcPr>
          <w:p w14:paraId="2457085A">
            <w:pPr>
              <w:pStyle w:val="240"/>
              <w:rPr>
                <w:rFonts w:hint="default"/>
              </w:rPr>
            </w:pPr>
          </w:p>
        </w:tc>
      </w:tr>
      <w:tr w14:paraId="24237B6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2" w:hRule="atLeast"/>
        </w:trPr>
        <w:tc>
          <w:tcPr>
            <w:tcW w:w="394" w:type="pct"/>
            <w:tcBorders>
              <w:tl2br w:val="nil"/>
              <w:tr2bl w:val="nil"/>
            </w:tcBorders>
            <w:vAlign w:val="center"/>
          </w:tcPr>
          <w:p w14:paraId="1CFEC797">
            <w:pPr>
              <w:pStyle w:val="240"/>
              <w:rPr>
                <w:rFonts w:hint="default"/>
              </w:rPr>
            </w:pPr>
            <w:r>
              <w:t>350</w:t>
            </w:r>
          </w:p>
        </w:tc>
        <w:tc>
          <w:tcPr>
            <w:tcW w:w="1171" w:type="pct"/>
            <w:tcBorders>
              <w:tl2br w:val="nil"/>
              <w:tr2bl w:val="nil"/>
            </w:tcBorders>
            <w:vAlign w:val="center"/>
          </w:tcPr>
          <w:p w14:paraId="753BBC53">
            <w:pPr>
              <w:pStyle w:val="240"/>
              <w:rPr>
                <w:rFonts w:hint="default"/>
              </w:rPr>
            </w:pPr>
            <w:r>
              <w:t>0</w:t>
            </w:r>
          </w:p>
        </w:tc>
        <w:tc>
          <w:tcPr>
            <w:tcW w:w="3433" w:type="pct"/>
            <w:vMerge w:val="continue"/>
            <w:tcBorders>
              <w:tl2br w:val="nil"/>
              <w:tr2bl w:val="nil"/>
            </w:tcBorders>
            <w:vAlign w:val="center"/>
          </w:tcPr>
          <w:p w14:paraId="0FB4BF81">
            <w:pPr>
              <w:pStyle w:val="240"/>
              <w:rPr>
                <w:rFonts w:hint="default"/>
              </w:rPr>
            </w:pPr>
          </w:p>
        </w:tc>
      </w:tr>
      <w:tr w14:paraId="2A43091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2" w:hRule="atLeast"/>
        </w:trPr>
        <w:tc>
          <w:tcPr>
            <w:tcW w:w="394" w:type="pct"/>
            <w:tcBorders>
              <w:tl2br w:val="nil"/>
              <w:tr2bl w:val="nil"/>
            </w:tcBorders>
            <w:vAlign w:val="center"/>
          </w:tcPr>
          <w:p w14:paraId="0040DE9B">
            <w:pPr>
              <w:pStyle w:val="240"/>
              <w:rPr>
                <w:rFonts w:hint="default"/>
              </w:rPr>
            </w:pPr>
            <w:r>
              <w:t>400</w:t>
            </w:r>
          </w:p>
        </w:tc>
        <w:tc>
          <w:tcPr>
            <w:tcW w:w="1171" w:type="pct"/>
            <w:tcBorders>
              <w:tl2br w:val="nil"/>
              <w:tr2bl w:val="nil"/>
            </w:tcBorders>
            <w:vAlign w:val="center"/>
          </w:tcPr>
          <w:p w14:paraId="53A893C9">
            <w:pPr>
              <w:pStyle w:val="240"/>
              <w:rPr>
                <w:rFonts w:hint="default"/>
              </w:rPr>
            </w:pPr>
            <w:r>
              <w:t>0</w:t>
            </w:r>
          </w:p>
        </w:tc>
        <w:tc>
          <w:tcPr>
            <w:tcW w:w="3433" w:type="pct"/>
            <w:vMerge w:val="continue"/>
            <w:tcBorders>
              <w:tl2br w:val="nil"/>
              <w:tr2bl w:val="nil"/>
            </w:tcBorders>
            <w:vAlign w:val="center"/>
          </w:tcPr>
          <w:p w14:paraId="053A57B2">
            <w:pPr>
              <w:pStyle w:val="240"/>
              <w:rPr>
                <w:rFonts w:hint="default"/>
              </w:rPr>
            </w:pPr>
          </w:p>
        </w:tc>
      </w:tr>
      <w:tr w14:paraId="3B6B4DB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2" w:hRule="atLeast"/>
        </w:trPr>
        <w:tc>
          <w:tcPr>
            <w:tcW w:w="394" w:type="pct"/>
            <w:tcBorders>
              <w:tl2br w:val="nil"/>
              <w:tr2bl w:val="nil"/>
            </w:tcBorders>
            <w:vAlign w:val="center"/>
          </w:tcPr>
          <w:p w14:paraId="68C00DB1">
            <w:pPr>
              <w:pStyle w:val="240"/>
              <w:rPr>
                <w:rFonts w:hint="default"/>
              </w:rPr>
            </w:pPr>
            <w:r>
              <w:t>500</w:t>
            </w:r>
          </w:p>
        </w:tc>
        <w:tc>
          <w:tcPr>
            <w:tcW w:w="1171" w:type="pct"/>
            <w:tcBorders>
              <w:tl2br w:val="nil"/>
              <w:tr2bl w:val="nil"/>
            </w:tcBorders>
            <w:vAlign w:val="center"/>
          </w:tcPr>
          <w:p w14:paraId="2ADA3FCE">
            <w:pPr>
              <w:pStyle w:val="240"/>
              <w:rPr>
                <w:rFonts w:hint="default"/>
              </w:rPr>
            </w:pPr>
            <w:r>
              <w:t>0</w:t>
            </w:r>
          </w:p>
        </w:tc>
        <w:tc>
          <w:tcPr>
            <w:tcW w:w="3433" w:type="pct"/>
            <w:vMerge w:val="continue"/>
            <w:tcBorders>
              <w:tl2br w:val="nil"/>
              <w:tr2bl w:val="nil"/>
            </w:tcBorders>
            <w:vAlign w:val="center"/>
          </w:tcPr>
          <w:p w14:paraId="11CE8905">
            <w:pPr>
              <w:pStyle w:val="240"/>
              <w:rPr>
                <w:rFonts w:hint="default"/>
              </w:rPr>
            </w:pPr>
          </w:p>
        </w:tc>
      </w:tr>
      <w:tr w14:paraId="65140C7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2" w:hRule="atLeast"/>
        </w:trPr>
        <w:tc>
          <w:tcPr>
            <w:tcW w:w="394" w:type="pct"/>
            <w:tcBorders>
              <w:tl2br w:val="nil"/>
              <w:tr2bl w:val="nil"/>
            </w:tcBorders>
            <w:vAlign w:val="center"/>
          </w:tcPr>
          <w:p w14:paraId="1E9181EF">
            <w:pPr>
              <w:pStyle w:val="240"/>
              <w:rPr>
                <w:rFonts w:hint="default"/>
              </w:rPr>
            </w:pPr>
            <w:r>
              <w:t>1000</w:t>
            </w:r>
          </w:p>
        </w:tc>
        <w:tc>
          <w:tcPr>
            <w:tcW w:w="1171" w:type="pct"/>
            <w:tcBorders>
              <w:tl2br w:val="nil"/>
              <w:tr2bl w:val="nil"/>
            </w:tcBorders>
            <w:vAlign w:val="center"/>
          </w:tcPr>
          <w:p w14:paraId="4F326B7D">
            <w:pPr>
              <w:pStyle w:val="240"/>
              <w:rPr>
                <w:rFonts w:hint="default"/>
              </w:rPr>
            </w:pPr>
            <w:r>
              <w:t>0</w:t>
            </w:r>
          </w:p>
        </w:tc>
        <w:tc>
          <w:tcPr>
            <w:tcW w:w="3433" w:type="pct"/>
            <w:vMerge w:val="continue"/>
            <w:tcBorders>
              <w:tl2br w:val="nil"/>
              <w:tr2bl w:val="nil"/>
            </w:tcBorders>
            <w:vAlign w:val="center"/>
          </w:tcPr>
          <w:p w14:paraId="5C52870E">
            <w:pPr>
              <w:pStyle w:val="240"/>
              <w:rPr>
                <w:rFonts w:hint="default"/>
              </w:rPr>
            </w:pPr>
          </w:p>
        </w:tc>
      </w:tr>
    </w:tbl>
    <w:p w14:paraId="4D2EE5AE">
      <w:pPr>
        <w:spacing w:line="360" w:lineRule="auto"/>
        <w:jc w:val="center"/>
        <w:rPr>
          <w:b/>
          <w:bCs/>
          <w:color w:val="000000"/>
          <w:szCs w:val="21"/>
        </w:rPr>
      </w:pPr>
    </w:p>
    <w:p w14:paraId="1B2E23BF">
      <w:pPr>
        <w:jc w:val="center"/>
        <w:rPr>
          <w:b/>
          <w:bCs/>
          <w:color w:val="000000"/>
          <w:szCs w:val="21"/>
        </w:rPr>
      </w:pPr>
      <w:r>
        <w:rPr>
          <w:rFonts w:hint="eastAsia"/>
          <w:b/>
          <w:bCs/>
          <w:color w:val="000000"/>
          <w:szCs w:val="21"/>
        </w:rPr>
        <w:t>表5.2-</w:t>
      </w:r>
      <w:r>
        <w:rPr>
          <w:rFonts w:hint="eastAsia"/>
          <w:b/>
          <w:bCs/>
          <w:color w:val="000000"/>
          <w:szCs w:val="21"/>
          <w:lang w:val="en-US" w:eastAsia="zh-CN"/>
        </w:rPr>
        <w:t>21</w:t>
      </w:r>
      <w:r>
        <w:rPr>
          <w:rFonts w:hint="eastAsia"/>
          <w:b/>
          <w:bCs/>
          <w:color w:val="000000"/>
          <w:szCs w:val="21"/>
        </w:rPr>
        <w:t xml:space="preserve">  非正常状况下氨氮在含水层中运移情况汇总表</w:t>
      </w:r>
    </w:p>
    <w:tbl>
      <w:tblPr>
        <w:tblStyle w:val="50"/>
        <w:tblW w:w="4923"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39"/>
        <w:gridCol w:w="1577"/>
        <w:gridCol w:w="6829"/>
      </w:tblGrid>
      <w:tr w14:paraId="56F2025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38" w:hRule="atLeast"/>
        </w:trPr>
        <w:tc>
          <w:tcPr>
            <w:tcW w:w="403" w:type="pct"/>
            <w:tcBorders>
              <w:tl2br w:val="nil"/>
              <w:tr2bl w:val="nil"/>
            </w:tcBorders>
            <w:vAlign w:val="center"/>
          </w:tcPr>
          <w:p w14:paraId="541E2091">
            <w:pPr>
              <w:pStyle w:val="240"/>
              <w:rPr>
                <w:rFonts w:hint="default"/>
              </w:rPr>
            </w:pPr>
            <w:r>
              <w:t>X</w:t>
            </w:r>
          </w:p>
        </w:tc>
        <w:tc>
          <w:tcPr>
            <w:tcW w:w="862" w:type="pct"/>
            <w:tcBorders>
              <w:tl2br w:val="nil"/>
              <w:tr2bl w:val="nil"/>
            </w:tcBorders>
            <w:vAlign w:val="center"/>
          </w:tcPr>
          <w:p w14:paraId="22D42DC6">
            <w:pPr>
              <w:pStyle w:val="240"/>
              <w:rPr>
                <w:rFonts w:hint="default"/>
              </w:rPr>
            </w:pPr>
            <w:r>
              <w:t>氨氮mg/L</w:t>
            </w:r>
          </w:p>
        </w:tc>
        <w:tc>
          <w:tcPr>
            <w:tcW w:w="3733" w:type="pct"/>
            <w:tcBorders>
              <w:tl2br w:val="nil"/>
              <w:tr2bl w:val="nil"/>
            </w:tcBorders>
            <w:vAlign w:val="center"/>
          </w:tcPr>
          <w:p w14:paraId="40ECC944">
            <w:pPr>
              <w:pStyle w:val="240"/>
              <w:rPr>
                <w:rFonts w:hint="default"/>
              </w:rPr>
            </w:pPr>
            <w:r>
              <w:rPr>
                <w:rFonts w:hint="eastAsia"/>
                <w:lang w:eastAsia="zh-CN"/>
              </w:rPr>
              <w:t>泄漏</w:t>
            </w:r>
            <w:r>
              <w:t>100d预测结果图</w:t>
            </w:r>
          </w:p>
        </w:tc>
      </w:tr>
      <w:tr w14:paraId="0F0A61A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403" w:type="pct"/>
            <w:tcBorders>
              <w:tl2br w:val="nil"/>
              <w:tr2bl w:val="nil"/>
            </w:tcBorders>
            <w:vAlign w:val="center"/>
          </w:tcPr>
          <w:p w14:paraId="1D512FEF">
            <w:pPr>
              <w:pStyle w:val="240"/>
              <w:rPr>
                <w:rFonts w:hint="default"/>
              </w:rPr>
            </w:pPr>
            <w:r>
              <w:t>0</w:t>
            </w:r>
          </w:p>
        </w:tc>
        <w:tc>
          <w:tcPr>
            <w:tcW w:w="862" w:type="pct"/>
            <w:tcBorders>
              <w:tl2br w:val="nil"/>
              <w:tr2bl w:val="nil"/>
            </w:tcBorders>
            <w:vAlign w:val="center"/>
          </w:tcPr>
          <w:p w14:paraId="4EA89341">
            <w:pPr>
              <w:pStyle w:val="240"/>
              <w:rPr>
                <w:rFonts w:hint="default"/>
              </w:rPr>
            </w:pPr>
            <w:r>
              <w:t xml:space="preserve"> 0.0718189</w:t>
            </w:r>
          </w:p>
        </w:tc>
        <w:tc>
          <w:tcPr>
            <w:tcW w:w="3733" w:type="pct"/>
            <w:vMerge w:val="restart"/>
            <w:tcBorders>
              <w:tl2br w:val="nil"/>
              <w:tr2bl w:val="nil"/>
            </w:tcBorders>
            <w:vAlign w:val="center"/>
          </w:tcPr>
          <w:p w14:paraId="3425FDA1">
            <w:pPr>
              <w:pStyle w:val="240"/>
              <w:rPr>
                <w:rFonts w:hint="default"/>
              </w:rPr>
            </w:pPr>
            <w:r>
              <w:drawing>
                <wp:inline distT="0" distB="0" distL="114300" distR="114300">
                  <wp:extent cx="3648075" cy="2047875"/>
                  <wp:effectExtent l="0" t="0" r="9525" b="9525"/>
                  <wp:docPr id="15"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3"/>
                          <pic:cNvPicPr>
                            <a:picLocks noChangeAspect="1"/>
                          </pic:cNvPicPr>
                        </pic:nvPicPr>
                        <pic:blipFill>
                          <a:blip r:embed="rId37"/>
                          <a:stretch>
                            <a:fillRect/>
                          </a:stretch>
                        </pic:blipFill>
                        <pic:spPr>
                          <a:xfrm>
                            <a:off x="0" y="0"/>
                            <a:ext cx="3648075" cy="2047875"/>
                          </a:xfrm>
                          <a:prstGeom prst="rect">
                            <a:avLst/>
                          </a:prstGeom>
                          <a:noFill/>
                          <a:ln>
                            <a:noFill/>
                          </a:ln>
                        </pic:spPr>
                      </pic:pic>
                    </a:graphicData>
                  </a:graphic>
                </wp:inline>
              </w:drawing>
            </w:r>
          </w:p>
          <w:p w14:paraId="307FDB3C">
            <w:pPr>
              <w:pStyle w:val="240"/>
              <w:rPr>
                <w:rFonts w:hint="default"/>
              </w:rPr>
            </w:pPr>
            <w:r>
              <w:t>时间T=100天时，预测结果如下：</w:t>
            </w:r>
          </w:p>
          <w:p w14:paraId="340A6D28">
            <w:pPr>
              <w:pStyle w:val="240"/>
              <w:rPr>
                <w:rFonts w:hint="default"/>
              </w:rPr>
            </w:pPr>
            <w:r>
              <w:t>氨氮预测的最大值为 0.0718189mg/L，预测结果均未超标，影响距离最远为30m。</w:t>
            </w:r>
          </w:p>
        </w:tc>
      </w:tr>
      <w:tr w14:paraId="6EE76AC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403" w:type="pct"/>
            <w:tcBorders>
              <w:tl2br w:val="nil"/>
              <w:tr2bl w:val="nil"/>
            </w:tcBorders>
            <w:vAlign w:val="center"/>
          </w:tcPr>
          <w:p w14:paraId="1C507658">
            <w:pPr>
              <w:pStyle w:val="240"/>
              <w:rPr>
                <w:rFonts w:hint="default"/>
              </w:rPr>
            </w:pPr>
            <w:r>
              <w:t>10</w:t>
            </w:r>
          </w:p>
        </w:tc>
        <w:tc>
          <w:tcPr>
            <w:tcW w:w="862" w:type="pct"/>
            <w:tcBorders>
              <w:tl2br w:val="nil"/>
              <w:tr2bl w:val="nil"/>
            </w:tcBorders>
            <w:vAlign w:val="center"/>
          </w:tcPr>
          <w:p w14:paraId="55D8D66C">
            <w:pPr>
              <w:pStyle w:val="240"/>
              <w:rPr>
                <w:rFonts w:hint="default"/>
              </w:rPr>
            </w:pPr>
            <w:r>
              <w:rPr>
                <w:rFonts w:hint="default"/>
              </w:rPr>
              <w:t xml:space="preserve"> 4.748602E-06</w:t>
            </w:r>
          </w:p>
        </w:tc>
        <w:tc>
          <w:tcPr>
            <w:tcW w:w="3733" w:type="pct"/>
            <w:vMerge w:val="continue"/>
            <w:tcBorders>
              <w:tl2br w:val="nil"/>
              <w:tr2bl w:val="nil"/>
            </w:tcBorders>
            <w:vAlign w:val="center"/>
          </w:tcPr>
          <w:p w14:paraId="7AA6DFDF">
            <w:pPr>
              <w:pStyle w:val="240"/>
              <w:rPr>
                <w:rFonts w:hint="default"/>
              </w:rPr>
            </w:pPr>
          </w:p>
        </w:tc>
      </w:tr>
      <w:tr w14:paraId="13A971B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403" w:type="pct"/>
            <w:tcBorders>
              <w:tl2br w:val="nil"/>
              <w:tr2bl w:val="nil"/>
            </w:tcBorders>
            <w:vAlign w:val="center"/>
          </w:tcPr>
          <w:p w14:paraId="3EF7CBAD">
            <w:pPr>
              <w:pStyle w:val="240"/>
              <w:rPr>
                <w:rFonts w:hint="default"/>
              </w:rPr>
            </w:pPr>
            <w:r>
              <w:t>20</w:t>
            </w:r>
          </w:p>
        </w:tc>
        <w:tc>
          <w:tcPr>
            <w:tcW w:w="862" w:type="pct"/>
            <w:tcBorders>
              <w:tl2br w:val="nil"/>
              <w:tr2bl w:val="nil"/>
            </w:tcBorders>
            <w:vAlign w:val="center"/>
          </w:tcPr>
          <w:p w14:paraId="434D8A08">
            <w:pPr>
              <w:pStyle w:val="240"/>
              <w:rPr>
                <w:rFonts w:hint="default"/>
              </w:rPr>
            </w:pPr>
            <w:r>
              <w:rPr>
                <w:rFonts w:hint="default"/>
              </w:rPr>
              <w:t xml:space="preserve"> 2.238719E-19</w:t>
            </w:r>
          </w:p>
        </w:tc>
        <w:tc>
          <w:tcPr>
            <w:tcW w:w="3733" w:type="pct"/>
            <w:vMerge w:val="continue"/>
            <w:tcBorders>
              <w:tl2br w:val="nil"/>
              <w:tr2bl w:val="nil"/>
            </w:tcBorders>
            <w:vAlign w:val="center"/>
          </w:tcPr>
          <w:p w14:paraId="10B53B1D">
            <w:pPr>
              <w:pStyle w:val="240"/>
              <w:rPr>
                <w:rFonts w:hint="default"/>
              </w:rPr>
            </w:pPr>
          </w:p>
        </w:tc>
      </w:tr>
      <w:tr w14:paraId="52279F6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7" w:hRule="atLeast"/>
        </w:trPr>
        <w:tc>
          <w:tcPr>
            <w:tcW w:w="403" w:type="pct"/>
            <w:tcBorders>
              <w:tl2br w:val="nil"/>
              <w:tr2bl w:val="nil"/>
            </w:tcBorders>
            <w:vAlign w:val="center"/>
          </w:tcPr>
          <w:p w14:paraId="667C83CC">
            <w:pPr>
              <w:pStyle w:val="240"/>
              <w:rPr>
                <w:rFonts w:hint="default"/>
              </w:rPr>
            </w:pPr>
            <w:r>
              <w:t>30</w:t>
            </w:r>
          </w:p>
        </w:tc>
        <w:tc>
          <w:tcPr>
            <w:tcW w:w="862" w:type="pct"/>
            <w:tcBorders>
              <w:tl2br w:val="nil"/>
              <w:tr2bl w:val="nil"/>
            </w:tcBorders>
            <w:vAlign w:val="center"/>
          </w:tcPr>
          <w:p w14:paraId="51D90EC9">
            <w:pPr>
              <w:pStyle w:val="240"/>
              <w:rPr>
                <w:rFonts w:hint="default"/>
              </w:rPr>
            </w:pPr>
            <w:r>
              <w:rPr>
                <w:rFonts w:hint="default"/>
              </w:rPr>
              <w:t xml:space="preserve"> 7.524973E-42</w:t>
            </w:r>
          </w:p>
        </w:tc>
        <w:tc>
          <w:tcPr>
            <w:tcW w:w="3733" w:type="pct"/>
            <w:vMerge w:val="continue"/>
            <w:tcBorders>
              <w:tl2br w:val="nil"/>
              <w:tr2bl w:val="nil"/>
            </w:tcBorders>
            <w:vAlign w:val="center"/>
          </w:tcPr>
          <w:p w14:paraId="0F192185">
            <w:pPr>
              <w:pStyle w:val="240"/>
              <w:rPr>
                <w:rFonts w:hint="default"/>
              </w:rPr>
            </w:pPr>
          </w:p>
        </w:tc>
      </w:tr>
      <w:tr w14:paraId="1F775A6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403" w:type="pct"/>
            <w:tcBorders>
              <w:tl2br w:val="nil"/>
              <w:tr2bl w:val="nil"/>
            </w:tcBorders>
            <w:vAlign w:val="center"/>
          </w:tcPr>
          <w:p w14:paraId="551AA262">
            <w:pPr>
              <w:pStyle w:val="240"/>
              <w:rPr>
                <w:rFonts w:hint="default"/>
              </w:rPr>
            </w:pPr>
            <w:r>
              <w:t>40</w:t>
            </w:r>
          </w:p>
        </w:tc>
        <w:tc>
          <w:tcPr>
            <w:tcW w:w="862" w:type="pct"/>
            <w:tcBorders>
              <w:tl2br w:val="nil"/>
              <w:tr2bl w:val="nil"/>
            </w:tcBorders>
            <w:vAlign w:val="center"/>
          </w:tcPr>
          <w:p w14:paraId="79D46862">
            <w:pPr>
              <w:pStyle w:val="240"/>
              <w:rPr>
                <w:rFonts w:hint="default"/>
              </w:rPr>
            </w:pPr>
            <w:r>
              <w:t>0</w:t>
            </w:r>
          </w:p>
        </w:tc>
        <w:tc>
          <w:tcPr>
            <w:tcW w:w="3733" w:type="pct"/>
            <w:vMerge w:val="continue"/>
            <w:tcBorders>
              <w:tl2br w:val="nil"/>
              <w:tr2bl w:val="nil"/>
            </w:tcBorders>
            <w:vAlign w:val="center"/>
          </w:tcPr>
          <w:p w14:paraId="64B56F2F">
            <w:pPr>
              <w:pStyle w:val="240"/>
              <w:rPr>
                <w:rFonts w:hint="default"/>
              </w:rPr>
            </w:pPr>
          </w:p>
        </w:tc>
      </w:tr>
      <w:tr w14:paraId="136B187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403" w:type="pct"/>
            <w:tcBorders>
              <w:tl2br w:val="nil"/>
              <w:tr2bl w:val="nil"/>
            </w:tcBorders>
            <w:vAlign w:val="center"/>
          </w:tcPr>
          <w:p w14:paraId="40D32231">
            <w:pPr>
              <w:pStyle w:val="240"/>
              <w:rPr>
                <w:rFonts w:hint="default"/>
              </w:rPr>
            </w:pPr>
            <w:r>
              <w:t>50</w:t>
            </w:r>
          </w:p>
        </w:tc>
        <w:tc>
          <w:tcPr>
            <w:tcW w:w="862" w:type="pct"/>
            <w:tcBorders>
              <w:tl2br w:val="nil"/>
              <w:tr2bl w:val="nil"/>
            </w:tcBorders>
            <w:vAlign w:val="center"/>
          </w:tcPr>
          <w:p w14:paraId="7ED37B4D">
            <w:pPr>
              <w:pStyle w:val="240"/>
              <w:rPr>
                <w:rFonts w:hint="default"/>
              </w:rPr>
            </w:pPr>
            <w:r>
              <w:t>0</w:t>
            </w:r>
          </w:p>
        </w:tc>
        <w:tc>
          <w:tcPr>
            <w:tcW w:w="3733" w:type="pct"/>
            <w:vMerge w:val="continue"/>
            <w:tcBorders>
              <w:tl2br w:val="nil"/>
              <w:tr2bl w:val="nil"/>
            </w:tcBorders>
            <w:vAlign w:val="center"/>
          </w:tcPr>
          <w:p w14:paraId="122E4072">
            <w:pPr>
              <w:pStyle w:val="240"/>
              <w:rPr>
                <w:rFonts w:hint="default"/>
              </w:rPr>
            </w:pPr>
          </w:p>
        </w:tc>
      </w:tr>
      <w:tr w14:paraId="5C79499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403" w:type="pct"/>
            <w:tcBorders>
              <w:tl2br w:val="nil"/>
              <w:tr2bl w:val="nil"/>
            </w:tcBorders>
            <w:vAlign w:val="center"/>
          </w:tcPr>
          <w:p w14:paraId="0E96C99B">
            <w:pPr>
              <w:pStyle w:val="240"/>
              <w:rPr>
                <w:rFonts w:hint="default"/>
              </w:rPr>
            </w:pPr>
            <w:r>
              <w:t>60</w:t>
            </w:r>
          </w:p>
        </w:tc>
        <w:tc>
          <w:tcPr>
            <w:tcW w:w="862" w:type="pct"/>
            <w:tcBorders>
              <w:tl2br w:val="nil"/>
              <w:tr2bl w:val="nil"/>
            </w:tcBorders>
            <w:vAlign w:val="center"/>
          </w:tcPr>
          <w:p w14:paraId="49C0E526">
            <w:pPr>
              <w:pStyle w:val="240"/>
              <w:rPr>
                <w:rFonts w:hint="default"/>
              </w:rPr>
            </w:pPr>
            <w:r>
              <w:t>0</w:t>
            </w:r>
          </w:p>
        </w:tc>
        <w:tc>
          <w:tcPr>
            <w:tcW w:w="3733" w:type="pct"/>
            <w:vMerge w:val="continue"/>
            <w:tcBorders>
              <w:tl2br w:val="nil"/>
              <w:tr2bl w:val="nil"/>
            </w:tcBorders>
            <w:vAlign w:val="center"/>
          </w:tcPr>
          <w:p w14:paraId="0823B23B">
            <w:pPr>
              <w:pStyle w:val="240"/>
              <w:rPr>
                <w:rFonts w:hint="default"/>
              </w:rPr>
            </w:pPr>
          </w:p>
        </w:tc>
      </w:tr>
      <w:tr w14:paraId="729A71C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403" w:type="pct"/>
            <w:tcBorders>
              <w:tl2br w:val="nil"/>
              <w:tr2bl w:val="nil"/>
            </w:tcBorders>
            <w:vAlign w:val="center"/>
          </w:tcPr>
          <w:p w14:paraId="3408FCA0">
            <w:pPr>
              <w:pStyle w:val="240"/>
              <w:rPr>
                <w:rFonts w:hint="default"/>
              </w:rPr>
            </w:pPr>
            <w:r>
              <w:t>70</w:t>
            </w:r>
          </w:p>
        </w:tc>
        <w:tc>
          <w:tcPr>
            <w:tcW w:w="862" w:type="pct"/>
            <w:tcBorders>
              <w:tl2br w:val="nil"/>
              <w:tr2bl w:val="nil"/>
            </w:tcBorders>
            <w:vAlign w:val="center"/>
          </w:tcPr>
          <w:p w14:paraId="57D046A3">
            <w:pPr>
              <w:pStyle w:val="240"/>
              <w:rPr>
                <w:rFonts w:hint="default"/>
              </w:rPr>
            </w:pPr>
            <w:r>
              <w:t>0</w:t>
            </w:r>
          </w:p>
        </w:tc>
        <w:tc>
          <w:tcPr>
            <w:tcW w:w="3733" w:type="pct"/>
            <w:vMerge w:val="continue"/>
            <w:tcBorders>
              <w:tl2br w:val="nil"/>
              <w:tr2bl w:val="nil"/>
            </w:tcBorders>
            <w:vAlign w:val="center"/>
          </w:tcPr>
          <w:p w14:paraId="6C32C41D">
            <w:pPr>
              <w:pStyle w:val="240"/>
              <w:rPr>
                <w:rFonts w:hint="default"/>
              </w:rPr>
            </w:pPr>
          </w:p>
        </w:tc>
      </w:tr>
      <w:tr w14:paraId="2CA51D4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403" w:type="pct"/>
            <w:tcBorders>
              <w:tl2br w:val="nil"/>
              <w:tr2bl w:val="nil"/>
            </w:tcBorders>
            <w:vAlign w:val="center"/>
          </w:tcPr>
          <w:p w14:paraId="2A0B2EF7">
            <w:pPr>
              <w:pStyle w:val="240"/>
              <w:rPr>
                <w:rFonts w:hint="default"/>
              </w:rPr>
            </w:pPr>
            <w:r>
              <w:t>80</w:t>
            </w:r>
          </w:p>
        </w:tc>
        <w:tc>
          <w:tcPr>
            <w:tcW w:w="862" w:type="pct"/>
            <w:tcBorders>
              <w:tl2br w:val="nil"/>
              <w:tr2bl w:val="nil"/>
            </w:tcBorders>
            <w:vAlign w:val="center"/>
          </w:tcPr>
          <w:p w14:paraId="0A158D94">
            <w:pPr>
              <w:pStyle w:val="240"/>
              <w:rPr>
                <w:rFonts w:hint="default"/>
              </w:rPr>
            </w:pPr>
            <w:r>
              <w:t>0</w:t>
            </w:r>
          </w:p>
        </w:tc>
        <w:tc>
          <w:tcPr>
            <w:tcW w:w="3733" w:type="pct"/>
            <w:vMerge w:val="continue"/>
            <w:tcBorders>
              <w:tl2br w:val="nil"/>
              <w:tr2bl w:val="nil"/>
            </w:tcBorders>
            <w:vAlign w:val="center"/>
          </w:tcPr>
          <w:p w14:paraId="77E5240E">
            <w:pPr>
              <w:pStyle w:val="240"/>
              <w:rPr>
                <w:rFonts w:hint="default"/>
              </w:rPr>
            </w:pPr>
          </w:p>
        </w:tc>
      </w:tr>
      <w:tr w14:paraId="3F7F555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403" w:type="pct"/>
            <w:tcBorders>
              <w:tl2br w:val="nil"/>
              <w:tr2bl w:val="nil"/>
            </w:tcBorders>
            <w:vAlign w:val="center"/>
          </w:tcPr>
          <w:p w14:paraId="55601D4E">
            <w:pPr>
              <w:pStyle w:val="240"/>
              <w:rPr>
                <w:rFonts w:hint="default"/>
              </w:rPr>
            </w:pPr>
            <w:r>
              <w:t>90</w:t>
            </w:r>
          </w:p>
        </w:tc>
        <w:tc>
          <w:tcPr>
            <w:tcW w:w="862" w:type="pct"/>
            <w:tcBorders>
              <w:tl2br w:val="nil"/>
              <w:tr2bl w:val="nil"/>
            </w:tcBorders>
            <w:vAlign w:val="center"/>
          </w:tcPr>
          <w:p w14:paraId="6351193E">
            <w:pPr>
              <w:pStyle w:val="240"/>
              <w:rPr>
                <w:rFonts w:hint="default"/>
              </w:rPr>
            </w:pPr>
            <w:r>
              <w:t>0</w:t>
            </w:r>
          </w:p>
        </w:tc>
        <w:tc>
          <w:tcPr>
            <w:tcW w:w="3733" w:type="pct"/>
            <w:vMerge w:val="continue"/>
            <w:tcBorders>
              <w:tl2br w:val="nil"/>
              <w:tr2bl w:val="nil"/>
            </w:tcBorders>
            <w:vAlign w:val="center"/>
          </w:tcPr>
          <w:p w14:paraId="39424C8B">
            <w:pPr>
              <w:pStyle w:val="240"/>
              <w:rPr>
                <w:rFonts w:hint="default"/>
              </w:rPr>
            </w:pPr>
          </w:p>
        </w:tc>
      </w:tr>
      <w:tr w14:paraId="0244442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403" w:type="pct"/>
            <w:tcBorders>
              <w:tl2br w:val="nil"/>
              <w:tr2bl w:val="nil"/>
            </w:tcBorders>
            <w:vAlign w:val="center"/>
          </w:tcPr>
          <w:p w14:paraId="12FA23E8">
            <w:pPr>
              <w:pStyle w:val="240"/>
              <w:rPr>
                <w:rFonts w:hint="default"/>
              </w:rPr>
            </w:pPr>
            <w:r>
              <w:t>100</w:t>
            </w:r>
          </w:p>
        </w:tc>
        <w:tc>
          <w:tcPr>
            <w:tcW w:w="862" w:type="pct"/>
            <w:tcBorders>
              <w:tl2br w:val="nil"/>
              <w:tr2bl w:val="nil"/>
            </w:tcBorders>
            <w:vAlign w:val="center"/>
          </w:tcPr>
          <w:p w14:paraId="21403654">
            <w:pPr>
              <w:pStyle w:val="240"/>
              <w:rPr>
                <w:rFonts w:hint="default"/>
              </w:rPr>
            </w:pPr>
            <w:r>
              <w:t>0</w:t>
            </w:r>
          </w:p>
        </w:tc>
        <w:tc>
          <w:tcPr>
            <w:tcW w:w="3733" w:type="pct"/>
            <w:vMerge w:val="continue"/>
            <w:tcBorders>
              <w:tl2br w:val="nil"/>
              <w:tr2bl w:val="nil"/>
            </w:tcBorders>
            <w:vAlign w:val="center"/>
          </w:tcPr>
          <w:p w14:paraId="3770ED16">
            <w:pPr>
              <w:pStyle w:val="240"/>
              <w:rPr>
                <w:rFonts w:hint="default"/>
              </w:rPr>
            </w:pPr>
          </w:p>
        </w:tc>
      </w:tr>
      <w:tr w14:paraId="0681811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403" w:type="pct"/>
            <w:tcBorders>
              <w:tl2br w:val="nil"/>
              <w:tr2bl w:val="nil"/>
            </w:tcBorders>
            <w:vAlign w:val="center"/>
          </w:tcPr>
          <w:p w14:paraId="0FF759DF">
            <w:pPr>
              <w:pStyle w:val="240"/>
              <w:rPr>
                <w:rFonts w:hint="default"/>
              </w:rPr>
            </w:pPr>
            <w:r>
              <w:t>200</w:t>
            </w:r>
          </w:p>
        </w:tc>
        <w:tc>
          <w:tcPr>
            <w:tcW w:w="862" w:type="pct"/>
            <w:tcBorders>
              <w:tl2br w:val="nil"/>
              <w:tr2bl w:val="nil"/>
            </w:tcBorders>
            <w:vAlign w:val="center"/>
          </w:tcPr>
          <w:p w14:paraId="1F3F815B">
            <w:pPr>
              <w:pStyle w:val="240"/>
              <w:rPr>
                <w:rFonts w:hint="default"/>
              </w:rPr>
            </w:pPr>
            <w:r>
              <w:t>0</w:t>
            </w:r>
          </w:p>
        </w:tc>
        <w:tc>
          <w:tcPr>
            <w:tcW w:w="3733" w:type="pct"/>
            <w:vMerge w:val="continue"/>
            <w:tcBorders>
              <w:tl2br w:val="nil"/>
              <w:tr2bl w:val="nil"/>
            </w:tcBorders>
            <w:vAlign w:val="center"/>
          </w:tcPr>
          <w:p w14:paraId="62523328">
            <w:pPr>
              <w:pStyle w:val="240"/>
              <w:rPr>
                <w:rFonts w:hint="default"/>
              </w:rPr>
            </w:pPr>
          </w:p>
        </w:tc>
      </w:tr>
      <w:tr w14:paraId="276CF84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403" w:type="pct"/>
            <w:tcBorders>
              <w:tl2br w:val="nil"/>
              <w:tr2bl w:val="nil"/>
            </w:tcBorders>
            <w:vAlign w:val="center"/>
          </w:tcPr>
          <w:p w14:paraId="314216FD">
            <w:pPr>
              <w:pStyle w:val="240"/>
              <w:rPr>
                <w:rFonts w:hint="default"/>
              </w:rPr>
            </w:pPr>
            <w:r>
              <w:t>X</w:t>
            </w:r>
          </w:p>
        </w:tc>
        <w:tc>
          <w:tcPr>
            <w:tcW w:w="862" w:type="pct"/>
            <w:tcBorders>
              <w:tl2br w:val="nil"/>
              <w:tr2bl w:val="nil"/>
            </w:tcBorders>
            <w:vAlign w:val="center"/>
          </w:tcPr>
          <w:p w14:paraId="4F78B443">
            <w:pPr>
              <w:pStyle w:val="240"/>
              <w:rPr>
                <w:rFonts w:hint="default"/>
              </w:rPr>
            </w:pPr>
            <w:r>
              <w:t>氨氮mg/L</w:t>
            </w:r>
          </w:p>
        </w:tc>
        <w:tc>
          <w:tcPr>
            <w:tcW w:w="3733" w:type="pct"/>
            <w:tcBorders>
              <w:tl2br w:val="nil"/>
              <w:tr2bl w:val="nil"/>
            </w:tcBorders>
            <w:vAlign w:val="center"/>
          </w:tcPr>
          <w:p w14:paraId="64A84BB3">
            <w:pPr>
              <w:pStyle w:val="240"/>
              <w:rPr>
                <w:rFonts w:hint="default"/>
              </w:rPr>
            </w:pPr>
            <w:r>
              <w:rPr>
                <w:rFonts w:hint="eastAsia"/>
                <w:lang w:eastAsia="zh-CN"/>
              </w:rPr>
              <w:t>泄漏</w:t>
            </w:r>
            <w:r>
              <w:t>1000d预测结果图</w:t>
            </w:r>
          </w:p>
        </w:tc>
      </w:tr>
      <w:tr w14:paraId="46E50A9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403" w:type="pct"/>
            <w:tcBorders>
              <w:tl2br w:val="nil"/>
              <w:tr2bl w:val="nil"/>
            </w:tcBorders>
            <w:vAlign w:val="center"/>
          </w:tcPr>
          <w:p w14:paraId="1A7E9FDB">
            <w:pPr>
              <w:pStyle w:val="240"/>
              <w:rPr>
                <w:rFonts w:hint="default"/>
              </w:rPr>
            </w:pPr>
            <w:r>
              <w:t>100</w:t>
            </w:r>
          </w:p>
        </w:tc>
        <w:tc>
          <w:tcPr>
            <w:tcW w:w="862" w:type="pct"/>
            <w:tcBorders>
              <w:tl2br w:val="nil"/>
              <w:tr2bl w:val="nil"/>
            </w:tcBorders>
            <w:vAlign w:val="center"/>
          </w:tcPr>
          <w:p w14:paraId="06C74E08">
            <w:pPr>
              <w:pStyle w:val="240"/>
              <w:rPr>
                <w:rFonts w:hint="default"/>
              </w:rPr>
            </w:pPr>
            <w:r>
              <w:t>3.082857E-44</w:t>
            </w:r>
          </w:p>
        </w:tc>
        <w:tc>
          <w:tcPr>
            <w:tcW w:w="3733" w:type="pct"/>
            <w:vMerge w:val="restart"/>
            <w:tcBorders>
              <w:tl2br w:val="nil"/>
              <w:tr2bl w:val="nil"/>
            </w:tcBorders>
            <w:vAlign w:val="center"/>
          </w:tcPr>
          <w:p w14:paraId="27094899">
            <w:pPr>
              <w:pStyle w:val="240"/>
              <w:rPr>
                <w:rFonts w:hint="default"/>
              </w:rPr>
            </w:pPr>
          </w:p>
          <w:p w14:paraId="2A32D832">
            <w:pPr>
              <w:pStyle w:val="240"/>
              <w:rPr>
                <w:rFonts w:hint="default"/>
              </w:rPr>
            </w:pPr>
            <w:r>
              <w:drawing>
                <wp:inline distT="0" distB="0" distL="114300" distR="114300">
                  <wp:extent cx="3638550" cy="2047875"/>
                  <wp:effectExtent l="0" t="0" r="0" b="9525"/>
                  <wp:docPr id="16"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4"/>
                          <pic:cNvPicPr>
                            <a:picLocks noChangeAspect="1"/>
                          </pic:cNvPicPr>
                        </pic:nvPicPr>
                        <pic:blipFill>
                          <a:blip r:embed="rId38"/>
                          <a:stretch>
                            <a:fillRect/>
                          </a:stretch>
                        </pic:blipFill>
                        <pic:spPr>
                          <a:xfrm>
                            <a:off x="0" y="0"/>
                            <a:ext cx="3638550" cy="2047875"/>
                          </a:xfrm>
                          <a:prstGeom prst="rect">
                            <a:avLst/>
                          </a:prstGeom>
                          <a:noFill/>
                          <a:ln>
                            <a:noFill/>
                          </a:ln>
                        </pic:spPr>
                      </pic:pic>
                    </a:graphicData>
                  </a:graphic>
                </wp:inline>
              </w:drawing>
            </w:r>
            <w:r>
              <w:t>时间T=1000天时，预测结果如下：</w:t>
            </w:r>
          </w:p>
          <w:p w14:paraId="7B9CBBFE">
            <w:pPr>
              <w:pStyle w:val="240"/>
              <w:rPr>
                <w:rFonts w:hint="default"/>
              </w:rPr>
            </w:pPr>
            <w:r>
              <w:t>氨氮预测的最大值为3.082857E-44mg/L，预测结果均未超标，且预测结果均低于检出限。</w:t>
            </w:r>
          </w:p>
        </w:tc>
      </w:tr>
      <w:tr w14:paraId="189BCA1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403" w:type="pct"/>
            <w:tcBorders>
              <w:tl2br w:val="nil"/>
              <w:tr2bl w:val="nil"/>
            </w:tcBorders>
            <w:vAlign w:val="center"/>
          </w:tcPr>
          <w:p w14:paraId="5BD329ED">
            <w:pPr>
              <w:pStyle w:val="240"/>
              <w:rPr>
                <w:rFonts w:hint="default"/>
              </w:rPr>
            </w:pPr>
            <w:r>
              <w:t>200</w:t>
            </w:r>
          </w:p>
        </w:tc>
        <w:tc>
          <w:tcPr>
            <w:tcW w:w="862" w:type="pct"/>
            <w:tcBorders>
              <w:tl2br w:val="nil"/>
              <w:tr2bl w:val="nil"/>
            </w:tcBorders>
            <w:vAlign w:val="center"/>
          </w:tcPr>
          <w:p w14:paraId="4EFC4D5A">
            <w:pPr>
              <w:pStyle w:val="240"/>
              <w:rPr>
                <w:rFonts w:hint="default"/>
              </w:rPr>
            </w:pPr>
            <w:r>
              <w:t>0</w:t>
            </w:r>
          </w:p>
        </w:tc>
        <w:tc>
          <w:tcPr>
            <w:tcW w:w="3733" w:type="pct"/>
            <w:vMerge w:val="continue"/>
            <w:tcBorders>
              <w:tl2br w:val="nil"/>
              <w:tr2bl w:val="nil"/>
            </w:tcBorders>
            <w:vAlign w:val="center"/>
          </w:tcPr>
          <w:p w14:paraId="403050E2">
            <w:pPr>
              <w:pStyle w:val="240"/>
              <w:rPr>
                <w:rFonts w:hint="default"/>
              </w:rPr>
            </w:pPr>
          </w:p>
        </w:tc>
      </w:tr>
      <w:tr w14:paraId="33CCE72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403" w:type="pct"/>
            <w:tcBorders>
              <w:tl2br w:val="nil"/>
              <w:tr2bl w:val="nil"/>
            </w:tcBorders>
            <w:vAlign w:val="center"/>
          </w:tcPr>
          <w:p w14:paraId="2BA59679">
            <w:pPr>
              <w:pStyle w:val="240"/>
              <w:rPr>
                <w:rFonts w:hint="default"/>
              </w:rPr>
            </w:pPr>
            <w:r>
              <w:t>250</w:t>
            </w:r>
          </w:p>
        </w:tc>
        <w:tc>
          <w:tcPr>
            <w:tcW w:w="862" w:type="pct"/>
            <w:tcBorders>
              <w:tl2br w:val="nil"/>
              <w:tr2bl w:val="nil"/>
            </w:tcBorders>
            <w:vAlign w:val="center"/>
          </w:tcPr>
          <w:p w14:paraId="0A8A74EE">
            <w:pPr>
              <w:pStyle w:val="240"/>
              <w:rPr>
                <w:rFonts w:hint="default"/>
              </w:rPr>
            </w:pPr>
            <w:r>
              <w:t>0</w:t>
            </w:r>
          </w:p>
        </w:tc>
        <w:tc>
          <w:tcPr>
            <w:tcW w:w="3733" w:type="pct"/>
            <w:vMerge w:val="continue"/>
            <w:tcBorders>
              <w:tl2br w:val="nil"/>
              <w:tr2bl w:val="nil"/>
            </w:tcBorders>
            <w:vAlign w:val="center"/>
          </w:tcPr>
          <w:p w14:paraId="7CB4812F">
            <w:pPr>
              <w:pStyle w:val="240"/>
              <w:rPr>
                <w:rFonts w:hint="default"/>
              </w:rPr>
            </w:pPr>
          </w:p>
        </w:tc>
      </w:tr>
      <w:tr w14:paraId="4D05E32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403" w:type="pct"/>
            <w:tcBorders>
              <w:tl2br w:val="nil"/>
              <w:tr2bl w:val="nil"/>
            </w:tcBorders>
            <w:vAlign w:val="center"/>
          </w:tcPr>
          <w:p w14:paraId="56CC9F67">
            <w:pPr>
              <w:pStyle w:val="240"/>
              <w:rPr>
                <w:rFonts w:hint="default"/>
              </w:rPr>
            </w:pPr>
            <w:r>
              <w:t>260</w:t>
            </w:r>
          </w:p>
        </w:tc>
        <w:tc>
          <w:tcPr>
            <w:tcW w:w="862" w:type="pct"/>
            <w:tcBorders>
              <w:tl2br w:val="nil"/>
              <w:tr2bl w:val="nil"/>
            </w:tcBorders>
            <w:vAlign w:val="center"/>
          </w:tcPr>
          <w:p w14:paraId="030C2344">
            <w:pPr>
              <w:pStyle w:val="240"/>
              <w:rPr>
                <w:rFonts w:hint="default"/>
              </w:rPr>
            </w:pPr>
            <w:r>
              <w:t>0</w:t>
            </w:r>
          </w:p>
        </w:tc>
        <w:tc>
          <w:tcPr>
            <w:tcW w:w="3733" w:type="pct"/>
            <w:vMerge w:val="continue"/>
            <w:tcBorders>
              <w:tl2br w:val="nil"/>
              <w:tr2bl w:val="nil"/>
            </w:tcBorders>
            <w:vAlign w:val="center"/>
          </w:tcPr>
          <w:p w14:paraId="03B189F3">
            <w:pPr>
              <w:pStyle w:val="240"/>
              <w:rPr>
                <w:rFonts w:hint="default"/>
              </w:rPr>
            </w:pPr>
          </w:p>
        </w:tc>
      </w:tr>
      <w:tr w14:paraId="4CE5667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403" w:type="pct"/>
            <w:tcBorders>
              <w:tl2br w:val="nil"/>
              <w:tr2bl w:val="nil"/>
            </w:tcBorders>
            <w:vAlign w:val="center"/>
          </w:tcPr>
          <w:p w14:paraId="75E74E21">
            <w:pPr>
              <w:pStyle w:val="240"/>
              <w:rPr>
                <w:rFonts w:hint="default"/>
              </w:rPr>
            </w:pPr>
            <w:r>
              <w:t>270</w:t>
            </w:r>
          </w:p>
        </w:tc>
        <w:tc>
          <w:tcPr>
            <w:tcW w:w="862" w:type="pct"/>
            <w:tcBorders>
              <w:tl2br w:val="nil"/>
              <w:tr2bl w:val="nil"/>
            </w:tcBorders>
            <w:vAlign w:val="center"/>
          </w:tcPr>
          <w:p w14:paraId="45AD4126">
            <w:pPr>
              <w:pStyle w:val="240"/>
              <w:rPr>
                <w:rFonts w:hint="default"/>
              </w:rPr>
            </w:pPr>
            <w:r>
              <w:t>0</w:t>
            </w:r>
          </w:p>
        </w:tc>
        <w:tc>
          <w:tcPr>
            <w:tcW w:w="3733" w:type="pct"/>
            <w:vMerge w:val="continue"/>
            <w:tcBorders>
              <w:tl2br w:val="nil"/>
              <w:tr2bl w:val="nil"/>
            </w:tcBorders>
            <w:vAlign w:val="center"/>
          </w:tcPr>
          <w:p w14:paraId="22A91DB5">
            <w:pPr>
              <w:pStyle w:val="240"/>
              <w:rPr>
                <w:rFonts w:hint="default"/>
              </w:rPr>
            </w:pPr>
          </w:p>
        </w:tc>
      </w:tr>
      <w:tr w14:paraId="68A3996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403" w:type="pct"/>
            <w:tcBorders>
              <w:tl2br w:val="nil"/>
              <w:tr2bl w:val="nil"/>
            </w:tcBorders>
            <w:vAlign w:val="center"/>
          </w:tcPr>
          <w:p w14:paraId="1799E364">
            <w:pPr>
              <w:pStyle w:val="240"/>
              <w:rPr>
                <w:rFonts w:hint="default"/>
              </w:rPr>
            </w:pPr>
            <w:r>
              <w:t>280</w:t>
            </w:r>
          </w:p>
        </w:tc>
        <w:tc>
          <w:tcPr>
            <w:tcW w:w="862" w:type="pct"/>
            <w:tcBorders>
              <w:tl2br w:val="nil"/>
              <w:tr2bl w:val="nil"/>
            </w:tcBorders>
            <w:vAlign w:val="center"/>
          </w:tcPr>
          <w:p w14:paraId="05B53139">
            <w:pPr>
              <w:pStyle w:val="240"/>
              <w:rPr>
                <w:rFonts w:hint="default"/>
              </w:rPr>
            </w:pPr>
            <w:r>
              <w:t>0</w:t>
            </w:r>
          </w:p>
        </w:tc>
        <w:tc>
          <w:tcPr>
            <w:tcW w:w="3733" w:type="pct"/>
            <w:vMerge w:val="continue"/>
            <w:tcBorders>
              <w:tl2br w:val="nil"/>
              <w:tr2bl w:val="nil"/>
            </w:tcBorders>
            <w:vAlign w:val="center"/>
          </w:tcPr>
          <w:p w14:paraId="132E0C89">
            <w:pPr>
              <w:pStyle w:val="240"/>
              <w:rPr>
                <w:rFonts w:hint="default"/>
              </w:rPr>
            </w:pPr>
          </w:p>
        </w:tc>
      </w:tr>
      <w:tr w14:paraId="0F5587D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403" w:type="pct"/>
            <w:tcBorders>
              <w:tl2br w:val="nil"/>
              <w:tr2bl w:val="nil"/>
            </w:tcBorders>
            <w:vAlign w:val="center"/>
          </w:tcPr>
          <w:p w14:paraId="674179CE">
            <w:pPr>
              <w:pStyle w:val="240"/>
              <w:rPr>
                <w:rFonts w:hint="default"/>
              </w:rPr>
            </w:pPr>
            <w:r>
              <w:t>290</w:t>
            </w:r>
          </w:p>
        </w:tc>
        <w:tc>
          <w:tcPr>
            <w:tcW w:w="862" w:type="pct"/>
            <w:tcBorders>
              <w:tl2br w:val="nil"/>
              <w:tr2bl w:val="nil"/>
            </w:tcBorders>
            <w:vAlign w:val="center"/>
          </w:tcPr>
          <w:p w14:paraId="55EACF2B">
            <w:pPr>
              <w:pStyle w:val="240"/>
              <w:rPr>
                <w:rFonts w:hint="default"/>
              </w:rPr>
            </w:pPr>
            <w:r>
              <w:t>0</w:t>
            </w:r>
          </w:p>
        </w:tc>
        <w:tc>
          <w:tcPr>
            <w:tcW w:w="3733" w:type="pct"/>
            <w:vMerge w:val="continue"/>
            <w:tcBorders>
              <w:tl2br w:val="nil"/>
              <w:tr2bl w:val="nil"/>
            </w:tcBorders>
            <w:vAlign w:val="center"/>
          </w:tcPr>
          <w:p w14:paraId="2C1A7DB6">
            <w:pPr>
              <w:pStyle w:val="240"/>
              <w:rPr>
                <w:rFonts w:hint="default"/>
              </w:rPr>
            </w:pPr>
          </w:p>
        </w:tc>
      </w:tr>
      <w:tr w14:paraId="3CF7132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403" w:type="pct"/>
            <w:tcBorders>
              <w:tl2br w:val="nil"/>
              <w:tr2bl w:val="nil"/>
            </w:tcBorders>
            <w:vAlign w:val="center"/>
          </w:tcPr>
          <w:p w14:paraId="5F48D29D">
            <w:pPr>
              <w:pStyle w:val="240"/>
              <w:rPr>
                <w:rFonts w:hint="default"/>
              </w:rPr>
            </w:pPr>
            <w:r>
              <w:t>300</w:t>
            </w:r>
          </w:p>
        </w:tc>
        <w:tc>
          <w:tcPr>
            <w:tcW w:w="862" w:type="pct"/>
            <w:tcBorders>
              <w:tl2br w:val="nil"/>
              <w:tr2bl w:val="nil"/>
            </w:tcBorders>
            <w:vAlign w:val="center"/>
          </w:tcPr>
          <w:p w14:paraId="07C4C1E2">
            <w:pPr>
              <w:pStyle w:val="240"/>
              <w:rPr>
                <w:rFonts w:hint="default"/>
              </w:rPr>
            </w:pPr>
            <w:r>
              <w:t>0</w:t>
            </w:r>
          </w:p>
        </w:tc>
        <w:tc>
          <w:tcPr>
            <w:tcW w:w="3733" w:type="pct"/>
            <w:vMerge w:val="continue"/>
            <w:tcBorders>
              <w:tl2br w:val="nil"/>
              <w:tr2bl w:val="nil"/>
            </w:tcBorders>
            <w:vAlign w:val="center"/>
          </w:tcPr>
          <w:p w14:paraId="224E9D59">
            <w:pPr>
              <w:pStyle w:val="240"/>
              <w:rPr>
                <w:rFonts w:hint="default"/>
              </w:rPr>
            </w:pPr>
          </w:p>
        </w:tc>
      </w:tr>
      <w:tr w14:paraId="1925E74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403" w:type="pct"/>
            <w:tcBorders>
              <w:tl2br w:val="nil"/>
              <w:tr2bl w:val="nil"/>
            </w:tcBorders>
            <w:vAlign w:val="center"/>
          </w:tcPr>
          <w:p w14:paraId="6DA7C039">
            <w:pPr>
              <w:pStyle w:val="240"/>
              <w:rPr>
                <w:rFonts w:hint="default"/>
              </w:rPr>
            </w:pPr>
            <w:r>
              <w:t>310</w:t>
            </w:r>
          </w:p>
        </w:tc>
        <w:tc>
          <w:tcPr>
            <w:tcW w:w="862" w:type="pct"/>
            <w:tcBorders>
              <w:tl2br w:val="nil"/>
              <w:tr2bl w:val="nil"/>
            </w:tcBorders>
            <w:vAlign w:val="center"/>
          </w:tcPr>
          <w:p w14:paraId="578635DA">
            <w:pPr>
              <w:pStyle w:val="240"/>
              <w:rPr>
                <w:rFonts w:hint="default"/>
              </w:rPr>
            </w:pPr>
            <w:r>
              <w:t>0</w:t>
            </w:r>
          </w:p>
        </w:tc>
        <w:tc>
          <w:tcPr>
            <w:tcW w:w="3733" w:type="pct"/>
            <w:vMerge w:val="continue"/>
            <w:tcBorders>
              <w:tl2br w:val="nil"/>
              <w:tr2bl w:val="nil"/>
            </w:tcBorders>
            <w:vAlign w:val="center"/>
          </w:tcPr>
          <w:p w14:paraId="52CCE2CE">
            <w:pPr>
              <w:pStyle w:val="240"/>
              <w:rPr>
                <w:rFonts w:hint="default"/>
              </w:rPr>
            </w:pPr>
          </w:p>
        </w:tc>
      </w:tr>
      <w:tr w14:paraId="62E0436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403" w:type="pct"/>
            <w:tcBorders>
              <w:tl2br w:val="nil"/>
              <w:tr2bl w:val="nil"/>
            </w:tcBorders>
            <w:vAlign w:val="center"/>
          </w:tcPr>
          <w:p w14:paraId="5E2684F4">
            <w:pPr>
              <w:pStyle w:val="240"/>
              <w:rPr>
                <w:rFonts w:hint="default"/>
              </w:rPr>
            </w:pPr>
            <w:r>
              <w:t>320</w:t>
            </w:r>
          </w:p>
        </w:tc>
        <w:tc>
          <w:tcPr>
            <w:tcW w:w="862" w:type="pct"/>
            <w:tcBorders>
              <w:tl2br w:val="nil"/>
              <w:tr2bl w:val="nil"/>
            </w:tcBorders>
            <w:vAlign w:val="center"/>
          </w:tcPr>
          <w:p w14:paraId="06C76FA4">
            <w:pPr>
              <w:pStyle w:val="240"/>
              <w:rPr>
                <w:rFonts w:hint="default"/>
              </w:rPr>
            </w:pPr>
            <w:r>
              <w:t>0</w:t>
            </w:r>
          </w:p>
        </w:tc>
        <w:tc>
          <w:tcPr>
            <w:tcW w:w="3733" w:type="pct"/>
            <w:vMerge w:val="continue"/>
            <w:tcBorders>
              <w:tl2br w:val="nil"/>
              <w:tr2bl w:val="nil"/>
            </w:tcBorders>
            <w:vAlign w:val="center"/>
          </w:tcPr>
          <w:p w14:paraId="2C12A8BE">
            <w:pPr>
              <w:pStyle w:val="240"/>
              <w:rPr>
                <w:rFonts w:hint="default"/>
              </w:rPr>
            </w:pPr>
          </w:p>
        </w:tc>
      </w:tr>
      <w:tr w14:paraId="058615A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403" w:type="pct"/>
            <w:tcBorders>
              <w:tl2br w:val="nil"/>
              <w:tr2bl w:val="nil"/>
            </w:tcBorders>
            <w:vAlign w:val="center"/>
          </w:tcPr>
          <w:p w14:paraId="5086EA6F">
            <w:pPr>
              <w:pStyle w:val="240"/>
              <w:rPr>
                <w:rFonts w:hint="default"/>
              </w:rPr>
            </w:pPr>
            <w:r>
              <w:t>330</w:t>
            </w:r>
          </w:p>
        </w:tc>
        <w:tc>
          <w:tcPr>
            <w:tcW w:w="862" w:type="pct"/>
            <w:tcBorders>
              <w:tl2br w:val="nil"/>
              <w:tr2bl w:val="nil"/>
            </w:tcBorders>
            <w:vAlign w:val="center"/>
          </w:tcPr>
          <w:p w14:paraId="62DC959D">
            <w:pPr>
              <w:pStyle w:val="240"/>
              <w:rPr>
                <w:rFonts w:hint="default"/>
              </w:rPr>
            </w:pPr>
            <w:r>
              <w:t>0</w:t>
            </w:r>
          </w:p>
        </w:tc>
        <w:tc>
          <w:tcPr>
            <w:tcW w:w="3733" w:type="pct"/>
            <w:vMerge w:val="continue"/>
            <w:tcBorders>
              <w:tl2br w:val="nil"/>
              <w:tr2bl w:val="nil"/>
            </w:tcBorders>
            <w:vAlign w:val="center"/>
          </w:tcPr>
          <w:p w14:paraId="43649A73">
            <w:pPr>
              <w:pStyle w:val="240"/>
              <w:rPr>
                <w:rFonts w:hint="default"/>
              </w:rPr>
            </w:pPr>
          </w:p>
        </w:tc>
      </w:tr>
      <w:tr w14:paraId="7A0E6AC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403" w:type="pct"/>
            <w:tcBorders>
              <w:tl2br w:val="nil"/>
              <w:tr2bl w:val="nil"/>
            </w:tcBorders>
            <w:vAlign w:val="center"/>
          </w:tcPr>
          <w:p w14:paraId="03F891E4">
            <w:pPr>
              <w:pStyle w:val="240"/>
              <w:rPr>
                <w:rFonts w:hint="default"/>
              </w:rPr>
            </w:pPr>
            <w:r>
              <w:t>340</w:t>
            </w:r>
          </w:p>
        </w:tc>
        <w:tc>
          <w:tcPr>
            <w:tcW w:w="862" w:type="pct"/>
            <w:tcBorders>
              <w:tl2br w:val="nil"/>
              <w:tr2bl w:val="nil"/>
            </w:tcBorders>
            <w:vAlign w:val="center"/>
          </w:tcPr>
          <w:p w14:paraId="7201877B">
            <w:pPr>
              <w:pStyle w:val="240"/>
              <w:rPr>
                <w:rFonts w:hint="default"/>
              </w:rPr>
            </w:pPr>
            <w:r>
              <w:t>0</w:t>
            </w:r>
          </w:p>
        </w:tc>
        <w:tc>
          <w:tcPr>
            <w:tcW w:w="3733" w:type="pct"/>
            <w:vMerge w:val="continue"/>
            <w:tcBorders>
              <w:tl2br w:val="nil"/>
              <w:tr2bl w:val="nil"/>
            </w:tcBorders>
            <w:vAlign w:val="center"/>
          </w:tcPr>
          <w:p w14:paraId="3FB7679B">
            <w:pPr>
              <w:pStyle w:val="240"/>
              <w:rPr>
                <w:rFonts w:hint="default"/>
              </w:rPr>
            </w:pPr>
          </w:p>
        </w:tc>
      </w:tr>
      <w:tr w14:paraId="74BA662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403" w:type="pct"/>
            <w:tcBorders>
              <w:tl2br w:val="nil"/>
              <w:tr2bl w:val="nil"/>
            </w:tcBorders>
            <w:vAlign w:val="center"/>
          </w:tcPr>
          <w:p w14:paraId="1622C9A8">
            <w:pPr>
              <w:pStyle w:val="240"/>
              <w:rPr>
                <w:rFonts w:hint="default"/>
              </w:rPr>
            </w:pPr>
            <w:r>
              <w:t>350</w:t>
            </w:r>
          </w:p>
        </w:tc>
        <w:tc>
          <w:tcPr>
            <w:tcW w:w="862" w:type="pct"/>
            <w:tcBorders>
              <w:tl2br w:val="nil"/>
              <w:tr2bl w:val="nil"/>
            </w:tcBorders>
            <w:vAlign w:val="center"/>
          </w:tcPr>
          <w:p w14:paraId="4F9EED99">
            <w:pPr>
              <w:pStyle w:val="240"/>
              <w:rPr>
                <w:rFonts w:hint="default"/>
              </w:rPr>
            </w:pPr>
            <w:r>
              <w:t>0</w:t>
            </w:r>
          </w:p>
        </w:tc>
        <w:tc>
          <w:tcPr>
            <w:tcW w:w="3733" w:type="pct"/>
            <w:vMerge w:val="continue"/>
            <w:tcBorders>
              <w:tl2br w:val="nil"/>
              <w:tr2bl w:val="nil"/>
            </w:tcBorders>
            <w:vAlign w:val="center"/>
          </w:tcPr>
          <w:p w14:paraId="1F0DEFEF">
            <w:pPr>
              <w:pStyle w:val="240"/>
              <w:rPr>
                <w:rFonts w:hint="default"/>
              </w:rPr>
            </w:pPr>
          </w:p>
        </w:tc>
      </w:tr>
      <w:tr w14:paraId="4E1C22C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403" w:type="pct"/>
            <w:tcBorders>
              <w:tl2br w:val="nil"/>
              <w:tr2bl w:val="nil"/>
            </w:tcBorders>
            <w:vAlign w:val="center"/>
          </w:tcPr>
          <w:p w14:paraId="2DED1D0A">
            <w:pPr>
              <w:pStyle w:val="240"/>
              <w:rPr>
                <w:rFonts w:hint="default"/>
              </w:rPr>
            </w:pPr>
            <w:r>
              <w:t>400</w:t>
            </w:r>
          </w:p>
        </w:tc>
        <w:tc>
          <w:tcPr>
            <w:tcW w:w="862" w:type="pct"/>
            <w:tcBorders>
              <w:tl2br w:val="nil"/>
              <w:tr2bl w:val="nil"/>
            </w:tcBorders>
            <w:vAlign w:val="center"/>
          </w:tcPr>
          <w:p w14:paraId="7C7FD7AE">
            <w:pPr>
              <w:pStyle w:val="240"/>
              <w:rPr>
                <w:rFonts w:hint="default"/>
              </w:rPr>
            </w:pPr>
            <w:r>
              <w:t>0</w:t>
            </w:r>
          </w:p>
        </w:tc>
        <w:tc>
          <w:tcPr>
            <w:tcW w:w="3733" w:type="pct"/>
            <w:vMerge w:val="continue"/>
            <w:tcBorders>
              <w:tl2br w:val="nil"/>
              <w:tr2bl w:val="nil"/>
            </w:tcBorders>
            <w:vAlign w:val="center"/>
          </w:tcPr>
          <w:p w14:paraId="4F822040">
            <w:pPr>
              <w:pStyle w:val="240"/>
              <w:rPr>
                <w:rFonts w:hint="default"/>
              </w:rPr>
            </w:pPr>
          </w:p>
        </w:tc>
      </w:tr>
      <w:tr w14:paraId="22C50E8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403" w:type="pct"/>
            <w:tcBorders>
              <w:tl2br w:val="nil"/>
              <w:tr2bl w:val="nil"/>
            </w:tcBorders>
            <w:vAlign w:val="center"/>
          </w:tcPr>
          <w:p w14:paraId="286ED282">
            <w:pPr>
              <w:pStyle w:val="240"/>
              <w:rPr>
                <w:rFonts w:hint="default"/>
              </w:rPr>
            </w:pPr>
            <w:r>
              <w:t>500</w:t>
            </w:r>
          </w:p>
        </w:tc>
        <w:tc>
          <w:tcPr>
            <w:tcW w:w="862" w:type="pct"/>
            <w:tcBorders>
              <w:tl2br w:val="nil"/>
              <w:tr2bl w:val="nil"/>
            </w:tcBorders>
            <w:vAlign w:val="center"/>
          </w:tcPr>
          <w:p w14:paraId="3E8E9121">
            <w:pPr>
              <w:pStyle w:val="240"/>
              <w:rPr>
                <w:rFonts w:hint="default"/>
              </w:rPr>
            </w:pPr>
            <w:r>
              <w:t>0</w:t>
            </w:r>
          </w:p>
        </w:tc>
        <w:tc>
          <w:tcPr>
            <w:tcW w:w="3733" w:type="pct"/>
            <w:vMerge w:val="continue"/>
            <w:tcBorders>
              <w:tl2br w:val="nil"/>
              <w:tr2bl w:val="nil"/>
            </w:tcBorders>
            <w:vAlign w:val="center"/>
          </w:tcPr>
          <w:p w14:paraId="7E6278E6">
            <w:pPr>
              <w:pStyle w:val="240"/>
              <w:rPr>
                <w:rFonts w:hint="default"/>
              </w:rPr>
            </w:pPr>
          </w:p>
        </w:tc>
      </w:tr>
      <w:tr w14:paraId="6F11D41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7" w:hRule="atLeast"/>
        </w:trPr>
        <w:tc>
          <w:tcPr>
            <w:tcW w:w="403" w:type="pct"/>
            <w:tcBorders>
              <w:tl2br w:val="nil"/>
              <w:tr2bl w:val="nil"/>
            </w:tcBorders>
            <w:vAlign w:val="center"/>
          </w:tcPr>
          <w:p w14:paraId="7CCC594A">
            <w:pPr>
              <w:pStyle w:val="240"/>
              <w:rPr>
                <w:rFonts w:hint="default"/>
              </w:rPr>
            </w:pPr>
            <w:r>
              <w:t>1000</w:t>
            </w:r>
          </w:p>
        </w:tc>
        <w:tc>
          <w:tcPr>
            <w:tcW w:w="862" w:type="pct"/>
            <w:tcBorders>
              <w:tl2br w:val="nil"/>
              <w:tr2bl w:val="nil"/>
            </w:tcBorders>
            <w:vAlign w:val="center"/>
          </w:tcPr>
          <w:p w14:paraId="468A67D0">
            <w:pPr>
              <w:pStyle w:val="240"/>
              <w:rPr>
                <w:rFonts w:hint="default"/>
              </w:rPr>
            </w:pPr>
            <w:r>
              <w:t>0</w:t>
            </w:r>
          </w:p>
        </w:tc>
        <w:tc>
          <w:tcPr>
            <w:tcW w:w="3733" w:type="pct"/>
            <w:vMerge w:val="continue"/>
            <w:tcBorders>
              <w:tl2br w:val="nil"/>
              <w:tr2bl w:val="nil"/>
            </w:tcBorders>
            <w:vAlign w:val="center"/>
          </w:tcPr>
          <w:p w14:paraId="46BD812F">
            <w:pPr>
              <w:pStyle w:val="240"/>
              <w:rPr>
                <w:rFonts w:hint="default"/>
              </w:rPr>
            </w:pPr>
          </w:p>
        </w:tc>
      </w:tr>
    </w:tbl>
    <w:p w14:paraId="1A038042">
      <w:pPr>
        <w:spacing w:line="360" w:lineRule="auto"/>
        <w:ind w:firstLine="480" w:firstLineChars="200"/>
        <w:rPr>
          <w:color w:val="000000"/>
          <w:sz w:val="24"/>
          <w:szCs w:val="24"/>
        </w:rPr>
      </w:pPr>
      <w:r>
        <w:rPr>
          <w:rFonts w:hint="eastAsia"/>
          <w:color w:val="000000"/>
          <w:sz w:val="24"/>
          <w:szCs w:val="24"/>
        </w:rPr>
        <w:t>《地下水质量标准》（GB/T14848-2017）中Ⅲ类标准氨氮标准限值0.5mg/L、耗氧量（以COD计）标准限值3.0mg/L。由表5.2-18、5.2-19预测结果可知，项目COD、氨氮非正常</w:t>
      </w:r>
      <w:r>
        <w:rPr>
          <w:rFonts w:hint="eastAsia"/>
          <w:color w:val="000000"/>
          <w:sz w:val="24"/>
          <w:szCs w:val="24"/>
          <w:lang w:eastAsia="zh-CN"/>
        </w:rPr>
        <w:t>泄漏</w:t>
      </w:r>
      <w:r>
        <w:rPr>
          <w:rFonts w:hint="eastAsia"/>
          <w:color w:val="000000"/>
          <w:sz w:val="24"/>
          <w:szCs w:val="24"/>
        </w:rPr>
        <w:t>100天、1000天时间段内均无超标点。</w:t>
      </w:r>
    </w:p>
    <w:p w14:paraId="135C131C">
      <w:pPr>
        <w:pStyle w:val="5"/>
        <w:rPr>
          <w:rFonts w:ascii="Times New Roman" w:hAnsi="Times New Roman"/>
          <w:color w:val="000000"/>
          <w:lang w:val="en-US"/>
        </w:rPr>
      </w:pPr>
      <w:r>
        <w:rPr>
          <w:rFonts w:hint="eastAsia" w:ascii="Times New Roman" w:hAnsi="Times New Roman"/>
          <w:color w:val="000000"/>
          <w:lang w:val="en-US"/>
        </w:rPr>
        <w:t xml:space="preserve">5.2.2.3小结 </w:t>
      </w:r>
    </w:p>
    <w:p w14:paraId="4E55D650">
      <w:pPr>
        <w:spacing w:line="360" w:lineRule="auto"/>
        <w:ind w:firstLine="480" w:firstLineChars="200"/>
        <w:rPr>
          <w:color w:val="000000"/>
          <w:sz w:val="24"/>
          <w:szCs w:val="24"/>
        </w:rPr>
      </w:pPr>
      <w:r>
        <w:rPr>
          <w:rFonts w:hint="eastAsia"/>
          <w:color w:val="000000"/>
          <w:sz w:val="24"/>
          <w:szCs w:val="24"/>
        </w:rPr>
        <w:t>项目完成后，</w:t>
      </w:r>
      <w:r>
        <w:rPr>
          <w:rFonts w:hint="eastAsia" w:ascii="宋体" w:hAnsi="宋体"/>
          <w:sz w:val="24"/>
          <w:szCs w:val="24"/>
        </w:rPr>
        <w:t>生活污水排入</w:t>
      </w:r>
      <w:r>
        <w:rPr>
          <w:rFonts w:hint="eastAsia" w:ascii="宋体" w:hAnsi="宋体"/>
          <w:sz w:val="24"/>
          <w:szCs w:val="24"/>
          <w:lang w:val="en-US" w:eastAsia="zh-CN"/>
        </w:rPr>
        <w:t>10</w:t>
      </w:r>
      <w:r>
        <w:rPr>
          <w:rFonts w:ascii="宋体" w:hAnsi="宋体"/>
          <w:sz w:val="24"/>
          <w:szCs w:val="24"/>
        </w:rPr>
        <w:t>m</w:t>
      </w:r>
      <w:r>
        <w:rPr>
          <w:rFonts w:ascii="宋体" w:hAnsi="宋体"/>
          <w:sz w:val="24"/>
          <w:szCs w:val="24"/>
          <w:vertAlign w:val="superscript"/>
        </w:rPr>
        <w:t>3</w:t>
      </w:r>
      <w:r>
        <w:rPr>
          <w:rFonts w:hint="eastAsia" w:ascii="宋体" w:hAnsi="宋体"/>
          <w:sz w:val="24"/>
          <w:szCs w:val="24"/>
          <w:lang w:val="en-US" w:eastAsia="zh-CN"/>
        </w:rPr>
        <w:t>防渗化粪池</w:t>
      </w:r>
      <w:r>
        <w:rPr>
          <w:rFonts w:hint="eastAsia" w:ascii="宋体" w:hAnsi="宋体"/>
          <w:sz w:val="24"/>
          <w:szCs w:val="24"/>
          <w:lang w:eastAsia="zh-CN"/>
        </w:rPr>
        <w:t>，定期由库尔勒龙润水处理有限公司采用罐车拉运至库尔勒南市区污水处理厂</w:t>
      </w:r>
      <w:r>
        <w:rPr>
          <w:rFonts w:hint="eastAsia"/>
          <w:color w:val="000000"/>
          <w:sz w:val="24"/>
          <w:szCs w:val="24"/>
        </w:rPr>
        <w:t>，在严格采取分区防渗、突发性事故消防废水排至事故池等措施后，项目建成后废水对周围地表水、地下水环境造成影响不大。</w:t>
      </w:r>
    </w:p>
    <w:p w14:paraId="4E0B9D4B">
      <w:pPr>
        <w:pStyle w:val="4"/>
        <w:autoSpaceDE w:val="0"/>
        <w:autoSpaceDN w:val="0"/>
        <w:spacing w:before="0" w:after="0" w:line="360" w:lineRule="auto"/>
        <w:jc w:val="left"/>
        <w:rPr>
          <w:kern w:val="0"/>
          <w:sz w:val="24"/>
          <w:lang w:val="en-US" w:bidi="zh-CN"/>
        </w:rPr>
      </w:pPr>
      <w:r>
        <w:rPr>
          <w:rFonts w:hint="eastAsia"/>
          <w:kern w:val="0"/>
          <w:sz w:val="24"/>
          <w:lang w:val="en-US" w:bidi="zh-CN"/>
        </w:rPr>
        <w:t>5.2.3运营期声环境影响分析</w:t>
      </w:r>
    </w:p>
    <w:p w14:paraId="2E9E251B">
      <w:pPr>
        <w:pStyle w:val="5"/>
        <w:rPr>
          <w:rFonts w:ascii="Times New Roman" w:hAnsi="Times New Roman"/>
          <w:color w:val="000000"/>
          <w:lang w:val="en-US"/>
        </w:rPr>
      </w:pPr>
      <w:r>
        <w:rPr>
          <w:rFonts w:hint="eastAsia" w:ascii="Times New Roman" w:hAnsi="Times New Roman"/>
          <w:color w:val="000000"/>
          <w:lang w:val="en-US"/>
        </w:rPr>
        <w:t>5.2.3.1预测范围及内容</w:t>
      </w:r>
    </w:p>
    <w:p w14:paraId="04025501">
      <w:pPr>
        <w:widowControl/>
        <w:spacing w:line="360" w:lineRule="auto"/>
        <w:ind w:firstLine="480" w:firstLineChars="200"/>
        <w:rPr>
          <w:color w:val="000000"/>
          <w:kern w:val="0"/>
          <w:sz w:val="24"/>
          <w:szCs w:val="24"/>
        </w:rPr>
      </w:pPr>
      <w:r>
        <w:rPr>
          <w:rFonts w:hint="eastAsia"/>
          <w:color w:val="000000"/>
          <w:kern w:val="0"/>
          <w:sz w:val="24"/>
          <w:szCs w:val="24"/>
        </w:rPr>
        <w:t>根据本项目噪声源的位置，确定噪声预测范围为东、南、西、北厂界外1m，预测本工程运营后的厂界噪声贡献值及叠加背景值后的昼、夜噪声等效声级，评价厂界和环境噪声监测点的噪声污染水平。</w:t>
      </w:r>
    </w:p>
    <w:p w14:paraId="6883B2D2">
      <w:pPr>
        <w:pStyle w:val="5"/>
        <w:rPr>
          <w:rFonts w:ascii="Times New Roman" w:hAnsi="Times New Roman"/>
          <w:color w:val="000000"/>
          <w:lang w:val="en-US"/>
        </w:rPr>
      </w:pPr>
      <w:bookmarkStart w:id="300" w:name="_Toc28430"/>
      <w:bookmarkStart w:id="301" w:name="_Toc14730"/>
      <w:bookmarkStart w:id="302" w:name="_Toc10840"/>
      <w:bookmarkStart w:id="303" w:name="_Toc275162200"/>
      <w:bookmarkStart w:id="304" w:name="_Toc16401"/>
      <w:r>
        <w:rPr>
          <w:rFonts w:hint="eastAsia" w:ascii="Times New Roman" w:hAnsi="Times New Roman"/>
          <w:color w:val="000000"/>
          <w:lang w:val="en-US"/>
        </w:rPr>
        <w:t>5.2.3.2主要噪声源</w:t>
      </w:r>
      <w:bookmarkEnd w:id="300"/>
      <w:bookmarkEnd w:id="301"/>
      <w:bookmarkEnd w:id="302"/>
      <w:bookmarkEnd w:id="303"/>
      <w:bookmarkEnd w:id="304"/>
    </w:p>
    <w:p w14:paraId="1F70099E">
      <w:pPr>
        <w:widowControl/>
        <w:spacing w:line="360" w:lineRule="auto"/>
        <w:ind w:right="-40" w:firstLine="464" w:firstLineChars="200"/>
        <w:rPr>
          <w:b/>
          <w:color w:val="000000"/>
          <w:kern w:val="0"/>
          <w:sz w:val="24"/>
          <w:szCs w:val="24"/>
        </w:rPr>
      </w:pPr>
      <w:r>
        <w:rPr>
          <w:rFonts w:hint="eastAsia"/>
          <w:color w:val="000000"/>
          <w:spacing w:val="-4"/>
          <w:kern w:val="0"/>
          <w:sz w:val="24"/>
          <w:szCs w:val="24"/>
        </w:rPr>
        <w:t>项目运营期噪声主要来自生产设备，产生噪声的主要设备为挤出机、切粒机、输送设备、风机、水泵等设备，</w:t>
      </w:r>
      <w:r>
        <w:rPr>
          <w:rFonts w:hint="eastAsia"/>
          <w:snapToGrid w:val="0"/>
          <w:color w:val="000000"/>
          <w:kern w:val="0"/>
          <w:sz w:val="24"/>
          <w:szCs w:val="24"/>
        </w:rPr>
        <w:t>源强为</w:t>
      </w:r>
      <w:r>
        <w:rPr>
          <w:rFonts w:hint="eastAsia"/>
          <w:color w:val="000000"/>
          <w:spacing w:val="-4"/>
          <w:kern w:val="0"/>
          <w:sz w:val="24"/>
          <w:szCs w:val="24"/>
        </w:rPr>
        <w:t>65-80dB（A）。噪声污染源分析可见表5.2-2</w:t>
      </w:r>
      <w:r>
        <w:rPr>
          <w:rFonts w:hint="eastAsia"/>
          <w:color w:val="000000"/>
          <w:spacing w:val="-4"/>
          <w:kern w:val="0"/>
          <w:sz w:val="24"/>
          <w:szCs w:val="24"/>
          <w:lang w:val="en-US" w:eastAsia="zh-CN"/>
        </w:rPr>
        <w:t>2</w:t>
      </w:r>
      <w:r>
        <w:rPr>
          <w:rFonts w:hint="eastAsia"/>
          <w:color w:val="000000"/>
          <w:spacing w:val="-4"/>
          <w:kern w:val="0"/>
          <w:sz w:val="24"/>
          <w:szCs w:val="24"/>
        </w:rPr>
        <w:t>、5.2-2</w:t>
      </w:r>
      <w:r>
        <w:rPr>
          <w:rFonts w:hint="eastAsia"/>
          <w:color w:val="000000"/>
          <w:spacing w:val="-4"/>
          <w:kern w:val="0"/>
          <w:sz w:val="24"/>
          <w:szCs w:val="24"/>
          <w:lang w:val="en-US" w:eastAsia="zh-CN"/>
        </w:rPr>
        <w:t>3</w:t>
      </w:r>
      <w:r>
        <w:rPr>
          <w:rFonts w:hint="eastAsia"/>
          <w:color w:val="000000"/>
          <w:spacing w:val="-4"/>
          <w:kern w:val="0"/>
          <w:sz w:val="24"/>
          <w:szCs w:val="24"/>
        </w:rPr>
        <w:t>。</w:t>
      </w:r>
    </w:p>
    <w:p w14:paraId="0A5328A7">
      <w:pPr>
        <w:widowControl/>
        <w:ind w:firstLine="422" w:firstLineChars="200"/>
        <w:jc w:val="center"/>
        <w:rPr>
          <w:rFonts w:hint="eastAsia" w:hAnsi="宋体"/>
          <w:b/>
          <w:color w:val="000000"/>
          <w:kern w:val="0"/>
          <w:szCs w:val="21"/>
        </w:rPr>
      </w:pPr>
      <w:bookmarkStart w:id="305" w:name="OLE_LINK7"/>
    </w:p>
    <w:p w14:paraId="3C54AFD2">
      <w:pPr>
        <w:widowControl/>
        <w:ind w:firstLine="422" w:firstLineChars="200"/>
        <w:jc w:val="center"/>
        <w:rPr>
          <w:rFonts w:hint="eastAsia" w:hAnsi="宋体"/>
          <w:b/>
          <w:color w:val="000000"/>
          <w:kern w:val="0"/>
          <w:szCs w:val="21"/>
        </w:rPr>
      </w:pPr>
    </w:p>
    <w:p w14:paraId="43A51F0D">
      <w:pPr>
        <w:widowControl/>
        <w:ind w:firstLine="422" w:firstLineChars="200"/>
        <w:jc w:val="center"/>
        <w:rPr>
          <w:rFonts w:hint="eastAsia" w:hAnsi="宋体"/>
          <w:b/>
          <w:color w:val="000000"/>
          <w:kern w:val="0"/>
          <w:szCs w:val="21"/>
        </w:rPr>
      </w:pPr>
    </w:p>
    <w:p w14:paraId="79004B8E">
      <w:pPr>
        <w:widowControl/>
        <w:ind w:firstLine="422" w:firstLineChars="200"/>
        <w:jc w:val="center"/>
        <w:rPr>
          <w:rFonts w:hint="eastAsia" w:hAnsi="宋体"/>
          <w:b/>
          <w:color w:val="000000"/>
          <w:kern w:val="0"/>
          <w:szCs w:val="21"/>
        </w:rPr>
      </w:pPr>
    </w:p>
    <w:p w14:paraId="25426F0A">
      <w:pPr>
        <w:widowControl/>
        <w:ind w:firstLine="422" w:firstLineChars="200"/>
        <w:jc w:val="center"/>
        <w:rPr>
          <w:rFonts w:hint="eastAsia" w:hAnsi="宋体"/>
          <w:b/>
          <w:color w:val="000000"/>
          <w:kern w:val="0"/>
          <w:szCs w:val="21"/>
        </w:rPr>
      </w:pPr>
    </w:p>
    <w:p w14:paraId="7AEAA39D">
      <w:pPr>
        <w:widowControl/>
        <w:ind w:firstLine="422" w:firstLineChars="200"/>
        <w:jc w:val="center"/>
        <w:rPr>
          <w:rFonts w:hint="eastAsia" w:hAnsi="宋体"/>
          <w:b/>
          <w:color w:val="000000"/>
          <w:kern w:val="0"/>
          <w:szCs w:val="21"/>
        </w:rPr>
      </w:pPr>
    </w:p>
    <w:p w14:paraId="147E6A8C">
      <w:pPr>
        <w:widowControl/>
        <w:ind w:firstLine="422" w:firstLineChars="200"/>
        <w:jc w:val="center"/>
        <w:rPr>
          <w:rFonts w:hint="eastAsia" w:hAnsi="宋体"/>
          <w:b/>
          <w:color w:val="000000"/>
          <w:kern w:val="0"/>
          <w:szCs w:val="21"/>
        </w:rPr>
      </w:pPr>
    </w:p>
    <w:p w14:paraId="282DB862">
      <w:pPr>
        <w:widowControl/>
        <w:ind w:firstLine="422" w:firstLineChars="200"/>
        <w:jc w:val="center"/>
        <w:rPr>
          <w:b/>
          <w:color w:val="000000"/>
          <w:kern w:val="0"/>
          <w:szCs w:val="21"/>
        </w:rPr>
      </w:pPr>
      <w:r>
        <w:rPr>
          <w:rFonts w:hint="eastAsia" w:hAnsi="宋体"/>
          <w:b/>
          <w:color w:val="000000"/>
          <w:kern w:val="0"/>
          <w:szCs w:val="21"/>
        </w:rPr>
        <w:t>表5.2-2</w:t>
      </w:r>
      <w:r>
        <w:rPr>
          <w:rFonts w:hint="eastAsia" w:hAnsi="宋体"/>
          <w:b/>
          <w:color w:val="000000"/>
          <w:kern w:val="0"/>
          <w:szCs w:val="21"/>
          <w:lang w:val="en-US" w:eastAsia="zh-CN"/>
        </w:rPr>
        <w:t>2</w:t>
      </w:r>
      <w:r>
        <w:rPr>
          <w:rFonts w:hint="eastAsia" w:hAnsi="宋体"/>
          <w:b/>
          <w:color w:val="000000"/>
          <w:kern w:val="0"/>
          <w:szCs w:val="21"/>
        </w:rPr>
        <w:t xml:space="preserve">     项目室外声源噪声源强调查清单表</w:t>
      </w:r>
      <w:bookmarkEnd w:id="305"/>
      <w:r>
        <w:rPr>
          <w:rFonts w:hint="eastAsia" w:hAnsi="宋体"/>
          <w:b/>
          <w:color w:val="000000"/>
          <w:kern w:val="0"/>
          <w:szCs w:val="21"/>
        </w:rPr>
        <w:t xml:space="preserve">   </w:t>
      </w:r>
    </w:p>
    <w:tbl>
      <w:tblPr>
        <w:tblStyle w:val="49"/>
        <w:tblW w:w="4996" w:type="pct"/>
        <w:tblInd w:w="0" w:type="dxa"/>
        <w:tblBorders>
          <w:top w:val="single" w:color="auto" w:sz="12" w:space="0"/>
          <w:left w:val="single" w:color="auto" w:sz="12" w:space="0"/>
          <w:bottom w:val="single" w:color="auto" w:sz="12" w:space="0"/>
          <w:right w:val="single" w:color="auto" w:sz="12" w:space="0"/>
          <w:insideH w:val="single" w:color="auto" w:sz="2" w:space="0"/>
          <w:insideV w:val="single" w:color="auto" w:sz="4" w:space="0"/>
        </w:tblBorders>
        <w:tblLayout w:type="autofit"/>
        <w:tblCellMar>
          <w:top w:w="0" w:type="dxa"/>
          <w:left w:w="108" w:type="dxa"/>
          <w:bottom w:w="0" w:type="dxa"/>
          <w:right w:w="108" w:type="dxa"/>
        </w:tblCellMar>
      </w:tblPr>
      <w:tblGrid>
        <w:gridCol w:w="702"/>
        <w:gridCol w:w="1270"/>
        <w:gridCol w:w="975"/>
        <w:gridCol w:w="917"/>
        <w:gridCol w:w="815"/>
        <w:gridCol w:w="1181"/>
        <w:gridCol w:w="2623"/>
        <w:gridCol w:w="798"/>
      </w:tblGrid>
      <w:tr w14:paraId="77FEC0C9">
        <w:tblPrEx>
          <w:tblBorders>
            <w:top w:val="single" w:color="auto" w:sz="12" w:space="0"/>
            <w:left w:val="single" w:color="auto" w:sz="12" w:space="0"/>
            <w:bottom w:val="single" w:color="auto" w:sz="12" w:space="0"/>
            <w:right w:val="single" w:color="auto" w:sz="12" w:space="0"/>
            <w:insideH w:val="single" w:color="auto" w:sz="2" w:space="0"/>
            <w:insideV w:val="single" w:color="auto" w:sz="4" w:space="0"/>
          </w:tblBorders>
        </w:tblPrEx>
        <w:trPr>
          <w:trHeight w:val="334" w:hRule="atLeast"/>
        </w:trPr>
        <w:tc>
          <w:tcPr>
            <w:tcW w:w="379" w:type="pct"/>
            <w:vMerge w:val="restart"/>
            <w:tcBorders>
              <w:tl2br w:val="nil"/>
              <w:tr2bl w:val="nil"/>
            </w:tcBorders>
            <w:vAlign w:val="center"/>
          </w:tcPr>
          <w:p w14:paraId="7D07541A">
            <w:pPr>
              <w:jc w:val="center"/>
              <w:rPr>
                <w:bCs/>
                <w:color w:val="000000"/>
                <w:szCs w:val="21"/>
              </w:rPr>
            </w:pPr>
            <w:r>
              <w:rPr>
                <w:rFonts w:hint="eastAsia"/>
                <w:bCs/>
                <w:color w:val="000000"/>
                <w:szCs w:val="21"/>
              </w:rPr>
              <w:t>序号</w:t>
            </w:r>
          </w:p>
        </w:tc>
        <w:tc>
          <w:tcPr>
            <w:tcW w:w="684" w:type="pct"/>
            <w:vMerge w:val="restart"/>
            <w:tcBorders>
              <w:tl2br w:val="nil"/>
              <w:tr2bl w:val="nil"/>
            </w:tcBorders>
            <w:vAlign w:val="center"/>
          </w:tcPr>
          <w:p w14:paraId="1D3254BF">
            <w:pPr>
              <w:jc w:val="center"/>
              <w:rPr>
                <w:bCs/>
                <w:color w:val="000000"/>
                <w:szCs w:val="21"/>
              </w:rPr>
            </w:pPr>
            <w:r>
              <w:rPr>
                <w:rFonts w:hint="eastAsia"/>
                <w:bCs/>
                <w:color w:val="000000"/>
                <w:szCs w:val="21"/>
              </w:rPr>
              <w:t>声源名称</w:t>
            </w:r>
          </w:p>
        </w:tc>
        <w:tc>
          <w:tcPr>
            <w:tcW w:w="1458" w:type="pct"/>
            <w:gridSpan w:val="3"/>
            <w:tcBorders>
              <w:tl2br w:val="nil"/>
              <w:tr2bl w:val="nil"/>
            </w:tcBorders>
            <w:vAlign w:val="center"/>
          </w:tcPr>
          <w:p w14:paraId="2EE9DB0F">
            <w:pPr>
              <w:jc w:val="center"/>
              <w:rPr>
                <w:bCs/>
                <w:color w:val="000000"/>
                <w:szCs w:val="21"/>
              </w:rPr>
            </w:pPr>
            <w:r>
              <w:rPr>
                <w:rFonts w:hint="eastAsia"/>
                <w:bCs/>
                <w:color w:val="000000"/>
                <w:szCs w:val="21"/>
              </w:rPr>
              <w:t>空间相对位置/m</w:t>
            </w:r>
          </w:p>
        </w:tc>
        <w:tc>
          <w:tcPr>
            <w:tcW w:w="636" w:type="pct"/>
            <w:vMerge w:val="restart"/>
            <w:tcBorders>
              <w:tl2br w:val="nil"/>
              <w:tr2bl w:val="nil"/>
            </w:tcBorders>
            <w:vAlign w:val="center"/>
          </w:tcPr>
          <w:p w14:paraId="5C85A6B7">
            <w:pPr>
              <w:jc w:val="center"/>
              <w:rPr>
                <w:bCs/>
                <w:color w:val="000000"/>
                <w:szCs w:val="21"/>
              </w:rPr>
            </w:pPr>
            <w:r>
              <w:rPr>
                <w:rFonts w:hint="eastAsia"/>
                <w:bCs/>
                <w:color w:val="000000"/>
                <w:szCs w:val="21"/>
              </w:rPr>
              <w:t>声功率级/dB(A)</w:t>
            </w:r>
          </w:p>
        </w:tc>
        <w:tc>
          <w:tcPr>
            <w:tcW w:w="1413" w:type="pct"/>
            <w:vMerge w:val="restart"/>
            <w:tcBorders>
              <w:tl2br w:val="nil"/>
              <w:tr2bl w:val="nil"/>
            </w:tcBorders>
            <w:vAlign w:val="center"/>
          </w:tcPr>
          <w:p w14:paraId="0E599346">
            <w:pPr>
              <w:jc w:val="center"/>
              <w:rPr>
                <w:bCs/>
                <w:color w:val="000000"/>
                <w:szCs w:val="21"/>
              </w:rPr>
            </w:pPr>
            <w:r>
              <w:rPr>
                <w:rFonts w:hint="eastAsia"/>
                <w:bCs/>
                <w:color w:val="000000"/>
                <w:szCs w:val="21"/>
              </w:rPr>
              <w:t>声源控制措施</w:t>
            </w:r>
          </w:p>
        </w:tc>
        <w:tc>
          <w:tcPr>
            <w:tcW w:w="428" w:type="pct"/>
            <w:vMerge w:val="restart"/>
            <w:tcBorders>
              <w:tl2br w:val="nil"/>
              <w:tr2bl w:val="nil"/>
            </w:tcBorders>
            <w:vAlign w:val="center"/>
          </w:tcPr>
          <w:p w14:paraId="1D73A146">
            <w:pPr>
              <w:jc w:val="center"/>
              <w:rPr>
                <w:bCs/>
                <w:color w:val="000000"/>
                <w:szCs w:val="21"/>
              </w:rPr>
            </w:pPr>
            <w:r>
              <w:rPr>
                <w:rFonts w:hint="eastAsia"/>
                <w:bCs/>
                <w:color w:val="000000"/>
                <w:szCs w:val="21"/>
              </w:rPr>
              <w:t>运行时段</w:t>
            </w:r>
          </w:p>
        </w:tc>
      </w:tr>
      <w:tr w14:paraId="40D4BCC1">
        <w:tblPrEx>
          <w:tblBorders>
            <w:top w:val="single" w:color="auto" w:sz="12" w:space="0"/>
            <w:left w:val="single" w:color="auto" w:sz="12" w:space="0"/>
            <w:bottom w:val="single" w:color="auto" w:sz="12" w:space="0"/>
            <w:right w:val="single" w:color="auto" w:sz="12" w:space="0"/>
            <w:insideH w:val="single" w:color="auto" w:sz="2" w:space="0"/>
            <w:insideV w:val="single" w:color="auto" w:sz="4" w:space="0"/>
          </w:tblBorders>
          <w:tblCellMar>
            <w:top w:w="0" w:type="dxa"/>
            <w:left w:w="108" w:type="dxa"/>
            <w:bottom w:w="0" w:type="dxa"/>
            <w:right w:w="108" w:type="dxa"/>
          </w:tblCellMar>
        </w:tblPrEx>
        <w:trPr>
          <w:trHeight w:val="242" w:hRule="atLeast"/>
        </w:trPr>
        <w:tc>
          <w:tcPr>
            <w:tcW w:w="379" w:type="pct"/>
            <w:vMerge w:val="continue"/>
            <w:tcBorders>
              <w:tl2br w:val="nil"/>
              <w:tr2bl w:val="nil"/>
            </w:tcBorders>
            <w:shd w:val="clear" w:color="auto" w:fill="FFFFFF"/>
            <w:vAlign w:val="center"/>
          </w:tcPr>
          <w:p w14:paraId="0336CE5E">
            <w:pPr>
              <w:jc w:val="center"/>
              <w:rPr>
                <w:b/>
                <w:color w:val="000000"/>
                <w:szCs w:val="21"/>
              </w:rPr>
            </w:pPr>
          </w:p>
        </w:tc>
        <w:tc>
          <w:tcPr>
            <w:tcW w:w="684" w:type="pct"/>
            <w:vMerge w:val="continue"/>
            <w:tcBorders>
              <w:tl2br w:val="nil"/>
              <w:tr2bl w:val="nil"/>
            </w:tcBorders>
            <w:shd w:val="clear" w:color="auto" w:fill="FFFFFF"/>
            <w:vAlign w:val="center"/>
          </w:tcPr>
          <w:p w14:paraId="68979CA0">
            <w:pPr>
              <w:jc w:val="center"/>
              <w:rPr>
                <w:b/>
                <w:color w:val="000000"/>
                <w:szCs w:val="21"/>
              </w:rPr>
            </w:pPr>
          </w:p>
        </w:tc>
        <w:tc>
          <w:tcPr>
            <w:tcW w:w="525" w:type="pct"/>
            <w:tcBorders>
              <w:tl2br w:val="nil"/>
              <w:tr2bl w:val="nil"/>
            </w:tcBorders>
            <w:shd w:val="clear" w:color="auto" w:fill="FFFFFF"/>
            <w:vAlign w:val="center"/>
          </w:tcPr>
          <w:p w14:paraId="1B6093FA">
            <w:pPr>
              <w:jc w:val="center"/>
              <w:rPr>
                <w:b w:val="0"/>
                <w:bCs/>
                <w:color w:val="000000"/>
                <w:szCs w:val="21"/>
              </w:rPr>
            </w:pPr>
            <w:r>
              <w:rPr>
                <w:rFonts w:hint="eastAsia"/>
                <w:b w:val="0"/>
                <w:bCs/>
                <w:color w:val="000000"/>
                <w:szCs w:val="21"/>
              </w:rPr>
              <w:t>X</w:t>
            </w:r>
          </w:p>
        </w:tc>
        <w:tc>
          <w:tcPr>
            <w:tcW w:w="494" w:type="pct"/>
            <w:tcBorders>
              <w:tl2br w:val="nil"/>
              <w:tr2bl w:val="nil"/>
            </w:tcBorders>
            <w:shd w:val="clear" w:color="auto" w:fill="FFFFFF"/>
            <w:vAlign w:val="center"/>
          </w:tcPr>
          <w:p w14:paraId="63198CE0">
            <w:pPr>
              <w:jc w:val="center"/>
              <w:rPr>
                <w:b w:val="0"/>
                <w:bCs/>
                <w:color w:val="000000"/>
                <w:szCs w:val="21"/>
              </w:rPr>
            </w:pPr>
            <w:r>
              <w:rPr>
                <w:rFonts w:hint="eastAsia"/>
                <w:b w:val="0"/>
                <w:bCs/>
                <w:color w:val="000000"/>
                <w:szCs w:val="21"/>
              </w:rPr>
              <w:t>Y</w:t>
            </w:r>
          </w:p>
        </w:tc>
        <w:tc>
          <w:tcPr>
            <w:tcW w:w="439" w:type="pct"/>
            <w:tcBorders>
              <w:tl2br w:val="nil"/>
              <w:tr2bl w:val="nil"/>
            </w:tcBorders>
            <w:shd w:val="clear" w:color="auto" w:fill="FFFFFF"/>
            <w:vAlign w:val="center"/>
          </w:tcPr>
          <w:p w14:paraId="663E49E9">
            <w:pPr>
              <w:jc w:val="center"/>
              <w:rPr>
                <w:b w:val="0"/>
                <w:bCs/>
                <w:color w:val="000000"/>
                <w:szCs w:val="21"/>
              </w:rPr>
            </w:pPr>
            <w:r>
              <w:rPr>
                <w:rFonts w:hint="eastAsia"/>
                <w:b w:val="0"/>
                <w:bCs/>
                <w:color w:val="000000"/>
                <w:szCs w:val="21"/>
              </w:rPr>
              <w:t>Z</w:t>
            </w:r>
          </w:p>
        </w:tc>
        <w:tc>
          <w:tcPr>
            <w:tcW w:w="636" w:type="pct"/>
            <w:vMerge w:val="continue"/>
            <w:tcBorders>
              <w:tl2br w:val="nil"/>
              <w:tr2bl w:val="nil"/>
            </w:tcBorders>
            <w:shd w:val="clear" w:color="auto" w:fill="FFFFFF"/>
            <w:vAlign w:val="center"/>
          </w:tcPr>
          <w:p w14:paraId="7EA655FE">
            <w:pPr>
              <w:jc w:val="center"/>
              <w:rPr>
                <w:b/>
                <w:color w:val="000000"/>
                <w:szCs w:val="21"/>
              </w:rPr>
            </w:pPr>
          </w:p>
        </w:tc>
        <w:tc>
          <w:tcPr>
            <w:tcW w:w="1413" w:type="pct"/>
            <w:vMerge w:val="continue"/>
            <w:tcBorders>
              <w:tl2br w:val="nil"/>
              <w:tr2bl w:val="nil"/>
            </w:tcBorders>
            <w:shd w:val="clear" w:color="auto" w:fill="FFFFFF"/>
            <w:vAlign w:val="center"/>
          </w:tcPr>
          <w:p w14:paraId="4E3DF61F">
            <w:pPr>
              <w:jc w:val="center"/>
              <w:rPr>
                <w:bCs/>
                <w:color w:val="000000"/>
                <w:szCs w:val="21"/>
              </w:rPr>
            </w:pPr>
          </w:p>
        </w:tc>
        <w:tc>
          <w:tcPr>
            <w:tcW w:w="428" w:type="pct"/>
            <w:vMerge w:val="continue"/>
            <w:tcBorders>
              <w:tl2br w:val="nil"/>
              <w:tr2bl w:val="nil"/>
            </w:tcBorders>
            <w:shd w:val="clear" w:color="auto" w:fill="FFFFFF"/>
            <w:vAlign w:val="center"/>
          </w:tcPr>
          <w:p w14:paraId="3A17DF0D">
            <w:pPr>
              <w:jc w:val="center"/>
              <w:rPr>
                <w:bCs/>
                <w:color w:val="000000"/>
                <w:szCs w:val="21"/>
              </w:rPr>
            </w:pPr>
          </w:p>
        </w:tc>
      </w:tr>
      <w:tr w14:paraId="2FF3B2A9">
        <w:tblPrEx>
          <w:tblBorders>
            <w:top w:val="single" w:color="auto" w:sz="12" w:space="0"/>
            <w:left w:val="single" w:color="auto" w:sz="12" w:space="0"/>
            <w:bottom w:val="single" w:color="auto" w:sz="12" w:space="0"/>
            <w:right w:val="single" w:color="auto" w:sz="12" w:space="0"/>
            <w:insideH w:val="single" w:color="auto" w:sz="2" w:space="0"/>
            <w:insideV w:val="single" w:color="auto" w:sz="4" w:space="0"/>
          </w:tblBorders>
          <w:shd w:val="clear" w:color="auto" w:fill="FFFFFF"/>
          <w:tblCellMar>
            <w:top w:w="0" w:type="dxa"/>
            <w:left w:w="108" w:type="dxa"/>
            <w:bottom w:w="0" w:type="dxa"/>
            <w:right w:w="108" w:type="dxa"/>
          </w:tblCellMar>
        </w:tblPrEx>
        <w:trPr>
          <w:trHeight w:val="476" w:hRule="atLeast"/>
        </w:trPr>
        <w:tc>
          <w:tcPr>
            <w:tcW w:w="379" w:type="pct"/>
            <w:tcBorders>
              <w:tl2br w:val="nil"/>
              <w:tr2bl w:val="nil"/>
            </w:tcBorders>
            <w:shd w:val="clear" w:color="auto" w:fill="FFFFFF"/>
            <w:vAlign w:val="center"/>
          </w:tcPr>
          <w:p w14:paraId="3C5A1972">
            <w:pPr>
              <w:jc w:val="center"/>
              <w:rPr>
                <w:bCs/>
                <w:color w:val="000000"/>
                <w:szCs w:val="21"/>
              </w:rPr>
            </w:pPr>
            <w:r>
              <w:rPr>
                <w:rFonts w:hint="eastAsia"/>
                <w:bCs/>
                <w:color w:val="000000"/>
                <w:szCs w:val="21"/>
              </w:rPr>
              <w:t>1</w:t>
            </w:r>
          </w:p>
        </w:tc>
        <w:tc>
          <w:tcPr>
            <w:tcW w:w="684" w:type="pct"/>
            <w:tcBorders>
              <w:tl2br w:val="nil"/>
              <w:tr2bl w:val="nil"/>
            </w:tcBorders>
            <w:shd w:val="clear" w:color="auto" w:fill="FFFFFF"/>
            <w:vAlign w:val="center"/>
          </w:tcPr>
          <w:p w14:paraId="678F0261">
            <w:pPr>
              <w:jc w:val="center"/>
              <w:rPr>
                <w:bCs/>
                <w:color w:val="000000"/>
                <w:szCs w:val="21"/>
              </w:rPr>
            </w:pPr>
            <w:r>
              <w:rPr>
                <w:rFonts w:hint="eastAsia"/>
                <w:bCs/>
                <w:color w:val="000000"/>
                <w:szCs w:val="21"/>
                <w:lang w:val="en-US" w:eastAsia="zh-CN"/>
              </w:rPr>
              <w:t>1#</w:t>
            </w:r>
            <w:r>
              <w:rPr>
                <w:rFonts w:hint="eastAsia"/>
                <w:bCs/>
                <w:color w:val="000000"/>
                <w:szCs w:val="21"/>
              </w:rPr>
              <w:t>风机</w:t>
            </w:r>
          </w:p>
        </w:tc>
        <w:tc>
          <w:tcPr>
            <w:tcW w:w="525" w:type="pct"/>
            <w:tcBorders>
              <w:tl2br w:val="nil"/>
              <w:tr2bl w:val="nil"/>
            </w:tcBorders>
            <w:shd w:val="clear" w:color="auto" w:fill="FFFFFF"/>
            <w:vAlign w:val="center"/>
          </w:tcPr>
          <w:p w14:paraId="745B2684">
            <w:pPr>
              <w:snapToGrid w:val="0"/>
              <w:jc w:val="center"/>
              <w:rPr>
                <w:bCs/>
                <w:color w:val="000000"/>
                <w:szCs w:val="21"/>
              </w:rPr>
            </w:pPr>
            <w:r>
              <w:rPr>
                <w:rFonts w:hint="eastAsia" w:ascii="宋体" w:hAnsi="宋体" w:cs="宋体"/>
                <w:szCs w:val="21"/>
              </w:rPr>
              <w:t>27</w:t>
            </w:r>
          </w:p>
        </w:tc>
        <w:tc>
          <w:tcPr>
            <w:tcW w:w="494" w:type="pct"/>
            <w:tcBorders>
              <w:tl2br w:val="nil"/>
              <w:tr2bl w:val="nil"/>
            </w:tcBorders>
            <w:shd w:val="clear" w:color="auto" w:fill="FFFFFF"/>
            <w:vAlign w:val="center"/>
          </w:tcPr>
          <w:p w14:paraId="67E189A4">
            <w:pPr>
              <w:snapToGrid w:val="0"/>
              <w:jc w:val="center"/>
              <w:rPr>
                <w:bCs/>
                <w:color w:val="000000"/>
                <w:szCs w:val="21"/>
              </w:rPr>
            </w:pPr>
            <w:r>
              <w:rPr>
                <w:rFonts w:hint="eastAsia" w:ascii="宋体" w:hAnsi="宋体" w:cs="宋体"/>
                <w:szCs w:val="21"/>
              </w:rPr>
              <w:t>9</w:t>
            </w:r>
          </w:p>
        </w:tc>
        <w:tc>
          <w:tcPr>
            <w:tcW w:w="439" w:type="pct"/>
            <w:tcBorders>
              <w:tl2br w:val="nil"/>
              <w:tr2bl w:val="nil"/>
            </w:tcBorders>
            <w:shd w:val="clear" w:color="auto" w:fill="FFFFFF"/>
            <w:vAlign w:val="center"/>
          </w:tcPr>
          <w:p w14:paraId="526A43CD">
            <w:pPr>
              <w:snapToGrid w:val="0"/>
              <w:jc w:val="center"/>
              <w:rPr>
                <w:bCs/>
                <w:color w:val="000000"/>
                <w:szCs w:val="21"/>
              </w:rPr>
            </w:pPr>
            <w:r>
              <w:rPr>
                <w:rFonts w:hint="eastAsia" w:ascii="宋体" w:hAnsi="宋体" w:cs="宋体"/>
                <w:szCs w:val="21"/>
              </w:rPr>
              <w:t>1.5</w:t>
            </w:r>
          </w:p>
        </w:tc>
        <w:tc>
          <w:tcPr>
            <w:tcW w:w="636" w:type="pct"/>
            <w:vMerge w:val="restart"/>
            <w:tcBorders>
              <w:tl2br w:val="nil"/>
              <w:tr2bl w:val="nil"/>
            </w:tcBorders>
            <w:shd w:val="clear" w:color="auto" w:fill="FFFFFF"/>
            <w:vAlign w:val="center"/>
          </w:tcPr>
          <w:p w14:paraId="51B7E68A">
            <w:pPr>
              <w:jc w:val="center"/>
              <w:rPr>
                <w:rFonts w:hint="eastAsia"/>
                <w:bCs/>
                <w:color w:val="000000"/>
                <w:szCs w:val="21"/>
              </w:rPr>
            </w:pPr>
            <w:r>
              <w:rPr>
                <w:rFonts w:hint="eastAsia"/>
                <w:bCs/>
                <w:color w:val="000000"/>
                <w:szCs w:val="21"/>
              </w:rPr>
              <w:t>80</w:t>
            </w:r>
          </w:p>
          <w:p w14:paraId="1043BBAD">
            <w:pPr>
              <w:jc w:val="center"/>
              <w:rPr>
                <w:rFonts w:hint="default" w:eastAsia="宋体"/>
                <w:bCs/>
                <w:color w:val="000000"/>
                <w:szCs w:val="21"/>
                <w:lang w:val="en-US" w:eastAsia="zh-CN"/>
              </w:rPr>
            </w:pPr>
          </w:p>
        </w:tc>
        <w:tc>
          <w:tcPr>
            <w:tcW w:w="1413" w:type="pct"/>
            <w:vMerge w:val="restart"/>
            <w:tcBorders>
              <w:tl2br w:val="nil"/>
              <w:tr2bl w:val="nil"/>
            </w:tcBorders>
            <w:shd w:val="clear" w:color="auto" w:fill="FFFFFF"/>
            <w:vAlign w:val="center"/>
          </w:tcPr>
          <w:p w14:paraId="17141886">
            <w:pPr>
              <w:jc w:val="center"/>
              <w:rPr>
                <w:bCs/>
                <w:color w:val="000000"/>
                <w:szCs w:val="21"/>
              </w:rPr>
            </w:pPr>
            <w:r>
              <w:rPr>
                <w:bCs/>
                <w:color w:val="000000"/>
                <w:szCs w:val="21"/>
              </w:rPr>
              <w:t>选用低噪设备、基础减振、建筑隔声、风管接头减振等</w:t>
            </w:r>
          </w:p>
        </w:tc>
        <w:tc>
          <w:tcPr>
            <w:tcW w:w="428" w:type="pct"/>
            <w:vMerge w:val="restart"/>
            <w:tcBorders>
              <w:tl2br w:val="nil"/>
              <w:tr2bl w:val="nil"/>
            </w:tcBorders>
            <w:shd w:val="clear" w:color="auto" w:fill="FFFFFF"/>
            <w:vAlign w:val="center"/>
          </w:tcPr>
          <w:p w14:paraId="78FD7EBB">
            <w:pPr>
              <w:jc w:val="center"/>
              <w:rPr>
                <w:bCs/>
                <w:color w:val="000000"/>
                <w:szCs w:val="21"/>
              </w:rPr>
            </w:pPr>
            <w:r>
              <w:rPr>
                <w:rFonts w:hint="eastAsia"/>
                <w:bCs/>
                <w:color w:val="000000"/>
                <w:szCs w:val="21"/>
              </w:rPr>
              <w:t>全天</w:t>
            </w:r>
          </w:p>
        </w:tc>
      </w:tr>
      <w:tr w14:paraId="22977411">
        <w:tblPrEx>
          <w:tblBorders>
            <w:top w:val="single" w:color="auto" w:sz="12" w:space="0"/>
            <w:left w:val="single" w:color="auto" w:sz="12" w:space="0"/>
            <w:bottom w:val="single" w:color="auto" w:sz="12" w:space="0"/>
            <w:right w:val="single" w:color="auto" w:sz="12" w:space="0"/>
            <w:insideH w:val="single" w:color="auto" w:sz="2" w:space="0"/>
            <w:insideV w:val="single" w:color="auto" w:sz="4" w:space="0"/>
          </w:tblBorders>
          <w:shd w:val="clear" w:color="auto" w:fill="FFFFFF"/>
          <w:tblCellMar>
            <w:top w:w="0" w:type="dxa"/>
            <w:left w:w="108" w:type="dxa"/>
            <w:bottom w:w="0" w:type="dxa"/>
            <w:right w:w="108" w:type="dxa"/>
          </w:tblCellMar>
        </w:tblPrEx>
        <w:trPr>
          <w:trHeight w:val="384" w:hRule="atLeast"/>
        </w:trPr>
        <w:tc>
          <w:tcPr>
            <w:tcW w:w="379" w:type="pct"/>
            <w:tcBorders>
              <w:tl2br w:val="nil"/>
              <w:tr2bl w:val="nil"/>
            </w:tcBorders>
            <w:shd w:val="clear" w:color="auto" w:fill="FFFFFF"/>
            <w:vAlign w:val="center"/>
          </w:tcPr>
          <w:p w14:paraId="79F82522">
            <w:pPr>
              <w:jc w:val="center"/>
              <w:rPr>
                <w:rFonts w:hint="eastAsia" w:eastAsia="宋体"/>
                <w:bCs/>
                <w:color w:val="000000"/>
                <w:szCs w:val="21"/>
                <w:lang w:val="en-US" w:eastAsia="zh-CN"/>
              </w:rPr>
            </w:pPr>
            <w:r>
              <w:rPr>
                <w:rFonts w:hint="eastAsia"/>
                <w:bCs/>
                <w:color w:val="000000"/>
                <w:szCs w:val="21"/>
                <w:lang w:val="en-US" w:eastAsia="zh-CN"/>
              </w:rPr>
              <w:t>2</w:t>
            </w:r>
          </w:p>
        </w:tc>
        <w:tc>
          <w:tcPr>
            <w:tcW w:w="684" w:type="pct"/>
            <w:tcBorders>
              <w:tl2br w:val="nil"/>
              <w:tr2bl w:val="nil"/>
            </w:tcBorders>
            <w:shd w:val="clear" w:color="auto" w:fill="FFFFFF"/>
            <w:vAlign w:val="center"/>
          </w:tcPr>
          <w:p w14:paraId="57BEE2F8">
            <w:pPr>
              <w:jc w:val="center"/>
              <w:rPr>
                <w:rFonts w:hint="eastAsia"/>
                <w:bCs/>
                <w:color w:val="000000"/>
                <w:szCs w:val="21"/>
              </w:rPr>
            </w:pPr>
            <w:r>
              <w:rPr>
                <w:rFonts w:hint="eastAsia"/>
                <w:bCs/>
                <w:color w:val="000000"/>
                <w:szCs w:val="21"/>
                <w:lang w:val="en-US" w:eastAsia="zh-CN"/>
              </w:rPr>
              <w:t>2#</w:t>
            </w:r>
            <w:r>
              <w:rPr>
                <w:rFonts w:hint="eastAsia"/>
                <w:bCs/>
                <w:color w:val="000000"/>
                <w:szCs w:val="21"/>
              </w:rPr>
              <w:t>风机</w:t>
            </w:r>
          </w:p>
        </w:tc>
        <w:tc>
          <w:tcPr>
            <w:tcW w:w="525" w:type="pct"/>
            <w:tcBorders>
              <w:tl2br w:val="nil"/>
              <w:tr2bl w:val="nil"/>
            </w:tcBorders>
            <w:shd w:val="clear" w:color="auto" w:fill="FFFFFF"/>
            <w:vAlign w:val="center"/>
          </w:tcPr>
          <w:p w14:paraId="281EEA85">
            <w:pPr>
              <w:snapToGrid w:val="0"/>
              <w:jc w:val="center"/>
              <w:rPr>
                <w:rFonts w:hint="eastAsia"/>
                <w:bCs/>
                <w:color w:val="000000"/>
                <w:szCs w:val="21"/>
              </w:rPr>
            </w:pPr>
            <w:r>
              <w:rPr>
                <w:rFonts w:hint="eastAsia" w:ascii="宋体" w:hAnsi="宋体" w:cs="宋体"/>
                <w:szCs w:val="21"/>
                <w:lang w:val="en-US" w:eastAsia="zh-CN"/>
              </w:rPr>
              <w:t>28</w:t>
            </w:r>
          </w:p>
        </w:tc>
        <w:tc>
          <w:tcPr>
            <w:tcW w:w="494" w:type="pct"/>
            <w:tcBorders>
              <w:tl2br w:val="nil"/>
              <w:tr2bl w:val="nil"/>
            </w:tcBorders>
            <w:shd w:val="clear" w:color="auto" w:fill="FFFFFF"/>
            <w:vAlign w:val="center"/>
          </w:tcPr>
          <w:p w14:paraId="2BD198DE">
            <w:pPr>
              <w:snapToGrid w:val="0"/>
              <w:jc w:val="center"/>
              <w:rPr>
                <w:rFonts w:hint="eastAsia"/>
                <w:bCs/>
                <w:color w:val="000000"/>
                <w:szCs w:val="21"/>
              </w:rPr>
            </w:pPr>
            <w:r>
              <w:rPr>
                <w:rFonts w:hint="eastAsia" w:ascii="宋体" w:hAnsi="宋体" w:cs="宋体"/>
                <w:szCs w:val="21"/>
                <w:lang w:val="en-US" w:eastAsia="zh-CN"/>
              </w:rPr>
              <w:t>11</w:t>
            </w:r>
          </w:p>
        </w:tc>
        <w:tc>
          <w:tcPr>
            <w:tcW w:w="439" w:type="pct"/>
            <w:tcBorders>
              <w:tl2br w:val="nil"/>
              <w:tr2bl w:val="nil"/>
            </w:tcBorders>
            <w:shd w:val="clear" w:color="auto" w:fill="FFFFFF"/>
            <w:vAlign w:val="center"/>
          </w:tcPr>
          <w:p w14:paraId="0F1A69E8">
            <w:pPr>
              <w:snapToGrid w:val="0"/>
              <w:jc w:val="center"/>
              <w:rPr>
                <w:rFonts w:hint="eastAsia"/>
                <w:bCs/>
                <w:color w:val="000000"/>
                <w:szCs w:val="21"/>
              </w:rPr>
            </w:pPr>
            <w:r>
              <w:rPr>
                <w:rFonts w:hint="eastAsia" w:ascii="宋体" w:hAnsi="宋体" w:cs="宋体"/>
                <w:szCs w:val="21"/>
                <w:lang w:val="en-US" w:eastAsia="zh-CN"/>
              </w:rPr>
              <w:t>1.5</w:t>
            </w:r>
          </w:p>
        </w:tc>
        <w:tc>
          <w:tcPr>
            <w:tcW w:w="636" w:type="pct"/>
            <w:vMerge w:val="continue"/>
            <w:tcBorders>
              <w:tl2br w:val="nil"/>
              <w:tr2bl w:val="nil"/>
            </w:tcBorders>
            <w:shd w:val="clear" w:color="auto" w:fill="FFFFFF"/>
            <w:vAlign w:val="center"/>
          </w:tcPr>
          <w:p w14:paraId="519CF7CF">
            <w:pPr>
              <w:jc w:val="center"/>
              <w:rPr>
                <w:rFonts w:hint="eastAsia"/>
                <w:bCs/>
                <w:color w:val="000000"/>
                <w:szCs w:val="21"/>
              </w:rPr>
            </w:pPr>
          </w:p>
        </w:tc>
        <w:tc>
          <w:tcPr>
            <w:tcW w:w="1413" w:type="pct"/>
            <w:vMerge w:val="continue"/>
            <w:tcBorders>
              <w:tl2br w:val="nil"/>
              <w:tr2bl w:val="nil"/>
            </w:tcBorders>
            <w:shd w:val="clear" w:color="auto" w:fill="FFFFFF"/>
            <w:vAlign w:val="center"/>
          </w:tcPr>
          <w:p w14:paraId="76252E76">
            <w:pPr>
              <w:jc w:val="center"/>
              <w:rPr>
                <w:bCs/>
                <w:color w:val="000000"/>
                <w:szCs w:val="21"/>
              </w:rPr>
            </w:pPr>
          </w:p>
        </w:tc>
        <w:tc>
          <w:tcPr>
            <w:tcW w:w="428" w:type="pct"/>
            <w:vMerge w:val="continue"/>
            <w:tcBorders>
              <w:tl2br w:val="nil"/>
              <w:tr2bl w:val="nil"/>
            </w:tcBorders>
            <w:shd w:val="clear" w:color="auto" w:fill="FFFFFF"/>
            <w:vAlign w:val="center"/>
          </w:tcPr>
          <w:p w14:paraId="49816CBE">
            <w:pPr>
              <w:jc w:val="center"/>
              <w:rPr>
                <w:rFonts w:hint="eastAsia"/>
                <w:bCs/>
                <w:color w:val="000000"/>
                <w:szCs w:val="21"/>
              </w:rPr>
            </w:pPr>
          </w:p>
        </w:tc>
      </w:tr>
      <w:tr w14:paraId="411AA94D">
        <w:tblPrEx>
          <w:tblBorders>
            <w:top w:val="single" w:color="auto" w:sz="12" w:space="0"/>
            <w:left w:val="single" w:color="auto" w:sz="12" w:space="0"/>
            <w:bottom w:val="single" w:color="auto" w:sz="12" w:space="0"/>
            <w:right w:val="single" w:color="auto" w:sz="12" w:space="0"/>
            <w:insideH w:val="single" w:color="auto" w:sz="2" w:space="0"/>
            <w:insideV w:val="single" w:color="auto" w:sz="4" w:space="0"/>
          </w:tblBorders>
          <w:shd w:val="clear" w:color="auto" w:fill="FFFFFF"/>
          <w:tblCellMar>
            <w:top w:w="0" w:type="dxa"/>
            <w:left w:w="108" w:type="dxa"/>
            <w:bottom w:w="0" w:type="dxa"/>
            <w:right w:w="108" w:type="dxa"/>
          </w:tblCellMar>
        </w:tblPrEx>
        <w:trPr>
          <w:trHeight w:val="384" w:hRule="atLeast"/>
        </w:trPr>
        <w:tc>
          <w:tcPr>
            <w:tcW w:w="379" w:type="pct"/>
            <w:tcBorders>
              <w:tl2br w:val="nil"/>
              <w:tr2bl w:val="nil"/>
            </w:tcBorders>
            <w:shd w:val="clear" w:color="auto" w:fill="FFFFFF"/>
            <w:vAlign w:val="center"/>
          </w:tcPr>
          <w:p w14:paraId="74D236E7">
            <w:pPr>
              <w:jc w:val="center"/>
              <w:rPr>
                <w:rFonts w:hint="eastAsia" w:eastAsia="宋体"/>
                <w:bCs/>
                <w:color w:val="000000"/>
                <w:szCs w:val="21"/>
                <w:lang w:val="en-US" w:eastAsia="zh-CN"/>
              </w:rPr>
            </w:pPr>
            <w:r>
              <w:rPr>
                <w:rFonts w:hint="eastAsia"/>
                <w:bCs/>
                <w:color w:val="000000"/>
                <w:szCs w:val="21"/>
                <w:lang w:val="en-US" w:eastAsia="zh-CN"/>
              </w:rPr>
              <w:t>3</w:t>
            </w:r>
          </w:p>
        </w:tc>
        <w:tc>
          <w:tcPr>
            <w:tcW w:w="684" w:type="pct"/>
            <w:tcBorders>
              <w:tl2br w:val="nil"/>
              <w:tr2bl w:val="nil"/>
            </w:tcBorders>
            <w:shd w:val="clear" w:color="auto" w:fill="FFFFFF"/>
            <w:vAlign w:val="center"/>
          </w:tcPr>
          <w:p w14:paraId="0124AA0A">
            <w:pPr>
              <w:snapToGrid w:val="0"/>
              <w:jc w:val="center"/>
              <w:rPr>
                <w:rFonts w:hint="eastAsia"/>
                <w:bCs/>
                <w:color w:val="000000"/>
                <w:szCs w:val="21"/>
              </w:rPr>
            </w:pPr>
            <w:r>
              <w:rPr>
                <w:rFonts w:hint="eastAsia" w:ascii="宋体" w:hAnsi="宋体" w:cs="宋体"/>
                <w:szCs w:val="21"/>
                <w:lang w:val="en-US" w:eastAsia="zh-CN"/>
              </w:rPr>
              <w:t>1#</w:t>
            </w:r>
            <w:r>
              <w:rPr>
                <w:rFonts w:hint="eastAsia" w:ascii="宋体" w:hAnsi="宋体" w:cs="宋体"/>
                <w:szCs w:val="21"/>
              </w:rPr>
              <w:t>自卸汽车</w:t>
            </w:r>
          </w:p>
        </w:tc>
        <w:tc>
          <w:tcPr>
            <w:tcW w:w="525" w:type="pct"/>
            <w:tcBorders>
              <w:tl2br w:val="nil"/>
              <w:tr2bl w:val="nil"/>
            </w:tcBorders>
            <w:shd w:val="clear" w:color="auto" w:fill="FFFFFF"/>
            <w:vAlign w:val="center"/>
          </w:tcPr>
          <w:p w14:paraId="47EFEE0C">
            <w:pPr>
              <w:jc w:val="center"/>
              <w:rPr>
                <w:rFonts w:hint="default" w:eastAsia="宋体"/>
                <w:bCs/>
                <w:color w:val="000000"/>
                <w:szCs w:val="21"/>
                <w:lang w:val="en-US" w:eastAsia="zh-CN"/>
              </w:rPr>
            </w:pPr>
            <w:r>
              <w:rPr>
                <w:rFonts w:hint="eastAsia"/>
                <w:bCs/>
                <w:color w:val="000000"/>
                <w:szCs w:val="21"/>
                <w:lang w:val="en-US" w:eastAsia="zh-CN"/>
              </w:rPr>
              <w:t>26</w:t>
            </w:r>
          </w:p>
        </w:tc>
        <w:tc>
          <w:tcPr>
            <w:tcW w:w="494" w:type="pct"/>
            <w:tcBorders>
              <w:tl2br w:val="nil"/>
              <w:tr2bl w:val="nil"/>
            </w:tcBorders>
            <w:shd w:val="clear" w:color="auto" w:fill="FFFFFF"/>
            <w:vAlign w:val="center"/>
          </w:tcPr>
          <w:p w14:paraId="6018AA62">
            <w:pPr>
              <w:jc w:val="center"/>
              <w:rPr>
                <w:rFonts w:hint="default" w:eastAsia="宋体"/>
                <w:bCs/>
                <w:color w:val="000000"/>
                <w:szCs w:val="21"/>
                <w:lang w:val="en-US" w:eastAsia="zh-CN"/>
              </w:rPr>
            </w:pPr>
            <w:r>
              <w:rPr>
                <w:rFonts w:hint="eastAsia"/>
                <w:bCs/>
                <w:color w:val="000000"/>
                <w:szCs w:val="21"/>
                <w:lang w:val="en-US" w:eastAsia="zh-CN"/>
              </w:rPr>
              <w:t>12</w:t>
            </w:r>
          </w:p>
        </w:tc>
        <w:tc>
          <w:tcPr>
            <w:tcW w:w="439" w:type="pct"/>
            <w:tcBorders>
              <w:tl2br w:val="nil"/>
              <w:tr2bl w:val="nil"/>
            </w:tcBorders>
            <w:shd w:val="clear" w:color="auto" w:fill="FFFFFF"/>
            <w:vAlign w:val="center"/>
          </w:tcPr>
          <w:p w14:paraId="67FF91C9">
            <w:pPr>
              <w:jc w:val="center"/>
              <w:rPr>
                <w:rFonts w:hint="default" w:eastAsia="宋体"/>
                <w:bCs/>
                <w:color w:val="000000"/>
                <w:szCs w:val="21"/>
                <w:lang w:val="en-US" w:eastAsia="zh-CN"/>
              </w:rPr>
            </w:pPr>
            <w:r>
              <w:rPr>
                <w:rFonts w:hint="eastAsia"/>
                <w:bCs/>
                <w:color w:val="000000"/>
                <w:szCs w:val="21"/>
                <w:lang w:val="en-US" w:eastAsia="zh-CN"/>
              </w:rPr>
              <w:t>1.5</w:t>
            </w:r>
          </w:p>
        </w:tc>
        <w:tc>
          <w:tcPr>
            <w:tcW w:w="636" w:type="pct"/>
            <w:vMerge w:val="continue"/>
            <w:tcBorders>
              <w:tl2br w:val="nil"/>
              <w:tr2bl w:val="nil"/>
            </w:tcBorders>
            <w:shd w:val="clear" w:color="auto" w:fill="FFFFFF"/>
            <w:vAlign w:val="center"/>
          </w:tcPr>
          <w:p w14:paraId="3B02B48A">
            <w:pPr>
              <w:jc w:val="center"/>
              <w:rPr>
                <w:rFonts w:hint="default" w:eastAsia="宋体"/>
                <w:bCs/>
                <w:color w:val="000000"/>
                <w:szCs w:val="21"/>
                <w:lang w:val="en-US" w:eastAsia="zh-CN"/>
              </w:rPr>
            </w:pPr>
          </w:p>
        </w:tc>
        <w:tc>
          <w:tcPr>
            <w:tcW w:w="1413" w:type="pct"/>
            <w:vMerge w:val="restart"/>
            <w:tcBorders>
              <w:tl2br w:val="nil"/>
              <w:tr2bl w:val="nil"/>
            </w:tcBorders>
            <w:shd w:val="clear" w:color="auto" w:fill="FFFFFF"/>
            <w:vAlign w:val="center"/>
          </w:tcPr>
          <w:p w14:paraId="50AA8E20">
            <w:pPr>
              <w:jc w:val="center"/>
              <w:rPr>
                <w:bCs/>
                <w:color w:val="000000"/>
                <w:szCs w:val="21"/>
              </w:rPr>
            </w:pPr>
            <w:r>
              <w:rPr>
                <w:rFonts w:hint="eastAsia" w:ascii="宋体" w:hAnsi="宋体" w:cs="宋体"/>
                <w:szCs w:val="21"/>
              </w:rPr>
              <w:t>选用低噪声自卸汽车、吸声、减震</w:t>
            </w:r>
          </w:p>
        </w:tc>
        <w:tc>
          <w:tcPr>
            <w:tcW w:w="428" w:type="pct"/>
            <w:vMerge w:val="restart"/>
            <w:tcBorders>
              <w:tl2br w:val="nil"/>
              <w:tr2bl w:val="nil"/>
            </w:tcBorders>
            <w:shd w:val="clear" w:color="auto" w:fill="FFFFFF"/>
            <w:vAlign w:val="center"/>
          </w:tcPr>
          <w:p w14:paraId="700551B7">
            <w:pPr>
              <w:jc w:val="center"/>
              <w:rPr>
                <w:rFonts w:hint="eastAsia"/>
                <w:bCs/>
                <w:color w:val="000000"/>
                <w:szCs w:val="21"/>
              </w:rPr>
            </w:pPr>
            <w:r>
              <w:rPr>
                <w:rFonts w:hint="eastAsia" w:ascii="宋体" w:hAnsi="宋体" w:cs="宋体"/>
                <w:szCs w:val="21"/>
              </w:rPr>
              <w:t>昼间运行</w:t>
            </w:r>
          </w:p>
        </w:tc>
      </w:tr>
      <w:tr w14:paraId="7BE077A4">
        <w:tblPrEx>
          <w:tblBorders>
            <w:top w:val="single" w:color="auto" w:sz="12" w:space="0"/>
            <w:left w:val="single" w:color="auto" w:sz="12" w:space="0"/>
            <w:bottom w:val="single" w:color="auto" w:sz="12" w:space="0"/>
            <w:right w:val="single" w:color="auto" w:sz="12" w:space="0"/>
            <w:insideH w:val="single" w:color="auto" w:sz="2" w:space="0"/>
            <w:insideV w:val="single" w:color="auto" w:sz="4" w:space="0"/>
          </w:tblBorders>
          <w:shd w:val="clear" w:color="auto" w:fill="FFFFFF"/>
          <w:tblCellMar>
            <w:top w:w="0" w:type="dxa"/>
            <w:left w:w="108" w:type="dxa"/>
            <w:bottom w:w="0" w:type="dxa"/>
            <w:right w:w="108" w:type="dxa"/>
          </w:tblCellMar>
        </w:tblPrEx>
        <w:trPr>
          <w:trHeight w:val="384" w:hRule="atLeast"/>
        </w:trPr>
        <w:tc>
          <w:tcPr>
            <w:tcW w:w="379" w:type="pct"/>
            <w:tcBorders>
              <w:tl2br w:val="nil"/>
              <w:tr2bl w:val="nil"/>
            </w:tcBorders>
            <w:shd w:val="clear" w:color="auto" w:fill="FFFFFF"/>
            <w:vAlign w:val="center"/>
          </w:tcPr>
          <w:p w14:paraId="6038D29D">
            <w:pPr>
              <w:jc w:val="center"/>
              <w:rPr>
                <w:rFonts w:hint="default"/>
                <w:bCs/>
                <w:color w:val="000000"/>
                <w:szCs w:val="21"/>
                <w:lang w:val="en-US" w:eastAsia="zh-CN"/>
              </w:rPr>
            </w:pPr>
            <w:r>
              <w:rPr>
                <w:rFonts w:hint="eastAsia"/>
                <w:bCs/>
                <w:color w:val="000000"/>
                <w:szCs w:val="21"/>
                <w:lang w:val="en-US" w:eastAsia="zh-CN"/>
              </w:rPr>
              <w:t>4</w:t>
            </w:r>
          </w:p>
        </w:tc>
        <w:tc>
          <w:tcPr>
            <w:tcW w:w="684" w:type="pct"/>
            <w:tcBorders>
              <w:tl2br w:val="nil"/>
              <w:tr2bl w:val="nil"/>
            </w:tcBorders>
            <w:shd w:val="clear" w:color="auto" w:fill="FFFFFF"/>
            <w:vAlign w:val="center"/>
          </w:tcPr>
          <w:p w14:paraId="7B200D64">
            <w:pPr>
              <w:snapToGrid w:val="0"/>
              <w:jc w:val="center"/>
              <w:rPr>
                <w:rFonts w:hint="eastAsia" w:ascii="宋体" w:hAnsi="宋体" w:cs="宋体"/>
                <w:szCs w:val="21"/>
              </w:rPr>
            </w:pPr>
            <w:r>
              <w:rPr>
                <w:rFonts w:hint="eastAsia" w:ascii="宋体" w:hAnsi="宋体" w:cs="宋体"/>
                <w:szCs w:val="21"/>
                <w:lang w:val="en-US" w:eastAsia="zh-CN"/>
              </w:rPr>
              <w:t>2#</w:t>
            </w:r>
            <w:r>
              <w:rPr>
                <w:rFonts w:hint="eastAsia" w:ascii="宋体" w:hAnsi="宋体" w:cs="宋体"/>
                <w:szCs w:val="21"/>
              </w:rPr>
              <w:t>自卸汽车</w:t>
            </w:r>
          </w:p>
        </w:tc>
        <w:tc>
          <w:tcPr>
            <w:tcW w:w="525" w:type="pct"/>
            <w:tcBorders>
              <w:tl2br w:val="nil"/>
              <w:tr2bl w:val="nil"/>
            </w:tcBorders>
            <w:shd w:val="clear" w:color="auto" w:fill="auto"/>
            <w:vAlign w:val="center"/>
          </w:tcPr>
          <w:p w14:paraId="3EB99819">
            <w:pPr>
              <w:snapToGrid w:val="0"/>
              <w:jc w:val="center"/>
              <w:rPr>
                <w:rFonts w:hint="eastAsia" w:ascii="宋体" w:hAnsi="宋体" w:eastAsia="宋体" w:cs="宋体"/>
                <w:kern w:val="2"/>
                <w:sz w:val="21"/>
                <w:szCs w:val="21"/>
                <w:lang w:val="en-US" w:eastAsia="zh-CN" w:bidi="ar-SA"/>
              </w:rPr>
            </w:pPr>
            <w:r>
              <w:rPr>
                <w:rFonts w:hint="eastAsia" w:ascii="宋体" w:hAnsi="宋体" w:cs="宋体"/>
                <w:szCs w:val="21"/>
              </w:rPr>
              <w:t>2</w:t>
            </w:r>
            <w:r>
              <w:rPr>
                <w:rFonts w:hint="eastAsia" w:ascii="宋体" w:hAnsi="宋体" w:cs="宋体"/>
                <w:szCs w:val="21"/>
                <w:lang w:val="en-US" w:eastAsia="zh-CN"/>
              </w:rPr>
              <w:t>8</w:t>
            </w:r>
          </w:p>
        </w:tc>
        <w:tc>
          <w:tcPr>
            <w:tcW w:w="494" w:type="pct"/>
            <w:tcBorders>
              <w:tl2br w:val="nil"/>
              <w:tr2bl w:val="nil"/>
            </w:tcBorders>
            <w:shd w:val="clear" w:color="auto" w:fill="auto"/>
            <w:vAlign w:val="center"/>
          </w:tcPr>
          <w:p w14:paraId="2233E482">
            <w:pPr>
              <w:snapToGrid w:val="0"/>
              <w:jc w:val="center"/>
              <w:rPr>
                <w:rFonts w:hint="eastAsia" w:ascii="宋体" w:hAnsi="宋体" w:eastAsia="宋体" w:cs="宋体"/>
                <w:kern w:val="2"/>
                <w:sz w:val="21"/>
                <w:szCs w:val="21"/>
                <w:lang w:val="en-US" w:eastAsia="zh-CN" w:bidi="ar-SA"/>
              </w:rPr>
            </w:pPr>
            <w:r>
              <w:rPr>
                <w:rFonts w:hint="eastAsia" w:ascii="宋体" w:hAnsi="宋体" w:cs="宋体"/>
                <w:szCs w:val="21"/>
              </w:rPr>
              <w:t>1</w:t>
            </w:r>
            <w:r>
              <w:rPr>
                <w:rFonts w:hint="eastAsia" w:ascii="宋体" w:hAnsi="宋体" w:cs="宋体"/>
                <w:szCs w:val="21"/>
                <w:lang w:val="en-US" w:eastAsia="zh-CN"/>
              </w:rPr>
              <w:t>4</w:t>
            </w:r>
          </w:p>
        </w:tc>
        <w:tc>
          <w:tcPr>
            <w:tcW w:w="439" w:type="pct"/>
            <w:tcBorders>
              <w:tl2br w:val="nil"/>
              <w:tr2bl w:val="nil"/>
            </w:tcBorders>
            <w:shd w:val="clear" w:color="auto" w:fill="auto"/>
            <w:vAlign w:val="center"/>
          </w:tcPr>
          <w:p w14:paraId="662471BA">
            <w:pPr>
              <w:snapToGrid w:val="0"/>
              <w:jc w:val="center"/>
              <w:rPr>
                <w:rFonts w:hint="eastAsia" w:ascii="宋体" w:hAnsi="宋体" w:eastAsia="宋体" w:cs="宋体"/>
                <w:kern w:val="2"/>
                <w:sz w:val="21"/>
                <w:szCs w:val="21"/>
                <w:lang w:val="en-US" w:eastAsia="zh-CN" w:bidi="ar-SA"/>
              </w:rPr>
            </w:pPr>
            <w:r>
              <w:rPr>
                <w:rFonts w:hint="eastAsia" w:ascii="宋体" w:hAnsi="宋体" w:cs="宋体"/>
                <w:szCs w:val="21"/>
              </w:rPr>
              <w:t>1.5</w:t>
            </w:r>
          </w:p>
        </w:tc>
        <w:tc>
          <w:tcPr>
            <w:tcW w:w="636" w:type="pct"/>
            <w:vMerge w:val="continue"/>
            <w:tcBorders>
              <w:tl2br w:val="nil"/>
              <w:tr2bl w:val="nil"/>
            </w:tcBorders>
            <w:shd w:val="clear" w:color="auto" w:fill="FFFFFF"/>
            <w:vAlign w:val="center"/>
          </w:tcPr>
          <w:p w14:paraId="31628FBE">
            <w:pPr>
              <w:jc w:val="center"/>
              <w:rPr>
                <w:rFonts w:hint="eastAsia"/>
                <w:bCs/>
                <w:color w:val="000000"/>
                <w:szCs w:val="21"/>
                <w:lang w:val="en-US" w:eastAsia="zh-CN"/>
              </w:rPr>
            </w:pPr>
          </w:p>
        </w:tc>
        <w:tc>
          <w:tcPr>
            <w:tcW w:w="1413" w:type="pct"/>
            <w:vMerge w:val="continue"/>
            <w:tcBorders>
              <w:tl2br w:val="nil"/>
              <w:tr2bl w:val="nil"/>
            </w:tcBorders>
            <w:shd w:val="clear" w:color="auto" w:fill="FFFFFF"/>
            <w:vAlign w:val="center"/>
          </w:tcPr>
          <w:p w14:paraId="4BE6D96E">
            <w:pPr>
              <w:jc w:val="center"/>
              <w:rPr>
                <w:rFonts w:hint="eastAsia" w:ascii="宋体" w:hAnsi="宋体" w:cs="宋体"/>
                <w:szCs w:val="21"/>
              </w:rPr>
            </w:pPr>
          </w:p>
        </w:tc>
        <w:tc>
          <w:tcPr>
            <w:tcW w:w="428" w:type="pct"/>
            <w:vMerge w:val="continue"/>
            <w:tcBorders>
              <w:tl2br w:val="nil"/>
              <w:tr2bl w:val="nil"/>
            </w:tcBorders>
            <w:shd w:val="clear" w:color="auto" w:fill="FFFFFF"/>
            <w:vAlign w:val="center"/>
          </w:tcPr>
          <w:p w14:paraId="75CF69DC">
            <w:pPr>
              <w:jc w:val="center"/>
              <w:rPr>
                <w:rFonts w:hint="eastAsia" w:ascii="宋体" w:hAnsi="宋体" w:cs="宋体"/>
                <w:szCs w:val="21"/>
              </w:rPr>
            </w:pPr>
          </w:p>
        </w:tc>
      </w:tr>
      <w:tr w14:paraId="0190E867">
        <w:tblPrEx>
          <w:tblBorders>
            <w:top w:val="single" w:color="auto" w:sz="12" w:space="0"/>
            <w:left w:val="single" w:color="auto" w:sz="12" w:space="0"/>
            <w:bottom w:val="single" w:color="auto" w:sz="12" w:space="0"/>
            <w:right w:val="single" w:color="auto" w:sz="12" w:space="0"/>
            <w:insideH w:val="single" w:color="auto" w:sz="2" w:space="0"/>
            <w:insideV w:val="single" w:color="auto" w:sz="4" w:space="0"/>
          </w:tblBorders>
          <w:shd w:val="clear" w:color="auto" w:fill="FFFFFF"/>
          <w:tblCellMar>
            <w:top w:w="0" w:type="dxa"/>
            <w:left w:w="108" w:type="dxa"/>
            <w:bottom w:w="0" w:type="dxa"/>
            <w:right w:w="108" w:type="dxa"/>
          </w:tblCellMar>
        </w:tblPrEx>
        <w:trPr>
          <w:trHeight w:val="454" w:hRule="atLeast"/>
        </w:trPr>
        <w:tc>
          <w:tcPr>
            <w:tcW w:w="5000" w:type="pct"/>
            <w:gridSpan w:val="8"/>
            <w:tcBorders>
              <w:tl2br w:val="nil"/>
              <w:tr2bl w:val="nil"/>
            </w:tcBorders>
            <w:shd w:val="clear" w:color="auto" w:fill="FFFFFF"/>
            <w:vAlign w:val="center"/>
          </w:tcPr>
          <w:p w14:paraId="3319D86F">
            <w:pPr>
              <w:jc w:val="left"/>
              <w:rPr>
                <w:bCs/>
                <w:color w:val="000000"/>
                <w:szCs w:val="21"/>
              </w:rPr>
            </w:pPr>
            <w:r>
              <w:rPr>
                <w:rFonts w:hint="eastAsia"/>
                <w:bCs/>
                <w:color w:val="000000"/>
                <w:szCs w:val="21"/>
              </w:rPr>
              <w:t>表中坐标以厂界左下角为坐标原点，正东向为X轴正方向，正北向为Y轴正方向</w:t>
            </w:r>
          </w:p>
        </w:tc>
      </w:tr>
    </w:tbl>
    <w:p w14:paraId="4C2A87B4">
      <w:pPr>
        <w:jc w:val="center"/>
        <w:rPr>
          <w:rFonts w:hint="eastAsia" w:hAnsi="宋体"/>
          <w:b/>
          <w:color w:val="000000"/>
          <w:szCs w:val="21"/>
        </w:rPr>
        <w:sectPr>
          <w:footerReference r:id="rId14" w:type="default"/>
          <w:pgSz w:w="11906" w:h="16838"/>
          <w:pgMar w:top="1440" w:right="1417" w:bottom="1440" w:left="1417" w:header="851" w:footer="992" w:gutter="0"/>
          <w:pgBorders>
            <w:top w:val="none" w:sz="0" w:space="0"/>
            <w:left w:val="none" w:sz="0" w:space="0"/>
            <w:bottom w:val="none" w:sz="0" w:space="0"/>
            <w:right w:val="none" w:sz="0" w:space="0"/>
          </w:pgBorders>
          <w:cols w:space="720" w:num="1"/>
          <w:docGrid w:type="lines" w:linePitch="312" w:charSpace="0"/>
        </w:sectPr>
      </w:pPr>
    </w:p>
    <w:p w14:paraId="710E5304">
      <w:pPr>
        <w:widowControl/>
        <w:jc w:val="center"/>
        <w:rPr>
          <w:color w:val="000000"/>
          <w:kern w:val="0"/>
          <w:sz w:val="24"/>
          <w:szCs w:val="24"/>
        </w:rPr>
      </w:pPr>
      <w:r>
        <w:rPr>
          <w:rFonts w:hint="eastAsia" w:hAnsi="宋体"/>
          <w:b/>
          <w:color w:val="000000"/>
          <w:kern w:val="0"/>
          <w:szCs w:val="21"/>
        </w:rPr>
        <w:t>表5.2-2</w:t>
      </w:r>
      <w:r>
        <w:rPr>
          <w:rFonts w:hint="eastAsia" w:hAnsi="宋体"/>
          <w:b/>
          <w:color w:val="000000"/>
          <w:kern w:val="0"/>
          <w:szCs w:val="21"/>
          <w:lang w:val="en-US" w:eastAsia="zh-CN"/>
        </w:rPr>
        <w:t>3</w:t>
      </w:r>
      <w:r>
        <w:rPr>
          <w:rFonts w:hint="eastAsia" w:hAnsi="宋体"/>
          <w:b/>
          <w:color w:val="000000"/>
          <w:kern w:val="0"/>
          <w:szCs w:val="21"/>
        </w:rPr>
        <w:t xml:space="preserve">     项目室内声源噪声源强调查清单表</w:t>
      </w:r>
    </w:p>
    <w:tbl>
      <w:tblPr>
        <w:tblStyle w:val="49"/>
        <w:tblW w:w="14055"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03"/>
        <w:gridCol w:w="593"/>
        <w:gridCol w:w="565"/>
        <w:gridCol w:w="719"/>
        <w:gridCol w:w="376"/>
        <w:gridCol w:w="638"/>
        <w:gridCol w:w="638"/>
        <w:gridCol w:w="645"/>
        <w:gridCol w:w="530"/>
        <w:gridCol w:w="530"/>
        <w:gridCol w:w="530"/>
        <w:gridCol w:w="536"/>
        <w:gridCol w:w="521"/>
        <w:gridCol w:w="521"/>
        <w:gridCol w:w="521"/>
        <w:gridCol w:w="536"/>
        <w:gridCol w:w="452"/>
        <w:gridCol w:w="504"/>
        <w:gridCol w:w="504"/>
        <w:gridCol w:w="504"/>
        <w:gridCol w:w="513"/>
        <w:gridCol w:w="539"/>
        <w:gridCol w:w="539"/>
        <w:gridCol w:w="539"/>
        <w:gridCol w:w="540"/>
        <w:gridCol w:w="619"/>
      </w:tblGrid>
      <w:tr w14:paraId="3D20578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1" w:hRule="exact"/>
        </w:trPr>
        <w:tc>
          <w:tcPr>
            <w:tcW w:w="403" w:type="dxa"/>
            <w:vMerge w:val="restart"/>
            <w:vAlign w:val="center"/>
          </w:tcPr>
          <w:p w14:paraId="4D93AC16">
            <w:pPr>
              <w:autoSpaceDE w:val="0"/>
              <w:autoSpaceDN w:val="0"/>
              <w:jc w:val="center"/>
              <w:rPr>
                <w:rFonts w:hint="eastAsia" w:ascii="宋体" w:hAnsi="宋体" w:cs="宋体"/>
                <w:bCs/>
                <w:szCs w:val="21"/>
              </w:rPr>
            </w:pPr>
            <w:bookmarkStart w:id="306" w:name="PT_6"/>
            <w:r>
              <w:rPr>
                <w:rFonts w:hint="eastAsia" w:ascii="宋体" w:hAnsi="宋体" w:cs="宋体"/>
                <w:bCs/>
                <w:szCs w:val="21"/>
              </w:rPr>
              <w:t>序号</w:t>
            </w:r>
          </w:p>
        </w:tc>
        <w:tc>
          <w:tcPr>
            <w:tcW w:w="593" w:type="dxa"/>
            <w:vMerge w:val="restart"/>
            <w:vAlign w:val="center"/>
          </w:tcPr>
          <w:p w14:paraId="353DB251">
            <w:pPr>
              <w:autoSpaceDE w:val="0"/>
              <w:autoSpaceDN w:val="0"/>
              <w:jc w:val="center"/>
              <w:rPr>
                <w:rFonts w:hint="eastAsia" w:ascii="宋体" w:hAnsi="宋体" w:cs="宋体"/>
                <w:bCs/>
                <w:szCs w:val="21"/>
              </w:rPr>
            </w:pPr>
            <w:r>
              <w:rPr>
                <w:rFonts w:hint="eastAsia" w:ascii="宋体" w:hAnsi="宋体" w:cs="宋体"/>
                <w:bCs/>
                <w:szCs w:val="21"/>
              </w:rPr>
              <w:t>建筑物名称</w:t>
            </w:r>
          </w:p>
        </w:tc>
        <w:tc>
          <w:tcPr>
            <w:tcW w:w="565" w:type="dxa"/>
            <w:vMerge w:val="restart"/>
            <w:vAlign w:val="center"/>
          </w:tcPr>
          <w:p w14:paraId="1AEE9D9A">
            <w:pPr>
              <w:autoSpaceDE w:val="0"/>
              <w:autoSpaceDN w:val="0"/>
              <w:jc w:val="center"/>
              <w:rPr>
                <w:rFonts w:hint="eastAsia" w:ascii="宋体" w:hAnsi="宋体" w:cs="宋体"/>
                <w:bCs/>
                <w:szCs w:val="21"/>
              </w:rPr>
            </w:pPr>
            <w:r>
              <w:rPr>
                <w:rFonts w:hint="eastAsia" w:ascii="宋体" w:hAnsi="宋体" w:cs="宋体"/>
                <w:bCs/>
                <w:szCs w:val="21"/>
              </w:rPr>
              <w:t>声源名称</w:t>
            </w:r>
          </w:p>
        </w:tc>
        <w:tc>
          <w:tcPr>
            <w:tcW w:w="719" w:type="dxa"/>
            <w:vAlign w:val="center"/>
          </w:tcPr>
          <w:p w14:paraId="4F20DE0F">
            <w:pPr>
              <w:autoSpaceDE w:val="0"/>
              <w:autoSpaceDN w:val="0"/>
              <w:jc w:val="center"/>
              <w:rPr>
                <w:rFonts w:hint="eastAsia" w:ascii="宋体" w:hAnsi="宋体" w:cs="宋体"/>
                <w:bCs/>
                <w:szCs w:val="21"/>
              </w:rPr>
            </w:pPr>
            <w:r>
              <w:rPr>
                <w:rFonts w:hint="eastAsia" w:ascii="宋体" w:hAnsi="宋体" w:cs="宋体"/>
                <w:bCs/>
                <w:szCs w:val="21"/>
              </w:rPr>
              <w:t>声源源强</w:t>
            </w:r>
          </w:p>
        </w:tc>
        <w:tc>
          <w:tcPr>
            <w:tcW w:w="376" w:type="dxa"/>
            <w:vMerge w:val="restart"/>
            <w:vAlign w:val="center"/>
          </w:tcPr>
          <w:p w14:paraId="3AF3B95F">
            <w:pPr>
              <w:autoSpaceDE w:val="0"/>
              <w:autoSpaceDN w:val="0"/>
              <w:jc w:val="center"/>
              <w:rPr>
                <w:rFonts w:hint="eastAsia" w:ascii="宋体" w:hAnsi="宋体" w:cs="宋体"/>
                <w:bCs/>
                <w:szCs w:val="21"/>
              </w:rPr>
            </w:pPr>
            <w:r>
              <w:rPr>
                <w:rFonts w:hint="eastAsia" w:ascii="宋体" w:hAnsi="宋体" w:cs="宋体"/>
                <w:bCs/>
                <w:szCs w:val="21"/>
              </w:rPr>
              <w:t>声源控制措施</w:t>
            </w:r>
          </w:p>
        </w:tc>
        <w:tc>
          <w:tcPr>
            <w:tcW w:w="1921" w:type="dxa"/>
            <w:gridSpan w:val="3"/>
            <w:vAlign w:val="center"/>
          </w:tcPr>
          <w:p w14:paraId="331B35C6">
            <w:pPr>
              <w:autoSpaceDE w:val="0"/>
              <w:autoSpaceDN w:val="0"/>
              <w:jc w:val="center"/>
              <w:rPr>
                <w:rFonts w:hint="eastAsia" w:ascii="宋体" w:hAnsi="宋体" w:cs="宋体"/>
                <w:bCs/>
                <w:szCs w:val="21"/>
              </w:rPr>
            </w:pPr>
            <w:r>
              <w:rPr>
                <w:rFonts w:hint="eastAsia" w:ascii="宋体" w:hAnsi="宋体" w:cs="宋体"/>
                <w:bCs/>
                <w:szCs w:val="21"/>
              </w:rPr>
              <w:t>空间相对位置/m</w:t>
            </w:r>
          </w:p>
        </w:tc>
        <w:tc>
          <w:tcPr>
            <w:tcW w:w="2126" w:type="dxa"/>
            <w:gridSpan w:val="4"/>
            <w:vAlign w:val="center"/>
          </w:tcPr>
          <w:p w14:paraId="35EAB29D">
            <w:pPr>
              <w:autoSpaceDE w:val="0"/>
              <w:autoSpaceDN w:val="0"/>
              <w:jc w:val="center"/>
              <w:rPr>
                <w:rFonts w:hint="eastAsia" w:ascii="宋体" w:hAnsi="宋体" w:cs="宋体"/>
                <w:bCs/>
                <w:szCs w:val="21"/>
              </w:rPr>
            </w:pPr>
            <w:r>
              <w:rPr>
                <w:rFonts w:hint="eastAsia" w:ascii="宋体" w:hAnsi="宋体" w:cs="宋体"/>
                <w:bCs/>
                <w:szCs w:val="21"/>
              </w:rPr>
              <w:t>距室内边界距离/m</w:t>
            </w:r>
          </w:p>
        </w:tc>
        <w:tc>
          <w:tcPr>
            <w:tcW w:w="2099" w:type="dxa"/>
            <w:gridSpan w:val="4"/>
            <w:vAlign w:val="center"/>
          </w:tcPr>
          <w:p w14:paraId="07D30808">
            <w:pPr>
              <w:autoSpaceDE w:val="0"/>
              <w:autoSpaceDN w:val="0"/>
              <w:jc w:val="center"/>
              <w:rPr>
                <w:rFonts w:hint="eastAsia" w:ascii="宋体" w:hAnsi="宋体" w:cs="宋体"/>
                <w:bCs/>
                <w:szCs w:val="21"/>
              </w:rPr>
            </w:pPr>
            <w:r>
              <w:rPr>
                <w:rFonts w:hint="eastAsia" w:ascii="宋体" w:hAnsi="宋体" w:cs="宋体"/>
                <w:bCs/>
                <w:szCs w:val="21"/>
              </w:rPr>
              <w:t>室内边界声级/dB(A)</w:t>
            </w:r>
          </w:p>
        </w:tc>
        <w:tc>
          <w:tcPr>
            <w:tcW w:w="452" w:type="dxa"/>
            <w:vMerge w:val="restart"/>
            <w:vAlign w:val="center"/>
          </w:tcPr>
          <w:p w14:paraId="45E7C9F6">
            <w:pPr>
              <w:autoSpaceDE w:val="0"/>
              <w:autoSpaceDN w:val="0"/>
              <w:jc w:val="center"/>
              <w:rPr>
                <w:rFonts w:hint="eastAsia" w:ascii="宋体" w:hAnsi="宋体" w:cs="宋体"/>
                <w:bCs/>
                <w:szCs w:val="21"/>
              </w:rPr>
            </w:pPr>
            <w:r>
              <w:rPr>
                <w:rFonts w:hint="eastAsia" w:ascii="宋体" w:hAnsi="宋体" w:cs="宋体"/>
                <w:bCs/>
                <w:szCs w:val="21"/>
              </w:rPr>
              <w:t>运行时段</w:t>
            </w:r>
          </w:p>
        </w:tc>
        <w:tc>
          <w:tcPr>
            <w:tcW w:w="2025" w:type="dxa"/>
            <w:gridSpan w:val="4"/>
            <w:vAlign w:val="center"/>
          </w:tcPr>
          <w:p w14:paraId="683BBEE7">
            <w:pPr>
              <w:autoSpaceDE w:val="0"/>
              <w:autoSpaceDN w:val="0"/>
              <w:jc w:val="center"/>
              <w:rPr>
                <w:rFonts w:hint="eastAsia" w:ascii="宋体" w:hAnsi="宋体" w:cs="宋体"/>
                <w:bCs/>
                <w:szCs w:val="21"/>
              </w:rPr>
            </w:pPr>
            <w:r>
              <w:rPr>
                <w:rFonts w:hint="eastAsia" w:ascii="宋体" w:hAnsi="宋体" w:cs="宋体"/>
                <w:bCs/>
                <w:szCs w:val="21"/>
              </w:rPr>
              <w:t>建筑物插入损失 / dB(A)</w:t>
            </w:r>
          </w:p>
        </w:tc>
        <w:tc>
          <w:tcPr>
            <w:tcW w:w="2776" w:type="dxa"/>
            <w:gridSpan w:val="5"/>
            <w:vAlign w:val="center"/>
          </w:tcPr>
          <w:p w14:paraId="57178A45">
            <w:pPr>
              <w:autoSpaceDE w:val="0"/>
              <w:autoSpaceDN w:val="0"/>
              <w:jc w:val="center"/>
              <w:rPr>
                <w:rFonts w:hint="eastAsia" w:ascii="宋体" w:hAnsi="宋体" w:cs="宋体"/>
                <w:bCs/>
                <w:szCs w:val="21"/>
              </w:rPr>
            </w:pPr>
            <w:r>
              <w:rPr>
                <w:rFonts w:hint="eastAsia" w:ascii="宋体" w:hAnsi="宋体" w:cs="宋体"/>
                <w:bCs/>
                <w:szCs w:val="21"/>
              </w:rPr>
              <w:t>建筑物外噪声声压级/dB(A)</w:t>
            </w:r>
          </w:p>
        </w:tc>
      </w:tr>
      <w:tr w14:paraId="72FDB03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1163" w:hRule="atLeast"/>
        </w:trPr>
        <w:tc>
          <w:tcPr>
            <w:tcW w:w="403" w:type="dxa"/>
            <w:vMerge w:val="continue"/>
            <w:shd w:val="clear" w:color="auto" w:fill="FFFFFF"/>
            <w:tcMar>
              <w:top w:w="0" w:type="dxa"/>
              <w:left w:w="0" w:type="dxa"/>
              <w:bottom w:w="0" w:type="dxa"/>
              <w:right w:w="0" w:type="dxa"/>
            </w:tcMar>
            <w:vAlign w:val="center"/>
          </w:tcPr>
          <w:p w14:paraId="1CCB97F0">
            <w:pPr>
              <w:autoSpaceDE w:val="0"/>
              <w:autoSpaceDN w:val="0"/>
              <w:jc w:val="center"/>
              <w:rPr>
                <w:rFonts w:hint="eastAsia" w:ascii="宋体" w:hAnsi="宋体" w:cs="宋体"/>
                <w:bCs/>
                <w:szCs w:val="21"/>
              </w:rPr>
            </w:pPr>
          </w:p>
        </w:tc>
        <w:tc>
          <w:tcPr>
            <w:tcW w:w="593" w:type="dxa"/>
            <w:vMerge w:val="continue"/>
            <w:shd w:val="clear" w:color="auto" w:fill="FFFFFF"/>
            <w:tcMar>
              <w:top w:w="0" w:type="dxa"/>
              <w:left w:w="0" w:type="dxa"/>
              <w:bottom w:w="0" w:type="dxa"/>
              <w:right w:w="0" w:type="dxa"/>
            </w:tcMar>
            <w:vAlign w:val="center"/>
          </w:tcPr>
          <w:p w14:paraId="49909240">
            <w:pPr>
              <w:autoSpaceDE w:val="0"/>
              <w:autoSpaceDN w:val="0"/>
              <w:jc w:val="center"/>
              <w:rPr>
                <w:rFonts w:hint="eastAsia" w:ascii="宋体" w:hAnsi="宋体" w:cs="宋体"/>
                <w:bCs/>
                <w:szCs w:val="21"/>
              </w:rPr>
            </w:pPr>
          </w:p>
        </w:tc>
        <w:tc>
          <w:tcPr>
            <w:tcW w:w="565" w:type="dxa"/>
            <w:vMerge w:val="continue"/>
            <w:shd w:val="clear" w:color="auto" w:fill="FFFFFF"/>
            <w:tcMar>
              <w:top w:w="0" w:type="dxa"/>
              <w:left w:w="0" w:type="dxa"/>
              <w:bottom w:w="0" w:type="dxa"/>
              <w:right w:w="0" w:type="dxa"/>
            </w:tcMar>
            <w:vAlign w:val="center"/>
          </w:tcPr>
          <w:p w14:paraId="4A4786B4">
            <w:pPr>
              <w:autoSpaceDE w:val="0"/>
              <w:autoSpaceDN w:val="0"/>
              <w:jc w:val="center"/>
              <w:rPr>
                <w:rFonts w:hint="eastAsia" w:ascii="宋体" w:hAnsi="宋体" w:cs="宋体"/>
                <w:bCs/>
                <w:szCs w:val="21"/>
              </w:rPr>
            </w:pPr>
          </w:p>
        </w:tc>
        <w:tc>
          <w:tcPr>
            <w:tcW w:w="719" w:type="dxa"/>
            <w:shd w:val="clear" w:color="auto" w:fill="FFFFFF"/>
            <w:tcMar>
              <w:top w:w="0" w:type="dxa"/>
              <w:left w:w="0" w:type="dxa"/>
              <w:bottom w:w="0" w:type="dxa"/>
              <w:right w:w="0" w:type="dxa"/>
            </w:tcMar>
            <w:vAlign w:val="center"/>
          </w:tcPr>
          <w:p w14:paraId="35077EFC">
            <w:pPr>
              <w:autoSpaceDE w:val="0"/>
              <w:autoSpaceDN w:val="0"/>
              <w:jc w:val="center"/>
              <w:rPr>
                <w:rFonts w:hint="eastAsia" w:ascii="宋体" w:hAnsi="宋体" w:cs="宋体"/>
                <w:bCs/>
                <w:szCs w:val="21"/>
              </w:rPr>
            </w:pPr>
            <w:r>
              <w:rPr>
                <w:rFonts w:hint="eastAsia" w:ascii="宋体" w:hAnsi="宋体" w:cs="宋体"/>
                <w:bCs/>
                <w:szCs w:val="21"/>
              </w:rPr>
              <w:t>声功率级/dB(A)</w:t>
            </w:r>
          </w:p>
        </w:tc>
        <w:tc>
          <w:tcPr>
            <w:tcW w:w="376" w:type="dxa"/>
            <w:vMerge w:val="continue"/>
            <w:shd w:val="clear" w:color="auto" w:fill="FFFFFF"/>
            <w:tcMar>
              <w:top w:w="0" w:type="dxa"/>
              <w:left w:w="0" w:type="dxa"/>
              <w:bottom w:w="0" w:type="dxa"/>
              <w:right w:w="0" w:type="dxa"/>
            </w:tcMar>
            <w:vAlign w:val="center"/>
          </w:tcPr>
          <w:p w14:paraId="7B9F49FB">
            <w:pPr>
              <w:autoSpaceDE w:val="0"/>
              <w:autoSpaceDN w:val="0"/>
              <w:jc w:val="center"/>
              <w:rPr>
                <w:rFonts w:hint="eastAsia" w:ascii="宋体" w:hAnsi="宋体" w:cs="宋体"/>
                <w:bCs/>
                <w:szCs w:val="21"/>
              </w:rPr>
            </w:pPr>
          </w:p>
        </w:tc>
        <w:tc>
          <w:tcPr>
            <w:tcW w:w="638" w:type="dxa"/>
            <w:shd w:val="clear" w:color="auto" w:fill="FFFFFF"/>
            <w:tcMar>
              <w:top w:w="0" w:type="dxa"/>
              <w:left w:w="0" w:type="dxa"/>
              <w:bottom w:w="0" w:type="dxa"/>
              <w:right w:w="0" w:type="dxa"/>
            </w:tcMar>
            <w:vAlign w:val="center"/>
          </w:tcPr>
          <w:p w14:paraId="28E62A7B">
            <w:pPr>
              <w:autoSpaceDE w:val="0"/>
              <w:autoSpaceDN w:val="0"/>
              <w:jc w:val="center"/>
              <w:rPr>
                <w:rFonts w:hint="eastAsia" w:ascii="宋体" w:hAnsi="宋体" w:cs="宋体"/>
                <w:bCs/>
                <w:szCs w:val="21"/>
              </w:rPr>
            </w:pPr>
            <w:r>
              <w:rPr>
                <w:rFonts w:hint="eastAsia" w:ascii="宋体" w:hAnsi="宋体" w:cs="宋体"/>
                <w:bCs/>
                <w:szCs w:val="21"/>
              </w:rPr>
              <w:t>X</w:t>
            </w:r>
          </w:p>
        </w:tc>
        <w:tc>
          <w:tcPr>
            <w:tcW w:w="638" w:type="dxa"/>
            <w:shd w:val="clear" w:color="auto" w:fill="FFFFFF"/>
            <w:tcMar>
              <w:top w:w="0" w:type="dxa"/>
              <w:left w:w="0" w:type="dxa"/>
              <w:bottom w:w="0" w:type="dxa"/>
              <w:right w:w="0" w:type="dxa"/>
            </w:tcMar>
            <w:vAlign w:val="center"/>
          </w:tcPr>
          <w:p w14:paraId="20F873BF">
            <w:pPr>
              <w:autoSpaceDE w:val="0"/>
              <w:autoSpaceDN w:val="0"/>
              <w:jc w:val="center"/>
              <w:rPr>
                <w:rFonts w:hint="eastAsia" w:ascii="宋体" w:hAnsi="宋体" w:cs="宋体"/>
                <w:bCs/>
                <w:szCs w:val="21"/>
              </w:rPr>
            </w:pPr>
            <w:r>
              <w:rPr>
                <w:rFonts w:hint="eastAsia" w:ascii="宋体" w:hAnsi="宋体" w:cs="宋体"/>
                <w:bCs/>
                <w:szCs w:val="21"/>
              </w:rPr>
              <w:t>Y</w:t>
            </w:r>
          </w:p>
        </w:tc>
        <w:tc>
          <w:tcPr>
            <w:tcW w:w="645" w:type="dxa"/>
            <w:shd w:val="clear" w:color="auto" w:fill="FFFFFF"/>
            <w:tcMar>
              <w:top w:w="0" w:type="dxa"/>
              <w:left w:w="0" w:type="dxa"/>
              <w:bottom w:w="0" w:type="dxa"/>
              <w:right w:w="0" w:type="dxa"/>
            </w:tcMar>
            <w:vAlign w:val="center"/>
          </w:tcPr>
          <w:p w14:paraId="767D2FAA">
            <w:pPr>
              <w:autoSpaceDE w:val="0"/>
              <w:autoSpaceDN w:val="0"/>
              <w:jc w:val="center"/>
              <w:rPr>
                <w:rFonts w:hint="eastAsia" w:ascii="宋体" w:hAnsi="宋体" w:cs="宋体"/>
                <w:bCs/>
                <w:szCs w:val="21"/>
              </w:rPr>
            </w:pPr>
            <w:r>
              <w:rPr>
                <w:rFonts w:hint="eastAsia" w:ascii="宋体" w:hAnsi="宋体" w:cs="宋体"/>
                <w:bCs/>
                <w:szCs w:val="21"/>
              </w:rPr>
              <w:t>Z</w:t>
            </w:r>
          </w:p>
        </w:tc>
        <w:tc>
          <w:tcPr>
            <w:tcW w:w="530" w:type="dxa"/>
            <w:shd w:val="clear" w:color="auto" w:fill="FFFFFF"/>
            <w:tcMar>
              <w:top w:w="0" w:type="dxa"/>
              <w:left w:w="0" w:type="dxa"/>
              <w:bottom w:w="0" w:type="dxa"/>
              <w:right w:w="0" w:type="dxa"/>
            </w:tcMar>
            <w:vAlign w:val="center"/>
          </w:tcPr>
          <w:p w14:paraId="3B9A7F53">
            <w:pPr>
              <w:autoSpaceDE w:val="0"/>
              <w:autoSpaceDN w:val="0"/>
              <w:jc w:val="center"/>
              <w:rPr>
                <w:rFonts w:hint="eastAsia" w:ascii="宋体" w:hAnsi="宋体" w:cs="宋体"/>
                <w:bCs/>
                <w:szCs w:val="21"/>
              </w:rPr>
            </w:pPr>
            <w:r>
              <w:rPr>
                <w:rFonts w:hint="eastAsia" w:ascii="宋体" w:hAnsi="宋体" w:cs="宋体"/>
                <w:bCs/>
                <w:szCs w:val="21"/>
              </w:rPr>
              <w:t>东</w:t>
            </w:r>
          </w:p>
        </w:tc>
        <w:tc>
          <w:tcPr>
            <w:tcW w:w="530" w:type="dxa"/>
            <w:shd w:val="clear" w:color="auto" w:fill="FFFFFF"/>
            <w:tcMar>
              <w:top w:w="0" w:type="dxa"/>
              <w:left w:w="0" w:type="dxa"/>
              <w:bottom w:w="0" w:type="dxa"/>
              <w:right w:w="0" w:type="dxa"/>
            </w:tcMar>
            <w:vAlign w:val="center"/>
          </w:tcPr>
          <w:p w14:paraId="311362A7">
            <w:pPr>
              <w:autoSpaceDE w:val="0"/>
              <w:autoSpaceDN w:val="0"/>
              <w:jc w:val="center"/>
              <w:rPr>
                <w:rFonts w:hint="eastAsia" w:ascii="宋体" w:hAnsi="宋体" w:cs="宋体"/>
                <w:bCs/>
                <w:szCs w:val="21"/>
              </w:rPr>
            </w:pPr>
            <w:r>
              <w:rPr>
                <w:rFonts w:hint="eastAsia" w:ascii="宋体" w:hAnsi="宋体" w:cs="宋体"/>
                <w:bCs/>
                <w:szCs w:val="21"/>
              </w:rPr>
              <w:t>南</w:t>
            </w:r>
          </w:p>
        </w:tc>
        <w:tc>
          <w:tcPr>
            <w:tcW w:w="530" w:type="dxa"/>
            <w:shd w:val="clear" w:color="auto" w:fill="FFFFFF"/>
            <w:tcMar>
              <w:top w:w="0" w:type="dxa"/>
              <w:left w:w="0" w:type="dxa"/>
              <w:bottom w:w="0" w:type="dxa"/>
              <w:right w:w="0" w:type="dxa"/>
            </w:tcMar>
            <w:vAlign w:val="center"/>
          </w:tcPr>
          <w:p w14:paraId="4FBC6FCB">
            <w:pPr>
              <w:autoSpaceDE w:val="0"/>
              <w:autoSpaceDN w:val="0"/>
              <w:jc w:val="center"/>
              <w:rPr>
                <w:rFonts w:hint="eastAsia" w:ascii="宋体" w:hAnsi="宋体" w:cs="宋体"/>
                <w:bCs/>
                <w:szCs w:val="21"/>
              </w:rPr>
            </w:pPr>
            <w:r>
              <w:rPr>
                <w:rFonts w:hint="eastAsia" w:ascii="宋体" w:hAnsi="宋体" w:cs="宋体"/>
                <w:bCs/>
                <w:szCs w:val="21"/>
              </w:rPr>
              <w:t>西</w:t>
            </w:r>
          </w:p>
        </w:tc>
        <w:tc>
          <w:tcPr>
            <w:tcW w:w="536" w:type="dxa"/>
            <w:shd w:val="clear" w:color="auto" w:fill="FFFFFF"/>
            <w:tcMar>
              <w:top w:w="0" w:type="dxa"/>
              <w:left w:w="0" w:type="dxa"/>
              <w:bottom w:w="0" w:type="dxa"/>
              <w:right w:w="0" w:type="dxa"/>
            </w:tcMar>
            <w:vAlign w:val="center"/>
          </w:tcPr>
          <w:p w14:paraId="0B199165">
            <w:pPr>
              <w:autoSpaceDE w:val="0"/>
              <w:autoSpaceDN w:val="0"/>
              <w:jc w:val="center"/>
              <w:rPr>
                <w:rFonts w:hint="eastAsia" w:ascii="宋体" w:hAnsi="宋体" w:cs="宋体"/>
                <w:bCs/>
                <w:szCs w:val="21"/>
              </w:rPr>
            </w:pPr>
            <w:r>
              <w:rPr>
                <w:rFonts w:hint="eastAsia" w:ascii="宋体" w:hAnsi="宋体" w:cs="宋体"/>
                <w:bCs/>
                <w:szCs w:val="21"/>
              </w:rPr>
              <w:t>北</w:t>
            </w:r>
          </w:p>
        </w:tc>
        <w:tc>
          <w:tcPr>
            <w:tcW w:w="521" w:type="dxa"/>
            <w:shd w:val="clear" w:color="auto" w:fill="FFFFFF"/>
            <w:tcMar>
              <w:top w:w="0" w:type="dxa"/>
              <w:left w:w="0" w:type="dxa"/>
              <w:bottom w:w="0" w:type="dxa"/>
              <w:right w:w="0" w:type="dxa"/>
            </w:tcMar>
            <w:vAlign w:val="center"/>
          </w:tcPr>
          <w:p w14:paraId="6EEB9094">
            <w:pPr>
              <w:autoSpaceDE w:val="0"/>
              <w:autoSpaceDN w:val="0"/>
              <w:jc w:val="center"/>
              <w:rPr>
                <w:rFonts w:hint="eastAsia" w:ascii="宋体" w:hAnsi="宋体" w:cs="宋体"/>
                <w:bCs/>
                <w:szCs w:val="21"/>
              </w:rPr>
            </w:pPr>
            <w:r>
              <w:rPr>
                <w:rFonts w:hint="eastAsia" w:ascii="宋体" w:hAnsi="宋体" w:cs="宋体"/>
                <w:bCs/>
                <w:szCs w:val="21"/>
              </w:rPr>
              <w:t>东</w:t>
            </w:r>
          </w:p>
        </w:tc>
        <w:tc>
          <w:tcPr>
            <w:tcW w:w="521" w:type="dxa"/>
            <w:shd w:val="clear" w:color="auto" w:fill="FFFFFF"/>
            <w:tcMar>
              <w:top w:w="0" w:type="dxa"/>
              <w:left w:w="0" w:type="dxa"/>
              <w:bottom w:w="0" w:type="dxa"/>
              <w:right w:w="0" w:type="dxa"/>
            </w:tcMar>
            <w:vAlign w:val="center"/>
          </w:tcPr>
          <w:p w14:paraId="5E166324">
            <w:pPr>
              <w:autoSpaceDE w:val="0"/>
              <w:autoSpaceDN w:val="0"/>
              <w:jc w:val="center"/>
              <w:rPr>
                <w:rFonts w:hint="eastAsia" w:ascii="宋体" w:hAnsi="宋体" w:cs="宋体"/>
                <w:bCs/>
                <w:szCs w:val="21"/>
              </w:rPr>
            </w:pPr>
            <w:r>
              <w:rPr>
                <w:rFonts w:hint="eastAsia" w:ascii="宋体" w:hAnsi="宋体" w:cs="宋体"/>
                <w:bCs/>
                <w:szCs w:val="21"/>
              </w:rPr>
              <w:t>南</w:t>
            </w:r>
          </w:p>
        </w:tc>
        <w:tc>
          <w:tcPr>
            <w:tcW w:w="521" w:type="dxa"/>
            <w:shd w:val="clear" w:color="auto" w:fill="FFFFFF"/>
            <w:tcMar>
              <w:top w:w="0" w:type="dxa"/>
              <w:left w:w="0" w:type="dxa"/>
              <w:bottom w:w="0" w:type="dxa"/>
              <w:right w:w="0" w:type="dxa"/>
            </w:tcMar>
            <w:vAlign w:val="center"/>
          </w:tcPr>
          <w:p w14:paraId="1BE65324">
            <w:pPr>
              <w:autoSpaceDE w:val="0"/>
              <w:autoSpaceDN w:val="0"/>
              <w:jc w:val="center"/>
              <w:rPr>
                <w:rFonts w:hint="eastAsia" w:ascii="宋体" w:hAnsi="宋体" w:cs="宋体"/>
                <w:bCs/>
                <w:szCs w:val="21"/>
              </w:rPr>
            </w:pPr>
            <w:r>
              <w:rPr>
                <w:rFonts w:hint="eastAsia" w:ascii="宋体" w:hAnsi="宋体" w:cs="宋体"/>
                <w:bCs/>
                <w:szCs w:val="21"/>
              </w:rPr>
              <w:t>西</w:t>
            </w:r>
          </w:p>
        </w:tc>
        <w:tc>
          <w:tcPr>
            <w:tcW w:w="536" w:type="dxa"/>
            <w:shd w:val="clear" w:color="auto" w:fill="FFFFFF"/>
            <w:tcMar>
              <w:top w:w="0" w:type="dxa"/>
              <w:left w:w="0" w:type="dxa"/>
              <w:bottom w:w="0" w:type="dxa"/>
              <w:right w:w="0" w:type="dxa"/>
            </w:tcMar>
            <w:vAlign w:val="center"/>
          </w:tcPr>
          <w:p w14:paraId="6E10579A">
            <w:pPr>
              <w:autoSpaceDE w:val="0"/>
              <w:autoSpaceDN w:val="0"/>
              <w:jc w:val="center"/>
              <w:rPr>
                <w:rFonts w:hint="eastAsia" w:ascii="宋体" w:hAnsi="宋体" w:cs="宋体"/>
                <w:bCs/>
                <w:szCs w:val="21"/>
              </w:rPr>
            </w:pPr>
            <w:r>
              <w:rPr>
                <w:rFonts w:hint="eastAsia" w:ascii="宋体" w:hAnsi="宋体" w:cs="宋体"/>
                <w:bCs/>
                <w:szCs w:val="21"/>
              </w:rPr>
              <w:t>北</w:t>
            </w:r>
          </w:p>
        </w:tc>
        <w:tc>
          <w:tcPr>
            <w:tcW w:w="452" w:type="dxa"/>
            <w:vMerge w:val="continue"/>
            <w:shd w:val="clear" w:color="auto" w:fill="FFFFFF"/>
            <w:tcMar>
              <w:top w:w="0" w:type="dxa"/>
              <w:left w:w="0" w:type="dxa"/>
              <w:bottom w:w="0" w:type="dxa"/>
              <w:right w:w="0" w:type="dxa"/>
            </w:tcMar>
            <w:vAlign w:val="center"/>
          </w:tcPr>
          <w:p w14:paraId="03FDB2C0">
            <w:pPr>
              <w:autoSpaceDE w:val="0"/>
              <w:autoSpaceDN w:val="0"/>
              <w:jc w:val="center"/>
              <w:rPr>
                <w:rFonts w:hint="eastAsia" w:ascii="宋体" w:hAnsi="宋体" w:cs="宋体"/>
                <w:bCs/>
                <w:szCs w:val="21"/>
              </w:rPr>
            </w:pPr>
          </w:p>
        </w:tc>
        <w:tc>
          <w:tcPr>
            <w:tcW w:w="504" w:type="dxa"/>
            <w:shd w:val="clear" w:color="auto" w:fill="FFFFFF"/>
            <w:tcMar>
              <w:top w:w="0" w:type="dxa"/>
              <w:left w:w="0" w:type="dxa"/>
              <w:bottom w:w="0" w:type="dxa"/>
              <w:right w:w="0" w:type="dxa"/>
            </w:tcMar>
            <w:vAlign w:val="center"/>
          </w:tcPr>
          <w:p w14:paraId="36BF1058">
            <w:pPr>
              <w:autoSpaceDE w:val="0"/>
              <w:autoSpaceDN w:val="0"/>
              <w:jc w:val="center"/>
              <w:rPr>
                <w:rFonts w:hint="eastAsia" w:ascii="宋体" w:hAnsi="宋体" w:cs="宋体"/>
                <w:bCs/>
                <w:szCs w:val="21"/>
              </w:rPr>
            </w:pPr>
            <w:r>
              <w:rPr>
                <w:rFonts w:hint="eastAsia" w:ascii="宋体" w:hAnsi="宋体" w:cs="宋体"/>
                <w:bCs/>
                <w:szCs w:val="21"/>
              </w:rPr>
              <w:t>东</w:t>
            </w:r>
          </w:p>
        </w:tc>
        <w:tc>
          <w:tcPr>
            <w:tcW w:w="504" w:type="dxa"/>
            <w:shd w:val="clear" w:color="auto" w:fill="FFFFFF"/>
            <w:tcMar>
              <w:top w:w="0" w:type="dxa"/>
              <w:left w:w="0" w:type="dxa"/>
              <w:bottom w:w="0" w:type="dxa"/>
              <w:right w:w="0" w:type="dxa"/>
            </w:tcMar>
            <w:vAlign w:val="center"/>
          </w:tcPr>
          <w:p w14:paraId="5AE2DA55">
            <w:pPr>
              <w:autoSpaceDE w:val="0"/>
              <w:autoSpaceDN w:val="0"/>
              <w:jc w:val="center"/>
              <w:rPr>
                <w:rFonts w:hint="eastAsia" w:ascii="宋体" w:hAnsi="宋体" w:cs="宋体"/>
                <w:bCs/>
                <w:szCs w:val="21"/>
              </w:rPr>
            </w:pPr>
            <w:r>
              <w:rPr>
                <w:rFonts w:hint="eastAsia" w:ascii="宋体" w:hAnsi="宋体" w:cs="宋体"/>
                <w:bCs/>
                <w:szCs w:val="21"/>
              </w:rPr>
              <w:t>南</w:t>
            </w:r>
          </w:p>
        </w:tc>
        <w:tc>
          <w:tcPr>
            <w:tcW w:w="504" w:type="dxa"/>
            <w:shd w:val="clear" w:color="auto" w:fill="FFFFFF"/>
            <w:tcMar>
              <w:top w:w="0" w:type="dxa"/>
              <w:left w:w="0" w:type="dxa"/>
              <w:bottom w:w="0" w:type="dxa"/>
              <w:right w:w="0" w:type="dxa"/>
            </w:tcMar>
            <w:vAlign w:val="center"/>
          </w:tcPr>
          <w:p w14:paraId="4BDECAF7">
            <w:pPr>
              <w:autoSpaceDE w:val="0"/>
              <w:autoSpaceDN w:val="0"/>
              <w:jc w:val="center"/>
              <w:rPr>
                <w:rFonts w:hint="eastAsia" w:ascii="宋体" w:hAnsi="宋体" w:cs="宋体"/>
                <w:bCs/>
                <w:szCs w:val="21"/>
              </w:rPr>
            </w:pPr>
            <w:r>
              <w:rPr>
                <w:rFonts w:hint="eastAsia" w:ascii="宋体" w:hAnsi="宋体" w:cs="宋体"/>
                <w:bCs/>
                <w:szCs w:val="21"/>
              </w:rPr>
              <w:t>西</w:t>
            </w:r>
          </w:p>
        </w:tc>
        <w:tc>
          <w:tcPr>
            <w:tcW w:w="513" w:type="dxa"/>
            <w:shd w:val="clear" w:color="auto" w:fill="FFFFFF"/>
            <w:tcMar>
              <w:top w:w="0" w:type="dxa"/>
              <w:left w:w="0" w:type="dxa"/>
              <w:bottom w:w="0" w:type="dxa"/>
              <w:right w:w="0" w:type="dxa"/>
            </w:tcMar>
            <w:vAlign w:val="center"/>
          </w:tcPr>
          <w:p w14:paraId="3D1D48A3">
            <w:pPr>
              <w:autoSpaceDE w:val="0"/>
              <w:autoSpaceDN w:val="0"/>
              <w:jc w:val="center"/>
              <w:rPr>
                <w:rFonts w:hint="eastAsia" w:ascii="宋体" w:hAnsi="宋体" w:cs="宋体"/>
                <w:bCs/>
                <w:szCs w:val="21"/>
              </w:rPr>
            </w:pPr>
            <w:r>
              <w:rPr>
                <w:rFonts w:hint="eastAsia" w:ascii="宋体" w:hAnsi="宋体" w:cs="宋体"/>
                <w:bCs/>
                <w:szCs w:val="21"/>
              </w:rPr>
              <w:t>北</w:t>
            </w:r>
          </w:p>
        </w:tc>
        <w:tc>
          <w:tcPr>
            <w:tcW w:w="539" w:type="dxa"/>
            <w:shd w:val="clear" w:color="auto" w:fill="FFFFFF"/>
            <w:tcMar>
              <w:top w:w="0" w:type="dxa"/>
              <w:left w:w="0" w:type="dxa"/>
              <w:bottom w:w="0" w:type="dxa"/>
              <w:right w:w="0" w:type="dxa"/>
            </w:tcMar>
            <w:vAlign w:val="center"/>
          </w:tcPr>
          <w:p w14:paraId="27786610">
            <w:pPr>
              <w:autoSpaceDE w:val="0"/>
              <w:autoSpaceDN w:val="0"/>
              <w:jc w:val="center"/>
              <w:rPr>
                <w:rFonts w:hint="eastAsia" w:ascii="宋体" w:hAnsi="宋体" w:cs="宋体"/>
                <w:bCs/>
                <w:szCs w:val="21"/>
              </w:rPr>
            </w:pPr>
            <w:r>
              <w:rPr>
                <w:rFonts w:hint="eastAsia" w:ascii="宋体" w:hAnsi="宋体" w:cs="宋体"/>
                <w:bCs/>
                <w:szCs w:val="21"/>
              </w:rPr>
              <w:t>东</w:t>
            </w:r>
          </w:p>
        </w:tc>
        <w:tc>
          <w:tcPr>
            <w:tcW w:w="539" w:type="dxa"/>
            <w:shd w:val="clear" w:color="auto" w:fill="FFFFFF"/>
            <w:tcMar>
              <w:top w:w="0" w:type="dxa"/>
              <w:left w:w="0" w:type="dxa"/>
              <w:bottom w:w="0" w:type="dxa"/>
              <w:right w:w="0" w:type="dxa"/>
            </w:tcMar>
            <w:vAlign w:val="center"/>
          </w:tcPr>
          <w:p w14:paraId="50F04D47">
            <w:pPr>
              <w:autoSpaceDE w:val="0"/>
              <w:autoSpaceDN w:val="0"/>
              <w:jc w:val="center"/>
              <w:rPr>
                <w:rFonts w:hint="eastAsia" w:ascii="宋体" w:hAnsi="宋体" w:cs="宋体"/>
                <w:bCs/>
                <w:szCs w:val="21"/>
              </w:rPr>
            </w:pPr>
            <w:r>
              <w:rPr>
                <w:rFonts w:hint="eastAsia" w:ascii="宋体" w:hAnsi="宋体" w:cs="宋体"/>
                <w:bCs/>
                <w:szCs w:val="21"/>
              </w:rPr>
              <w:t>南</w:t>
            </w:r>
          </w:p>
        </w:tc>
        <w:tc>
          <w:tcPr>
            <w:tcW w:w="539" w:type="dxa"/>
            <w:shd w:val="clear" w:color="auto" w:fill="FFFFFF"/>
            <w:tcMar>
              <w:top w:w="0" w:type="dxa"/>
              <w:left w:w="0" w:type="dxa"/>
              <w:bottom w:w="0" w:type="dxa"/>
              <w:right w:w="0" w:type="dxa"/>
            </w:tcMar>
            <w:vAlign w:val="center"/>
          </w:tcPr>
          <w:p w14:paraId="2DD171FD">
            <w:pPr>
              <w:autoSpaceDE w:val="0"/>
              <w:autoSpaceDN w:val="0"/>
              <w:jc w:val="center"/>
              <w:rPr>
                <w:rFonts w:hint="eastAsia" w:ascii="宋体" w:hAnsi="宋体" w:cs="宋体"/>
                <w:bCs/>
                <w:szCs w:val="21"/>
              </w:rPr>
            </w:pPr>
            <w:r>
              <w:rPr>
                <w:rFonts w:hint="eastAsia" w:ascii="宋体" w:hAnsi="宋体" w:cs="宋体"/>
                <w:bCs/>
                <w:szCs w:val="21"/>
              </w:rPr>
              <w:t>西</w:t>
            </w:r>
          </w:p>
        </w:tc>
        <w:tc>
          <w:tcPr>
            <w:tcW w:w="540" w:type="dxa"/>
            <w:shd w:val="clear" w:color="auto" w:fill="FFFFFF"/>
            <w:tcMar>
              <w:top w:w="0" w:type="dxa"/>
              <w:left w:w="0" w:type="dxa"/>
              <w:bottom w:w="0" w:type="dxa"/>
              <w:right w:w="0" w:type="dxa"/>
            </w:tcMar>
            <w:vAlign w:val="center"/>
          </w:tcPr>
          <w:p w14:paraId="570EBE8A">
            <w:pPr>
              <w:autoSpaceDE w:val="0"/>
              <w:autoSpaceDN w:val="0"/>
              <w:jc w:val="center"/>
              <w:rPr>
                <w:rFonts w:hint="eastAsia" w:ascii="宋体" w:hAnsi="宋体" w:cs="宋体"/>
                <w:bCs/>
                <w:szCs w:val="21"/>
              </w:rPr>
            </w:pPr>
            <w:r>
              <w:rPr>
                <w:rFonts w:hint="eastAsia" w:ascii="宋体" w:hAnsi="宋体" w:cs="宋体"/>
                <w:bCs/>
                <w:szCs w:val="21"/>
              </w:rPr>
              <w:t>北</w:t>
            </w:r>
          </w:p>
        </w:tc>
        <w:tc>
          <w:tcPr>
            <w:tcW w:w="619" w:type="dxa"/>
            <w:shd w:val="clear" w:color="auto" w:fill="FFFFFF"/>
            <w:tcMar>
              <w:top w:w="0" w:type="dxa"/>
              <w:left w:w="0" w:type="dxa"/>
              <w:bottom w:w="0" w:type="dxa"/>
              <w:right w:w="0" w:type="dxa"/>
            </w:tcMar>
            <w:vAlign w:val="center"/>
          </w:tcPr>
          <w:p w14:paraId="6BB0A6D8">
            <w:pPr>
              <w:autoSpaceDE w:val="0"/>
              <w:autoSpaceDN w:val="0"/>
              <w:jc w:val="center"/>
              <w:rPr>
                <w:rFonts w:hint="eastAsia" w:ascii="宋体" w:hAnsi="宋体" w:cs="宋体"/>
                <w:bCs/>
                <w:szCs w:val="21"/>
              </w:rPr>
            </w:pPr>
            <w:r>
              <w:rPr>
                <w:rFonts w:hint="eastAsia" w:ascii="宋体" w:hAnsi="宋体" w:cs="宋体"/>
                <w:bCs/>
                <w:szCs w:val="21"/>
              </w:rPr>
              <w:t>建筑物外距离</w:t>
            </w:r>
          </w:p>
        </w:tc>
      </w:tr>
      <w:tr w14:paraId="0B14F58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861" w:hRule="atLeast"/>
        </w:trPr>
        <w:tc>
          <w:tcPr>
            <w:tcW w:w="403" w:type="dxa"/>
            <w:shd w:val="clear" w:color="auto" w:fill="FFFFFF"/>
            <w:tcMar>
              <w:top w:w="0" w:type="dxa"/>
              <w:left w:w="0" w:type="dxa"/>
              <w:bottom w:w="0" w:type="dxa"/>
              <w:right w:w="0" w:type="dxa"/>
            </w:tcMar>
            <w:vAlign w:val="center"/>
          </w:tcPr>
          <w:p w14:paraId="095D2E3B">
            <w:pPr>
              <w:autoSpaceDE w:val="0"/>
              <w:autoSpaceDN w:val="0"/>
              <w:jc w:val="center"/>
              <w:rPr>
                <w:rFonts w:hint="eastAsia" w:ascii="宋体" w:hAnsi="宋体" w:cs="宋体"/>
                <w:bCs/>
                <w:szCs w:val="21"/>
              </w:rPr>
            </w:pPr>
            <w:r>
              <w:rPr>
                <w:rFonts w:hint="eastAsia" w:ascii="宋体" w:hAnsi="宋体" w:cs="宋体"/>
                <w:bCs/>
                <w:szCs w:val="21"/>
              </w:rPr>
              <w:t>1</w:t>
            </w:r>
          </w:p>
        </w:tc>
        <w:tc>
          <w:tcPr>
            <w:tcW w:w="593" w:type="dxa"/>
            <w:vMerge w:val="restart"/>
            <w:shd w:val="clear" w:color="auto" w:fill="FFFFFF"/>
            <w:tcMar>
              <w:top w:w="0" w:type="dxa"/>
              <w:left w:w="0" w:type="dxa"/>
              <w:bottom w:w="0" w:type="dxa"/>
              <w:right w:w="0" w:type="dxa"/>
            </w:tcMar>
            <w:vAlign w:val="center"/>
          </w:tcPr>
          <w:p w14:paraId="56C34C99">
            <w:pPr>
              <w:autoSpaceDE w:val="0"/>
              <w:autoSpaceDN w:val="0"/>
              <w:jc w:val="center"/>
              <w:rPr>
                <w:rFonts w:hint="eastAsia" w:ascii="宋体" w:hAnsi="宋体" w:cs="宋体"/>
                <w:bCs/>
                <w:szCs w:val="21"/>
              </w:rPr>
            </w:pPr>
            <w:r>
              <w:rPr>
                <w:rFonts w:hint="eastAsia" w:ascii="宋体" w:hAnsi="宋体" w:cs="宋体"/>
                <w:bCs/>
                <w:szCs w:val="21"/>
              </w:rPr>
              <w:t>生产车间厂房</w:t>
            </w:r>
          </w:p>
        </w:tc>
        <w:tc>
          <w:tcPr>
            <w:tcW w:w="565" w:type="dxa"/>
            <w:shd w:val="clear" w:color="auto" w:fill="FFFFFF"/>
            <w:tcMar>
              <w:top w:w="0" w:type="dxa"/>
              <w:left w:w="0" w:type="dxa"/>
              <w:bottom w:w="0" w:type="dxa"/>
              <w:right w:w="0" w:type="dxa"/>
            </w:tcMar>
            <w:vAlign w:val="center"/>
          </w:tcPr>
          <w:p w14:paraId="1D5E6825">
            <w:pPr>
              <w:autoSpaceDE w:val="0"/>
              <w:autoSpaceDN w:val="0"/>
              <w:jc w:val="center"/>
              <w:rPr>
                <w:rFonts w:hint="eastAsia" w:ascii="宋体" w:hAnsi="宋体" w:cs="宋体"/>
                <w:bCs/>
                <w:szCs w:val="21"/>
              </w:rPr>
            </w:pPr>
            <w:r>
              <w:rPr>
                <w:rFonts w:hint="eastAsia"/>
                <w:color w:val="000000"/>
              </w:rPr>
              <w:t>提料机</w:t>
            </w:r>
          </w:p>
        </w:tc>
        <w:tc>
          <w:tcPr>
            <w:tcW w:w="719" w:type="dxa"/>
            <w:shd w:val="clear" w:color="auto" w:fill="FFFFFF"/>
            <w:tcMar>
              <w:top w:w="0" w:type="dxa"/>
              <w:left w:w="0" w:type="dxa"/>
              <w:bottom w:w="0" w:type="dxa"/>
              <w:right w:w="0" w:type="dxa"/>
            </w:tcMar>
            <w:vAlign w:val="center"/>
          </w:tcPr>
          <w:p w14:paraId="49CE0FC2">
            <w:pPr>
              <w:autoSpaceDE w:val="0"/>
              <w:autoSpaceDN w:val="0"/>
              <w:jc w:val="center"/>
              <w:rPr>
                <w:rFonts w:hint="eastAsia" w:ascii="宋体" w:hAnsi="宋体" w:cs="宋体"/>
                <w:bCs/>
                <w:szCs w:val="21"/>
              </w:rPr>
            </w:pPr>
            <w:r>
              <w:rPr>
                <w:rFonts w:hint="eastAsia" w:ascii="宋体" w:hAnsi="宋体" w:cs="宋体"/>
                <w:bCs/>
                <w:szCs w:val="21"/>
              </w:rPr>
              <w:t>70</w:t>
            </w:r>
          </w:p>
        </w:tc>
        <w:tc>
          <w:tcPr>
            <w:tcW w:w="376" w:type="dxa"/>
            <w:vMerge w:val="restart"/>
            <w:shd w:val="clear" w:color="auto" w:fill="FFFFFF"/>
            <w:tcMar>
              <w:top w:w="0" w:type="dxa"/>
              <w:left w:w="0" w:type="dxa"/>
              <w:bottom w:w="0" w:type="dxa"/>
              <w:right w:w="0" w:type="dxa"/>
            </w:tcMar>
            <w:vAlign w:val="center"/>
          </w:tcPr>
          <w:p w14:paraId="013F67C9">
            <w:pPr>
              <w:autoSpaceDE w:val="0"/>
              <w:autoSpaceDN w:val="0"/>
              <w:jc w:val="center"/>
              <w:rPr>
                <w:rFonts w:hint="eastAsia" w:ascii="宋体" w:hAnsi="宋体" w:cs="宋体"/>
                <w:bCs/>
                <w:szCs w:val="21"/>
              </w:rPr>
            </w:pPr>
            <w:r>
              <w:rPr>
                <w:rFonts w:hint="eastAsia" w:ascii="宋体" w:hAnsi="宋体" w:cs="宋体"/>
                <w:szCs w:val="21"/>
              </w:rPr>
              <w:t>厂房隔声/基础减振</w:t>
            </w:r>
          </w:p>
        </w:tc>
        <w:tc>
          <w:tcPr>
            <w:tcW w:w="638" w:type="dxa"/>
            <w:shd w:val="clear" w:color="auto" w:fill="FFFFFF"/>
            <w:tcMar>
              <w:top w:w="0" w:type="dxa"/>
              <w:left w:w="0" w:type="dxa"/>
              <w:bottom w:w="0" w:type="dxa"/>
              <w:right w:w="0" w:type="dxa"/>
            </w:tcMar>
            <w:vAlign w:val="center"/>
          </w:tcPr>
          <w:p w14:paraId="787D497B">
            <w:pPr>
              <w:autoSpaceDE w:val="0"/>
              <w:autoSpaceDN w:val="0"/>
              <w:jc w:val="center"/>
              <w:rPr>
                <w:rFonts w:hint="eastAsia" w:ascii="宋体" w:hAnsi="宋体" w:cs="宋体"/>
                <w:szCs w:val="21"/>
              </w:rPr>
            </w:pPr>
            <w:r>
              <w:rPr>
                <w:rFonts w:hint="eastAsia" w:ascii="宋体" w:hAnsi="宋体" w:cs="宋体"/>
                <w:szCs w:val="21"/>
              </w:rPr>
              <w:t>-19.8</w:t>
            </w:r>
          </w:p>
        </w:tc>
        <w:tc>
          <w:tcPr>
            <w:tcW w:w="638" w:type="dxa"/>
            <w:shd w:val="clear" w:color="auto" w:fill="FFFFFF"/>
            <w:tcMar>
              <w:top w:w="0" w:type="dxa"/>
              <w:left w:w="0" w:type="dxa"/>
              <w:bottom w:w="0" w:type="dxa"/>
              <w:right w:w="0" w:type="dxa"/>
            </w:tcMar>
            <w:vAlign w:val="center"/>
          </w:tcPr>
          <w:p w14:paraId="7978EE1D">
            <w:pPr>
              <w:autoSpaceDE w:val="0"/>
              <w:autoSpaceDN w:val="0"/>
              <w:jc w:val="center"/>
              <w:rPr>
                <w:rFonts w:hint="eastAsia" w:ascii="宋体" w:hAnsi="宋体" w:cs="宋体"/>
                <w:szCs w:val="21"/>
              </w:rPr>
            </w:pPr>
            <w:r>
              <w:rPr>
                <w:rFonts w:hint="eastAsia" w:ascii="宋体" w:hAnsi="宋体" w:cs="宋体"/>
                <w:szCs w:val="21"/>
              </w:rPr>
              <w:t>-34.3</w:t>
            </w:r>
          </w:p>
        </w:tc>
        <w:tc>
          <w:tcPr>
            <w:tcW w:w="645" w:type="dxa"/>
            <w:shd w:val="clear" w:color="auto" w:fill="FFFFFF"/>
            <w:tcMar>
              <w:top w:w="0" w:type="dxa"/>
              <w:left w:w="0" w:type="dxa"/>
              <w:bottom w:w="0" w:type="dxa"/>
              <w:right w:w="0" w:type="dxa"/>
            </w:tcMar>
            <w:vAlign w:val="center"/>
          </w:tcPr>
          <w:p w14:paraId="2F53D2A3">
            <w:pPr>
              <w:autoSpaceDE w:val="0"/>
              <w:autoSpaceDN w:val="0"/>
              <w:jc w:val="center"/>
              <w:rPr>
                <w:rFonts w:hint="eastAsia" w:ascii="宋体" w:hAnsi="宋体" w:cs="宋体"/>
                <w:szCs w:val="21"/>
              </w:rPr>
            </w:pPr>
            <w:r>
              <w:rPr>
                <w:rFonts w:hint="eastAsia" w:ascii="宋体" w:hAnsi="宋体" w:cs="宋体"/>
                <w:szCs w:val="21"/>
              </w:rPr>
              <w:t>1.2</w:t>
            </w:r>
          </w:p>
        </w:tc>
        <w:tc>
          <w:tcPr>
            <w:tcW w:w="530" w:type="dxa"/>
            <w:shd w:val="clear" w:color="auto" w:fill="FFFFFF"/>
            <w:tcMar>
              <w:top w:w="0" w:type="dxa"/>
              <w:left w:w="0" w:type="dxa"/>
              <w:bottom w:w="0" w:type="dxa"/>
              <w:right w:w="0" w:type="dxa"/>
            </w:tcMar>
            <w:vAlign w:val="center"/>
          </w:tcPr>
          <w:p w14:paraId="3DC473AF">
            <w:pPr>
              <w:autoSpaceDE w:val="0"/>
              <w:autoSpaceDN w:val="0"/>
              <w:jc w:val="center"/>
              <w:rPr>
                <w:rFonts w:hint="eastAsia" w:ascii="宋体" w:hAnsi="宋体" w:cs="宋体"/>
                <w:szCs w:val="21"/>
              </w:rPr>
            </w:pPr>
            <w:r>
              <w:rPr>
                <w:rFonts w:hint="eastAsia" w:ascii="宋体" w:hAnsi="宋体" w:cs="宋体"/>
                <w:szCs w:val="21"/>
              </w:rPr>
              <w:t>75.0</w:t>
            </w:r>
          </w:p>
        </w:tc>
        <w:tc>
          <w:tcPr>
            <w:tcW w:w="530" w:type="dxa"/>
            <w:shd w:val="clear" w:color="auto" w:fill="FFFFFF"/>
            <w:tcMar>
              <w:top w:w="0" w:type="dxa"/>
              <w:left w:w="0" w:type="dxa"/>
              <w:bottom w:w="0" w:type="dxa"/>
              <w:right w:w="0" w:type="dxa"/>
            </w:tcMar>
            <w:vAlign w:val="center"/>
          </w:tcPr>
          <w:p w14:paraId="3496CA74">
            <w:pPr>
              <w:autoSpaceDE w:val="0"/>
              <w:autoSpaceDN w:val="0"/>
              <w:jc w:val="center"/>
              <w:rPr>
                <w:rFonts w:hint="eastAsia" w:ascii="宋体" w:hAnsi="宋体" w:cs="宋体"/>
                <w:szCs w:val="21"/>
              </w:rPr>
            </w:pPr>
            <w:r>
              <w:rPr>
                <w:rFonts w:hint="eastAsia" w:ascii="宋体" w:hAnsi="宋体" w:cs="宋体"/>
                <w:szCs w:val="21"/>
              </w:rPr>
              <w:t>35.9</w:t>
            </w:r>
          </w:p>
        </w:tc>
        <w:tc>
          <w:tcPr>
            <w:tcW w:w="530" w:type="dxa"/>
            <w:shd w:val="clear" w:color="auto" w:fill="FFFFFF"/>
            <w:tcMar>
              <w:top w:w="0" w:type="dxa"/>
              <w:left w:w="0" w:type="dxa"/>
              <w:bottom w:w="0" w:type="dxa"/>
              <w:right w:w="0" w:type="dxa"/>
            </w:tcMar>
            <w:vAlign w:val="center"/>
          </w:tcPr>
          <w:p w14:paraId="17E1A1BB">
            <w:pPr>
              <w:autoSpaceDE w:val="0"/>
              <w:autoSpaceDN w:val="0"/>
              <w:jc w:val="center"/>
              <w:rPr>
                <w:rFonts w:hint="eastAsia" w:ascii="宋体" w:hAnsi="宋体" w:cs="宋体"/>
                <w:szCs w:val="21"/>
              </w:rPr>
            </w:pPr>
            <w:r>
              <w:rPr>
                <w:rFonts w:hint="eastAsia" w:ascii="宋体" w:hAnsi="宋体" w:cs="宋体"/>
                <w:szCs w:val="21"/>
              </w:rPr>
              <w:t>20.6</w:t>
            </w:r>
          </w:p>
        </w:tc>
        <w:tc>
          <w:tcPr>
            <w:tcW w:w="536" w:type="dxa"/>
            <w:shd w:val="clear" w:color="auto" w:fill="FFFFFF"/>
            <w:tcMar>
              <w:top w:w="0" w:type="dxa"/>
              <w:left w:w="0" w:type="dxa"/>
              <w:bottom w:w="0" w:type="dxa"/>
              <w:right w:w="0" w:type="dxa"/>
            </w:tcMar>
            <w:vAlign w:val="center"/>
          </w:tcPr>
          <w:p w14:paraId="46063164">
            <w:pPr>
              <w:autoSpaceDE w:val="0"/>
              <w:autoSpaceDN w:val="0"/>
              <w:jc w:val="center"/>
              <w:rPr>
                <w:rFonts w:hint="eastAsia" w:ascii="宋体" w:hAnsi="宋体" w:cs="宋体"/>
                <w:szCs w:val="21"/>
              </w:rPr>
            </w:pPr>
            <w:r>
              <w:rPr>
                <w:rFonts w:hint="eastAsia" w:ascii="宋体" w:hAnsi="宋体" w:cs="宋体"/>
                <w:szCs w:val="21"/>
              </w:rPr>
              <w:t>64.3</w:t>
            </w:r>
          </w:p>
        </w:tc>
        <w:tc>
          <w:tcPr>
            <w:tcW w:w="521" w:type="dxa"/>
            <w:shd w:val="clear" w:color="auto" w:fill="FFFFFF"/>
            <w:tcMar>
              <w:top w:w="0" w:type="dxa"/>
              <w:left w:w="0" w:type="dxa"/>
              <w:bottom w:w="0" w:type="dxa"/>
              <w:right w:w="0" w:type="dxa"/>
            </w:tcMar>
            <w:vAlign w:val="center"/>
          </w:tcPr>
          <w:p w14:paraId="76A1947A">
            <w:pPr>
              <w:autoSpaceDE w:val="0"/>
              <w:autoSpaceDN w:val="0"/>
              <w:jc w:val="center"/>
              <w:rPr>
                <w:rFonts w:hint="eastAsia" w:ascii="宋体" w:hAnsi="宋体" w:cs="宋体"/>
                <w:szCs w:val="21"/>
              </w:rPr>
            </w:pPr>
            <w:r>
              <w:rPr>
                <w:rFonts w:hint="eastAsia" w:ascii="宋体" w:hAnsi="宋体" w:cs="宋体"/>
                <w:szCs w:val="21"/>
              </w:rPr>
              <w:t>58.4</w:t>
            </w:r>
          </w:p>
        </w:tc>
        <w:tc>
          <w:tcPr>
            <w:tcW w:w="521" w:type="dxa"/>
            <w:shd w:val="clear" w:color="auto" w:fill="FFFFFF"/>
            <w:tcMar>
              <w:top w:w="0" w:type="dxa"/>
              <w:left w:w="0" w:type="dxa"/>
              <w:bottom w:w="0" w:type="dxa"/>
              <w:right w:w="0" w:type="dxa"/>
            </w:tcMar>
            <w:vAlign w:val="center"/>
          </w:tcPr>
          <w:p w14:paraId="2FCA13A4">
            <w:pPr>
              <w:autoSpaceDE w:val="0"/>
              <w:autoSpaceDN w:val="0"/>
              <w:jc w:val="center"/>
              <w:rPr>
                <w:rFonts w:hint="eastAsia" w:ascii="宋体" w:hAnsi="宋体" w:cs="宋体"/>
                <w:szCs w:val="21"/>
              </w:rPr>
            </w:pPr>
            <w:r>
              <w:rPr>
                <w:rFonts w:hint="eastAsia" w:ascii="宋体" w:hAnsi="宋体" w:cs="宋体"/>
                <w:szCs w:val="21"/>
              </w:rPr>
              <w:t>58.4</w:t>
            </w:r>
          </w:p>
        </w:tc>
        <w:tc>
          <w:tcPr>
            <w:tcW w:w="521" w:type="dxa"/>
            <w:shd w:val="clear" w:color="auto" w:fill="FFFFFF"/>
            <w:tcMar>
              <w:top w:w="0" w:type="dxa"/>
              <w:left w:w="0" w:type="dxa"/>
              <w:bottom w:w="0" w:type="dxa"/>
              <w:right w:w="0" w:type="dxa"/>
            </w:tcMar>
            <w:vAlign w:val="center"/>
          </w:tcPr>
          <w:p w14:paraId="76605636">
            <w:pPr>
              <w:autoSpaceDE w:val="0"/>
              <w:autoSpaceDN w:val="0"/>
              <w:jc w:val="center"/>
              <w:rPr>
                <w:rFonts w:hint="eastAsia" w:ascii="宋体" w:hAnsi="宋体" w:cs="宋体"/>
                <w:szCs w:val="21"/>
              </w:rPr>
            </w:pPr>
            <w:r>
              <w:rPr>
                <w:rFonts w:hint="eastAsia" w:ascii="宋体" w:hAnsi="宋体" w:cs="宋体"/>
                <w:szCs w:val="21"/>
              </w:rPr>
              <w:t>58.4</w:t>
            </w:r>
          </w:p>
        </w:tc>
        <w:tc>
          <w:tcPr>
            <w:tcW w:w="536" w:type="dxa"/>
            <w:shd w:val="clear" w:color="auto" w:fill="FFFFFF"/>
            <w:tcMar>
              <w:top w:w="0" w:type="dxa"/>
              <w:left w:w="0" w:type="dxa"/>
              <w:bottom w:w="0" w:type="dxa"/>
              <w:right w:w="0" w:type="dxa"/>
            </w:tcMar>
            <w:vAlign w:val="center"/>
          </w:tcPr>
          <w:p w14:paraId="68D85B70">
            <w:pPr>
              <w:autoSpaceDE w:val="0"/>
              <w:autoSpaceDN w:val="0"/>
              <w:jc w:val="center"/>
              <w:rPr>
                <w:rFonts w:hint="eastAsia" w:ascii="宋体" w:hAnsi="宋体" w:cs="宋体"/>
                <w:szCs w:val="21"/>
              </w:rPr>
            </w:pPr>
            <w:r>
              <w:rPr>
                <w:rFonts w:hint="eastAsia" w:ascii="宋体" w:hAnsi="宋体" w:cs="宋体"/>
                <w:szCs w:val="21"/>
              </w:rPr>
              <w:t>58.4</w:t>
            </w:r>
          </w:p>
        </w:tc>
        <w:tc>
          <w:tcPr>
            <w:tcW w:w="452" w:type="dxa"/>
            <w:shd w:val="clear" w:color="auto" w:fill="FFFFFF"/>
            <w:tcMar>
              <w:top w:w="0" w:type="dxa"/>
              <w:left w:w="0" w:type="dxa"/>
              <w:bottom w:w="0" w:type="dxa"/>
              <w:right w:w="0" w:type="dxa"/>
            </w:tcMar>
            <w:vAlign w:val="center"/>
          </w:tcPr>
          <w:p w14:paraId="4F38C169">
            <w:pPr>
              <w:autoSpaceDE w:val="0"/>
              <w:autoSpaceDN w:val="0"/>
              <w:jc w:val="center"/>
              <w:rPr>
                <w:rFonts w:hint="eastAsia" w:ascii="宋体" w:hAnsi="宋体" w:cs="宋体"/>
                <w:szCs w:val="21"/>
              </w:rPr>
            </w:pPr>
            <w:r>
              <w:rPr>
                <w:rFonts w:hint="eastAsia" w:ascii="宋体" w:hAnsi="宋体" w:cs="宋体"/>
                <w:szCs w:val="21"/>
              </w:rPr>
              <w:t>无</w:t>
            </w:r>
          </w:p>
        </w:tc>
        <w:tc>
          <w:tcPr>
            <w:tcW w:w="504" w:type="dxa"/>
            <w:shd w:val="clear" w:color="auto" w:fill="FFFFFF"/>
            <w:tcMar>
              <w:top w:w="0" w:type="dxa"/>
              <w:left w:w="0" w:type="dxa"/>
              <w:bottom w:w="0" w:type="dxa"/>
              <w:right w:w="0" w:type="dxa"/>
            </w:tcMar>
            <w:vAlign w:val="center"/>
          </w:tcPr>
          <w:p w14:paraId="4F60BE4C">
            <w:pPr>
              <w:autoSpaceDE w:val="0"/>
              <w:autoSpaceDN w:val="0"/>
              <w:jc w:val="center"/>
              <w:rPr>
                <w:rFonts w:hint="eastAsia" w:ascii="宋体" w:hAnsi="宋体" w:cs="宋体"/>
                <w:szCs w:val="21"/>
              </w:rPr>
            </w:pPr>
            <w:r>
              <w:rPr>
                <w:rFonts w:hint="eastAsia" w:ascii="宋体" w:hAnsi="宋体" w:cs="宋体"/>
                <w:szCs w:val="21"/>
              </w:rPr>
              <w:t>41.0</w:t>
            </w:r>
          </w:p>
        </w:tc>
        <w:tc>
          <w:tcPr>
            <w:tcW w:w="504" w:type="dxa"/>
            <w:shd w:val="clear" w:color="auto" w:fill="FFFFFF"/>
            <w:tcMar>
              <w:top w:w="0" w:type="dxa"/>
              <w:left w:w="0" w:type="dxa"/>
              <w:bottom w:w="0" w:type="dxa"/>
              <w:right w:w="0" w:type="dxa"/>
            </w:tcMar>
            <w:vAlign w:val="center"/>
          </w:tcPr>
          <w:p w14:paraId="4D714BB1">
            <w:pPr>
              <w:autoSpaceDE w:val="0"/>
              <w:autoSpaceDN w:val="0"/>
              <w:jc w:val="center"/>
              <w:rPr>
                <w:rFonts w:hint="eastAsia" w:ascii="宋体" w:hAnsi="宋体" w:cs="宋体"/>
                <w:szCs w:val="21"/>
              </w:rPr>
            </w:pPr>
            <w:r>
              <w:rPr>
                <w:rFonts w:hint="eastAsia" w:ascii="宋体" w:hAnsi="宋体" w:cs="宋体"/>
                <w:szCs w:val="21"/>
              </w:rPr>
              <w:t>41.0</w:t>
            </w:r>
          </w:p>
        </w:tc>
        <w:tc>
          <w:tcPr>
            <w:tcW w:w="504" w:type="dxa"/>
            <w:shd w:val="clear" w:color="auto" w:fill="FFFFFF"/>
            <w:tcMar>
              <w:top w:w="0" w:type="dxa"/>
              <w:left w:w="0" w:type="dxa"/>
              <w:bottom w:w="0" w:type="dxa"/>
              <w:right w:w="0" w:type="dxa"/>
            </w:tcMar>
            <w:vAlign w:val="center"/>
          </w:tcPr>
          <w:p w14:paraId="0E71963A">
            <w:pPr>
              <w:autoSpaceDE w:val="0"/>
              <w:autoSpaceDN w:val="0"/>
              <w:jc w:val="center"/>
              <w:rPr>
                <w:rFonts w:hint="eastAsia" w:ascii="宋体" w:hAnsi="宋体" w:cs="宋体"/>
                <w:szCs w:val="21"/>
              </w:rPr>
            </w:pPr>
            <w:r>
              <w:rPr>
                <w:rFonts w:hint="eastAsia" w:ascii="宋体" w:hAnsi="宋体" w:cs="宋体"/>
                <w:szCs w:val="21"/>
              </w:rPr>
              <w:t>41.0</w:t>
            </w:r>
          </w:p>
        </w:tc>
        <w:tc>
          <w:tcPr>
            <w:tcW w:w="513" w:type="dxa"/>
            <w:shd w:val="clear" w:color="auto" w:fill="FFFFFF"/>
            <w:tcMar>
              <w:top w:w="0" w:type="dxa"/>
              <w:left w:w="0" w:type="dxa"/>
              <w:bottom w:w="0" w:type="dxa"/>
              <w:right w:w="0" w:type="dxa"/>
            </w:tcMar>
            <w:vAlign w:val="center"/>
          </w:tcPr>
          <w:p w14:paraId="369CE924">
            <w:pPr>
              <w:autoSpaceDE w:val="0"/>
              <w:autoSpaceDN w:val="0"/>
              <w:jc w:val="center"/>
              <w:rPr>
                <w:rFonts w:hint="eastAsia" w:ascii="宋体" w:hAnsi="宋体" w:cs="宋体"/>
                <w:szCs w:val="21"/>
              </w:rPr>
            </w:pPr>
            <w:r>
              <w:rPr>
                <w:rFonts w:hint="eastAsia" w:ascii="宋体" w:hAnsi="宋体" w:cs="宋体"/>
                <w:szCs w:val="21"/>
              </w:rPr>
              <w:t>41.0</w:t>
            </w:r>
          </w:p>
        </w:tc>
        <w:tc>
          <w:tcPr>
            <w:tcW w:w="539" w:type="dxa"/>
            <w:shd w:val="clear" w:color="auto" w:fill="FFFFFF"/>
            <w:tcMar>
              <w:top w:w="0" w:type="dxa"/>
              <w:left w:w="0" w:type="dxa"/>
              <w:bottom w:w="0" w:type="dxa"/>
              <w:right w:w="0" w:type="dxa"/>
            </w:tcMar>
            <w:vAlign w:val="center"/>
          </w:tcPr>
          <w:p w14:paraId="3CA8DB27">
            <w:pPr>
              <w:autoSpaceDE w:val="0"/>
              <w:autoSpaceDN w:val="0"/>
              <w:jc w:val="center"/>
              <w:rPr>
                <w:rFonts w:hint="eastAsia" w:ascii="宋体" w:hAnsi="宋体" w:cs="宋体"/>
                <w:szCs w:val="21"/>
              </w:rPr>
            </w:pPr>
            <w:r>
              <w:rPr>
                <w:rFonts w:hint="eastAsia" w:ascii="宋体" w:hAnsi="宋体" w:cs="宋体"/>
                <w:szCs w:val="21"/>
              </w:rPr>
              <w:t>17.4</w:t>
            </w:r>
          </w:p>
        </w:tc>
        <w:tc>
          <w:tcPr>
            <w:tcW w:w="539" w:type="dxa"/>
            <w:shd w:val="clear" w:color="auto" w:fill="FFFFFF"/>
            <w:tcMar>
              <w:top w:w="0" w:type="dxa"/>
              <w:left w:w="0" w:type="dxa"/>
              <w:bottom w:w="0" w:type="dxa"/>
              <w:right w:w="0" w:type="dxa"/>
            </w:tcMar>
            <w:vAlign w:val="center"/>
          </w:tcPr>
          <w:p w14:paraId="34EC2F2D">
            <w:pPr>
              <w:autoSpaceDE w:val="0"/>
              <w:autoSpaceDN w:val="0"/>
              <w:jc w:val="center"/>
              <w:rPr>
                <w:rFonts w:hint="eastAsia" w:ascii="宋体" w:hAnsi="宋体" w:cs="宋体"/>
                <w:szCs w:val="21"/>
              </w:rPr>
            </w:pPr>
            <w:r>
              <w:rPr>
                <w:rFonts w:hint="eastAsia" w:ascii="宋体" w:hAnsi="宋体" w:cs="宋体"/>
                <w:szCs w:val="21"/>
              </w:rPr>
              <w:t>17.4</w:t>
            </w:r>
          </w:p>
        </w:tc>
        <w:tc>
          <w:tcPr>
            <w:tcW w:w="539" w:type="dxa"/>
            <w:shd w:val="clear" w:color="auto" w:fill="FFFFFF"/>
            <w:tcMar>
              <w:top w:w="0" w:type="dxa"/>
              <w:left w:w="0" w:type="dxa"/>
              <w:bottom w:w="0" w:type="dxa"/>
              <w:right w:w="0" w:type="dxa"/>
            </w:tcMar>
            <w:vAlign w:val="center"/>
          </w:tcPr>
          <w:p w14:paraId="63DA9A2D">
            <w:pPr>
              <w:autoSpaceDE w:val="0"/>
              <w:autoSpaceDN w:val="0"/>
              <w:jc w:val="center"/>
              <w:rPr>
                <w:rFonts w:hint="eastAsia" w:ascii="宋体" w:hAnsi="宋体" w:cs="宋体"/>
                <w:szCs w:val="21"/>
              </w:rPr>
            </w:pPr>
            <w:r>
              <w:rPr>
                <w:rFonts w:hint="eastAsia" w:ascii="宋体" w:hAnsi="宋体" w:cs="宋体"/>
                <w:szCs w:val="21"/>
              </w:rPr>
              <w:t>17.4</w:t>
            </w:r>
          </w:p>
        </w:tc>
        <w:tc>
          <w:tcPr>
            <w:tcW w:w="540" w:type="dxa"/>
            <w:shd w:val="clear" w:color="auto" w:fill="FFFFFF"/>
            <w:tcMar>
              <w:top w:w="0" w:type="dxa"/>
              <w:left w:w="0" w:type="dxa"/>
              <w:bottom w:w="0" w:type="dxa"/>
              <w:right w:w="0" w:type="dxa"/>
            </w:tcMar>
            <w:vAlign w:val="center"/>
          </w:tcPr>
          <w:p w14:paraId="54599F77">
            <w:pPr>
              <w:autoSpaceDE w:val="0"/>
              <w:autoSpaceDN w:val="0"/>
              <w:jc w:val="center"/>
              <w:rPr>
                <w:rFonts w:hint="eastAsia" w:ascii="宋体" w:hAnsi="宋体" w:cs="宋体"/>
                <w:szCs w:val="21"/>
              </w:rPr>
            </w:pPr>
            <w:r>
              <w:rPr>
                <w:rFonts w:hint="eastAsia" w:ascii="宋体" w:hAnsi="宋体" w:cs="宋体"/>
                <w:szCs w:val="21"/>
              </w:rPr>
              <w:t>17.4</w:t>
            </w:r>
          </w:p>
        </w:tc>
        <w:tc>
          <w:tcPr>
            <w:tcW w:w="619" w:type="dxa"/>
            <w:shd w:val="clear" w:color="auto" w:fill="FFFFFF"/>
            <w:tcMar>
              <w:top w:w="0" w:type="dxa"/>
              <w:left w:w="0" w:type="dxa"/>
              <w:bottom w:w="0" w:type="dxa"/>
              <w:right w:w="0" w:type="dxa"/>
            </w:tcMar>
            <w:vAlign w:val="center"/>
          </w:tcPr>
          <w:p w14:paraId="0D478062">
            <w:pPr>
              <w:autoSpaceDE w:val="0"/>
              <w:autoSpaceDN w:val="0"/>
              <w:jc w:val="center"/>
              <w:rPr>
                <w:rFonts w:hint="eastAsia" w:ascii="宋体" w:hAnsi="宋体" w:cs="宋体"/>
                <w:szCs w:val="21"/>
              </w:rPr>
            </w:pPr>
            <w:r>
              <w:rPr>
                <w:rFonts w:hint="eastAsia" w:ascii="宋体" w:hAnsi="宋体" w:cs="宋体"/>
                <w:szCs w:val="21"/>
              </w:rPr>
              <w:t>1</w:t>
            </w:r>
          </w:p>
        </w:tc>
      </w:tr>
      <w:tr w14:paraId="0E92D81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861" w:hRule="atLeast"/>
        </w:trPr>
        <w:tc>
          <w:tcPr>
            <w:tcW w:w="403" w:type="dxa"/>
            <w:shd w:val="clear" w:color="auto" w:fill="FFFFFF"/>
            <w:tcMar>
              <w:top w:w="0" w:type="dxa"/>
              <w:left w:w="0" w:type="dxa"/>
              <w:bottom w:w="0" w:type="dxa"/>
              <w:right w:w="0" w:type="dxa"/>
            </w:tcMar>
            <w:vAlign w:val="center"/>
          </w:tcPr>
          <w:p w14:paraId="3E1B6820">
            <w:pPr>
              <w:autoSpaceDE w:val="0"/>
              <w:autoSpaceDN w:val="0"/>
              <w:jc w:val="center"/>
              <w:rPr>
                <w:rFonts w:hint="eastAsia" w:ascii="宋体" w:hAnsi="宋体" w:cs="宋体"/>
                <w:bCs/>
                <w:szCs w:val="21"/>
              </w:rPr>
            </w:pPr>
            <w:r>
              <w:rPr>
                <w:rFonts w:hint="eastAsia" w:ascii="宋体" w:hAnsi="宋体" w:cs="宋体"/>
                <w:bCs/>
                <w:szCs w:val="21"/>
              </w:rPr>
              <w:t>2</w:t>
            </w:r>
          </w:p>
        </w:tc>
        <w:tc>
          <w:tcPr>
            <w:tcW w:w="593" w:type="dxa"/>
            <w:vMerge w:val="continue"/>
            <w:shd w:val="clear" w:color="auto" w:fill="FFFFFF"/>
            <w:tcMar>
              <w:top w:w="0" w:type="dxa"/>
              <w:left w:w="0" w:type="dxa"/>
              <w:bottom w:w="0" w:type="dxa"/>
              <w:right w:w="0" w:type="dxa"/>
            </w:tcMar>
            <w:vAlign w:val="center"/>
          </w:tcPr>
          <w:p w14:paraId="3C765CAE">
            <w:pPr>
              <w:autoSpaceDE w:val="0"/>
              <w:autoSpaceDN w:val="0"/>
              <w:jc w:val="center"/>
              <w:rPr>
                <w:rFonts w:hint="eastAsia" w:ascii="宋体" w:hAnsi="宋体" w:cs="宋体"/>
                <w:bCs/>
                <w:szCs w:val="21"/>
              </w:rPr>
            </w:pPr>
          </w:p>
        </w:tc>
        <w:tc>
          <w:tcPr>
            <w:tcW w:w="565" w:type="dxa"/>
            <w:shd w:val="clear" w:color="auto" w:fill="FFFFFF"/>
            <w:tcMar>
              <w:top w:w="0" w:type="dxa"/>
              <w:left w:w="0" w:type="dxa"/>
              <w:bottom w:w="0" w:type="dxa"/>
              <w:right w:w="0" w:type="dxa"/>
            </w:tcMar>
            <w:vAlign w:val="center"/>
          </w:tcPr>
          <w:p w14:paraId="23CE5CE0">
            <w:pPr>
              <w:autoSpaceDE w:val="0"/>
              <w:autoSpaceDN w:val="0"/>
              <w:jc w:val="center"/>
              <w:rPr>
                <w:rFonts w:hint="eastAsia" w:ascii="宋体" w:hAnsi="宋体" w:cs="宋体"/>
                <w:bCs/>
                <w:szCs w:val="21"/>
              </w:rPr>
            </w:pPr>
            <w:r>
              <w:rPr>
                <w:rFonts w:hint="eastAsia" w:ascii="宋体" w:hAnsi="宋体" w:cs="宋体"/>
                <w:bCs/>
                <w:szCs w:val="21"/>
              </w:rPr>
              <w:t>挤出机</w:t>
            </w:r>
          </w:p>
        </w:tc>
        <w:tc>
          <w:tcPr>
            <w:tcW w:w="719" w:type="dxa"/>
            <w:shd w:val="clear" w:color="auto" w:fill="FFFFFF"/>
            <w:tcMar>
              <w:top w:w="0" w:type="dxa"/>
              <w:left w:w="0" w:type="dxa"/>
              <w:bottom w:w="0" w:type="dxa"/>
              <w:right w:w="0" w:type="dxa"/>
            </w:tcMar>
            <w:vAlign w:val="center"/>
          </w:tcPr>
          <w:p w14:paraId="3ECDB2CD">
            <w:pPr>
              <w:autoSpaceDE w:val="0"/>
              <w:autoSpaceDN w:val="0"/>
              <w:jc w:val="center"/>
              <w:rPr>
                <w:rFonts w:hint="eastAsia" w:ascii="宋体" w:hAnsi="宋体" w:cs="宋体"/>
                <w:bCs/>
                <w:szCs w:val="21"/>
              </w:rPr>
            </w:pPr>
            <w:r>
              <w:rPr>
                <w:rFonts w:hint="eastAsia" w:ascii="宋体" w:hAnsi="宋体" w:cs="宋体"/>
                <w:bCs/>
                <w:szCs w:val="21"/>
              </w:rPr>
              <w:t>70</w:t>
            </w:r>
          </w:p>
        </w:tc>
        <w:tc>
          <w:tcPr>
            <w:tcW w:w="376" w:type="dxa"/>
            <w:vMerge w:val="continue"/>
            <w:shd w:val="clear" w:color="auto" w:fill="FFFFFF"/>
            <w:tcMar>
              <w:top w:w="0" w:type="dxa"/>
              <w:left w:w="0" w:type="dxa"/>
              <w:bottom w:w="0" w:type="dxa"/>
              <w:right w:w="0" w:type="dxa"/>
            </w:tcMar>
            <w:vAlign w:val="center"/>
          </w:tcPr>
          <w:p w14:paraId="74512980">
            <w:pPr>
              <w:autoSpaceDE w:val="0"/>
              <w:autoSpaceDN w:val="0"/>
              <w:jc w:val="center"/>
              <w:rPr>
                <w:rFonts w:hint="eastAsia" w:ascii="宋体" w:hAnsi="宋体" w:cs="宋体"/>
                <w:bCs/>
                <w:szCs w:val="21"/>
              </w:rPr>
            </w:pPr>
          </w:p>
        </w:tc>
        <w:tc>
          <w:tcPr>
            <w:tcW w:w="638" w:type="dxa"/>
            <w:shd w:val="clear" w:color="auto" w:fill="FFFFFF"/>
            <w:tcMar>
              <w:top w:w="0" w:type="dxa"/>
              <w:left w:w="0" w:type="dxa"/>
              <w:bottom w:w="0" w:type="dxa"/>
              <w:right w:w="0" w:type="dxa"/>
            </w:tcMar>
            <w:vAlign w:val="center"/>
          </w:tcPr>
          <w:p w14:paraId="68B21B31">
            <w:pPr>
              <w:autoSpaceDE w:val="0"/>
              <w:autoSpaceDN w:val="0"/>
              <w:jc w:val="center"/>
              <w:rPr>
                <w:rFonts w:hint="eastAsia" w:ascii="宋体" w:hAnsi="宋体" w:cs="宋体"/>
                <w:bCs/>
                <w:szCs w:val="21"/>
              </w:rPr>
            </w:pPr>
            <w:r>
              <w:rPr>
                <w:rFonts w:hint="eastAsia" w:ascii="宋体" w:hAnsi="宋体" w:cs="宋体"/>
                <w:bCs/>
                <w:szCs w:val="21"/>
              </w:rPr>
              <w:t>-4.9</w:t>
            </w:r>
          </w:p>
        </w:tc>
        <w:tc>
          <w:tcPr>
            <w:tcW w:w="638" w:type="dxa"/>
            <w:shd w:val="clear" w:color="auto" w:fill="FFFFFF"/>
            <w:tcMar>
              <w:top w:w="0" w:type="dxa"/>
              <w:left w:w="0" w:type="dxa"/>
              <w:bottom w:w="0" w:type="dxa"/>
              <w:right w:w="0" w:type="dxa"/>
            </w:tcMar>
            <w:vAlign w:val="center"/>
          </w:tcPr>
          <w:p w14:paraId="13CA2535">
            <w:pPr>
              <w:autoSpaceDE w:val="0"/>
              <w:autoSpaceDN w:val="0"/>
              <w:jc w:val="center"/>
              <w:rPr>
                <w:rFonts w:hint="eastAsia" w:ascii="宋体" w:hAnsi="宋体" w:cs="宋体"/>
                <w:bCs/>
                <w:szCs w:val="21"/>
              </w:rPr>
            </w:pPr>
            <w:r>
              <w:rPr>
                <w:rFonts w:hint="eastAsia" w:ascii="宋体" w:hAnsi="宋体" w:cs="宋体"/>
                <w:bCs/>
                <w:szCs w:val="21"/>
              </w:rPr>
              <w:t>12.5</w:t>
            </w:r>
          </w:p>
        </w:tc>
        <w:tc>
          <w:tcPr>
            <w:tcW w:w="645" w:type="dxa"/>
            <w:shd w:val="clear" w:color="auto" w:fill="FFFFFF"/>
            <w:tcMar>
              <w:top w:w="0" w:type="dxa"/>
              <w:left w:w="0" w:type="dxa"/>
              <w:bottom w:w="0" w:type="dxa"/>
              <w:right w:w="0" w:type="dxa"/>
            </w:tcMar>
            <w:vAlign w:val="center"/>
          </w:tcPr>
          <w:p w14:paraId="4D022623">
            <w:pPr>
              <w:autoSpaceDE w:val="0"/>
              <w:autoSpaceDN w:val="0"/>
              <w:jc w:val="center"/>
              <w:rPr>
                <w:rFonts w:hint="eastAsia" w:ascii="宋体" w:hAnsi="宋体" w:cs="宋体"/>
                <w:bCs/>
                <w:szCs w:val="21"/>
              </w:rPr>
            </w:pPr>
            <w:r>
              <w:rPr>
                <w:rFonts w:hint="eastAsia" w:ascii="宋体" w:hAnsi="宋体" w:cs="宋体"/>
                <w:bCs/>
                <w:szCs w:val="21"/>
              </w:rPr>
              <w:t>1.2</w:t>
            </w:r>
          </w:p>
        </w:tc>
        <w:tc>
          <w:tcPr>
            <w:tcW w:w="530" w:type="dxa"/>
            <w:shd w:val="clear" w:color="auto" w:fill="FFFFFF"/>
            <w:tcMar>
              <w:top w:w="0" w:type="dxa"/>
              <w:left w:w="0" w:type="dxa"/>
              <w:bottom w:w="0" w:type="dxa"/>
              <w:right w:w="0" w:type="dxa"/>
            </w:tcMar>
            <w:vAlign w:val="center"/>
          </w:tcPr>
          <w:p w14:paraId="667DFC48">
            <w:pPr>
              <w:autoSpaceDE w:val="0"/>
              <w:autoSpaceDN w:val="0"/>
              <w:jc w:val="center"/>
              <w:rPr>
                <w:rFonts w:hint="eastAsia" w:ascii="宋体" w:hAnsi="宋体" w:cs="宋体"/>
                <w:bCs/>
                <w:szCs w:val="21"/>
              </w:rPr>
            </w:pPr>
            <w:r>
              <w:rPr>
                <w:rFonts w:hint="eastAsia" w:ascii="宋体" w:hAnsi="宋体" w:cs="宋体"/>
                <w:bCs/>
                <w:szCs w:val="21"/>
              </w:rPr>
              <w:t>71.5</w:t>
            </w:r>
          </w:p>
        </w:tc>
        <w:tc>
          <w:tcPr>
            <w:tcW w:w="530" w:type="dxa"/>
            <w:shd w:val="clear" w:color="auto" w:fill="FFFFFF"/>
            <w:tcMar>
              <w:top w:w="0" w:type="dxa"/>
              <w:left w:w="0" w:type="dxa"/>
              <w:bottom w:w="0" w:type="dxa"/>
              <w:right w:w="0" w:type="dxa"/>
            </w:tcMar>
            <w:vAlign w:val="center"/>
          </w:tcPr>
          <w:p w14:paraId="0A4441C2">
            <w:pPr>
              <w:autoSpaceDE w:val="0"/>
              <w:autoSpaceDN w:val="0"/>
              <w:jc w:val="center"/>
              <w:rPr>
                <w:rFonts w:hint="eastAsia" w:ascii="宋体" w:hAnsi="宋体" w:cs="宋体"/>
                <w:bCs/>
                <w:szCs w:val="21"/>
              </w:rPr>
            </w:pPr>
            <w:r>
              <w:rPr>
                <w:rFonts w:hint="eastAsia" w:ascii="宋体" w:hAnsi="宋体" w:cs="宋体"/>
                <w:bCs/>
                <w:szCs w:val="21"/>
              </w:rPr>
              <w:t>13.2</w:t>
            </w:r>
          </w:p>
        </w:tc>
        <w:tc>
          <w:tcPr>
            <w:tcW w:w="530" w:type="dxa"/>
            <w:shd w:val="clear" w:color="auto" w:fill="FFFFFF"/>
            <w:tcMar>
              <w:top w:w="0" w:type="dxa"/>
              <w:left w:w="0" w:type="dxa"/>
              <w:bottom w:w="0" w:type="dxa"/>
              <w:right w:w="0" w:type="dxa"/>
            </w:tcMar>
            <w:vAlign w:val="center"/>
          </w:tcPr>
          <w:p w14:paraId="779B5CA8">
            <w:pPr>
              <w:autoSpaceDE w:val="0"/>
              <w:autoSpaceDN w:val="0"/>
              <w:jc w:val="center"/>
              <w:rPr>
                <w:rFonts w:hint="eastAsia" w:ascii="宋体" w:hAnsi="宋体" w:cs="宋体"/>
                <w:bCs/>
                <w:szCs w:val="21"/>
              </w:rPr>
            </w:pPr>
            <w:r>
              <w:rPr>
                <w:rFonts w:hint="eastAsia" w:ascii="宋体" w:hAnsi="宋体" w:cs="宋体"/>
                <w:bCs/>
                <w:szCs w:val="21"/>
              </w:rPr>
              <w:t>20.4</w:t>
            </w:r>
          </w:p>
        </w:tc>
        <w:tc>
          <w:tcPr>
            <w:tcW w:w="536" w:type="dxa"/>
            <w:shd w:val="clear" w:color="auto" w:fill="FFFFFF"/>
            <w:tcMar>
              <w:top w:w="0" w:type="dxa"/>
              <w:left w:w="0" w:type="dxa"/>
              <w:bottom w:w="0" w:type="dxa"/>
              <w:right w:w="0" w:type="dxa"/>
            </w:tcMar>
            <w:vAlign w:val="center"/>
          </w:tcPr>
          <w:p w14:paraId="1E3E872E">
            <w:pPr>
              <w:autoSpaceDE w:val="0"/>
              <w:autoSpaceDN w:val="0"/>
              <w:jc w:val="center"/>
              <w:rPr>
                <w:rFonts w:hint="eastAsia" w:ascii="宋体" w:hAnsi="宋体" w:cs="宋体"/>
                <w:bCs/>
                <w:szCs w:val="21"/>
              </w:rPr>
            </w:pPr>
            <w:r>
              <w:rPr>
                <w:rFonts w:hint="eastAsia" w:ascii="宋体" w:hAnsi="宋体" w:cs="宋体"/>
                <w:bCs/>
                <w:szCs w:val="21"/>
              </w:rPr>
              <w:t>15.2</w:t>
            </w:r>
          </w:p>
        </w:tc>
        <w:tc>
          <w:tcPr>
            <w:tcW w:w="521" w:type="dxa"/>
            <w:shd w:val="clear" w:color="auto" w:fill="FFFFFF"/>
            <w:tcMar>
              <w:top w:w="0" w:type="dxa"/>
              <w:left w:w="0" w:type="dxa"/>
              <w:bottom w:w="0" w:type="dxa"/>
              <w:right w:w="0" w:type="dxa"/>
            </w:tcMar>
            <w:vAlign w:val="center"/>
          </w:tcPr>
          <w:p w14:paraId="5FD4A3C9">
            <w:pPr>
              <w:autoSpaceDE w:val="0"/>
              <w:autoSpaceDN w:val="0"/>
              <w:jc w:val="center"/>
              <w:rPr>
                <w:rFonts w:hint="eastAsia" w:ascii="宋体" w:hAnsi="宋体" w:cs="宋体"/>
                <w:bCs/>
                <w:szCs w:val="21"/>
              </w:rPr>
            </w:pPr>
            <w:r>
              <w:rPr>
                <w:rFonts w:hint="eastAsia" w:ascii="宋体" w:hAnsi="宋体" w:cs="宋体"/>
                <w:bCs/>
                <w:szCs w:val="21"/>
              </w:rPr>
              <w:t>53.4</w:t>
            </w:r>
          </w:p>
        </w:tc>
        <w:tc>
          <w:tcPr>
            <w:tcW w:w="521" w:type="dxa"/>
            <w:shd w:val="clear" w:color="auto" w:fill="FFFFFF"/>
            <w:tcMar>
              <w:top w:w="0" w:type="dxa"/>
              <w:left w:w="0" w:type="dxa"/>
              <w:bottom w:w="0" w:type="dxa"/>
              <w:right w:w="0" w:type="dxa"/>
            </w:tcMar>
            <w:vAlign w:val="center"/>
          </w:tcPr>
          <w:p w14:paraId="7B9C3912">
            <w:pPr>
              <w:autoSpaceDE w:val="0"/>
              <w:autoSpaceDN w:val="0"/>
              <w:jc w:val="center"/>
              <w:rPr>
                <w:rFonts w:hint="eastAsia" w:ascii="宋体" w:hAnsi="宋体" w:cs="宋体"/>
                <w:bCs/>
                <w:szCs w:val="21"/>
              </w:rPr>
            </w:pPr>
            <w:r>
              <w:rPr>
                <w:rFonts w:hint="eastAsia" w:ascii="宋体" w:hAnsi="宋体" w:cs="宋体"/>
                <w:bCs/>
                <w:szCs w:val="21"/>
              </w:rPr>
              <w:t>53.5</w:t>
            </w:r>
          </w:p>
        </w:tc>
        <w:tc>
          <w:tcPr>
            <w:tcW w:w="521" w:type="dxa"/>
            <w:shd w:val="clear" w:color="auto" w:fill="FFFFFF"/>
            <w:tcMar>
              <w:top w:w="0" w:type="dxa"/>
              <w:left w:w="0" w:type="dxa"/>
              <w:bottom w:w="0" w:type="dxa"/>
              <w:right w:w="0" w:type="dxa"/>
            </w:tcMar>
            <w:vAlign w:val="center"/>
          </w:tcPr>
          <w:p w14:paraId="33466CB0">
            <w:pPr>
              <w:autoSpaceDE w:val="0"/>
              <w:autoSpaceDN w:val="0"/>
              <w:jc w:val="center"/>
              <w:rPr>
                <w:rFonts w:hint="eastAsia" w:ascii="宋体" w:hAnsi="宋体" w:cs="宋体"/>
                <w:bCs/>
                <w:szCs w:val="21"/>
              </w:rPr>
            </w:pPr>
            <w:r>
              <w:rPr>
                <w:rFonts w:hint="eastAsia" w:ascii="宋体" w:hAnsi="宋体" w:cs="宋体"/>
                <w:bCs/>
                <w:szCs w:val="21"/>
              </w:rPr>
              <w:t>53.4</w:t>
            </w:r>
          </w:p>
        </w:tc>
        <w:tc>
          <w:tcPr>
            <w:tcW w:w="536" w:type="dxa"/>
            <w:shd w:val="clear" w:color="auto" w:fill="FFFFFF"/>
            <w:tcMar>
              <w:top w:w="0" w:type="dxa"/>
              <w:left w:w="0" w:type="dxa"/>
              <w:bottom w:w="0" w:type="dxa"/>
              <w:right w:w="0" w:type="dxa"/>
            </w:tcMar>
            <w:vAlign w:val="center"/>
          </w:tcPr>
          <w:p w14:paraId="2FC46D3C">
            <w:pPr>
              <w:autoSpaceDE w:val="0"/>
              <w:autoSpaceDN w:val="0"/>
              <w:jc w:val="center"/>
              <w:rPr>
                <w:rFonts w:hint="eastAsia" w:ascii="宋体" w:hAnsi="宋体" w:cs="宋体"/>
                <w:bCs/>
                <w:szCs w:val="21"/>
              </w:rPr>
            </w:pPr>
            <w:r>
              <w:rPr>
                <w:rFonts w:hint="eastAsia" w:ascii="宋体" w:hAnsi="宋体" w:cs="宋体"/>
                <w:bCs/>
                <w:szCs w:val="21"/>
              </w:rPr>
              <w:t>53.5</w:t>
            </w:r>
          </w:p>
        </w:tc>
        <w:tc>
          <w:tcPr>
            <w:tcW w:w="452" w:type="dxa"/>
            <w:shd w:val="clear" w:color="auto" w:fill="FFFFFF"/>
            <w:tcMar>
              <w:top w:w="0" w:type="dxa"/>
              <w:left w:w="0" w:type="dxa"/>
              <w:bottom w:w="0" w:type="dxa"/>
              <w:right w:w="0" w:type="dxa"/>
            </w:tcMar>
            <w:vAlign w:val="center"/>
          </w:tcPr>
          <w:p w14:paraId="1D9F73B6">
            <w:pPr>
              <w:autoSpaceDE w:val="0"/>
              <w:autoSpaceDN w:val="0"/>
              <w:jc w:val="center"/>
              <w:rPr>
                <w:rFonts w:hint="eastAsia" w:ascii="宋体" w:hAnsi="宋体" w:cs="宋体"/>
                <w:bCs/>
                <w:szCs w:val="21"/>
              </w:rPr>
            </w:pPr>
            <w:r>
              <w:rPr>
                <w:rFonts w:hint="eastAsia" w:ascii="宋体" w:hAnsi="宋体" w:cs="宋体"/>
                <w:bCs/>
                <w:szCs w:val="21"/>
              </w:rPr>
              <w:t>无</w:t>
            </w:r>
          </w:p>
        </w:tc>
        <w:tc>
          <w:tcPr>
            <w:tcW w:w="504" w:type="dxa"/>
            <w:shd w:val="clear" w:color="auto" w:fill="FFFFFF"/>
            <w:tcMar>
              <w:top w:w="0" w:type="dxa"/>
              <w:left w:w="0" w:type="dxa"/>
              <w:bottom w:w="0" w:type="dxa"/>
              <w:right w:w="0" w:type="dxa"/>
            </w:tcMar>
            <w:vAlign w:val="center"/>
          </w:tcPr>
          <w:p w14:paraId="0926C997">
            <w:pPr>
              <w:autoSpaceDE w:val="0"/>
              <w:autoSpaceDN w:val="0"/>
              <w:jc w:val="center"/>
              <w:rPr>
                <w:rFonts w:hint="eastAsia" w:ascii="宋体" w:hAnsi="宋体" w:cs="宋体"/>
                <w:bCs/>
                <w:szCs w:val="21"/>
              </w:rPr>
            </w:pPr>
            <w:r>
              <w:rPr>
                <w:rFonts w:hint="eastAsia" w:ascii="宋体" w:hAnsi="宋体" w:cs="宋体"/>
                <w:bCs/>
                <w:szCs w:val="21"/>
              </w:rPr>
              <w:t>41.0</w:t>
            </w:r>
          </w:p>
        </w:tc>
        <w:tc>
          <w:tcPr>
            <w:tcW w:w="504" w:type="dxa"/>
            <w:shd w:val="clear" w:color="auto" w:fill="FFFFFF"/>
            <w:tcMar>
              <w:top w:w="0" w:type="dxa"/>
              <w:left w:w="0" w:type="dxa"/>
              <w:bottom w:w="0" w:type="dxa"/>
              <w:right w:w="0" w:type="dxa"/>
            </w:tcMar>
            <w:vAlign w:val="center"/>
          </w:tcPr>
          <w:p w14:paraId="3010495F">
            <w:pPr>
              <w:autoSpaceDE w:val="0"/>
              <w:autoSpaceDN w:val="0"/>
              <w:jc w:val="center"/>
              <w:rPr>
                <w:rFonts w:hint="eastAsia" w:ascii="宋体" w:hAnsi="宋体" w:cs="宋体"/>
                <w:bCs/>
                <w:szCs w:val="21"/>
              </w:rPr>
            </w:pPr>
            <w:r>
              <w:rPr>
                <w:rFonts w:hint="eastAsia" w:ascii="宋体" w:hAnsi="宋体" w:cs="宋体"/>
                <w:bCs/>
                <w:szCs w:val="21"/>
              </w:rPr>
              <w:t>41.0</w:t>
            </w:r>
          </w:p>
        </w:tc>
        <w:tc>
          <w:tcPr>
            <w:tcW w:w="504" w:type="dxa"/>
            <w:shd w:val="clear" w:color="auto" w:fill="FFFFFF"/>
            <w:tcMar>
              <w:top w:w="0" w:type="dxa"/>
              <w:left w:w="0" w:type="dxa"/>
              <w:bottom w:w="0" w:type="dxa"/>
              <w:right w:w="0" w:type="dxa"/>
            </w:tcMar>
            <w:vAlign w:val="center"/>
          </w:tcPr>
          <w:p w14:paraId="7BDB9F18">
            <w:pPr>
              <w:autoSpaceDE w:val="0"/>
              <w:autoSpaceDN w:val="0"/>
              <w:jc w:val="center"/>
              <w:rPr>
                <w:rFonts w:hint="eastAsia" w:ascii="宋体" w:hAnsi="宋体" w:cs="宋体"/>
                <w:bCs/>
                <w:szCs w:val="21"/>
              </w:rPr>
            </w:pPr>
            <w:r>
              <w:rPr>
                <w:rFonts w:hint="eastAsia" w:ascii="宋体" w:hAnsi="宋体" w:cs="宋体"/>
                <w:bCs/>
                <w:szCs w:val="21"/>
              </w:rPr>
              <w:t>41.0</w:t>
            </w:r>
          </w:p>
        </w:tc>
        <w:tc>
          <w:tcPr>
            <w:tcW w:w="513" w:type="dxa"/>
            <w:shd w:val="clear" w:color="auto" w:fill="FFFFFF"/>
            <w:tcMar>
              <w:top w:w="0" w:type="dxa"/>
              <w:left w:w="0" w:type="dxa"/>
              <w:bottom w:w="0" w:type="dxa"/>
              <w:right w:w="0" w:type="dxa"/>
            </w:tcMar>
            <w:vAlign w:val="center"/>
          </w:tcPr>
          <w:p w14:paraId="337356E7">
            <w:pPr>
              <w:autoSpaceDE w:val="0"/>
              <w:autoSpaceDN w:val="0"/>
              <w:jc w:val="center"/>
              <w:rPr>
                <w:rFonts w:hint="eastAsia" w:ascii="宋体" w:hAnsi="宋体" w:cs="宋体"/>
                <w:bCs/>
                <w:szCs w:val="21"/>
              </w:rPr>
            </w:pPr>
            <w:r>
              <w:rPr>
                <w:rFonts w:hint="eastAsia" w:ascii="宋体" w:hAnsi="宋体" w:cs="宋体"/>
                <w:bCs/>
                <w:szCs w:val="21"/>
              </w:rPr>
              <w:t>41.0</w:t>
            </w:r>
          </w:p>
        </w:tc>
        <w:tc>
          <w:tcPr>
            <w:tcW w:w="539" w:type="dxa"/>
            <w:shd w:val="clear" w:color="auto" w:fill="FFFFFF"/>
            <w:tcMar>
              <w:top w:w="0" w:type="dxa"/>
              <w:left w:w="0" w:type="dxa"/>
              <w:bottom w:w="0" w:type="dxa"/>
              <w:right w:w="0" w:type="dxa"/>
            </w:tcMar>
            <w:vAlign w:val="center"/>
          </w:tcPr>
          <w:p w14:paraId="6AD9A712">
            <w:pPr>
              <w:autoSpaceDE w:val="0"/>
              <w:autoSpaceDN w:val="0"/>
              <w:jc w:val="center"/>
              <w:rPr>
                <w:rFonts w:hint="eastAsia" w:ascii="宋体" w:hAnsi="宋体" w:cs="宋体"/>
                <w:bCs/>
                <w:szCs w:val="21"/>
              </w:rPr>
            </w:pPr>
            <w:r>
              <w:rPr>
                <w:rFonts w:hint="eastAsia" w:ascii="宋体" w:hAnsi="宋体" w:cs="宋体"/>
                <w:bCs/>
                <w:szCs w:val="21"/>
              </w:rPr>
              <w:t>12.4</w:t>
            </w:r>
          </w:p>
        </w:tc>
        <w:tc>
          <w:tcPr>
            <w:tcW w:w="539" w:type="dxa"/>
            <w:shd w:val="clear" w:color="auto" w:fill="FFFFFF"/>
            <w:tcMar>
              <w:top w:w="0" w:type="dxa"/>
              <w:left w:w="0" w:type="dxa"/>
              <w:bottom w:w="0" w:type="dxa"/>
              <w:right w:w="0" w:type="dxa"/>
            </w:tcMar>
            <w:vAlign w:val="center"/>
          </w:tcPr>
          <w:p w14:paraId="3AEB3E7F">
            <w:pPr>
              <w:autoSpaceDE w:val="0"/>
              <w:autoSpaceDN w:val="0"/>
              <w:jc w:val="center"/>
              <w:rPr>
                <w:rFonts w:hint="eastAsia" w:ascii="宋体" w:hAnsi="宋体" w:cs="宋体"/>
                <w:bCs/>
                <w:szCs w:val="21"/>
              </w:rPr>
            </w:pPr>
            <w:r>
              <w:rPr>
                <w:rFonts w:hint="eastAsia" w:ascii="宋体" w:hAnsi="宋体" w:cs="宋体"/>
                <w:bCs/>
                <w:szCs w:val="21"/>
              </w:rPr>
              <w:t>12.5</w:t>
            </w:r>
          </w:p>
        </w:tc>
        <w:tc>
          <w:tcPr>
            <w:tcW w:w="539" w:type="dxa"/>
            <w:shd w:val="clear" w:color="auto" w:fill="FFFFFF"/>
            <w:tcMar>
              <w:top w:w="0" w:type="dxa"/>
              <w:left w:w="0" w:type="dxa"/>
              <w:bottom w:w="0" w:type="dxa"/>
              <w:right w:w="0" w:type="dxa"/>
            </w:tcMar>
            <w:vAlign w:val="center"/>
          </w:tcPr>
          <w:p w14:paraId="6DC969C6">
            <w:pPr>
              <w:autoSpaceDE w:val="0"/>
              <w:autoSpaceDN w:val="0"/>
              <w:jc w:val="center"/>
              <w:rPr>
                <w:rFonts w:hint="eastAsia" w:ascii="宋体" w:hAnsi="宋体" w:cs="宋体"/>
                <w:bCs/>
                <w:szCs w:val="21"/>
              </w:rPr>
            </w:pPr>
            <w:r>
              <w:rPr>
                <w:rFonts w:hint="eastAsia" w:ascii="宋体" w:hAnsi="宋体" w:cs="宋体"/>
                <w:bCs/>
                <w:szCs w:val="21"/>
              </w:rPr>
              <w:t>12.4</w:t>
            </w:r>
          </w:p>
        </w:tc>
        <w:tc>
          <w:tcPr>
            <w:tcW w:w="540" w:type="dxa"/>
            <w:shd w:val="clear" w:color="auto" w:fill="FFFFFF"/>
            <w:tcMar>
              <w:top w:w="0" w:type="dxa"/>
              <w:left w:w="0" w:type="dxa"/>
              <w:bottom w:w="0" w:type="dxa"/>
              <w:right w:w="0" w:type="dxa"/>
            </w:tcMar>
            <w:vAlign w:val="center"/>
          </w:tcPr>
          <w:p w14:paraId="62EBB063">
            <w:pPr>
              <w:autoSpaceDE w:val="0"/>
              <w:autoSpaceDN w:val="0"/>
              <w:jc w:val="center"/>
              <w:rPr>
                <w:rFonts w:hint="eastAsia" w:ascii="宋体" w:hAnsi="宋体" w:cs="宋体"/>
                <w:bCs/>
                <w:szCs w:val="21"/>
              </w:rPr>
            </w:pPr>
            <w:r>
              <w:rPr>
                <w:rFonts w:hint="eastAsia" w:ascii="宋体" w:hAnsi="宋体" w:cs="宋体"/>
                <w:bCs/>
                <w:szCs w:val="21"/>
              </w:rPr>
              <w:t>12.5</w:t>
            </w:r>
          </w:p>
        </w:tc>
        <w:tc>
          <w:tcPr>
            <w:tcW w:w="619" w:type="dxa"/>
            <w:shd w:val="clear" w:color="auto" w:fill="FFFFFF"/>
            <w:tcMar>
              <w:top w:w="0" w:type="dxa"/>
              <w:left w:w="0" w:type="dxa"/>
              <w:bottom w:w="0" w:type="dxa"/>
              <w:right w:w="0" w:type="dxa"/>
            </w:tcMar>
            <w:vAlign w:val="center"/>
          </w:tcPr>
          <w:p w14:paraId="06DAAFB1">
            <w:pPr>
              <w:autoSpaceDE w:val="0"/>
              <w:autoSpaceDN w:val="0"/>
              <w:jc w:val="center"/>
              <w:rPr>
                <w:rFonts w:hint="eastAsia" w:ascii="宋体" w:hAnsi="宋体" w:cs="宋体"/>
                <w:bCs/>
                <w:szCs w:val="21"/>
              </w:rPr>
            </w:pPr>
            <w:r>
              <w:rPr>
                <w:rFonts w:hint="eastAsia" w:ascii="宋体" w:hAnsi="宋体" w:cs="宋体"/>
                <w:bCs/>
                <w:szCs w:val="21"/>
              </w:rPr>
              <w:t>1</w:t>
            </w:r>
          </w:p>
        </w:tc>
      </w:tr>
      <w:tr w14:paraId="6667878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561" w:hRule="atLeast"/>
        </w:trPr>
        <w:tc>
          <w:tcPr>
            <w:tcW w:w="403" w:type="dxa"/>
            <w:shd w:val="clear" w:color="auto" w:fill="FFFFFF"/>
            <w:tcMar>
              <w:top w:w="0" w:type="dxa"/>
              <w:left w:w="0" w:type="dxa"/>
              <w:bottom w:w="0" w:type="dxa"/>
              <w:right w:w="0" w:type="dxa"/>
            </w:tcMar>
            <w:vAlign w:val="center"/>
          </w:tcPr>
          <w:p w14:paraId="3278CC70">
            <w:pPr>
              <w:autoSpaceDE w:val="0"/>
              <w:autoSpaceDN w:val="0"/>
              <w:jc w:val="center"/>
              <w:rPr>
                <w:rFonts w:hint="eastAsia" w:ascii="宋体" w:hAnsi="宋体" w:cs="宋体"/>
                <w:bCs/>
                <w:szCs w:val="21"/>
              </w:rPr>
            </w:pPr>
            <w:r>
              <w:rPr>
                <w:rFonts w:hint="eastAsia" w:ascii="宋体" w:hAnsi="宋体" w:cs="宋体"/>
                <w:bCs/>
                <w:szCs w:val="21"/>
              </w:rPr>
              <w:t>3</w:t>
            </w:r>
          </w:p>
        </w:tc>
        <w:tc>
          <w:tcPr>
            <w:tcW w:w="593" w:type="dxa"/>
            <w:vMerge w:val="continue"/>
            <w:shd w:val="clear" w:color="auto" w:fill="FFFFFF"/>
            <w:tcMar>
              <w:top w:w="0" w:type="dxa"/>
              <w:left w:w="0" w:type="dxa"/>
              <w:bottom w:w="0" w:type="dxa"/>
              <w:right w:w="0" w:type="dxa"/>
            </w:tcMar>
            <w:vAlign w:val="center"/>
          </w:tcPr>
          <w:p w14:paraId="5F47B59C">
            <w:pPr>
              <w:autoSpaceDE w:val="0"/>
              <w:autoSpaceDN w:val="0"/>
              <w:jc w:val="center"/>
              <w:rPr>
                <w:rFonts w:hint="eastAsia" w:ascii="宋体" w:hAnsi="宋体" w:cs="宋体"/>
                <w:bCs/>
                <w:szCs w:val="21"/>
              </w:rPr>
            </w:pPr>
          </w:p>
        </w:tc>
        <w:tc>
          <w:tcPr>
            <w:tcW w:w="565" w:type="dxa"/>
            <w:shd w:val="clear" w:color="auto" w:fill="FFFFFF"/>
            <w:tcMar>
              <w:top w:w="0" w:type="dxa"/>
              <w:left w:w="0" w:type="dxa"/>
              <w:bottom w:w="0" w:type="dxa"/>
              <w:right w:w="0" w:type="dxa"/>
            </w:tcMar>
            <w:vAlign w:val="center"/>
          </w:tcPr>
          <w:p w14:paraId="5D0F021A">
            <w:pPr>
              <w:autoSpaceDE w:val="0"/>
              <w:autoSpaceDN w:val="0"/>
              <w:jc w:val="center"/>
              <w:rPr>
                <w:rFonts w:hint="eastAsia" w:ascii="宋体" w:hAnsi="宋体" w:cs="宋体"/>
                <w:bCs/>
                <w:szCs w:val="21"/>
              </w:rPr>
            </w:pPr>
            <w:r>
              <w:rPr>
                <w:rFonts w:hint="eastAsia"/>
                <w:color w:val="000000"/>
              </w:rPr>
              <w:t>振动筛</w:t>
            </w:r>
          </w:p>
        </w:tc>
        <w:tc>
          <w:tcPr>
            <w:tcW w:w="719" w:type="dxa"/>
            <w:shd w:val="clear" w:color="auto" w:fill="FFFFFF"/>
            <w:tcMar>
              <w:top w:w="0" w:type="dxa"/>
              <w:left w:w="0" w:type="dxa"/>
              <w:bottom w:w="0" w:type="dxa"/>
              <w:right w:w="0" w:type="dxa"/>
            </w:tcMar>
            <w:vAlign w:val="center"/>
          </w:tcPr>
          <w:p w14:paraId="23D096E2">
            <w:pPr>
              <w:autoSpaceDE w:val="0"/>
              <w:autoSpaceDN w:val="0"/>
              <w:jc w:val="center"/>
              <w:rPr>
                <w:rFonts w:hint="eastAsia" w:ascii="宋体" w:hAnsi="宋体" w:cs="宋体"/>
                <w:bCs/>
                <w:szCs w:val="21"/>
              </w:rPr>
            </w:pPr>
            <w:r>
              <w:rPr>
                <w:rFonts w:hint="eastAsia" w:ascii="宋体" w:hAnsi="宋体" w:cs="宋体"/>
                <w:bCs/>
                <w:szCs w:val="21"/>
              </w:rPr>
              <w:t>80</w:t>
            </w:r>
          </w:p>
        </w:tc>
        <w:tc>
          <w:tcPr>
            <w:tcW w:w="376" w:type="dxa"/>
            <w:vMerge w:val="continue"/>
            <w:shd w:val="clear" w:color="auto" w:fill="FFFFFF"/>
            <w:tcMar>
              <w:top w:w="0" w:type="dxa"/>
              <w:left w:w="0" w:type="dxa"/>
              <w:bottom w:w="0" w:type="dxa"/>
              <w:right w:w="0" w:type="dxa"/>
            </w:tcMar>
            <w:vAlign w:val="center"/>
          </w:tcPr>
          <w:p w14:paraId="1439241C">
            <w:pPr>
              <w:autoSpaceDE w:val="0"/>
              <w:autoSpaceDN w:val="0"/>
              <w:jc w:val="center"/>
              <w:rPr>
                <w:rFonts w:hint="eastAsia" w:ascii="宋体" w:hAnsi="宋体" w:cs="宋体"/>
                <w:bCs/>
                <w:szCs w:val="21"/>
              </w:rPr>
            </w:pPr>
          </w:p>
        </w:tc>
        <w:tc>
          <w:tcPr>
            <w:tcW w:w="638" w:type="dxa"/>
            <w:shd w:val="clear" w:color="auto" w:fill="FFFFFF"/>
            <w:tcMar>
              <w:top w:w="0" w:type="dxa"/>
              <w:left w:w="0" w:type="dxa"/>
              <w:bottom w:w="0" w:type="dxa"/>
              <w:right w:w="0" w:type="dxa"/>
            </w:tcMar>
            <w:vAlign w:val="center"/>
          </w:tcPr>
          <w:p w14:paraId="6F2B0F00">
            <w:pPr>
              <w:autoSpaceDE w:val="0"/>
              <w:autoSpaceDN w:val="0"/>
              <w:jc w:val="center"/>
              <w:rPr>
                <w:rFonts w:hint="eastAsia" w:ascii="宋体" w:hAnsi="宋体" w:cs="宋体"/>
                <w:szCs w:val="21"/>
              </w:rPr>
            </w:pPr>
            <w:r>
              <w:rPr>
                <w:rFonts w:hint="eastAsia" w:ascii="宋体" w:hAnsi="宋体" w:cs="宋体"/>
                <w:szCs w:val="21"/>
              </w:rPr>
              <w:t>0</w:t>
            </w:r>
          </w:p>
        </w:tc>
        <w:tc>
          <w:tcPr>
            <w:tcW w:w="638" w:type="dxa"/>
            <w:shd w:val="clear" w:color="auto" w:fill="FFFFFF"/>
            <w:tcMar>
              <w:top w:w="0" w:type="dxa"/>
              <w:left w:w="0" w:type="dxa"/>
              <w:bottom w:w="0" w:type="dxa"/>
              <w:right w:w="0" w:type="dxa"/>
            </w:tcMar>
            <w:vAlign w:val="center"/>
          </w:tcPr>
          <w:p w14:paraId="61EB621E">
            <w:pPr>
              <w:autoSpaceDE w:val="0"/>
              <w:autoSpaceDN w:val="0"/>
              <w:jc w:val="center"/>
              <w:rPr>
                <w:rFonts w:hint="eastAsia" w:ascii="宋体" w:hAnsi="宋体" w:cs="宋体"/>
                <w:szCs w:val="21"/>
              </w:rPr>
            </w:pPr>
            <w:r>
              <w:rPr>
                <w:rFonts w:hint="eastAsia" w:ascii="宋体" w:hAnsi="宋体" w:cs="宋体"/>
                <w:szCs w:val="21"/>
              </w:rPr>
              <w:t>13.8</w:t>
            </w:r>
          </w:p>
        </w:tc>
        <w:tc>
          <w:tcPr>
            <w:tcW w:w="645" w:type="dxa"/>
            <w:shd w:val="clear" w:color="auto" w:fill="FFFFFF"/>
            <w:tcMar>
              <w:top w:w="0" w:type="dxa"/>
              <w:left w:w="0" w:type="dxa"/>
              <w:bottom w:w="0" w:type="dxa"/>
              <w:right w:w="0" w:type="dxa"/>
            </w:tcMar>
            <w:vAlign w:val="center"/>
          </w:tcPr>
          <w:p w14:paraId="1E200120">
            <w:pPr>
              <w:autoSpaceDE w:val="0"/>
              <w:autoSpaceDN w:val="0"/>
              <w:jc w:val="center"/>
              <w:rPr>
                <w:rFonts w:hint="eastAsia" w:ascii="宋体" w:hAnsi="宋体" w:cs="宋体"/>
                <w:szCs w:val="21"/>
              </w:rPr>
            </w:pPr>
            <w:r>
              <w:rPr>
                <w:rFonts w:hint="eastAsia" w:ascii="宋体" w:hAnsi="宋体" w:cs="宋体"/>
                <w:szCs w:val="21"/>
              </w:rPr>
              <w:t>1.2</w:t>
            </w:r>
          </w:p>
        </w:tc>
        <w:tc>
          <w:tcPr>
            <w:tcW w:w="530" w:type="dxa"/>
            <w:shd w:val="clear" w:color="auto" w:fill="FFFFFF"/>
            <w:tcMar>
              <w:top w:w="0" w:type="dxa"/>
              <w:left w:w="0" w:type="dxa"/>
              <w:bottom w:w="0" w:type="dxa"/>
              <w:right w:w="0" w:type="dxa"/>
            </w:tcMar>
            <w:vAlign w:val="center"/>
          </w:tcPr>
          <w:p w14:paraId="4CD7F580">
            <w:pPr>
              <w:autoSpaceDE w:val="0"/>
              <w:autoSpaceDN w:val="0"/>
              <w:jc w:val="center"/>
              <w:rPr>
                <w:rFonts w:hint="eastAsia" w:ascii="宋体" w:hAnsi="宋体" w:cs="宋体"/>
                <w:szCs w:val="21"/>
              </w:rPr>
            </w:pPr>
            <w:r>
              <w:rPr>
                <w:rFonts w:hint="eastAsia" w:ascii="宋体" w:hAnsi="宋体" w:cs="宋体"/>
                <w:szCs w:val="21"/>
              </w:rPr>
              <w:t>67.0</w:t>
            </w:r>
          </w:p>
        </w:tc>
        <w:tc>
          <w:tcPr>
            <w:tcW w:w="530" w:type="dxa"/>
            <w:shd w:val="clear" w:color="auto" w:fill="FFFFFF"/>
            <w:tcMar>
              <w:top w:w="0" w:type="dxa"/>
              <w:left w:w="0" w:type="dxa"/>
              <w:bottom w:w="0" w:type="dxa"/>
              <w:right w:w="0" w:type="dxa"/>
            </w:tcMar>
            <w:vAlign w:val="center"/>
          </w:tcPr>
          <w:p w14:paraId="13F21747">
            <w:pPr>
              <w:autoSpaceDE w:val="0"/>
              <w:autoSpaceDN w:val="0"/>
              <w:jc w:val="center"/>
              <w:rPr>
                <w:rFonts w:hint="eastAsia" w:ascii="宋体" w:hAnsi="宋体" w:cs="宋体"/>
                <w:szCs w:val="21"/>
              </w:rPr>
            </w:pPr>
            <w:r>
              <w:rPr>
                <w:rFonts w:hint="eastAsia" w:ascii="宋体" w:hAnsi="宋体" w:cs="宋体"/>
                <w:szCs w:val="21"/>
              </w:rPr>
              <w:t>15.9</w:t>
            </w:r>
          </w:p>
        </w:tc>
        <w:tc>
          <w:tcPr>
            <w:tcW w:w="530" w:type="dxa"/>
            <w:shd w:val="clear" w:color="auto" w:fill="FFFFFF"/>
            <w:tcMar>
              <w:top w:w="0" w:type="dxa"/>
              <w:left w:w="0" w:type="dxa"/>
              <w:bottom w:w="0" w:type="dxa"/>
              <w:right w:w="0" w:type="dxa"/>
            </w:tcMar>
            <w:vAlign w:val="center"/>
          </w:tcPr>
          <w:p w14:paraId="4973C839">
            <w:pPr>
              <w:autoSpaceDE w:val="0"/>
              <w:autoSpaceDN w:val="0"/>
              <w:jc w:val="center"/>
              <w:rPr>
                <w:rFonts w:hint="eastAsia" w:ascii="宋体" w:hAnsi="宋体" w:cs="宋体"/>
                <w:szCs w:val="21"/>
              </w:rPr>
            </w:pPr>
            <w:r>
              <w:rPr>
                <w:rFonts w:hint="eastAsia" w:ascii="宋体" w:hAnsi="宋体" w:cs="宋体"/>
                <w:szCs w:val="21"/>
              </w:rPr>
              <w:t>24.7</w:t>
            </w:r>
          </w:p>
        </w:tc>
        <w:tc>
          <w:tcPr>
            <w:tcW w:w="536" w:type="dxa"/>
            <w:shd w:val="clear" w:color="auto" w:fill="FFFFFF"/>
            <w:tcMar>
              <w:top w:w="0" w:type="dxa"/>
              <w:left w:w="0" w:type="dxa"/>
              <w:bottom w:w="0" w:type="dxa"/>
              <w:right w:w="0" w:type="dxa"/>
            </w:tcMar>
            <w:vAlign w:val="center"/>
          </w:tcPr>
          <w:p w14:paraId="79D50CD8">
            <w:pPr>
              <w:autoSpaceDE w:val="0"/>
              <w:autoSpaceDN w:val="0"/>
              <w:jc w:val="center"/>
              <w:rPr>
                <w:rFonts w:hint="eastAsia" w:ascii="宋体" w:hAnsi="宋体" w:cs="宋体"/>
                <w:szCs w:val="21"/>
              </w:rPr>
            </w:pPr>
            <w:r>
              <w:rPr>
                <w:rFonts w:hint="eastAsia" w:ascii="宋体" w:hAnsi="宋体" w:cs="宋体"/>
                <w:szCs w:val="21"/>
              </w:rPr>
              <w:t>12.5</w:t>
            </w:r>
          </w:p>
        </w:tc>
        <w:tc>
          <w:tcPr>
            <w:tcW w:w="521" w:type="dxa"/>
            <w:shd w:val="clear" w:color="auto" w:fill="FFFFFF"/>
            <w:tcMar>
              <w:top w:w="0" w:type="dxa"/>
              <w:left w:w="0" w:type="dxa"/>
              <w:bottom w:w="0" w:type="dxa"/>
              <w:right w:w="0" w:type="dxa"/>
            </w:tcMar>
            <w:vAlign w:val="center"/>
          </w:tcPr>
          <w:p w14:paraId="7D5AA803">
            <w:pPr>
              <w:autoSpaceDE w:val="0"/>
              <w:autoSpaceDN w:val="0"/>
              <w:jc w:val="center"/>
              <w:rPr>
                <w:rFonts w:hint="eastAsia" w:ascii="宋体" w:hAnsi="宋体" w:cs="宋体"/>
                <w:szCs w:val="21"/>
              </w:rPr>
            </w:pPr>
            <w:r>
              <w:rPr>
                <w:rFonts w:hint="eastAsia" w:ascii="宋体" w:hAnsi="宋体" w:cs="宋体"/>
                <w:szCs w:val="21"/>
              </w:rPr>
              <w:t>48.4</w:t>
            </w:r>
          </w:p>
        </w:tc>
        <w:tc>
          <w:tcPr>
            <w:tcW w:w="521" w:type="dxa"/>
            <w:shd w:val="clear" w:color="auto" w:fill="FFFFFF"/>
            <w:tcMar>
              <w:top w:w="0" w:type="dxa"/>
              <w:left w:w="0" w:type="dxa"/>
              <w:bottom w:w="0" w:type="dxa"/>
              <w:right w:w="0" w:type="dxa"/>
            </w:tcMar>
            <w:vAlign w:val="center"/>
          </w:tcPr>
          <w:p w14:paraId="19EC6A83">
            <w:pPr>
              <w:autoSpaceDE w:val="0"/>
              <w:autoSpaceDN w:val="0"/>
              <w:jc w:val="center"/>
              <w:rPr>
                <w:rFonts w:hint="eastAsia" w:ascii="宋体" w:hAnsi="宋体" w:cs="宋体"/>
                <w:szCs w:val="21"/>
              </w:rPr>
            </w:pPr>
            <w:r>
              <w:rPr>
                <w:rFonts w:hint="eastAsia" w:ascii="宋体" w:hAnsi="宋体" w:cs="宋体"/>
                <w:szCs w:val="21"/>
              </w:rPr>
              <w:t>48.5</w:t>
            </w:r>
          </w:p>
        </w:tc>
        <w:tc>
          <w:tcPr>
            <w:tcW w:w="521" w:type="dxa"/>
            <w:shd w:val="clear" w:color="auto" w:fill="FFFFFF"/>
            <w:tcMar>
              <w:top w:w="0" w:type="dxa"/>
              <w:left w:w="0" w:type="dxa"/>
              <w:bottom w:w="0" w:type="dxa"/>
              <w:right w:w="0" w:type="dxa"/>
            </w:tcMar>
            <w:vAlign w:val="center"/>
          </w:tcPr>
          <w:p w14:paraId="1DBEDAF7">
            <w:pPr>
              <w:autoSpaceDE w:val="0"/>
              <w:autoSpaceDN w:val="0"/>
              <w:jc w:val="center"/>
              <w:rPr>
                <w:rFonts w:hint="eastAsia" w:ascii="宋体" w:hAnsi="宋体" w:cs="宋体"/>
                <w:szCs w:val="21"/>
              </w:rPr>
            </w:pPr>
            <w:r>
              <w:rPr>
                <w:rFonts w:hint="eastAsia" w:ascii="宋体" w:hAnsi="宋体" w:cs="宋体"/>
                <w:szCs w:val="21"/>
              </w:rPr>
              <w:t>48.4</w:t>
            </w:r>
          </w:p>
        </w:tc>
        <w:tc>
          <w:tcPr>
            <w:tcW w:w="536" w:type="dxa"/>
            <w:shd w:val="clear" w:color="auto" w:fill="FFFFFF"/>
            <w:tcMar>
              <w:top w:w="0" w:type="dxa"/>
              <w:left w:w="0" w:type="dxa"/>
              <w:bottom w:w="0" w:type="dxa"/>
              <w:right w:w="0" w:type="dxa"/>
            </w:tcMar>
            <w:vAlign w:val="center"/>
          </w:tcPr>
          <w:p w14:paraId="3DE2F220">
            <w:pPr>
              <w:autoSpaceDE w:val="0"/>
              <w:autoSpaceDN w:val="0"/>
              <w:jc w:val="center"/>
              <w:rPr>
                <w:rFonts w:hint="eastAsia" w:ascii="宋体" w:hAnsi="宋体" w:cs="宋体"/>
                <w:szCs w:val="21"/>
              </w:rPr>
            </w:pPr>
            <w:r>
              <w:rPr>
                <w:rFonts w:hint="eastAsia" w:ascii="宋体" w:hAnsi="宋体" w:cs="宋体"/>
                <w:szCs w:val="21"/>
              </w:rPr>
              <w:t>48.5</w:t>
            </w:r>
          </w:p>
        </w:tc>
        <w:tc>
          <w:tcPr>
            <w:tcW w:w="452" w:type="dxa"/>
            <w:shd w:val="clear" w:color="auto" w:fill="FFFFFF"/>
            <w:tcMar>
              <w:top w:w="0" w:type="dxa"/>
              <w:left w:w="0" w:type="dxa"/>
              <w:bottom w:w="0" w:type="dxa"/>
              <w:right w:w="0" w:type="dxa"/>
            </w:tcMar>
            <w:vAlign w:val="center"/>
          </w:tcPr>
          <w:p w14:paraId="466F7889">
            <w:pPr>
              <w:autoSpaceDE w:val="0"/>
              <w:autoSpaceDN w:val="0"/>
              <w:jc w:val="center"/>
              <w:rPr>
                <w:rFonts w:hint="eastAsia" w:ascii="宋体" w:hAnsi="宋体" w:cs="宋体"/>
                <w:szCs w:val="21"/>
              </w:rPr>
            </w:pPr>
            <w:r>
              <w:rPr>
                <w:rFonts w:hint="eastAsia" w:ascii="宋体" w:hAnsi="宋体" w:cs="宋体"/>
                <w:szCs w:val="21"/>
              </w:rPr>
              <w:t>无</w:t>
            </w:r>
          </w:p>
        </w:tc>
        <w:tc>
          <w:tcPr>
            <w:tcW w:w="504" w:type="dxa"/>
            <w:shd w:val="clear" w:color="auto" w:fill="FFFFFF"/>
            <w:tcMar>
              <w:top w:w="0" w:type="dxa"/>
              <w:left w:w="0" w:type="dxa"/>
              <w:bottom w:w="0" w:type="dxa"/>
              <w:right w:w="0" w:type="dxa"/>
            </w:tcMar>
            <w:vAlign w:val="center"/>
          </w:tcPr>
          <w:p w14:paraId="3D70017A">
            <w:pPr>
              <w:autoSpaceDE w:val="0"/>
              <w:autoSpaceDN w:val="0"/>
              <w:jc w:val="center"/>
              <w:rPr>
                <w:rFonts w:hint="eastAsia" w:ascii="宋体" w:hAnsi="宋体" w:cs="宋体"/>
                <w:szCs w:val="21"/>
              </w:rPr>
            </w:pPr>
            <w:r>
              <w:rPr>
                <w:rFonts w:hint="eastAsia" w:ascii="宋体" w:hAnsi="宋体" w:cs="宋体"/>
                <w:szCs w:val="21"/>
              </w:rPr>
              <w:t>41.0</w:t>
            </w:r>
          </w:p>
        </w:tc>
        <w:tc>
          <w:tcPr>
            <w:tcW w:w="504" w:type="dxa"/>
            <w:shd w:val="clear" w:color="auto" w:fill="FFFFFF"/>
            <w:tcMar>
              <w:top w:w="0" w:type="dxa"/>
              <w:left w:w="0" w:type="dxa"/>
              <w:bottom w:w="0" w:type="dxa"/>
              <w:right w:w="0" w:type="dxa"/>
            </w:tcMar>
            <w:vAlign w:val="center"/>
          </w:tcPr>
          <w:p w14:paraId="0CF579C5">
            <w:pPr>
              <w:autoSpaceDE w:val="0"/>
              <w:autoSpaceDN w:val="0"/>
              <w:jc w:val="center"/>
              <w:rPr>
                <w:rFonts w:hint="eastAsia" w:ascii="宋体" w:hAnsi="宋体" w:cs="宋体"/>
                <w:szCs w:val="21"/>
              </w:rPr>
            </w:pPr>
            <w:r>
              <w:rPr>
                <w:rFonts w:hint="eastAsia" w:ascii="宋体" w:hAnsi="宋体" w:cs="宋体"/>
                <w:szCs w:val="21"/>
              </w:rPr>
              <w:t>41.0</w:t>
            </w:r>
          </w:p>
        </w:tc>
        <w:tc>
          <w:tcPr>
            <w:tcW w:w="504" w:type="dxa"/>
            <w:shd w:val="clear" w:color="auto" w:fill="FFFFFF"/>
            <w:tcMar>
              <w:top w:w="0" w:type="dxa"/>
              <w:left w:w="0" w:type="dxa"/>
              <w:bottom w:w="0" w:type="dxa"/>
              <w:right w:w="0" w:type="dxa"/>
            </w:tcMar>
            <w:vAlign w:val="center"/>
          </w:tcPr>
          <w:p w14:paraId="404D22E1">
            <w:pPr>
              <w:autoSpaceDE w:val="0"/>
              <w:autoSpaceDN w:val="0"/>
              <w:jc w:val="center"/>
              <w:rPr>
                <w:rFonts w:hint="eastAsia" w:ascii="宋体" w:hAnsi="宋体" w:cs="宋体"/>
                <w:szCs w:val="21"/>
              </w:rPr>
            </w:pPr>
            <w:r>
              <w:rPr>
                <w:rFonts w:hint="eastAsia" w:ascii="宋体" w:hAnsi="宋体" w:cs="宋体"/>
                <w:szCs w:val="21"/>
              </w:rPr>
              <w:t>41.0</w:t>
            </w:r>
          </w:p>
        </w:tc>
        <w:tc>
          <w:tcPr>
            <w:tcW w:w="513" w:type="dxa"/>
            <w:shd w:val="clear" w:color="auto" w:fill="FFFFFF"/>
            <w:tcMar>
              <w:top w:w="0" w:type="dxa"/>
              <w:left w:w="0" w:type="dxa"/>
              <w:bottom w:w="0" w:type="dxa"/>
              <w:right w:w="0" w:type="dxa"/>
            </w:tcMar>
            <w:vAlign w:val="center"/>
          </w:tcPr>
          <w:p w14:paraId="6A3FE0EF">
            <w:pPr>
              <w:autoSpaceDE w:val="0"/>
              <w:autoSpaceDN w:val="0"/>
              <w:jc w:val="center"/>
              <w:rPr>
                <w:rFonts w:hint="eastAsia" w:ascii="宋体" w:hAnsi="宋体" w:cs="宋体"/>
                <w:szCs w:val="21"/>
              </w:rPr>
            </w:pPr>
            <w:r>
              <w:rPr>
                <w:rFonts w:hint="eastAsia" w:ascii="宋体" w:hAnsi="宋体" w:cs="宋体"/>
                <w:szCs w:val="21"/>
              </w:rPr>
              <w:t>41.0</w:t>
            </w:r>
          </w:p>
        </w:tc>
        <w:tc>
          <w:tcPr>
            <w:tcW w:w="539" w:type="dxa"/>
            <w:shd w:val="clear" w:color="auto" w:fill="FFFFFF"/>
            <w:tcMar>
              <w:top w:w="0" w:type="dxa"/>
              <w:left w:w="0" w:type="dxa"/>
              <w:bottom w:w="0" w:type="dxa"/>
              <w:right w:w="0" w:type="dxa"/>
            </w:tcMar>
            <w:vAlign w:val="center"/>
          </w:tcPr>
          <w:p w14:paraId="2FA530CE">
            <w:pPr>
              <w:autoSpaceDE w:val="0"/>
              <w:autoSpaceDN w:val="0"/>
              <w:jc w:val="center"/>
              <w:rPr>
                <w:rFonts w:hint="eastAsia" w:ascii="宋体" w:hAnsi="宋体" w:cs="宋体"/>
                <w:szCs w:val="21"/>
              </w:rPr>
            </w:pPr>
            <w:r>
              <w:rPr>
                <w:rFonts w:hint="eastAsia" w:ascii="宋体" w:hAnsi="宋体" w:cs="宋体"/>
                <w:szCs w:val="21"/>
              </w:rPr>
              <w:t>7.4</w:t>
            </w:r>
          </w:p>
        </w:tc>
        <w:tc>
          <w:tcPr>
            <w:tcW w:w="539" w:type="dxa"/>
            <w:shd w:val="clear" w:color="auto" w:fill="FFFFFF"/>
            <w:tcMar>
              <w:top w:w="0" w:type="dxa"/>
              <w:left w:w="0" w:type="dxa"/>
              <w:bottom w:w="0" w:type="dxa"/>
              <w:right w:w="0" w:type="dxa"/>
            </w:tcMar>
            <w:vAlign w:val="center"/>
          </w:tcPr>
          <w:p w14:paraId="6F4E0B9A">
            <w:pPr>
              <w:autoSpaceDE w:val="0"/>
              <w:autoSpaceDN w:val="0"/>
              <w:jc w:val="center"/>
              <w:rPr>
                <w:rFonts w:hint="eastAsia" w:ascii="宋体" w:hAnsi="宋体" w:cs="宋体"/>
                <w:szCs w:val="21"/>
              </w:rPr>
            </w:pPr>
            <w:r>
              <w:rPr>
                <w:rFonts w:hint="eastAsia" w:ascii="宋体" w:hAnsi="宋体" w:cs="宋体"/>
                <w:szCs w:val="21"/>
              </w:rPr>
              <w:t>7.5</w:t>
            </w:r>
          </w:p>
        </w:tc>
        <w:tc>
          <w:tcPr>
            <w:tcW w:w="539" w:type="dxa"/>
            <w:shd w:val="clear" w:color="auto" w:fill="FFFFFF"/>
            <w:tcMar>
              <w:top w:w="0" w:type="dxa"/>
              <w:left w:w="0" w:type="dxa"/>
              <w:bottom w:w="0" w:type="dxa"/>
              <w:right w:w="0" w:type="dxa"/>
            </w:tcMar>
            <w:vAlign w:val="center"/>
          </w:tcPr>
          <w:p w14:paraId="201FF8B3">
            <w:pPr>
              <w:autoSpaceDE w:val="0"/>
              <w:autoSpaceDN w:val="0"/>
              <w:jc w:val="center"/>
              <w:rPr>
                <w:rFonts w:hint="eastAsia" w:ascii="宋体" w:hAnsi="宋体" w:cs="宋体"/>
                <w:szCs w:val="21"/>
              </w:rPr>
            </w:pPr>
            <w:r>
              <w:rPr>
                <w:rFonts w:hint="eastAsia" w:ascii="宋体" w:hAnsi="宋体" w:cs="宋体"/>
                <w:szCs w:val="21"/>
              </w:rPr>
              <w:t>7.4</w:t>
            </w:r>
          </w:p>
        </w:tc>
        <w:tc>
          <w:tcPr>
            <w:tcW w:w="540" w:type="dxa"/>
            <w:shd w:val="clear" w:color="auto" w:fill="FFFFFF"/>
            <w:tcMar>
              <w:top w:w="0" w:type="dxa"/>
              <w:left w:w="0" w:type="dxa"/>
              <w:bottom w:w="0" w:type="dxa"/>
              <w:right w:w="0" w:type="dxa"/>
            </w:tcMar>
            <w:vAlign w:val="center"/>
          </w:tcPr>
          <w:p w14:paraId="0594B848">
            <w:pPr>
              <w:autoSpaceDE w:val="0"/>
              <w:autoSpaceDN w:val="0"/>
              <w:jc w:val="center"/>
              <w:rPr>
                <w:rFonts w:hint="eastAsia" w:ascii="宋体" w:hAnsi="宋体" w:cs="宋体"/>
                <w:szCs w:val="21"/>
              </w:rPr>
            </w:pPr>
            <w:r>
              <w:rPr>
                <w:rFonts w:hint="eastAsia" w:ascii="宋体" w:hAnsi="宋体" w:cs="宋体"/>
                <w:szCs w:val="21"/>
              </w:rPr>
              <w:t>7.5</w:t>
            </w:r>
          </w:p>
        </w:tc>
        <w:tc>
          <w:tcPr>
            <w:tcW w:w="619" w:type="dxa"/>
            <w:shd w:val="clear" w:color="auto" w:fill="FFFFFF"/>
            <w:tcMar>
              <w:top w:w="0" w:type="dxa"/>
              <w:left w:w="0" w:type="dxa"/>
              <w:bottom w:w="0" w:type="dxa"/>
              <w:right w:w="0" w:type="dxa"/>
            </w:tcMar>
            <w:vAlign w:val="center"/>
          </w:tcPr>
          <w:p w14:paraId="356E600C">
            <w:pPr>
              <w:autoSpaceDE w:val="0"/>
              <w:autoSpaceDN w:val="0"/>
              <w:jc w:val="center"/>
              <w:rPr>
                <w:rFonts w:hint="eastAsia" w:ascii="宋体" w:hAnsi="宋体" w:cs="宋体"/>
                <w:szCs w:val="21"/>
              </w:rPr>
            </w:pPr>
            <w:r>
              <w:rPr>
                <w:rFonts w:hint="eastAsia" w:ascii="宋体" w:hAnsi="宋体" w:cs="宋体"/>
                <w:szCs w:val="21"/>
              </w:rPr>
              <w:t>1</w:t>
            </w:r>
          </w:p>
        </w:tc>
      </w:tr>
      <w:tr w14:paraId="01DB00F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787" w:hRule="atLeast"/>
        </w:trPr>
        <w:tc>
          <w:tcPr>
            <w:tcW w:w="403" w:type="dxa"/>
            <w:shd w:val="clear" w:color="auto" w:fill="FFFFFF"/>
            <w:tcMar>
              <w:top w:w="0" w:type="dxa"/>
              <w:left w:w="0" w:type="dxa"/>
              <w:bottom w:w="0" w:type="dxa"/>
              <w:right w:w="0" w:type="dxa"/>
            </w:tcMar>
            <w:vAlign w:val="center"/>
          </w:tcPr>
          <w:p w14:paraId="2CC7E1DF">
            <w:pPr>
              <w:autoSpaceDE w:val="0"/>
              <w:autoSpaceDN w:val="0"/>
              <w:jc w:val="center"/>
              <w:rPr>
                <w:rFonts w:hint="eastAsia" w:ascii="宋体" w:hAnsi="宋体" w:cs="宋体"/>
                <w:bCs/>
                <w:szCs w:val="21"/>
              </w:rPr>
            </w:pPr>
            <w:r>
              <w:rPr>
                <w:rFonts w:hint="eastAsia" w:ascii="宋体" w:hAnsi="宋体" w:cs="宋体"/>
                <w:bCs/>
                <w:szCs w:val="21"/>
              </w:rPr>
              <w:t>4</w:t>
            </w:r>
          </w:p>
        </w:tc>
        <w:tc>
          <w:tcPr>
            <w:tcW w:w="593" w:type="dxa"/>
            <w:vMerge w:val="continue"/>
            <w:shd w:val="clear" w:color="auto" w:fill="FFFFFF"/>
            <w:tcMar>
              <w:top w:w="0" w:type="dxa"/>
              <w:left w:w="0" w:type="dxa"/>
              <w:bottom w:w="0" w:type="dxa"/>
              <w:right w:w="0" w:type="dxa"/>
            </w:tcMar>
            <w:vAlign w:val="center"/>
          </w:tcPr>
          <w:p w14:paraId="0B3103F4">
            <w:pPr>
              <w:autoSpaceDE w:val="0"/>
              <w:autoSpaceDN w:val="0"/>
              <w:jc w:val="center"/>
              <w:rPr>
                <w:rFonts w:hint="eastAsia" w:ascii="宋体" w:hAnsi="宋体" w:cs="宋体"/>
                <w:bCs/>
                <w:szCs w:val="21"/>
              </w:rPr>
            </w:pPr>
          </w:p>
        </w:tc>
        <w:tc>
          <w:tcPr>
            <w:tcW w:w="565" w:type="dxa"/>
            <w:shd w:val="clear" w:color="auto" w:fill="FFFFFF"/>
            <w:tcMar>
              <w:top w:w="0" w:type="dxa"/>
              <w:left w:w="0" w:type="dxa"/>
              <w:bottom w:w="0" w:type="dxa"/>
              <w:right w:w="0" w:type="dxa"/>
            </w:tcMar>
            <w:vAlign w:val="center"/>
          </w:tcPr>
          <w:p w14:paraId="7271563E">
            <w:pPr>
              <w:autoSpaceDE w:val="0"/>
              <w:autoSpaceDN w:val="0"/>
              <w:jc w:val="center"/>
              <w:rPr>
                <w:rFonts w:hint="eastAsia" w:ascii="宋体" w:hAnsi="宋体" w:cs="宋体"/>
                <w:bCs/>
                <w:szCs w:val="21"/>
              </w:rPr>
            </w:pPr>
            <w:r>
              <w:rPr>
                <w:rFonts w:hint="eastAsia"/>
                <w:bCs/>
                <w:color w:val="000000"/>
                <w:szCs w:val="21"/>
              </w:rPr>
              <w:t>自动喂料机</w:t>
            </w:r>
          </w:p>
        </w:tc>
        <w:tc>
          <w:tcPr>
            <w:tcW w:w="719" w:type="dxa"/>
            <w:shd w:val="clear" w:color="auto" w:fill="FFFFFF"/>
            <w:tcMar>
              <w:top w:w="0" w:type="dxa"/>
              <w:left w:w="0" w:type="dxa"/>
              <w:bottom w:w="0" w:type="dxa"/>
              <w:right w:w="0" w:type="dxa"/>
            </w:tcMar>
            <w:vAlign w:val="center"/>
          </w:tcPr>
          <w:p w14:paraId="010687FB">
            <w:pPr>
              <w:autoSpaceDE w:val="0"/>
              <w:autoSpaceDN w:val="0"/>
              <w:jc w:val="center"/>
              <w:rPr>
                <w:rFonts w:hint="eastAsia" w:ascii="宋体" w:hAnsi="宋体" w:cs="宋体"/>
                <w:bCs/>
                <w:szCs w:val="21"/>
              </w:rPr>
            </w:pPr>
            <w:r>
              <w:rPr>
                <w:rFonts w:hint="eastAsia" w:ascii="宋体" w:hAnsi="宋体" w:cs="宋体"/>
                <w:bCs/>
                <w:szCs w:val="21"/>
              </w:rPr>
              <w:t>70</w:t>
            </w:r>
          </w:p>
        </w:tc>
        <w:tc>
          <w:tcPr>
            <w:tcW w:w="376" w:type="dxa"/>
            <w:vMerge w:val="continue"/>
            <w:shd w:val="clear" w:color="auto" w:fill="FFFFFF"/>
            <w:tcMar>
              <w:top w:w="0" w:type="dxa"/>
              <w:left w:w="0" w:type="dxa"/>
              <w:bottom w:w="0" w:type="dxa"/>
              <w:right w:w="0" w:type="dxa"/>
            </w:tcMar>
            <w:vAlign w:val="center"/>
          </w:tcPr>
          <w:p w14:paraId="729B5A9C">
            <w:pPr>
              <w:autoSpaceDE w:val="0"/>
              <w:autoSpaceDN w:val="0"/>
              <w:jc w:val="center"/>
              <w:rPr>
                <w:rFonts w:hint="eastAsia" w:ascii="宋体" w:hAnsi="宋体" w:cs="宋体"/>
                <w:bCs/>
                <w:szCs w:val="21"/>
              </w:rPr>
            </w:pPr>
          </w:p>
        </w:tc>
        <w:tc>
          <w:tcPr>
            <w:tcW w:w="638" w:type="dxa"/>
            <w:shd w:val="clear" w:color="auto" w:fill="FFFFFF"/>
            <w:tcMar>
              <w:top w:w="0" w:type="dxa"/>
              <w:left w:w="0" w:type="dxa"/>
              <w:bottom w:w="0" w:type="dxa"/>
              <w:right w:w="0" w:type="dxa"/>
            </w:tcMar>
            <w:vAlign w:val="center"/>
          </w:tcPr>
          <w:p w14:paraId="4CEFF5E1">
            <w:pPr>
              <w:autoSpaceDE w:val="0"/>
              <w:autoSpaceDN w:val="0"/>
              <w:jc w:val="center"/>
              <w:rPr>
                <w:rFonts w:hint="eastAsia" w:ascii="宋体" w:hAnsi="宋体" w:cs="宋体"/>
                <w:bCs/>
                <w:szCs w:val="21"/>
              </w:rPr>
            </w:pPr>
            <w:r>
              <w:rPr>
                <w:rFonts w:hint="eastAsia" w:ascii="宋体" w:hAnsi="宋体" w:cs="宋体"/>
                <w:bCs/>
                <w:szCs w:val="21"/>
              </w:rPr>
              <w:t>-6.2</w:t>
            </w:r>
          </w:p>
        </w:tc>
        <w:tc>
          <w:tcPr>
            <w:tcW w:w="638" w:type="dxa"/>
            <w:shd w:val="clear" w:color="auto" w:fill="FFFFFF"/>
            <w:tcMar>
              <w:top w:w="0" w:type="dxa"/>
              <w:left w:w="0" w:type="dxa"/>
              <w:bottom w:w="0" w:type="dxa"/>
              <w:right w:w="0" w:type="dxa"/>
            </w:tcMar>
            <w:vAlign w:val="center"/>
          </w:tcPr>
          <w:p w14:paraId="2CB88AA3">
            <w:pPr>
              <w:autoSpaceDE w:val="0"/>
              <w:autoSpaceDN w:val="0"/>
              <w:jc w:val="center"/>
              <w:rPr>
                <w:rFonts w:hint="eastAsia" w:ascii="宋体" w:hAnsi="宋体" w:cs="宋体"/>
                <w:bCs/>
                <w:szCs w:val="21"/>
              </w:rPr>
            </w:pPr>
            <w:r>
              <w:rPr>
                <w:rFonts w:hint="eastAsia" w:ascii="宋体" w:hAnsi="宋体" w:cs="宋体"/>
                <w:bCs/>
                <w:szCs w:val="21"/>
              </w:rPr>
              <w:t>14.2</w:t>
            </w:r>
          </w:p>
        </w:tc>
        <w:tc>
          <w:tcPr>
            <w:tcW w:w="645" w:type="dxa"/>
            <w:shd w:val="clear" w:color="auto" w:fill="FFFFFF"/>
            <w:tcMar>
              <w:top w:w="0" w:type="dxa"/>
              <w:left w:w="0" w:type="dxa"/>
              <w:bottom w:w="0" w:type="dxa"/>
              <w:right w:w="0" w:type="dxa"/>
            </w:tcMar>
            <w:vAlign w:val="center"/>
          </w:tcPr>
          <w:p w14:paraId="3EAB5725">
            <w:pPr>
              <w:autoSpaceDE w:val="0"/>
              <w:autoSpaceDN w:val="0"/>
              <w:jc w:val="center"/>
              <w:rPr>
                <w:rFonts w:hint="eastAsia" w:ascii="宋体" w:hAnsi="宋体" w:cs="宋体"/>
                <w:bCs/>
                <w:szCs w:val="21"/>
              </w:rPr>
            </w:pPr>
            <w:r>
              <w:rPr>
                <w:rFonts w:hint="eastAsia" w:ascii="宋体" w:hAnsi="宋体" w:cs="宋体"/>
                <w:bCs/>
                <w:szCs w:val="21"/>
              </w:rPr>
              <w:t>1.2</w:t>
            </w:r>
          </w:p>
        </w:tc>
        <w:tc>
          <w:tcPr>
            <w:tcW w:w="530" w:type="dxa"/>
            <w:shd w:val="clear" w:color="auto" w:fill="FFFFFF"/>
            <w:tcMar>
              <w:top w:w="0" w:type="dxa"/>
              <w:left w:w="0" w:type="dxa"/>
              <w:bottom w:w="0" w:type="dxa"/>
              <w:right w:w="0" w:type="dxa"/>
            </w:tcMar>
            <w:vAlign w:val="center"/>
          </w:tcPr>
          <w:p w14:paraId="4E3B0EAB">
            <w:pPr>
              <w:autoSpaceDE w:val="0"/>
              <w:autoSpaceDN w:val="0"/>
              <w:jc w:val="center"/>
              <w:rPr>
                <w:rFonts w:hint="eastAsia" w:ascii="宋体" w:hAnsi="宋体" w:cs="宋体"/>
                <w:bCs/>
                <w:szCs w:val="21"/>
              </w:rPr>
            </w:pPr>
            <w:r>
              <w:rPr>
                <w:rFonts w:hint="eastAsia" w:ascii="宋体" w:hAnsi="宋体" w:cs="宋体"/>
                <w:bCs/>
                <w:szCs w:val="21"/>
              </w:rPr>
              <w:t>73.2</w:t>
            </w:r>
          </w:p>
        </w:tc>
        <w:tc>
          <w:tcPr>
            <w:tcW w:w="530" w:type="dxa"/>
            <w:shd w:val="clear" w:color="auto" w:fill="FFFFFF"/>
            <w:tcMar>
              <w:top w:w="0" w:type="dxa"/>
              <w:left w:w="0" w:type="dxa"/>
              <w:bottom w:w="0" w:type="dxa"/>
              <w:right w:w="0" w:type="dxa"/>
            </w:tcMar>
            <w:vAlign w:val="center"/>
          </w:tcPr>
          <w:p w14:paraId="4AAE82FF">
            <w:pPr>
              <w:autoSpaceDE w:val="0"/>
              <w:autoSpaceDN w:val="0"/>
              <w:jc w:val="center"/>
              <w:rPr>
                <w:rFonts w:hint="eastAsia" w:ascii="宋体" w:hAnsi="宋体" w:cs="宋体"/>
                <w:bCs/>
                <w:szCs w:val="21"/>
              </w:rPr>
            </w:pPr>
            <w:r>
              <w:rPr>
                <w:rFonts w:hint="eastAsia" w:ascii="宋体" w:hAnsi="宋体" w:cs="宋体"/>
                <w:bCs/>
                <w:szCs w:val="21"/>
              </w:rPr>
              <w:t>14.5</w:t>
            </w:r>
          </w:p>
        </w:tc>
        <w:tc>
          <w:tcPr>
            <w:tcW w:w="530" w:type="dxa"/>
            <w:shd w:val="clear" w:color="auto" w:fill="FFFFFF"/>
            <w:tcMar>
              <w:top w:w="0" w:type="dxa"/>
              <w:left w:w="0" w:type="dxa"/>
              <w:bottom w:w="0" w:type="dxa"/>
              <w:right w:w="0" w:type="dxa"/>
            </w:tcMar>
            <w:vAlign w:val="center"/>
          </w:tcPr>
          <w:p w14:paraId="23E4586A">
            <w:pPr>
              <w:autoSpaceDE w:val="0"/>
              <w:autoSpaceDN w:val="0"/>
              <w:jc w:val="center"/>
              <w:rPr>
                <w:rFonts w:hint="eastAsia" w:ascii="宋体" w:hAnsi="宋体" w:cs="宋体"/>
                <w:bCs/>
                <w:szCs w:val="21"/>
              </w:rPr>
            </w:pPr>
            <w:r>
              <w:rPr>
                <w:rFonts w:hint="eastAsia" w:ascii="宋体" w:hAnsi="宋体" w:cs="宋体"/>
                <w:bCs/>
                <w:szCs w:val="21"/>
              </w:rPr>
              <w:t>18.6</w:t>
            </w:r>
          </w:p>
        </w:tc>
        <w:tc>
          <w:tcPr>
            <w:tcW w:w="536" w:type="dxa"/>
            <w:shd w:val="clear" w:color="auto" w:fill="FFFFFF"/>
            <w:tcMar>
              <w:top w:w="0" w:type="dxa"/>
              <w:left w:w="0" w:type="dxa"/>
              <w:bottom w:w="0" w:type="dxa"/>
              <w:right w:w="0" w:type="dxa"/>
            </w:tcMar>
            <w:vAlign w:val="center"/>
          </w:tcPr>
          <w:p w14:paraId="0A20A3F1">
            <w:pPr>
              <w:autoSpaceDE w:val="0"/>
              <w:autoSpaceDN w:val="0"/>
              <w:jc w:val="center"/>
              <w:rPr>
                <w:rFonts w:hint="eastAsia" w:ascii="宋体" w:hAnsi="宋体" w:cs="宋体"/>
                <w:bCs/>
                <w:szCs w:val="21"/>
              </w:rPr>
            </w:pPr>
            <w:r>
              <w:rPr>
                <w:rFonts w:hint="eastAsia" w:ascii="宋体" w:hAnsi="宋体" w:cs="宋体"/>
                <w:bCs/>
                <w:szCs w:val="21"/>
              </w:rPr>
              <w:t>14.0</w:t>
            </w:r>
          </w:p>
        </w:tc>
        <w:tc>
          <w:tcPr>
            <w:tcW w:w="521" w:type="dxa"/>
            <w:shd w:val="clear" w:color="auto" w:fill="FFFFFF"/>
            <w:tcMar>
              <w:top w:w="0" w:type="dxa"/>
              <w:left w:w="0" w:type="dxa"/>
              <w:bottom w:w="0" w:type="dxa"/>
              <w:right w:w="0" w:type="dxa"/>
            </w:tcMar>
            <w:vAlign w:val="center"/>
          </w:tcPr>
          <w:p w14:paraId="213E0854">
            <w:pPr>
              <w:autoSpaceDE w:val="0"/>
              <w:autoSpaceDN w:val="0"/>
              <w:jc w:val="center"/>
              <w:rPr>
                <w:rFonts w:hint="eastAsia" w:ascii="宋体" w:hAnsi="宋体" w:cs="宋体"/>
                <w:bCs/>
                <w:szCs w:val="21"/>
              </w:rPr>
            </w:pPr>
            <w:r>
              <w:rPr>
                <w:rFonts w:hint="eastAsia" w:ascii="宋体" w:hAnsi="宋体" w:cs="宋体"/>
                <w:bCs/>
                <w:szCs w:val="21"/>
              </w:rPr>
              <w:t>53.4</w:t>
            </w:r>
          </w:p>
        </w:tc>
        <w:tc>
          <w:tcPr>
            <w:tcW w:w="521" w:type="dxa"/>
            <w:shd w:val="clear" w:color="auto" w:fill="FFFFFF"/>
            <w:tcMar>
              <w:top w:w="0" w:type="dxa"/>
              <w:left w:w="0" w:type="dxa"/>
              <w:bottom w:w="0" w:type="dxa"/>
              <w:right w:w="0" w:type="dxa"/>
            </w:tcMar>
            <w:vAlign w:val="center"/>
          </w:tcPr>
          <w:p w14:paraId="63D245B2">
            <w:pPr>
              <w:autoSpaceDE w:val="0"/>
              <w:autoSpaceDN w:val="0"/>
              <w:jc w:val="center"/>
              <w:rPr>
                <w:rFonts w:hint="eastAsia" w:ascii="宋体" w:hAnsi="宋体" w:cs="宋体"/>
                <w:bCs/>
                <w:szCs w:val="21"/>
              </w:rPr>
            </w:pPr>
            <w:r>
              <w:rPr>
                <w:rFonts w:hint="eastAsia" w:ascii="宋体" w:hAnsi="宋体" w:cs="宋体"/>
                <w:bCs/>
                <w:szCs w:val="21"/>
              </w:rPr>
              <w:t>53.5</w:t>
            </w:r>
          </w:p>
        </w:tc>
        <w:tc>
          <w:tcPr>
            <w:tcW w:w="521" w:type="dxa"/>
            <w:shd w:val="clear" w:color="auto" w:fill="FFFFFF"/>
            <w:tcMar>
              <w:top w:w="0" w:type="dxa"/>
              <w:left w:w="0" w:type="dxa"/>
              <w:bottom w:w="0" w:type="dxa"/>
              <w:right w:w="0" w:type="dxa"/>
            </w:tcMar>
            <w:vAlign w:val="center"/>
          </w:tcPr>
          <w:p w14:paraId="14C8ACEF">
            <w:pPr>
              <w:autoSpaceDE w:val="0"/>
              <w:autoSpaceDN w:val="0"/>
              <w:jc w:val="center"/>
              <w:rPr>
                <w:rFonts w:hint="eastAsia" w:ascii="宋体" w:hAnsi="宋体" w:cs="宋体"/>
                <w:bCs/>
                <w:szCs w:val="21"/>
              </w:rPr>
            </w:pPr>
            <w:r>
              <w:rPr>
                <w:rFonts w:hint="eastAsia" w:ascii="宋体" w:hAnsi="宋体" w:cs="宋体"/>
                <w:bCs/>
                <w:szCs w:val="21"/>
              </w:rPr>
              <w:t>53.4</w:t>
            </w:r>
          </w:p>
        </w:tc>
        <w:tc>
          <w:tcPr>
            <w:tcW w:w="536" w:type="dxa"/>
            <w:shd w:val="clear" w:color="auto" w:fill="FFFFFF"/>
            <w:tcMar>
              <w:top w:w="0" w:type="dxa"/>
              <w:left w:w="0" w:type="dxa"/>
              <w:bottom w:w="0" w:type="dxa"/>
              <w:right w:w="0" w:type="dxa"/>
            </w:tcMar>
            <w:vAlign w:val="center"/>
          </w:tcPr>
          <w:p w14:paraId="719F1C8C">
            <w:pPr>
              <w:autoSpaceDE w:val="0"/>
              <w:autoSpaceDN w:val="0"/>
              <w:jc w:val="center"/>
              <w:rPr>
                <w:rFonts w:hint="eastAsia" w:ascii="宋体" w:hAnsi="宋体" w:cs="宋体"/>
                <w:bCs/>
                <w:szCs w:val="21"/>
              </w:rPr>
            </w:pPr>
            <w:r>
              <w:rPr>
                <w:rFonts w:hint="eastAsia" w:ascii="宋体" w:hAnsi="宋体" w:cs="宋体"/>
                <w:bCs/>
                <w:szCs w:val="21"/>
              </w:rPr>
              <w:t>53.5</w:t>
            </w:r>
          </w:p>
        </w:tc>
        <w:tc>
          <w:tcPr>
            <w:tcW w:w="452" w:type="dxa"/>
            <w:shd w:val="clear" w:color="auto" w:fill="FFFFFF"/>
            <w:tcMar>
              <w:top w:w="0" w:type="dxa"/>
              <w:left w:w="0" w:type="dxa"/>
              <w:bottom w:w="0" w:type="dxa"/>
              <w:right w:w="0" w:type="dxa"/>
            </w:tcMar>
            <w:vAlign w:val="center"/>
          </w:tcPr>
          <w:p w14:paraId="00170AE5">
            <w:pPr>
              <w:autoSpaceDE w:val="0"/>
              <w:autoSpaceDN w:val="0"/>
              <w:jc w:val="center"/>
              <w:rPr>
                <w:rFonts w:hint="eastAsia" w:ascii="宋体" w:hAnsi="宋体" w:cs="宋体"/>
                <w:bCs/>
                <w:szCs w:val="21"/>
              </w:rPr>
            </w:pPr>
            <w:r>
              <w:rPr>
                <w:rFonts w:hint="eastAsia" w:ascii="宋体" w:hAnsi="宋体" w:cs="宋体"/>
                <w:bCs/>
                <w:szCs w:val="21"/>
              </w:rPr>
              <w:t>无</w:t>
            </w:r>
          </w:p>
        </w:tc>
        <w:tc>
          <w:tcPr>
            <w:tcW w:w="504" w:type="dxa"/>
            <w:shd w:val="clear" w:color="auto" w:fill="FFFFFF"/>
            <w:tcMar>
              <w:top w:w="0" w:type="dxa"/>
              <w:left w:w="0" w:type="dxa"/>
              <w:bottom w:w="0" w:type="dxa"/>
              <w:right w:w="0" w:type="dxa"/>
            </w:tcMar>
            <w:vAlign w:val="center"/>
          </w:tcPr>
          <w:p w14:paraId="0F099330">
            <w:pPr>
              <w:autoSpaceDE w:val="0"/>
              <w:autoSpaceDN w:val="0"/>
              <w:jc w:val="center"/>
              <w:rPr>
                <w:rFonts w:hint="eastAsia" w:ascii="宋体" w:hAnsi="宋体" w:cs="宋体"/>
                <w:bCs/>
                <w:szCs w:val="21"/>
              </w:rPr>
            </w:pPr>
            <w:r>
              <w:rPr>
                <w:rFonts w:hint="eastAsia" w:ascii="宋体" w:hAnsi="宋体" w:cs="宋体"/>
                <w:bCs/>
                <w:szCs w:val="21"/>
              </w:rPr>
              <w:t>41.0</w:t>
            </w:r>
          </w:p>
        </w:tc>
        <w:tc>
          <w:tcPr>
            <w:tcW w:w="504" w:type="dxa"/>
            <w:shd w:val="clear" w:color="auto" w:fill="FFFFFF"/>
            <w:tcMar>
              <w:top w:w="0" w:type="dxa"/>
              <w:left w:w="0" w:type="dxa"/>
              <w:bottom w:w="0" w:type="dxa"/>
              <w:right w:w="0" w:type="dxa"/>
            </w:tcMar>
            <w:vAlign w:val="center"/>
          </w:tcPr>
          <w:p w14:paraId="7D60616A">
            <w:pPr>
              <w:autoSpaceDE w:val="0"/>
              <w:autoSpaceDN w:val="0"/>
              <w:jc w:val="center"/>
              <w:rPr>
                <w:rFonts w:hint="eastAsia" w:ascii="宋体" w:hAnsi="宋体" w:cs="宋体"/>
                <w:bCs/>
                <w:szCs w:val="21"/>
              </w:rPr>
            </w:pPr>
            <w:r>
              <w:rPr>
                <w:rFonts w:hint="eastAsia" w:ascii="宋体" w:hAnsi="宋体" w:cs="宋体"/>
                <w:bCs/>
                <w:szCs w:val="21"/>
              </w:rPr>
              <w:t>41.0</w:t>
            </w:r>
          </w:p>
        </w:tc>
        <w:tc>
          <w:tcPr>
            <w:tcW w:w="504" w:type="dxa"/>
            <w:shd w:val="clear" w:color="auto" w:fill="FFFFFF"/>
            <w:tcMar>
              <w:top w:w="0" w:type="dxa"/>
              <w:left w:w="0" w:type="dxa"/>
              <w:bottom w:w="0" w:type="dxa"/>
              <w:right w:w="0" w:type="dxa"/>
            </w:tcMar>
            <w:vAlign w:val="center"/>
          </w:tcPr>
          <w:p w14:paraId="75862A37">
            <w:pPr>
              <w:autoSpaceDE w:val="0"/>
              <w:autoSpaceDN w:val="0"/>
              <w:jc w:val="center"/>
              <w:rPr>
                <w:rFonts w:hint="eastAsia" w:ascii="宋体" w:hAnsi="宋体" w:cs="宋体"/>
                <w:bCs/>
                <w:szCs w:val="21"/>
              </w:rPr>
            </w:pPr>
            <w:r>
              <w:rPr>
                <w:rFonts w:hint="eastAsia" w:ascii="宋体" w:hAnsi="宋体" w:cs="宋体"/>
                <w:bCs/>
                <w:szCs w:val="21"/>
              </w:rPr>
              <w:t>41.0</w:t>
            </w:r>
          </w:p>
        </w:tc>
        <w:tc>
          <w:tcPr>
            <w:tcW w:w="513" w:type="dxa"/>
            <w:shd w:val="clear" w:color="auto" w:fill="FFFFFF"/>
            <w:tcMar>
              <w:top w:w="0" w:type="dxa"/>
              <w:left w:w="0" w:type="dxa"/>
              <w:bottom w:w="0" w:type="dxa"/>
              <w:right w:w="0" w:type="dxa"/>
            </w:tcMar>
            <w:vAlign w:val="center"/>
          </w:tcPr>
          <w:p w14:paraId="370E80C8">
            <w:pPr>
              <w:autoSpaceDE w:val="0"/>
              <w:autoSpaceDN w:val="0"/>
              <w:jc w:val="center"/>
              <w:rPr>
                <w:rFonts w:hint="eastAsia" w:ascii="宋体" w:hAnsi="宋体" w:cs="宋体"/>
                <w:bCs/>
                <w:szCs w:val="21"/>
              </w:rPr>
            </w:pPr>
            <w:r>
              <w:rPr>
                <w:rFonts w:hint="eastAsia" w:ascii="宋体" w:hAnsi="宋体" w:cs="宋体"/>
                <w:bCs/>
                <w:szCs w:val="21"/>
              </w:rPr>
              <w:t>41.0</w:t>
            </w:r>
          </w:p>
        </w:tc>
        <w:tc>
          <w:tcPr>
            <w:tcW w:w="539" w:type="dxa"/>
            <w:shd w:val="clear" w:color="auto" w:fill="FFFFFF"/>
            <w:tcMar>
              <w:top w:w="0" w:type="dxa"/>
              <w:left w:w="0" w:type="dxa"/>
              <w:bottom w:w="0" w:type="dxa"/>
              <w:right w:w="0" w:type="dxa"/>
            </w:tcMar>
            <w:vAlign w:val="center"/>
          </w:tcPr>
          <w:p w14:paraId="426F5BC9">
            <w:pPr>
              <w:autoSpaceDE w:val="0"/>
              <w:autoSpaceDN w:val="0"/>
              <w:jc w:val="center"/>
              <w:rPr>
                <w:rFonts w:hint="eastAsia" w:ascii="宋体" w:hAnsi="宋体" w:cs="宋体"/>
                <w:bCs/>
                <w:szCs w:val="21"/>
              </w:rPr>
            </w:pPr>
            <w:r>
              <w:rPr>
                <w:rFonts w:hint="eastAsia" w:ascii="宋体" w:hAnsi="宋体" w:cs="宋体"/>
                <w:bCs/>
                <w:szCs w:val="21"/>
              </w:rPr>
              <w:t>12.4</w:t>
            </w:r>
          </w:p>
        </w:tc>
        <w:tc>
          <w:tcPr>
            <w:tcW w:w="539" w:type="dxa"/>
            <w:shd w:val="clear" w:color="auto" w:fill="FFFFFF"/>
            <w:tcMar>
              <w:top w:w="0" w:type="dxa"/>
              <w:left w:w="0" w:type="dxa"/>
              <w:bottom w:w="0" w:type="dxa"/>
              <w:right w:w="0" w:type="dxa"/>
            </w:tcMar>
            <w:vAlign w:val="center"/>
          </w:tcPr>
          <w:p w14:paraId="452113C6">
            <w:pPr>
              <w:autoSpaceDE w:val="0"/>
              <w:autoSpaceDN w:val="0"/>
              <w:jc w:val="center"/>
              <w:rPr>
                <w:rFonts w:hint="eastAsia" w:ascii="宋体" w:hAnsi="宋体" w:cs="宋体"/>
                <w:bCs/>
                <w:szCs w:val="21"/>
              </w:rPr>
            </w:pPr>
            <w:r>
              <w:rPr>
                <w:rFonts w:hint="eastAsia" w:ascii="宋体" w:hAnsi="宋体" w:cs="宋体"/>
                <w:bCs/>
                <w:szCs w:val="21"/>
              </w:rPr>
              <w:t>12.5</w:t>
            </w:r>
          </w:p>
        </w:tc>
        <w:tc>
          <w:tcPr>
            <w:tcW w:w="539" w:type="dxa"/>
            <w:shd w:val="clear" w:color="auto" w:fill="FFFFFF"/>
            <w:tcMar>
              <w:top w:w="0" w:type="dxa"/>
              <w:left w:w="0" w:type="dxa"/>
              <w:bottom w:w="0" w:type="dxa"/>
              <w:right w:w="0" w:type="dxa"/>
            </w:tcMar>
            <w:vAlign w:val="center"/>
          </w:tcPr>
          <w:p w14:paraId="21006008">
            <w:pPr>
              <w:autoSpaceDE w:val="0"/>
              <w:autoSpaceDN w:val="0"/>
              <w:jc w:val="center"/>
              <w:rPr>
                <w:rFonts w:hint="eastAsia" w:ascii="宋体" w:hAnsi="宋体" w:cs="宋体"/>
                <w:bCs/>
                <w:szCs w:val="21"/>
              </w:rPr>
            </w:pPr>
            <w:r>
              <w:rPr>
                <w:rFonts w:hint="eastAsia" w:ascii="宋体" w:hAnsi="宋体" w:cs="宋体"/>
                <w:bCs/>
                <w:szCs w:val="21"/>
              </w:rPr>
              <w:t>12.4</w:t>
            </w:r>
          </w:p>
        </w:tc>
        <w:tc>
          <w:tcPr>
            <w:tcW w:w="540" w:type="dxa"/>
            <w:shd w:val="clear" w:color="auto" w:fill="FFFFFF"/>
            <w:tcMar>
              <w:top w:w="0" w:type="dxa"/>
              <w:left w:w="0" w:type="dxa"/>
              <w:bottom w:w="0" w:type="dxa"/>
              <w:right w:w="0" w:type="dxa"/>
            </w:tcMar>
            <w:vAlign w:val="center"/>
          </w:tcPr>
          <w:p w14:paraId="2670E93A">
            <w:pPr>
              <w:autoSpaceDE w:val="0"/>
              <w:autoSpaceDN w:val="0"/>
              <w:jc w:val="center"/>
              <w:rPr>
                <w:rFonts w:hint="eastAsia" w:ascii="宋体" w:hAnsi="宋体" w:cs="宋体"/>
                <w:bCs/>
                <w:szCs w:val="21"/>
              </w:rPr>
            </w:pPr>
            <w:r>
              <w:rPr>
                <w:rFonts w:hint="eastAsia" w:ascii="宋体" w:hAnsi="宋体" w:cs="宋体"/>
                <w:bCs/>
                <w:szCs w:val="21"/>
              </w:rPr>
              <w:t>12.5</w:t>
            </w:r>
          </w:p>
        </w:tc>
        <w:tc>
          <w:tcPr>
            <w:tcW w:w="619" w:type="dxa"/>
            <w:shd w:val="clear" w:color="auto" w:fill="FFFFFF"/>
            <w:tcMar>
              <w:top w:w="0" w:type="dxa"/>
              <w:left w:w="0" w:type="dxa"/>
              <w:bottom w:w="0" w:type="dxa"/>
              <w:right w:w="0" w:type="dxa"/>
            </w:tcMar>
            <w:vAlign w:val="center"/>
          </w:tcPr>
          <w:p w14:paraId="54B01323">
            <w:pPr>
              <w:autoSpaceDE w:val="0"/>
              <w:autoSpaceDN w:val="0"/>
              <w:jc w:val="center"/>
              <w:rPr>
                <w:rFonts w:hint="eastAsia" w:ascii="宋体" w:hAnsi="宋体" w:cs="宋体"/>
                <w:bCs/>
                <w:szCs w:val="21"/>
              </w:rPr>
            </w:pPr>
            <w:r>
              <w:rPr>
                <w:rFonts w:hint="eastAsia" w:ascii="宋体" w:hAnsi="宋体" w:cs="宋体"/>
                <w:bCs/>
                <w:szCs w:val="21"/>
              </w:rPr>
              <w:t>1</w:t>
            </w:r>
          </w:p>
        </w:tc>
      </w:tr>
      <w:tr w14:paraId="0F30B39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805" w:hRule="atLeast"/>
        </w:trPr>
        <w:tc>
          <w:tcPr>
            <w:tcW w:w="403" w:type="dxa"/>
            <w:shd w:val="clear" w:color="auto" w:fill="FFFFFF"/>
            <w:tcMar>
              <w:top w:w="0" w:type="dxa"/>
              <w:left w:w="0" w:type="dxa"/>
              <w:bottom w:w="0" w:type="dxa"/>
              <w:right w:w="0" w:type="dxa"/>
            </w:tcMar>
            <w:vAlign w:val="center"/>
          </w:tcPr>
          <w:p w14:paraId="49C159CD">
            <w:pPr>
              <w:autoSpaceDE w:val="0"/>
              <w:autoSpaceDN w:val="0"/>
              <w:jc w:val="center"/>
              <w:rPr>
                <w:rFonts w:hint="eastAsia" w:ascii="宋体" w:hAnsi="宋体" w:cs="宋体"/>
                <w:bCs/>
                <w:szCs w:val="21"/>
              </w:rPr>
            </w:pPr>
            <w:r>
              <w:rPr>
                <w:rFonts w:hint="eastAsia" w:ascii="宋体" w:hAnsi="宋体" w:cs="宋体"/>
                <w:bCs/>
                <w:szCs w:val="21"/>
              </w:rPr>
              <w:t>5</w:t>
            </w:r>
          </w:p>
        </w:tc>
        <w:tc>
          <w:tcPr>
            <w:tcW w:w="593" w:type="dxa"/>
            <w:vMerge w:val="continue"/>
            <w:shd w:val="clear" w:color="auto" w:fill="FFFFFF"/>
            <w:tcMar>
              <w:top w:w="0" w:type="dxa"/>
              <w:left w:w="0" w:type="dxa"/>
              <w:bottom w:w="0" w:type="dxa"/>
              <w:right w:w="0" w:type="dxa"/>
            </w:tcMar>
            <w:vAlign w:val="center"/>
          </w:tcPr>
          <w:p w14:paraId="199EE54B">
            <w:pPr>
              <w:autoSpaceDE w:val="0"/>
              <w:autoSpaceDN w:val="0"/>
              <w:jc w:val="center"/>
              <w:rPr>
                <w:rFonts w:hint="eastAsia" w:ascii="宋体" w:hAnsi="宋体" w:cs="宋体"/>
                <w:bCs/>
                <w:szCs w:val="21"/>
              </w:rPr>
            </w:pPr>
          </w:p>
        </w:tc>
        <w:tc>
          <w:tcPr>
            <w:tcW w:w="565" w:type="dxa"/>
            <w:shd w:val="clear" w:color="auto" w:fill="FFFFFF"/>
            <w:tcMar>
              <w:top w:w="0" w:type="dxa"/>
              <w:left w:w="0" w:type="dxa"/>
              <w:bottom w:w="0" w:type="dxa"/>
              <w:right w:w="0" w:type="dxa"/>
            </w:tcMar>
            <w:vAlign w:val="center"/>
          </w:tcPr>
          <w:p w14:paraId="7FCF343A">
            <w:pPr>
              <w:autoSpaceDE w:val="0"/>
              <w:autoSpaceDN w:val="0"/>
              <w:jc w:val="center"/>
              <w:rPr>
                <w:rFonts w:hint="eastAsia" w:ascii="宋体" w:hAnsi="宋体" w:cs="宋体"/>
                <w:bCs/>
                <w:szCs w:val="21"/>
              </w:rPr>
            </w:pPr>
            <w:r>
              <w:rPr>
                <w:rFonts w:hint="eastAsia"/>
                <w:bCs/>
                <w:color w:val="000000"/>
                <w:szCs w:val="21"/>
              </w:rPr>
              <w:t>风干吹条机</w:t>
            </w:r>
          </w:p>
        </w:tc>
        <w:tc>
          <w:tcPr>
            <w:tcW w:w="719" w:type="dxa"/>
            <w:shd w:val="clear" w:color="auto" w:fill="FFFFFF"/>
            <w:tcMar>
              <w:top w:w="0" w:type="dxa"/>
              <w:left w:w="0" w:type="dxa"/>
              <w:bottom w:w="0" w:type="dxa"/>
              <w:right w:w="0" w:type="dxa"/>
            </w:tcMar>
            <w:vAlign w:val="center"/>
          </w:tcPr>
          <w:p w14:paraId="4B1387EF">
            <w:pPr>
              <w:autoSpaceDE w:val="0"/>
              <w:autoSpaceDN w:val="0"/>
              <w:jc w:val="center"/>
              <w:rPr>
                <w:rFonts w:hint="eastAsia" w:ascii="宋体" w:hAnsi="宋体" w:cs="宋体"/>
                <w:bCs/>
                <w:szCs w:val="21"/>
              </w:rPr>
            </w:pPr>
            <w:r>
              <w:rPr>
                <w:rFonts w:hint="eastAsia" w:ascii="宋体" w:hAnsi="宋体" w:cs="宋体"/>
                <w:bCs/>
                <w:szCs w:val="21"/>
              </w:rPr>
              <w:t>70</w:t>
            </w:r>
          </w:p>
        </w:tc>
        <w:tc>
          <w:tcPr>
            <w:tcW w:w="376" w:type="dxa"/>
            <w:vMerge w:val="continue"/>
            <w:shd w:val="clear" w:color="auto" w:fill="FFFFFF"/>
            <w:tcMar>
              <w:top w:w="0" w:type="dxa"/>
              <w:left w:w="0" w:type="dxa"/>
              <w:bottom w:w="0" w:type="dxa"/>
              <w:right w:w="0" w:type="dxa"/>
            </w:tcMar>
            <w:vAlign w:val="center"/>
          </w:tcPr>
          <w:p w14:paraId="4752C732">
            <w:pPr>
              <w:autoSpaceDE w:val="0"/>
              <w:autoSpaceDN w:val="0"/>
              <w:jc w:val="center"/>
              <w:rPr>
                <w:rFonts w:hint="eastAsia" w:ascii="宋体" w:hAnsi="宋体" w:cs="宋体"/>
                <w:bCs/>
                <w:szCs w:val="21"/>
              </w:rPr>
            </w:pPr>
          </w:p>
        </w:tc>
        <w:tc>
          <w:tcPr>
            <w:tcW w:w="638" w:type="dxa"/>
            <w:shd w:val="clear" w:color="auto" w:fill="FFFFFF"/>
            <w:tcMar>
              <w:top w:w="0" w:type="dxa"/>
              <w:left w:w="0" w:type="dxa"/>
              <w:bottom w:w="0" w:type="dxa"/>
              <w:right w:w="0" w:type="dxa"/>
            </w:tcMar>
            <w:vAlign w:val="center"/>
          </w:tcPr>
          <w:p w14:paraId="4DB0AE2B">
            <w:pPr>
              <w:autoSpaceDE w:val="0"/>
              <w:autoSpaceDN w:val="0"/>
              <w:jc w:val="center"/>
              <w:rPr>
                <w:rFonts w:hint="eastAsia" w:ascii="宋体" w:hAnsi="宋体" w:cs="宋体"/>
                <w:bCs/>
                <w:szCs w:val="21"/>
              </w:rPr>
            </w:pPr>
            <w:r>
              <w:rPr>
                <w:rFonts w:hint="eastAsia" w:ascii="宋体" w:hAnsi="宋体" w:cs="宋体"/>
                <w:bCs/>
                <w:szCs w:val="21"/>
              </w:rPr>
              <w:t>-9.8</w:t>
            </w:r>
          </w:p>
        </w:tc>
        <w:tc>
          <w:tcPr>
            <w:tcW w:w="638" w:type="dxa"/>
            <w:shd w:val="clear" w:color="auto" w:fill="FFFFFF"/>
            <w:tcMar>
              <w:top w:w="0" w:type="dxa"/>
              <w:left w:w="0" w:type="dxa"/>
              <w:bottom w:w="0" w:type="dxa"/>
              <w:right w:w="0" w:type="dxa"/>
            </w:tcMar>
            <w:vAlign w:val="center"/>
          </w:tcPr>
          <w:p w14:paraId="0E167BC5">
            <w:pPr>
              <w:autoSpaceDE w:val="0"/>
              <w:autoSpaceDN w:val="0"/>
              <w:jc w:val="center"/>
              <w:rPr>
                <w:rFonts w:hint="eastAsia" w:ascii="宋体" w:hAnsi="宋体" w:cs="宋体"/>
                <w:bCs/>
                <w:szCs w:val="21"/>
              </w:rPr>
            </w:pPr>
            <w:r>
              <w:rPr>
                <w:rFonts w:hint="eastAsia" w:ascii="宋体" w:hAnsi="宋体" w:cs="宋体"/>
                <w:bCs/>
                <w:szCs w:val="21"/>
              </w:rPr>
              <w:t>14.7</w:t>
            </w:r>
          </w:p>
        </w:tc>
        <w:tc>
          <w:tcPr>
            <w:tcW w:w="645" w:type="dxa"/>
            <w:shd w:val="clear" w:color="auto" w:fill="FFFFFF"/>
            <w:tcMar>
              <w:top w:w="0" w:type="dxa"/>
              <w:left w:w="0" w:type="dxa"/>
              <w:bottom w:w="0" w:type="dxa"/>
              <w:right w:w="0" w:type="dxa"/>
            </w:tcMar>
            <w:vAlign w:val="center"/>
          </w:tcPr>
          <w:p w14:paraId="0F96E75F">
            <w:pPr>
              <w:autoSpaceDE w:val="0"/>
              <w:autoSpaceDN w:val="0"/>
              <w:jc w:val="center"/>
              <w:rPr>
                <w:rFonts w:hint="eastAsia" w:ascii="宋体" w:hAnsi="宋体" w:cs="宋体"/>
                <w:bCs/>
                <w:szCs w:val="21"/>
              </w:rPr>
            </w:pPr>
            <w:r>
              <w:rPr>
                <w:rFonts w:hint="eastAsia" w:ascii="宋体" w:hAnsi="宋体" w:cs="宋体"/>
                <w:bCs/>
                <w:szCs w:val="21"/>
              </w:rPr>
              <w:t>1.2</w:t>
            </w:r>
          </w:p>
        </w:tc>
        <w:tc>
          <w:tcPr>
            <w:tcW w:w="530" w:type="dxa"/>
            <w:shd w:val="clear" w:color="auto" w:fill="FFFFFF"/>
            <w:tcMar>
              <w:top w:w="0" w:type="dxa"/>
              <w:left w:w="0" w:type="dxa"/>
              <w:bottom w:w="0" w:type="dxa"/>
              <w:right w:w="0" w:type="dxa"/>
            </w:tcMar>
            <w:vAlign w:val="center"/>
          </w:tcPr>
          <w:p w14:paraId="2B36E0D5">
            <w:pPr>
              <w:autoSpaceDE w:val="0"/>
              <w:autoSpaceDN w:val="0"/>
              <w:jc w:val="center"/>
              <w:rPr>
                <w:rFonts w:hint="eastAsia" w:ascii="宋体" w:hAnsi="宋体" w:cs="宋体"/>
                <w:bCs/>
                <w:szCs w:val="21"/>
              </w:rPr>
            </w:pPr>
            <w:r>
              <w:rPr>
                <w:rFonts w:hint="eastAsia" w:ascii="宋体" w:hAnsi="宋体" w:cs="宋体"/>
                <w:bCs/>
                <w:szCs w:val="21"/>
              </w:rPr>
              <w:t>76.8</w:t>
            </w:r>
          </w:p>
        </w:tc>
        <w:tc>
          <w:tcPr>
            <w:tcW w:w="530" w:type="dxa"/>
            <w:shd w:val="clear" w:color="auto" w:fill="FFFFFF"/>
            <w:tcMar>
              <w:top w:w="0" w:type="dxa"/>
              <w:left w:w="0" w:type="dxa"/>
              <w:bottom w:w="0" w:type="dxa"/>
              <w:right w:w="0" w:type="dxa"/>
            </w:tcMar>
            <w:vAlign w:val="center"/>
          </w:tcPr>
          <w:p w14:paraId="735C237E">
            <w:pPr>
              <w:autoSpaceDE w:val="0"/>
              <w:autoSpaceDN w:val="0"/>
              <w:jc w:val="center"/>
              <w:rPr>
                <w:rFonts w:hint="eastAsia" w:ascii="宋体" w:hAnsi="宋体" w:cs="宋体"/>
                <w:bCs/>
                <w:szCs w:val="21"/>
              </w:rPr>
            </w:pPr>
            <w:r>
              <w:rPr>
                <w:rFonts w:hint="eastAsia" w:ascii="宋体" w:hAnsi="宋体" w:cs="宋体"/>
                <w:bCs/>
                <w:szCs w:val="21"/>
              </w:rPr>
              <w:t>13.9</w:t>
            </w:r>
          </w:p>
        </w:tc>
        <w:tc>
          <w:tcPr>
            <w:tcW w:w="530" w:type="dxa"/>
            <w:shd w:val="clear" w:color="auto" w:fill="FFFFFF"/>
            <w:tcMar>
              <w:top w:w="0" w:type="dxa"/>
              <w:left w:w="0" w:type="dxa"/>
              <w:bottom w:w="0" w:type="dxa"/>
              <w:right w:w="0" w:type="dxa"/>
            </w:tcMar>
            <w:vAlign w:val="center"/>
          </w:tcPr>
          <w:p w14:paraId="30CA89FE">
            <w:pPr>
              <w:autoSpaceDE w:val="0"/>
              <w:autoSpaceDN w:val="0"/>
              <w:jc w:val="center"/>
              <w:rPr>
                <w:rFonts w:hint="eastAsia" w:ascii="宋体" w:hAnsi="宋体" w:cs="宋体"/>
                <w:bCs/>
                <w:szCs w:val="21"/>
              </w:rPr>
            </w:pPr>
            <w:r>
              <w:rPr>
                <w:rFonts w:hint="eastAsia" w:ascii="宋体" w:hAnsi="宋体" w:cs="宋体"/>
                <w:bCs/>
                <w:szCs w:val="21"/>
              </w:rPr>
              <w:t>15.1</w:t>
            </w:r>
          </w:p>
        </w:tc>
        <w:tc>
          <w:tcPr>
            <w:tcW w:w="536" w:type="dxa"/>
            <w:shd w:val="clear" w:color="auto" w:fill="FFFFFF"/>
            <w:tcMar>
              <w:top w:w="0" w:type="dxa"/>
              <w:left w:w="0" w:type="dxa"/>
              <w:bottom w:w="0" w:type="dxa"/>
              <w:right w:w="0" w:type="dxa"/>
            </w:tcMar>
            <w:vAlign w:val="center"/>
          </w:tcPr>
          <w:p w14:paraId="651C9A6E">
            <w:pPr>
              <w:autoSpaceDE w:val="0"/>
              <w:autoSpaceDN w:val="0"/>
              <w:jc w:val="center"/>
              <w:rPr>
                <w:rFonts w:hint="eastAsia" w:ascii="宋体" w:hAnsi="宋体" w:cs="宋体"/>
                <w:bCs/>
                <w:szCs w:val="21"/>
              </w:rPr>
            </w:pPr>
            <w:r>
              <w:rPr>
                <w:rFonts w:hint="eastAsia" w:ascii="宋体" w:hAnsi="宋体" w:cs="宋体"/>
                <w:bCs/>
                <w:szCs w:val="21"/>
              </w:rPr>
              <w:t>14.7</w:t>
            </w:r>
          </w:p>
        </w:tc>
        <w:tc>
          <w:tcPr>
            <w:tcW w:w="521" w:type="dxa"/>
            <w:shd w:val="clear" w:color="auto" w:fill="FFFFFF"/>
            <w:tcMar>
              <w:top w:w="0" w:type="dxa"/>
              <w:left w:w="0" w:type="dxa"/>
              <w:bottom w:w="0" w:type="dxa"/>
              <w:right w:w="0" w:type="dxa"/>
            </w:tcMar>
            <w:vAlign w:val="center"/>
          </w:tcPr>
          <w:p w14:paraId="155D60E7">
            <w:pPr>
              <w:autoSpaceDE w:val="0"/>
              <w:autoSpaceDN w:val="0"/>
              <w:jc w:val="center"/>
              <w:rPr>
                <w:rFonts w:hint="eastAsia" w:ascii="宋体" w:hAnsi="宋体" w:cs="宋体"/>
                <w:bCs/>
                <w:szCs w:val="21"/>
              </w:rPr>
            </w:pPr>
            <w:r>
              <w:rPr>
                <w:rFonts w:hint="eastAsia" w:ascii="宋体" w:hAnsi="宋体" w:cs="宋体"/>
                <w:bCs/>
                <w:szCs w:val="21"/>
              </w:rPr>
              <w:t>53.4</w:t>
            </w:r>
          </w:p>
        </w:tc>
        <w:tc>
          <w:tcPr>
            <w:tcW w:w="521" w:type="dxa"/>
            <w:shd w:val="clear" w:color="auto" w:fill="FFFFFF"/>
            <w:tcMar>
              <w:top w:w="0" w:type="dxa"/>
              <w:left w:w="0" w:type="dxa"/>
              <w:bottom w:w="0" w:type="dxa"/>
              <w:right w:w="0" w:type="dxa"/>
            </w:tcMar>
            <w:vAlign w:val="center"/>
          </w:tcPr>
          <w:p w14:paraId="3A5B49D2">
            <w:pPr>
              <w:autoSpaceDE w:val="0"/>
              <w:autoSpaceDN w:val="0"/>
              <w:jc w:val="center"/>
              <w:rPr>
                <w:rFonts w:hint="eastAsia" w:ascii="宋体" w:hAnsi="宋体" w:cs="宋体"/>
                <w:bCs/>
                <w:szCs w:val="21"/>
              </w:rPr>
            </w:pPr>
            <w:r>
              <w:rPr>
                <w:rFonts w:hint="eastAsia" w:ascii="宋体" w:hAnsi="宋体" w:cs="宋体"/>
                <w:bCs/>
                <w:szCs w:val="21"/>
              </w:rPr>
              <w:t>53.5</w:t>
            </w:r>
          </w:p>
        </w:tc>
        <w:tc>
          <w:tcPr>
            <w:tcW w:w="521" w:type="dxa"/>
            <w:shd w:val="clear" w:color="auto" w:fill="FFFFFF"/>
            <w:tcMar>
              <w:top w:w="0" w:type="dxa"/>
              <w:left w:w="0" w:type="dxa"/>
              <w:bottom w:w="0" w:type="dxa"/>
              <w:right w:w="0" w:type="dxa"/>
            </w:tcMar>
            <w:vAlign w:val="center"/>
          </w:tcPr>
          <w:p w14:paraId="5B2BD734">
            <w:pPr>
              <w:autoSpaceDE w:val="0"/>
              <w:autoSpaceDN w:val="0"/>
              <w:jc w:val="center"/>
              <w:rPr>
                <w:rFonts w:hint="eastAsia" w:ascii="宋体" w:hAnsi="宋体" w:cs="宋体"/>
                <w:bCs/>
                <w:szCs w:val="21"/>
              </w:rPr>
            </w:pPr>
            <w:r>
              <w:rPr>
                <w:rFonts w:hint="eastAsia" w:ascii="宋体" w:hAnsi="宋体" w:cs="宋体"/>
                <w:bCs/>
                <w:szCs w:val="21"/>
              </w:rPr>
              <w:t>53.5</w:t>
            </w:r>
          </w:p>
        </w:tc>
        <w:tc>
          <w:tcPr>
            <w:tcW w:w="536" w:type="dxa"/>
            <w:shd w:val="clear" w:color="auto" w:fill="FFFFFF"/>
            <w:tcMar>
              <w:top w:w="0" w:type="dxa"/>
              <w:left w:w="0" w:type="dxa"/>
              <w:bottom w:w="0" w:type="dxa"/>
              <w:right w:w="0" w:type="dxa"/>
            </w:tcMar>
            <w:vAlign w:val="center"/>
          </w:tcPr>
          <w:p w14:paraId="3BEBBE88">
            <w:pPr>
              <w:autoSpaceDE w:val="0"/>
              <w:autoSpaceDN w:val="0"/>
              <w:jc w:val="center"/>
              <w:rPr>
                <w:rFonts w:hint="eastAsia" w:ascii="宋体" w:hAnsi="宋体" w:cs="宋体"/>
                <w:bCs/>
                <w:szCs w:val="21"/>
              </w:rPr>
            </w:pPr>
            <w:r>
              <w:rPr>
                <w:rFonts w:hint="eastAsia" w:ascii="宋体" w:hAnsi="宋体" w:cs="宋体"/>
                <w:bCs/>
                <w:szCs w:val="21"/>
              </w:rPr>
              <w:t>53.5</w:t>
            </w:r>
          </w:p>
        </w:tc>
        <w:tc>
          <w:tcPr>
            <w:tcW w:w="452" w:type="dxa"/>
            <w:shd w:val="clear" w:color="auto" w:fill="FFFFFF"/>
            <w:tcMar>
              <w:top w:w="0" w:type="dxa"/>
              <w:left w:w="0" w:type="dxa"/>
              <w:bottom w:w="0" w:type="dxa"/>
              <w:right w:w="0" w:type="dxa"/>
            </w:tcMar>
            <w:vAlign w:val="center"/>
          </w:tcPr>
          <w:p w14:paraId="5DF93CAC">
            <w:pPr>
              <w:autoSpaceDE w:val="0"/>
              <w:autoSpaceDN w:val="0"/>
              <w:jc w:val="center"/>
              <w:rPr>
                <w:rFonts w:hint="eastAsia" w:ascii="宋体" w:hAnsi="宋体" w:cs="宋体"/>
                <w:bCs/>
                <w:szCs w:val="21"/>
              </w:rPr>
            </w:pPr>
            <w:r>
              <w:rPr>
                <w:rFonts w:hint="eastAsia" w:ascii="宋体" w:hAnsi="宋体" w:cs="宋体"/>
                <w:bCs/>
                <w:szCs w:val="21"/>
              </w:rPr>
              <w:t>无</w:t>
            </w:r>
          </w:p>
        </w:tc>
        <w:tc>
          <w:tcPr>
            <w:tcW w:w="504" w:type="dxa"/>
            <w:shd w:val="clear" w:color="auto" w:fill="FFFFFF"/>
            <w:tcMar>
              <w:top w:w="0" w:type="dxa"/>
              <w:left w:w="0" w:type="dxa"/>
              <w:bottom w:w="0" w:type="dxa"/>
              <w:right w:w="0" w:type="dxa"/>
            </w:tcMar>
            <w:vAlign w:val="center"/>
          </w:tcPr>
          <w:p w14:paraId="3D998773">
            <w:pPr>
              <w:autoSpaceDE w:val="0"/>
              <w:autoSpaceDN w:val="0"/>
              <w:jc w:val="center"/>
              <w:rPr>
                <w:rFonts w:hint="eastAsia" w:ascii="宋体" w:hAnsi="宋体" w:cs="宋体"/>
                <w:bCs/>
                <w:szCs w:val="21"/>
              </w:rPr>
            </w:pPr>
            <w:r>
              <w:rPr>
                <w:rFonts w:hint="eastAsia" w:ascii="宋体" w:hAnsi="宋体" w:cs="宋体"/>
                <w:bCs/>
                <w:szCs w:val="21"/>
              </w:rPr>
              <w:t>41.0</w:t>
            </w:r>
          </w:p>
        </w:tc>
        <w:tc>
          <w:tcPr>
            <w:tcW w:w="504" w:type="dxa"/>
            <w:shd w:val="clear" w:color="auto" w:fill="FFFFFF"/>
            <w:tcMar>
              <w:top w:w="0" w:type="dxa"/>
              <w:left w:w="0" w:type="dxa"/>
              <w:bottom w:w="0" w:type="dxa"/>
              <w:right w:w="0" w:type="dxa"/>
            </w:tcMar>
            <w:vAlign w:val="center"/>
          </w:tcPr>
          <w:p w14:paraId="45EE0F02">
            <w:pPr>
              <w:autoSpaceDE w:val="0"/>
              <w:autoSpaceDN w:val="0"/>
              <w:jc w:val="center"/>
              <w:rPr>
                <w:rFonts w:hint="eastAsia" w:ascii="宋体" w:hAnsi="宋体" w:cs="宋体"/>
                <w:bCs/>
                <w:szCs w:val="21"/>
              </w:rPr>
            </w:pPr>
            <w:r>
              <w:rPr>
                <w:rFonts w:hint="eastAsia" w:ascii="宋体" w:hAnsi="宋体" w:cs="宋体"/>
                <w:bCs/>
                <w:szCs w:val="21"/>
              </w:rPr>
              <w:t>41.0</w:t>
            </w:r>
          </w:p>
        </w:tc>
        <w:tc>
          <w:tcPr>
            <w:tcW w:w="504" w:type="dxa"/>
            <w:shd w:val="clear" w:color="auto" w:fill="FFFFFF"/>
            <w:tcMar>
              <w:top w:w="0" w:type="dxa"/>
              <w:left w:w="0" w:type="dxa"/>
              <w:bottom w:w="0" w:type="dxa"/>
              <w:right w:w="0" w:type="dxa"/>
            </w:tcMar>
            <w:vAlign w:val="center"/>
          </w:tcPr>
          <w:p w14:paraId="58C29D76">
            <w:pPr>
              <w:autoSpaceDE w:val="0"/>
              <w:autoSpaceDN w:val="0"/>
              <w:jc w:val="center"/>
              <w:rPr>
                <w:rFonts w:hint="eastAsia" w:ascii="宋体" w:hAnsi="宋体" w:cs="宋体"/>
                <w:bCs/>
                <w:szCs w:val="21"/>
              </w:rPr>
            </w:pPr>
            <w:r>
              <w:rPr>
                <w:rFonts w:hint="eastAsia" w:ascii="宋体" w:hAnsi="宋体" w:cs="宋体"/>
                <w:bCs/>
                <w:szCs w:val="21"/>
              </w:rPr>
              <w:t>41.0</w:t>
            </w:r>
          </w:p>
        </w:tc>
        <w:tc>
          <w:tcPr>
            <w:tcW w:w="513" w:type="dxa"/>
            <w:shd w:val="clear" w:color="auto" w:fill="FFFFFF"/>
            <w:tcMar>
              <w:top w:w="0" w:type="dxa"/>
              <w:left w:w="0" w:type="dxa"/>
              <w:bottom w:w="0" w:type="dxa"/>
              <w:right w:w="0" w:type="dxa"/>
            </w:tcMar>
            <w:vAlign w:val="center"/>
          </w:tcPr>
          <w:p w14:paraId="3D1F9AA0">
            <w:pPr>
              <w:autoSpaceDE w:val="0"/>
              <w:autoSpaceDN w:val="0"/>
              <w:jc w:val="center"/>
              <w:rPr>
                <w:rFonts w:hint="eastAsia" w:ascii="宋体" w:hAnsi="宋体" w:cs="宋体"/>
                <w:bCs/>
                <w:szCs w:val="21"/>
              </w:rPr>
            </w:pPr>
            <w:r>
              <w:rPr>
                <w:rFonts w:hint="eastAsia" w:ascii="宋体" w:hAnsi="宋体" w:cs="宋体"/>
                <w:bCs/>
                <w:szCs w:val="21"/>
              </w:rPr>
              <w:t>41.0</w:t>
            </w:r>
          </w:p>
        </w:tc>
        <w:tc>
          <w:tcPr>
            <w:tcW w:w="539" w:type="dxa"/>
            <w:shd w:val="clear" w:color="auto" w:fill="FFFFFF"/>
            <w:tcMar>
              <w:top w:w="0" w:type="dxa"/>
              <w:left w:w="0" w:type="dxa"/>
              <w:bottom w:w="0" w:type="dxa"/>
              <w:right w:w="0" w:type="dxa"/>
            </w:tcMar>
            <w:vAlign w:val="center"/>
          </w:tcPr>
          <w:p w14:paraId="007BAF0A">
            <w:pPr>
              <w:autoSpaceDE w:val="0"/>
              <w:autoSpaceDN w:val="0"/>
              <w:jc w:val="center"/>
              <w:rPr>
                <w:rFonts w:hint="eastAsia" w:ascii="宋体" w:hAnsi="宋体" w:cs="宋体"/>
                <w:bCs/>
                <w:szCs w:val="21"/>
              </w:rPr>
            </w:pPr>
            <w:r>
              <w:rPr>
                <w:rFonts w:hint="eastAsia" w:ascii="宋体" w:hAnsi="宋体" w:cs="宋体"/>
                <w:bCs/>
                <w:szCs w:val="21"/>
              </w:rPr>
              <w:t>12.4</w:t>
            </w:r>
          </w:p>
        </w:tc>
        <w:tc>
          <w:tcPr>
            <w:tcW w:w="539" w:type="dxa"/>
            <w:shd w:val="clear" w:color="auto" w:fill="FFFFFF"/>
            <w:tcMar>
              <w:top w:w="0" w:type="dxa"/>
              <w:left w:w="0" w:type="dxa"/>
              <w:bottom w:w="0" w:type="dxa"/>
              <w:right w:w="0" w:type="dxa"/>
            </w:tcMar>
            <w:vAlign w:val="center"/>
          </w:tcPr>
          <w:p w14:paraId="23F6CDFA">
            <w:pPr>
              <w:autoSpaceDE w:val="0"/>
              <w:autoSpaceDN w:val="0"/>
              <w:jc w:val="center"/>
              <w:rPr>
                <w:rFonts w:hint="eastAsia" w:ascii="宋体" w:hAnsi="宋体" w:cs="宋体"/>
                <w:bCs/>
                <w:szCs w:val="21"/>
              </w:rPr>
            </w:pPr>
            <w:r>
              <w:rPr>
                <w:rFonts w:hint="eastAsia" w:ascii="宋体" w:hAnsi="宋体" w:cs="宋体"/>
                <w:bCs/>
                <w:szCs w:val="21"/>
              </w:rPr>
              <w:t>12.5</w:t>
            </w:r>
          </w:p>
        </w:tc>
        <w:tc>
          <w:tcPr>
            <w:tcW w:w="539" w:type="dxa"/>
            <w:shd w:val="clear" w:color="auto" w:fill="FFFFFF"/>
            <w:tcMar>
              <w:top w:w="0" w:type="dxa"/>
              <w:left w:w="0" w:type="dxa"/>
              <w:bottom w:w="0" w:type="dxa"/>
              <w:right w:w="0" w:type="dxa"/>
            </w:tcMar>
            <w:vAlign w:val="center"/>
          </w:tcPr>
          <w:p w14:paraId="4E48C444">
            <w:pPr>
              <w:autoSpaceDE w:val="0"/>
              <w:autoSpaceDN w:val="0"/>
              <w:jc w:val="center"/>
              <w:rPr>
                <w:rFonts w:hint="eastAsia" w:ascii="宋体" w:hAnsi="宋体" w:cs="宋体"/>
                <w:bCs/>
                <w:szCs w:val="21"/>
              </w:rPr>
            </w:pPr>
            <w:r>
              <w:rPr>
                <w:rFonts w:hint="eastAsia" w:ascii="宋体" w:hAnsi="宋体" w:cs="宋体"/>
                <w:bCs/>
                <w:szCs w:val="21"/>
              </w:rPr>
              <w:t>12.5</w:t>
            </w:r>
          </w:p>
        </w:tc>
        <w:tc>
          <w:tcPr>
            <w:tcW w:w="540" w:type="dxa"/>
            <w:shd w:val="clear" w:color="auto" w:fill="FFFFFF"/>
            <w:tcMar>
              <w:top w:w="0" w:type="dxa"/>
              <w:left w:w="0" w:type="dxa"/>
              <w:bottom w:w="0" w:type="dxa"/>
              <w:right w:w="0" w:type="dxa"/>
            </w:tcMar>
            <w:vAlign w:val="center"/>
          </w:tcPr>
          <w:p w14:paraId="589E3EE1">
            <w:pPr>
              <w:autoSpaceDE w:val="0"/>
              <w:autoSpaceDN w:val="0"/>
              <w:jc w:val="center"/>
              <w:rPr>
                <w:rFonts w:hint="eastAsia" w:ascii="宋体" w:hAnsi="宋体" w:cs="宋体"/>
                <w:bCs/>
                <w:szCs w:val="21"/>
              </w:rPr>
            </w:pPr>
            <w:r>
              <w:rPr>
                <w:rFonts w:hint="eastAsia" w:ascii="宋体" w:hAnsi="宋体" w:cs="宋体"/>
                <w:bCs/>
                <w:szCs w:val="21"/>
              </w:rPr>
              <w:t>12.5</w:t>
            </w:r>
          </w:p>
        </w:tc>
        <w:tc>
          <w:tcPr>
            <w:tcW w:w="619" w:type="dxa"/>
            <w:shd w:val="clear" w:color="auto" w:fill="FFFFFF"/>
            <w:tcMar>
              <w:top w:w="0" w:type="dxa"/>
              <w:left w:w="0" w:type="dxa"/>
              <w:bottom w:w="0" w:type="dxa"/>
              <w:right w:w="0" w:type="dxa"/>
            </w:tcMar>
            <w:vAlign w:val="center"/>
          </w:tcPr>
          <w:p w14:paraId="49DF1B8C">
            <w:pPr>
              <w:autoSpaceDE w:val="0"/>
              <w:autoSpaceDN w:val="0"/>
              <w:jc w:val="center"/>
              <w:rPr>
                <w:rFonts w:hint="eastAsia" w:ascii="宋体" w:hAnsi="宋体" w:cs="宋体"/>
                <w:bCs/>
                <w:szCs w:val="21"/>
              </w:rPr>
            </w:pPr>
            <w:r>
              <w:rPr>
                <w:rFonts w:hint="eastAsia" w:ascii="宋体" w:hAnsi="宋体" w:cs="宋体"/>
                <w:bCs/>
                <w:szCs w:val="21"/>
              </w:rPr>
              <w:t>1</w:t>
            </w:r>
          </w:p>
        </w:tc>
      </w:tr>
      <w:tr w14:paraId="47C1433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626" w:hRule="atLeast"/>
        </w:trPr>
        <w:tc>
          <w:tcPr>
            <w:tcW w:w="403" w:type="dxa"/>
            <w:shd w:val="clear" w:color="auto" w:fill="FFFFFF"/>
            <w:tcMar>
              <w:top w:w="0" w:type="dxa"/>
              <w:left w:w="0" w:type="dxa"/>
              <w:bottom w:w="0" w:type="dxa"/>
              <w:right w:w="0" w:type="dxa"/>
            </w:tcMar>
            <w:vAlign w:val="center"/>
          </w:tcPr>
          <w:p w14:paraId="5A664048">
            <w:pPr>
              <w:autoSpaceDE w:val="0"/>
              <w:autoSpaceDN w:val="0"/>
              <w:jc w:val="center"/>
              <w:rPr>
                <w:rFonts w:hint="eastAsia" w:ascii="宋体" w:hAnsi="宋体" w:cs="宋体"/>
                <w:bCs/>
                <w:szCs w:val="21"/>
              </w:rPr>
            </w:pPr>
            <w:r>
              <w:rPr>
                <w:rFonts w:hint="eastAsia" w:ascii="宋体" w:hAnsi="宋体" w:cs="宋体"/>
                <w:bCs/>
                <w:szCs w:val="21"/>
              </w:rPr>
              <w:t>6</w:t>
            </w:r>
          </w:p>
        </w:tc>
        <w:tc>
          <w:tcPr>
            <w:tcW w:w="593" w:type="dxa"/>
            <w:vMerge w:val="continue"/>
            <w:shd w:val="clear" w:color="auto" w:fill="FFFFFF"/>
            <w:tcMar>
              <w:top w:w="0" w:type="dxa"/>
              <w:left w:w="0" w:type="dxa"/>
              <w:bottom w:w="0" w:type="dxa"/>
              <w:right w:w="0" w:type="dxa"/>
            </w:tcMar>
            <w:vAlign w:val="center"/>
          </w:tcPr>
          <w:p w14:paraId="1FBCEC3D">
            <w:pPr>
              <w:autoSpaceDE w:val="0"/>
              <w:autoSpaceDN w:val="0"/>
              <w:jc w:val="center"/>
              <w:rPr>
                <w:rFonts w:hint="eastAsia" w:ascii="宋体" w:hAnsi="宋体" w:cs="宋体"/>
                <w:bCs/>
                <w:szCs w:val="21"/>
              </w:rPr>
            </w:pPr>
          </w:p>
        </w:tc>
        <w:tc>
          <w:tcPr>
            <w:tcW w:w="565" w:type="dxa"/>
            <w:shd w:val="clear" w:color="auto" w:fill="FFFFFF"/>
            <w:tcMar>
              <w:top w:w="0" w:type="dxa"/>
              <w:left w:w="0" w:type="dxa"/>
              <w:bottom w:w="0" w:type="dxa"/>
              <w:right w:w="0" w:type="dxa"/>
            </w:tcMar>
            <w:vAlign w:val="center"/>
          </w:tcPr>
          <w:p w14:paraId="2DBFB116">
            <w:pPr>
              <w:autoSpaceDE w:val="0"/>
              <w:autoSpaceDN w:val="0"/>
              <w:jc w:val="center"/>
              <w:rPr>
                <w:rFonts w:hint="eastAsia" w:ascii="宋体" w:hAnsi="宋体" w:cs="宋体"/>
                <w:bCs/>
                <w:szCs w:val="21"/>
              </w:rPr>
            </w:pPr>
            <w:r>
              <w:rPr>
                <w:rFonts w:hint="eastAsia" w:ascii="宋体" w:hAnsi="宋体" w:cs="宋体"/>
                <w:bCs/>
                <w:szCs w:val="21"/>
              </w:rPr>
              <w:t>切粒机</w:t>
            </w:r>
          </w:p>
        </w:tc>
        <w:tc>
          <w:tcPr>
            <w:tcW w:w="719" w:type="dxa"/>
            <w:shd w:val="clear" w:color="auto" w:fill="FFFFFF"/>
            <w:tcMar>
              <w:top w:w="0" w:type="dxa"/>
              <w:left w:w="0" w:type="dxa"/>
              <w:bottom w:w="0" w:type="dxa"/>
              <w:right w:w="0" w:type="dxa"/>
            </w:tcMar>
            <w:vAlign w:val="center"/>
          </w:tcPr>
          <w:p w14:paraId="2DF95310">
            <w:pPr>
              <w:autoSpaceDE w:val="0"/>
              <w:autoSpaceDN w:val="0"/>
              <w:jc w:val="center"/>
              <w:rPr>
                <w:rFonts w:hint="eastAsia" w:ascii="宋体" w:hAnsi="宋体" w:cs="宋体"/>
                <w:bCs/>
                <w:szCs w:val="21"/>
              </w:rPr>
            </w:pPr>
            <w:r>
              <w:rPr>
                <w:rFonts w:hint="eastAsia" w:ascii="宋体" w:hAnsi="宋体" w:cs="宋体"/>
                <w:bCs/>
                <w:szCs w:val="21"/>
              </w:rPr>
              <w:t>70</w:t>
            </w:r>
          </w:p>
        </w:tc>
        <w:tc>
          <w:tcPr>
            <w:tcW w:w="376" w:type="dxa"/>
            <w:vMerge w:val="continue"/>
            <w:shd w:val="clear" w:color="auto" w:fill="FFFFFF"/>
            <w:tcMar>
              <w:top w:w="0" w:type="dxa"/>
              <w:left w:w="0" w:type="dxa"/>
              <w:bottom w:w="0" w:type="dxa"/>
              <w:right w:w="0" w:type="dxa"/>
            </w:tcMar>
            <w:vAlign w:val="center"/>
          </w:tcPr>
          <w:p w14:paraId="50F45DE2">
            <w:pPr>
              <w:autoSpaceDE w:val="0"/>
              <w:autoSpaceDN w:val="0"/>
              <w:jc w:val="center"/>
              <w:rPr>
                <w:rFonts w:hint="eastAsia" w:ascii="宋体" w:hAnsi="宋体" w:cs="宋体"/>
                <w:bCs/>
                <w:szCs w:val="21"/>
              </w:rPr>
            </w:pPr>
          </w:p>
        </w:tc>
        <w:tc>
          <w:tcPr>
            <w:tcW w:w="638" w:type="dxa"/>
            <w:shd w:val="clear" w:color="auto" w:fill="FFFFFF"/>
            <w:tcMar>
              <w:top w:w="0" w:type="dxa"/>
              <w:left w:w="0" w:type="dxa"/>
              <w:bottom w:w="0" w:type="dxa"/>
              <w:right w:w="0" w:type="dxa"/>
            </w:tcMar>
            <w:vAlign w:val="center"/>
          </w:tcPr>
          <w:p w14:paraId="49C29578">
            <w:pPr>
              <w:autoSpaceDE w:val="0"/>
              <w:autoSpaceDN w:val="0"/>
              <w:jc w:val="center"/>
              <w:rPr>
                <w:rFonts w:hint="eastAsia" w:ascii="宋体" w:hAnsi="宋体" w:cs="宋体"/>
                <w:bCs/>
                <w:szCs w:val="21"/>
              </w:rPr>
            </w:pPr>
            <w:r>
              <w:rPr>
                <w:rFonts w:hint="eastAsia" w:ascii="宋体" w:hAnsi="宋体" w:cs="宋体"/>
                <w:bCs/>
                <w:szCs w:val="21"/>
              </w:rPr>
              <w:t>-33.1</w:t>
            </w:r>
          </w:p>
        </w:tc>
        <w:tc>
          <w:tcPr>
            <w:tcW w:w="638" w:type="dxa"/>
            <w:shd w:val="clear" w:color="auto" w:fill="FFFFFF"/>
            <w:tcMar>
              <w:top w:w="0" w:type="dxa"/>
              <w:left w:w="0" w:type="dxa"/>
              <w:bottom w:w="0" w:type="dxa"/>
              <w:right w:w="0" w:type="dxa"/>
            </w:tcMar>
            <w:vAlign w:val="center"/>
          </w:tcPr>
          <w:p w14:paraId="48ED0BCA">
            <w:pPr>
              <w:autoSpaceDE w:val="0"/>
              <w:autoSpaceDN w:val="0"/>
              <w:jc w:val="center"/>
              <w:rPr>
                <w:rFonts w:hint="eastAsia" w:ascii="宋体" w:hAnsi="宋体" w:cs="宋体"/>
                <w:bCs/>
                <w:szCs w:val="21"/>
              </w:rPr>
            </w:pPr>
            <w:r>
              <w:rPr>
                <w:rFonts w:hint="eastAsia" w:ascii="宋体" w:hAnsi="宋体" w:cs="宋体"/>
                <w:bCs/>
                <w:szCs w:val="21"/>
              </w:rPr>
              <w:t>-41.4</w:t>
            </w:r>
          </w:p>
        </w:tc>
        <w:tc>
          <w:tcPr>
            <w:tcW w:w="645" w:type="dxa"/>
            <w:shd w:val="clear" w:color="auto" w:fill="FFFFFF"/>
            <w:tcMar>
              <w:top w:w="0" w:type="dxa"/>
              <w:left w:w="0" w:type="dxa"/>
              <w:bottom w:w="0" w:type="dxa"/>
              <w:right w:w="0" w:type="dxa"/>
            </w:tcMar>
            <w:vAlign w:val="center"/>
          </w:tcPr>
          <w:p w14:paraId="48EA0D23">
            <w:pPr>
              <w:autoSpaceDE w:val="0"/>
              <w:autoSpaceDN w:val="0"/>
              <w:jc w:val="center"/>
              <w:rPr>
                <w:rFonts w:hint="eastAsia" w:ascii="宋体" w:hAnsi="宋体" w:cs="宋体"/>
                <w:bCs/>
                <w:szCs w:val="21"/>
              </w:rPr>
            </w:pPr>
            <w:r>
              <w:rPr>
                <w:rFonts w:hint="eastAsia" w:ascii="宋体" w:hAnsi="宋体" w:cs="宋体"/>
                <w:bCs/>
                <w:szCs w:val="21"/>
              </w:rPr>
              <w:t>1.2</w:t>
            </w:r>
          </w:p>
        </w:tc>
        <w:tc>
          <w:tcPr>
            <w:tcW w:w="530" w:type="dxa"/>
            <w:shd w:val="clear" w:color="auto" w:fill="FFFFFF"/>
            <w:tcMar>
              <w:top w:w="0" w:type="dxa"/>
              <w:left w:w="0" w:type="dxa"/>
              <w:bottom w:w="0" w:type="dxa"/>
              <w:right w:w="0" w:type="dxa"/>
            </w:tcMar>
            <w:vAlign w:val="center"/>
          </w:tcPr>
          <w:p w14:paraId="5606DFDD">
            <w:pPr>
              <w:autoSpaceDE w:val="0"/>
              <w:autoSpaceDN w:val="0"/>
              <w:jc w:val="center"/>
              <w:rPr>
                <w:rFonts w:hint="eastAsia" w:ascii="宋体" w:hAnsi="宋体" w:cs="宋体"/>
                <w:bCs/>
                <w:szCs w:val="21"/>
              </w:rPr>
            </w:pPr>
            <w:r>
              <w:rPr>
                <w:rFonts w:hint="eastAsia" w:ascii="宋体" w:hAnsi="宋体" w:cs="宋体"/>
                <w:bCs/>
                <w:szCs w:val="21"/>
              </w:rPr>
              <w:t>79.8</w:t>
            </w:r>
          </w:p>
        </w:tc>
        <w:tc>
          <w:tcPr>
            <w:tcW w:w="530" w:type="dxa"/>
            <w:shd w:val="clear" w:color="auto" w:fill="FFFFFF"/>
            <w:tcMar>
              <w:top w:w="0" w:type="dxa"/>
              <w:left w:w="0" w:type="dxa"/>
              <w:bottom w:w="0" w:type="dxa"/>
              <w:right w:w="0" w:type="dxa"/>
            </w:tcMar>
            <w:vAlign w:val="center"/>
          </w:tcPr>
          <w:p w14:paraId="60C70D8E">
            <w:pPr>
              <w:autoSpaceDE w:val="0"/>
              <w:autoSpaceDN w:val="0"/>
              <w:jc w:val="center"/>
              <w:rPr>
                <w:rFonts w:hint="eastAsia" w:ascii="宋体" w:hAnsi="宋体" w:cs="宋体"/>
                <w:bCs/>
                <w:szCs w:val="21"/>
              </w:rPr>
            </w:pPr>
            <w:r>
              <w:rPr>
                <w:rFonts w:hint="eastAsia" w:ascii="宋体" w:hAnsi="宋体" w:cs="宋体"/>
                <w:bCs/>
                <w:szCs w:val="21"/>
              </w:rPr>
              <w:t>1.2</w:t>
            </w:r>
          </w:p>
        </w:tc>
        <w:tc>
          <w:tcPr>
            <w:tcW w:w="530" w:type="dxa"/>
            <w:shd w:val="clear" w:color="auto" w:fill="FFFFFF"/>
            <w:tcMar>
              <w:top w:w="0" w:type="dxa"/>
              <w:left w:w="0" w:type="dxa"/>
              <w:bottom w:w="0" w:type="dxa"/>
              <w:right w:w="0" w:type="dxa"/>
            </w:tcMar>
            <w:vAlign w:val="center"/>
          </w:tcPr>
          <w:p w14:paraId="4F5FEC7B">
            <w:pPr>
              <w:autoSpaceDE w:val="0"/>
              <w:autoSpaceDN w:val="0"/>
              <w:jc w:val="center"/>
              <w:rPr>
                <w:rFonts w:hint="eastAsia" w:ascii="宋体" w:hAnsi="宋体" w:cs="宋体"/>
                <w:bCs/>
                <w:szCs w:val="21"/>
              </w:rPr>
            </w:pPr>
            <w:r>
              <w:rPr>
                <w:rFonts w:hint="eastAsia" w:ascii="宋体" w:hAnsi="宋体" w:cs="宋体"/>
                <w:bCs/>
                <w:szCs w:val="21"/>
              </w:rPr>
              <w:t>11.7</w:t>
            </w:r>
          </w:p>
        </w:tc>
        <w:tc>
          <w:tcPr>
            <w:tcW w:w="536" w:type="dxa"/>
            <w:shd w:val="clear" w:color="auto" w:fill="FFFFFF"/>
            <w:tcMar>
              <w:top w:w="0" w:type="dxa"/>
              <w:left w:w="0" w:type="dxa"/>
              <w:bottom w:w="0" w:type="dxa"/>
              <w:right w:w="0" w:type="dxa"/>
            </w:tcMar>
            <w:vAlign w:val="center"/>
          </w:tcPr>
          <w:p w14:paraId="2E001A1A">
            <w:pPr>
              <w:autoSpaceDE w:val="0"/>
              <w:autoSpaceDN w:val="0"/>
              <w:jc w:val="center"/>
              <w:rPr>
                <w:rFonts w:hint="eastAsia" w:ascii="宋体" w:hAnsi="宋体" w:cs="宋体"/>
                <w:bCs/>
                <w:szCs w:val="21"/>
              </w:rPr>
            </w:pPr>
            <w:r>
              <w:rPr>
                <w:rFonts w:hint="eastAsia" w:ascii="宋体" w:hAnsi="宋体" w:cs="宋体"/>
                <w:bCs/>
                <w:szCs w:val="21"/>
              </w:rPr>
              <w:t>24.4</w:t>
            </w:r>
          </w:p>
        </w:tc>
        <w:tc>
          <w:tcPr>
            <w:tcW w:w="521" w:type="dxa"/>
            <w:shd w:val="clear" w:color="auto" w:fill="FFFFFF"/>
            <w:tcMar>
              <w:top w:w="0" w:type="dxa"/>
              <w:left w:w="0" w:type="dxa"/>
              <w:bottom w:w="0" w:type="dxa"/>
              <w:right w:w="0" w:type="dxa"/>
            </w:tcMar>
            <w:vAlign w:val="center"/>
          </w:tcPr>
          <w:p w14:paraId="54F6351B">
            <w:pPr>
              <w:autoSpaceDE w:val="0"/>
              <w:autoSpaceDN w:val="0"/>
              <w:jc w:val="center"/>
              <w:rPr>
                <w:rFonts w:hint="eastAsia" w:ascii="宋体" w:hAnsi="宋体" w:cs="宋体"/>
                <w:bCs/>
                <w:szCs w:val="21"/>
              </w:rPr>
            </w:pPr>
            <w:r>
              <w:rPr>
                <w:rFonts w:hint="eastAsia" w:ascii="宋体" w:hAnsi="宋体" w:cs="宋体"/>
                <w:bCs/>
                <w:szCs w:val="21"/>
              </w:rPr>
              <w:t>73.4</w:t>
            </w:r>
          </w:p>
        </w:tc>
        <w:tc>
          <w:tcPr>
            <w:tcW w:w="521" w:type="dxa"/>
            <w:shd w:val="clear" w:color="auto" w:fill="FFFFFF"/>
            <w:tcMar>
              <w:top w:w="0" w:type="dxa"/>
              <w:left w:w="0" w:type="dxa"/>
              <w:bottom w:w="0" w:type="dxa"/>
              <w:right w:w="0" w:type="dxa"/>
            </w:tcMar>
            <w:vAlign w:val="center"/>
          </w:tcPr>
          <w:p w14:paraId="0460289A">
            <w:pPr>
              <w:autoSpaceDE w:val="0"/>
              <w:autoSpaceDN w:val="0"/>
              <w:jc w:val="center"/>
              <w:rPr>
                <w:rFonts w:hint="eastAsia" w:ascii="宋体" w:hAnsi="宋体" w:cs="宋体"/>
                <w:bCs/>
                <w:szCs w:val="21"/>
              </w:rPr>
            </w:pPr>
            <w:r>
              <w:rPr>
                <w:rFonts w:hint="eastAsia" w:ascii="宋体" w:hAnsi="宋体" w:cs="宋体"/>
                <w:bCs/>
                <w:szCs w:val="21"/>
              </w:rPr>
              <w:t>78.9</w:t>
            </w:r>
          </w:p>
        </w:tc>
        <w:tc>
          <w:tcPr>
            <w:tcW w:w="521" w:type="dxa"/>
            <w:shd w:val="clear" w:color="auto" w:fill="FFFFFF"/>
            <w:tcMar>
              <w:top w:w="0" w:type="dxa"/>
              <w:left w:w="0" w:type="dxa"/>
              <w:bottom w:w="0" w:type="dxa"/>
              <w:right w:w="0" w:type="dxa"/>
            </w:tcMar>
            <w:vAlign w:val="center"/>
          </w:tcPr>
          <w:p w14:paraId="78023C9C">
            <w:pPr>
              <w:autoSpaceDE w:val="0"/>
              <w:autoSpaceDN w:val="0"/>
              <w:jc w:val="center"/>
              <w:rPr>
                <w:rFonts w:hint="eastAsia" w:ascii="宋体" w:hAnsi="宋体" w:cs="宋体"/>
                <w:bCs/>
                <w:szCs w:val="21"/>
              </w:rPr>
            </w:pPr>
            <w:r>
              <w:rPr>
                <w:rFonts w:hint="eastAsia" w:ascii="宋体" w:hAnsi="宋体" w:cs="宋体"/>
                <w:bCs/>
                <w:szCs w:val="21"/>
              </w:rPr>
              <w:t>73.5</w:t>
            </w:r>
          </w:p>
        </w:tc>
        <w:tc>
          <w:tcPr>
            <w:tcW w:w="536" w:type="dxa"/>
            <w:shd w:val="clear" w:color="auto" w:fill="FFFFFF"/>
            <w:tcMar>
              <w:top w:w="0" w:type="dxa"/>
              <w:left w:w="0" w:type="dxa"/>
              <w:bottom w:w="0" w:type="dxa"/>
              <w:right w:w="0" w:type="dxa"/>
            </w:tcMar>
            <w:vAlign w:val="center"/>
          </w:tcPr>
          <w:p w14:paraId="08DC345F">
            <w:pPr>
              <w:autoSpaceDE w:val="0"/>
              <w:autoSpaceDN w:val="0"/>
              <w:jc w:val="center"/>
              <w:rPr>
                <w:rFonts w:hint="eastAsia" w:ascii="宋体" w:hAnsi="宋体" w:cs="宋体"/>
                <w:bCs/>
                <w:szCs w:val="21"/>
              </w:rPr>
            </w:pPr>
            <w:r>
              <w:rPr>
                <w:rFonts w:hint="eastAsia" w:ascii="宋体" w:hAnsi="宋体" w:cs="宋体"/>
                <w:bCs/>
                <w:szCs w:val="21"/>
              </w:rPr>
              <w:t>73.4</w:t>
            </w:r>
          </w:p>
        </w:tc>
        <w:tc>
          <w:tcPr>
            <w:tcW w:w="452" w:type="dxa"/>
            <w:shd w:val="clear" w:color="auto" w:fill="FFFFFF"/>
            <w:tcMar>
              <w:top w:w="0" w:type="dxa"/>
              <w:left w:w="0" w:type="dxa"/>
              <w:bottom w:w="0" w:type="dxa"/>
              <w:right w:w="0" w:type="dxa"/>
            </w:tcMar>
            <w:vAlign w:val="center"/>
          </w:tcPr>
          <w:p w14:paraId="02D1D231">
            <w:pPr>
              <w:autoSpaceDE w:val="0"/>
              <w:autoSpaceDN w:val="0"/>
              <w:jc w:val="center"/>
              <w:rPr>
                <w:rFonts w:hint="eastAsia" w:ascii="宋体" w:hAnsi="宋体" w:cs="宋体"/>
                <w:bCs/>
                <w:szCs w:val="21"/>
              </w:rPr>
            </w:pPr>
            <w:r>
              <w:rPr>
                <w:rFonts w:hint="eastAsia" w:ascii="宋体" w:hAnsi="宋体" w:cs="宋体"/>
                <w:bCs/>
                <w:szCs w:val="21"/>
              </w:rPr>
              <w:t>无</w:t>
            </w:r>
          </w:p>
        </w:tc>
        <w:tc>
          <w:tcPr>
            <w:tcW w:w="504" w:type="dxa"/>
            <w:shd w:val="clear" w:color="auto" w:fill="FFFFFF"/>
            <w:tcMar>
              <w:top w:w="0" w:type="dxa"/>
              <w:left w:w="0" w:type="dxa"/>
              <w:bottom w:w="0" w:type="dxa"/>
              <w:right w:w="0" w:type="dxa"/>
            </w:tcMar>
            <w:vAlign w:val="center"/>
          </w:tcPr>
          <w:p w14:paraId="467965B0">
            <w:pPr>
              <w:autoSpaceDE w:val="0"/>
              <w:autoSpaceDN w:val="0"/>
              <w:jc w:val="center"/>
              <w:rPr>
                <w:rFonts w:hint="eastAsia" w:ascii="宋体" w:hAnsi="宋体" w:cs="宋体"/>
                <w:bCs/>
                <w:szCs w:val="21"/>
              </w:rPr>
            </w:pPr>
            <w:r>
              <w:rPr>
                <w:rFonts w:hint="eastAsia" w:ascii="宋体" w:hAnsi="宋体" w:cs="宋体"/>
                <w:bCs/>
                <w:szCs w:val="21"/>
              </w:rPr>
              <w:t>41.0</w:t>
            </w:r>
          </w:p>
        </w:tc>
        <w:tc>
          <w:tcPr>
            <w:tcW w:w="504" w:type="dxa"/>
            <w:shd w:val="clear" w:color="auto" w:fill="FFFFFF"/>
            <w:tcMar>
              <w:top w:w="0" w:type="dxa"/>
              <w:left w:w="0" w:type="dxa"/>
              <w:bottom w:w="0" w:type="dxa"/>
              <w:right w:w="0" w:type="dxa"/>
            </w:tcMar>
            <w:vAlign w:val="center"/>
          </w:tcPr>
          <w:p w14:paraId="3A3EDA25">
            <w:pPr>
              <w:autoSpaceDE w:val="0"/>
              <w:autoSpaceDN w:val="0"/>
              <w:jc w:val="center"/>
              <w:rPr>
                <w:rFonts w:hint="eastAsia" w:ascii="宋体" w:hAnsi="宋体" w:cs="宋体"/>
                <w:bCs/>
                <w:szCs w:val="21"/>
              </w:rPr>
            </w:pPr>
            <w:r>
              <w:rPr>
                <w:rFonts w:hint="eastAsia" w:ascii="宋体" w:hAnsi="宋体" w:cs="宋体"/>
                <w:bCs/>
                <w:szCs w:val="21"/>
              </w:rPr>
              <w:t>41.0</w:t>
            </w:r>
          </w:p>
        </w:tc>
        <w:tc>
          <w:tcPr>
            <w:tcW w:w="504" w:type="dxa"/>
            <w:shd w:val="clear" w:color="auto" w:fill="FFFFFF"/>
            <w:tcMar>
              <w:top w:w="0" w:type="dxa"/>
              <w:left w:w="0" w:type="dxa"/>
              <w:bottom w:w="0" w:type="dxa"/>
              <w:right w:w="0" w:type="dxa"/>
            </w:tcMar>
            <w:vAlign w:val="center"/>
          </w:tcPr>
          <w:p w14:paraId="184399AE">
            <w:pPr>
              <w:autoSpaceDE w:val="0"/>
              <w:autoSpaceDN w:val="0"/>
              <w:jc w:val="center"/>
              <w:rPr>
                <w:rFonts w:hint="eastAsia" w:ascii="宋体" w:hAnsi="宋体" w:cs="宋体"/>
                <w:bCs/>
                <w:szCs w:val="21"/>
              </w:rPr>
            </w:pPr>
            <w:r>
              <w:rPr>
                <w:rFonts w:hint="eastAsia" w:ascii="宋体" w:hAnsi="宋体" w:cs="宋体"/>
                <w:bCs/>
                <w:szCs w:val="21"/>
              </w:rPr>
              <w:t>41.0</w:t>
            </w:r>
          </w:p>
        </w:tc>
        <w:tc>
          <w:tcPr>
            <w:tcW w:w="513" w:type="dxa"/>
            <w:shd w:val="clear" w:color="auto" w:fill="FFFFFF"/>
            <w:tcMar>
              <w:top w:w="0" w:type="dxa"/>
              <w:left w:w="0" w:type="dxa"/>
              <w:bottom w:w="0" w:type="dxa"/>
              <w:right w:w="0" w:type="dxa"/>
            </w:tcMar>
            <w:vAlign w:val="center"/>
          </w:tcPr>
          <w:p w14:paraId="746B72B0">
            <w:pPr>
              <w:autoSpaceDE w:val="0"/>
              <w:autoSpaceDN w:val="0"/>
              <w:jc w:val="center"/>
              <w:rPr>
                <w:rFonts w:hint="eastAsia" w:ascii="宋体" w:hAnsi="宋体" w:cs="宋体"/>
                <w:bCs/>
                <w:szCs w:val="21"/>
              </w:rPr>
            </w:pPr>
            <w:r>
              <w:rPr>
                <w:rFonts w:hint="eastAsia" w:ascii="宋体" w:hAnsi="宋体" w:cs="宋体"/>
                <w:bCs/>
                <w:szCs w:val="21"/>
              </w:rPr>
              <w:t>41.0</w:t>
            </w:r>
          </w:p>
        </w:tc>
        <w:tc>
          <w:tcPr>
            <w:tcW w:w="539" w:type="dxa"/>
            <w:shd w:val="clear" w:color="auto" w:fill="FFFFFF"/>
            <w:tcMar>
              <w:top w:w="0" w:type="dxa"/>
              <w:left w:w="0" w:type="dxa"/>
              <w:bottom w:w="0" w:type="dxa"/>
              <w:right w:w="0" w:type="dxa"/>
            </w:tcMar>
            <w:vAlign w:val="center"/>
          </w:tcPr>
          <w:p w14:paraId="591BB8E8">
            <w:pPr>
              <w:autoSpaceDE w:val="0"/>
              <w:autoSpaceDN w:val="0"/>
              <w:jc w:val="center"/>
              <w:rPr>
                <w:rFonts w:hint="eastAsia" w:ascii="宋体" w:hAnsi="宋体" w:cs="宋体"/>
                <w:bCs/>
                <w:szCs w:val="21"/>
              </w:rPr>
            </w:pPr>
            <w:r>
              <w:rPr>
                <w:rFonts w:hint="eastAsia" w:ascii="宋体" w:hAnsi="宋体" w:cs="宋体"/>
                <w:bCs/>
                <w:szCs w:val="21"/>
              </w:rPr>
              <w:t>32.4</w:t>
            </w:r>
          </w:p>
        </w:tc>
        <w:tc>
          <w:tcPr>
            <w:tcW w:w="539" w:type="dxa"/>
            <w:shd w:val="clear" w:color="auto" w:fill="FFFFFF"/>
            <w:tcMar>
              <w:top w:w="0" w:type="dxa"/>
              <w:left w:w="0" w:type="dxa"/>
              <w:bottom w:w="0" w:type="dxa"/>
              <w:right w:w="0" w:type="dxa"/>
            </w:tcMar>
            <w:vAlign w:val="center"/>
          </w:tcPr>
          <w:p w14:paraId="17917693">
            <w:pPr>
              <w:autoSpaceDE w:val="0"/>
              <w:autoSpaceDN w:val="0"/>
              <w:jc w:val="center"/>
              <w:rPr>
                <w:rFonts w:hint="eastAsia" w:ascii="宋体" w:hAnsi="宋体" w:cs="宋体"/>
                <w:bCs/>
                <w:szCs w:val="21"/>
              </w:rPr>
            </w:pPr>
            <w:r>
              <w:rPr>
                <w:rFonts w:hint="eastAsia" w:ascii="宋体" w:hAnsi="宋体" w:cs="宋体"/>
                <w:bCs/>
                <w:szCs w:val="21"/>
              </w:rPr>
              <w:t>37.9</w:t>
            </w:r>
          </w:p>
        </w:tc>
        <w:tc>
          <w:tcPr>
            <w:tcW w:w="539" w:type="dxa"/>
            <w:shd w:val="clear" w:color="auto" w:fill="FFFFFF"/>
            <w:tcMar>
              <w:top w:w="0" w:type="dxa"/>
              <w:left w:w="0" w:type="dxa"/>
              <w:bottom w:w="0" w:type="dxa"/>
              <w:right w:w="0" w:type="dxa"/>
            </w:tcMar>
            <w:vAlign w:val="center"/>
          </w:tcPr>
          <w:p w14:paraId="427E9428">
            <w:pPr>
              <w:autoSpaceDE w:val="0"/>
              <w:autoSpaceDN w:val="0"/>
              <w:jc w:val="center"/>
              <w:rPr>
                <w:rFonts w:hint="eastAsia" w:ascii="宋体" w:hAnsi="宋体" w:cs="宋体"/>
                <w:bCs/>
                <w:szCs w:val="21"/>
              </w:rPr>
            </w:pPr>
            <w:r>
              <w:rPr>
                <w:rFonts w:hint="eastAsia" w:ascii="宋体" w:hAnsi="宋体" w:cs="宋体"/>
                <w:bCs/>
                <w:szCs w:val="21"/>
              </w:rPr>
              <w:t>32.5</w:t>
            </w:r>
          </w:p>
        </w:tc>
        <w:tc>
          <w:tcPr>
            <w:tcW w:w="540" w:type="dxa"/>
            <w:shd w:val="clear" w:color="auto" w:fill="FFFFFF"/>
            <w:tcMar>
              <w:top w:w="0" w:type="dxa"/>
              <w:left w:w="0" w:type="dxa"/>
              <w:bottom w:w="0" w:type="dxa"/>
              <w:right w:w="0" w:type="dxa"/>
            </w:tcMar>
            <w:vAlign w:val="center"/>
          </w:tcPr>
          <w:p w14:paraId="0D06A990">
            <w:pPr>
              <w:autoSpaceDE w:val="0"/>
              <w:autoSpaceDN w:val="0"/>
              <w:jc w:val="center"/>
              <w:rPr>
                <w:rFonts w:hint="eastAsia" w:ascii="宋体" w:hAnsi="宋体" w:cs="宋体"/>
                <w:bCs/>
                <w:szCs w:val="21"/>
              </w:rPr>
            </w:pPr>
            <w:r>
              <w:rPr>
                <w:rFonts w:hint="eastAsia" w:ascii="宋体" w:hAnsi="宋体" w:cs="宋体"/>
                <w:bCs/>
                <w:szCs w:val="21"/>
              </w:rPr>
              <w:t>32.4</w:t>
            </w:r>
          </w:p>
        </w:tc>
        <w:tc>
          <w:tcPr>
            <w:tcW w:w="619" w:type="dxa"/>
            <w:shd w:val="clear" w:color="auto" w:fill="FFFFFF"/>
            <w:tcMar>
              <w:top w:w="0" w:type="dxa"/>
              <w:left w:w="0" w:type="dxa"/>
              <w:bottom w:w="0" w:type="dxa"/>
              <w:right w:w="0" w:type="dxa"/>
            </w:tcMar>
            <w:vAlign w:val="center"/>
          </w:tcPr>
          <w:p w14:paraId="53A3A36C">
            <w:pPr>
              <w:autoSpaceDE w:val="0"/>
              <w:autoSpaceDN w:val="0"/>
              <w:jc w:val="center"/>
              <w:rPr>
                <w:rFonts w:hint="eastAsia" w:ascii="宋体" w:hAnsi="宋体" w:cs="宋体"/>
                <w:bCs/>
                <w:szCs w:val="21"/>
              </w:rPr>
            </w:pPr>
            <w:r>
              <w:rPr>
                <w:rFonts w:hint="eastAsia" w:ascii="宋体" w:hAnsi="宋体" w:cs="宋体"/>
                <w:bCs/>
                <w:szCs w:val="21"/>
              </w:rPr>
              <w:t>1</w:t>
            </w:r>
          </w:p>
        </w:tc>
      </w:tr>
      <w:tr w14:paraId="127BCF7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655" w:hRule="atLeast"/>
        </w:trPr>
        <w:tc>
          <w:tcPr>
            <w:tcW w:w="403" w:type="dxa"/>
            <w:shd w:val="clear" w:color="auto" w:fill="FFFFFF"/>
            <w:tcMar>
              <w:top w:w="0" w:type="dxa"/>
              <w:left w:w="0" w:type="dxa"/>
              <w:bottom w:w="0" w:type="dxa"/>
              <w:right w:w="0" w:type="dxa"/>
            </w:tcMar>
            <w:vAlign w:val="center"/>
          </w:tcPr>
          <w:p w14:paraId="5C3CA524">
            <w:pPr>
              <w:autoSpaceDE w:val="0"/>
              <w:autoSpaceDN w:val="0"/>
              <w:jc w:val="center"/>
              <w:rPr>
                <w:rFonts w:hint="eastAsia" w:ascii="宋体" w:hAnsi="宋体" w:cs="宋体"/>
                <w:bCs/>
                <w:szCs w:val="21"/>
              </w:rPr>
            </w:pPr>
            <w:r>
              <w:rPr>
                <w:rFonts w:hint="eastAsia" w:ascii="宋体" w:hAnsi="宋体" w:cs="宋体"/>
                <w:bCs/>
                <w:szCs w:val="21"/>
              </w:rPr>
              <w:t>7</w:t>
            </w:r>
          </w:p>
        </w:tc>
        <w:tc>
          <w:tcPr>
            <w:tcW w:w="593" w:type="dxa"/>
            <w:vMerge w:val="continue"/>
            <w:shd w:val="clear" w:color="auto" w:fill="FFFFFF"/>
            <w:tcMar>
              <w:top w:w="0" w:type="dxa"/>
              <w:left w:w="0" w:type="dxa"/>
              <w:bottom w:w="0" w:type="dxa"/>
              <w:right w:w="0" w:type="dxa"/>
            </w:tcMar>
            <w:vAlign w:val="center"/>
          </w:tcPr>
          <w:p w14:paraId="1D984234">
            <w:pPr>
              <w:autoSpaceDE w:val="0"/>
              <w:autoSpaceDN w:val="0"/>
              <w:jc w:val="center"/>
              <w:rPr>
                <w:rFonts w:hint="eastAsia" w:ascii="宋体" w:hAnsi="宋体" w:cs="宋体"/>
                <w:bCs/>
                <w:szCs w:val="21"/>
              </w:rPr>
            </w:pPr>
          </w:p>
        </w:tc>
        <w:tc>
          <w:tcPr>
            <w:tcW w:w="565" w:type="dxa"/>
            <w:shd w:val="clear" w:color="auto" w:fill="FFFFFF"/>
            <w:tcMar>
              <w:top w:w="0" w:type="dxa"/>
              <w:left w:w="0" w:type="dxa"/>
              <w:bottom w:w="0" w:type="dxa"/>
              <w:right w:w="0" w:type="dxa"/>
            </w:tcMar>
            <w:vAlign w:val="center"/>
          </w:tcPr>
          <w:p w14:paraId="75307C7C">
            <w:pPr>
              <w:autoSpaceDE w:val="0"/>
              <w:autoSpaceDN w:val="0"/>
              <w:jc w:val="center"/>
              <w:rPr>
                <w:rFonts w:hint="eastAsia" w:ascii="宋体" w:hAnsi="宋体" w:cs="宋体"/>
                <w:bCs/>
                <w:szCs w:val="21"/>
              </w:rPr>
            </w:pPr>
            <w:r>
              <w:rPr>
                <w:rFonts w:hint="eastAsia" w:ascii="宋体" w:hAnsi="宋体" w:cs="宋体"/>
                <w:bCs/>
                <w:szCs w:val="21"/>
              </w:rPr>
              <w:t>打包机</w:t>
            </w:r>
          </w:p>
        </w:tc>
        <w:tc>
          <w:tcPr>
            <w:tcW w:w="719" w:type="dxa"/>
            <w:shd w:val="clear" w:color="auto" w:fill="FFFFFF"/>
            <w:tcMar>
              <w:top w:w="0" w:type="dxa"/>
              <w:left w:w="0" w:type="dxa"/>
              <w:bottom w:w="0" w:type="dxa"/>
              <w:right w:w="0" w:type="dxa"/>
            </w:tcMar>
            <w:vAlign w:val="center"/>
          </w:tcPr>
          <w:p w14:paraId="602498B5">
            <w:pPr>
              <w:autoSpaceDE w:val="0"/>
              <w:autoSpaceDN w:val="0"/>
              <w:jc w:val="center"/>
              <w:rPr>
                <w:rFonts w:hint="eastAsia" w:ascii="宋体" w:hAnsi="宋体" w:cs="宋体"/>
                <w:bCs/>
                <w:szCs w:val="21"/>
              </w:rPr>
            </w:pPr>
            <w:r>
              <w:rPr>
                <w:rFonts w:hint="eastAsia" w:ascii="宋体" w:hAnsi="宋体" w:cs="宋体"/>
                <w:bCs/>
                <w:szCs w:val="21"/>
              </w:rPr>
              <w:t>65</w:t>
            </w:r>
          </w:p>
        </w:tc>
        <w:tc>
          <w:tcPr>
            <w:tcW w:w="376" w:type="dxa"/>
            <w:vMerge w:val="continue"/>
            <w:shd w:val="clear" w:color="auto" w:fill="FFFFFF"/>
            <w:tcMar>
              <w:top w:w="0" w:type="dxa"/>
              <w:left w:w="0" w:type="dxa"/>
              <w:bottom w:w="0" w:type="dxa"/>
              <w:right w:w="0" w:type="dxa"/>
            </w:tcMar>
            <w:vAlign w:val="center"/>
          </w:tcPr>
          <w:p w14:paraId="770334BD">
            <w:pPr>
              <w:autoSpaceDE w:val="0"/>
              <w:autoSpaceDN w:val="0"/>
              <w:jc w:val="center"/>
              <w:rPr>
                <w:rFonts w:hint="eastAsia" w:ascii="宋体" w:hAnsi="宋体" w:cs="宋体"/>
                <w:bCs/>
                <w:szCs w:val="21"/>
              </w:rPr>
            </w:pPr>
          </w:p>
        </w:tc>
        <w:tc>
          <w:tcPr>
            <w:tcW w:w="638" w:type="dxa"/>
            <w:shd w:val="clear" w:color="auto" w:fill="FFFFFF"/>
            <w:tcMar>
              <w:top w:w="0" w:type="dxa"/>
              <w:left w:w="0" w:type="dxa"/>
              <w:bottom w:w="0" w:type="dxa"/>
              <w:right w:w="0" w:type="dxa"/>
            </w:tcMar>
            <w:vAlign w:val="center"/>
          </w:tcPr>
          <w:p w14:paraId="510B2075">
            <w:pPr>
              <w:autoSpaceDE w:val="0"/>
              <w:autoSpaceDN w:val="0"/>
              <w:jc w:val="center"/>
              <w:rPr>
                <w:rFonts w:hint="eastAsia" w:ascii="宋体" w:hAnsi="宋体" w:cs="宋体"/>
                <w:bCs/>
                <w:szCs w:val="21"/>
              </w:rPr>
            </w:pPr>
            <w:r>
              <w:rPr>
                <w:rFonts w:hint="eastAsia" w:ascii="宋体" w:hAnsi="宋体" w:cs="宋体"/>
                <w:bCs/>
                <w:szCs w:val="21"/>
              </w:rPr>
              <w:t>-16</w:t>
            </w:r>
          </w:p>
        </w:tc>
        <w:tc>
          <w:tcPr>
            <w:tcW w:w="638" w:type="dxa"/>
            <w:shd w:val="clear" w:color="auto" w:fill="FFFFFF"/>
            <w:tcMar>
              <w:top w:w="0" w:type="dxa"/>
              <w:left w:w="0" w:type="dxa"/>
              <w:bottom w:w="0" w:type="dxa"/>
              <w:right w:w="0" w:type="dxa"/>
            </w:tcMar>
            <w:vAlign w:val="center"/>
          </w:tcPr>
          <w:p w14:paraId="32E914A0">
            <w:pPr>
              <w:autoSpaceDE w:val="0"/>
              <w:autoSpaceDN w:val="0"/>
              <w:jc w:val="center"/>
              <w:rPr>
                <w:rFonts w:hint="eastAsia" w:ascii="宋体" w:hAnsi="宋体" w:cs="宋体"/>
                <w:bCs/>
                <w:szCs w:val="21"/>
              </w:rPr>
            </w:pPr>
            <w:r>
              <w:rPr>
                <w:rFonts w:hint="eastAsia" w:ascii="宋体" w:hAnsi="宋体" w:cs="宋体"/>
                <w:bCs/>
                <w:szCs w:val="21"/>
              </w:rPr>
              <w:t>15.1</w:t>
            </w:r>
          </w:p>
        </w:tc>
        <w:tc>
          <w:tcPr>
            <w:tcW w:w="645" w:type="dxa"/>
            <w:shd w:val="clear" w:color="auto" w:fill="FFFFFF"/>
            <w:tcMar>
              <w:top w:w="0" w:type="dxa"/>
              <w:left w:w="0" w:type="dxa"/>
              <w:bottom w:w="0" w:type="dxa"/>
              <w:right w:w="0" w:type="dxa"/>
            </w:tcMar>
            <w:vAlign w:val="center"/>
          </w:tcPr>
          <w:p w14:paraId="32C91C16">
            <w:pPr>
              <w:autoSpaceDE w:val="0"/>
              <w:autoSpaceDN w:val="0"/>
              <w:jc w:val="center"/>
              <w:rPr>
                <w:rFonts w:hint="eastAsia" w:ascii="宋体" w:hAnsi="宋体" w:cs="宋体"/>
                <w:bCs/>
                <w:szCs w:val="21"/>
              </w:rPr>
            </w:pPr>
            <w:r>
              <w:rPr>
                <w:rFonts w:hint="eastAsia" w:ascii="宋体" w:hAnsi="宋体" w:cs="宋体"/>
                <w:bCs/>
                <w:szCs w:val="21"/>
              </w:rPr>
              <w:t>1.2</w:t>
            </w:r>
          </w:p>
        </w:tc>
        <w:tc>
          <w:tcPr>
            <w:tcW w:w="530" w:type="dxa"/>
            <w:shd w:val="clear" w:color="auto" w:fill="FFFFFF"/>
            <w:tcMar>
              <w:top w:w="0" w:type="dxa"/>
              <w:left w:w="0" w:type="dxa"/>
              <w:bottom w:w="0" w:type="dxa"/>
              <w:right w:w="0" w:type="dxa"/>
            </w:tcMar>
            <w:vAlign w:val="center"/>
          </w:tcPr>
          <w:p w14:paraId="6847494A">
            <w:pPr>
              <w:autoSpaceDE w:val="0"/>
              <w:autoSpaceDN w:val="0"/>
              <w:jc w:val="center"/>
              <w:rPr>
                <w:rFonts w:hint="eastAsia" w:ascii="宋体" w:hAnsi="宋体" w:cs="宋体"/>
                <w:bCs/>
                <w:szCs w:val="21"/>
              </w:rPr>
            </w:pPr>
            <w:r>
              <w:rPr>
                <w:rFonts w:hint="eastAsia" w:ascii="宋体" w:hAnsi="宋体" w:cs="宋体"/>
                <w:bCs/>
                <w:szCs w:val="21"/>
              </w:rPr>
              <w:t>82.9</w:t>
            </w:r>
          </w:p>
        </w:tc>
        <w:tc>
          <w:tcPr>
            <w:tcW w:w="530" w:type="dxa"/>
            <w:shd w:val="clear" w:color="auto" w:fill="FFFFFF"/>
            <w:tcMar>
              <w:top w:w="0" w:type="dxa"/>
              <w:left w:w="0" w:type="dxa"/>
              <w:bottom w:w="0" w:type="dxa"/>
              <w:right w:w="0" w:type="dxa"/>
            </w:tcMar>
            <w:vAlign w:val="center"/>
          </w:tcPr>
          <w:p w14:paraId="11D378CC">
            <w:pPr>
              <w:autoSpaceDE w:val="0"/>
              <w:autoSpaceDN w:val="0"/>
              <w:jc w:val="center"/>
              <w:rPr>
                <w:rFonts w:hint="eastAsia" w:ascii="宋体" w:hAnsi="宋体" w:cs="宋体"/>
                <w:bCs/>
                <w:szCs w:val="21"/>
              </w:rPr>
            </w:pPr>
            <w:r>
              <w:rPr>
                <w:rFonts w:hint="eastAsia" w:ascii="宋体" w:hAnsi="宋体" w:cs="宋体"/>
                <w:bCs/>
                <w:szCs w:val="21"/>
              </w:rPr>
              <w:t>12.5</w:t>
            </w:r>
          </w:p>
        </w:tc>
        <w:tc>
          <w:tcPr>
            <w:tcW w:w="530" w:type="dxa"/>
            <w:shd w:val="clear" w:color="auto" w:fill="FFFFFF"/>
            <w:tcMar>
              <w:top w:w="0" w:type="dxa"/>
              <w:left w:w="0" w:type="dxa"/>
              <w:bottom w:w="0" w:type="dxa"/>
              <w:right w:w="0" w:type="dxa"/>
            </w:tcMar>
            <w:vAlign w:val="center"/>
          </w:tcPr>
          <w:p w14:paraId="78CDE693">
            <w:pPr>
              <w:autoSpaceDE w:val="0"/>
              <w:autoSpaceDN w:val="0"/>
              <w:jc w:val="center"/>
              <w:rPr>
                <w:rFonts w:hint="eastAsia" w:ascii="宋体" w:hAnsi="宋体" w:cs="宋体"/>
                <w:bCs/>
                <w:szCs w:val="21"/>
              </w:rPr>
            </w:pPr>
            <w:r>
              <w:rPr>
                <w:rFonts w:hint="eastAsia" w:ascii="宋体" w:hAnsi="宋体" w:cs="宋体"/>
                <w:bCs/>
                <w:szCs w:val="21"/>
              </w:rPr>
              <w:t>9.0</w:t>
            </w:r>
          </w:p>
        </w:tc>
        <w:tc>
          <w:tcPr>
            <w:tcW w:w="536" w:type="dxa"/>
            <w:shd w:val="clear" w:color="auto" w:fill="FFFFFF"/>
            <w:tcMar>
              <w:top w:w="0" w:type="dxa"/>
              <w:left w:w="0" w:type="dxa"/>
              <w:bottom w:w="0" w:type="dxa"/>
              <w:right w:w="0" w:type="dxa"/>
            </w:tcMar>
            <w:vAlign w:val="center"/>
          </w:tcPr>
          <w:p w14:paraId="0E1385A6">
            <w:pPr>
              <w:autoSpaceDE w:val="0"/>
              <w:autoSpaceDN w:val="0"/>
              <w:jc w:val="center"/>
              <w:rPr>
                <w:rFonts w:hint="eastAsia" w:ascii="宋体" w:hAnsi="宋体" w:cs="宋体"/>
                <w:bCs/>
                <w:szCs w:val="21"/>
              </w:rPr>
            </w:pPr>
            <w:r>
              <w:rPr>
                <w:rFonts w:hint="eastAsia" w:ascii="宋体" w:hAnsi="宋体" w:cs="宋体"/>
                <w:bCs/>
                <w:szCs w:val="21"/>
              </w:rPr>
              <w:t>16.2</w:t>
            </w:r>
          </w:p>
        </w:tc>
        <w:tc>
          <w:tcPr>
            <w:tcW w:w="521" w:type="dxa"/>
            <w:shd w:val="clear" w:color="auto" w:fill="FFFFFF"/>
            <w:tcMar>
              <w:top w:w="0" w:type="dxa"/>
              <w:left w:w="0" w:type="dxa"/>
              <w:bottom w:w="0" w:type="dxa"/>
              <w:right w:w="0" w:type="dxa"/>
            </w:tcMar>
            <w:vAlign w:val="center"/>
          </w:tcPr>
          <w:p w14:paraId="1DFAE8AE">
            <w:pPr>
              <w:autoSpaceDE w:val="0"/>
              <w:autoSpaceDN w:val="0"/>
              <w:jc w:val="center"/>
              <w:rPr>
                <w:rFonts w:hint="eastAsia" w:ascii="宋体" w:hAnsi="宋体" w:cs="宋体"/>
                <w:bCs/>
                <w:szCs w:val="21"/>
              </w:rPr>
            </w:pPr>
            <w:r>
              <w:rPr>
                <w:rFonts w:hint="eastAsia" w:ascii="宋体" w:hAnsi="宋体" w:cs="宋体"/>
                <w:bCs/>
                <w:szCs w:val="21"/>
              </w:rPr>
              <w:t>48.4</w:t>
            </w:r>
          </w:p>
        </w:tc>
        <w:tc>
          <w:tcPr>
            <w:tcW w:w="521" w:type="dxa"/>
            <w:shd w:val="clear" w:color="auto" w:fill="FFFFFF"/>
            <w:tcMar>
              <w:top w:w="0" w:type="dxa"/>
              <w:left w:w="0" w:type="dxa"/>
              <w:bottom w:w="0" w:type="dxa"/>
              <w:right w:w="0" w:type="dxa"/>
            </w:tcMar>
            <w:vAlign w:val="center"/>
          </w:tcPr>
          <w:p w14:paraId="3DBD179B">
            <w:pPr>
              <w:autoSpaceDE w:val="0"/>
              <w:autoSpaceDN w:val="0"/>
              <w:jc w:val="center"/>
              <w:rPr>
                <w:rFonts w:hint="eastAsia" w:ascii="宋体" w:hAnsi="宋体" w:cs="宋体"/>
                <w:bCs/>
                <w:szCs w:val="21"/>
              </w:rPr>
            </w:pPr>
            <w:r>
              <w:rPr>
                <w:rFonts w:hint="eastAsia" w:ascii="宋体" w:hAnsi="宋体" w:cs="宋体"/>
                <w:bCs/>
                <w:szCs w:val="21"/>
              </w:rPr>
              <w:t>48.5</w:t>
            </w:r>
          </w:p>
        </w:tc>
        <w:tc>
          <w:tcPr>
            <w:tcW w:w="521" w:type="dxa"/>
            <w:shd w:val="clear" w:color="auto" w:fill="FFFFFF"/>
            <w:tcMar>
              <w:top w:w="0" w:type="dxa"/>
              <w:left w:w="0" w:type="dxa"/>
              <w:bottom w:w="0" w:type="dxa"/>
              <w:right w:w="0" w:type="dxa"/>
            </w:tcMar>
            <w:vAlign w:val="center"/>
          </w:tcPr>
          <w:p w14:paraId="1A3F5839">
            <w:pPr>
              <w:autoSpaceDE w:val="0"/>
              <w:autoSpaceDN w:val="0"/>
              <w:jc w:val="center"/>
              <w:rPr>
                <w:rFonts w:hint="eastAsia" w:ascii="宋体" w:hAnsi="宋体" w:cs="宋体"/>
                <w:bCs/>
                <w:szCs w:val="21"/>
              </w:rPr>
            </w:pPr>
            <w:r>
              <w:rPr>
                <w:rFonts w:hint="eastAsia" w:ascii="宋体" w:hAnsi="宋体" w:cs="宋体"/>
                <w:bCs/>
                <w:szCs w:val="21"/>
              </w:rPr>
              <w:t>48.6</w:t>
            </w:r>
          </w:p>
        </w:tc>
        <w:tc>
          <w:tcPr>
            <w:tcW w:w="536" w:type="dxa"/>
            <w:shd w:val="clear" w:color="auto" w:fill="FFFFFF"/>
            <w:tcMar>
              <w:top w:w="0" w:type="dxa"/>
              <w:left w:w="0" w:type="dxa"/>
              <w:bottom w:w="0" w:type="dxa"/>
              <w:right w:w="0" w:type="dxa"/>
            </w:tcMar>
            <w:vAlign w:val="center"/>
          </w:tcPr>
          <w:p w14:paraId="0B283E0E">
            <w:pPr>
              <w:autoSpaceDE w:val="0"/>
              <w:autoSpaceDN w:val="0"/>
              <w:jc w:val="center"/>
              <w:rPr>
                <w:rFonts w:hint="eastAsia" w:ascii="宋体" w:hAnsi="宋体" w:cs="宋体"/>
                <w:bCs/>
                <w:szCs w:val="21"/>
              </w:rPr>
            </w:pPr>
            <w:r>
              <w:rPr>
                <w:rFonts w:hint="eastAsia" w:ascii="宋体" w:hAnsi="宋体" w:cs="宋体"/>
                <w:bCs/>
                <w:szCs w:val="21"/>
              </w:rPr>
              <w:t>48.4</w:t>
            </w:r>
          </w:p>
        </w:tc>
        <w:tc>
          <w:tcPr>
            <w:tcW w:w="452" w:type="dxa"/>
            <w:shd w:val="clear" w:color="auto" w:fill="FFFFFF"/>
            <w:tcMar>
              <w:top w:w="0" w:type="dxa"/>
              <w:left w:w="0" w:type="dxa"/>
              <w:bottom w:w="0" w:type="dxa"/>
              <w:right w:w="0" w:type="dxa"/>
            </w:tcMar>
            <w:vAlign w:val="center"/>
          </w:tcPr>
          <w:p w14:paraId="21E14D2B">
            <w:pPr>
              <w:autoSpaceDE w:val="0"/>
              <w:autoSpaceDN w:val="0"/>
              <w:jc w:val="center"/>
              <w:rPr>
                <w:rFonts w:hint="eastAsia" w:ascii="宋体" w:hAnsi="宋体" w:cs="宋体"/>
                <w:bCs/>
                <w:szCs w:val="21"/>
              </w:rPr>
            </w:pPr>
            <w:r>
              <w:rPr>
                <w:rFonts w:hint="eastAsia" w:ascii="宋体" w:hAnsi="宋体" w:cs="宋体"/>
                <w:bCs/>
                <w:szCs w:val="21"/>
              </w:rPr>
              <w:t>无</w:t>
            </w:r>
          </w:p>
        </w:tc>
        <w:tc>
          <w:tcPr>
            <w:tcW w:w="504" w:type="dxa"/>
            <w:shd w:val="clear" w:color="auto" w:fill="FFFFFF"/>
            <w:tcMar>
              <w:top w:w="0" w:type="dxa"/>
              <w:left w:w="0" w:type="dxa"/>
              <w:bottom w:w="0" w:type="dxa"/>
              <w:right w:w="0" w:type="dxa"/>
            </w:tcMar>
            <w:vAlign w:val="center"/>
          </w:tcPr>
          <w:p w14:paraId="5B5A394B">
            <w:pPr>
              <w:autoSpaceDE w:val="0"/>
              <w:autoSpaceDN w:val="0"/>
              <w:jc w:val="center"/>
              <w:rPr>
                <w:rFonts w:hint="eastAsia" w:ascii="宋体" w:hAnsi="宋体" w:cs="宋体"/>
                <w:bCs/>
                <w:szCs w:val="21"/>
              </w:rPr>
            </w:pPr>
            <w:r>
              <w:rPr>
                <w:rFonts w:hint="eastAsia" w:ascii="宋体" w:hAnsi="宋体" w:cs="宋体"/>
                <w:bCs/>
                <w:szCs w:val="21"/>
              </w:rPr>
              <w:t>41.0</w:t>
            </w:r>
          </w:p>
        </w:tc>
        <w:tc>
          <w:tcPr>
            <w:tcW w:w="504" w:type="dxa"/>
            <w:shd w:val="clear" w:color="auto" w:fill="FFFFFF"/>
            <w:tcMar>
              <w:top w:w="0" w:type="dxa"/>
              <w:left w:w="0" w:type="dxa"/>
              <w:bottom w:w="0" w:type="dxa"/>
              <w:right w:w="0" w:type="dxa"/>
            </w:tcMar>
            <w:vAlign w:val="center"/>
          </w:tcPr>
          <w:p w14:paraId="2F54E7CF">
            <w:pPr>
              <w:autoSpaceDE w:val="0"/>
              <w:autoSpaceDN w:val="0"/>
              <w:jc w:val="center"/>
              <w:rPr>
                <w:rFonts w:hint="eastAsia" w:ascii="宋体" w:hAnsi="宋体" w:cs="宋体"/>
                <w:bCs/>
                <w:szCs w:val="21"/>
              </w:rPr>
            </w:pPr>
            <w:r>
              <w:rPr>
                <w:rFonts w:hint="eastAsia" w:ascii="宋体" w:hAnsi="宋体" w:cs="宋体"/>
                <w:bCs/>
                <w:szCs w:val="21"/>
              </w:rPr>
              <w:t>41.0</w:t>
            </w:r>
          </w:p>
        </w:tc>
        <w:tc>
          <w:tcPr>
            <w:tcW w:w="504" w:type="dxa"/>
            <w:shd w:val="clear" w:color="auto" w:fill="FFFFFF"/>
            <w:tcMar>
              <w:top w:w="0" w:type="dxa"/>
              <w:left w:w="0" w:type="dxa"/>
              <w:bottom w:w="0" w:type="dxa"/>
              <w:right w:w="0" w:type="dxa"/>
            </w:tcMar>
            <w:vAlign w:val="center"/>
          </w:tcPr>
          <w:p w14:paraId="674DC9D0">
            <w:pPr>
              <w:autoSpaceDE w:val="0"/>
              <w:autoSpaceDN w:val="0"/>
              <w:jc w:val="center"/>
              <w:rPr>
                <w:rFonts w:hint="eastAsia" w:ascii="宋体" w:hAnsi="宋体" w:cs="宋体"/>
                <w:bCs/>
                <w:szCs w:val="21"/>
              </w:rPr>
            </w:pPr>
            <w:r>
              <w:rPr>
                <w:rFonts w:hint="eastAsia" w:ascii="宋体" w:hAnsi="宋体" w:cs="宋体"/>
                <w:bCs/>
                <w:szCs w:val="21"/>
              </w:rPr>
              <w:t>41.0</w:t>
            </w:r>
          </w:p>
        </w:tc>
        <w:tc>
          <w:tcPr>
            <w:tcW w:w="513" w:type="dxa"/>
            <w:shd w:val="clear" w:color="auto" w:fill="FFFFFF"/>
            <w:tcMar>
              <w:top w:w="0" w:type="dxa"/>
              <w:left w:w="0" w:type="dxa"/>
              <w:bottom w:w="0" w:type="dxa"/>
              <w:right w:w="0" w:type="dxa"/>
            </w:tcMar>
            <w:vAlign w:val="center"/>
          </w:tcPr>
          <w:p w14:paraId="2E4413B2">
            <w:pPr>
              <w:autoSpaceDE w:val="0"/>
              <w:autoSpaceDN w:val="0"/>
              <w:jc w:val="center"/>
              <w:rPr>
                <w:rFonts w:hint="eastAsia" w:ascii="宋体" w:hAnsi="宋体" w:cs="宋体"/>
                <w:bCs/>
                <w:szCs w:val="21"/>
              </w:rPr>
            </w:pPr>
            <w:r>
              <w:rPr>
                <w:rFonts w:hint="eastAsia" w:ascii="宋体" w:hAnsi="宋体" w:cs="宋体"/>
                <w:bCs/>
                <w:szCs w:val="21"/>
              </w:rPr>
              <w:t>41.0</w:t>
            </w:r>
          </w:p>
        </w:tc>
        <w:tc>
          <w:tcPr>
            <w:tcW w:w="539" w:type="dxa"/>
            <w:shd w:val="clear" w:color="auto" w:fill="FFFFFF"/>
            <w:tcMar>
              <w:top w:w="0" w:type="dxa"/>
              <w:left w:w="0" w:type="dxa"/>
              <w:bottom w:w="0" w:type="dxa"/>
              <w:right w:w="0" w:type="dxa"/>
            </w:tcMar>
            <w:vAlign w:val="center"/>
          </w:tcPr>
          <w:p w14:paraId="04B4530F">
            <w:pPr>
              <w:autoSpaceDE w:val="0"/>
              <w:autoSpaceDN w:val="0"/>
              <w:jc w:val="center"/>
              <w:rPr>
                <w:rFonts w:hint="eastAsia" w:ascii="宋体" w:hAnsi="宋体" w:cs="宋体"/>
                <w:bCs/>
                <w:szCs w:val="21"/>
              </w:rPr>
            </w:pPr>
            <w:r>
              <w:rPr>
                <w:rFonts w:hint="eastAsia" w:ascii="宋体" w:hAnsi="宋体" w:cs="宋体"/>
                <w:bCs/>
                <w:szCs w:val="21"/>
              </w:rPr>
              <w:t>7.4</w:t>
            </w:r>
          </w:p>
        </w:tc>
        <w:tc>
          <w:tcPr>
            <w:tcW w:w="539" w:type="dxa"/>
            <w:shd w:val="clear" w:color="auto" w:fill="FFFFFF"/>
            <w:tcMar>
              <w:top w:w="0" w:type="dxa"/>
              <w:left w:w="0" w:type="dxa"/>
              <w:bottom w:w="0" w:type="dxa"/>
              <w:right w:w="0" w:type="dxa"/>
            </w:tcMar>
            <w:vAlign w:val="center"/>
          </w:tcPr>
          <w:p w14:paraId="14E30D31">
            <w:pPr>
              <w:autoSpaceDE w:val="0"/>
              <w:autoSpaceDN w:val="0"/>
              <w:jc w:val="center"/>
              <w:rPr>
                <w:rFonts w:hint="eastAsia" w:ascii="宋体" w:hAnsi="宋体" w:cs="宋体"/>
                <w:bCs/>
                <w:szCs w:val="21"/>
              </w:rPr>
            </w:pPr>
            <w:r>
              <w:rPr>
                <w:rFonts w:hint="eastAsia" w:ascii="宋体" w:hAnsi="宋体" w:cs="宋体"/>
                <w:bCs/>
                <w:szCs w:val="21"/>
              </w:rPr>
              <w:t>7.5</w:t>
            </w:r>
          </w:p>
        </w:tc>
        <w:tc>
          <w:tcPr>
            <w:tcW w:w="539" w:type="dxa"/>
            <w:shd w:val="clear" w:color="auto" w:fill="FFFFFF"/>
            <w:tcMar>
              <w:top w:w="0" w:type="dxa"/>
              <w:left w:w="0" w:type="dxa"/>
              <w:bottom w:w="0" w:type="dxa"/>
              <w:right w:w="0" w:type="dxa"/>
            </w:tcMar>
            <w:vAlign w:val="center"/>
          </w:tcPr>
          <w:p w14:paraId="657DC0C1">
            <w:pPr>
              <w:autoSpaceDE w:val="0"/>
              <w:autoSpaceDN w:val="0"/>
              <w:jc w:val="center"/>
              <w:rPr>
                <w:rFonts w:hint="eastAsia" w:ascii="宋体" w:hAnsi="宋体" w:cs="宋体"/>
                <w:bCs/>
                <w:szCs w:val="21"/>
              </w:rPr>
            </w:pPr>
            <w:r>
              <w:rPr>
                <w:rFonts w:hint="eastAsia" w:ascii="宋体" w:hAnsi="宋体" w:cs="宋体"/>
                <w:bCs/>
                <w:szCs w:val="21"/>
              </w:rPr>
              <w:t>7.6</w:t>
            </w:r>
          </w:p>
        </w:tc>
        <w:tc>
          <w:tcPr>
            <w:tcW w:w="540" w:type="dxa"/>
            <w:shd w:val="clear" w:color="auto" w:fill="FFFFFF"/>
            <w:tcMar>
              <w:top w:w="0" w:type="dxa"/>
              <w:left w:w="0" w:type="dxa"/>
              <w:bottom w:w="0" w:type="dxa"/>
              <w:right w:w="0" w:type="dxa"/>
            </w:tcMar>
            <w:vAlign w:val="center"/>
          </w:tcPr>
          <w:p w14:paraId="24588F8C">
            <w:pPr>
              <w:autoSpaceDE w:val="0"/>
              <w:autoSpaceDN w:val="0"/>
              <w:jc w:val="center"/>
              <w:rPr>
                <w:rFonts w:hint="eastAsia" w:ascii="宋体" w:hAnsi="宋体" w:cs="宋体"/>
                <w:bCs/>
                <w:szCs w:val="21"/>
              </w:rPr>
            </w:pPr>
            <w:r>
              <w:rPr>
                <w:rFonts w:hint="eastAsia" w:ascii="宋体" w:hAnsi="宋体" w:cs="宋体"/>
                <w:bCs/>
                <w:szCs w:val="21"/>
              </w:rPr>
              <w:t>7.4</w:t>
            </w:r>
          </w:p>
        </w:tc>
        <w:tc>
          <w:tcPr>
            <w:tcW w:w="619" w:type="dxa"/>
            <w:shd w:val="clear" w:color="auto" w:fill="FFFFFF"/>
            <w:tcMar>
              <w:top w:w="0" w:type="dxa"/>
              <w:left w:w="0" w:type="dxa"/>
              <w:bottom w:w="0" w:type="dxa"/>
              <w:right w:w="0" w:type="dxa"/>
            </w:tcMar>
            <w:vAlign w:val="center"/>
          </w:tcPr>
          <w:p w14:paraId="7487A2C2">
            <w:pPr>
              <w:autoSpaceDE w:val="0"/>
              <w:autoSpaceDN w:val="0"/>
              <w:jc w:val="center"/>
              <w:rPr>
                <w:rFonts w:hint="eastAsia" w:ascii="宋体" w:hAnsi="宋体" w:cs="宋体"/>
                <w:bCs/>
                <w:szCs w:val="21"/>
              </w:rPr>
            </w:pPr>
            <w:r>
              <w:rPr>
                <w:rFonts w:hint="eastAsia" w:ascii="宋体" w:hAnsi="宋体" w:cs="宋体"/>
                <w:bCs/>
                <w:szCs w:val="21"/>
              </w:rPr>
              <w:t>1</w:t>
            </w:r>
          </w:p>
        </w:tc>
      </w:tr>
      <w:bookmarkEnd w:id="306"/>
    </w:tbl>
    <w:p w14:paraId="32D29365">
      <w:pPr>
        <w:rPr>
          <w:color w:val="000000"/>
        </w:rPr>
        <w:sectPr>
          <w:pgSz w:w="16838" w:h="11906" w:orient="landscape"/>
          <w:pgMar w:top="1417" w:right="1440" w:bottom="1417" w:left="1440" w:header="851" w:footer="992" w:gutter="0"/>
          <w:pgBorders>
            <w:top w:val="none" w:sz="0" w:space="0"/>
            <w:left w:val="none" w:sz="0" w:space="0"/>
            <w:bottom w:val="none" w:sz="0" w:space="0"/>
            <w:right w:val="none" w:sz="0" w:space="0"/>
          </w:pgBorders>
          <w:cols w:space="720" w:num="1"/>
          <w:docGrid w:type="lines" w:linePitch="312" w:charSpace="0"/>
        </w:sectPr>
      </w:pPr>
      <w:r>
        <w:rPr>
          <w:color w:val="000000"/>
        </w:rPr>
        <w:t>表中坐标以厂界中心为坐标原点，正东向为X轴正方向，正北向为Y轴正方向</w:t>
      </w:r>
    </w:p>
    <w:p w14:paraId="536D6601">
      <w:pPr>
        <w:pStyle w:val="5"/>
        <w:rPr>
          <w:rFonts w:ascii="Times New Roman" w:hAnsi="Times New Roman"/>
          <w:color w:val="000000"/>
          <w:lang w:val="en-US"/>
        </w:rPr>
      </w:pPr>
      <w:bookmarkStart w:id="307" w:name="_Toc24407"/>
      <w:bookmarkStart w:id="308" w:name="_Toc14127"/>
      <w:bookmarkStart w:id="309" w:name="_Toc29725"/>
      <w:bookmarkStart w:id="310" w:name="_Toc26220"/>
      <w:bookmarkStart w:id="311" w:name="_Toc275162202"/>
      <w:r>
        <w:rPr>
          <w:rFonts w:hint="eastAsia" w:ascii="Times New Roman" w:hAnsi="Times New Roman"/>
          <w:color w:val="000000"/>
          <w:lang w:val="en-US"/>
        </w:rPr>
        <w:t>5.2.3.3评价标准</w:t>
      </w:r>
    </w:p>
    <w:p w14:paraId="26EF05D0">
      <w:pPr>
        <w:widowControl/>
        <w:spacing w:line="360" w:lineRule="auto"/>
        <w:ind w:firstLine="480" w:firstLineChars="200"/>
        <w:rPr>
          <w:rFonts w:hint="eastAsia" w:ascii="宋体" w:hAnsi="宋体" w:cs="宋体"/>
          <w:color w:val="000000"/>
          <w:kern w:val="0"/>
          <w:sz w:val="24"/>
          <w:szCs w:val="24"/>
        </w:rPr>
      </w:pPr>
      <w:r>
        <w:rPr>
          <w:rFonts w:hint="eastAsia" w:ascii="宋体" w:hAnsi="宋体" w:cs="宋体"/>
          <w:color w:val="000000"/>
          <w:kern w:val="0"/>
          <w:sz w:val="24"/>
          <w:szCs w:val="24"/>
          <w:lang w:val="zh-CN"/>
        </w:rPr>
        <w:t>项目所在地应执行《工业企业厂界环境噪声排放标准》（GB12348-2008）中的2类，即</w:t>
      </w:r>
      <w:r>
        <w:rPr>
          <w:rFonts w:hint="eastAsia" w:ascii="宋体" w:hAnsi="宋体" w:cs="宋体"/>
          <w:color w:val="000000"/>
          <w:kern w:val="0"/>
          <w:sz w:val="24"/>
          <w:szCs w:val="24"/>
        </w:rPr>
        <w:t>2类：</w:t>
      </w:r>
      <w:r>
        <w:rPr>
          <w:rFonts w:hint="eastAsia" w:ascii="宋体" w:hAnsi="宋体" w:cs="宋体"/>
          <w:color w:val="000000"/>
          <w:kern w:val="0"/>
          <w:sz w:val="24"/>
          <w:szCs w:val="24"/>
          <w:lang w:val="zh-CN"/>
        </w:rPr>
        <w:t>昼间≤60dB(A)、夜间≤50dB(A)。</w:t>
      </w:r>
    </w:p>
    <w:p w14:paraId="3ABEC10C">
      <w:pPr>
        <w:pStyle w:val="5"/>
        <w:rPr>
          <w:rFonts w:ascii="Times New Roman" w:hAnsi="Times New Roman"/>
          <w:color w:val="000000"/>
          <w:lang w:val="en-US"/>
        </w:rPr>
      </w:pPr>
      <w:r>
        <w:rPr>
          <w:rFonts w:hint="eastAsia" w:ascii="Times New Roman" w:hAnsi="Times New Roman"/>
          <w:color w:val="000000"/>
          <w:lang w:val="en-US"/>
        </w:rPr>
        <w:t>5.2.3.4预测模式</w:t>
      </w:r>
      <w:bookmarkEnd w:id="307"/>
      <w:bookmarkEnd w:id="308"/>
      <w:bookmarkEnd w:id="309"/>
      <w:bookmarkEnd w:id="310"/>
      <w:bookmarkEnd w:id="311"/>
    </w:p>
    <w:p w14:paraId="4300C3F3">
      <w:pPr>
        <w:widowControl/>
        <w:spacing w:line="360" w:lineRule="auto"/>
        <w:ind w:firstLine="480" w:firstLineChars="200"/>
        <w:rPr>
          <w:rFonts w:hint="eastAsia" w:ascii="宋体" w:hAnsi="宋体" w:cs="宋体"/>
          <w:color w:val="000000"/>
          <w:kern w:val="0"/>
          <w:sz w:val="24"/>
          <w:szCs w:val="24"/>
        </w:rPr>
      </w:pPr>
      <w:r>
        <w:rPr>
          <w:rFonts w:hint="eastAsia" w:ascii="宋体" w:hAnsi="宋体" w:cs="宋体"/>
          <w:color w:val="000000"/>
          <w:kern w:val="0"/>
          <w:sz w:val="24"/>
          <w:szCs w:val="24"/>
          <w:lang w:val="zh-CN"/>
        </w:rPr>
        <w:t>本项目</w:t>
      </w:r>
      <w:r>
        <w:rPr>
          <w:rFonts w:hint="eastAsia" w:ascii="宋体" w:hAnsi="宋体" w:cs="宋体"/>
          <w:color w:val="000000"/>
          <w:kern w:val="0"/>
          <w:sz w:val="24"/>
          <w:szCs w:val="24"/>
        </w:rPr>
        <w:t>所用</w:t>
      </w:r>
      <w:r>
        <w:rPr>
          <w:rFonts w:hint="eastAsia" w:ascii="宋体" w:hAnsi="宋体" w:cs="宋体"/>
          <w:color w:val="000000"/>
          <w:kern w:val="0"/>
          <w:sz w:val="24"/>
          <w:szCs w:val="24"/>
          <w:lang w:val="zh-CN"/>
        </w:rPr>
        <w:t>设备在运行时产生的噪声，通过所在车间（包括其他围护结构）的屏蔽效应、声源至受声点的距离衰减以及空气吸收衰减后到达受声点，受声点噪声值的预测应考虑以上三个主要因素。</w:t>
      </w:r>
      <w:r>
        <w:rPr>
          <w:rFonts w:hint="eastAsia" w:ascii="宋体" w:hAnsi="宋体" w:cs="宋体"/>
          <w:color w:val="000000"/>
          <w:kern w:val="0"/>
          <w:sz w:val="24"/>
          <w:szCs w:val="24"/>
        </w:rPr>
        <w:t>根据运营期各声源噪声排放特点，项目环评采用的模型为《环境影响评价技术导则  声环境》（HJ2.4.2021）附录A（规范性附录）户外声传播的衰减和附录B（规范性附录）中“B.1工业噪声预测计算模型”。</w:t>
      </w:r>
    </w:p>
    <w:p w14:paraId="0F6A0BE9">
      <w:pPr>
        <w:widowControl/>
        <w:spacing w:line="360" w:lineRule="auto"/>
        <w:ind w:firstLine="480" w:firstLineChars="200"/>
        <w:jc w:val="left"/>
        <w:rPr>
          <w:rFonts w:hint="eastAsia" w:ascii="宋体" w:hAnsi="宋体" w:cs="宋体"/>
          <w:color w:val="000000"/>
          <w:kern w:val="0"/>
          <w:sz w:val="24"/>
          <w:szCs w:val="24"/>
        </w:rPr>
      </w:pPr>
      <w:r>
        <w:rPr>
          <w:rFonts w:hint="eastAsia" w:ascii="宋体" w:hAnsi="宋体" w:cs="宋体"/>
          <w:color w:val="000000"/>
          <w:kern w:val="0"/>
          <w:sz w:val="24"/>
          <w:szCs w:val="24"/>
        </w:rPr>
        <w:t>（1）室外声源</w:t>
      </w:r>
    </w:p>
    <w:p w14:paraId="725799D2">
      <w:pPr>
        <w:widowControl/>
        <w:spacing w:line="360" w:lineRule="auto"/>
        <w:ind w:firstLine="480" w:firstLineChars="200"/>
        <w:jc w:val="left"/>
        <w:rPr>
          <w:rFonts w:hint="eastAsia" w:ascii="宋体" w:hAnsi="宋体" w:cs="宋体"/>
          <w:color w:val="000000"/>
          <w:kern w:val="0"/>
          <w:sz w:val="24"/>
          <w:szCs w:val="24"/>
        </w:rPr>
      </w:pPr>
      <w:r>
        <w:rPr>
          <w:rFonts w:hint="eastAsia" w:ascii="宋体" w:hAnsi="宋体" w:cs="宋体"/>
          <w:color w:val="000000"/>
          <w:kern w:val="0"/>
          <w:sz w:val="24"/>
          <w:szCs w:val="24"/>
        </w:rPr>
        <w:t>室外声源在预测点产生的声级计算模型采用《环境影响评价技术导则  声环境》（HJ2.4-2021）中推荐的点声源衰减模式，计算公式如下：</w:t>
      </w:r>
    </w:p>
    <w:p w14:paraId="25B505A0">
      <w:pPr>
        <w:widowControl/>
        <w:spacing w:line="360" w:lineRule="auto"/>
        <w:ind w:firstLine="480" w:firstLineChars="200"/>
        <w:jc w:val="center"/>
        <w:rPr>
          <w:color w:val="000000"/>
          <w:kern w:val="0"/>
          <w:sz w:val="24"/>
          <w:szCs w:val="24"/>
        </w:rPr>
      </w:pPr>
      <w:r>
        <w:rPr>
          <w:color w:val="000000"/>
          <w:kern w:val="0"/>
          <w:position w:val="-14"/>
          <w:sz w:val="24"/>
          <w:szCs w:val="24"/>
        </w:rPr>
        <w:object>
          <v:shape id="_x0000_i1027" o:spt="75" type="#_x0000_t75" style="height:19.1pt;width:202.35pt;" o:ole="t" filled="f" o:preferrelative="t" stroked="f" coordsize="21600,21600">
            <v:path/>
            <v:fill on="f" focussize="0,0"/>
            <v:stroke on="f" joinstyle="miter"/>
            <v:imagedata r:id="rId40" o:title=""/>
            <o:lock v:ext="edit" aspectratio="t"/>
            <w10:wrap type="none"/>
            <w10:anchorlock/>
          </v:shape>
          <o:OLEObject Type="Embed" ProgID="Equation.KSEE3" ShapeID="_x0000_i1027" DrawAspect="Content" ObjectID="_1468075729" r:id="rId39">
            <o:LockedField>false</o:LockedField>
          </o:OLEObject>
        </w:object>
      </w:r>
    </w:p>
    <w:p w14:paraId="2CA59A2D">
      <w:pPr>
        <w:widowControl/>
        <w:spacing w:line="360" w:lineRule="auto"/>
        <w:ind w:firstLine="480" w:firstLineChars="200"/>
        <w:jc w:val="left"/>
        <w:rPr>
          <w:color w:val="000000"/>
          <w:kern w:val="0"/>
          <w:sz w:val="24"/>
          <w:szCs w:val="24"/>
        </w:rPr>
      </w:pPr>
      <w:r>
        <w:rPr>
          <w:rFonts w:hint="eastAsia"/>
          <w:color w:val="000000"/>
          <w:kern w:val="0"/>
          <w:sz w:val="24"/>
          <w:szCs w:val="24"/>
        </w:rPr>
        <w:t>式中：L</w:t>
      </w:r>
      <w:r>
        <w:rPr>
          <w:rFonts w:hint="eastAsia"/>
          <w:color w:val="000000"/>
          <w:kern w:val="0"/>
          <w:sz w:val="24"/>
          <w:szCs w:val="24"/>
          <w:vertAlign w:val="subscript"/>
        </w:rPr>
        <w:t>p</w:t>
      </w:r>
      <w:r>
        <w:rPr>
          <w:rFonts w:hint="eastAsia"/>
          <w:color w:val="000000"/>
          <w:kern w:val="0"/>
          <w:sz w:val="24"/>
          <w:szCs w:val="24"/>
        </w:rPr>
        <w:t>（r）</w:t>
      </w:r>
      <w:r>
        <w:rPr>
          <w:color w:val="000000"/>
          <w:kern w:val="0"/>
          <w:sz w:val="24"/>
          <w:szCs w:val="24"/>
        </w:rPr>
        <w:t>——</w:t>
      </w:r>
      <w:r>
        <w:rPr>
          <w:rFonts w:hint="eastAsia"/>
          <w:color w:val="000000"/>
          <w:kern w:val="0"/>
          <w:sz w:val="24"/>
          <w:szCs w:val="24"/>
        </w:rPr>
        <w:t>预测点处声压级；</w:t>
      </w:r>
    </w:p>
    <w:p w14:paraId="68187C06">
      <w:pPr>
        <w:widowControl/>
        <w:spacing w:line="360" w:lineRule="auto"/>
        <w:ind w:firstLine="1200" w:firstLineChars="500"/>
        <w:jc w:val="left"/>
        <w:rPr>
          <w:color w:val="000000"/>
          <w:kern w:val="0"/>
          <w:sz w:val="24"/>
          <w:szCs w:val="24"/>
        </w:rPr>
      </w:pPr>
      <w:r>
        <w:rPr>
          <w:rFonts w:hint="eastAsia"/>
          <w:color w:val="000000"/>
          <w:kern w:val="0"/>
          <w:sz w:val="24"/>
          <w:szCs w:val="24"/>
        </w:rPr>
        <w:t>L</w:t>
      </w:r>
      <w:r>
        <w:rPr>
          <w:rFonts w:hint="eastAsia"/>
          <w:color w:val="000000"/>
          <w:kern w:val="0"/>
          <w:sz w:val="24"/>
          <w:szCs w:val="24"/>
          <w:vertAlign w:val="subscript"/>
        </w:rPr>
        <w:t>w</w:t>
      </w:r>
      <w:r>
        <w:rPr>
          <w:color w:val="000000"/>
          <w:kern w:val="0"/>
          <w:sz w:val="24"/>
          <w:szCs w:val="24"/>
        </w:rPr>
        <w:t>——</w:t>
      </w:r>
      <w:r>
        <w:rPr>
          <w:rFonts w:hint="eastAsia"/>
          <w:color w:val="000000"/>
          <w:kern w:val="0"/>
          <w:sz w:val="24"/>
          <w:szCs w:val="24"/>
        </w:rPr>
        <w:t>由点声源产生的声功率级（A计权或倍频带），dB；</w:t>
      </w:r>
    </w:p>
    <w:p w14:paraId="0E5ADD8E">
      <w:pPr>
        <w:widowControl/>
        <w:spacing w:line="360" w:lineRule="auto"/>
        <w:ind w:firstLine="1200" w:firstLineChars="500"/>
        <w:jc w:val="left"/>
        <w:rPr>
          <w:color w:val="000000"/>
          <w:kern w:val="0"/>
          <w:sz w:val="24"/>
          <w:szCs w:val="24"/>
        </w:rPr>
      </w:pPr>
      <w:r>
        <w:rPr>
          <w:rFonts w:hint="eastAsia"/>
          <w:color w:val="000000"/>
          <w:kern w:val="0"/>
          <w:sz w:val="24"/>
          <w:szCs w:val="24"/>
        </w:rPr>
        <w:t>D</w:t>
      </w:r>
      <w:r>
        <w:rPr>
          <w:rFonts w:hint="eastAsia"/>
          <w:color w:val="000000"/>
          <w:kern w:val="0"/>
          <w:sz w:val="24"/>
          <w:szCs w:val="24"/>
          <w:vertAlign w:val="subscript"/>
        </w:rPr>
        <w:t>c</w:t>
      </w:r>
      <w:r>
        <w:rPr>
          <w:color w:val="000000"/>
          <w:kern w:val="0"/>
          <w:sz w:val="24"/>
          <w:szCs w:val="24"/>
        </w:rPr>
        <w:t>——</w:t>
      </w:r>
      <w:r>
        <w:rPr>
          <w:rFonts w:hint="eastAsia"/>
          <w:color w:val="000000"/>
          <w:kern w:val="0"/>
          <w:sz w:val="24"/>
          <w:szCs w:val="24"/>
        </w:rPr>
        <w:t>指向性校正，它描述点声源的等效连续声压级与产生声功率级Lw的全向点声源在规定方向的声级的偏差程度，dB；</w:t>
      </w:r>
    </w:p>
    <w:p w14:paraId="4EF24F3A">
      <w:pPr>
        <w:widowControl/>
        <w:spacing w:line="360" w:lineRule="auto"/>
        <w:ind w:firstLine="1200" w:firstLineChars="500"/>
        <w:jc w:val="left"/>
        <w:rPr>
          <w:color w:val="000000"/>
          <w:kern w:val="0"/>
          <w:sz w:val="24"/>
          <w:szCs w:val="24"/>
        </w:rPr>
      </w:pPr>
      <w:r>
        <w:rPr>
          <w:rFonts w:hint="eastAsia"/>
          <w:color w:val="000000"/>
          <w:kern w:val="0"/>
          <w:sz w:val="24"/>
          <w:szCs w:val="24"/>
        </w:rPr>
        <w:t>A</w:t>
      </w:r>
      <w:r>
        <w:rPr>
          <w:rFonts w:hint="eastAsia"/>
          <w:color w:val="000000"/>
          <w:kern w:val="0"/>
          <w:sz w:val="24"/>
          <w:szCs w:val="24"/>
          <w:vertAlign w:val="subscript"/>
        </w:rPr>
        <w:t>div</w:t>
      </w:r>
      <w:r>
        <w:rPr>
          <w:color w:val="000000"/>
          <w:kern w:val="0"/>
          <w:sz w:val="24"/>
          <w:szCs w:val="24"/>
        </w:rPr>
        <w:t>——</w:t>
      </w:r>
      <w:r>
        <w:rPr>
          <w:rFonts w:hint="eastAsia"/>
          <w:color w:val="000000"/>
          <w:kern w:val="0"/>
          <w:sz w:val="24"/>
          <w:szCs w:val="24"/>
        </w:rPr>
        <w:t>几何发散引起的衰减，dB；</w:t>
      </w:r>
    </w:p>
    <w:p w14:paraId="40D63837">
      <w:pPr>
        <w:widowControl/>
        <w:spacing w:line="360" w:lineRule="auto"/>
        <w:ind w:firstLine="1200" w:firstLineChars="500"/>
        <w:jc w:val="left"/>
        <w:rPr>
          <w:color w:val="000000"/>
          <w:kern w:val="0"/>
          <w:sz w:val="24"/>
          <w:szCs w:val="24"/>
        </w:rPr>
      </w:pPr>
      <w:r>
        <w:rPr>
          <w:rFonts w:hint="eastAsia"/>
          <w:color w:val="000000"/>
          <w:kern w:val="0"/>
          <w:sz w:val="24"/>
          <w:szCs w:val="24"/>
        </w:rPr>
        <w:t>A</w:t>
      </w:r>
      <w:r>
        <w:rPr>
          <w:rFonts w:hint="eastAsia"/>
          <w:color w:val="000000"/>
          <w:kern w:val="0"/>
          <w:sz w:val="24"/>
          <w:szCs w:val="24"/>
          <w:vertAlign w:val="subscript"/>
        </w:rPr>
        <w:t>atm</w:t>
      </w:r>
      <w:r>
        <w:rPr>
          <w:color w:val="000000"/>
          <w:kern w:val="0"/>
          <w:sz w:val="24"/>
          <w:szCs w:val="24"/>
        </w:rPr>
        <w:t>——</w:t>
      </w:r>
      <w:r>
        <w:rPr>
          <w:rFonts w:hint="eastAsia"/>
          <w:color w:val="000000"/>
          <w:kern w:val="0"/>
          <w:sz w:val="24"/>
          <w:szCs w:val="24"/>
        </w:rPr>
        <w:t>大气吸收引起的衰减，dB；</w:t>
      </w:r>
    </w:p>
    <w:p w14:paraId="75376F24">
      <w:pPr>
        <w:widowControl/>
        <w:spacing w:line="360" w:lineRule="auto"/>
        <w:ind w:firstLine="1200" w:firstLineChars="500"/>
        <w:jc w:val="left"/>
        <w:rPr>
          <w:color w:val="000000"/>
          <w:kern w:val="0"/>
          <w:sz w:val="24"/>
          <w:szCs w:val="24"/>
        </w:rPr>
      </w:pPr>
      <w:r>
        <w:rPr>
          <w:rFonts w:hint="eastAsia"/>
          <w:color w:val="000000"/>
          <w:kern w:val="0"/>
          <w:sz w:val="24"/>
          <w:szCs w:val="24"/>
        </w:rPr>
        <w:t>A</w:t>
      </w:r>
      <w:r>
        <w:rPr>
          <w:rFonts w:hint="eastAsia"/>
          <w:color w:val="000000"/>
          <w:kern w:val="0"/>
          <w:sz w:val="24"/>
          <w:szCs w:val="24"/>
          <w:vertAlign w:val="subscript"/>
        </w:rPr>
        <w:t>gr</w:t>
      </w:r>
      <w:r>
        <w:rPr>
          <w:color w:val="000000"/>
          <w:kern w:val="0"/>
          <w:sz w:val="24"/>
          <w:szCs w:val="24"/>
        </w:rPr>
        <w:t>——</w:t>
      </w:r>
      <w:r>
        <w:rPr>
          <w:rFonts w:hint="eastAsia"/>
          <w:color w:val="000000"/>
          <w:kern w:val="0"/>
          <w:sz w:val="24"/>
          <w:szCs w:val="24"/>
        </w:rPr>
        <w:t>地面效应引起的衰减，dB；</w:t>
      </w:r>
    </w:p>
    <w:p w14:paraId="6AAFBE1F">
      <w:pPr>
        <w:widowControl/>
        <w:spacing w:line="360" w:lineRule="auto"/>
        <w:ind w:firstLine="1200" w:firstLineChars="500"/>
        <w:jc w:val="left"/>
        <w:rPr>
          <w:color w:val="000000"/>
          <w:kern w:val="0"/>
          <w:sz w:val="24"/>
          <w:szCs w:val="24"/>
        </w:rPr>
      </w:pPr>
      <w:r>
        <w:rPr>
          <w:rFonts w:hint="eastAsia"/>
          <w:color w:val="000000"/>
          <w:kern w:val="0"/>
          <w:sz w:val="24"/>
          <w:szCs w:val="24"/>
        </w:rPr>
        <w:t>A</w:t>
      </w:r>
      <w:r>
        <w:rPr>
          <w:rFonts w:hint="eastAsia"/>
          <w:color w:val="000000"/>
          <w:kern w:val="0"/>
          <w:sz w:val="24"/>
          <w:szCs w:val="24"/>
          <w:vertAlign w:val="subscript"/>
        </w:rPr>
        <w:t>bar</w:t>
      </w:r>
      <w:r>
        <w:rPr>
          <w:color w:val="000000"/>
          <w:kern w:val="0"/>
          <w:sz w:val="24"/>
          <w:szCs w:val="24"/>
        </w:rPr>
        <w:t>——</w:t>
      </w:r>
      <w:r>
        <w:rPr>
          <w:rFonts w:hint="eastAsia"/>
          <w:color w:val="000000"/>
          <w:kern w:val="0"/>
          <w:sz w:val="24"/>
          <w:szCs w:val="24"/>
        </w:rPr>
        <w:t>障碍物屏蔽引起的衰减，dB；</w:t>
      </w:r>
    </w:p>
    <w:p w14:paraId="731DA9D0">
      <w:pPr>
        <w:widowControl/>
        <w:spacing w:line="360" w:lineRule="auto"/>
        <w:ind w:firstLine="1200" w:firstLineChars="500"/>
        <w:jc w:val="left"/>
        <w:rPr>
          <w:color w:val="000000"/>
          <w:kern w:val="0"/>
          <w:sz w:val="24"/>
          <w:szCs w:val="24"/>
        </w:rPr>
      </w:pPr>
      <w:r>
        <w:rPr>
          <w:rFonts w:hint="eastAsia"/>
          <w:color w:val="000000"/>
          <w:kern w:val="0"/>
          <w:sz w:val="24"/>
          <w:szCs w:val="24"/>
        </w:rPr>
        <w:t>A</w:t>
      </w:r>
      <w:r>
        <w:rPr>
          <w:rFonts w:hint="eastAsia"/>
          <w:color w:val="000000"/>
          <w:kern w:val="0"/>
          <w:sz w:val="24"/>
          <w:szCs w:val="24"/>
          <w:vertAlign w:val="subscript"/>
        </w:rPr>
        <w:t>misc</w:t>
      </w:r>
      <w:r>
        <w:rPr>
          <w:color w:val="000000"/>
          <w:kern w:val="0"/>
          <w:sz w:val="24"/>
          <w:szCs w:val="24"/>
        </w:rPr>
        <w:t>——</w:t>
      </w:r>
      <w:r>
        <w:rPr>
          <w:rFonts w:hint="eastAsia"/>
          <w:color w:val="000000"/>
          <w:kern w:val="0"/>
          <w:sz w:val="24"/>
          <w:szCs w:val="24"/>
        </w:rPr>
        <w:t>其他多方面效应引起的衰减，dB。</w:t>
      </w:r>
    </w:p>
    <w:p w14:paraId="540888BF">
      <w:pPr>
        <w:widowControl/>
        <w:spacing w:line="360" w:lineRule="auto"/>
        <w:ind w:firstLine="480" w:firstLineChars="200"/>
        <w:rPr>
          <w:color w:val="000000"/>
          <w:kern w:val="0"/>
          <w:sz w:val="24"/>
          <w:szCs w:val="24"/>
        </w:rPr>
      </w:pPr>
      <w:r>
        <w:rPr>
          <w:color w:val="000000"/>
          <w:kern w:val="0"/>
          <w:sz w:val="24"/>
          <w:szCs w:val="24"/>
        </w:rPr>
        <w:t>（2）室内声源</w:t>
      </w:r>
    </w:p>
    <w:p w14:paraId="6672EEB6">
      <w:pPr>
        <w:widowControl/>
        <w:spacing w:line="360" w:lineRule="auto"/>
        <w:ind w:firstLine="480" w:firstLineChars="200"/>
        <w:rPr>
          <w:color w:val="000000"/>
          <w:kern w:val="0"/>
          <w:sz w:val="24"/>
          <w:szCs w:val="24"/>
        </w:rPr>
      </w:pPr>
      <w:r>
        <w:rPr>
          <w:color w:val="000000"/>
          <w:kern w:val="0"/>
          <w:sz w:val="24"/>
          <w:szCs w:val="24"/>
          <w:lang w:val="zh-CN"/>
        </w:rPr>
        <w:t>①计算某个室</w:t>
      </w:r>
      <w:r>
        <w:rPr>
          <w:color w:val="000000"/>
          <w:kern w:val="0"/>
          <w:sz w:val="24"/>
          <w:szCs w:val="24"/>
        </w:rPr>
        <w:t>内声源在靠近围护结构处的倍频带声压级：</w:t>
      </w:r>
    </w:p>
    <w:p w14:paraId="623CA876">
      <w:pPr>
        <w:widowControl/>
        <w:wordWrap w:val="0"/>
        <w:topLinePunct/>
        <w:adjustRightInd w:val="0"/>
        <w:snapToGrid w:val="0"/>
        <w:spacing w:line="360" w:lineRule="auto"/>
        <w:ind w:firstLine="480" w:firstLineChars="200"/>
        <w:textAlignment w:val="baseline"/>
        <w:rPr>
          <w:b/>
          <w:bCs/>
          <w:color w:val="000000"/>
          <w:kern w:val="0"/>
          <w:sz w:val="24"/>
          <w:szCs w:val="24"/>
        </w:rPr>
      </w:pPr>
      <w:r>
        <w:rPr>
          <w:color w:val="000000"/>
          <w:kern w:val="0"/>
          <w:sz w:val="24"/>
          <w:szCs w:val="24"/>
        </w:rPr>
        <w:drawing>
          <wp:anchor distT="0" distB="0" distL="114300" distR="114300" simplePos="0" relativeHeight="251701248" behindDoc="1" locked="0" layoutInCell="1" allowOverlap="1">
            <wp:simplePos x="0" y="0"/>
            <wp:positionH relativeFrom="column">
              <wp:posOffset>1794510</wp:posOffset>
            </wp:positionH>
            <wp:positionV relativeFrom="paragraph">
              <wp:posOffset>-45085</wp:posOffset>
            </wp:positionV>
            <wp:extent cx="1701800" cy="508000"/>
            <wp:effectExtent l="0" t="0" r="0" b="0"/>
            <wp:wrapNone/>
            <wp:docPr id="56" name="对象 2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对象 210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a:xfrm>
                      <a:off x="0" y="0"/>
                      <a:ext cx="1701800" cy="508000"/>
                    </a:xfrm>
                    <a:prstGeom prst="rect">
                      <a:avLst/>
                    </a:prstGeom>
                    <a:noFill/>
                  </pic:spPr>
                </pic:pic>
              </a:graphicData>
            </a:graphic>
          </wp:anchor>
        </w:drawing>
      </w:r>
    </w:p>
    <w:p w14:paraId="4C17A9BB">
      <w:pPr>
        <w:widowControl/>
        <w:wordWrap w:val="0"/>
        <w:topLinePunct/>
        <w:adjustRightInd w:val="0"/>
        <w:snapToGrid w:val="0"/>
        <w:spacing w:line="360" w:lineRule="auto"/>
        <w:ind w:firstLine="480" w:firstLineChars="200"/>
        <w:textAlignment w:val="baseline"/>
        <w:rPr>
          <w:color w:val="000000"/>
          <w:kern w:val="0"/>
          <w:sz w:val="24"/>
          <w:szCs w:val="24"/>
        </w:rPr>
      </w:pPr>
    </w:p>
    <w:p w14:paraId="42D7563B">
      <w:pPr>
        <w:widowControl/>
        <w:spacing w:line="360" w:lineRule="auto"/>
        <w:ind w:firstLine="480" w:firstLineChars="200"/>
        <w:jc w:val="left"/>
        <w:rPr>
          <w:color w:val="000000"/>
          <w:kern w:val="0"/>
          <w:sz w:val="24"/>
          <w:szCs w:val="24"/>
        </w:rPr>
      </w:pPr>
      <w:r>
        <w:rPr>
          <w:color w:val="000000"/>
          <w:kern w:val="0"/>
          <w:sz w:val="24"/>
          <w:szCs w:val="24"/>
        </w:rPr>
        <w:t>式中：L</w:t>
      </w:r>
      <w:r>
        <w:rPr>
          <w:rFonts w:hint="eastAsia"/>
          <w:color w:val="000000"/>
          <w:kern w:val="0"/>
          <w:sz w:val="24"/>
          <w:szCs w:val="24"/>
        </w:rPr>
        <w:t>p</w:t>
      </w:r>
      <w:r>
        <w:rPr>
          <w:color w:val="000000"/>
          <w:kern w:val="0"/>
          <w:sz w:val="24"/>
          <w:szCs w:val="24"/>
        </w:rPr>
        <w:t>1——靠近开口处（或窗户）室内某倍频带的声压级或 A 声级，dB；</w:t>
      </w:r>
    </w:p>
    <w:p w14:paraId="5A13F378">
      <w:pPr>
        <w:widowControl/>
        <w:spacing w:line="360" w:lineRule="auto"/>
        <w:ind w:firstLine="960" w:firstLineChars="400"/>
        <w:jc w:val="left"/>
        <w:rPr>
          <w:color w:val="000000"/>
          <w:kern w:val="0"/>
          <w:sz w:val="24"/>
          <w:szCs w:val="24"/>
        </w:rPr>
      </w:pPr>
      <w:r>
        <w:rPr>
          <w:color w:val="000000"/>
          <w:kern w:val="0"/>
          <w:sz w:val="24"/>
          <w:szCs w:val="24"/>
        </w:rPr>
        <w:t>Lw ——点声源声功率级（A 计权或倍频带），dB；</w:t>
      </w:r>
    </w:p>
    <w:p w14:paraId="4A701ADC">
      <w:pPr>
        <w:widowControl/>
        <w:spacing w:line="360" w:lineRule="auto"/>
        <w:ind w:firstLine="960" w:firstLineChars="400"/>
        <w:jc w:val="left"/>
        <w:rPr>
          <w:color w:val="000000"/>
          <w:kern w:val="0"/>
          <w:sz w:val="24"/>
          <w:szCs w:val="24"/>
        </w:rPr>
      </w:pPr>
      <w:r>
        <w:rPr>
          <w:color w:val="000000"/>
          <w:kern w:val="0"/>
          <w:sz w:val="24"/>
          <w:szCs w:val="24"/>
        </w:rPr>
        <w:t>Q——指向性因数；通常对无指向性声源，当声源放在房间中心时，Q=1；当放在一面墙的中心时，Q=2；当放在两面墙夹角处时，Q=4；当放在三面墙夹角处时，Q=8；</w:t>
      </w:r>
    </w:p>
    <w:p w14:paraId="49C342B6">
      <w:pPr>
        <w:widowControl/>
        <w:spacing w:line="360" w:lineRule="auto"/>
        <w:ind w:firstLine="960" w:firstLineChars="400"/>
        <w:jc w:val="left"/>
        <w:rPr>
          <w:color w:val="000000"/>
          <w:kern w:val="0"/>
          <w:sz w:val="24"/>
          <w:szCs w:val="24"/>
        </w:rPr>
      </w:pPr>
      <w:r>
        <w:rPr>
          <w:color w:val="000000"/>
          <w:kern w:val="0"/>
          <w:sz w:val="24"/>
          <w:szCs w:val="24"/>
        </w:rPr>
        <w:t>R——房间常数；</w:t>
      </w:r>
      <w:r>
        <w:rPr>
          <w:rFonts w:hint="eastAsia"/>
          <w:color w:val="000000"/>
          <w:kern w:val="0"/>
          <w:sz w:val="24"/>
          <w:szCs w:val="24"/>
        </w:rPr>
        <w:t>R=</w:t>
      </w:r>
      <w:r>
        <w:rPr>
          <w:color w:val="000000"/>
          <w:kern w:val="0"/>
          <w:sz w:val="24"/>
          <w:szCs w:val="24"/>
        </w:rPr>
        <w:t>Sα/（1-α），S 为房间内表面面积，m</w:t>
      </w:r>
      <w:r>
        <w:rPr>
          <w:color w:val="000000"/>
          <w:kern w:val="0"/>
          <w:sz w:val="24"/>
          <w:szCs w:val="24"/>
          <w:vertAlign w:val="superscript"/>
        </w:rPr>
        <w:t>2</w:t>
      </w:r>
      <w:r>
        <w:rPr>
          <w:color w:val="000000"/>
          <w:kern w:val="0"/>
          <w:sz w:val="24"/>
          <w:szCs w:val="24"/>
        </w:rPr>
        <w:t>；α为平均吸声系数；</w:t>
      </w:r>
    </w:p>
    <w:p w14:paraId="62E32352">
      <w:pPr>
        <w:widowControl/>
        <w:spacing w:line="360" w:lineRule="auto"/>
        <w:ind w:firstLine="960" w:firstLineChars="400"/>
        <w:jc w:val="left"/>
        <w:rPr>
          <w:color w:val="000000"/>
          <w:kern w:val="0"/>
          <w:sz w:val="24"/>
          <w:szCs w:val="24"/>
        </w:rPr>
      </w:pPr>
      <w:r>
        <w:rPr>
          <w:color w:val="000000"/>
          <w:kern w:val="0"/>
          <w:sz w:val="24"/>
          <w:szCs w:val="24"/>
        </w:rPr>
        <w:t>r ——声源到靠近围护结构某点处的距离，m。</w:t>
      </w:r>
    </w:p>
    <w:p w14:paraId="3ECEED83">
      <w:pPr>
        <w:widowControl/>
        <w:spacing w:line="360" w:lineRule="auto"/>
        <w:ind w:firstLine="480" w:firstLineChars="200"/>
        <w:jc w:val="left"/>
        <w:rPr>
          <w:color w:val="000000"/>
          <w:kern w:val="0"/>
          <w:sz w:val="24"/>
          <w:szCs w:val="24"/>
        </w:rPr>
      </w:pPr>
      <w:r>
        <w:rPr>
          <w:color w:val="000000"/>
          <w:kern w:val="0"/>
          <w:sz w:val="24"/>
          <w:szCs w:val="24"/>
        </w:rPr>
        <w:t>②计算所有室内声源在靠近围护结构处产生的</w:t>
      </w:r>
      <w:r>
        <w:rPr>
          <w:rFonts w:hint="eastAsia"/>
          <w:color w:val="000000"/>
          <w:kern w:val="0"/>
          <w:sz w:val="24"/>
          <w:szCs w:val="24"/>
        </w:rPr>
        <w:t>i</w:t>
      </w:r>
      <w:r>
        <w:rPr>
          <w:color w:val="000000"/>
          <w:kern w:val="0"/>
          <w:sz w:val="24"/>
          <w:szCs w:val="24"/>
        </w:rPr>
        <w:t>倍频带</w:t>
      </w:r>
      <w:r>
        <w:rPr>
          <w:rFonts w:hint="eastAsia"/>
          <w:color w:val="000000"/>
          <w:kern w:val="0"/>
          <w:sz w:val="24"/>
          <w:szCs w:val="24"/>
        </w:rPr>
        <w:t>叠加</w:t>
      </w:r>
      <w:r>
        <w:rPr>
          <w:color w:val="000000"/>
          <w:kern w:val="0"/>
          <w:sz w:val="24"/>
          <w:szCs w:val="24"/>
        </w:rPr>
        <w:t>声压级：</w:t>
      </w:r>
      <w:r>
        <w:rPr>
          <w:color w:val="000000"/>
          <w:kern w:val="0"/>
          <w:sz w:val="24"/>
          <w:szCs w:val="24"/>
        </w:rPr>
        <w:tab/>
      </w:r>
    </w:p>
    <w:p w14:paraId="237A8392">
      <w:pPr>
        <w:widowControl/>
        <w:spacing w:line="360" w:lineRule="auto"/>
        <w:ind w:firstLine="480" w:firstLineChars="200"/>
        <w:jc w:val="center"/>
        <w:rPr>
          <w:color w:val="000000"/>
          <w:kern w:val="0"/>
          <w:sz w:val="24"/>
          <w:szCs w:val="24"/>
        </w:rPr>
      </w:pPr>
      <w:r>
        <w:rPr>
          <w:color w:val="000000"/>
          <w:kern w:val="0"/>
          <w:position w:val="-32"/>
          <w:sz w:val="24"/>
          <w:szCs w:val="24"/>
        </w:rPr>
        <w:object>
          <v:shape id="_x0000_i1028" o:spt="75" type="#_x0000_t75" style="height:37.9pt;width:130pt;" o:ole="t" filled="f" o:preferrelative="t" stroked="f" coordsize="21600,21600">
            <v:path/>
            <v:fill on="f" focussize="0,0"/>
            <v:stroke on="f" joinstyle="miter"/>
            <v:imagedata r:id="rId43" o:title=""/>
            <o:lock v:ext="edit" aspectratio="t"/>
            <w10:wrap type="none"/>
            <w10:anchorlock/>
          </v:shape>
          <o:OLEObject Type="Embed" ProgID="Equation.3" ShapeID="_x0000_i1028" DrawAspect="Content" ObjectID="_1468075730" r:id="rId42">
            <o:LockedField>false</o:LockedField>
          </o:OLEObject>
        </w:object>
      </w:r>
    </w:p>
    <w:p w14:paraId="2E164EBC">
      <w:pPr>
        <w:widowControl/>
        <w:spacing w:line="360" w:lineRule="auto"/>
        <w:ind w:firstLine="480" w:firstLineChars="200"/>
        <w:jc w:val="left"/>
        <w:rPr>
          <w:color w:val="000000"/>
          <w:kern w:val="0"/>
          <w:sz w:val="24"/>
          <w:szCs w:val="24"/>
        </w:rPr>
      </w:pPr>
      <w:r>
        <w:rPr>
          <w:rFonts w:hint="eastAsia"/>
          <w:color w:val="000000"/>
          <w:kern w:val="0"/>
          <w:sz w:val="24"/>
          <w:szCs w:val="24"/>
        </w:rPr>
        <w:t>式中：</w:t>
      </w:r>
    </w:p>
    <w:p w14:paraId="28D73BD8">
      <w:pPr>
        <w:widowControl/>
        <w:spacing w:line="360" w:lineRule="auto"/>
        <w:ind w:firstLine="480" w:firstLineChars="200"/>
        <w:jc w:val="left"/>
        <w:rPr>
          <w:color w:val="000000"/>
          <w:kern w:val="0"/>
          <w:sz w:val="24"/>
          <w:szCs w:val="24"/>
        </w:rPr>
      </w:pPr>
      <w:r>
        <w:rPr>
          <w:rFonts w:hint="eastAsia"/>
          <w:color w:val="000000"/>
          <w:kern w:val="0"/>
          <w:sz w:val="24"/>
          <w:szCs w:val="24"/>
        </w:rPr>
        <w:t>  L</w:t>
      </w:r>
      <w:r>
        <w:rPr>
          <w:rFonts w:hint="eastAsia"/>
          <w:color w:val="000000"/>
          <w:kern w:val="0"/>
          <w:sz w:val="24"/>
          <w:szCs w:val="24"/>
          <w:vertAlign w:val="subscript"/>
        </w:rPr>
        <w:t>p1i</w:t>
      </w:r>
      <w:r>
        <w:rPr>
          <w:rFonts w:hint="eastAsia"/>
          <w:color w:val="000000"/>
          <w:kern w:val="0"/>
          <w:sz w:val="24"/>
          <w:szCs w:val="24"/>
        </w:rPr>
        <w:t>（T）</w:t>
      </w:r>
      <w:r>
        <w:rPr>
          <w:color w:val="000000"/>
          <w:kern w:val="0"/>
          <w:sz w:val="24"/>
          <w:szCs w:val="24"/>
        </w:rPr>
        <w:t>——</w:t>
      </w:r>
      <w:r>
        <w:rPr>
          <w:rFonts w:hint="eastAsia"/>
          <w:color w:val="000000"/>
          <w:kern w:val="0"/>
          <w:sz w:val="24"/>
          <w:szCs w:val="24"/>
        </w:rPr>
        <w:t>靠近围护结构处室内N个声源i倍频带的叠加声压级，dB；</w:t>
      </w:r>
    </w:p>
    <w:p w14:paraId="641F9420">
      <w:pPr>
        <w:widowControl/>
        <w:spacing w:line="360" w:lineRule="auto"/>
        <w:ind w:firstLine="1200" w:firstLineChars="500"/>
        <w:jc w:val="left"/>
        <w:rPr>
          <w:color w:val="000000"/>
          <w:kern w:val="0"/>
          <w:sz w:val="24"/>
          <w:szCs w:val="24"/>
        </w:rPr>
      </w:pPr>
      <w:r>
        <w:rPr>
          <w:rFonts w:hint="eastAsia"/>
          <w:color w:val="000000"/>
          <w:kern w:val="0"/>
          <w:sz w:val="24"/>
          <w:szCs w:val="24"/>
        </w:rPr>
        <w:t>L</w:t>
      </w:r>
      <w:r>
        <w:rPr>
          <w:rFonts w:hint="eastAsia"/>
          <w:color w:val="000000"/>
          <w:kern w:val="0"/>
          <w:sz w:val="24"/>
          <w:szCs w:val="24"/>
          <w:vertAlign w:val="subscript"/>
        </w:rPr>
        <w:t>p1ij</w:t>
      </w:r>
      <w:r>
        <w:rPr>
          <w:color w:val="000000"/>
          <w:kern w:val="0"/>
          <w:sz w:val="24"/>
          <w:szCs w:val="24"/>
        </w:rPr>
        <w:t>——</w:t>
      </w:r>
      <w:r>
        <w:rPr>
          <w:rFonts w:hint="eastAsia"/>
          <w:color w:val="000000"/>
          <w:kern w:val="0"/>
          <w:sz w:val="24"/>
          <w:szCs w:val="24"/>
        </w:rPr>
        <w:t>室内j声源i倍频带的声压级，dB；</w:t>
      </w:r>
    </w:p>
    <w:p w14:paraId="2A82747B">
      <w:pPr>
        <w:widowControl/>
        <w:spacing w:line="360" w:lineRule="auto"/>
        <w:ind w:firstLine="1200" w:firstLineChars="500"/>
        <w:jc w:val="left"/>
        <w:rPr>
          <w:color w:val="000000"/>
          <w:kern w:val="0"/>
          <w:sz w:val="24"/>
          <w:szCs w:val="24"/>
        </w:rPr>
      </w:pPr>
      <w:r>
        <w:rPr>
          <w:rFonts w:hint="eastAsia"/>
          <w:color w:val="000000"/>
          <w:kern w:val="0"/>
          <w:sz w:val="24"/>
          <w:szCs w:val="24"/>
        </w:rPr>
        <w:t>N</w:t>
      </w:r>
      <w:r>
        <w:rPr>
          <w:color w:val="000000"/>
          <w:kern w:val="0"/>
          <w:sz w:val="24"/>
          <w:szCs w:val="24"/>
        </w:rPr>
        <w:t>——</w:t>
      </w:r>
      <w:r>
        <w:rPr>
          <w:rFonts w:hint="eastAsia"/>
          <w:color w:val="000000"/>
          <w:kern w:val="0"/>
          <w:sz w:val="24"/>
          <w:szCs w:val="24"/>
        </w:rPr>
        <w:t>室内声源总数。</w:t>
      </w:r>
    </w:p>
    <w:p w14:paraId="69BB58E4">
      <w:pPr>
        <w:autoSpaceDE w:val="0"/>
        <w:autoSpaceDN w:val="0"/>
        <w:adjustRightInd w:val="0"/>
        <w:spacing w:before="78" w:beforeLines="25" w:line="336" w:lineRule="auto"/>
        <w:ind w:firstLine="480" w:firstLineChars="200"/>
        <w:textAlignment w:val="baseline"/>
        <w:rPr>
          <w:rFonts w:ascii="宋体"/>
          <w:color w:val="000000"/>
          <w:sz w:val="24"/>
          <w:szCs w:val="28"/>
        </w:rPr>
      </w:pPr>
      <w:r>
        <w:rPr>
          <w:rFonts w:ascii="宋体"/>
          <w:color w:val="000000"/>
          <w:sz w:val="24"/>
          <w:szCs w:val="28"/>
        </w:rPr>
        <w:t>③将室外声源的声压级和透过面积换算成等效的室外声源，计算出中心位置位于透声</w:t>
      </w:r>
      <w:r>
        <w:rPr>
          <w:color w:val="000000"/>
          <w:sz w:val="24"/>
          <w:szCs w:val="28"/>
        </w:rPr>
        <w:t>面积（S）</w:t>
      </w:r>
      <w:r>
        <w:rPr>
          <w:rFonts w:ascii="宋体"/>
          <w:color w:val="000000"/>
          <w:sz w:val="24"/>
          <w:szCs w:val="28"/>
        </w:rPr>
        <w:t>处的等效声源的倍频带声功率级：</w:t>
      </w:r>
    </w:p>
    <w:p w14:paraId="534E043C">
      <w:pPr>
        <w:autoSpaceDE w:val="0"/>
        <w:autoSpaceDN w:val="0"/>
        <w:adjustRightInd w:val="0"/>
        <w:spacing w:before="78" w:beforeLines="25" w:line="336" w:lineRule="auto"/>
        <w:ind w:firstLine="480" w:firstLineChars="200"/>
        <w:jc w:val="center"/>
        <w:textAlignment w:val="baseline"/>
        <w:rPr>
          <w:rFonts w:ascii="宋体"/>
          <w:color w:val="000000"/>
          <w:sz w:val="24"/>
          <w:szCs w:val="28"/>
        </w:rPr>
      </w:pPr>
      <w:r>
        <w:rPr>
          <w:rFonts w:ascii="宋体"/>
          <w:color w:val="000000"/>
          <w:position w:val="-14"/>
          <w:sz w:val="24"/>
          <w:szCs w:val="28"/>
        </w:rPr>
        <w:object>
          <v:shape id="_x0000_i1029" o:spt="75" type="#_x0000_t75" style="height:19.45pt;width:128.3pt;" o:ole="t" filled="f" o:preferrelative="t" stroked="f" coordsize="21600,21600">
            <v:path/>
            <v:fill on="f" focussize="0,0"/>
            <v:stroke on="f" joinstyle="miter"/>
            <v:imagedata r:id="rId45" o:title=""/>
            <o:lock v:ext="edit" aspectratio="t"/>
            <w10:wrap type="none"/>
            <w10:anchorlock/>
          </v:shape>
          <o:OLEObject Type="Embed" ProgID="Equation.3" ShapeID="_x0000_i1029" DrawAspect="Content" ObjectID="_1468075731" r:id="rId44">
            <o:LockedField>false</o:LockedField>
          </o:OLEObject>
        </w:object>
      </w:r>
    </w:p>
    <w:p w14:paraId="730550BA">
      <w:pPr>
        <w:widowControl/>
        <w:spacing w:line="360" w:lineRule="auto"/>
        <w:ind w:firstLine="480" w:firstLineChars="200"/>
        <w:jc w:val="left"/>
        <w:rPr>
          <w:color w:val="000000"/>
          <w:kern w:val="0"/>
          <w:sz w:val="24"/>
          <w:szCs w:val="24"/>
        </w:rPr>
      </w:pPr>
      <w:r>
        <w:rPr>
          <w:color w:val="000000"/>
          <w:kern w:val="0"/>
          <w:sz w:val="24"/>
          <w:szCs w:val="24"/>
        </w:rPr>
        <w:t>式中：Lw ——中心位置位于透声面积（S）处的等效声源的倍频带声功率级，dB；</w:t>
      </w:r>
    </w:p>
    <w:p w14:paraId="2DF6F518">
      <w:pPr>
        <w:widowControl/>
        <w:spacing w:line="360" w:lineRule="auto"/>
        <w:ind w:firstLine="1200" w:firstLineChars="500"/>
        <w:jc w:val="left"/>
        <w:rPr>
          <w:color w:val="000000"/>
          <w:kern w:val="0"/>
          <w:sz w:val="24"/>
          <w:szCs w:val="24"/>
        </w:rPr>
      </w:pPr>
      <w:r>
        <w:rPr>
          <w:color w:val="000000"/>
          <w:kern w:val="0"/>
          <w:sz w:val="24"/>
          <w:szCs w:val="24"/>
        </w:rPr>
        <w:t>Lp2(T)——靠近围护结构处室外声源的声压级，dB；</w:t>
      </w:r>
    </w:p>
    <w:p w14:paraId="76256791">
      <w:pPr>
        <w:widowControl/>
        <w:spacing w:line="360" w:lineRule="auto"/>
        <w:ind w:firstLine="1200" w:firstLineChars="500"/>
        <w:jc w:val="left"/>
        <w:rPr>
          <w:color w:val="000000"/>
          <w:kern w:val="0"/>
          <w:sz w:val="24"/>
          <w:szCs w:val="24"/>
        </w:rPr>
      </w:pPr>
      <w:r>
        <w:rPr>
          <w:color w:val="000000"/>
          <w:kern w:val="0"/>
          <w:sz w:val="24"/>
          <w:szCs w:val="24"/>
        </w:rPr>
        <w:t>S——透声面积，m</w:t>
      </w:r>
      <w:r>
        <w:rPr>
          <w:color w:val="000000"/>
          <w:kern w:val="0"/>
          <w:sz w:val="24"/>
          <w:szCs w:val="24"/>
          <w:vertAlign w:val="superscript"/>
        </w:rPr>
        <w:t>2</w:t>
      </w:r>
      <w:r>
        <w:rPr>
          <w:color w:val="000000"/>
          <w:kern w:val="0"/>
          <w:sz w:val="24"/>
          <w:szCs w:val="24"/>
        </w:rPr>
        <w:t>。</w:t>
      </w:r>
    </w:p>
    <w:p w14:paraId="14031B51">
      <w:pPr>
        <w:widowControl/>
        <w:spacing w:line="360" w:lineRule="auto"/>
        <w:ind w:left="420" w:leftChars="200"/>
        <w:jc w:val="left"/>
        <w:rPr>
          <w:color w:val="000000"/>
          <w:kern w:val="0"/>
          <w:sz w:val="24"/>
          <w:szCs w:val="24"/>
        </w:rPr>
      </w:pPr>
      <w:r>
        <w:rPr>
          <w:rFonts w:hint="eastAsia"/>
          <w:color w:val="000000"/>
          <w:kern w:val="0"/>
          <w:sz w:val="24"/>
          <w:szCs w:val="24"/>
        </w:rPr>
        <w:t>（3）预测点贡献值</w:t>
      </w:r>
    </w:p>
    <w:p w14:paraId="563BACCB">
      <w:pPr>
        <w:widowControl/>
        <w:spacing w:line="360" w:lineRule="auto"/>
        <w:ind w:firstLine="480" w:firstLineChars="200"/>
        <w:jc w:val="left"/>
        <w:rPr>
          <w:color w:val="000000"/>
          <w:kern w:val="0"/>
          <w:sz w:val="24"/>
          <w:szCs w:val="24"/>
        </w:rPr>
      </w:pPr>
      <w:r>
        <w:rPr>
          <w:color w:val="000000"/>
          <w:kern w:val="0"/>
          <w:sz w:val="24"/>
          <w:szCs w:val="24"/>
        </w:rPr>
        <w:t>设第i个室外声源在预测点产生的声级为L</w:t>
      </w:r>
      <w:r>
        <w:rPr>
          <w:color w:val="000000"/>
          <w:kern w:val="0"/>
          <w:sz w:val="24"/>
          <w:szCs w:val="24"/>
          <w:vertAlign w:val="subscript"/>
        </w:rPr>
        <w:t>Ai</w:t>
      </w:r>
      <w:r>
        <w:rPr>
          <w:color w:val="000000"/>
          <w:kern w:val="0"/>
          <w:sz w:val="24"/>
          <w:szCs w:val="24"/>
        </w:rPr>
        <w:t>，在T时间内该声源工作时间为t</w:t>
      </w:r>
      <w:r>
        <w:rPr>
          <w:color w:val="000000"/>
          <w:kern w:val="0"/>
          <w:sz w:val="24"/>
          <w:szCs w:val="24"/>
          <w:vertAlign w:val="subscript"/>
        </w:rPr>
        <w:t>i</w:t>
      </w:r>
      <w:r>
        <w:rPr>
          <w:color w:val="000000"/>
          <w:kern w:val="0"/>
          <w:sz w:val="24"/>
          <w:szCs w:val="24"/>
        </w:rPr>
        <w:t>；第j个等效室外声源在预测点产生的</w:t>
      </w:r>
      <w:r>
        <w:rPr>
          <w:rFonts w:hint="eastAsia"/>
          <w:color w:val="000000"/>
          <w:kern w:val="0"/>
          <w:sz w:val="24"/>
          <w:szCs w:val="24"/>
        </w:rPr>
        <w:t>A</w:t>
      </w:r>
      <w:r>
        <w:rPr>
          <w:color w:val="000000"/>
          <w:kern w:val="0"/>
          <w:sz w:val="24"/>
          <w:szCs w:val="24"/>
        </w:rPr>
        <w:t>声级为L</w:t>
      </w:r>
      <w:r>
        <w:rPr>
          <w:color w:val="000000"/>
          <w:kern w:val="0"/>
          <w:sz w:val="24"/>
          <w:szCs w:val="24"/>
          <w:vertAlign w:val="subscript"/>
        </w:rPr>
        <w:t>Aj</w:t>
      </w:r>
      <w:r>
        <w:rPr>
          <w:color w:val="000000"/>
          <w:kern w:val="0"/>
          <w:sz w:val="24"/>
          <w:szCs w:val="24"/>
        </w:rPr>
        <w:t>，在T时间内该声源工作时间为t</w:t>
      </w:r>
      <w:r>
        <w:rPr>
          <w:color w:val="000000"/>
          <w:kern w:val="0"/>
          <w:sz w:val="24"/>
          <w:szCs w:val="24"/>
          <w:vertAlign w:val="subscript"/>
        </w:rPr>
        <w:t>j</w:t>
      </w:r>
      <w:r>
        <w:rPr>
          <w:color w:val="000000"/>
          <w:kern w:val="0"/>
          <w:sz w:val="24"/>
          <w:szCs w:val="24"/>
        </w:rPr>
        <w:t>，则</w:t>
      </w:r>
      <w:r>
        <w:rPr>
          <w:rFonts w:hint="eastAsia"/>
          <w:color w:val="000000"/>
          <w:kern w:val="0"/>
          <w:sz w:val="24"/>
          <w:szCs w:val="24"/>
        </w:rPr>
        <w:t>本项目</w:t>
      </w:r>
      <w:r>
        <w:rPr>
          <w:color w:val="000000"/>
          <w:kern w:val="0"/>
          <w:sz w:val="24"/>
          <w:szCs w:val="24"/>
        </w:rPr>
        <w:t>声源对预测点产生的贡献值（Leqg）为：</w:t>
      </w:r>
    </w:p>
    <w:p w14:paraId="4A60D4B1">
      <w:pPr>
        <w:widowControl/>
        <w:spacing w:line="360" w:lineRule="auto"/>
        <w:ind w:firstLine="480" w:firstLineChars="200"/>
        <w:jc w:val="center"/>
        <w:rPr>
          <w:color w:val="000000"/>
          <w:kern w:val="0"/>
          <w:sz w:val="24"/>
          <w:szCs w:val="24"/>
        </w:rPr>
      </w:pPr>
      <w:r>
        <w:rPr>
          <w:color w:val="000000"/>
          <w:kern w:val="0"/>
          <w:position w:val="-34"/>
          <w:sz w:val="24"/>
          <w:szCs w:val="24"/>
        </w:rPr>
        <w:object>
          <v:shape id="_x0000_i1030" o:spt="75" type="#_x0000_t75" style="height:39.9pt;width:206.1pt;" o:ole="t" filled="f" o:preferrelative="t" stroked="f" coordsize="21600,21600">
            <v:path/>
            <v:fill on="f" focussize="0,0"/>
            <v:stroke on="f" joinstyle="miter"/>
            <v:imagedata r:id="rId47" o:title=""/>
            <o:lock v:ext="edit" aspectratio="t"/>
            <w10:wrap type="none"/>
            <w10:anchorlock/>
          </v:shape>
          <o:OLEObject Type="Embed" ProgID="Equation.KSEE3" ShapeID="_x0000_i1030" DrawAspect="Content" ObjectID="_1468075732" r:id="rId46">
            <o:LockedField>false</o:LockedField>
          </o:OLEObject>
        </w:object>
      </w:r>
    </w:p>
    <w:p w14:paraId="7FCC682F">
      <w:pPr>
        <w:widowControl/>
        <w:spacing w:line="360" w:lineRule="auto"/>
        <w:ind w:firstLine="480" w:firstLineChars="200"/>
        <w:jc w:val="left"/>
        <w:rPr>
          <w:color w:val="000000"/>
          <w:kern w:val="0"/>
          <w:sz w:val="24"/>
          <w:szCs w:val="24"/>
        </w:rPr>
      </w:pPr>
      <w:r>
        <w:rPr>
          <w:color w:val="000000"/>
          <w:kern w:val="0"/>
          <w:sz w:val="24"/>
          <w:szCs w:val="24"/>
        </w:rPr>
        <w:t>式中：Leqg——建设项目声源在预测点产生的噪声贡献值，dB；</w:t>
      </w:r>
    </w:p>
    <w:p w14:paraId="5FC5C3C4">
      <w:pPr>
        <w:widowControl/>
        <w:spacing w:line="360" w:lineRule="auto"/>
        <w:ind w:firstLine="1200" w:firstLineChars="500"/>
        <w:jc w:val="left"/>
        <w:rPr>
          <w:color w:val="000000"/>
          <w:kern w:val="0"/>
          <w:sz w:val="24"/>
          <w:szCs w:val="24"/>
        </w:rPr>
      </w:pPr>
      <w:r>
        <w:rPr>
          <w:color w:val="000000"/>
          <w:kern w:val="0"/>
          <w:sz w:val="24"/>
          <w:szCs w:val="24"/>
        </w:rPr>
        <w:t>T ——用于计算等效声级的时间，s；</w:t>
      </w:r>
    </w:p>
    <w:p w14:paraId="40F4173C">
      <w:pPr>
        <w:widowControl/>
        <w:spacing w:line="360" w:lineRule="auto"/>
        <w:ind w:firstLine="1200" w:firstLineChars="500"/>
        <w:jc w:val="left"/>
        <w:rPr>
          <w:color w:val="000000"/>
          <w:kern w:val="0"/>
          <w:sz w:val="24"/>
          <w:szCs w:val="24"/>
        </w:rPr>
      </w:pPr>
      <w:r>
        <w:rPr>
          <w:color w:val="000000"/>
          <w:kern w:val="0"/>
          <w:sz w:val="24"/>
          <w:szCs w:val="24"/>
        </w:rPr>
        <w:t>N ——室外声源个数；</w:t>
      </w:r>
    </w:p>
    <w:p w14:paraId="6F2C3B40">
      <w:pPr>
        <w:widowControl/>
        <w:spacing w:line="360" w:lineRule="auto"/>
        <w:ind w:firstLine="1200" w:firstLineChars="500"/>
        <w:jc w:val="left"/>
        <w:rPr>
          <w:color w:val="000000"/>
          <w:kern w:val="0"/>
          <w:sz w:val="24"/>
          <w:szCs w:val="24"/>
        </w:rPr>
      </w:pPr>
      <w:r>
        <w:rPr>
          <w:color w:val="000000"/>
          <w:kern w:val="0"/>
          <w:sz w:val="24"/>
          <w:szCs w:val="24"/>
        </w:rPr>
        <w:t>t</w:t>
      </w:r>
      <w:r>
        <w:rPr>
          <w:color w:val="000000"/>
          <w:kern w:val="0"/>
          <w:sz w:val="24"/>
          <w:szCs w:val="24"/>
          <w:vertAlign w:val="subscript"/>
        </w:rPr>
        <w:t>i</w:t>
      </w:r>
      <w:r>
        <w:rPr>
          <w:color w:val="000000"/>
          <w:kern w:val="0"/>
          <w:sz w:val="24"/>
          <w:szCs w:val="24"/>
        </w:rPr>
        <w:t xml:space="preserve"> ——在T时间内i声源工作时间，s；</w:t>
      </w:r>
    </w:p>
    <w:p w14:paraId="0EE9FA04">
      <w:pPr>
        <w:widowControl/>
        <w:spacing w:line="360" w:lineRule="auto"/>
        <w:ind w:firstLine="1200" w:firstLineChars="500"/>
        <w:jc w:val="left"/>
        <w:rPr>
          <w:color w:val="000000"/>
          <w:kern w:val="0"/>
          <w:sz w:val="24"/>
          <w:szCs w:val="24"/>
        </w:rPr>
      </w:pPr>
      <w:r>
        <w:rPr>
          <w:color w:val="000000"/>
          <w:kern w:val="0"/>
          <w:sz w:val="24"/>
          <w:szCs w:val="24"/>
        </w:rPr>
        <w:t>M ——等效室外声源个数；</w:t>
      </w:r>
    </w:p>
    <w:p w14:paraId="4129375B">
      <w:pPr>
        <w:widowControl/>
        <w:spacing w:line="360" w:lineRule="auto"/>
        <w:ind w:firstLine="1200" w:firstLineChars="500"/>
        <w:jc w:val="left"/>
        <w:rPr>
          <w:color w:val="000000"/>
          <w:kern w:val="0"/>
          <w:sz w:val="24"/>
          <w:szCs w:val="24"/>
        </w:rPr>
      </w:pPr>
      <w:r>
        <w:rPr>
          <w:color w:val="000000"/>
          <w:kern w:val="0"/>
          <w:sz w:val="24"/>
          <w:szCs w:val="24"/>
        </w:rPr>
        <w:t>t</w:t>
      </w:r>
      <w:r>
        <w:rPr>
          <w:color w:val="000000"/>
          <w:kern w:val="0"/>
          <w:sz w:val="24"/>
          <w:szCs w:val="24"/>
          <w:vertAlign w:val="subscript"/>
        </w:rPr>
        <w:t>j</w:t>
      </w:r>
      <w:r>
        <w:rPr>
          <w:color w:val="000000"/>
          <w:kern w:val="0"/>
          <w:sz w:val="24"/>
          <w:szCs w:val="24"/>
        </w:rPr>
        <w:t xml:space="preserve"> ——在T时间内j声源工作时间，s。</w:t>
      </w:r>
    </w:p>
    <w:p w14:paraId="653D77F8">
      <w:pPr>
        <w:widowControl/>
        <w:spacing w:line="360" w:lineRule="auto"/>
        <w:ind w:firstLine="480" w:firstLineChars="200"/>
        <w:jc w:val="left"/>
        <w:rPr>
          <w:color w:val="000000"/>
          <w:kern w:val="0"/>
          <w:sz w:val="24"/>
          <w:szCs w:val="24"/>
        </w:rPr>
      </w:pPr>
      <w:r>
        <w:rPr>
          <w:rFonts w:hint="eastAsia"/>
          <w:color w:val="000000"/>
          <w:kern w:val="0"/>
          <w:sz w:val="24"/>
          <w:szCs w:val="24"/>
        </w:rPr>
        <w:t>（4）噪声预测值</w:t>
      </w:r>
    </w:p>
    <w:p w14:paraId="0230641A">
      <w:pPr>
        <w:widowControl/>
        <w:spacing w:line="360" w:lineRule="auto"/>
        <w:ind w:firstLine="480" w:firstLineChars="200"/>
        <w:jc w:val="left"/>
        <w:rPr>
          <w:color w:val="000000"/>
          <w:kern w:val="0"/>
          <w:sz w:val="24"/>
          <w:szCs w:val="24"/>
        </w:rPr>
      </w:pPr>
      <w:r>
        <w:rPr>
          <w:color w:val="000000"/>
          <w:kern w:val="0"/>
          <w:sz w:val="24"/>
          <w:szCs w:val="24"/>
        </w:rPr>
        <w:t>预测点的贡献值和背景值按能量叠加方法计算得到的声级。噪声预测值（Leq）计算公式为：</w:t>
      </w:r>
    </w:p>
    <w:p w14:paraId="157CE85A">
      <w:pPr>
        <w:widowControl/>
        <w:spacing w:line="360" w:lineRule="auto"/>
        <w:ind w:firstLine="480" w:firstLineChars="200"/>
        <w:jc w:val="center"/>
        <w:rPr>
          <w:color w:val="000000"/>
          <w:kern w:val="0"/>
          <w:sz w:val="24"/>
          <w:szCs w:val="24"/>
        </w:rPr>
      </w:pPr>
      <w:r>
        <w:rPr>
          <w:color w:val="000000"/>
          <w:kern w:val="0"/>
          <w:position w:val="-14"/>
          <w:sz w:val="24"/>
          <w:szCs w:val="24"/>
        </w:rPr>
        <w:object>
          <v:shape id="_x0000_i1031" o:spt="75" type="#_x0000_t75" style="height:21.15pt;width:136.15pt;" o:ole="t" filled="f" o:preferrelative="t" stroked="f" coordsize="21600,21600">
            <v:path/>
            <v:fill on="f" focussize="0,0"/>
            <v:stroke on="f" joinstyle="miter"/>
            <v:imagedata r:id="rId49" o:title=""/>
            <o:lock v:ext="edit" aspectratio="t"/>
            <w10:wrap type="none"/>
            <w10:anchorlock/>
          </v:shape>
          <o:OLEObject Type="Embed" ProgID="Equation.KSEE3" ShapeID="_x0000_i1031" DrawAspect="Content" ObjectID="_1468075733" r:id="rId48">
            <o:LockedField>false</o:LockedField>
          </o:OLEObject>
        </w:object>
      </w:r>
    </w:p>
    <w:p w14:paraId="73EA934B">
      <w:pPr>
        <w:widowControl/>
        <w:spacing w:line="360" w:lineRule="auto"/>
        <w:ind w:firstLine="480" w:firstLineChars="200"/>
        <w:jc w:val="left"/>
        <w:rPr>
          <w:color w:val="000000"/>
          <w:kern w:val="0"/>
          <w:sz w:val="24"/>
          <w:szCs w:val="24"/>
        </w:rPr>
      </w:pPr>
      <w:r>
        <w:rPr>
          <w:color w:val="000000"/>
          <w:kern w:val="0"/>
          <w:sz w:val="24"/>
          <w:szCs w:val="24"/>
        </w:rPr>
        <w:t>式中：Leq ——预测点的噪声预测值，dB；</w:t>
      </w:r>
    </w:p>
    <w:p w14:paraId="0921A9D9">
      <w:pPr>
        <w:widowControl/>
        <w:spacing w:line="360" w:lineRule="auto"/>
        <w:ind w:firstLine="1200" w:firstLineChars="500"/>
        <w:jc w:val="left"/>
        <w:rPr>
          <w:color w:val="000000"/>
          <w:kern w:val="0"/>
          <w:sz w:val="24"/>
          <w:szCs w:val="24"/>
        </w:rPr>
      </w:pPr>
      <w:r>
        <w:rPr>
          <w:color w:val="000000"/>
          <w:kern w:val="0"/>
          <w:sz w:val="24"/>
          <w:szCs w:val="24"/>
        </w:rPr>
        <w:t>Leqg——建设项目声源在预测点产生的噪声贡献值，dB；</w:t>
      </w:r>
    </w:p>
    <w:p w14:paraId="6B7D9836">
      <w:pPr>
        <w:widowControl/>
        <w:spacing w:line="360" w:lineRule="auto"/>
        <w:ind w:firstLine="1200" w:firstLineChars="500"/>
        <w:jc w:val="left"/>
        <w:rPr>
          <w:color w:val="000000"/>
          <w:kern w:val="0"/>
          <w:sz w:val="24"/>
          <w:szCs w:val="24"/>
        </w:rPr>
      </w:pPr>
      <w:r>
        <w:rPr>
          <w:color w:val="000000"/>
          <w:kern w:val="0"/>
          <w:sz w:val="24"/>
          <w:szCs w:val="24"/>
        </w:rPr>
        <w:t>Leqb——预测点的背景噪声值，dB。</w:t>
      </w:r>
    </w:p>
    <w:p w14:paraId="4C453A2A">
      <w:pPr>
        <w:pStyle w:val="5"/>
        <w:rPr>
          <w:rFonts w:ascii="Times New Roman" w:hAnsi="Times New Roman"/>
          <w:color w:val="000000"/>
          <w:lang w:val="en-US"/>
        </w:rPr>
      </w:pPr>
      <w:bookmarkStart w:id="312" w:name="_Toc8461_WPSOffice_Level3"/>
      <w:bookmarkStart w:id="313" w:name="_Toc22561"/>
      <w:bookmarkStart w:id="314" w:name="_Toc19944"/>
      <w:bookmarkStart w:id="315" w:name="_Toc30869"/>
      <w:bookmarkStart w:id="316" w:name="_Toc67"/>
      <w:r>
        <w:rPr>
          <w:rFonts w:hint="eastAsia" w:ascii="Times New Roman" w:hAnsi="Times New Roman"/>
          <w:color w:val="000000"/>
          <w:lang w:val="en-US"/>
        </w:rPr>
        <w:t>5.2.3.5预测结果</w:t>
      </w:r>
      <w:bookmarkEnd w:id="312"/>
      <w:bookmarkEnd w:id="313"/>
      <w:bookmarkEnd w:id="314"/>
      <w:bookmarkEnd w:id="315"/>
      <w:bookmarkEnd w:id="316"/>
      <w:r>
        <w:rPr>
          <w:rFonts w:hint="eastAsia" w:ascii="Times New Roman" w:hAnsi="Times New Roman"/>
          <w:color w:val="000000"/>
          <w:lang w:val="en-US"/>
        </w:rPr>
        <w:t>及评价结论</w:t>
      </w:r>
    </w:p>
    <w:p w14:paraId="16D5427D">
      <w:pPr>
        <w:widowControl/>
        <w:spacing w:line="360" w:lineRule="auto"/>
        <w:ind w:firstLine="480" w:firstLineChars="200"/>
        <w:rPr>
          <w:color w:val="000000"/>
          <w:kern w:val="0"/>
          <w:sz w:val="24"/>
          <w:szCs w:val="24"/>
        </w:rPr>
      </w:pPr>
      <w:r>
        <w:rPr>
          <w:rFonts w:hint="eastAsia"/>
          <w:color w:val="000000"/>
          <w:kern w:val="0"/>
          <w:sz w:val="24"/>
          <w:szCs w:val="24"/>
        </w:rPr>
        <w:t>选取项目主要噪声设备作为点源，采用多源叠加的方法</w:t>
      </w:r>
      <w:r>
        <w:rPr>
          <w:rFonts w:hint="eastAsia"/>
          <w:color w:val="000000"/>
          <w:kern w:val="0"/>
          <w:sz w:val="24"/>
          <w:szCs w:val="24"/>
          <w:lang w:eastAsia="zh-CN"/>
        </w:rPr>
        <w:t>做出</w:t>
      </w:r>
      <w:r>
        <w:rPr>
          <w:rFonts w:hint="eastAsia"/>
          <w:color w:val="000000"/>
          <w:kern w:val="0"/>
          <w:sz w:val="24"/>
          <w:szCs w:val="24"/>
        </w:rPr>
        <w:t>工程噪声贡献值预测，对工程噪声在厂界及南侧保护目标处的贡献值与环境噪声背景值进行叠加影响预测，预测结果见表5.2-2</w:t>
      </w:r>
      <w:r>
        <w:rPr>
          <w:rFonts w:hint="eastAsia"/>
          <w:color w:val="000000"/>
          <w:kern w:val="0"/>
          <w:sz w:val="24"/>
          <w:szCs w:val="24"/>
          <w:lang w:val="en-US" w:eastAsia="zh-CN"/>
        </w:rPr>
        <w:t>4</w:t>
      </w:r>
      <w:r>
        <w:rPr>
          <w:rFonts w:hint="eastAsia"/>
          <w:color w:val="000000"/>
          <w:kern w:val="0"/>
          <w:sz w:val="24"/>
          <w:szCs w:val="24"/>
        </w:rPr>
        <w:t>。</w:t>
      </w:r>
    </w:p>
    <w:p w14:paraId="0E64781A">
      <w:pPr>
        <w:widowControl/>
        <w:jc w:val="center"/>
        <w:rPr>
          <w:rFonts w:hint="eastAsia" w:hAnsi="宋体"/>
          <w:b/>
          <w:color w:val="000000"/>
          <w:kern w:val="0"/>
          <w:szCs w:val="21"/>
        </w:rPr>
      </w:pPr>
      <w:r>
        <w:rPr>
          <w:rFonts w:hint="eastAsia" w:hAnsi="宋体"/>
          <w:b/>
          <w:color w:val="000000"/>
          <w:kern w:val="0"/>
          <w:szCs w:val="21"/>
        </w:rPr>
        <w:t>表5.2-22    厂界及南侧保护目标噪声预测结果</w:t>
      </w:r>
      <w:r>
        <w:rPr>
          <w:rFonts w:hint="eastAsia" w:hAnsi="宋体"/>
          <w:b/>
          <w:color w:val="000000"/>
          <w:kern w:val="0"/>
          <w:szCs w:val="21"/>
        </w:rPr>
        <w:tab/>
      </w:r>
      <w:r>
        <w:rPr>
          <w:rFonts w:hint="eastAsia" w:hAnsi="宋体"/>
          <w:b/>
          <w:color w:val="000000"/>
          <w:kern w:val="0"/>
          <w:szCs w:val="21"/>
        </w:rPr>
        <w:t xml:space="preserve">        单位：dB（A）</w:t>
      </w:r>
    </w:p>
    <w:tbl>
      <w:tblPr>
        <w:tblStyle w:val="49"/>
        <w:tblW w:w="5052" w:type="pct"/>
        <w:tblInd w:w="0" w:type="dxa"/>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autofit"/>
        <w:tblCellMar>
          <w:top w:w="0" w:type="dxa"/>
          <w:left w:w="0" w:type="dxa"/>
          <w:bottom w:w="0" w:type="dxa"/>
          <w:right w:w="0" w:type="dxa"/>
        </w:tblCellMar>
      </w:tblPr>
      <w:tblGrid>
        <w:gridCol w:w="1829"/>
        <w:gridCol w:w="999"/>
        <w:gridCol w:w="1144"/>
        <w:gridCol w:w="1041"/>
        <w:gridCol w:w="1265"/>
        <w:gridCol w:w="1114"/>
        <w:gridCol w:w="1031"/>
      </w:tblGrid>
      <w:tr w14:paraId="79457C24">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445" w:hRule="atLeast"/>
        </w:trPr>
        <w:tc>
          <w:tcPr>
            <w:tcW w:w="1086" w:type="pct"/>
            <w:tcBorders>
              <w:tl2br w:val="nil"/>
              <w:tr2bl w:val="nil"/>
            </w:tcBorders>
            <w:vAlign w:val="center"/>
          </w:tcPr>
          <w:p w14:paraId="3F6023E2">
            <w:pPr>
              <w:jc w:val="center"/>
              <w:rPr>
                <w:b/>
                <w:color w:val="000000"/>
                <w:szCs w:val="21"/>
              </w:rPr>
            </w:pPr>
            <w:r>
              <w:rPr>
                <w:rFonts w:hint="eastAsia"/>
                <w:b/>
                <w:color w:val="000000"/>
                <w:szCs w:val="21"/>
              </w:rPr>
              <w:t>预测厂界</w:t>
            </w:r>
          </w:p>
        </w:tc>
        <w:tc>
          <w:tcPr>
            <w:tcW w:w="593" w:type="pct"/>
            <w:tcBorders>
              <w:tl2br w:val="nil"/>
              <w:tr2bl w:val="nil"/>
            </w:tcBorders>
            <w:vAlign w:val="center"/>
          </w:tcPr>
          <w:p w14:paraId="664D75E8">
            <w:pPr>
              <w:jc w:val="center"/>
              <w:rPr>
                <w:b/>
                <w:color w:val="000000"/>
                <w:szCs w:val="21"/>
              </w:rPr>
            </w:pPr>
            <w:r>
              <w:rPr>
                <w:rFonts w:hint="eastAsia"/>
                <w:b/>
                <w:color w:val="000000"/>
                <w:szCs w:val="21"/>
              </w:rPr>
              <w:t>时段</w:t>
            </w:r>
          </w:p>
        </w:tc>
        <w:tc>
          <w:tcPr>
            <w:tcW w:w="679" w:type="pct"/>
            <w:tcBorders>
              <w:tl2br w:val="nil"/>
              <w:tr2bl w:val="nil"/>
            </w:tcBorders>
            <w:vAlign w:val="center"/>
          </w:tcPr>
          <w:p w14:paraId="44B13932">
            <w:pPr>
              <w:jc w:val="center"/>
              <w:rPr>
                <w:b/>
                <w:szCs w:val="21"/>
              </w:rPr>
            </w:pPr>
            <w:r>
              <w:rPr>
                <w:rFonts w:hint="eastAsia"/>
                <w:b/>
                <w:szCs w:val="21"/>
              </w:rPr>
              <w:t>背景值</w:t>
            </w:r>
          </w:p>
        </w:tc>
        <w:tc>
          <w:tcPr>
            <w:tcW w:w="618" w:type="pct"/>
            <w:tcBorders>
              <w:tl2br w:val="nil"/>
              <w:tr2bl w:val="nil"/>
            </w:tcBorders>
            <w:vAlign w:val="center"/>
          </w:tcPr>
          <w:p w14:paraId="5DEC0CED">
            <w:pPr>
              <w:jc w:val="center"/>
              <w:rPr>
                <w:b/>
                <w:szCs w:val="21"/>
              </w:rPr>
            </w:pPr>
            <w:r>
              <w:rPr>
                <w:rFonts w:hint="eastAsia"/>
                <w:b/>
                <w:szCs w:val="21"/>
              </w:rPr>
              <w:t>贡献值</w:t>
            </w:r>
          </w:p>
        </w:tc>
        <w:tc>
          <w:tcPr>
            <w:tcW w:w="751" w:type="pct"/>
            <w:tcBorders>
              <w:tl2br w:val="nil"/>
              <w:tr2bl w:val="nil"/>
            </w:tcBorders>
            <w:vAlign w:val="center"/>
          </w:tcPr>
          <w:p w14:paraId="43B8D12A">
            <w:pPr>
              <w:jc w:val="center"/>
              <w:rPr>
                <w:b/>
                <w:szCs w:val="21"/>
              </w:rPr>
            </w:pPr>
            <w:r>
              <w:rPr>
                <w:rFonts w:hint="eastAsia"/>
                <w:b/>
                <w:szCs w:val="21"/>
              </w:rPr>
              <w:t>叠加值</w:t>
            </w:r>
          </w:p>
        </w:tc>
        <w:tc>
          <w:tcPr>
            <w:tcW w:w="661" w:type="pct"/>
            <w:tcBorders>
              <w:tl2br w:val="nil"/>
              <w:tr2bl w:val="nil"/>
            </w:tcBorders>
            <w:vAlign w:val="center"/>
          </w:tcPr>
          <w:p w14:paraId="243D15C5">
            <w:pPr>
              <w:jc w:val="center"/>
              <w:rPr>
                <w:b/>
                <w:color w:val="000000"/>
                <w:szCs w:val="21"/>
              </w:rPr>
            </w:pPr>
            <w:r>
              <w:rPr>
                <w:rFonts w:hint="eastAsia"/>
                <w:b/>
                <w:color w:val="000000"/>
                <w:szCs w:val="21"/>
              </w:rPr>
              <w:t>标准值</w:t>
            </w:r>
          </w:p>
        </w:tc>
        <w:tc>
          <w:tcPr>
            <w:tcW w:w="612" w:type="pct"/>
            <w:tcBorders>
              <w:tl2br w:val="nil"/>
              <w:tr2bl w:val="nil"/>
            </w:tcBorders>
            <w:vAlign w:val="center"/>
          </w:tcPr>
          <w:p w14:paraId="5678F46A">
            <w:pPr>
              <w:jc w:val="center"/>
              <w:rPr>
                <w:b/>
                <w:color w:val="000000"/>
                <w:szCs w:val="21"/>
              </w:rPr>
            </w:pPr>
            <w:r>
              <w:rPr>
                <w:rFonts w:hint="eastAsia"/>
                <w:b/>
                <w:color w:val="000000"/>
                <w:szCs w:val="21"/>
              </w:rPr>
              <w:t>达标情况</w:t>
            </w:r>
          </w:p>
        </w:tc>
      </w:tr>
      <w:tr w14:paraId="14047E75">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1086" w:type="pct"/>
            <w:vMerge w:val="restart"/>
            <w:tcBorders>
              <w:tl2br w:val="nil"/>
              <w:tr2bl w:val="nil"/>
            </w:tcBorders>
            <w:vAlign w:val="center"/>
          </w:tcPr>
          <w:p w14:paraId="79B87805">
            <w:pPr>
              <w:jc w:val="center"/>
              <w:rPr>
                <w:bCs/>
                <w:color w:val="000000"/>
                <w:szCs w:val="21"/>
              </w:rPr>
            </w:pPr>
            <w:r>
              <w:rPr>
                <w:rFonts w:hint="eastAsia"/>
                <w:bCs/>
                <w:color w:val="000000"/>
                <w:szCs w:val="21"/>
              </w:rPr>
              <w:t>厂区东侧厂界外1m</w:t>
            </w:r>
          </w:p>
        </w:tc>
        <w:tc>
          <w:tcPr>
            <w:tcW w:w="593" w:type="pct"/>
            <w:tcBorders>
              <w:tl2br w:val="nil"/>
              <w:tr2bl w:val="nil"/>
            </w:tcBorders>
            <w:vAlign w:val="center"/>
          </w:tcPr>
          <w:p w14:paraId="34E15D44">
            <w:pPr>
              <w:jc w:val="center"/>
              <w:rPr>
                <w:bCs/>
                <w:color w:val="000000"/>
                <w:szCs w:val="21"/>
              </w:rPr>
            </w:pPr>
            <w:r>
              <w:rPr>
                <w:rFonts w:hint="eastAsia"/>
                <w:bCs/>
                <w:color w:val="000000"/>
                <w:szCs w:val="21"/>
              </w:rPr>
              <w:t>昼间</w:t>
            </w:r>
          </w:p>
        </w:tc>
        <w:tc>
          <w:tcPr>
            <w:tcW w:w="679" w:type="pct"/>
            <w:tcBorders>
              <w:tl2br w:val="nil"/>
              <w:tr2bl w:val="nil"/>
            </w:tcBorders>
            <w:vAlign w:val="center"/>
          </w:tcPr>
          <w:p w14:paraId="44C3C083">
            <w:pPr>
              <w:jc w:val="center"/>
              <w:rPr>
                <w:bCs/>
                <w:color w:val="000000"/>
                <w:szCs w:val="21"/>
              </w:rPr>
            </w:pPr>
            <w:r>
              <w:rPr>
                <w:rFonts w:hint="eastAsia"/>
                <w:bCs/>
                <w:color w:val="000000"/>
                <w:szCs w:val="21"/>
              </w:rPr>
              <w:t>48</w:t>
            </w:r>
          </w:p>
        </w:tc>
        <w:tc>
          <w:tcPr>
            <w:tcW w:w="618" w:type="pct"/>
            <w:tcBorders>
              <w:tl2br w:val="nil"/>
              <w:tr2bl w:val="nil"/>
            </w:tcBorders>
            <w:vAlign w:val="center"/>
          </w:tcPr>
          <w:p w14:paraId="24BD2E05">
            <w:pPr>
              <w:jc w:val="center"/>
              <w:rPr>
                <w:bCs/>
                <w:color w:val="000000"/>
                <w:szCs w:val="21"/>
              </w:rPr>
            </w:pPr>
            <w:r>
              <w:rPr>
                <w:rFonts w:hint="eastAsia"/>
                <w:bCs/>
                <w:color w:val="000000"/>
                <w:szCs w:val="21"/>
              </w:rPr>
              <w:t>46.97</w:t>
            </w:r>
          </w:p>
        </w:tc>
        <w:tc>
          <w:tcPr>
            <w:tcW w:w="751" w:type="pct"/>
            <w:tcBorders>
              <w:tl2br w:val="nil"/>
              <w:tr2bl w:val="nil"/>
            </w:tcBorders>
            <w:vAlign w:val="center"/>
          </w:tcPr>
          <w:p w14:paraId="089B33C9">
            <w:pPr>
              <w:jc w:val="center"/>
              <w:rPr>
                <w:bCs/>
                <w:color w:val="000000"/>
                <w:szCs w:val="21"/>
              </w:rPr>
            </w:pPr>
            <w:r>
              <w:rPr>
                <w:rFonts w:hint="eastAsia"/>
                <w:bCs/>
                <w:color w:val="000000"/>
                <w:szCs w:val="21"/>
              </w:rPr>
              <w:t>50.25</w:t>
            </w:r>
          </w:p>
        </w:tc>
        <w:tc>
          <w:tcPr>
            <w:tcW w:w="661" w:type="pct"/>
            <w:tcBorders>
              <w:tl2br w:val="nil"/>
              <w:tr2bl w:val="nil"/>
            </w:tcBorders>
            <w:vAlign w:val="center"/>
          </w:tcPr>
          <w:p w14:paraId="451E61D0">
            <w:pPr>
              <w:jc w:val="center"/>
              <w:rPr>
                <w:bCs/>
                <w:color w:val="000000"/>
                <w:szCs w:val="21"/>
              </w:rPr>
            </w:pPr>
            <w:r>
              <w:rPr>
                <w:rFonts w:hint="eastAsia"/>
                <w:bCs/>
                <w:color w:val="000000"/>
                <w:szCs w:val="21"/>
              </w:rPr>
              <w:t>60</w:t>
            </w:r>
          </w:p>
        </w:tc>
        <w:tc>
          <w:tcPr>
            <w:tcW w:w="612" w:type="pct"/>
            <w:tcBorders>
              <w:tl2br w:val="nil"/>
              <w:tr2bl w:val="nil"/>
            </w:tcBorders>
            <w:vAlign w:val="center"/>
          </w:tcPr>
          <w:p w14:paraId="399B4074">
            <w:pPr>
              <w:jc w:val="center"/>
              <w:rPr>
                <w:bCs/>
                <w:color w:val="000000"/>
                <w:szCs w:val="21"/>
              </w:rPr>
            </w:pPr>
            <w:bookmarkStart w:id="317" w:name="OLE_LINK10"/>
            <w:r>
              <w:rPr>
                <w:rFonts w:hint="eastAsia"/>
                <w:bCs/>
                <w:color w:val="000000"/>
                <w:szCs w:val="21"/>
              </w:rPr>
              <w:t>达标</w:t>
            </w:r>
            <w:bookmarkEnd w:id="317"/>
          </w:p>
        </w:tc>
      </w:tr>
      <w:tr w14:paraId="7755FC20">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1086" w:type="pct"/>
            <w:vMerge w:val="continue"/>
            <w:tcBorders>
              <w:tl2br w:val="nil"/>
              <w:tr2bl w:val="nil"/>
            </w:tcBorders>
            <w:vAlign w:val="center"/>
          </w:tcPr>
          <w:p w14:paraId="0B73F997">
            <w:pPr>
              <w:jc w:val="center"/>
              <w:rPr>
                <w:bCs/>
                <w:color w:val="000000"/>
                <w:szCs w:val="21"/>
              </w:rPr>
            </w:pPr>
          </w:p>
        </w:tc>
        <w:tc>
          <w:tcPr>
            <w:tcW w:w="593" w:type="pct"/>
            <w:tcBorders>
              <w:tl2br w:val="nil"/>
              <w:tr2bl w:val="nil"/>
            </w:tcBorders>
            <w:vAlign w:val="center"/>
          </w:tcPr>
          <w:p w14:paraId="7B3ADA56">
            <w:pPr>
              <w:jc w:val="center"/>
              <w:rPr>
                <w:bCs/>
                <w:color w:val="000000"/>
                <w:szCs w:val="21"/>
              </w:rPr>
            </w:pPr>
            <w:r>
              <w:rPr>
                <w:rFonts w:hint="eastAsia"/>
                <w:bCs/>
                <w:color w:val="000000"/>
                <w:szCs w:val="21"/>
              </w:rPr>
              <w:t>夜间</w:t>
            </w:r>
          </w:p>
        </w:tc>
        <w:tc>
          <w:tcPr>
            <w:tcW w:w="679" w:type="pct"/>
            <w:tcBorders>
              <w:tl2br w:val="nil"/>
              <w:tr2bl w:val="nil"/>
            </w:tcBorders>
            <w:vAlign w:val="center"/>
          </w:tcPr>
          <w:p w14:paraId="1BD71632">
            <w:pPr>
              <w:jc w:val="center"/>
              <w:rPr>
                <w:bCs/>
                <w:color w:val="000000"/>
                <w:szCs w:val="21"/>
              </w:rPr>
            </w:pPr>
            <w:r>
              <w:rPr>
                <w:rFonts w:hint="eastAsia"/>
                <w:bCs/>
                <w:color w:val="000000"/>
                <w:szCs w:val="21"/>
              </w:rPr>
              <w:t>43</w:t>
            </w:r>
          </w:p>
        </w:tc>
        <w:tc>
          <w:tcPr>
            <w:tcW w:w="618" w:type="pct"/>
            <w:tcBorders>
              <w:tl2br w:val="nil"/>
              <w:tr2bl w:val="nil"/>
            </w:tcBorders>
            <w:vAlign w:val="center"/>
          </w:tcPr>
          <w:p w14:paraId="257B46DF">
            <w:pPr>
              <w:jc w:val="center"/>
              <w:rPr>
                <w:bCs/>
                <w:color w:val="000000"/>
                <w:szCs w:val="21"/>
              </w:rPr>
            </w:pPr>
            <w:r>
              <w:rPr>
                <w:rFonts w:hint="eastAsia"/>
                <w:bCs/>
                <w:color w:val="000000"/>
                <w:szCs w:val="21"/>
              </w:rPr>
              <w:t>46.97</w:t>
            </w:r>
          </w:p>
        </w:tc>
        <w:tc>
          <w:tcPr>
            <w:tcW w:w="751" w:type="pct"/>
            <w:tcBorders>
              <w:tl2br w:val="nil"/>
              <w:tr2bl w:val="nil"/>
            </w:tcBorders>
            <w:vAlign w:val="center"/>
          </w:tcPr>
          <w:p w14:paraId="055A902A">
            <w:pPr>
              <w:jc w:val="center"/>
              <w:rPr>
                <w:bCs/>
                <w:color w:val="000000"/>
                <w:szCs w:val="21"/>
              </w:rPr>
            </w:pPr>
            <w:r>
              <w:rPr>
                <w:rFonts w:hint="eastAsia"/>
                <w:bCs/>
                <w:color w:val="000000"/>
                <w:szCs w:val="21"/>
              </w:rPr>
              <w:t>47.97</w:t>
            </w:r>
          </w:p>
        </w:tc>
        <w:tc>
          <w:tcPr>
            <w:tcW w:w="661" w:type="pct"/>
            <w:tcBorders>
              <w:tl2br w:val="nil"/>
              <w:tr2bl w:val="nil"/>
            </w:tcBorders>
            <w:vAlign w:val="center"/>
          </w:tcPr>
          <w:p w14:paraId="7E5942BE">
            <w:pPr>
              <w:jc w:val="center"/>
              <w:rPr>
                <w:bCs/>
                <w:color w:val="000000"/>
                <w:szCs w:val="21"/>
              </w:rPr>
            </w:pPr>
            <w:r>
              <w:rPr>
                <w:rFonts w:hint="eastAsia"/>
                <w:bCs/>
                <w:color w:val="000000"/>
                <w:szCs w:val="21"/>
              </w:rPr>
              <w:t>50</w:t>
            </w:r>
          </w:p>
        </w:tc>
        <w:tc>
          <w:tcPr>
            <w:tcW w:w="612" w:type="pct"/>
            <w:tcBorders>
              <w:tl2br w:val="nil"/>
              <w:tr2bl w:val="nil"/>
            </w:tcBorders>
            <w:vAlign w:val="center"/>
          </w:tcPr>
          <w:p w14:paraId="416268A9">
            <w:pPr>
              <w:jc w:val="center"/>
              <w:rPr>
                <w:bCs/>
                <w:color w:val="000000"/>
                <w:szCs w:val="21"/>
              </w:rPr>
            </w:pPr>
            <w:r>
              <w:rPr>
                <w:rFonts w:hint="eastAsia"/>
                <w:bCs/>
                <w:color w:val="000000"/>
                <w:szCs w:val="21"/>
              </w:rPr>
              <w:t>达标</w:t>
            </w:r>
          </w:p>
        </w:tc>
      </w:tr>
      <w:tr w14:paraId="42B90512">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1086" w:type="pct"/>
            <w:vMerge w:val="restart"/>
            <w:tcBorders>
              <w:tl2br w:val="nil"/>
              <w:tr2bl w:val="nil"/>
            </w:tcBorders>
            <w:vAlign w:val="center"/>
          </w:tcPr>
          <w:p w14:paraId="38B64492">
            <w:pPr>
              <w:jc w:val="center"/>
              <w:rPr>
                <w:bCs/>
                <w:color w:val="000000"/>
                <w:szCs w:val="21"/>
              </w:rPr>
            </w:pPr>
            <w:r>
              <w:rPr>
                <w:rFonts w:hint="eastAsia"/>
                <w:bCs/>
                <w:color w:val="000000"/>
                <w:szCs w:val="21"/>
              </w:rPr>
              <w:t>厂区南侧厂界外1m</w:t>
            </w:r>
          </w:p>
        </w:tc>
        <w:tc>
          <w:tcPr>
            <w:tcW w:w="593" w:type="pct"/>
            <w:tcBorders>
              <w:tl2br w:val="nil"/>
              <w:tr2bl w:val="nil"/>
            </w:tcBorders>
            <w:vAlign w:val="center"/>
          </w:tcPr>
          <w:p w14:paraId="43717313">
            <w:pPr>
              <w:jc w:val="center"/>
              <w:rPr>
                <w:bCs/>
                <w:color w:val="000000"/>
                <w:szCs w:val="21"/>
              </w:rPr>
            </w:pPr>
            <w:r>
              <w:rPr>
                <w:rFonts w:hint="eastAsia"/>
                <w:bCs/>
                <w:color w:val="000000"/>
                <w:szCs w:val="21"/>
              </w:rPr>
              <w:t>昼间</w:t>
            </w:r>
          </w:p>
        </w:tc>
        <w:tc>
          <w:tcPr>
            <w:tcW w:w="679" w:type="pct"/>
            <w:tcBorders>
              <w:tl2br w:val="nil"/>
              <w:tr2bl w:val="nil"/>
            </w:tcBorders>
            <w:vAlign w:val="center"/>
          </w:tcPr>
          <w:p w14:paraId="7258782A">
            <w:pPr>
              <w:jc w:val="center"/>
              <w:rPr>
                <w:bCs/>
                <w:color w:val="000000"/>
                <w:szCs w:val="21"/>
              </w:rPr>
            </w:pPr>
            <w:r>
              <w:rPr>
                <w:rFonts w:hint="eastAsia"/>
                <w:bCs/>
                <w:color w:val="000000"/>
                <w:szCs w:val="21"/>
              </w:rPr>
              <w:t>46</w:t>
            </w:r>
          </w:p>
        </w:tc>
        <w:tc>
          <w:tcPr>
            <w:tcW w:w="618" w:type="pct"/>
            <w:tcBorders>
              <w:tl2br w:val="nil"/>
              <w:tr2bl w:val="nil"/>
            </w:tcBorders>
            <w:vAlign w:val="center"/>
          </w:tcPr>
          <w:p w14:paraId="4706E269">
            <w:pPr>
              <w:jc w:val="center"/>
              <w:rPr>
                <w:bCs/>
                <w:color w:val="000000"/>
                <w:szCs w:val="21"/>
              </w:rPr>
            </w:pPr>
            <w:r>
              <w:rPr>
                <w:rFonts w:hint="eastAsia"/>
                <w:bCs/>
                <w:color w:val="000000"/>
                <w:szCs w:val="21"/>
              </w:rPr>
              <w:t>43.3</w:t>
            </w:r>
          </w:p>
        </w:tc>
        <w:tc>
          <w:tcPr>
            <w:tcW w:w="751" w:type="pct"/>
            <w:tcBorders>
              <w:tl2br w:val="nil"/>
              <w:tr2bl w:val="nil"/>
            </w:tcBorders>
            <w:vAlign w:val="center"/>
          </w:tcPr>
          <w:p w14:paraId="6E28B96C">
            <w:pPr>
              <w:jc w:val="center"/>
              <w:rPr>
                <w:bCs/>
                <w:color w:val="000000"/>
                <w:szCs w:val="21"/>
              </w:rPr>
            </w:pPr>
            <w:r>
              <w:rPr>
                <w:rFonts w:hint="eastAsia"/>
                <w:bCs/>
                <w:color w:val="000000"/>
                <w:szCs w:val="21"/>
              </w:rPr>
              <w:t>47.0</w:t>
            </w:r>
          </w:p>
        </w:tc>
        <w:tc>
          <w:tcPr>
            <w:tcW w:w="661" w:type="pct"/>
            <w:tcBorders>
              <w:tl2br w:val="nil"/>
              <w:tr2bl w:val="nil"/>
            </w:tcBorders>
            <w:vAlign w:val="center"/>
          </w:tcPr>
          <w:p w14:paraId="2B5E57ED">
            <w:pPr>
              <w:jc w:val="center"/>
              <w:rPr>
                <w:bCs/>
                <w:color w:val="000000"/>
                <w:szCs w:val="21"/>
              </w:rPr>
            </w:pPr>
            <w:r>
              <w:rPr>
                <w:rFonts w:hint="eastAsia"/>
                <w:bCs/>
                <w:color w:val="000000"/>
                <w:szCs w:val="21"/>
              </w:rPr>
              <w:t>60</w:t>
            </w:r>
          </w:p>
        </w:tc>
        <w:tc>
          <w:tcPr>
            <w:tcW w:w="612" w:type="pct"/>
            <w:tcBorders>
              <w:tl2br w:val="nil"/>
              <w:tr2bl w:val="nil"/>
            </w:tcBorders>
            <w:vAlign w:val="center"/>
          </w:tcPr>
          <w:p w14:paraId="5D5FE3F5">
            <w:pPr>
              <w:jc w:val="center"/>
              <w:rPr>
                <w:bCs/>
                <w:color w:val="000000"/>
                <w:szCs w:val="21"/>
              </w:rPr>
            </w:pPr>
            <w:r>
              <w:rPr>
                <w:rFonts w:hint="eastAsia"/>
                <w:bCs/>
                <w:color w:val="000000"/>
                <w:szCs w:val="21"/>
              </w:rPr>
              <w:t>达标</w:t>
            </w:r>
          </w:p>
        </w:tc>
      </w:tr>
      <w:tr w14:paraId="6652941E">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1086" w:type="pct"/>
            <w:vMerge w:val="continue"/>
            <w:tcBorders>
              <w:tl2br w:val="nil"/>
              <w:tr2bl w:val="nil"/>
            </w:tcBorders>
            <w:vAlign w:val="center"/>
          </w:tcPr>
          <w:p w14:paraId="4F045FED">
            <w:pPr>
              <w:jc w:val="center"/>
              <w:rPr>
                <w:bCs/>
                <w:color w:val="000000"/>
                <w:szCs w:val="21"/>
              </w:rPr>
            </w:pPr>
          </w:p>
        </w:tc>
        <w:tc>
          <w:tcPr>
            <w:tcW w:w="593" w:type="pct"/>
            <w:tcBorders>
              <w:tl2br w:val="nil"/>
              <w:tr2bl w:val="nil"/>
            </w:tcBorders>
            <w:vAlign w:val="center"/>
          </w:tcPr>
          <w:p w14:paraId="75E0DF83">
            <w:pPr>
              <w:jc w:val="center"/>
              <w:rPr>
                <w:bCs/>
                <w:color w:val="000000"/>
                <w:szCs w:val="21"/>
              </w:rPr>
            </w:pPr>
            <w:r>
              <w:rPr>
                <w:rFonts w:hint="eastAsia"/>
                <w:bCs/>
                <w:color w:val="000000"/>
                <w:szCs w:val="21"/>
              </w:rPr>
              <w:t>夜间</w:t>
            </w:r>
          </w:p>
        </w:tc>
        <w:tc>
          <w:tcPr>
            <w:tcW w:w="679" w:type="pct"/>
            <w:tcBorders>
              <w:tl2br w:val="nil"/>
              <w:tr2bl w:val="nil"/>
            </w:tcBorders>
            <w:vAlign w:val="center"/>
          </w:tcPr>
          <w:p w14:paraId="4EEB8B51">
            <w:pPr>
              <w:jc w:val="center"/>
              <w:rPr>
                <w:bCs/>
                <w:color w:val="000000"/>
                <w:szCs w:val="21"/>
              </w:rPr>
            </w:pPr>
            <w:r>
              <w:rPr>
                <w:rFonts w:hint="eastAsia"/>
                <w:bCs/>
                <w:color w:val="000000"/>
                <w:szCs w:val="21"/>
              </w:rPr>
              <w:t>43</w:t>
            </w:r>
          </w:p>
        </w:tc>
        <w:tc>
          <w:tcPr>
            <w:tcW w:w="618" w:type="pct"/>
            <w:tcBorders>
              <w:tl2br w:val="nil"/>
              <w:tr2bl w:val="nil"/>
            </w:tcBorders>
            <w:vAlign w:val="center"/>
          </w:tcPr>
          <w:p w14:paraId="3D4C7D77">
            <w:pPr>
              <w:jc w:val="center"/>
              <w:rPr>
                <w:bCs/>
                <w:color w:val="000000"/>
                <w:szCs w:val="21"/>
              </w:rPr>
            </w:pPr>
            <w:r>
              <w:rPr>
                <w:rFonts w:hint="eastAsia"/>
                <w:bCs/>
                <w:color w:val="000000"/>
                <w:szCs w:val="21"/>
              </w:rPr>
              <w:t>43.3</w:t>
            </w:r>
          </w:p>
        </w:tc>
        <w:tc>
          <w:tcPr>
            <w:tcW w:w="751" w:type="pct"/>
            <w:tcBorders>
              <w:tl2br w:val="nil"/>
              <w:tr2bl w:val="nil"/>
            </w:tcBorders>
            <w:vAlign w:val="center"/>
          </w:tcPr>
          <w:p w14:paraId="3A760C4E">
            <w:pPr>
              <w:jc w:val="center"/>
              <w:rPr>
                <w:bCs/>
                <w:color w:val="000000"/>
                <w:szCs w:val="21"/>
              </w:rPr>
            </w:pPr>
            <w:r>
              <w:rPr>
                <w:rFonts w:hint="eastAsia"/>
                <w:bCs/>
                <w:color w:val="000000"/>
                <w:szCs w:val="21"/>
              </w:rPr>
              <w:t>46.3</w:t>
            </w:r>
          </w:p>
        </w:tc>
        <w:tc>
          <w:tcPr>
            <w:tcW w:w="661" w:type="pct"/>
            <w:tcBorders>
              <w:tl2br w:val="nil"/>
              <w:tr2bl w:val="nil"/>
            </w:tcBorders>
            <w:vAlign w:val="center"/>
          </w:tcPr>
          <w:p w14:paraId="5DC2F083">
            <w:pPr>
              <w:jc w:val="center"/>
              <w:rPr>
                <w:bCs/>
                <w:color w:val="000000"/>
                <w:szCs w:val="21"/>
              </w:rPr>
            </w:pPr>
            <w:r>
              <w:rPr>
                <w:rFonts w:hint="eastAsia"/>
                <w:bCs/>
                <w:color w:val="000000"/>
                <w:szCs w:val="21"/>
              </w:rPr>
              <w:t>50</w:t>
            </w:r>
          </w:p>
        </w:tc>
        <w:tc>
          <w:tcPr>
            <w:tcW w:w="612" w:type="pct"/>
            <w:tcBorders>
              <w:tl2br w:val="nil"/>
              <w:tr2bl w:val="nil"/>
            </w:tcBorders>
            <w:vAlign w:val="center"/>
          </w:tcPr>
          <w:p w14:paraId="1A91CC2D">
            <w:pPr>
              <w:jc w:val="center"/>
              <w:rPr>
                <w:bCs/>
                <w:color w:val="000000"/>
                <w:szCs w:val="21"/>
              </w:rPr>
            </w:pPr>
            <w:r>
              <w:rPr>
                <w:rFonts w:hint="eastAsia"/>
                <w:bCs/>
                <w:color w:val="000000"/>
                <w:szCs w:val="21"/>
              </w:rPr>
              <w:t>达标</w:t>
            </w:r>
          </w:p>
        </w:tc>
      </w:tr>
      <w:tr w14:paraId="260618DF">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1086" w:type="pct"/>
            <w:vMerge w:val="restart"/>
            <w:tcBorders>
              <w:tl2br w:val="nil"/>
              <w:tr2bl w:val="nil"/>
            </w:tcBorders>
            <w:vAlign w:val="center"/>
          </w:tcPr>
          <w:p w14:paraId="09091E77">
            <w:pPr>
              <w:jc w:val="center"/>
              <w:rPr>
                <w:bCs/>
                <w:color w:val="000000"/>
                <w:szCs w:val="21"/>
              </w:rPr>
            </w:pPr>
            <w:bookmarkStart w:id="318" w:name="OLE_LINK11"/>
            <w:bookmarkStart w:id="319" w:name="OLE_LINK16" w:colFirst="5" w:colLast="6"/>
            <w:bookmarkStart w:id="320" w:name="OLE_LINK15" w:colFirst="1" w:colLast="1"/>
            <w:bookmarkStart w:id="321" w:name="OLE_LINK12" w:colFirst="1" w:colLast="1"/>
            <w:bookmarkStart w:id="322" w:name="OLE_LINK13" w:colFirst="5" w:colLast="5"/>
            <w:r>
              <w:rPr>
                <w:rFonts w:hint="eastAsia"/>
                <w:bCs/>
                <w:color w:val="000000"/>
                <w:szCs w:val="21"/>
              </w:rPr>
              <w:t>厂区西侧厂界外1m</w:t>
            </w:r>
            <w:bookmarkEnd w:id="318"/>
          </w:p>
        </w:tc>
        <w:tc>
          <w:tcPr>
            <w:tcW w:w="593" w:type="pct"/>
            <w:tcBorders>
              <w:tl2br w:val="nil"/>
              <w:tr2bl w:val="nil"/>
            </w:tcBorders>
            <w:vAlign w:val="center"/>
          </w:tcPr>
          <w:p w14:paraId="3DE26D5C">
            <w:pPr>
              <w:jc w:val="center"/>
              <w:rPr>
                <w:bCs/>
                <w:color w:val="000000"/>
                <w:szCs w:val="21"/>
              </w:rPr>
            </w:pPr>
            <w:r>
              <w:rPr>
                <w:rFonts w:hint="eastAsia"/>
                <w:bCs/>
                <w:color w:val="000000"/>
                <w:szCs w:val="21"/>
              </w:rPr>
              <w:t>昼间</w:t>
            </w:r>
          </w:p>
        </w:tc>
        <w:tc>
          <w:tcPr>
            <w:tcW w:w="679" w:type="pct"/>
            <w:tcBorders>
              <w:tl2br w:val="nil"/>
              <w:tr2bl w:val="nil"/>
            </w:tcBorders>
            <w:vAlign w:val="center"/>
          </w:tcPr>
          <w:p w14:paraId="328A29C1">
            <w:pPr>
              <w:jc w:val="center"/>
              <w:rPr>
                <w:bCs/>
                <w:color w:val="000000"/>
                <w:szCs w:val="21"/>
              </w:rPr>
            </w:pPr>
            <w:r>
              <w:rPr>
                <w:rFonts w:hint="eastAsia"/>
                <w:bCs/>
                <w:color w:val="000000"/>
                <w:szCs w:val="21"/>
              </w:rPr>
              <w:t>43</w:t>
            </w:r>
          </w:p>
        </w:tc>
        <w:tc>
          <w:tcPr>
            <w:tcW w:w="618" w:type="pct"/>
            <w:tcBorders>
              <w:tl2br w:val="nil"/>
              <w:tr2bl w:val="nil"/>
            </w:tcBorders>
            <w:vAlign w:val="center"/>
          </w:tcPr>
          <w:p w14:paraId="7970A7F4">
            <w:pPr>
              <w:jc w:val="center"/>
              <w:rPr>
                <w:bCs/>
                <w:color w:val="000000"/>
                <w:szCs w:val="21"/>
              </w:rPr>
            </w:pPr>
            <w:r>
              <w:rPr>
                <w:rFonts w:hint="eastAsia"/>
                <w:bCs/>
                <w:color w:val="000000"/>
                <w:szCs w:val="21"/>
              </w:rPr>
              <w:t>42.85</w:t>
            </w:r>
          </w:p>
        </w:tc>
        <w:tc>
          <w:tcPr>
            <w:tcW w:w="751" w:type="pct"/>
            <w:tcBorders>
              <w:tl2br w:val="nil"/>
              <w:tr2bl w:val="nil"/>
            </w:tcBorders>
            <w:vAlign w:val="center"/>
          </w:tcPr>
          <w:p w14:paraId="71E8297C">
            <w:pPr>
              <w:jc w:val="center"/>
              <w:rPr>
                <w:bCs/>
                <w:color w:val="000000"/>
                <w:szCs w:val="21"/>
              </w:rPr>
            </w:pPr>
            <w:r>
              <w:rPr>
                <w:rFonts w:hint="eastAsia"/>
                <w:bCs/>
                <w:color w:val="000000"/>
                <w:szCs w:val="21"/>
              </w:rPr>
              <w:t>46.0</w:t>
            </w:r>
          </w:p>
        </w:tc>
        <w:tc>
          <w:tcPr>
            <w:tcW w:w="661" w:type="pct"/>
            <w:tcBorders>
              <w:tl2br w:val="nil"/>
              <w:tr2bl w:val="nil"/>
            </w:tcBorders>
            <w:vAlign w:val="center"/>
          </w:tcPr>
          <w:p w14:paraId="728C5EF9">
            <w:pPr>
              <w:jc w:val="center"/>
              <w:rPr>
                <w:bCs/>
                <w:color w:val="000000"/>
                <w:szCs w:val="21"/>
              </w:rPr>
            </w:pPr>
            <w:r>
              <w:rPr>
                <w:rFonts w:hint="eastAsia"/>
                <w:bCs/>
                <w:color w:val="000000"/>
                <w:szCs w:val="21"/>
              </w:rPr>
              <w:t>60</w:t>
            </w:r>
          </w:p>
        </w:tc>
        <w:tc>
          <w:tcPr>
            <w:tcW w:w="612" w:type="pct"/>
            <w:tcBorders>
              <w:tl2br w:val="nil"/>
              <w:tr2bl w:val="nil"/>
            </w:tcBorders>
            <w:vAlign w:val="center"/>
          </w:tcPr>
          <w:p w14:paraId="0E246A13">
            <w:pPr>
              <w:jc w:val="center"/>
              <w:rPr>
                <w:bCs/>
                <w:color w:val="000000"/>
                <w:szCs w:val="21"/>
              </w:rPr>
            </w:pPr>
            <w:r>
              <w:rPr>
                <w:rFonts w:hint="eastAsia"/>
                <w:bCs/>
                <w:color w:val="000000"/>
                <w:szCs w:val="21"/>
              </w:rPr>
              <w:t>达标</w:t>
            </w:r>
          </w:p>
        </w:tc>
      </w:tr>
      <w:tr w14:paraId="43F36690">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1086" w:type="pct"/>
            <w:vMerge w:val="continue"/>
            <w:tcBorders>
              <w:tl2br w:val="nil"/>
              <w:tr2bl w:val="nil"/>
            </w:tcBorders>
            <w:vAlign w:val="center"/>
          </w:tcPr>
          <w:p w14:paraId="52F4DECE">
            <w:pPr>
              <w:jc w:val="center"/>
              <w:rPr>
                <w:bCs/>
                <w:color w:val="000000"/>
                <w:szCs w:val="21"/>
              </w:rPr>
            </w:pPr>
          </w:p>
        </w:tc>
        <w:tc>
          <w:tcPr>
            <w:tcW w:w="593" w:type="pct"/>
            <w:tcBorders>
              <w:tl2br w:val="nil"/>
              <w:tr2bl w:val="nil"/>
            </w:tcBorders>
            <w:vAlign w:val="center"/>
          </w:tcPr>
          <w:p w14:paraId="17145CBB">
            <w:pPr>
              <w:jc w:val="center"/>
              <w:rPr>
                <w:bCs/>
                <w:color w:val="000000"/>
                <w:szCs w:val="21"/>
              </w:rPr>
            </w:pPr>
            <w:r>
              <w:rPr>
                <w:rFonts w:hint="eastAsia"/>
                <w:bCs/>
                <w:color w:val="000000"/>
                <w:szCs w:val="21"/>
              </w:rPr>
              <w:t>夜间</w:t>
            </w:r>
          </w:p>
        </w:tc>
        <w:tc>
          <w:tcPr>
            <w:tcW w:w="679" w:type="pct"/>
            <w:tcBorders>
              <w:tl2br w:val="nil"/>
              <w:tr2bl w:val="nil"/>
            </w:tcBorders>
            <w:vAlign w:val="center"/>
          </w:tcPr>
          <w:p w14:paraId="033627E3">
            <w:pPr>
              <w:jc w:val="center"/>
              <w:rPr>
                <w:bCs/>
                <w:color w:val="000000"/>
                <w:szCs w:val="21"/>
              </w:rPr>
            </w:pPr>
            <w:r>
              <w:rPr>
                <w:rFonts w:hint="eastAsia"/>
                <w:bCs/>
                <w:color w:val="000000"/>
                <w:szCs w:val="21"/>
              </w:rPr>
              <w:t>42</w:t>
            </w:r>
          </w:p>
        </w:tc>
        <w:tc>
          <w:tcPr>
            <w:tcW w:w="618" w:type="pct"/>
            <w:tcBorders>
              <w:tl2br w:val="nil"/>
              <w:tr2bl w:val="nil"/>
            </w:tcBorders>
            <w:vAlign w:val="center"/>
          </w:tcPr>
          <w:p w14:paraId="4FA4DA8C">
            <w:pPr>
              <w:jc w:val="center"/>
              <w:rPr>
                <w:bCs/>
                <w:color w:val="000000"/>
                <w:szCs w:val="21"/>
              </w:rPr>
            </w:pPr>
            <w:r>
              <w:rPr>
                <w:rFonts w:hint="eastAsia"/>
                <w:bCs/>
                <w:color w:val="000000"/>
                <w:szCs w:val="21"/>
              </w:rPr>
              <w:t>42.85</w:t>
            </w:r>
          </w:p>
        </w:tc>
        <w:tc>
          <w:tcPr>
            <w:tcW w:w="751" w:type="pct"/>
            <w:tcBorders>
              <w:tl2br w:val="nil"/>
              <w:tr2bl w:val="nil"/>
            </w:tcBorders>
            <w:vAlign w:val="center"/>
          </w:tcPr>
          <w:p w14:paraId="026117B7">
            <w:pPr>
              <w:jc w:val="center"/>
              <w:rPr>
                <w:bCs/>
                <w:color w:val="000000"/>
                <w:szCs w:val="21"/>
              </w:rPr>
            </w:pPr>
            <w:r>
              <w:rPr>
                <w:rFonts w:hint="eastAsia"/>
                <w:bCs/>
                <w:color w:val="000000"/>
                <w:szCs w:val="21"/>
              </w:rPr>
              <w:t>45.85</w:t>
            </w:r>
          </w:p>
        </w:tc>
        <w:tc>
          <w:tcPr>
            <w:tcW w:w="661" w:type="pct"/>
            <w:tcBorders>
              <w:tl2br w:val="nil"/>
              <w:tr2bl w:val="nil"/>
            </w:tcBorders>
            <w:vAlign w:val="center"/>
          </w:tcPr>
          <w:p w14:paraId="61D76C58">
            <w:pPr>
              <w:jc w:val="center"/>
              <w:rPr>
                <w:bCs/>
                <w:color w:val="000000"/>
                <w:szCs w:val="21"/>
              </w:rPr>
            </w:pPr>
            <w:r>
              <w:rPr>
                <w:rFonts w:hint="eastAsia"/>
                <w:bCs/>
                <w:color w:val="000000"/>
                <w:szCs w:val="21"/>
              </w:rPr>
              <w:t>50</w:t>
            </w:r>
          </w:p>
        </w:tc>
        <w:tc>
          <w:tcPr>
            <w:tcW w:w="612" w:type="pct"/>
            <w:tcBorders>
              <w:tl2br w:val="nil"/>
              <w:tr2bl w:val="nil"/>
            </w:tcBorders>
            <w:vAlign w:val="center"/>
          </w:tcPr>
          <w:p w14:paraId="206453E6">
            <w:pPr>
              <w:jc w:val="center"/>
              <w:rPr>
                <w:bCs/>
                <w:color w:val="000000"/>
                <w:szCs w:val="21"/>
              </w:rPr>
            </w:pPr>
            <w:bookmarkStart w:id="323" w:name="OLE_LINK14"/>
            <w:r>
              <w:rPr>
                <w:rFonts w:hint="eastAsia"/>
                <w:bCs/>
                <w:color w:val="000000"/>
                <w:szCs w:val="21"/>
              </w:rPr>
              <w:t>达标</w:t>
            </w:r>
            <w:bookmarkEnd w:id="323"/>
          </w:p>
        </w:tc>
      </w:tr>
      <w:tr w14:paraId="4FE452F7">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1086" w:type="pct"/>
            <w:vMerge w:val="restart"/>
            <w:tcBorders>
              <w:tl2br w:val="nil"/>
              <w:tr2bl w:val="nil"/>
            </w:tcBorders>
            <w:vAlign w:val="center"/>
          </w:tcPr>
          <w:p w14:paraId="6BB26B24">
            <w:pPr>
              <w:jc w:val="center"/>
              <w:rPr>
                <w:bCs/>
                <w:color w:val="000000"/>
                <w:szCs w:val="21"/>
              </w:rPr>
            </w:pPr>
            <w:r>
              <w:rPr>
                <w:rFonts w:hint="eastAsia"/>
                <w:bCs/>
                <w:color w:val="000000"/>
                <w:szCs w:val="21"/>
              </w:rPr>
              <w:t>厂区北侧厂界外1m</w:t>
            </w:r>
          </w:p>
        </w:tc>
        <w:tc>
          <w:tcPr>
            <w:tcW w:w="593" w:type="pct"/>
            <w:tcBorders>
              <w:tl2br w:val="nil"/>
              <w:tr2bl w:val="nil"/>
            </w:tcBorders>
            <w:vAlign w:val="center"/>
          </w:tcPr>
          <w:p w14:paraId="36C53333">
            <w:pPr>
              <w:jc w:val="center"/>
              <w:rPr>
                <w:bCs/>
                <w:color w:val="000000"/>
                <w:szCs w:val="21"/>
              </w:rPr>
            </w:pPr>
            <w:r>
              <w:rPr>
                <w:rFonts w:hint="eastAsia"/>
                <w:bCs/>
                <w:color w:val="000000"/>
                <w:szCs w:val="21"/>
              </w:rPr>
              <w:t>昼间</w:t>
            </w:r>
          </w:p>
        </w:tc>
        <w:tc>
          <w:tcPr>
            <w:tcW w:w="679" w:type="pct"/>
            <w:tcBorders>
              <w:tl2br w:val="nil"/>
              <w:tr2bl w:val="nil"/>
            </w:tcBorders>
            <w:vAlign w:val="center"/>
          </w:tcPr>
          <w:p w14:paraId="4649ED64">
            <w:pPr>
              <w:jc w:val="center"/>
              <w:rPr>
                <w:bCs/>
                <w:color w:val="000000"/>
                <w:szCs w:val="21"/>
              </w:rPr>
            </w:pPr>
            <w:r>
              <w:rPr>
                <w:rFonts w:hint="eastAsia"/>
                <w:bCs/>
                <w:color w:val="000000"/>
                <w:szCs w:val="21"/>
              </w:rPr>
              <w:t>45</w:t>
            </w:r>
          </w:p>
        </w:tc>
        <w:tc>
          <w:tcPr>
            <w:tcW w:w="618" w:type="pct"/>
            <w:tcBorders>
              <w:tl2br w:val="nil"/>
              <w:tr2bl w:val="nil"/>
            </w:tcBorders>
            <w:vAlign w:val="center"/>
          </w:tcPr>
          <w:p w14:paraId="1D24E235">
            <w:pPr>
              <w:jc w:val="center"/>
              <w:rPr>
                <w:bCs/>
                <w:color w:val="000000"/>
                <w:szCs w:val="21"/>
              </w:rPr>
            </w:pPr>
            <w:r>
              <w:rPr>
                <w:rFonts w:hint="eastAsia"/>
                <w:bCs/>
                <w:color w:val="000000"/>
                <w:szCs w:val="21"/>
              </w:rPr>
              <w:t>36.91</w:t>
            </w:r>
          </w:p>
        </w:tc>
        <w:tc>
          <w:tcPr>
            <w:tcW w:w="751" w:type="pct"/>
            <w:tcBorders>
              <w:tl2br w:val="nil"/>
              <w:tr2bl w:val="nil"/>
            </w:tcBorders>
            <w:vAlign w:val="center"/>
          </w:tcPr>
          <w:p w14:paraId="2B06CCAB">
            <w:pPr>
              <w:jc w:val="center"/>
              <w:rPr>
                <w:bCs/>
                <w:color w:val="000000"/>
                <w:szCs w:val="21"/>
              </w:rPr>
            </w:pPr>
            <w:r>
              <w:rPr>
                <w:rFonts w:hint="eastAsia"/>
                <w:bCs/>
                <w:color w:val="000000"/>
                <w:szCs w:val="21"/>
              </w:rPr>
              <w:t>46.0</w:t>
            </w:r>
          </w:p>
        </w:tc>
        <w:tc>
          <w:tcPr>
            <w:tcW w:w="661" w:type="pct"/>
            <w:tcBorders>
              <w:tl2br w:val="nil"/>
              <w:tr2bl w:val="nil"/>
            </w:tcBorders>
            <w:vAlign w:val="center"/>
          </w:tcPr>
          <w:p w14:paraId="3EE6858D">
            <w:pPr>
              <w:jc w:val="center"/>
              <w:rPr>
                <w:bCs/>
                <w:color w:val="000000"/>
                <w:szCs w:val="21"/>
              </w:rPr>
            </w:pPr>
            <w:r>
              <w:rPr>
                <w:rFonts w:hint="eastAsia"/>
                <w:bCs/>
                <w:color w:val="000000"/>
                <w:szCs w:val="21"/>
              </w:rPr>
              <w:t>60</w:t>
            </w:r>
          </w:p>
        </w:tc>
        <w:tc>
          <w:tcPr>
            <w:tcW w:w="612" w:type="pct"/>
            <w:tcBorders>
              <w:tl2br w:val="nil"/>
              <w:tr2bl w:val="nil"/>
            </w:tcBorders>
            <w:vAlign w:val="center"/>
          </w:tcPr>
          <w:p w14:paraId="2C9E4C5D">
            <w:pPr>
              <w:jc w:val="center"/>
              <w:rPr>
                <w:bCs/>
                <w:color w:val="000000"/>
                <w:szCs w:val="21"/>
              </w:rPr>
            </w:pPr>
            <w:r>
              <w:rPr>
                <w:rFonts w:hint="eastAsia"/>
                <w:bCs/>
                <w:color w:val="000000"/>
                <w:szCs w:val="21"/>
              </w:rPr>
              <w:t>达标</w:t>
            </w:r>
          </w:p>
        </w:tc>
      </w:tr>
      <w:tr w14:paraId="64B22A63">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1086" w:type="pct"/>
            <w:vMerge w:val="continue"/>
            <w:tcBorders>
              <w:tl2br w:val="nil"/>
              <w:tr2bl w:val="nil"/>
            </w:tcBorders>
            <w:vAlign w:val="center"/>
          </w:tcPr>
          <w:p w14:paraId="054FBD01">
            <w:pPr>
              <w:jc w:val="center"/>
              <w:rPr>
                <w:bCs/>
                <w:color w:val="000000"/>
                <w:szCs w:val="21"/>
              </w:rPr>
            </w:pPr>
          </w:p>
        </w:tc>
        <w:tc>
          <w:tcPr>
            <w:tcW w:w="593" w:type="pct"/>
            <w:tcBorders>
              <w:tl2br w:val="nil"/>
              <w:tr2bl w:val="nil"/>
            </w:tcBorders>
            <w:vAlign w:val="center"/>
          </w:tcPr>
          <w:p w14:paraId="5F1278B9">
            <w:pPr>
              <w:jc w:val="center"/>
              <w:rPr>
                <w:bCs/>
                <w:color w:val="000000"/>
                <w:szCs w:val="21"/>
              </w:rPr>
            </w:pPr>
            <w:r>
              <w:rPr>
                <w:rFonts w:hint="eastAsia"/>
                <w:bCs/>
                <w:color w:val="000000"/>
                <w:szCs w:val="21"/>
              </w:rPr>
              <w:t>夜间</w:t>
            </w:r>
          </w:p>
        </w:tc>
        <w:tc>
          <w:tcPr>
            <w:tcW w:w="679" w:type="pct"/>
            <w:tcBorders>
              <w:tl2br w:val="nil"/>
              <w:tr2bl w:val="nil"/>
            </w:tcBorders>
            <w:vAlign w:val="center"/>
          </w:tcPr>
          <w:p w14:paraId="62AE353C">
            <w:pPr>
              <w:jc w:val="center"/>
              <w:rPr>
                <w:bCs/>
                <w:color w:val="000000"/>
                <w:szCs w:val="21"/>
              </w:rPr>
            </w:pPr>
            <w:r>
              <w:rPr>
                <w:rFonts w:hint="eastAsia"/>
                <w:bCs/>
                <w:color w:val="000000"/>
                <w:szCs w:val="21"/>
              </w:rPr>
              <w:t>42</w:t>
            </w:r>
          </w:p>
        </w:tc>
        <w:tc>
          <w:tcPr>
            <w:tcW w:w="618" w:type="pct"/>
            <w:tcBorders>
              <w:tl2br w:val="nil"/>
              <w:tr2bl w:val="nil"/>
            </w:tcBorders>
            <w:vAlign w:val="center"/>
          </w:tcPr>
          <w:p w14:paraId="503D2B71">
            <w:pPr>
              <w:jc w:val="center"/>
              <w:rPr>
                <w:bCs/>
                <w:color w:val="000000"/>
                <w:szCs w:val="21"/>
              </w:rPr>
            </w:pPr>
            <w:r>
              <w:rPr>
                <w:rFonts w:hint="eastAsia"/>
                <w:bCs/>
                <w:color w:val="000000"/>
                <w:szCs w:val="21"/>
              </w:rPr>
              <w:t>36.91</w:t>
            </w:r>
          </w:p>
        </w:tc>
        <w:tc>
          <w:tcPr>
            <w:tcW w:w="751" w:type="pct"/>
            <w:tcBorders>
              <w:tl2br w:val="nil"/>
              <w:tr2bl w:val="nil"/>
            </w:tcBorders>
            <w:vAlign w:val="center"/>
          </w:tcPr>
          <w:p w14:paraId="55B8766D">
            <w:pPr>
              <w:jc w:val="center"/>
              <w:rPr>
                <w:bCs/>
                <w:color w:val="000000"/>
                <w:szCs w:val="21"/>
              </w:rPr>
            </w:pPr>
            <w:r>
              <w:rPr>
                <w:rFonts w:hint="eastAsia"/>
                <w:bCs/>
                <w:color w:val="000000"/>
                <w:szCs w:val="21"/>
              </w:rPr>
              <w:t>43.0</w:t>
            </w:r>
          </w:p>
        </w:tc>
        <w:tc>
          <w:tcPr>
            <w:tcW w:w="661" w:type="pct"/>
            <w:tcBorders>
              <w:tl2br w:val="nil"/>
              <w:tr2bl w:val="nil"/>
            </w:tcBorders>
            <w:vAlign w:val="center"/>
          </w:tcPr>
          <w:p w14:paraId="20A40E6A">
            <w:pPr>
              <w:jc w:val="center"/>
              <w:rPr>
                <w:bCs/>
                <w:color w:val="000000"/>
                <w:szCs w:val="21"/>
              </w:rPr>
            </w:pPr>
            <w:r>
              <w:rPr>
                <w:rFonts w:hint="eastAsia"/>
                <w:bCs/>
                <w:color w:val="000000"/>
                <w:szCs w:val="21"/>
              </w:rPr>
              <w:t>50</w:t>
            </w:r>
          </w:p>
        </w:tc>
        <w:tc>
          <w:tcPr>
            <w:tcW w:w="612" w:type="pct"/>
            <w:tcBorders>
              <w:tl2br w:val="nil"/>
              <w:tr2bl w:val="nil"/>
            </w:tcBorders>
            <w:vAlign w:val="center"/>
          </w:tcPr>
          <w:p w14:paraId="50C9B1AD">
            <w:pPr>
              <w:jc w:val="center"/>
              <w:rPr>
                <w:bCs/>
                <w:color w:val="000000"/>
                <w:szCs w:val="21"/>
              </w:rPr>
            </w:pPr>
            <w:r>
              <w:rPr>
                <w:rFonts w:hint="eastAsia"/>
                <w:bCs/>
                <w:color w:val="000000"/>
                <w:szCs w:val="21"/>
              </w:rPr>
              <w:t>达标</w:t>
            </w:r>
          </w:p>
        </w:tc>
      </w:tr>
      <w:bookmarkEnd w:id="319"/>
      <w:bookmarkEnd w:id="320"/>
      <w:bookmarkEnd w:id="321"/>
      <w:bookmarkEnd w:id="322"/>
    </w:tbl>
    <w:p w14:paraId="2211116D">
      <w:pPr>
        <w:widowControl/>
        <w:spacing w:line="360" w:lineRule="auto"/>
        <w:ind w:firstLine="480" w:firstLineChars="200"/>
        <w:rPr>
          <w:color w:val="000000"/>
          <w:kern w:val="0"/>
          <w:sz w:val="24"/>
          <w:szCs w:val="24"/>
        </w:rPr>
      </w:pPr>
      <w:r>
        <w:rPr>
          <w:color w:val="000000"/>
          <w:kern w:val="0"/>
          <w:sz w:val="24"/>
          <w:szCs w:val="24"/>
        </w:rPr>
        <w:t>从表</w:t>
      </w:r>
      <w:r>
        <w:rPr>
          <w:rFonts w:hint="eastAsia"/>
          <w:color w:val="000000"/>
          <w:kern w:val="0"/>
          <w:sz w:val="24"/>
          <w:szCs w:val="24"/>
        </w:rPr>
        <w:t>5</w:t>
      </w:r>
      <w:r>
        <w:rPr>
          <w:color w:val="000000"/>
          <w:kern w:val="0"/>
          <w:sz w:val="24"/>
          <w:szCs w:val="24"/>
        </w:rPr>
        <w:t>.</w:t>
      </w:r>
      <w:r>
        <w:rPr>
          <w:rFonts w:hint="eastAsia"/>
          <w:color w:val="000000"/>
          <w:kern w:val="0"/>
          <w:sz w:val="24"/>
          <w:szCs w:val="24"/>
        </w:rPr>
        <w:t>2-2</w:t>
      </w:r>
      <w:r>
        <w:rPr>
          <w:rFonts w:hint="eastAsia"/>
          <w:color w:val="000000"/>
          <w:kern w:val="0"/>
          <w:sz w:val="24"/>
          <w:szCs w:val="24"/>
          <w:lang w:val="en-US" w:eastAsia="zh-CN"/>
        </w:rPr>
        <w:t>4</w:t>
      </w:r>
      <w:r>
        <w:rPr>
          <w:color w:val="000000"/>
          <w:kern w:val="0"/>
          <w:sz w:val="24"/>
          <w:szCs w:val="24"/>
        </w:rPr>
        <w:t>预测结果可知，</w:t>
      </w:r>
      <w:r>
        <w:rPr>
          <w:rFonts w:hint="eastAsia"/>
          <w:color w:val="000000"/>
          <w:kern w:val="0"/>
          <w:sz w:val="24"/>
          <w:szCs w:val="24"/>
        </w:rPr>
        <w:t>项目厂界东、南、西、北侧预测值</w:t>
      </w:r>
      <w:r>
        <w:rPr>
          <w:color w:val="000000"/>
          <w:kern w:val="0"/>
          <w:sz w:val="24"/>
          <w:szCs w:val="24"/>
        </w:rPr>
        <w:t>昼、夜间均符合《工业</w:t>
      </w:r>
      <w:r>
        <w:rPr>
          <w:color w:val="000000"/>
          <w:spacing w:val="-6"/>
          <w:kern w:val="0"/>
          <w:sz w:val="24"/>
          <w:szCs w:val="24"/>
        </w:rPr>
        <w:t>企业厂界环境噪声排放标准》</w:t>
      </w:r>
      <w:r>
        <w:rPr>
          <w:color w:val="000000"/>
          <w:spacing w:val="-3"/>
          <w:kern w:val="0"/>
          <w:sz w:val="24"/>
          <w:szCs w:val="24"/>
        </w:rPr>
        <w:t>（</w:t>
      </w:r>
      <w:r>
        <w:rPr>
          <w:rFonts w:eastAsia="Times New Roman"/>
          <w:color w:val="000000"/>
          <w:spacing w:val="-3"/>
          <w:kern w:val="0"/>
          <w:sz w:val="24"/>
          <w:szCs w:val="24"/>
        </w:rPr>
        <w:t>GB12348-2008</w:t>
      </w:r>
      <w:r>
        <w:rPr>
          <w:color w:val="000000"/>
          <w:spacing w:val="-3"/>
          <w:kern w:val="0"/>
          <w:sz w:val="24"/>
          <w:szCs w:val="24"/>
        </w:rPr>
        <w:t>）</w:t>
      </w:r>
      <w:r>
        <w:rPr>
          <w:color w:val="000000"/>
          <w:kern w:val="0"/>
          <w:sz w:val="24"/>
          <w:szCs w:val="24"/>
        </w:rPr>
        <w:t>中的</w:t>
      </w:r>
      <w:r>
        <w:rPr>
          <w:rFonts w:hint="eastAsia"/>
          <w:color w:val="000000"/>
          <w:kern w:val="0"/>
          <w:sz w:val="24"/>
          <w:szCs w:val="24"/>
        </w:rPr>
        <w:t>2</w:t>
      </w:r>
      <w:r>
        <w:rPr>
          <w:color w:val="000000"/>
          <w:spacing w:val="-7"/>
          <w:kern w:val="0"/>
          <w:sz w:val="24"/>
          <w:szCs w:val="24"/>
        </w:rPr>
        <w:t>类标准</w:t>
      </w:r>
      <w:r>
        <w:rPr>
          <w:color w:val="000000"/>
          <w:kern w:val="0"/>
          <w:sz w:val="24"/>
          <w:szCs w:val="24"/>
        </w:rPr>
        <w:t>。</w:t>
      </w:r>
    </w:p>
    <w:p w14:paraId="03D646F0">
      <w:pPr>
        <w:widowControl/>
        <w:spacing w:line="360" w:lineRule="auto"/>
        <w:ind w:firstLine="480" w:firstLineChars="200"/>
        <w:rPr>
          <w:color w:val="000000"/>
          <w:spacing w:val="-6"/>
          <w:kern w:val="0"/>
          <w:sz w:val="24"/>
          <w:szCs w:val="24"/>
        </w:rPr>
      </w:pPr>
      <w:r>
        <w:rPr>
          <w:rFonts w:hint="eastAsia"/>
          <w:color w:val="000000"/>
          <w:kern w:val="0"/>
          <w:sz w:val="24"/>
          <w:szCs w:val="24"/>
        </w:rPr>
        <w:t>本项目建成投产后，环评要求建设单位加强对设备的维护，及时更换损坏的零部件，避免设备带病</w:t>
      </w:r>
      <w:r>
        <w:rPr>
          <w:rFonts w:hint="eastAsia"/>
          <w:color w:val="000000"/>
          <w:spacing w:val="-6"/>
          <w:kern w:val="0"/>
          <w:sz w:val="24"/>
          <w:szCs w:val="24"/>
        </w:rPr>
        <w:t>工作，减少非正常噪声。</w:t>
      </w:r>
    </w:p>
    <w:p w14:paraId="4E6C0B7A">
      <w:pPr>
        <w:widowControl/>
        <w:spacing w:line="360" w:lineRule="auto"/>
        <w:ind w:firstLine="456" w:firstLineChars="200"/>
        <w:rPr>
          <w:color w:val="000000"/>
          <w:spacing w:val="-6"/>
          <w:kern w:val="0"/>
          <w:sz w:val="24"/>
          <w:szCs w:val="24"/>
        </w:rPr>
      </w:pPr>
      <w:r>
        <w:rPr>
          <w:color w:val="000000"/>
          <w:spacing w:val="-6"/>
          <w:kern w:val="0"/>
          <w:sz w:val="24"/>
          <w:szCs w:val="24"/>
        </w:rPr>
        <w:t>大气环境影响评价自查表见表5.2-</w:t>
      </w:r>
      <w:r>
        <w:rPr>
          <w:rFonts w:hint="eastAsia"/>
          <w:color w:val="000000"/>
          <w:spacing w:val="-6"/>
          <w:kern w:val="0"/>
          <w:sz w:val="24"/>
          <w:szCs w:val="24"/>
        </w:rPr>
        <w:t>2</w:t>
      </w:r>
      <w:r>
        <w:rPr>
          <w:rFonts w:hint="eastAsia"/>
          <w:color w:val="000000"/>
          <w:spacing w:val="-6"/>
          <w:kern w:val="0"/>
          <w:sz w:val="24"/>
          <w:szCs w:val="24"/>
          <w:lang w:val="en-US" w:eastAsia="zh-CN"/>
        </w:rPr>
        <w:t>5</w:t>
      </w:r>
      <w:r>
        <w:rPr>
          <w:color w:val="000000"/>
          <w:spacing w:val="-6"/>
          <w:kern w:val="0"/>
          <w:sz w:val="24"/>
          <w:szCs w:val="24"/>
        </w:rPr>
        <w:t>。</w:t>
      </w:r>
    </w:p>
    <w:p w14:paraId="22011A31">
      <w:pPr>
        <w:jc w:val="center"/>
        <w:rPr>
          <w:b/>
          <w:color w:val="000000"/>
          <w:szCs w:val="21"/>
        </w:rPr>
      </w:pPr>
    </w:p>
    <w:p w14:paraId="702CC68B">
      <w:pPr>
        <w:jc w:val="center"/>
        <w:rPr>
          <w:b/>
          <w:color w:val="000000"/>
          <w:sz w:val="24"/>
          <w:szCs w:val="24"/>
        </w:rPr>
      </w:pPr>
      <w:r>
        <w:rPr>
          <w:b/>
          <w:color w:val="000000"/>
          <w:szCs w:val="21"/>
        </w:rPr>
        <w:t>表5.2-</w:t>
      </w:r>
      <w:r>
        <w:rPr>
          <w:rFonts w:hint="eastAsia"/>
          <w:b/>
          <w:color w:val="000000"/>
          <w:szCs w:val="21"/>
        </w:rPr>
        <w:t>2</w:t>
      </w:r>
      <w:r>
        <w:rPr>
          <w:rFonts w:hint="eastAsia"/>
          <w:b/>
          <w:color w:val="000000"/>
          <w:szCs w:val="21"/>
          <w:lang w:val="en-US" w:eastAsia="zh-CN"/>
        </w:rPr>
        <w:t>5</w:t>
      </w:r>
      <w:r>
        <w:rPr>
          <w:b/>
          <w:color w:val="000000"/>
          <w:szCs w:val="21"/>
        </w:rPr>
        <w:t xml:space="preserve">    声环境影响自查表</w:t>
      </w:r>
    </w:p>
    <w:tbl>
      <w:tblPr>
        <w:tblStyle w:val="50"/>
        <w:tblW w:w="5024" w:type="pct"/>
        <w:tblInd w:w="0" w:type="dxa"/>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autofit"/>
        <w:tblCellMar>
          <w:top w:w="0" w:type="dxa"/>
          <w:left w:w="108" w:type="dxa"/>
          <w:bottom w:w="0" w:type="dxa"/>
          <w:right w:w="108" w:type="dxa"/>
        </w:tblCellMar>
      </w:tblPr>
      <w:tblGrid>
        <w:gridCol w:w="952"/>
        <w:gridCol w:w="1574"/>
        <w:gridCol w:w="6037"/>
      </w:tblGrid>
      <w:tr w14:paraId="18A986A1">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60" w:hRule="atLeast"/>
        </w:trPr>
        <w:tc>
          <w:tcPr>
            <w:tcW w:w="1475" w:type="pct"/>
            <w:gridSpan w:val="2"/>
            <w:tcBorders>
              <w:tl2br w:val="nil"/>
              <w:tr2bl w:val="nil"/>
            </w:tcBorders>
            <w:vAlign w:val="center"/>
          </w:tcPr>
          <w:p w14:paraId="00C9A2DC">
            <w:pPr>
              <w:adjustRightInd w:val="0"/>
              <w:snapToGrid w:val="0"/>
              <w:jc w:val="center"/>
              <w:rPr>
                <w:color w:val="000000"/>
                <w:kern w:val="0"/>
                <w:szCs w:val="21"/>
              </w:rPr>
            </w:pPr>
            <w:r>
              <w:rPr>
                <w:color w:val="000000"/>
                <w:kern w:val="0"/>
                <w:szCs w:val="21"/>
              </w:rPr>
              <w:t>工作内容</w:t>
            </w:r>
          </w:p>
        </w:tc>
        <w:tc>
          <w:tcPr>
            <w:tcW w:w="3524" w:type="pct"/>
            <w:tcBorders>
              <w:tl2br w:val="nil"/>
              <w:tr2bl w:val="nil"/>
            </w:tcBorders>
            <w:vAlign w:val="center"/>
          </w:tcPr>
          <w:p w14:paraId="527975D0">
            <w:pPr>
              <w:adjustRightInd w:val="0"/>
              <w:snapToGrid w:val="0"/>
              <w:jc w:val="center"/>
              <w:rPr>
                <w:color w:val="000000"/>
                <w:kern w:val="0"/>
                <w:szCs w:val="21"/>
              </w:rPr>
            </w:pPr>
            <w:r>
              <w:rPr>
                <w:color w:val="000000"/>
                <w:kern w:val="0"/>
                <w:szCs w:val="21"/>
              </w:rPr>
              <w:t>自查项目</w:t>
            </w:r>
          </w:p>
        </w:tc>
      </w:tr>
      <w:tr w14:paraId="2CACEEEB">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53" w:hRule="atLeast"/>
        </w:trPr>
        <w:tc>
          <w:tcPr>
            <w:tcW w:w="556" w:type="pct"/>
            <w:vMerge w:val="restart"/>
            <w:tcBorders>
              <w:tl2br w:val="nil"/>
              <w:tr2bl w:val="nil"/>
            </w:tcBorders>
            <w:vAlign w:val="center"/>
          </w:tcPr>
          <w:p w14:paraId="3A9E9A2B">
            <w:pPr>
              <w:adjustRightInd w:val="0"/>
              <w:snapToGrid w:val="0"/>
              <w:jc w:val="center"/>
              <w:rPr>
                <w:color w:val="000000"/>
                <w:kern w:val="0"/>
                <w:szCs w:val="21"/>
              </w:rPr>
            </w:pPr>
            <w:r>
              <w:rPr>
                <w:color w:val="000000"/>
                <w:kern w:val="0"/>
                <w:szCs w:val="21"/>
              </w:rPr>
              <w:t>评价等级与评价范围</w:t>
            </w:r>
          </w:p>
        </w:tc>
        <w:tc>
          <w:tcPr>
            <w:tcW w:w="918" w:type="pct"/>
            <w:tcBorders>
              <w:tl2br w:val="nil"/>
              <w:tr2bl w:val="nil"/>
            </w:tcBorders>
            <w:vAlign w:val="center"/>
          </w:tcPr>
          <w:p w14:paraId="718D28A1">
            <w:pPr>
              <w:adjustRightInd w:val="0"/>
              <w:snapToGrid w:val="0"/>
              <w:jc w:val="center"/>
              <w:rPr>
                <w:color w:val="000000"/>
                <w:kern w:val="0"/>
                <w:szCs w:val="21"/>
              </w:rPr>
            </w:pPr>
            <w:r>
              <w:rPr>
                <w:color w:val="000000"/>
                <w:kern w:val="0"/>
                <w:szCs w:val="21"/>
              </w:rPr>
              <w:t>评价等级</w:t>
            </w:r>
          </w:p>
        </w:tc>
        <w:tc>
          <w:tcPr>
            <w:tcW w:w="3524" w:type="pct"/>
            <w:tcBorders>
              <w:tl2br w:val="nil"/>
              <w:tr2bl w:val="nil"/>
            </w:tcBorders>
            <w:vAlign w:val="center"/>
          </w:tcPr>
          <w:p w14:paraId="4F5C8D7E">
            <w:pPr>
              <w:adjustRightInd w:val="0"/>
              <w:snapToGrid w:val="0"/>
              <w:jc w:val="center"/>
              <w:rPr>
                <w:color w:val="000000"/>
                <w:kern w:val="0"/>
                <w:szCs w:val="21"/>
              </w:rPr>
            </w:pPr>
            <w:r>
              <w:rPr>
                <w:color w:val="000000"/>
                <w:kern w:val="0"/>
                <w:szCs w:val="21"/>
              </w:rPr>
              <w:t>一级</w:t>
            </w:r>
            <w:r>
              <w:rPr>
                <w:color w:val="000000"/>
                <w:kern w:val="0"/>
                <w:szCs w:val="21"/>
              </w:rPr>
              <w:sym w:font="Wingdings" w:char="00A8"/>
            </w:r>
            <w:r>
              <w:rPr>
                <w:color w:val="000000"/>
                <w:kern w:val="0"/>
                <w:szCs w:val="21"/>
              </w:rPr>
              <w:t xml:space="preserve">                  二级</w:t>
            </w:r>
            <w:r>
              <w:rPr>
                <w:color w:val="000000"/>
                <w:kern w:val="0"/>
                <w:szCs w:val="21"/>
              </w:rPr>
              <w:sym w:font="Wingdings" w:char="00FE"/>
            </w:r>
            <w:r>
              <w:rPr>
                <w:color w:val="000000"/>
                <w:kern w:val="0"/>
                <w:szCs w:val="21"/>
              </w:rPr>
              <w:t xml:space="preserve">                三级</w:t>
            </w:r>
            <w:r>
              <w:rPr>
                <w:color w:val="000000"/>
                <w:kern w:val="0"/>
                <w:szCs w:val="21"/>
              </w:rPr>
              <w:sym w:font="Wingdings" w:char="00A8"/>
            </w:r>
          </w:p>
        </w:tc>
      </w:tr>
      <w:tr w14:paraId="5253495E">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464" w:hRule="atLeast"/>
        </w:trPr>
        <w:tc>
          <w:tcPr>
            <w:tcW w:w="556" w:type="pct"/>
            <w:vMerge w:val="continue"/>
            <w:tcBorders>
              <w:tl2br w:val="nil"/>
              <w:tr2bl w:val="nil"/>
            </w:tcBorders>
            <w:vAlign w:val="center"/>
          </w:tcPr>
          <w:p w14:paraId="0156868A">
            <w:pPr>
              <w:adjustRightInd w:val="0"/>
              <w:snapToGrid w:val="0"/>
              <w:jc w:val="center"/>
              <w:rPr>
                <w:color w:val="000000"/>
                <w:kern w:val="0"/>
                <w:szCs w:val="21"/>
              </w:rPr>
            </w:pPr>
          </w:p>
        </w:tc>
        <w:tc>
          <w:tcPr>
            <w:tcW w:w="918" w:type="pct"/>
            <w:tcBorders>
              <w:tl2br w:val="nil"/>
              <w:tr2bl w:val="nil"/>
            </w:tcBorders>
            <w:vAlign w:val="center"/>
          </w:tcPr>
          <w:p w14:paraId="6F741573">
            <w:pPr>
              <w:adjustRightInd w:val="0"/>
              <w:snapToGrid w:val="0"/>
              <w:jc w:val="center"/>
              <w:rPr>
                <w:color w:val="000000"/>
                <w:kern w:val="0"/>
                <w:szCs w:val="21"/>
              </w:rPr>
            </w:pPr>
            <w:r>
              <w:rPr>
                <w:color w:val="000000"/>
                <w:kern w:val="0"/>
                <w:szCs w:val="21"/>
              </w:rPr>
              <w:t>评价范围</w:t>
            </w:r>
          </w:p>
        </w:tc>
        <w:tc>
          <w:tcPr>
            <w:tcW w:w="3524" w:type="pct"/>
            <w:tcBorders>
              <w:tl2br w:val="nil"/>
              <w:tr2bl w:val="nil"/>
            </w:tcBorders>
            <w:vAlign w:val="center"/>
          </w:tcPr>
          <w:p w14:paraId="5367DB42">
            <w:pPr>
              <w:adjustRightInd w:val="0"/>
              <w:snapToGrid w:val="0"/>
              <w:jc w:val="center"/>
              <w:rPr>
                <w:color w:val="000000"/>
                <w:kern w:val="0"/>
                <w:szCs w:val="21"/>
              </w:rPr>
            </w:pPr>
            <w:r>
              <w:rPr>
                <w:color w:val="000000"/>
                <w:kern w:val="0"/>
                <w:szCs w:val="21"/>
              </w:rPr>
              <w:t xml:space="preserve">200m </w:t>
            </w:r>
            <w:r>
              <w:rPr>
                <w:color w:val="000000"/>
                <w:kern w:val="0"/>
                <w:szCs w:val="21"/>
              </w:rPr>
              <w:sym w:font="Wingdings" w:char="00FE"/>
            </w:r>
            <w:r>
              <w:rPr>
                <w:color w:val="000000"/>
                <w:kern w:val="0"/>
                <w:szCs w:val="21"/>
              </w:rPr>
              <w:t xml:space="preserve">             大于200m</w:t>
            </w:r>
            <w:r>
              <w:rPr>
                <w:color w:val="000000"/>
                <w:kern w:val="0"/>
                <w:szCs w:val="21"/>
              </w:rPr>
              <w:sym w:font="Wingdings" w:char="00A8"/>
            </w:r>
            <w:r>
              <w:rPr>
                <w:color w:val="000000"/>
                <w:kern w:val="0"/>
                <w:szCs w:val="21"/>
              </w:rPr>
              <w:t xml:space="preserve">            小于200m</w:t>
            </w:r>
            <w:r>
              <w:rPr>
                <w:color w:val="000000"/>
                <w:kern w:val="0"/>
                <w:szCs w:val="21"/>
              </w:rPr>
              <w:sym w:font="Wingdings" w:char="00A8"/>
            </w:r>
          </w:p>
        </w:tc>
      </w:tr>
      <w:tr w14:paraId="43F7695A">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04" w:hRule="atLeast"/>
        </w:trPr>
        <w:tc>
          <w:tcPr>
            <w:tcW w:w="556" w:type="pct"/>
            <w:tcBorders>
              <w:tl2br w:val="nil"/>
              <w:tr2bl w:val="nil"/>
            </w:tcBorders>
            <w:vAlign w:val="center"/>
          </w:tcPr>
          <w:p w14:paraId="6032858C">
            <w:pPr>
              <w:adjustRightInd w:val="0"/>
              <w:snapToGrid w:val="0"/>
              <w:jc w:val="center"/>
              <w:rPr>
                <w:color w:val="000000"/>
                <w:kern w:val="0"/>
                <w:szCs w:val="21"/>
              </w:rPr>
            </w:pPr>
            <w:r>
              <w:rPr>
                <w:color w:val="000000"/>
                <w:kern w:val="0"/>
                <w:szCs w:val="21"/>
              </w:rPr>
              <w:t>评价因子</w:t>
            </w:r>
          </w:p>
        </w:tc>
        <w:tc>
          <w:tcPr>
            <w:tcW w:w="918" w:type="pct"/>
            <w:tcBorders>
              <w:tl2br w:val="nil"/>
              <w:tr2bl w:val="nil"/>
            </w:tcBorders>
            <w:vAlign w:val="center"/>
          </w:tcPr>
          <w:p w14:paraId="0D3A2301">
            <w:pPr>
              <w:adjustRightInd w:val="0"/>
              <w:snapToGrid w:val="0"/>
              <w:jc w:val="center"/>
              <w:rPr>
                <w:color w:val="000000"/>
                <w:kern w:val="0"/>
                <w:szCs w:val="21"/>
              </w:rPr>
            </w:pPr>
            <w:r>
              <w:rPr>
                <w:color w:val="000000"/>
                <w:kern w:val="0"/>
                <w:szCs w:val="21"/>
              </w:rPr>
              <w:t>评价因子</w:t>
            </w:r>
          </w:p>
        </w:tc>
        <w:tc>
          <w:tcPr>
            <w:tcW w:w="3524" w:type="pct"/>
            <w:tcBorders>
              <w:tl2br w:val="nil"/>
              <w:tr2bl w:val="nil"/>
            </w:tcBorders>
            <w:vAlign w:val="center"/>
          </w:tcPr>
          <w:p w14:paraId="0A5D9A5C">
            <w:pPr>
              <w:adjustRightInd w:val="0"/>
              <w:snapToGrid w:val="0"/>
              <w:jc w:val="center"/>
              <w:rPr>
                <w:color w:val="000000"/>
                <w:kern w:val="0"/>
                <w:szCs w:val="21"/>
              </w:rPr>
            </w:pPr>
            <w:r>
              <w:rPr>
                <w:color w:val="000000"/>
                <w:kern w:val="0"/>
                <w:szCs w:val="21"/>
              </w:rPr>
              <w:t>等效连续A声级</w:t>
            </w:r>
            <w:r>
              <w:rPr>
                <w:color w:val="000000"/>
                <w:kern w:val="0"/>
                <w:szCs w:val="21"/>
              </w:rPr>
              <w:sym w:font="Wingdings" w:char="00FE"/>
            </w:r>
            <w:r>
              <w:rPr>
                <w:color w:val="000000"/>
                <w:kern w:val="0"/>
                <w:szCs w:val="21"/>
              </w:rPr>
              <w:t xml:space="preserve">  最大A声级</w:t>
            </w:r>
            <w:r>
              <w:rPr>
                <w:color w:val="000000"/>
                <w:kern w:val="0"/>
                <w:szCs w:val="21"/>
              </w:rPr>
              <w:sym w:font="Wingdings" w:char="00A8"/>
            </w:r>
            <w:r>
              <w:rPr>
                <w:color w:val="000000"/>
                <w:kern w:val="0"/>
                <w:szCs w:val="21"/>
              </w:rPr>
              <w:t xml:space="preserve">   计权等效连续感觉噪声级</w:t>
            </w:r>
            <w:r>
              <w:rPr>
                <w:color w:val="000000"/>
                <w:kern w:val="0"/>
                <w:szCs w:val="21"/>
              </w:rPr>
              <w:sym w:font="Wingdings" w:char="00A8"/>
            </w:r>
          </w:p>
        </w:tc>
      </w:tr>
      <w:tr w14:paraId="2036212B">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04" w:hRule="atLeast"/>
        </w:trPr>
        <w:tc>
          <w:tcPr>
            <w:tcW w:w="556" w:type="pct"/>
            <w:tcBorders>
              <w:tl2br w:val="nil"/>
              <w:tr2bl w:val="nil"/>
            </w:tcBorders>
            <w:vAlign w:val="center"/>
          </w:tcPr>
          <w:p w14:paraId="059188CD">
            <w:pPr>
              <w:adjustRightInd w:val="0"/>
              <w:snapToGrid w:val="0"/>
              <w:jc w:val="center"/>
              <w:rPr>
                <w:color w:val="000000"/>
                <w:kern w:val="0"/>
                <w:szCs w:val="21"/>
              </w:rPr>
            </w:pPr>
            <w:r>
              <w:rPr>
                <w:color w:val="000000"/>
                <w:kern w:val="0"/>
                <w:szCs w:val="21"/>
              </w:rPr>
              <w:t>评价标准</w:t>
            </w:r>
          </w:p>
        </w:tc>
        <w:tc>
          <w:tcPr>
            <w:tcW w:w="918" w:type="pct"/>
            <w:tcBorders>
              <w:tl2br w:val="nil"/>
              <w:tr2bl w:val="nil"/>
            </w:tcBorders>
            <w:vAlign w:val="center"/>
          </w:tcPr>
          <w:p w14:paraId="3B39D18D">
            <w:pPr>
              <w:adjustRightInd w:val="0"/>
              <w:snapToGrid w:val="0"/>
              <w:jc w:val="center"/>
              <w:rPr>
                <w:color w:val="000000"/>
                <w:kern w:val="0"/>
                <w:szCs w:val="21"/>
              </w:rPr>
            </w:pPr>
            <w:r>
              <w:rPr>
                <w:color w:val="000000"/>
                <w:kern w:val="0"/>
                <w:szCs w:val="21"/>
              </w:rPr>
              <w:t>评价标准</w:t>
            </w:r>
          </w:p>
        </w:tc>
        <w:tc>
          <w:tcPr>
            <w:tcW w:w="3524" w:type="pct"/>
            <w:tcBorders>
              <w:tl2br w:val="nil"/>
              <w:tr2bl w:val="nil"/>
            </w:tcBorders>
            <w:vAlign w:val="center"/>
          </w:tcPr>
          <w:p w14:paraId="3428E717">
            <w:pPr>
              <w:adjustRightInd w:val="0"/>
              <w:snapToGrid w:val="0"/>
              <w:jc w:val="center"/>
              <w:rPr>
                <w:color w:val="000000"/>
                <w:kern w:val="0"/>
                <w:szCs w:val="21"/>
              </w:rPr>
            </w:pPr>
            <w:r>
              <w:rPr>
                <w:color w:val="000000"/>
                <w:kern w:val="0"/>
                <w:szCs w:val="21"/>
              </w:rPr>
              <w:t>国家标准</w:t>
            </w:r>
            <w:r>
              <w:rPr>
                <w:color w:val="000000"/>
                <w:kern w:val="0"/>
                <w:szCs w:val="21"/>
              </w:rPr>
              <w:sym w:font="Wingdings" w:char="00FE"/>
            </w:r>
            <w:r>
              <w:rPr>
                <w:color w:val="000000"/>
                <w:kern w:val="0"/>
                <w:szCs w:val="21"/>
              </w:rPr>
              <w:t xml:space="preserve">      </w:t>
            </w:r>
            <w:r>
              <w:rPr>
                <w:rFonts w:hint="eastAsia"/>
                <w:color w:val="000000"/>
                <w:kern w:val="0"/>
                <w:szCs w:val="21"/>
              </w:rPr>
              <w:t xml:space="preserve">      </w:t>
            </w:r>
            <w:r>
              <w:rPr>
                <w:color w:val="000000"/>
                <w:kern w:val="0"/>
                <w:szCs w:val="21"/>
              </w:rPr>
              <w:t>地方标准</w:t>
            </w:r>
            <w:r>
              <w:rPr>
                <w:color w:val="000000"/>
                <w:kern w:val="0"/>
                <w:szCs w:val="21"/>
              </w:rPr>
              <w:sym w:font="Wingdings" w:char="00A8"/>
            </w:r>
            <w:r>
              <w:rPr>
                <w:color w:val="000000"/>
                <w:kern w:val="0"/>
                <w:szCs w:val="21"/>
              </w:rPr>
              <w:t xml:space="preserve">            国外标准</w:t>
            </w:r>
            <w:r>
              <w:rPr>
                <w:color w:val="000000"/>
                <w:kern w:val="0"/>
                <w:szCs w:val="21"/>
              </w:rPr>
              <w:sym w:font="Wingdings" w:char="00A8"/>
            </w:r>
          </w:p>
        </w:tc>
      </w:tr>
      <w:tr w14:paraId="4F552608">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429" w:hRule="atLeast"/>
        </w:trPr>
        <w:tc>
          <w:tcPr>
            <w:tcW w:w="556" w:type="pct"/>
            <w:vMerge w:val="restart"/>
            <w:tcBorders>
              <w:tl2br w:val="nil"/>
              <w:tr2bl w:val="nil"/>
            </w:tcBorders>
            <w:vAlign w:val="center"/>
          </w:tcPr>
          <w:p w14:paraId="57A330DB">
            <w:pPr>
              <w:adjustRightInd w:val="0"/>
              <w:snapToGrid w:val="0"/>
              <w:jc w:val="center"/>
              <w:rPr>
                <w:color w:val="000000"/>
                <w:kern w:val="0"/>
                <w:szCs w:val="21"/>
              </w:rPr>
            </w:pPr>
            <w:r>
              <w:rPr>
                <w:color w:val="000000"/>
                <w:kern w:val="0"/>
                <w:szCs w:val="21"/>
              </w:rPr>
              <w:t>现状评价</w:t>
            </w:r>
          </w:p>
        </w:tc>
        <w:tc>
          <w:tcPr>
            <w:tcW w:w="918" w:type="pct"/>
            <w:tcBorders>
              <w:tl2br w:val="nil"/>
              <w:tr2bl w:val="nil"/>
            </w:tcBorders>
            <w:vAlign w:val="center"/>
          </w:tcPr>
          <w:p w14:paraId="2A963147">
            <w:pPr>
              <w:adjustRightInd w:val="0"/>
              <w:snapToGrid w:val="0"/>
              <w:jc w:val="center"/>
              <w:rPr>
                <w:color w:val="000000"/>
                <w:kern w:val="0"/>
                <w:szCs w:val="21"/>
              </w:rPr>
            </w:pPr>
            <w:r>
              <w:rPr>
                <w:color w:val="000000"/>
                <w:kern w:val="0"/>
                <w:szCs w:val="21"/>
              </w:rPr>
              <w:t>环境功能区</w:t>
            </w:r>
          </w:p>
        </w:tc>
        <w:tc>
          <w:tcPr>
            <w:tcW w:w="3524" w:type="pct"/>
            <w:tcBorders>
              <w:tl2br w:val="nil"/>
              <w:tr2bl w:val="nil"/>
            </w:tcBorders>
            <w:vAlign w:val="center"/>
          </w:tcPr>
          <w:p w14:paraId="5EED43F6">
            <w:pPr>
              <w:adjustRightInd w:val="0"/>
              <w:snapToGrid w:val="0"/>
              <w:jc w:val="center"/>
              <w:rPr>
                <w:color w:val="000000"/>
                <w:kern w:val="0"/>
                <w:szCs w:val="21"/>
              </w:rPr>
            </w:pPr>
            <w:r>
              <w:rPr>
                <w:color w:val="000000"/>
                <w:kern w:val="0"/>
                <w:szCs w:val="21"/>
              </w:rPr>
              <w:t>0类区</w:t>
            </w:r>
            <w:r>
              <w:rPr>
                <w:color w:val="000000"/>
                <w:kern w:val="0"/>
                <w:szCs w:val="21"/>
              </w:rPr>
              <w:sym w:font="Wingdings" w:char="00A8"/>
            </w:r>
            <w:r>
              <w:rPr>
                <w:color w:val="000000"/>
                <w:kern w:val="0"/>
                <w:szCs w:val="21"/>
              </w:rPr>
              <w:t xml:space="preserve">  1类区</w:t>
            </w:r>
            <w:r>
              <w:rPr>
                <w:color w:val="000000"/>
                <w:kern w:val="0"/>
                <w:szCs w:val="21"/>
              </w:rPr>
              <w:sym w:font="Wingdings" w:char="00A8"/>
            </w:r>
            <w:r>
              <w:rPr>
                <w:color w:val="000000"/>
                <w:kern w:val="0"/>
                <w:szCs w:val="21"/>
              </w:rPr>
              <w:t xml:space="preserve">   2类区</w:t>
            </w:r>
            <w:r>
              <w:rPr>
                <w:color w:val="000000"/>
                <w:kern w:val="0"/>
                <w:szCs w:val="21"/>
              </w:rPr>
              <w:sym w:font="Wingdings" w:char="00FE"/>
            </w:r>
            <w:r>
              <w:rPr>
                <w:color w:val="000000"/>
                <w:kern w:val="0"/>
                <w:szCs w:val="21"/>
              </w:rPr>
              <w:t xml:space="preserve">  3类区</w:t>
            </w:r>
            <w:r>
              <w:rPr>
                <w:color w:val="000000"/>
                <w:kern w:val="0"/>
                <w:szCs w:val="21"/>
              </w:rPr>
              <w:sym w:font="Wingdings" w:char="00A8"/>
            </w:r>
            <w:r>
              <w:rPr>
                <w:color w:val="000000"/>
                <w:kern w:val="0"/>
                <w:szCs w:val="21"/>
              </w:rPr>
              <w:t xml:space="preserve">  4a类区</w:t>
            </w:r>
            <w:r>
              <w:rPr>
                <w:color w:val="000000"/>
                <w:kern w:val="0"/>
                <w:szCs w:val="21"/>
              </w:rPr>
              <w:sym w:font="Wingdings" w:char="00FE"/>
            </w:r>
            <w:r>
              <w:rPr>
                <w:color w:val="000000"/>
                <w:kern w:val="0"/>
                <w:szCs w:val="21"/>
              </w:rPr>
              <w:t xml:space="preserve">  4b类区</w:t>
            </w:r>
            <w:r>
              <w:rPr>
                <w:color w:val="000000"/>
                <w:kern w:val="0"/>
                <w:szCs w:val="21"/>
              </w:rPr>
              <w:sym w:font="Wingdings" w:char="00A8"/>
            </w:r>
          </w:p>
        </w:tc>
      </w:tr>
      <w:tr w14:paraId="3267C24F">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83" w:hRule="atLeast"/>
        </w:trPr>
        <w:tc>
          <w:tcPr>
            <w:tcW w:w="556" w:type="pct"/>
            <w:vMerge w:val="continue"/>
            <w:tcBorders>
              <w:tl2br w:val="nil"/>
              <w:tr2bl w:val="nil"/>
            </w:tcBorders>
            <w:vAlign w:val="center"/>
          </w:tcPr>
          <w:p w14:paraId="10A0EFCE">
            <w:pPr>
              <w:adjustRightInd w:val="0"/>
              <w:snapToGrid w:val="0"/>
              <w:jc w:val="center"/>
              <w:rPr>
                <w:color w:val="000000"/>
                <w:kern w:val="0"/>
                <w:szCs w:val="21"/>
              </w:rPr>
            </w:pPr>
          </w:p>
        </w:tc>
        <w:tc>
          <w:tcPr>
            <w:tcW w:w="918" w:type="pct"/>
            <w:tcBorders>
              <w:tl2br w:val="nil"/>
              <w:tr2bl w:val="nil"/>
            </w:tcBorders>
            <w:vAlign w:val="center"/>
          </w:tcPr>
          <w:p w14:paraId="091C5EB9">
            <w:pPr>
              <w:adjustRightInd w:val="0"/>
              <w:snapToGrid w:val="0"/>
              <w:jc w:val="center"/>
              <w:rPr>
                <w:color w:val="000000"/>
                <w:kern w:val="0"/>
                <w:szCs w:val="21"/>
              </w:rPr>
            </w:pPr>
            <w:r>
              <w:rPr>
                <w:color w:val="000000"/>
                <w:kern w:val="0"/>
                <w:szCs w:val="21"/>
              </w:rPr>
              <w:t>评价年度</w:t>
            </w:r>
          </w:p>
        </w:tc>
        <w:tc>
          <w:tcPr>
            <w:tcW w:w="3524" w:type="pct"/>
            <w:tcBorders>
              <w:tl2br w:val="nil"/>
              <w:tr2bl w:val="nil"/>
            </w:tcBorders>
            <w:vAlign w:val="center"/>
          </w:tcPr>
          <w:p w14:paraId="206A8B1E">
            <w:pPr>
              <w:adjustRightInd w:val="0"/>
              <w:snapToGrid w:val="0"/>
              <w:jc w:val="center"/>
              <w:rPr>
                <w:color w:val="000000"/>
                <w:kern w:val="0"/>
                <w:szCs w:val="21"/>
              </w:rPr>
            </w:pPr>
            <w:r>
              <w:rPr>
                <w:color w:val="000000"/>
                <w:kern w:val="0"/>
                <w:szCs w:val="21"/>
              </w:rPr>
              <w:t>初期</w:t>
            </w:r>
            <w:r>
              <w:rPr>
                <w:color w:val="000000"/>
                <w:kern w:val="0"/>
                <w:szCs w:val="21"/>
              </w:rPr>
              <w:sym w:font="Wingdings" w:char="00A8"/>
            </w:r>
            <w:r>
              <w:rPr>
                <w:color w:val="000000"/>
                <w:kern w:val="0"/>
                <w:szCs w:val="21"/>
              </w:rPr>
              <w:t xml:space="preserve">        近期</w:t>
            </w:r>
            <w:r>
              <w:rPr>
                <w:color w:val="000000"/>
                <w:kern w:val="0"/>
                <w:szCs w:val="21"/>
              </w:rPr>
              <w:sym w:font="Wingdings" w:char="00FE"/>
            </w:r>
            <w:r>
              <w:rPr>
                <w:color w:val="000000"/>
                <w:kern w:val="0"/>
                <w:szCs w:val="21"/>
              </w:rPr>
              <w:t xml:space="preserve">       中期</w:t>
            </w:r>
            <w:r>
              <w:rPr>
                <w:color w:val="000000"/>
                <w:kern w:val="0"/>
                <w:szCs w:val="21"/>
              </w:rPr>
              <w:sym w:font="Wingdings" w:char="00A8"/>
            </w:r>
            <w:r>
              <w:rPr>
                <w:color w:val="000000"/>
                <w:kern w:val="0"/>
                <w:szCs w:val="21"/>
              </w:rPr>
              <w:t xml:space="preserve">         远期</w:t>
            </w:r>
            <w:r>
              <w:rPr>
                <w:color w:val="000000"/>
                <w:kern w:val="0"/>
                <w:szCs w:val="21"/>
              </w:rPr>
              <w:sym w:font="Wingdings" w:char="00A8"/>
            </w:r>
          </w:p>
        </w:tc>
      </w:tr>
      <w:tr w14:paraId="0724BBD0">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04" w:hRule="atLeast"/>
        </w:trPr>
        <w:tc>
          <w:tcPr>
            <w:tcW w:w="556" w:type="pct"/>
            <w:vMerge w:val="continue"/>
            <w:tcBorders>
              <w:tl2br w:val="nil"/>
              <w:tr2bl w:val="nil"/>
            </w:tcBorders>
            <w:vAlign w:val="center"/>
          </w:tcPr>
          <w:p w14:paraId="51962452">
            <w:pPr>
              <w:adjustRightInd w:val="0"/>
              <w:snapToGrid w:val="0"/>
              <w:jc w:val="center"/>
              <w:rPr>
                <w:color w:val="000000"/>
                <w:kern w:val="0"/>
                <w:szCs w:val="21"/>
              </w:rPr>
            </w:pPr>
          </w:p>
        </w:tc>
        <w:tc>
          <w:tcPr>
            <w:tcW w:w="918" w:type="pct"/>
            <w:tcBorders>
              <w:tl2br w:val="nil"/>
              <w:tr2bl w:val="nil"/>
            </w:tcBorders>
            <w:vAlign w:val="center"/>
          </w:tcPr>
          <w:p w14:paraId="07FC2C8B">
            <w:pPr>
              <w:adjustRightInd w:val="0"/>
              <w:snapToGrid w:val="0"/>
              <w:jc w:val="center"/>
              <w:rPr>
                <w:color w:val="000000"/>
                <w:kern w:val="0"/>
                <w:szCs w:val="21"/>
              </w:rPr>
            </w:pPr>
            <w:r>
              <w:rPr>
                <w:color w:val="000000"/>
                <w:kern w:val="0"/>
                <w:szCs w:val="21"/>
              </w:rPr>
              <w:t>现状调查</w:t>
            </w:r>
          </w:p>
          <w:p w14:paraId="7045804C">
            <w:pPr>
              <w:adjustRightInd w:val="0"/>
              <w:snapToGrid w:val="0"/>
              <w:jc w:val="center"/>
              <w:rPr>
                <w:color w:val="000000"/>
                <w:kern w:val="0"/>
                <w:szCs w:val="21"/>
              </w:rPr>
            </w:pPr>
            <w:r>
              <w:rPr>
                <w:color w:val="000000"/>
                <w:kern w:val="0"/>
                <w:szCs w:val="21"/>
              </w:rPr>
              <w:t>方法</w:t>
            </w:r>
          </w:p>
        </w:tc>
        <w:tc>
          <w:tcPr>
            <w:tcW w:w="3524" w:type="pct"/>
            <w:tcBorders>
              <w:tl2br w:val="nil"/>
              <w:tr2bl w:val="nil"/>
            </w:tcBorders>
            <w:vAlign w:val="center"/>
          </w:tcPr>
          <w:p w14:paraId="3557DF78">
            <w:pPr>
              <w:adjustRightInd w:val="0"/>
              <w:snapToGrid w:val="0"/>
              <w:jc w:val="center"/>
              <w:rPr>
                <w:color w:val="000000"/>
                <w:kern w:val="0"/>
                <w:szCs w:val="21"/>
              </w:rPr>
            </w:pPr>
            <w:r>
              <w:rPr>
                <w:color w:val="000000"/>
                <w:kern w:val="0"/>
                <w:szCs w:val="21"/>
              </w:rPr>
              <w:t>现场实测法</w:t>
            </w:r>
            <w:r>
              <w:rPr>
                <w:color w:val="000000"/>
                <w:kern w:val="0"/>
                <w:szCs w:val="21"/>
              </w:rPr>
              <w:sym w:font="Wingdings" w:char="00FE"/>
            </w:r>
            <w:r>
              <w:rPr>
                <w:color w:val="000000"/>
                <w:kern w:val="0"/>
                <w:szCs w:val="21"/>
              </w:rPr>
              <w:t xml:space="preserve">      现场实测加模型计算法</w:t>
            </w:r>
            <w:r>
              <w:rPr>
                <w:color w:val="000000"/>
                <w:kern w:val="0"/>
                <w:szCs w:val="21"/>
              </w:rPr>
              <w:sym w:font="Wingdings" w:char="00A8"/>
            </w:r>
            <w:r>
              <w:rPr>
                <w:color w:val="000000"/>
                <w:kern w:val="0"/>
                <w:szCs w:val="21"/>
              </w:rPr>
              <w:t xml:space="preserve">     收集资料</w:t>
            </w:r>
            <w:r>
              <w:rPr>
                <w:color w:val="000000"/>
                <w:kern w:val="0"/>
                <w:szCs w:val="21"/>
              </w:rPr>
              <w:sym w:font="Wingdings" w:char="00A8"/>
            </w:r>
          </w:p>
        </w:tc>
      </w:tr>
      <w:tr w14:paraId="11DC4B5E">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68" w:hRule="atLeast"/>
        </w:trPr>
        <w:tc>
          <w:tcPr>
            <w:tcW w:w="556" w:type="pct"/>
            <w:vMerge w:val="continue"/>
            <w:tcBorders>
              <w:tl2br w:val="nil"/>
              <w:tr2bl w:val="nil"/>
            </w:tcBorders>
            <w:vAlign w:val="center"/>
          </w:tcPr>
          <w:p w14:paraId="2745DD66">
            <w:pPr>
              <w:adjustRightInd w:val="0"/>
              <w:snapToGrid w:val="0"/>
              <w:jc w:val="center"/>
              <w:rPr>
                <w:color w:val="000000"/>
                <w:kern w:val="0"/>
                <w:szCs w:val="21"/>
              </w:rPr>
            </w:pPr>
          </w:p>
        </w:tc>
        <w:tc>
          <w:tcPr>
            <w:tcW w:w="918" w:type="pct"/>
            <w:tcBorders>
              <w:tl2br w:val="nil"/>
              <w:tr2bl w:val="nil"/>
            </w:tcBorders>
            <w:vAlign w:val="center"/>
          </w:tcPr>
          <w:p w14:paraId="3E4B6CCB">
            <w:pPr>
              <w:adjustRightInd w:val="0"/>
              <w:snapToGrid w:val="0"/>
              <w:jc w:val="center"/>
              <w:rPr>
                <w:color w:val="000000"/>
                <w:kern w:val="0"/>
                <w:szCs w:val="21"/>
              </w:rPr>
            </w:pPr>
            <w:r>
              <w:rPr>
                <w:color w:val="000000"/>
                <w:kern w:val="0"/>
                <w:szCs w:val="21"/>
              </w:rPr>
              <w:t>现状评价</w:t>
            </w:r>
          </w:p>
        </w:tc>
        <w:tc>
          <w:tcPr>
            <w:tcW w:w="3524" w:type="pct"/>
            <w:tcBorders>
              <w:tl2br w:val="nil"/>
              <w:tr2bl w:val="nil"/>
            </w:tcBorders>
            <w:vAlign w:val="center"/>
          </w:tcPr>
          <w:p w14:paraId="6E99804F">
            <w:pPr>
              <w:adjustRightInd w:val="0"/>
              <w:snapToGrid w:val="0"/>
              <w:jc w:val="center"/>
              <w:rPr>
                <w:color w:val="000000"/>
                <w:kern w:val="0"/>
                <w:szCs w:val="21"/>
              </w:rPr>
            </w:pPr>
            <w:r>
              <w:rPr>
                <w:color w:val="000000"/>
                <w:kern w:val="0"/>
                <w:szCs w:val="21"/>
              </w:rPr>
              <w:t>达标百分比：100%</w:t>
            </w:r>
          </w:p>
        </w:tc>
      </w:tr>
      <w:tr w14:paraId="5B18F3AA">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04" w:hRule="atLeast"/>
        </w:trPr>
        <w:tc>
          <w:tcPr>
            <w:tcW w:w="556" w:type="pct"/>
            <w:tcBorders>
              <w:tl2br w:val="nil"/>
              <w:tr2bl w:val="nil"/>
            </w:tcBorders>
            <w:vAlign w:val="center"/>
          </w:tcPr>
          <w:p w14:paraId="4B440195">
            <w:pPr>
              <w:adjustRightInd w:val="0"/>
              <w:snapToGrid w:val="0"/>
              <w:jc w:val="center"/>
              <w:rPr>
                <w:color w:val="000000"/>
                <w:kern w:val="0"/>
                <w:szCs w:val="21"/>
              </w:rPr>
            </w:pPr>
            <w:r>
              <w:rPr>
                <w:color w:val="000000"/>
                <w:kern w:val="0"/>
                <w:szCs w:val="21"/>
              </w:rPr>
              <w:t>噪声源调查</w:t>
            </w:r>
          </w:p>
        </w:tc>
        <w:tc>
          <w:tcPr>
            <w:tcW w:w="918" w:type="pct"/>
            <w:tcBorders>
              <w:tl2br w:val="nil"/>
              <w:tr2bl w:val="nil"/>
            </w:tcBorders>
            <w:vAlign w:val="center"/>
          </w:tcPr>
          <w:p w14:paraId="0AFD7FF5">
            <w:pPr>
              <w:adjustRightInd w:val="0"/>
              <w:snapToGrid w:val="0"/>
              <w:jc w:val="center"/>
              <w:rPr>
                <w:color w:val="000000"/>
                <w:kern w:val="0"/>
                <w:szCs w:val="21"/>
              </w:rPr>
            </w:pPr>
            <w:r>
              <w:rPr>
                <w:color w:val="000000"/>
                <w:kern w:val="0"/>
                <w:szCs w:val="21"/>
              </w:rPr>
              <w:t>噪声源调查方案</w:t>
            </w:r>
          </w:p>
        </w:tc>
        <w:tc>
          <w:tcPr>
            <w:tcW w:w="3524" w:type="pct"/>
            <w:tcBorders>
              <w:tl2br w:val="nil"/>
              <w:tr2bl w:val="nil"/>
            </w:tcBorders>
            <w:vAlign w:val="center"/>
          </w:tcPr>
          <w:p w14:paraId="3A2290C7">
            <w:pPr>
              <w:adjustRightInd w:val="0"/>
              <w:snapToGrid w:val="0"/>
              <w:jc w:val="center"/>
              <w:rPr>
                <w:color w:val="000000"/>
                <w:kern w:val="0"/>
                <w:szCs w:val="21"/>
              </w:rPr>
            </w:pPr>
            <w:r>
              <w:rPr>
                <w:color w:val="000000"/>
                <w:kern w:val="0"/>
                <w:szCs w:val="21"/>
              </w:rPr>
              <w:t>现场实测</w:t>
            </w:r>
            <w:r>
              <w:rPr>
                <w:color w:val="000000"/>
                <w:kern w:val="0"/>
                <w:szCs w:val="21"/>
              </w:rPr>
              <w:sym w:font="Wingdings" w:char="00A8"/>
            </w:r>
            <w:r>
              <w:rPr>
                <w:color w:val="000000"/>
                <w:kern w:val="0"/>
                <w:szCs w:val="21"/>
              </w:rPr>
              <w:t xml:space="preserve">          已有资料</w:t>
            </w:r>
            <w:r>
              <w:rPr>
                <w:color w:val="000000"/>
                <w:kern w:val="0"/>
                <w:szCs w:val="21"/>
              </w:rPr>
              <w:sym w:font="Wingdings" w:char="00FE"/>
            </w:r>
            <w:r>
              <w:rPr>
                <w:color w:val="000000"/>
                <w:kern w:val="0"/>
                <w:szCs w:val="21"/>
              </w:rPr>
              <w:t xml:space="preserve">               研究成果</w:t>
            </w:r>
            <w:r>
              <w:rPr>
                <w:color w:val="000000"/>
                <w:kern w:val="0"/>
                <w:szCs w:val="21"/>
              </w:rPr>
              <w:sym w:font="Wingdings" w:char="00A8"/>
            </w:r>
          </w:p>
        </w:tc>
      </w:tr>
      <w:tr w14:paraId="656CC3C2">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37" w:hRule="atLeast"/>
        </w:trPr>
        <w:tc>
          <w:tcPr>
            <w:tcW w:w="556" w:type="pct"/>
            <w:vMerge w:val="restart"/>
            <w:tcBorders>
              <w:tl2br w:val="nil"/>
              <w:tr2bl w:val="nil"/>
            </w:tcBorders>
            <w:vAlign w:val="center"/>
          </w:tcPr>
          <w:p w14:paraId="6748A4A3">
            <w:pPr>
              <w:adjustRightInd w:val="0"/>
              <w:snapToGrid w:val="0"/>
              <w:jc w:val="center"/>
              <w:rPr>
                <w:color w:val="000000"/>
                <w:kern w:val="0"/>
                <w:szCs w:val="21"/>
              </w:rPr>
            </w:pPr>
            <w:r>
              <w:rPr>
                <w:color w:val="000000"/>
                <w:kern w:val="0"/>
                <w:szCs w:val="21"/>
              </w:rPr>
              <w:t>声环境影响预测与评价</w:t>
            </w:r>
          </w:p>
        </w:tc>
        <w:tc>
          <w:tcPr>
            <w:tcW w:w="918" w:type="pct"/>
            <w:tcBorders>
              <w:tl2br w:val="nil"/>
              <w:tr2bl w:val="nil"/>
            </w:tcBorders>
            <w:vAlign w:val="center"/>
          </w:tcPr>
          <w:p w14:paraId="68E0DFEC">
            <w:pPr>
              <w:adjustRightInd w:val="0"/>
              <w:snapToGrid w:val="0"/>
              <w:jc w:val="center"/>
              <w:rPr>
                <w:color w:val="000000"/>
                <w:kern w:val="0"/>
                <w:szCs w:val="21"/>
              </w:rPr>
            </w:pPr>
            <w:r>
              <w:rPr>
                <w:color w:val="000000"/>
                <w:kern w:val="0"/>
                <w:szCs w:val="21"/>
              </w:rPr>
              <w:t>预测模型</w:t>
            </w:r>
          </w:p>
        </w:tc>
        <w:tc>
          <w:tcPr>
            <w:tcW w:w="3524" w:type="pct"/>
            <w:tcBorders>
              <w:tl2br w:val="nil"/>
              <w:tr2bl w:val="nil"/>
            </w:tcBorders>
            <w:vAlign w:val="center"/>
          </w:tcPr>
          <w:p w14:paraId="15FB515B">
            <w:pPr>
              <w:adjustRightInd w:val="0"/>
              <w:snapToGrid w:val="0"/>
              <w:jc w:val="center"/>
              <w:rPr>
                <w:color w:val="000000"/>
                <w:kern w:val="0"/>
                <w:szCs w:val="21"/>
              </w:rPr>
            </w:pPr>
            <w:r>
              <w:rPr>
                <w:color w:val="000000"/>
                <w:kern w:val="0"/>
                <w:szCs w:val="21"/>
              </w:rPr>
              <w:t>导则推荐模型</w:t>
            </w:r>
            <w:r>
              <w:rPr>
                <w:color w:val="000000"/>
                <w:kern w:val="0"/>
                <w:szCs w:val="21"/>
              </w:rPr>
              <w:sym w:font="Wingdings" w:char="00FE"/>
            </w:r>
            <w:r>
              <w:rPr>
                <w:color w:val="000000"/>
                <w:kern w:val="0"/>
                <w:szCs w:val="21"/>
              </w:rPr>
              <w:t xml:space="preserve">                          其他</w:t>
            </w:r>
            <w:r>
              <w:rPr>
                <w:color w:val="000000"/>
                <w:kern w:val="0"/>
                <w:szCs w:val="21"/>
              </w:rPr>
              <w:sym w:font="Wingdings" w:char="00A8"/>
            </w:r>
          </w:p>
        </w:tc>
      </w:tr>
      <w:tr w14:paraId="524E96A7">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07" w:hRule="atLeast"/>
        </w:trPr>
        <w:tc>
          <w:tcPr>
            <w:tcW w:w="556" w:type="pct"/>
            <w:vMerge w:val="continue"/>
            <w:tcBorders>
              <w:tl2br w:val="nil"/>
              <w:tr2bl w:val="nil"/>
            </w:tcBorders>
            <w:vAlign w:val="center"/>
          </w:tcPr>
          <w:p w14:paraId="189ED00E">
            <w:pPr>
              <w:adjustRightInd w:val="0"/>
              <w:snapToGrid w:val="0"/>
              <w:jc w:val="center"/>
              <w:rPr>
                <w:color w:val="000000"/>
                <w:kern w:val="0"/>
                <w:szCs w:val="21"/>
              </w:rPr>
            </w:pPr>
          </w:p>
        </w:tc>
        <w:tc>
          <w:tcPr>
            <w:tcW w:w="918" w:type="pct"/>
            <w:tcBorders>
              <w:tl2br w:val="nil"/>
              <w:tr2bl w:val="nil"/>
            </w:tcBorders>
            <w:vAlign w:val="center"/>
          </w:tcPr>
          <w:p w14:paraId="1FA0761D">
            <w:pPr>
              <w:adjustRightInd w:val="0"/>
              <w:snapToGrid w:val="0"/>
              <w:jc w:val="center"/>
              <w:rPr>
                <w:color w:val="000000"/>
                <w:kern w:val="0"/>
                <w:szCs w:val="21"/>
              </w:rPr>
            </w:pPr>
            <w:r>
              <w:rPr>
                <w:color w:val="000000"/>
                <w:kern w:val="0"/>
                <w:szCs w:val="21"/>
              </w:rPr>
              <w:t>预测范围</w:t>
            </w:r>
          </w:p>
        </w:tc>
        <w:tc>
          <w:tcPr>
            <w:tcW w:w="3524" w:type="pct"/>
            <w:tcBorders>
              <w:tl2br w:val="nil"/>
              <w:tr2bl w:val="nil"/>
            </w:tcBorders>
            <w:vAlign w:val="center"/>
          </w:tcPr>
          <w:p w14:paraId="69E005E2">
            <w:pPr>
              <w:adjustRightInd w:val="0"/>
              <w:snapToGrid w:val="0"/>
              <w:jc w:val="center"/>
              <w:rPr>
                <w:color w:val="000000"/>
                <w:kern w:val="0"/>
                <w:szCs w:val="21"/>
              </w:rPr>
            </w:pPr>
            <w:r>
              <w:rPr>
                <w:color w:val="000000"/>
                <w:kern w:val="0"/>
                <w:szCs w:val="21"/>
              </w:rPr>
              <w:t>200m</w:t>
            </w:r>
            <w:r>
              <w:rPr>
                <w:color w:val="000000"/>
                <w:kern w:val="0"/>
                <w:szCs w:val="21"/>
              </w:rPr>
              <w:sym w:font="Wingdings" w:char="00FE"/>
            </w:r>
            <w:r>
              <w:rPr>
                <w:color w:val="000000"/>
                <w:kern w:val="0"/>
                <w:szCs w:val="21"/>
              </w:rPr>
              <w:t xml:space="preserve">           大于200m</w:t>
            </w:r>
            <w:r>
              <w:rPr>
                <w:color w:val="000000"/>
                <w:kern w:val="0"/>
                <w:szCs w:val="21"/>
              </w:rPr>
              <w:sym w:font="Wingdings" w:char="00A8"/>
            </w:r>
            <w:r>
              <w:rPr>
                <w:color w:val="000000"/>
                <w:kern w:val="0"/>
                <w:szCs w:val="21"/>
              </w:rPr>
              <w:t xml:space="preserve">            小于200m</w:t>
            </w:r>
            <w:r>
              <w:rPr>
                <w:color w:val="000000"/>
                <w:kern w:val="0"/>
                <w:szCs w:val="21"/>
              </w:rPr>
              <w:sym w:font="Wingdings" w:char="00A8"/>
            </w:r>
          </w:p>
        </w:tc>
      </w:tr>
      <w:tr w14:paraId="572506FA">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54" w:hRule="atLeast"/>
        </w:trPr>
        <w:tc>
          <w:tcPr>
            <w:tcW w:w="556" w:type="pct"/>
            <w:vMerge w:val="continue"/>
            <w:tcBorders>
              <w:tl2br w:val="nil"/>
              <w:tr2bl w:val="nil"/>
            </w:tcBorders>
            <w:vAlign w:val="center"/>
          </w:tcPr>
          <w:p w14:paraId="2BF65F8F">
            <w:pPr>
              <w:adjustRightInd w:val="0"/>
              <w:snapToGrid w:val="0"/>
              <w:jc w:val="center"/>
              <w:rPr>
                <w:color w:val="000000"/>
                <w:kern w:val="0"/>
                <w:szCs w:val="21"/>
              </w:rPr>
            </w:pPr>
          </w:p>
        </w:tc>
        <w:tc>
          <w:tcPr>
            <w:tcW w:w="918" w:type="pct"/>
            <w:tcBorders>
              <w:tl2br w:val="nil"/>
              <w:tr2bl w:val="nil"/>
            </w:tcBorders>
            <w:vAlign w:val="center"/>
          </w:tcPr>
          <w:p w14:paraId="25BCB117">
            <w:pPr>
              <w:adjustRightInd w:val="0"/>
              <w:snapToGrid w:val="0"/>
              <w:jc w:val="center"/>
              <w:rPr>
                <w:color w:val="000000"/>
                <w:kern w:val="0"/>
                <w:szCs w:val="21"/>
              </w:rPr>
            </w:pPr>
            <w:r>
              <w:rPr>
                <w:color w:val="000000"/>
                <w:kern w:val="0"/>
                <w:szCs w:val="21"/>
              </w:rPr>
              <w:t>预测因子</w:t>
            </w:r>
          </w:p>
        </w:tc>
        <w:tc>
          <w:tcPr>
            <w:tcW w:w="3524" w:type="pct"/>
            <w:tcBorders>
              <w:tl2br w:val="nil"/>
              <w:tr2bl w:val="nil"/>
            </w:tcBorders>
            <w:vAlign w:val="center"/>
          </w:tcPr>
          <w:p w14:paraId="52E2856A">
            <w:pPr>
              <w:adjustRightInd w:val="0"/>
              <w:snapToGrid w:val="0"/>
              <w:jc w:val="center"/>
              <w:rPr>
                <w:color w:val="000000"/>
                <w:kern w:val="0"/>
                <w:szCs w:val="21"/>
              </w:rPr>
            </w:pPr>
            <w:r>
              <w:rPr>
                <w:color w:val="000000"/>
                <w:kern w:val="0"/>
                <w:szCs w:val="21"/>
              </w:rPr>
              <w:t>等效连续A声级</w:t>
            </w:r>
            <w:r>
              <w:rPr>
                <w:color w:val="000000"/>
                <w:kern w:val="0"/>
                <w:szCs w:val="21"/>
              </w:rPr>
              <w:sym w:font="Wingdings" w:char="00FE"/>
            </w:r>
            <w:r>
              <w:rPr>
                <w:color w:val="000000"/>
                <w:kern w:val="0"/>
                <w:szCs w:val="21"/>
              </w:rPr>
              <w:t xml:space="preserve">  最大A声级</w:t>
            </w:r>
            <w:r>
              <w:rPr>
                <w:color w:val="000000"/>
                <w:kern w:val="0"/>
                <w:szCs w:val="21"/>
              </w:rPr>
              <w:sym w:font="Wingdings" w:char="00A8"/>
            </w:r>
            <w:r>
              <w:rPr>
                <w:color w:val="000000"/>
                <w:kern w:val="0"/>
                <w:szCs w:val="21"/>
              </w:rPr>
              <w:t xml:space="preserve"> 计权等效连续感觉噪声级</w:t>
            </w:r>
            <w:r>
              <w:rPr>
                <w:color w:val="000000"/>
                <w:kern w:val="0"/>
                <w:szCs w:val="21"/>
              </w:rPr>
              <w:sym w:font="Wingdings" w:char="00A8"/>
            </w:r>
          </w:p>
        </w:tc>
      </w:tr>
      <w:tr w14:paraId="2A2B80FF">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04" w:hRule="atLeast"/>
        </w:trPr>
        <w:tc>
          <w:tcPr>
            <w:tcW w:w="556" w:type="pct"/>
            <w:vMerge w:val="continue"/>
            <w:tcBorders>
              <w:tl2br w:val="nil"/>
              <w:tr2bl w:val="nil"/>
            </w:tcBorders>
            <w:vAlign w:val="center"/>
          </w:tcPr>
          <w:p w14:paraId="42898BFF">
            <w:pPr>
              <w:adjustRightInd w:val="0"/>
              <w:snapToGrid w:val="0"/>
              <w:jc w:val="center"/>
              <w:rPr>
                <w:color w:val="000000"/>
                <w:kern w:val="0"/>
                <w:szCs w:val="21"/>
              </w:rPr>
            </w:pPr>
          </w:p>
        </w:tc>
        <w:tc>
          <w:tcPr>
            <w:tcW w:w="918" w:type="pct"/>
            <w:tcBorders>
              <w:tl2br w:val="nil"/>
              <w:tr2bl w:val="nil"/>
            </w:tcBorders>
            <w:vAlign w:val="center"/>
          </w:tcPr>
          <w:p w14:paraId="31CC940C">
            <w:pPr>
              <w:adjustRightInd w:val="0"/>
              <w:snapToGrid w:val="0"/>
              <w:jc w:val="center"/>
              <w:rPr>
                <w:color w:val="000000"/>
                <w:kern w:val="0"/>
                <w:szCs w:val="21"/>
              </w:rPr>
            </w:pPr>
            <w:r>
              <w:rPr>
                <w:color w:val="000000"/>
                <w:kern w:val="0"/>
                <w:szCs w:val="21"/>
              </w:rPr>
              <w:t>厂界噪声贡献值</w:t>
            </w:r>
          </w:p>
        </w:tc>
        <w:tc>
          <w:tcPr>
            <w:tcW w:w="3524" w:type="pct"/>
            <w:tcBorders>
              <w:tl2br w:val="nil"/>
              <w:tr2bl w:val="nil"/>
            </w:tcBorders>
            <w:vAlign w:val="center"/>
          </w:tcPr>
          <w:p w14:paraId="1058651B">
            <w:pPr>
              <w:adjustRightInd w:val="0"/>
              <w:snapToGrid w:val="0"/>
              <w:jc w:val="center"/>
              <w:rPr>
                <w:color w:val="000000"/>
                <w:kern w:val="0"/>
                <w:szCs w:val="21"/>
              </w:rPr>
            </w:pPr>
            <w:r>
              <w:rPr>
                <w:color w:val="000000"/>
                <w:kern w:val="0"/>
                <w:szCs w:val="21"/>
              </w:rPr>
              <w:t>达标</w:t>
            </w:r>
            <w:r>
              <w:rPr>
                <w:color w:val="000000"/>
                <w:kern w:val="0"/>
                <w:szCs w:val="21"/>
              </w:rPr>
              <w:sym w:font="Wingdings" w:char="00FE"/>
            </w:r>
            <w:r>
              <w:rPr>
                <w:color w:val="000000"/>
                <w:kern w:val="0"/>
                <w:szCs w:val="21"/>
              </w:rPr>
              <w:t xml:space="preserve">                        不达标</w:t>
            </w:r>
            <w:r>
              <w:rPr>
                <w:color w:val="000000"/>
                <w:kern w:val="0"/>
                <w:szCs w:val="21"/>
              </w:rPr>
              <w:sym w:font="Wingdings" w:char="00A8"/>
            </w:r>
          </w:p>
        </w:tc>
      </w:tr>
      <w:tr w14:paraId="53B3F495">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04" w:hRule="atLeast"/>
        </w:trPr>
        <w:tc>
          <w:tcPr>
            <w:tcW w:w="556" w:type="pct"/>
            <w:vMerge w:val="continue"/>
            <w:tcBorders>
              <w:tl2br w:val="nil"/>
              <w:tr2bl w:val="nil"/>
            </w:tcBorders>
            <w:vAlign w:val="center"/>
          </w:tcPr>
          <w:p w14:paraId="6200755A">
            <w:pPr>
              <w:adjustRightInd w:val="0"/>
              <w:snapToGrid w:val="0"/>
              <w:jc w:val="center"/>
              <w:rPr>
                <w:color w:val="000000"/>
                <w:kern w:val="0"/>
                <w:szCs w:val="21"/>
              </w:rPr>
            </w:pPr>
          </w:p>
        </w:tc>
        <w:tc>
          <w:tcPr>
            <w:tcW w:w="918" w:type="pct"/>
            <w:tcBorders>
              <w:tl2br w:val="nil"/>
              <w:tr2bl w:val="nil"/>
            </w:tcBorders>
            <w:vAlign w:val="center"/>
          </w:tcPr>
          <w:p w14:paraId="46A2D8CF">
            <w:pPr>
              <w:adjustRightInd w:val="0"/>
              <w:snapToGrid w:val="0"/>
              <w:jc w:val="center"/>
              <w:rPr>
                <w:color w:val="000000"/>
                <w:kern w:val="0"/>
                <w:szCs w:val="21"/>
              </w:rPr>
            </w:pPr>
            <w:r>
              <w:rPr>
                <w:color w:val="000000"/>
                <w:kern w:val="0"/>
                <w:szCs w:val="21"/>
              </w:rPr>
              <w:t>声环境保护目标处噪声值</w:t>
            </w:r>
          </w:p>
        </w:tc>
        <w:tc>
          <w:tcPr>
            <w:tcW w:w="3524" w:type="pct"/>
            <w:tcBorders>
              <w:tl2br w:val="nil"/>
              <w:tr2bl w:val="nil"/>
            </w:tcBorders>
            <w:vAlign w:val="center"/>
          </w:tcPr>
          <w:p w14:paraId="7064523D">
            <w:pPr>
              <w:adjustRightInd w:val="0"/>
              <w:snapToGrid w:val="0"/>
              <w:jc w:val="center"/>
              <w:rPr>
                <w:color w:val="000000"/>
                <w:kern w:val="0"/>
                <w:szCs w:val="21"/>
              </w:rPr>
            </w:pPr>
            <w:r>
              <w:rPr>
                <w:color w:val="000000"/>
                <w:kern w:val="0"/>
                <w:szCs w:val="21"/>
              </w:rPr>
              <w:t>达标</w:t>
            </w:r>
            <w:r>
              <w:rPr>
                <w:color w:val="000000"/>
                <w:kern w:val="0"/>
                <w:szCs w:val="21"/>
              </w:rPr>
              <w:sym w:font="Wingdings" w:char="00FE"/>
            </w:r>
            <w:r>
              <w:rPr>
                <w:color w:val="000000"/>
                <w:kern w:val="0"/>
                <w:szCs w:val="21"/>
              </w:rPr>
              <w:t xml:space="preserve">                            不达标</w:t>
            </w:r>
            <w:r>
              <w:rPr>
                <w:color w:val="000000"/>
                <w:kern w:val="0"/>
                <w:szCs w:val="21"/>
              </w:rPr>
              <w:sym w:font="Wingdings" w:char="00A8"/>
            </w:r>
          </w:p>
        </w:tc>
      </w:tr>
      <w:tr w14:paraId="39FFC7A8">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414" w:hRule="atLeast"/>
        </w:trPr>
        <w:tc>
          <w:tcPr>
            <w:tcW w:w="556" w:type="pct"/>
            <w:vMerge w:val="restart"/>
            <w:tcBorders>
              <w:tl2br w:val="nil"/>
              <w:tr2bl w:val="nil"/>
            </w:tcBorders>
            <w:vAlign w:val="center"/>
          </w:tcPr>
          <w:p w14:paraId="39BACCE0">
            <w:pPr>
              <w:adjustRightInd w:val="0"/>
              <w:snapToGrid w:val="0"/>
              <w:jc w:val="center"/>
              <w:rPr>
                <w:color w:val="000000"/>
                <w:kern w:val="0"/>
                <w:szCs w:val="21"/>
              </w:rPr>
            </w:pPr>
            <w:r>
              <w:rPr>
                <w:color w:val="000000"/>
                <w:kern w:val="0"/>
                <w:szCs w:val="21"/>
              </w:rPr>
              <w:t>环境监测计划</w:t>
            </w:r>
          </w:p>
        </w:tc>
        <w:tc>
          <w:tcPr>
            <w:tcW w:w="918" w:type="pct"/>
            <w:tcBorders>
              <w:tl2br w:val="nil"/>
              <w:tr2bl w:val="nil"/>
            </w:tcBorders>
            <w:vAlign w:val="center"/>
          </w:tcPr>
          <w:p w14:paraId="4E52718F">
            <w:pPr>
              <w:adjustRightInd w:val="0"/>
              <w:snapToGrid w:val="0"/>
              <w:jc w:val="center"/>
              <w:rPr>
                <w:color w:val="000000"/>
                <w:kern w:val="0"/>
                <w:szCs w:val="21"/>
              </w:rPr>
            </w:pPr>
            <w:r>
              <w:rPr>
                <w:color w:val="000000"/>
                <w:kern w:val="0"/>
                <w:szCs w:val="21"/>
              </w:rPr>
              <w:t>排放监测</w:t>
            </w:r>
          </w:p>
        </w:tc>
        <w:tc>
          <w:tcPr>
            <w:tcW w:w="3524" w:type="pct"/>
            <w:tcBorders>
              <w:tl2br w:val="nil"/>
              <w:tr2bl w:val="nil"/>
            </w:tcBorders>
            <w:vAlign w:val="center"/>
          </w:tcPr>
          <w:p w14:paraId="4BDB6007">
            <w:pPr>
              <w:adjustRightInd w:val="0"/>
              <w:snapToGrid w:val="0"/>
              <w:jc w:val="center"/>
              <w:rPr>
                <w:color w:val="000000"/>
                <w:kern w:val="0"/>
                <w:szCs w:val="21"/>
              </w:rPr>
            </w:pPr>
            <w:r>
              <w:rPr>
                <w:color w:val="000000"/>
                <w:kern w:val="0"/>
                <w:szCs w:val="21"/>
              </w:rPr>
              <w:t>厂界监测</w:t>
            </w:r>
            <w:r>
              <w:rPr>
                <w:color w:val="000000"/>
                <w:kern w:val="0"/>
                <w:szCs w:val="21"/>
              </w:rPr>
              <w:sym w:font="Wingdings" w:char="00FE"/>
            </w:r>
            <w:r>
              <w:rPr>
                <w:color w:val="000000"/>
                <w:kern w:val="0"/>
                <w:szCs w:val="21"/>
              </w:rPr>
              <w:t xml:space="preserve"> 固定位置监测</w:t>
            </w:r>
            <w:r>
              <w:rPr>
                <w:color w:val="000000"/>
                <w:kern w:val="0"/>
                <w:szCs w:val="21"/>
              </w:rPr>
              <w:sym w:font="Wingdings" w:char="00A8"/>
            </w:r>
            <w:r>
              <w:rPr>
                <w:color w:val="000000"/>
                <w:kern w:val="0"/>
                <w:szCs w:val="21"/>
              </w:rPr>
              <w:t xml:space="preserve">  自动监测</w:t>
            </w:r>
            <w:r>
              <w:rPr>
                <w:color w:val="000000"/>
                <w:kern w:val="0"/>
                <w:szCs w:val="21"/>
              </w:rPr>
              <w:sym w:font="Wingdings" w:char="00A8"/>
            </w:r>
            <w:r>
              <w:rPr>
                <w:color w:val="000000"/>
                <w:kern w:val="0"/>
                <w:szCs w:val="21"/>
              </w:rPr>
              <w:t xml:space="preserve"> 工监测</w:t>
            </w:r>
            <w:r>
              <w:rPr>
                <w:color w:val="000000"/>
                <w:kern w:val="0"/>
                <w:szCs w:val="21"/>
              </w:rPr>
              <w:sym w:font="Wingdings" w:char="00A8"/>
            </w:r>
            <w:r>
              <w:rPr>
                <w:color w:val="000000"/>
                <w:kern w:val="0"/>
                <w:szCs w:val="21"/>
              </w:rPr>
              <w:t xml:space="preserve">  无监测</w:t>
            </w:r>
            <w:r>
              <w:rPr>
                <w:color w:val="000000"/>
                <w:kern w:val="0"/>
                <w:szCs w:val="21"/>
              </w:rPr>
              <w:sym w:font="Wingdings" w:char="00A8"/>
            </w:r>
          </w:p>
        </w:tc>
      </w:tr>
      <w:tr w14:paraId="00E5000F">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04" w:hRule="atLeast"/>
        </w:trPr>
        <w:tc>
          <w:tcPr>
            <w:tcW w:w="556" w:type="pct"/>
            <w:vMerge w:val="continue"/>
            <w:tcBorders>
              <w:tl2br w:val="nil"/>
              <w:tr2bl w:val="nil"/>
            </w:tcBorders>
            <w:vAlign w:val="center"/>
          </w:tcPr>
          <w:p w14:paraId="249B4D14">
            <w:pPr>
              <w:adjustRightInd w:val="0"/>
              <w:snapToGrid w:val="0"/>
              <w:jc w:val="center"/>
              <w:rPr>
                <w:color w:val="000000"/>
                <w:kern w:val="0"/>
                <w:szCs w:val="21"/>
              </w:rPr>
            </w:pPr>
          </w:p>
        </w:tc>
        <w:tc>
          <w:tcPr>
            <w:tcW w:w="918" w:type="pct"/>
            <w:tcBorders>
              <w:tl2br w:val="nil"/>
              <w:tr2bl w:val="nil"/>
            </w:tcBorders>
            <w:vAlign w:val="center"/>
          </w:tcPr>
          <w:p w14:paraId="74E8B1F5">
            <w:pPr>
              <w:adjustRightInd w:val="0"/>
              <w:snapToGrid w:val="0"/>
              <w:jc w:val="center"/>
              <w:rPr>
                <w:color w:val="000000"/>
                <w:kern w:val="0"/>
                <w:szCs w:val="21"/>
              </w:rPr>
            </w:pPr>
            <w:r>
              <w:rPr>
                <w:color w:val="000000"/>
                <w:kern w:val="0"/>
                <w:szCs w:val="21"/>
              </w:rPr>
              <w:t>声环境保护目标处噪声监测</w:t>
            </w:r>
          </w:p>
        </w:tc>
        <w:tc>
          <w:tcPr>
            <w:tcW w:w="3524" w:type="pct"/>
            <w:tcBorders>
              <w:tl2br w:val="nil"/>
              <w:tr2bl w:val="nil"/>
            </w:tcBorders>
            <w:vAlign w:val="center"/>
          </w:tcPr>
          <w:p w14:paraId="1DFFFEF7">
            <w:pPr>
              <w:adjustRightInd w:val="0"/>
              <w:snapToGrid w:val="0"/>
              <w:jc w:val="center"/>
              <w:rPr>
                <w:color w:val="000000"/>
                <w:kern w:val="0"/>
                <w:szCs w:val="21"/>
              </w:rPr>
            </w:pPr>
            <w:r>
              <w:rPr>
                <w:color w:val="000000"/>
                <w:kern w:val="0"/>
                <w:szCs w:val="21"/>
              </w:rPr>
              <w:t>监测因子：（  ）    监测点位数（    ）    无监测</w:t>
            </w:r>
            <w:r>
              <w:rPr>
                <w:color w:val="000000"/>
                <w:kern w:val="0"/>
                <w:szCs w:val="21"/>
              </w:rPr>
              <w:sym w:font="Wingdings" w:char="00FE"/>
            </w:r>
          </w:p>
        </w:tc>
      </w:tr>
      <w:tr w14:paraId="33E4DDF2">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04" w:hRule="atLeast"/>
        </w:trPr>
        <w:tc>
          <w:tcPr>
            <w:tcW w:w="556" w:type="pct"/>
            <w:tcBorders>
              <w:tl2br w:val="nil"/>
              <w:tr2bl w:val="nil"/>
            </w:tcBorders>
            <w:vAlign w:val="center"/>
          </w:tcPr>
          <w:p w14:paraId="6C3FE702">
            <w:pPr>
              <w:adjustRightInd w:val="0"/>
              <w:snapToGrid w:val="0"/>
              <w:jc w:val="center"/>
              <w:rPr>
                <w:color w:val="000000"/>
                <w:kern w:val="0"/>
                <w:szCs w:val="21"/>
              </w:rPr>
            </w:pPr>
            <w:r>
              <w:rPr>
                <w:color w:val="000000"/>
                <w:kern w:val="0"/>
                <w:szCs w:val="21"/>
              </w:rPr>
              <w:t>评价结论</w:t>
            </w:r>
          </w:p>
        </w:tc>
        <w:tc>
          <w:tcPr>
            <w:tcW w:w="918" w:type="pct"/>
            <w:tcBorders>
              <w:tl2br w:val="nil"/>
              <w:tr2bl w:val="nil"/>
            </w:tcBorders>
            <w:vAlign w:val="center"/>
          </w:tcPr>
          <w:p w14:paraId="6A8E3455">
            <w:pPr>
              <w:adjustRightInd w:val="0"/>
              <w:snapToGrid w:val="0"/>
              <w:jc w:val="center"/>
              <w:rPr>
                <w:color w:val="000000"/>
                <w:kern w:val="0"/>
                <w:szCs w:val="21"/>
              </w:rPr>
            </w:pPr>
            <w:r>
              <w:rPr>
                <w:color w:val="000000"/>
                <w:kern w:val="0"/>
                <w:szCs w:val="21"/>
              </w:rPr>
              <w:t>环境影响</w:t>
            </w:r>
          </w:p>
        </w:tc>
        <w:tc>
          <w:tcPr>
            <w:tcW w:w="3524" w:type="pct"/>
            <w:tcBorders>
              <w:tl2br w:val="nil"/>
              <w:tr2bl w:val="nil"/>
            </w:tcBorders>
            <w:vAlign w:val="center"/>
          </w:tcPr>
          <w:p w14:paraId="6C7A88F4">
            <w:pPr>
              <w:adjustRightInd w:val="0"/>
              <w:snapToGrid w:val="0"/>
              <w:jc w:val="center"/>
              <w:rPr>
                <w:color w:val="000000"/>
                <w:kern w:val="0"/>
                <w:szCs w:val="21"/>
              </w:rPr>
            </w:pPr>
            <w:r>
              <w:rPr>
                <w:color w:val="000000"/>
                <w:kern w:val="0"/>
                <w:szCs w:val="21"/>
              </w:rPr>
              <w:t>可行</w:t>
            </w:r>
            <w:r>
              <w:rPr>
                <w:color w:val="000000"/>
                <w:kern w:val="0"/>
                <w:szCs w:val="21"/>
              </w:rPr>
              <w:sym w:font="Wingdings" w:char="00FE"/>
            </w:r>
            <w:r>
              <w:rPr>
                <w:color w:val="000000"/>
                <w:kern w:val="0"/>
                <w:szCs w:val="21"/>
              </w:rPr>
              <w:t xml:space="preserve">                   不可行</w:t>
            </w:r>
            <w:r>
              <w:rPr>
                <w:color w:val="000000"/>
                <w:kern w:val="0"/>
                <w:szCs w:val="21"/>
              </w:rPr>
              <w:sym w:font="Wingdings" w:char="00A8"/>
            </w:r>
          </w:p>
        </w:tc>
      </w:tr>
      <w:tr w14:paraId="5CBCE7B8">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74" w:hRule="atLeast"/>
        </w:trPr>
        <w:tc>
          <w:tcPr>
            <w:tcW w:w="5000" w:type="pct"/>
            <w:gridSpan w:val="3"/>
            <w:tcBorders>
              <w:tl2br w:val="nil"/>
              <w:tr2bl w:val="nil"/>
            </w:tcBorders>
            <w:vAlign w:val="center"/>
          </w:tcPr>
          <w:p w14:paraId="6E235691">
            <w:pPr>
              <w:adjustRightInd w:val="0"/>
              <w:snapToGrid w:val="0"/>
              <w:jc w:val="center"/>
              <w:rPr>
                <w:color w:val="000000"/>
                <w:kern w:val="0"/>
                <w:szCs w:val="21"/>
              </w:rPr>
            </w:pPr>
            <w:r>
              <w:rPr>
                <w:color w:val="000000"/>
                <w:kern w:val="0"/>
                <w:szCs w:val="21"/>
              </w:rPr>
              <w:t>注：“</w:t>
            </w:r>
            <w:r>
              <w:rPr>
                <w:color w:val="000000"/>
                <w:kern w:val="0"/>
                <w:szCs w:val="21"/>
              </w:rPr>
              <w:sym w:font="Wingdings" w:char="00A8"/>
            </w:r>
            <w:r>
              <w:rPr>
                <w:color w:val="000000"/>
                <w:kern w:val="0"/>
                <w:szCs w:val="21"/>
              </w:rPr>
              <w:t>”为勾选项，可√；“（  ）”为内容填写项</w:t>
            </w:r>
          </w:p>
        </w:tc>
      </w:tr>
    </w:tbl>
    <w:p w14:paraId="56125F2D">
      <w:pPr>
        <w:pStyle w:val="4"/>
        <w:autoSpaceDE w:val="0"/>
        <w:autoSpaceDN w:val="0"/>
        <w:spacing w:before="0" w:after="0" w:line="360" w:lineRule="auto"/>
        <w:jc w:val="left"/>
        <w:rPr>
          <w:kern w:val="0"/>
          <w:sz w:val="24"/>
          <w:lang w:val="en-US" w:bidi="zh-CN"/>
        </w:rPr>
      </w:pPr>
      <w:r>
        <w:rPr>
          <w:rFonts w:hint="eastAsia"/>
          <w:kern w:val="0"/>
          <w:sz w:val="24"/>
          <w:lang w:val="en-US" w:bidi="zh-CN"/>
        </w:rPr>
        <w:t>5.2.4运营期固体废物环境影响分析</w:t>
      </w:r>
    </w:p>
    <w:p w14:paraId="19DA1951">
      <w:pPr>
        <w:pStyle w:val="5"/>
        <w:rPr>
          <w:rFonts w:ascii="Times New Roman" w:hAnsi="Times New Roman"/>
          <w:color w:val="000000"/>
          <w:lang w:val="en-US"/>
        </w:rPr>
      </w:pPr>
      <w:r>
        <w:rPr>
          <w:rFonts w:hint="eastAsia" w:ascii="Times New Roman" w:hAnsi="Times New Roman"/>
          <w:color w:val="000000"/>
          <w:lang w:val="en-US"/>
        </w:rPr>
        <w:t>5.2.4.1固体废物的种类及处置</w:t>
      </w:r>
    </w:p>
    <w:p w14:paraId="5F09F557">
      <w:pPr>
        <w:widowControl/>
        <w:spacing w:line="360" w:lineRule="auto"/>
        <w:ind w:firstLine="480" w:firstLineChars="200"/>
        <w:jc w:val="left"/>
        <w:rPr>
          <w:rFonts w:hint="eastAsia" w:hAnsi="宋体"/>
          <w:color w:val="000000"/>
          <w:kern w:val="0"/>
          <w:sz w:val="24"/>
          <w:szCs w:val="24"/>
        </w:rPr>
      </w:pPr>
      <w:r>
        <w:rPr>
          <w:rFonts w:hint="eastAsia" w:hAnsi="宋体"/>
          <w:color w:val="000000"/>
          <w:kern w:val="0"/>
          <w:sz w:val="24"/>
          <w:szCs w:val="24"/>
        </w:rPr>
        <w:t>项目包括一般固体废物、危险废物及职工生活产生的生活垃圾。</w:t>
      </w:r>
    </w:p>
    <w:p w14:paraId="1C15FE4C">
      <w:pPr>
        <w:widowControl/>
        <w:spacing w:line="360" w:lineRule="auto"/>
        <w:ind w:firstLine="480" w:firstLineChars="200"/>
        <w:jc w:val="left"/>
        <w:rPr>
          <w:rFonts w:hint="eastAsia" w:hAnsi="宋体"/>
          <w:color w:val="000000"/>
          <w:kern w:val="0"/>
          <w:sz w:val="24"/>
          <w:szCs w:val="24"/>
        </w:rPr>
      </w:pPr>
      <w:r>
        <w:rPr>
          <w:rFonts w:hint="eastAsia" w:hAnsi="宋体"/>
          <w:color w:val="000000"/>
          <w:kern w:val="0"/>
          <w:sz w:val="24"/>
          <w:szCs w:val="24"/>
        </w:rPr>
        <w:t>（1）一般固体废物</w:t>
      </w:r>
    </w:p>
    <w:p w14:paraId="3A19FB35">
      <w:pPr>
        <w:widowControl/>
        <w:spacing w:line="360" w:lineRule="auto"/>
        <w:ind w:firstLine="480" w:firstLineChars="200"/>
        <w:jc w:val="left"/>
        <w:rPr>
          <w:rFonts w:hint="eastAsia" w:hAnsi="宋体"/>
          <w:color w:val="000000"/>
          <w:kern w:val="0"/>
          <w:sz w:val="24"/>
          <w:szCs w:val="24"/>
        </w:rPr>
      </w:pPr>
      <w:r>
        <w:rPr>
          <w:rFonts w:hint="eastAsia" w:hAnsi="宋体"/>
          <w:color w:val="000000"/>
          <w:kern w:val="0"/>
          <w:sz w:val="24"/>
          <w:szCs w:val="24"/>
        </w:rPr>
        <w:t>项目一般固体废物包括熔融挤出过程中产生的废滤网、</w:t>
      </w:r>
      <w:bookmarkStart w:id="324" w:name="_Hlk210032366"/>
      <w:r>
        <w:rPr>
          <w:rFonts w:hint="eastAsia" w:hAnsi="宋体"/>
          <w:color w:val="000000"/>
          <w:kern w:val="0"/>
          <w:sz w:val="24"/>
          <w:szCs w:val="24"/>
        </w:rPr>
        <w:t>熔融废渣</w:t>
      </w:r>
      <w:bookmarkEnd w:id="324"/>
      <w:r>
        <w:rPr>
          <w:rFonts w:hint="eastAsia" w:hAnsi="宋体"/>
          <w:color w:val="000000"/>
          <w:kern w:val="0"/>
          <w:sz w:val="24"/>
          <w:szCs w:val="24"/>
        </w:rPr>
        <w:t>、废催化剂、不合格品、残次品及边角料。</w:t>
      </w:r>
    </w:p>
    <w:p w14:paraId="12C96E79">
      <w:pPr>
        <w:widowControl/>
        <w:spacing w:line="360" w:lineRule="auto"/>
        <w:ind w:firstLine="480" w:firstLineChars="200"/>
        <w:jc w:val="left"/>
        <w:rPr>
          <w:rFonts w:hint="eastAsia" w:hAnsi="宋体"/>
          <w:color w:val="000000"/>
          <w:kern w:val="0"/>
          <w:sz w:val="24"/>
          <w:szCs w:val="24"/>
        </w:rPr>
      </w:pPr>
      <w:r>
        <w:rPr>
          <w:rFonts w:hint="eastAsia" w:hAnsi="宋体"/>
          <w:color w:val="000000"/>
          <w:kern w:val="0"/>
          <w:sz w:val="24"/>
          <w:szCs w:val="24"/>
        </w:rPr>
        <w:t>废滤网集中收集后外售给废品回收站；熔融废渣外售给注塑厂；废催化剂厂家回收；不合格产品直接返回造粒生产线熔融处理。</w:t>
      </w:r>
    </w:p>
    <w:p w14:paraId="549FC8A9">
      <w:pPr>
        <w:widowControl/>
        <w:spacing w:line="360" w:lineRule="auto"/>
        <w:ind w:firstLine="480" w:firstLineChars="200"/>
        <w:jc w:val="left"/>
        <w:rPr>
          <w:rFonts w:hint="eastAsia" w:hAnsi="宋体"/>
          <w:color w:val="000000"/>
          <w:kern w:val="0"/>
          <w:sz w:val="24"/>
          <w:szCs w:val="24"/>
        </w:rPr>
      </w:pPr>
      <w:r>
        <w:rPr>
          <w:rFonts w:hint="eastAsia" w:hAnsi="宋体"/>
          <w:color w:val="000000"/>
          <w:kern w:val="0"/>
          <w:sz w:val="24"/>
          <w:szCs w:val="24"/>
        </w:rPr>
        <w:t>（2）危险废物</w:t>
      </w:r>
    </w:p>
    <w:p w14:paraId="431FEC12">
      <w:pPr>
        <w:widowControl/>
        <w:spacing w:line="360" w:lineRule="auto"/>
        <w:ind w:firstLine="480" w:firstLineChars="200"/>
        <w:rPr>
          <w:rFonts w:hint="eastAsia" w:hAnsi="宋体"/>
          <w:color w:val="000000"/>
          <w:kern w:val="0"/>
          <w:sz w:val="24"/>
          <w:szCs w:val="24"/>
        </w:rPr>
      </w:pPr>
      <w:r>
        <w:rPr>
          <w:rFonts w:hint="eastAsia" w:hAnsi="宋体"/>
          <w:color w:val="000000"/>
          <w:kern w:val="0"/>
          <w:sz w:val="24"/>
          <w:szCs w:val="24"/>
        </w:rPr>
        <w:t>项目危险废物包括活性炭吸附装置定期更换的废活性炭，设备</w:t>
      </w:r>
      <w:r>
        <w:rPr>
          <w:rFonts w:hint="eastAsia" w:hAnsi="宋体"/>
          <w:color w:val="000000"/>
          <w:kern w:val="0"/>
          <w:sz w:val="24"/>
          <w:szCs w:val="24"/>
          <w:lang w:eastAsia="zh-CN"/>
        </w:rPr>
        <w:t>维修</w:t>
      </w:r>
      <w:r>
        <w:rPr>
          <w:rFonts w:hint="eastAsia" w:hAnsi="宋体"/>
          <w:color w:val="000000"/>
          <w:kern w:val="0"/>
          <w:sz w:val="24"/>
          <w:szCs w:val="24"/>
        </w:rPr>
        <w:t>检修过</w:t>
      </w:r>
      <w:r>
        <w:rPr>
          <w:rFonts w:hint="eastAsia" w:hAnsi="宋体"/>
          <w:color w:val="000000"/>
          <w:kern w:val="0"/>
          <w:sz w:val="24"/>
          <w:szCs w:val="24"/>
          <w:lang w:eastAsia="zh-CN"/>
        </w:rPr>
        <w:t>程中</w:t>
      </w:r>
      <w:r>
        <w:rPr>
          <w:rFonts w:hint="eastAsia" w:hAnsi="宋体"/>
          <w:color w:val="000000"/>
          <w:kern w:val="0"/>
          <w:sz w:val="24"/>
          <w:szCs w:val="24"/>
        </w:rPr>
        <w:t>产生的废机油、废油桶；均采用密闭容器收集后，</w:t>
      </w:r>
      <w:r>
        <w:rPr>
          <w:rFonts w:hint="eastAsia" w:hAnsi="宋体"/>
          <w:color w:val="000000"/>
          <w:kern w:val="0"/>
          <w:sz w:val="24"/>
          <w:szCs w:val="24"/>
          <w:lang w:eastAsia="zh-CN"/>
        </w:rPr>
        <w:t>危废贮存</w:t>
      </w:r>
      <w:r>
        <w:rPr>
          <w:rFonts w:hint="eastAsia" w:hAnsi="宋体"/>
          <w:color w:val="000000"/>
          <w:kern w:val="0"/>
          <w:sz w:val="24"/>
          <w:szCs w:val="24"/>
        </w:rPr>
        <w:t>点，定期由有资质单位处理。</w:t>
      </w:r>
    </w:p>
    <w:p w14:paraId="3AB05544">
      <w:pPr>
        <w:widowControl/>
        <w:spacing w:line="360" w:lineRule="auto"/>
        <w:ind w:firstLine="480" w:firstLineChars="200"/>
        <w:rPr>
          <w:rFonts w:hint="eastAsia" w:hAnsi="宋体"/>
          <w:color w:val="000000"/>
          <w:kern w:val="0"/>
          <w:sz w:val="24"/>
          <w:szCs w:val="24"/>
        </w:rPr>
      </w:pPr>
      <w:r>
        <w:rPr>
          <w:rFonts w:hint="eastAsia" w:hAnsi="宋体"/>
          <w:color w:val="000000"/>
          <w:kern w:val="0"/>
          <w:sz w:val="24"/>
          <w:szCs w:val="24"/>
        </w:rPr>
        <w:t>（3）生活垃圾</w:t>
      </w:r>
    </w:p>
    <w:p w14:paraId="19C3ECAB">
      <w:pPr>
        <w:widowControl/>
        <w:spacing w:line="360" w:lineRule="auto"/>
        <w:ind w:firstLine="480" w:firstLineChars="200"/>
        <w:rPr>
          <w:rFonts w:hint="eastAsia" w:hAnsi="宋体"/>
          <w:color w:val="000000"/>
          <w:kern w:val="0"/>
          <w:sz w:val="24"/>
          <w:szCs w:val="24"/>
        </w:rPr>
      </w:pPr>
      <w:r>
        <w:rPr>
          <w:rFonts w:hint="eastAsia" w:hAnsi="宋体"/>
          <w:color w:val="000000"/>
          <w:kern w:val="0"/>
          <w:sz w:val="24"/>
          <w:szCs w:val="24"/>
        </w:rPr>
        <w:t>项目职工生活垃圾分类收集后，由环卫部门统一处理。</w:t>
      </w:r>
    </w:p>
    <w:p w14:paraId="0C5B233B">
      <w:pPr>
        <w:widowControl/>
        <w:spacing w:line="360" w:lineRule="auto"/>
        <w:ind w:firstLine="480" w:firstLineChars="200"/>
        <w:rPr>
          <w:rFonts w:hint="eastAsia" w:hAnsi="宋体"/>
          <w:color w:val="000000"/>
          <w:kern w:val="0"/>
          <w:sz w:val="24"/>
          <w:szCs w:val="24"/>
        </w:rPr>
      </w:pPr>
      <w:r>
        <w:rPr>
          <w:rFonts w:hint="eastAsia" w:hAnsi="宋体"/>
          <w:color w:val="000000"/>
          <w:kern w:val="0"/>
          <w:sz w:val="24"/>
          <w:szCs w:val="24"/>
        </w:rPr>
        <w:t>综上，本项目各固废均得到合理处置，不会对周围环境造成影响。</w:t>
      </w:r>
    </w:p>
    <w:p w14:paraId="18CCB661">
      <w:pPr>
        <w:pStyle w:val="5"/>
        <w:rPr>
          <w:rFonts w:hint="eastAsia" w:ascii="Times New Roman" w:hAnsi="Times New Roman"/>
          <w:color w:val="000000"/>
          <w:lang w:val="en-US"/>
        </w:rPr>
      </w:pPr>
      <w:r>
        <w:rPr>
          <w:rFonts w:hint="eastAsia" w:ascii="Times New Roman" w:hAnsi="Times New Roman"/>
          <w:color w:val="000000"/>
          <w:lang w:val="en-US"/>
        </w:rPr>
        <w:t>5.2.4.2一般固废暂存</w:t>
      </w:r>
      <w:r>
        <w:rPr>
          <w:rFonts w:hint="eastAsia" w:ascii="Times New Roman" w:hAnsi="Times New Roman"/>
          <w:color w:val="000000"/>
          <w:lang w:val="en-US" w:eastAsia="zh-CN"/>
        </w:rPr>
        <w:t>间</w:t>
      </w:r>
      <w:r>
        <w:rPr>
          <w:rFonts w:hint="eastAsia" w:ascii="Times New Roman" w:hAnsi="Times New Roman"/>
          <w:color w:val="000000"/>
          <w:lang w:val="en-US"/>
        </w:rPr>
        <w:t>暂存要求</w:t>
      </w:r>
    </w:p>
    <w:p w14:paraId="3E474208">
      <w:pPr>
        <w:pStyle w:val="38"/>
        <w:ind w:left="426" w:leftChars="203" w:firstLine="0" w:firstLineChars="0"/>
        <w:rPr>
          <w:rFonts w:hint="default" w:ascii="宋体" w:eastAsia="宋体" w:cs="宋体"/>
          <w:lang w:val="en-US" w:eastAsia="zh-CN"/>
        </w:rPr>
      </w:pPr>
      <w:r>
        <w:rPr>
          <w:rFonts w:hint="eastAsia" w:ascii="宋体" w:eastAsia="宋体" w:cs="宋体"/>
          <w:lang w:val="en-US" w:eastAsia="zh-CN"/>
        </w:rPr>
        <w:t>本项目</w:t>
      </w:r>
      <w:r>
        <w:rPr>
          <w:rFonts w:hint="default" w:ascii="宋体" w:eastAsia="宋体" w:cs="宋体"/>
          <w:lang w:val="en-US" w:eastAsia="zh-CN"/>
        </w:rPr>
        <w:t>一般固废暂存</w:t>
      </w:r>
      <w:r>
        <w:rPr>
          <w:rFonts w:hint="eastAsia" w:ascii="宋体" w:eastAsia="宋体" w:cs="宋体"/>
          <w:lang w:val="en-US" w:eastAsia="zh-CN"/>
        </w:rPr>
        <w:t>间</w:t>
      </w:r>
      <w:r>
        <w:rPr>
          <w:rFonts w:hint="default" w:ascii="宋体" w:eastAsia="宋体" w:cs="宋体"/>
          <w:lang w:val="en-US" w:eastAsia="zh-CN"/>
        </w:rPr>
        <w:t>所</w:t>
      </w:r>
      <w:r>
        <w:rPr>
          <w:rFonts w:hint="eastAsia" w:ascii="宋体" w:eastAsia="宋体" w:cs="宋体"/>
          <w:lang w:val="en-US" w:eastAsia="zh-CN"/>
        </w:rPr>
        <w:t>位于生产车间南侧，建筑面积10m</w:t>
      </w:r>
      <w:r>
        <w:rPr>
          <w:rFonts w:hint="eastAsia" w:ascii="宋体" w:eastAsia="宋体" w:cs="宋体"/>
          <w:vertAlign w:val="superscript"/>
          <w:lang w:val="en-US" w:eastAsia="zh-CN"/>
        </w:rPr>
        <w:t>2</w:t>
      </w:r>
      <w:r>
        <w:rPr>
          <w:rFonts w:hint="eastAsia" w:ascii="宋体" w:eastAsia="宋体" w:cs="宋体"/>
          <w:lang w:val="en-US" w:eastAsia="zh-CN"/>
        </w:rPr>
        <w:t>，</w:t>
      </w:r>
      <w:r>
        <w:rPr>
          <w:rFonts w:hint="default" w:ascii="宋体" w:eastAsia="宋体" w:cs="宋体"/>
          <w:lang w:val="en-US" w:eastAsia="zh-CN"/>
        </w:rPr>
        <w:t>需按照《一般</w:t>
      </w:r>
    </w:p>
    <w:p w14:paraId="1ABD6BF5">
      <w:pPr>
        <w:pStyle w:val="38"/>
        <w:rPr>
          <w:rFonts w:hint="default" w:ascii="宋体" w:eastAsia="宋体" w:cs="宋体"/>
          <w:lang w:val="en-US" w:eastAsia="zh-CN"/>
        </w:rPr>
      </w:pPr>
      <w:r>
        <w:rPr>
          <w:rFonts w:hint="default" w:ascii="宋体" w:eastAsia="宋体" w:cs="宋体"/>
          <w:lang w:val="en-US" w:eastAsia="zh-CN"/>
        </w:rPr>
        <w:t>工业固体废物贮存和填埋污染控制标准》（GB18599-2020）的相关要求，做到防</w:t>
      </w:r>
    </w:p>
    <w:p w14:paraId="7BFD5EAB">
      <w:pPr>
        <w:pStyle w:val="38"/>
        <w:rPr>
          <w:rFonts w:hint="default" w:ascii="宋体" w:eastAsia="宋体" w:cs="宋体"/>
          <w:lang w:val="en-US" w:eastAsia="zh-CN"/>
        </w:rPr>
      </w:pPr>
      <w:r>
        <w:rPr>
          <w:rFonts w:hint="default" w:ascii="宋体" w:eastAsia="宋体" w:cs="宋体"/>
          <w:lang w:val="en-US" w:eastAsia="zh-CN"/>
        </w:rPr>
        <w:t>粉尘、防雨、防流失、防渗等措施，确保固废不会流入外环境，雨水不进入临时</w:t>
      </w:r>
    </w:p>
    <w:p w14:paraId="4BE2F515">
      <w:pPr>
        <w:pStyle w:val="38"/>
        <w:rPr>
          <w:rFonts w:hint="default" w:ascii="宋体" w:eastAsia="宋体" w:cs="宋体"/>
        </w:rPr>
      </w:pPr>
      <w:r>
        <w:rPr>
          <w:rFonts w:hint="default" w:ascii="宋体" w:eastAsia="宋体" w:cs="宋体"/>
          <w:lang w:val="en-US" w:eastAsia="zh-CN"/>
        </w:rPr>
        <w:t>贮存场。</w:t>
      </w:r>
    </w:p>
    <w:p w14:paraId="1F63505F">
      <w:pPr>
        <w:pStyle w:val="5"/>
        <w:rPr>
          <w:rFonts w:ascii="Times New Roman" w:hAnsi="Times New Roman"/>
          <w:color w:val="000000"/>
          <w:lang w:val="en-US"/>
        </w:rPr>
      </w:pPr>
      <w:r>
        <w:rPr>
          <w:rFonts w:hint="eastAsia" w:ascii="Times New Roman" w:hAnsi="Times New Roman"/>
          <w:color w:val="000000"/>
          <w:lang w:val="en-US" w:eastAsia="zh-CN"/>
        </w:rPr>
        <w:t>5.2.4.3</w:t>
      </w:r>
      <w:r>
        <w:rPr>
          <w:rFonts w:hint="eastAsia" w:ascii="Times New Roman" w:hAnsi="Times New Roman"/>
          <w:color w:val="000000"/>
          <w:lang w:val="en-US"/>
        </w:rPr>
        <w:t>危险固体废物处置要求</w:t>
      </w:r>
    </w:p>
    <w:p w14:paraId="039DF838">
      <w:pPr>
        <w:pStyle w:val="38"/>
        <w:ind w:left="426" w:leftChars="203" w:firstLine="0" w:firstLineChars="0"/>
        <w:rPr>
          <w:rFonts w:hint="eastAsia"/>
        </w:rPr>
      </w:pPr>
      <w:r>
        <w:rPr>
          <w:rFonts w:hint="eastAsia"/>
        </w:rPr>
        <w:t>产生危废的项目，应严格按照《建设项目危险废物环境影响评价指南》进行</w:t>
      </w:r>
    </w:p>
    <w:p w14:paraId="1F5926B7">
      <w:pPr>
        <w:pStyle w:val="38"/>
      </w:pPr>
      <w:r>
        <w:rPr>
          <w:rFonts w:hint="eastAsia"/>
        </w:rPr>
        <w:t>产生、暂存、转移联单及处置影响评价。</w:t>
      </w:r>
    </w:p>
    <w:p w14:paraId="3A2F0449">
      <w:pPr>
        <w:pStyle w:val="38"/>
        <w:ind w:left="426" w:leftChars="203" w:firstLine="0"/>
      </w:pPr>
      <w:r>
        <w:rPr>
          <w:rFonts w:hint="eastAsia"/>
        </w:rPr>
        <w:t>（1）危险废物贮存要求</w:t>
      </w:r>
    </w:p>
    <w:p w14:paraId="38C43B23">
      <w:pPr>
        <w:pStyle w:val="38"/>
        <w:ind w:left="426" w:leftChars="203" w:firstLine="0"/>
        <w:jc w:val="distribute"/>
      </w:pPr>
      <w:r>
        <w:rPr>
          <w:rFonts w:hint="eastAsia"/>
        </w:rPr>
        <w:t>企业厂区新建1座10m</w:t>
      </w:r>
      <w:r>
        <w:rPr>
          <w:rFonts w:hint="eastAsia"/>
          <w:vertAlign w:val="superscript"/>
        </w:rPr>
        <w:t>2</w:t>
      </w:r>
      <w:r>
        <w:rPr>
          <w:rFonts w:hint="eastAsia"/>
        </w:rPr>
        <w:t>危废贮存库，地面及裙角重点防渗，防渗层为至少</w:t>
      </w:r>
    </w:p>
    <w:p w14:paraId="5B1D86A7">
      <w:pPr>
        <w:pStyle w:val="38"/>
      </w:pPr>
      <w:r>
        <w:rPr>
          <w:rFonts w:hint="eastAsia"/>
        </w:rPr>
        <w:t>1m厚黏土层（渗透系数不大于10</w:t>
      </w:r>
      <w:r>
        <w:rPr>
          <w:rFonts w:hint="eastAsia"/>
          <w:vertAlign w:val="superscript"/>
        </w:rPr>
        <w:t>-7</w:t>
      </w:r>
      <w:r>
        <w:rPr>
          <w:rFonts w:hint="eastAsia"/>
        </w:rPr>
        <w:t>cm/s），或至少2mm厚高密度聚乙烯膜等人工</w:t>
      </w:r>
    </w:p>
    <w:p w14:paraId="16C3A5D0">
      <w:pPr>
        <w:pStyle w:val="38"/>
        <w:ind w:left="0" w:firstLine="0"/>
      </w:pPr>
      <w:r>
        <w:rPr>
          <w:rFonts w:hint="eastAsia"/>
        </w:rPr>
        <w:t>防渗材料（渗透系数不大于10</w:t>
      </w:r>
      <w:r>
        <w:rPr>
          <w:rFonts w:hint="eastAsia"/>
          <w:vertAlign w:val="superscript"/>
        </w:rPr>
        <w:t>-10</w:t>
      </w:r>
      <w:r>
        <w:rPr>
          <w:rFonts w:hint="eastAsia"/>
        </w:rPr>
        <w:t>cm/s），或其他防渗性能等效的材料。</w:t>
      </w:r>
      <w:r>
        <w:rPr>
          <w:rFonts w:hint="eastAsia"/>
          <w:lang w:eastAsia="zh-CN"/>
        </w:rPr>
        <w:t>根据</w:t>
      </w:r>
      <w:r>
        <w:rPr>
          <w:rFonts w:hint="eastAsia" w:ascii="宋体" w:hAnsi="宋体" w:eastAsia="宋体" w:cs="宋体"/>
        </w:rPr>
        <w:t>《危险废物贮存污染控制标准》(GB18597-2023)要求</w:t>
      </w:r>
      <w:r>
        <w:rPr>
          <w:rFonts w:hint="eastAsia" w:ascii="宋体" w:hAnsi="宋体" w:eastAsia="宋体" w:cs="宋体"/>
          <w:lang w:eastAsia="zh-CN"/>
        </w:rPr>
        <w:t>，</w:t>
      </w:r>
      <w:r>
        <w:rPr>
          <w:rFonts w:hint="eastAsia"/>
        </w:rPr>
        <w:t>项目危险废物分区储存，其中废活性炭贮存周期不高于1个月、废</w:t>
      </w:r>
      <w:r>
        <w:rPr>
          <w:rFonts w:hint="eastAsia"/>
          <w:lang w:eastAsia="zh-CN"/>
        </w:rPr>
        <w:t>润滑</w:t>
      </w:r>
      <w:r>
        <w:rPr>
          <w:rFonts w:hint="eastAsia"/>
        </w:rPr>
        <w:t>油和废</w:t>
      </w:r>
      <w:r>
        <w:rPr>
          <w:rFonts w:hint="eastAsia"/>
          <w:lang w:eastAsia="zh-CN"/>
        </w:rPr>
        <w:t>润滑</w:t>
      </w:r>
      <w:r>
        <w:rPr>
          <w:rFonts w:hint="eastAsia"/>
        </w:rPr>
        <w:t>油桶贮存周期不高于1年，项目危废贮存库空间可满足项目危险废物的分区贮存要求。</w:t>
      </w:r>
    </w:p>
    <w:p w14:paraId="728EE63B">
      <w:pPr>
        <w:pStyle w:val="38"/>
        <w:ind w:left="426" w:leftChars="203" w:firstLine="0"/>
        <w:rPr>
          <w:rFonts w:hint="eastAsia"/>
        </w:rPr>
      </w:pPr>
      <w:r>
        <w:rPr>
          <w:rFonts w:hint="eastAsia"/>
        </w:rPr>
        <w:t>为防止危险固体废物在贮存过程中对周围环境产生影响，</w:t>
      </w:r>
      <w:r>
        <w:rPr>
          <w:rFonts w:hint="eastAsia"/>
          <w:lang w:eastAsia="zh-CN"/>
        </w:rPr>
        <w:t>根据</w:t>
      </w:r>
      <w:r>
        <w:rPr>
          <w:rFonts w:hint="eastAsia"/>
        </w:rPr>
        <w:t>《危险废物贮</w:t>
      </w:r>
    </w:p>
    <w:p w14:paraId="6ABCDAAD">
      <w:pPr>
        <w:pStyle w:val="38"/>
      </w:pPr>
      <w:r>
        <w:rPr>
          <w:rFonts w:hint="eastAsia"/>
        </w:rPr>
        <w:t>存污染控制标准》（GB18597-2023）</w:t>
      </w:r>
      <w:r>
        <w:rPr>
          <w:rFonts w:hint="eastAsia"/>
          <w:lang w:eastAsia="zh-CN"/>
        </w:rPr>
        <w:t>要求，</w:t>
      </w:r>
      <w:r>
        <w:rPr>
          <w:rFonts w:hint="eastAsia"/>
        </w:rPr>
        <w:t>环评提出如下要求：</w:t>
      </w:r>
    </w:p>
    <w:p w14:paraId="6A1E0EF0">
      <w:pPr>
        <w:pStyle w:val="38"/>
        <w:ind w:left="426" w:leftChars="203" w:firstLine="0"/>
      </w:pPr>
      <w:r>
        <w:rPr>
          <w:rFonts w:hint="eastAsia"/>
        </w:rPr>
        <w:t>①项目危险废物必须分类存放，设立危险废物标志、危险废物</w:t>
      </w:r>
      <w:r>
        <w:rPr>
          <w:rFonts w:hint="eastAsia"/>
          <w:lang w:eastAsia="zh-CN"/>
        </w:rPr>
        <w:t>情况</w:t>
      </w:r>
      <w:r>
        <w:rPr>
          <w:rFonts w:hint="eastAsia"/>
        </w:rPr>
        <w:t>记录等，</w:t>
      </w:r>
    </w:p>
    <w:p w14:paraId="1E300334">
      <w:pPr>
        <w:pStyle w:val="38"/>
      </w:pPr>
      <w:r>
        <w:rPr>
          <w:rFonts w:hint="eastAsia"/>
        </w:rPr>
        <w:t>并满足《危险废物贮存污染控制标准》（GB18597-2023）的要求。</w:t>
      </w:r>
    </w:p>
    <w:p w14:paraId="32F79897">
      <w:pPr>
        <w:pStyle w:val="38"/>
        <w:ind w:left="426" w:leftChars="203" w:firstLine="0"/>
      </w:pPr>
      <w:r>
        <w:rPr>
          <w:rFonts w:hint="eastAsia"/>
        </w:rPr>
        <w:t>②设置单独的危废存放区，危险废物分类收集，妥善保存；必须将危险废物</w:t>
      </w:r>
    </w:p>
    <w:p w14:paraId="5FA5A342">
      <w:pPr>
        <w:pStyle w:val="38"/>
      </w:pPr>
      <w:r>
        <w:rPr>
          <w:rFonts w:hint="eastAsia"/>
        </w:rPr>
        <w:t>装入容器内，禁止将不兼容（相互反应）的危险废物在同一容器内混装。</w:t>
      </w:r>
    </w:p>
    <w:p w14:paraId="707502F9">
      <w:pPr>
        <w:pStyle w:val="38"/>
        <w:ind w:left="426" w:leftChars="203" w:firstLine="0"/>
      </w:pPr>
      <w:r>
        <w:rPr>
          <w:rFonts w:hint="eastAsia"/>
        </w:rPr>
        <w:t>③容器应粘贴符合标准要求的标签。</w:t>
      </w:r>
    </w:p>
    <w:p w14:paraId="54000F27">
      <w:pPr>
        <w:pStyle w:val="38"/>
        <w:ind w:left="426" w:leftChars="203" w:firstLine="0"/>
      </w:pPr>
      <w:r>
        <w:rPr>
          <w:rFonts w:hint="eastAsia"/>
        </w:rPr>
        <w:t>④容器应满足相应强度要求，且完好无损，容器材质和衬里与危险废物兼容</w:t>
      </w:r>
    </w:p>
    <w:p w14:paraId="21523F62">
      <w:pPr>
        <w:pStyle w:val="38"/>
      </w:pPr>
      <w:r>
        <w:rPr>
          <w:rFonts w:hint="eastAsia"/>
        </w:rPr>
        <w:t>（不相互反应）。</w:t>
      </w:r>
    </w:p>
    <w:p w14:paraId="6B5661E0">
      <w:pPr>
        <w:spacing w:line="360" w:lineRule="auto"/>
        <w:ind w:firstLine="480" w:firstLineChars="200"/>
        <w:rPr>
          <w:sz w:val="24"/>
          <w:szCs w:val="24"/>
        </w:rPr>
      </w:pPr>
      <w:r>
        <w:rPr>
          <w:rFonts w:hint="eastAsia"/>
          <w:sz w:val="24"/>
          <w:szCs w:val="24"/>
        </w:rPr>
        <w:t>⑤做好危险废物情况的记录，记录上须注明危险废物的名称、来源、数量、</w:t>
      </w:r>
    </w:p>
    <w:p w14:paraId="6BF5AEF5">
      <w:pPr>
        <w:spacing w:line="360" w:lineRule="auto"/>
        <w:rPr>
          <w:sz w:val="24"/>
          <w:szCs w:val="24"/>
        </w:rPr>
      </w:pPr>
      <w:r>
        <w:rPr>
          <w:rFonts w:hint="eastAsia"/>
          <w:sz w:val="24"/>
          <w:szCs w:val="24"/>
        </w:rPr>
        <w:t>特性和包装容器的类别、入库日期、存放库位、危废出库日期及</w:t>
      </w:r>
      <w:r>
        <w:rPr>
          <w:rFonts w:hint="eastAsia"/>
          <w:sz w:val="24"/>
          <w:szCs w:val="24"/>
          <w:lang w:eastAsia="zh-CN"/>
        </w:rPr>
        <w:t>接收单位</w:t>
      </w:r>
      <w:r>
        <w:rPr>
          <w:rFonts w:hint="eastAsia"/>
          <w:sz w:val="24"/>
          <w:szCs w:val="24"/>
        </w:rPr>
        <w:t>名称，</w:t>
      </w:r>
    </w:p>
    <w:p w14:paraId="4B45CC16">
      <w:pPr>
        <w:spacing w:line="360" w:lineRule="auto"/>
        <w:rPr>
          <w:sz w:val="24"/>
          <w:szCs w:val="24"/>
        </w:rPr>
      </w:pPr>
      <w:r>
        <w:rPr>
          <w:rFonts w:hint="eastAsia"/>
          <w:sz w:val="24"/>
          <w:szCs w:val="24"/>
        </w:rPr>
        <w:t>危险废物的记录和货单在危险废物回取后继续保留三年。</w:t>
      </w:r>
    </w:p>
    <w:p w14:paraId="4FB35529">
      <w:pPr>
        <w:spacing w:line="360" w:lineRule="auto"/>
        <w:ind w:firstLine="480" w:firstLineChars="200"/>
        <w:rPr>
          <w:sz w:val="24"/>
          <w:szCs w:val="24"/>
        </w:rPr>
      </w:pPr>
      <w:r>
        <w:rPr>
          <w:rFonts w:hint="eastAsia"/>
          <w:sz w:val="24"/>
          <w:szCs w:val="24"/>
        </w:rPr>
        <w:t>⑥必须定期对贮存的危险废物包装容器及贮存设施进行检查，发现破损，应</w:t>
      </w:r>
    </w:p>
    <w:p w14:paraId="2DD6F8B0">
      <w:pPr>
        <w:spacing w:line="360" w:lineRule="auto"/>
        <w:rPr>
          <w:sz w:val="24"/>
          <w:szCs w:val="24"/>
        </w:rPr>
      </w:pPr>
      <w:r>
        <w:rPr>
          <w:rFonts w:hint="eastAsia"/>
          <w:sz w:val="24"/>
          <w:szCs w:val="24"/>
        </w:rPr>
        <w:t>及时采取措施清理更换。危废贮存点内应设置液体泄漏堵截设施，堵截设施最小</w:t>
      </w:r>
    </w:p>
    <w:p w14:paraId="2B0F35E8">
      <w:pPr>
        <w:spacing w:line="360" w:lineRule="auto"/>
        <w:rPr>
          <w:sz w:val="24"/>
          <w:szCs w:val="24"/>
        </w:rPr>
      </w:pPr>
      <w:r>
        <w:rPr>
          <w:rFonts w:hint="eastAsia"/>
          <w:sz w:val="24"/>
          <w:szCs w:val="24"/>
        </w:rPr>
        <w:t>容积不应低于对应贮存区域最大液态废物容器容积或液态废物总储量 1/10（二者取较大者）。</w:t>
      </w:r>
    </w:p>
    <w:p w14:paraId="0193C114">
      <w:pPr>
        <w:spacing w:line="360" w:lineRule="auto"/>
        <w:ind w:firstLine="480" w:firstLineChars="200"/>
        <w:rPr>
          <w:sz w:val="24"/>
          <w:szCs w:val="24"/>
        </w:rPr>
      </w:pPr>
      <w:r>
        <w:rPr>
          <w:rFonts w:hint="eastAsia"/>
          <w:sz w:val="24"/>
          <w:szCs w:val="24"/>
        </w:rPr>
        <w:t>⑦要求企业按照《危险废物识别标志设置技术规范》（HJ1276-2022）、《环</w:t>
      </w:r>
    </w:p>
    <w:p w14:paraId="1C62CDCC">
      <w:pPr>
        <w:spacing w:line="360" w:lineRule="auto"/>
        <w:rPr>
          <w:sz w:val="24"/>
          <w:szCs w:val="24"/>
        </w:rPr>
      </w:pPr>
      <w:r>
        <w:rPr>
          <w:rFonts w:hint="eastAsia"/>
          <w:sz w:val="24"/>
          <w:szCs w:val="24"/>
        </w:rPr>
        <w:t>境保护图形标志—固体废物贮存（处置）场》（GB 15562.2-1995）及其修改单</w:t>
      </w:r>
    </w:p>
    <w:p w14:paraId="157DC110">
      <w:pPr>
        <w:spacing w:line="360" w:lineRule="auto"/>
        <w:rPr>
          <w:sz w:val="24"/>
          <w:szCs w:val="24"/>
        </w:rPr>
      </w:pPr>
      <w:r>
        <w:rPr>
          <w:rFonts w:hint="eastAsia"/>
          <w:sz w:val="24"/>
          <w:szCs w:val="24"/>
        </w:rPr>
        <w:t>的要求设置贮存设施标志牌、危险废物标签等。</w:t>
      </w:r>
    </w:p>
    <w:p w14:paraId="14643967">
      <w:pPr>
        <w:pStyle w:val="5"/>
        <w:rPr>
          <w:rFonts w:ascii="Times New Roman" w:hAnsi="Times New Roman"/>
          <w:color w:val="000000"/>
          <w:lang w:val="en-US"/>
        </w:rPr>
      </w:pPr>
      <w:r>
        <w:rPr>
          <w:rFonts w:hint="eastAsia" w:ascii="Times New Roman" w:hAnsi="Times New Roman"/>
          <w:color w:val="000000"/>
          <w:lang w:val="en-US"/>
        </w:rPr>
        <w:t>5.2.4.</w:t>
      </w:r>
      <w:r>
        <w:rPr>
          <w:rFonts w:hint="eastAsia" w:ascii="Times New Roman" w:hAnsi="Times New Roman"/>
          <w:color w:val="000000"/>
          <w:lang w:val="en-US" w:eastAsia="zh-CN"/>
        </w:rPr>
        <w:t>4</w:t>
      </w:r>
      <w:r>
        <w:rPr>
          <w:rFonts w:hint="eastAsia" w:ascii="Times New Roman" w:hAnsi="Times New Roman"/>
          <w:color w:val="000000"/>
          <w:lang w:val="en-US"/>
        </w:rPr>
        <w:t>危险废物外运管理要求</w:t>
      </w:r>
    </w:p>
    <w:p w14:paraId="63FAD130">
      <w:pPr>
        <w:spacing w:line="360" w:lineRule="auto"/>
        <w:ind w:firstLine="480" w:firstLineChars="200"/>
        <w:rPr>
          <w:sz w:val="24"/>
          <w:szCs w:val="24"/>
        </w:rPr>
      </w:pPr>
      <w:r>
        <w:rPr>
          <w:rFonts w:hint="eastAsia"/>
          <w:sz w:val="24"/>
          <w:szCs w:val="24"/>
        </w:rPr>
        <w:t>危险废物的转移执行《危险废物转移管理办法》的相关规定。转移危险废物</w:t>
      </w:r>
    </w:p>
    <w:p w14:paraId="2837F971">
      <w:pPr>
        <w:spacing w:line="360" w:lineRule="auto"/>
        <w:rPr>
          <w:sz w:val="24"/>
          <w:szCs w:val="24"/>
        </w:rPr>
      </w:pPr>
      <w:r>
        <w:rPr>
          <w:rFonts w:hint="eastAsia"/>
          <w:sz w:val="24"/>
          <w:szCs w:val="24"/>
        </w:rPr>
        <w:t>的，应当执行危险废物转移联单制度；转移危险废物的，应当通过国家危险废物</w:t>
      </w:r>
    </w:p>
    <w:p w14:paraId="06691B80">
      <w:pPr>
        <w:spacing w:line="360" w:lineRule="auto"/>
        <w:rPr>
          <w:sz w:val="24"/>
          <w:szCs w:val="24"/>
        </w:rPr>
      </w:pPr>
      <w:r>
        <w:rPr>
          <w:rFonts w:hint="eastAsia"/>
          <w:sz w:val="24"/>
          <w:szCs w:val="24"/>
        </w:rPr>
        <w:t>信息管理系统（以下简称信息系统）填写、运行危险废物电子转移联单，并依照</w:t>
      </w:r>
    </w:p>
    <w:p w14:paraId="0950C0DD">
      <w:pPr>
        <w:spacing w:line="360" w:lineRule="auto"/>
        <w:rPr>
          <w:sz w:val="24"/>
          <w:szCs w:val="24"/>
        </w:rPr>
      </w:pPr>
      <w:r>
        <w:rPr>
          <w:rFonts w:hint="eastAsia"/>
          <w:sz w:val="24"/>
          <w:szCs w:val="24"/>
        </w:rPr>
        <w:t>国家有关规定公开危险废物转移相关污染环境防治信息；在危险废物转移过程中</w:t>
      </w:r>
    </w:p>
    <w:p w14:paraId="7A039D12">
      <w:pPr>
        <w:spacing w:line="360" w:lineRule="auto"/>
        <w:rPr>
          <w:sz w:val="24"/>
          <w:szCs w:val="24"/>
        </w:rPr>
      </w:pPr>
      <w:r>
        <w:rPr>
          <w:rFonts w:hint="eastAsia"/>
          <w:sz w:val="24"/>
          <w:szCs w:val="24"/>
        </w:rPr>
        <w:t>应当采取防扬散、防流失、防渗漏或者其他防止污染环境的措施，不得擅自倾倒、</w:t>
      </w:r>
    </w:p>
    <w:p w14:paraId="77ADC3FB">
      <w:pPr>
        <w:spacing w:line="360" w:lineRule="auto"/>
        <w:rPr>
          <w:sz w:val="24"/>
          <w:szCs w:val="24"/>
        </w:rPr>
      </w:pPr>
      <w:r>
        <w:rPr>
          <w:rFonts w:hint="eastAsia"/>
          <w:sz w:val="24"/>
          <w:szCs w:val="24"/>
        </w:rPr>
        <w:t>堆放、丢弃、遗撒危险废物，并对所造成的环境污染及生态破坏依法承担责任。</w:t>
      </w:r>
    </w:p>
    <w:p w14:paraId="60446B8B">
      <w:pPr>
        <w:spacing w:line="360" w:lineRule="auto"/>
        <w:ind w:firstLine="480" w:firstLineChars="200"/>
        <w:rPr>
          <w:sz w:val="24"/>
          <w:szCs w:val="24"/>
        </w:rPr>
      </w:pPr>
      <w:r>
        <w:rPr>
          <w:rFonts w:hint="eastAsia"/>
          <w:sz w:val="24"/>
          <w:szCs w:val="24"/>
        </w:rPr>
        <w:t>根据《危险废物转移管理办法》，本企业作为危险废物移出人，应当履行以下义务：</w:t>
      </w:r>
    </w:p>
    <w:p w14:paraId="3BDE9AF9">
      <w:pPr>
        <w:spacing w:line="360" w:lineRule="auto"/>
        <w:ind w:firstLine="480" w:firstLineChars="200"/>
        <w:rPr>
          <w:sz w:val="24"/>
          <w:szCs w:val="24"/>
        </w:rPr>
      </w:pPr>
      <w:r>
        <w:rPr>
          <w:rFonts w:hint="eastAsia"/>
          <w:sz w:val="24"/>
          <w:szCs w:val="24"/>
        </w:rPr>
        <w:t>①对承运人或者接受人的主体资格和技术能力进行核实，依法签订书面合同，</w:t>
      </w:r>
    </w:p>
    <w:p w14:paraId="65EC1660">
      <w:pPr>
        <w:spacing w:line="360" w:lineRule="auto"/>
        <w:rPr>
          <w:sz w:val="24"/>
          <w:szCs w:val="24"/>
        </w:rPr>
      </w:pPr>
      <w:r>
        <w:rPr>
          <w:rFonts w:hint="eastAsia"/>
          <w:sz w:val="24"/>
          <w:szCs w:val="24"/>
        </w:rPr>
        <w:t>并在合同中约定运输、贮存、利用、处置危险废物的污染防治要求及相关责任；</w:t>
      </w:r>
    </w:p>
    <w:p w14:paraId="2D234B80">
      <w:pPr>
        <w:spacing w:line="360" w:lineRule="auto"/>
        <w:ind w:firstLine="480" w:firstLineChars="200"/>
        <w:rPr>
          <w:sz w:val="24"/>
          <w:szCs w:val="24"/>
        </w:rPr>
      </w:pPr>
      <w:r>
        <w:rPr>
          <w:rFonts w:hint="eastAsia"/>
          <w:sz w:val="24"/>
          <w:szCs w:val="24"/>
        </w:rPr>
        <w:t>②制定危险废物管理计划，明确拟转移危险废物的种类、重量（数量）和流向等信息；</w:t>
      </w:r>
    </w:p>
    <w:p w14:paraId="3E14332F">
      <w:pPr>
        <w:spacing w:line="360" w:lineRule="auto"/>
        <w:ind w:firstLine="480" w:firstLineChars="200"/>
        <w:rPr>
          <w:sz w:val="24"/>
          <w:szCs w:val="24"/>
        </w:rPr>
      </w:pPr>
      <w:r>
        <w:rPr>
          <w:rFonts w:hint="eastAsia"/>
          <w:sz w:val="24"/>
          <w:szCs w:val="24"/>
        </w:rPr>
        <w:t>③建立危险废物管理台账，对转移的危险废物进行计量称重，如实记录、妥</w:t>
      </w:r>
    </w:p>
    <w:p w14:paraId="27FC6911">
      <w:pPr>
        <w:spacing w:line="360" w:lineRule="auto"/>
        <w:rPr>
          <w:sz w:val="24"/>
          <w:szCs w:val="24"/>
        </w:rPr>
      </w:pPr>
      <w:r>
        <w:rPr>
          <w:rFonts w:hint="eastAsia"/>
          <w:sz w:val="24"/>
          <w:szCs w:val="24"/>
        </w:rPr>
        <w:t>善保管转移危险废物的种类、重量（数量）和接收人等相关信息；</w:t>
      </w:r>
    </w:p>
    <w:p w14:paraId="19578699">
      <w:pPr>
        <w:spacing w:line="360" w:lineRule="auto"/>
        <w:ind w:firstLine="480" w:firstLineChars="200"/>
        <w:rPr>
          <w:sz w:val="24"/>
          <w:szCs w:val="24"/>
        </w:rPr>
      </w:pPr>
      <w:r>
        <w:rPr>
          <w:rFonts w:hint="eastAsia"/>
          <w:sz w:val="24"/>
          <w:szCs w:val="24"/>
        </w:rPr>
        <w:t>④填写、运行危险废物转移联单，在危险废物转移联单中如实填写移出人、</w:t>
      </w:r>
    </w:p>
    <w:p w14:paraId="4DD351C1">
      <w:pPr>
        <w:spacing w:line="360" w:lineRule="auto"/>
        <w:rPr>
          <w:sz w:val="24"/>
          <w:szCs w:val="24"/>
        </w:rPr>
      </w:pPr>
      <w:r>
        <w:rPr>
          <w:rFonts w:hint="eastAsia"/>
          <w:sz w:val="24"/>
          <w:szCs w:val="24"/>
        </w:rPr>
        <w:t>承运人、接收人信息，转移危险废物的种类、重量（数量）、危险特性等信息，</w:t>
      </w:r>
    </w:p>
    <w:p w14:paraId="3EF43F77">
      <w:pPr>
        <w:spacing w:line="360" w:lineRule="auto"/>
        <w:rPr>
          <w:sz w:val="24"/>
          <w:szCs w:val="24"/>
        </w:rPr>
      </w:pPr>
      <w:r>
        <w:rPr>
          <w:rFonts w:hint="eastAsia"/>
          <w:sz w:val="24"/>
          <w:szCs w:val="24"/>
        </w:rPr>
        <w:t>以及突发环境事件的防范措施等；</w:t>
      </w:r>
    </w:p>
    <w:p w14:paraId="3B3396B7">
      <w:pPr>
        <w:spacing w:line="360" w:lineRule="auto"/>
        <w:ind w:firstLine="480" w:firstLineChars="200"/>
        <w:rPr>
          <w:sz w:val="24"/>
          <w:szCs w:val="24"/>
        </w:rPr>
      </w:pPr>
      <w:r>
        <w:rPr>
          <w:rFonts w:hint="eastAsia"/>
          <w:sz w:val="24"/>
          <w:szCs w:val="24"/>
        </w:rPr>
        <w:t>⑤及时核实接收人贮存、利用或者处置相关危险废物情况；</w:t>
      </w:r>
    </w:p>
    <w:p w14:paraId="4529C631">
      <w:pPr>
        <w:spacing w:line="360" w:lineRule="auto"/>
        <w:ind w:firstLine="480" w:firstLineChars="200"/>
      </w:pPr>
      <w:r>
        <w:rPr>
          <w:rFonts w:hint="eastAsia"/>
          <w:sz w:val="24"/>
          <w:szCs w:val="24"/>
        </w:rPr>
        <w:t>⑥法律法规规定的其他义务。</w:t>
      </w:r>
    </w:p>
    <w:p w14:paraId="6EA52C3A">
      <w:pPr>
        <w:pStyle w:val="4"/>
        <w:autoSpaceDE w:val="0"/>
        <w:autoSpaceDN w:val="0"/>
        <w:spacing w:before="0" w:after="0" w:line="360" w:lineRule="auto"/>
        <w:jc w:val="left"/>
        <w:rPr>
          <w:kern w:val="0"/>
          <w:sz w:val="24"/>
          <w:lang w:val="en-US" w:bidi="zh-CN"/>
        </w:rPr>
      </w:pPr>
      <w:r>
        <w:rPr>
          <w:rFonts w:hint="eastAsia"/>
          <w:kern w:val="0"/>
          <w:sz w:val="24"/>
          <w:lang w:val="en-US" w:bidi="zh-CN"/>
        </w:rPr>
        <w:t>5.2.5生态环境影响预测与评价</w:t>
      </w:r>
    </w:p>
    <w:p w14:paraId="519E9286">
      <w:pPr>
        <w:spacing w:line="360" w:lineRule="auto"/>
        <w:ind w:firstLine="480" w:firstLineChars="200"/>
        <w:rPr>
          <w:rFonts w:hint="eastAsia" w:ascii="宋体" w:hAnsi="宋体"/>
          <w:bCs/>
          <w:sz w:val="24"/>
        </w:rPr>
      </w:pPr>
      <w:r>
        <w:rPr>
          <w:rFonts w:hint="eastAsia" w:ascii="宋体" w:hAnsi="宋体"/>
          <w:bCs/>
          <w:sz w:val="24"/>
        </w:rPr>
        <w:t>项目位于</w:t>
      </w:r>
      <w:r>
        <w:rPr>
          <w:rFonts w:hint="eastAsia" w:ascii="宋体" w:hAnsi="宋体" w:cs="宋体"/>
          <w:kern w:val="0"/>
          <w:sz w:val="24"/>
          <w:szCs w:val="24"/>
          <w:lang w:val="zh-CN" w:bidi="zh-CN"/>
        </w:rPr>
        <w:t>新疆库尔勒市普惠乡润疆社区四分场，租用库尔勒惠泉工贸有限公司现有企业厂房</w:t>
      </w:r>
      <w:r>
        <w:rPr>
          <w:rFonts w:hint="eastAsia" w:ascii="宋体" w:hAnsi="宋体"/>
          <w:bCs/>
          <w:sz w:val="24"/>
        </w:rPr>
        <w:t>，占地为工业用地，因此项目运营不会对生态环境产生明显影响。项目生态影响主要表现为占地，区域无农作物和国家保护的珍稀植物。项目运行期间对周围环境的影响不大，在采取适当措施后，对生态环境的影响是可以接受的。生态保护、恢复及补偿措施如下：</w:t>
      </w:r>
    </w:p>
    <w:p w14:paraId="4B67F66C">
      <w:pPr>
        <w:spacing w:line="360" w:lineRule="auto"/>
        <w:ind w:firstLine="480" w:firstLineChars="200"/>
        <w:rPr>
          <w:rFonts w:hint="eastAsia" w:ascii="宋体" w:hAnsi="宋体"/>
          <w:bCs/>
          <w:sz w:val="24"/>
        </w:rPr>
      </w:pPr>
      <w:r>
        <w:rPr>
          <w:rFonts w:hint="eastAsia" w:ascii="宋体" w:hAnsi="宋体"/>
          <w:bCs/>
          <w:sz w:val="24"/>
        </w:rPr>
        <w:t>（1）强化生态环境保护意识。</w:t>
      </w:r>
    </w:p>
    <w:p w14:paraId="6E655B9B">
      <w:pPr>
        <w:spacing w:line="360" w:lineRule="auto"/>
        <w:ind w:firstLine="480" w:firstLineChars="200"/>
        <w:rPr>
          <w:rFonts w:hint="eastAsia" w:ascii="宋体" w:hAnsi="宋体"/>
          <w:bCs/>
          <w:sz w:val="24"/>
        </w:rPr>
      </w:pPr>
      <w:r>
        <w:rPr>
          <w:rFonts w:hint="eastAsia" w:ascii="宋体" w:hAnsi="宋体"/>
          <w:bCs/>
          <w:sz w:val="24"/>
        </w:rPr>
        <w:t>（2）对项目及周边区域进行绿化，既美化了环境，又减少了项目运行对周</w:t>
      </w:r>
    </w:p>
    <w:p w14:paraId="4178495C">
      <w:pPr>
        <w:spacing w:line="360" w:lineRule="auto"/>
        <w:rPr>
          <w:rFonts w:hint="eastAsia" w:ascii="宋体" w:hAnsi="宋体"/>
          <w:bCs/>
          <w:sz w:val="24"/>
        </w:rPr>
      </w:pPr>
      <w:r>
        <w:rPr>
          <w:rFonts w:hint="eastAsia" w:ascii="宋体" w:hAnsi="宋体"/>
          <w:bCs/>
          <w:sz w:val="24"/>
        </w:rPr>
        <w:t>围生态环境的影响。</w:t>
      </w:r>
    </w:p>
    <w:p w14:paraId="3EA33898">
      <w:pPr>
        <w:pStyle w:val="4"/>
        <w:autoSpaceDE w:val="0"/>
        <w:autoSpaceDN w:val="0"/>
        <w:spacing w:before="0" w:after="0" w:line="360" w:lineRule="auto"/>
        <w:jc w:val="left"/>
        <w:rPr>
          <w:kern w:val="0"/>
          <w:sz w:val="24"/>
          <w:lang w:val="en-US" w:bidi="zh-CN"/>
        </w:rPr>
      </w:pPr>
      <w:r>
        <w:rPr>
          <w:rFonts w:hint="eastAsia"/>
          <w:kern w:val="0"/>
          <w:sz w:val="24"/>
          <w:lang w:val="en-US" w:bidi="zh-CN"/>
        </w:rPr>
        <w:t xml:space="preserve">5.2.6土壤环境影响预测与评价 </w:t>
      </w:r>
    </w:p>
    <w:p w14:paraId="16BF07D2">
      <w:pPr>
        <w:pStyle w:val="5"/>
        <w:rPr>
          <w:rFonts w:ascii="Times New Roman" w:hAnsi="Times New Roman"/>
          <w:color w:val="000000"/>
          <w:lang w:val="en-US"/>
        </w:rPr>
      </w:pPr>
      <w:r>
        <w:rPr>
          <w:rFonts w:hint="eastAsia" w:ascii="Times New Roman" w:hAnsi="Times New Roman"/>
          <w:color w:val="000000"/>
          <w:lang w:val="en-US"/>
        </w:rPr>
        <w:t xml:space="preserve">5.2.6.1环境影响识别 </w:t>
      </w:r>
    </w:p>
    <w:p w14:paraId="73708767">
      <w:pPr>
        <w:pStyle w:val="38"/>
        <w:ind w:left="426" w:leftChars="203" w:firstLine="0"/>
        <w:rPr>
          <w:rFonts w:hAnsi="宋体"/>
        </w:rPr>
      </w:pPr>
      <w:r>
        <w:rPr>
          <w:rFonts w:hAnsi="宋体"/>
        </w:rPr>
        <w:t>根据《环境影响评价技术导则 土壤环境》(HJ964-2018)，不属于会造成土</w:t>
      </w:r>
    </w:p>
    <w:p w14:paraId="7F9288D6">
      <w:pPr>
        <w:pStyle w:val="38"/>
        <w:tabs>
          <w:tab w:val="left" w:pos="0"/>
        </w:tabs>
        <w:ind w:left="0" w:leftChars="0" w:firstLine="0" w:firstLineChars="0"/>
        <w:rPr>
          <w:rFonts w:hint="eastAsia" w:hAnsi="宋体"/>
        </w:rPr>
      </w:pPr>
      <w:r>
        <w:rPr>
          <w:rFonts w:hAnsi="宋体"/>
        </w:rPr>
        <w:t>壤酸化、盐化、碱化的生态影响型项目，属于污染影响型项目。在现有厂</w:t>
      </w:r>
      <w:r>
        <w:rPr>
          <w:rFonts w:hint="eastAsia" w:hAnsi="宋体"/>
        </w:rPr>
        <w:t>房</w:t>
      </w:r>
      <w:r>
        <w:rPr>
          <w:rFonts w:hAnsi="宋体"/>
        </w:rPr>
        <w:t>内</w:t>
      </w:r>
      <w:r>
        <w:rPr>
          <w:rFonts w:hint="eastAsia" w:hAnsi="宋体"/>
        </w:rPr>
        <w:t>进行</w:t>
      </w:r>
      <w:r>
        <w:rPr>
          <w:rFonts w:hAnsi="宋体"/>
        </w:rPr>
        <w:t>设备安装等，主要污染物为施工期扬尘，不涉及土壤污染影响。运营期</w:t>
      </w:r>
      <w:r>
        <w:rPr>
          <w:rFonts w:hint="eastAsia" w:ascii="宋体" w:hAnsi="宋体" w:cs="宋体"/>
          <w:sz w:val="24"/>
          <w:szCs w:val="24"/>
          <w:lang w:eastAsia="zh-CN"/>
        </w:rPr>
        <w:t>生活污水</w:t>
      </w:r>
      <w:r>
        <w:rPr>
          <w:rFonts w:hint="eastAsia" w:ascii="宋体" w:hAnsi="宋体" w:cs="宋体"/>
          <w:sz w:val="24"/>
          <w:szCs w:val="24"/>
          <w:lang w:val="en-US" w:eastAsia="zh-CN"/>
        </w:rPr>
        <w:t>排入污水储存罐</w:t>
      </w:r>
      <w:r>
        <w:rPr>
          <w:rFonts w:hint="eastAsia" w:ascii="宋体" w:hAnsi="宋体" w:cs="宋体"/>
          <w:sz w:val="24"/>
          <w:szCs w:val="24"/>
          <w:lang w:eastAsia="zh-CN"/>
        </w:rPr>
        <w:t>，定期</w:t>
      </w:r>
      <w:r>
        <w:rPr>
          <w:rFonts w:hint="eastAsia" w:ascii="宋体" w:hAnsi="宋体" w:cs="宋体"/>
          <w:sz w:val="24"/>
          <w:szCs w:val="24"/>
          <w:lang w:val="en-US" w:eastAsia="zh-CN"/>
        </w:rPr>
        <w:t>由库尔勒龙润水处理有限公司采用罐车</w:t>
      </w:r>
      <w:r>
        <w:rPr>
          <w:rFonts w:hint="eastAsia" w:ascii="宋体" w:hAnsi="宋体" w:cs="宋体"/>
          <w:sz w:val="24"/>
          <w:szCs w:val="24"/>
          <w:lang w:eastAsia="zh-CN"/>
        </w:rPr>
        <w:t>拉运至</w:t>
      </w:r>
      <w:r>
        <w:rPr>
          <w:rFonts w:hint="eastAsia" w:ascii="宋体" w:hAnsi="宋体" w:cs="宋体"/>
          <w:sz w:val="24"/>
          <w:szCs w:val="24"/>
          <w:lang w:val="en-US" w:eastAsia="zh-CN"/>
        </w:rPr>
        <w:t>库尔勒南市区</w:t>
      </w:r>
      <w:r>
        <w:rPr>
          <w:rFonts w:hint="eastAsia" w:ascii="宋体" w:hAnsi="宋体" w:cs="宋体"/>
          <w:sz w:val="24"/>
          <w:szCs w:val="24"/>
          <w:lang w:eastAsia="zh-CN"/>
        </w:rPr>
        <w:t>污水处理</w:t>
      </w:r>
      <w:r>
        <w:rPr>
          <w:rFonts w:hint="eastAsia" w:ascii="宋体" w:hAnsi="宋体" w:cs="宋体"/>
          <w:sz w:val="24"/>
          <w:szCs w:val="24"/>
          <w:lang w:val="en-US" w:eastAsia="zh-CN"/>
        </w:rPr>
        <w:t>厂</w:t>
      </w:r>
      <w:r>
        <w:rPr>
          <w:rFonts w:hint="eastAsia" w:hAnsi="宋体"/>
          <w:lang w:eastAsia="zh-CN"/>
        </w:rPr>
        <w:t>。</w:t>
      </w:r>
      <w:r>
        <w:rPr>
          <w:rFonts w:hAnsi="宋体"/>
        </w:rPr>
        <w:t xml:space="preserve">危废贮存点、生产车间等按照相关要求，严格采取收集及防腐防渗措施；正常状况下，不会造成地面漫流和发生渗漏污染土壤的情景。 </w:t>
      </w:r>
    </w:p>
    <w:p w14:paraId="339868A3">
      <w:pPr>
        <w:pStyle w:val="38"/>
        <w:ind w:left="0" w:firstLine="480" w:firstLineChars="200"/>
        <w:rPr>
          <w:rFonts w:hint="eastAsia" w:hAnsi="宋体"/>
        </w:rPr>
      </w:pPr>
      <w:r>
        <w:rPr>
          <w:rFonts w:hAnsi="宋体"/>
        </w:rPr>
        <w:t>事故工况下当危废贮存点防渗层破损且废润滑油容器</w:t>
      </w:r>
      <w:r>
        <w:rPr>
          <w:rFonts w:hint="eastAsia" w:hAnsi="宋体"/>
          <w:lang w:eastAsia="zh-CN"/>
        </w:rPr>
        <w:t>泄漏</w:t>
      </w:r>
      <w:r>
        <w:rPr>
          <w:rFonts w:hAnsi="宋体"/>
        </w:rPr>
        <w:t xml:space="preserve">下渗造成油类物质垂直入渗，会造成土壤的污染影响。 </w:t>
      </w:r>
    </w:p>
    <w:p w14:paraId="78F30875">
      <w:pPr>
        <w:pStyle w:val="5"/>
        <w:rPr>
          <w:rFonts w:ascii="Times New Roman" w:hAnsi="Times New Roman"/>
          <w:color w:val="000000"/>
          <w:lang w:val="en-US"/>
        </w:rPr>
      </w:pPr>
      <w:r>
        <w:rPr>
          <w:rFonts w:hint="eastAsia" w:ascii="Times New Roman" w:hAnsi="Times New Roman"/>
          <w:color w:val="000000"/>
          <w:lang w:val="en-US"/>
        </w:rPr>
        <w:t>5.2.6.2现状调查与评价</w:t>
      </w:r>
    </w:p>
    <w:p w14:paraId="1E986924">
      <w:pPr>
        <w:pStyle w:val="38"/>
        <w:ind w:left="426" w:leftChars="203" w:firstLine="0"/>
        <w:rPr>
          <w:rFonts w:hint="eastAsia" w:hAnsi="宋体"/>
        </w:rPr>
      </w:pPr>
      <w:r>
        <w:rPr>
          <w:rFonts w:hint="eastAsia" w:hAnsi="宋体"/>
        </w:rPr>
        <w:t xml:space="preserve">（1）调查范围 </w:t>
      </w:r>
    </w:p>
    <w:p w14:paraId="58064EA3">
      <w:pPr>
        <w:spacing w:line="360" w:lineRule="auto"/>
        <w:ind w:firstLine="480" w:firstLineChars="200"/>
        <w:rPr>
          <w:rFonts w:hint="eastAsia" w:ascii="宋体" w:hAnsi="宋体" w:cs="宋体"/>
          <w:sz w:val="24"/>
          <w:szCs w:val="24"/>
        </w:rPr>
      </w:pPr>
      <w:r>
        <w:rPr>
          <w:rFonts w:ascii="宋体" w:hAnsi="宋体" w:cs="宋体"/>
          <w:sz w:val="24"/>
          <w:szCs w:val="24"/>
        </w:rPr>
        <w:t>根据《环境影响评价技术导则 土壤环境(试行)》(HJ964-2018)，土壤现状调查范围为厂区边界外扩50m。</w:t>
      </w:r>
    </w:p>
    <w:p w14:paraId="0503A4C7">
      <w:pPr>
        <w:pStyle w:val="38"/>
        <w:ind w:left="-2" w:firstLine="240" w:firstLineChars="100"/>
        <w:rPr>
          <w:rFonts w:hint="eastAsia" w:hAnsi="宋体"/>
        </w:rPr>
      </w:pPr>
      <w:r>
        <w:rPr>
          <w:rFonts w:hint="eastAsia" w:hAnsi="宋体"/>
        </w:rPr>
        <w:t xml:space="preserve"> （2）敏感目标 </w:t>
      </w:r>
    </w:p>
    <w:p w14:paraId="77D5066F">
      <w:pPr>
        <w:spacing w:line="360" w:lineRule="auto"/>
        <w:ind w:firstLine="480" w:firstLineChars="200"/>
        <w:rPr>
          <w:rFonts w:hint="eastAsia" w:ascii="宋体" w:hAnsi="宋体" w:cs="宋体"/>
          <w:sz w:val="24"/>
          <w:szCs w:val="24"/>
        </w:rPr>
      </w:pPr>
      <w:r>
        <w:rPr>
          <w:rFonts w:ascii="宋体" w:hAnsi="宋体" w:cs="宋体"/>
          <w:sz w:val="24"/>
          <w:szCs w:val="24"/>
        </w:rPr>
        <w:t xml:space="preserve">本项目厂区边界外扩50m范围内耕地。 </w:t>
      </w:r>
    </w:p>
    <w:p w14:paraId="4264CD9B">
      <w:pPr>
        <w:pStyle w:val="5"/>
        <w:rPr>
          <w:rFonts w:ascii="Times New Roman" w:hAnsi="Times New Roman"/>
          <w:color w:val="000000"/>
          <w:lang w:val="en-US"/>
        </w:rPr>
      </w:pPr>
      <w:r>
        <w:rPr>
          <w:rFonts w:hint="eastAsia" w:ascii="Times New Roman" w:hAnsi="Times New Roman"/>
          <w:color w:val="000000"/>
          <w:lang w:val="en-US"/>
        </w:rPr>
        <w:t xml:space="preserve">5.2.6.3土壤环境影响预测与评价 </w:t>
      </w:r>
    </w:p>
    <w:p w14:paraId="303081C3">
      <w:pPr>
        <w:spacing w:line="360" w:lineRule="auto"/>
        <w:ind w:firstLine="480" w:firstLineChars="200"/>
        <w:rPr>
          <w:rFonts w:hint="eastAsia" w:ascii="宋体" w:hAnsi="宋体" w:cs="宋体"/>
          <w:sz w:val="24"/>
          <w:szCs w:val="24"/>
        </w:rPr>
      </w:pPr>
      <w:r>
        <w:rPr>
          <w:rFonts w:ascii="宋体" w:hAnsi="宋体" w:cs="宋体"/>
          <w:sz w:val="24"/>
          <w:szCs w:val="24"/>
        </w:rPr>
        <w:t>本项目实施后，正常状况下，</w:t>
      </w:r>
      <w:r>
        <w:rPr>
          <w:rFonts w:hint="eastAsia" w:ascii="宋体" w:hAnsi="宋体" w:cs="宋体"/>
          <w:sz w:val="24"/>
          <w:szCs w:val="24"/>
        </w:rPr>
        <w:t>危废贮存点</w:t>
      </w:r>
      <w:r>
        <w:rPr>
          <w:rFonts w:ascii="宋体" w:hAnsi="宋体" w:cs="宋体"/>
          <w:sz w:val="24"/>
          <w:szCs w:val="24"/>
        </w:rPr>
        <w:t>、生产车间等按照相关要求，严格采取收集及防腐防渗措施，因此在正常工况下不会发生油类物质渗漏进入土壤。非正常工况下，当危废贮存点防渗层破损且废润滑油容器</w:t>
      </w:r>
      <w:r>
        <w:rPr>
          <w:rFonts w:hint="eastAsia" w:ascii="宋体" w:hAnsi="宋体" w:cs="宋体"/>
          <w:sz w:val="24"/>
          <w:szCs w:val="24"/>
          <w:lang w:eastAsia="zh-CN"/>
        </w:rPr>
        <w:t>泄漏</w:t>
      </w:r>
      <w:r>
        <w:rPr>
          <w:rFonts w:ascii="宋体" w:hAnsi="宋体" w:cs="宋体"/>
          <w:sz w:val="24"/>
          <w:szCs w:val="24"/>
        </w:rPr>
        <w:t>下渗造成油类物质下渗，会造成土壤的污染影响，其主要污染物为石油烃。</w:t>
      </w:r>
    </w:p>
    <w:p w14:paraId="4FEED022">
      <w:pPr>
        <w:spacing w:line="360" w:lineRule="auto"/>
        <w:ind w:firstLine="480" w:firstLineChars="200"/>
        <w:rPr>
          <w:rFonts w:hint="eastAsia" w:ascii="宋体" w:hAnsi="宋体" w:cs="宋体"/>
          <w:sz w:val="24"/>
          <w:szCs w:val="24"/>
        </w:rPr>
      </w:pPr>
      <w:r>
        <w:rPr>
          <w:rFonts w:ascii="宋体" w:hAnsi="宋体" w:cs="宋体"/>
          <w:sz w:val="24"/>
          <w:szCs w:val="24"/>
        </w:rPr>
        <w:t>根据相关资料可知，为了说明油类物质污染土壤的可能性与程度，类比同类项目进行的土壤剖面的采样监测，其结果详见表5.2-2</w:t>
      </w:r>
      <w:r>
        <w:rPr>
          <w:rFonts w:hint="eastAsia" w:ascii="宋体" w:hAnsi="宋体" w:cs="宋体"/>
          <w:sz w:val="24"/>
          <w:szCs w:val="24"/>
          <w:lang w:val="en-US" w:eastAsia="zh-CN"/>
        </w:rPr>
        <w:t>6</w:t>
      </w:r>
      <w:r>
        <w:rPr>
          <w:rFonts w:ascii="宋体" w:hAnsi="宋体" w:cs="宋体"/>
          <w:sz w:val="24"/>
          <w:szCs w:val="24"/>
        </w:rPr>
        <w:t>。</w:t>
      </w:r>
    </w:p>
    <w:p w14:paraId="17B38E55">
      <w:pPr>
        <w:jc w:val="center"/>
        <w:rPr>
          <w:rFonts w:hint="eastAsia" w:ascii="宋体" w:hAnsi="宋体" w:cs="宋体"/>
          <w:b/>
          <w:bCs/>
          <w:szCs w:val="21"/>
        </w:rPr>
      </w:pPr>
      <w:r>
        <w:rPr>
          <w:rFonts w:ascii="宋体" w:hAnsi="宋体" w:cs="宋体"/>
          <w:b/>
          <w:bCs/>
          <w:szCs w:val="21"/>
        </w:rPr>
        <w:t>表5.2-2</w:t>
      </w:r>
      <w:r>
        <w:rPr>
          <w:rFonts w:hint="eastAsia" w:ascii="宋体" w:hAnsi="宋体" w:cs="宋体"/>
          <w:b/>
          <w:bCs/>
          <w:szCs w:val="21"/>
          <w:lang w:val="en-US" w:eastAsia="zh-CN"/>
        </w:rPr>
        <w:t>6</w:t>
      </w:r>
      <w:r>
        <w:rPr>
          <w:rFonts w:hint="eastAsia" w:ascii="宋体" w:hAnsi="宋体" w:cs="宋体"/>
          <w:b/>
          <w:bCs/>
          <w:szCs w:val="21"/>
        </w:rPr>
        <w:t xml:space="preserve">  </w:t>
      </w:r>
      <w:r>
        <w:rPr>
          <w:rFonts w:ascii="宋体" w:hAnsi="宋体" w:cs="宋体"/>
          <w:b/>
          <w:bCs/>
          <w:szCs w:val="21"/>
        </w:rPr>
        <w:t>油类物质在土层中的纵向分布</w:t>
      </w:r>
      <w:r>
        <w:rPr>
          <w:rFonts w:hint="eastAsia" w:ascii="宋体" w:hAnsi="宋体" w:cs="宋体"/>
          <w:b/>
          <w:bCs/>
          <w:szCs w:val="21"/>
        </w:rPr>
        <w:t>情况</w:t>
      </w:r>
    </w:p>
    <w:tbl>
      <w:tblPr>
        <w:tblStyle w:val="50"/>
        <w:tblW w:w="0" w:type="auto"/>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autofit"/>
        <w:tblCellMar>
          <w:top w:w="0" w:type="dxa"/>
          <w:left w:w="108" w:type="dxa"/>
          <w:bottom w:w="0" w:type="dxa"/>
          <w:right w:w="108" w:type="dxa"/>
        </w:tblCellMar>
      </w:tblPr>
      <w:tblGrid>
        <w:gridCol w:w="2814"/>
        <w:gridCol w:w="2833"/>
        <w:gridCol w:w="2872"/>
      </w:tblGrid>
      <w:tr w14:paraId="5BAB997A">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151" w:hRule="atLeast"/>
          <w:jc w:val="center"/>
        </w:trPr>
        <w:tc>
          <w:tcPr>
            <w:tcW w:w="2814" w:type="dxa"/>
            <w:vAlign w:val="center"/>
          </w:tcPr>
          <w:p w14:paraId="5E680E85">
            <w:pPr>
              <w:spacing w:line="360" w:lineRule="exact"/>
              <w:jc w:val="center"/>
              <w:rPr>
                <w:rFonts w:hint="eastAsia" w:ascii="宋体" w:hAnsi="宋体" w:cs="宋体"/>
                <w:szCs w:val="21"/>
              </w:rPr>
            </w:pPr>
            <w:r>
              <w:rPr>
                <w:rFonts w:hint="eastAsia" w:ascii="宋体" w:hAnsi="宋体" w:cs="宋体"/>
                <w:szCs w:val="21"/>
              </w:rPr>
              <w:t>序号</w:t>
            </w:r>
          </w:p>
        </w:tc>
        <w:tc>
          <w:tcPr>
            <w:tcW w:w="2833" w:type="dxa"/>
            <w:vAlign w:val="center"/>
          </w:tcPr>
          <w:p w14:paraId="5901F4A2">
            <w:pPr>
              <w:spacing w:line="360" w:lineRule="exact"/>
              <w:jc w:val="center"/>
              <w:rPr>
                <w:rFonts w:hint="eastAsia" w:ascii="宋体" w:hAnsi="宋体" w:cs="宋体"/>
                <w:szCs w:val="21"/>
              </w:rPr>
            </w:pPr>
            <w:r>
              <w:rPr>
                <w:rFonts w:hint="eastAsia" w:ascii="宋体" w:hAnsi="宋体" w:cs="宋体"/>
                <w:szCs w:val="21"/>
              </w:rPr>
              <w:t>采样深度(cm)</w:t>
            </w:r>
          </w:p>
        </w:tc>
        <w:tc>
          <w:tcPr>
            <w:tcW w:w="2872" w:type="dxa"/>
            <w:vAlign w:val="center"/>
          </w:tcPr>
          <w:p w14:paraId="3B12CF68">
            <w:pPr>
              <w:spacing w:line="360" w:lineRule="exact"/>
              <w:jc w:val="center"/>
              <w:rPr>
                <w:rFonts w:hint="eastAsia" w:ascii="宋体" w:hAnsi="宋体" w:cs="宋体"/>
                <w:szCs w:val="21"/>
              </w:rPr>
            </w:pPr>
            <w:r>
              <w:rPr>
                <w:rFonts w:hint="eastAsia" w:ascii="宋体" w:hAnsi="宋体" w:cs="宋体"/>
                <w:szCs w:val="21"/>
              </w:rPr>
              <w:t>石油类含量mg/kg</w:t>
            </w:r>
          </w:p>
        </w:tc>
      </w:tr>
      <w:tr w14:paraId="689B687D">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151" w:hRule="atLeast"/>
          <w:jc w:val="center"/>
        </w:trPr>
        <w:tc>
          <w:tcPr>
            <w:tcW w:w="2814" w:type="dxa"/>
            <w:vAlign w:val="center"/>
          </w:tcPr>
          <w:p w14:paraId="612BCF36">
            <w:pPr>
              <w:spacing w:line="360" w:lineRule="exact"/>
              <w:jc w:val="center"/>
              <w:rPr>
                <w:rFonts w:hint="eastAsia" w:ascii="宋体" w:hAnsi="宋体" w:cs="宋体"/>
                <w:szCs w:val="21"/>
              </w:rPr>
            </w:pPr>
            <w:r>
              <w:rPr>
                <w:rFonts w:hint="eastAsia" w:ascii="宋体" w:hAnsi="宋体" w:cs="宋体"/>
                <w:szCs w:val="21"/>
              </w:rPr>
              <w:t>1</w:t>
            </w:r>
          </w:p>
        </w:tc>
        <w:tc>
          <w:tcPr>
            <w:tcW w:w="2833" w:type="dxa"/>
            <w:vAlign w:val="center"/>
          </w:tcPr>
          <w:p w14:paraId="68B9280D">
            <w:pPr>
              <w:spacing w:line="360" w:lineRule="exact"/>
              <w:jc w:val="center"/>
              <w:rPr>
                <w:rFonts w:hint="eastAsia" w:ascii="宋体" w:hAnsi="宋体" w:cs="宋体"/>
                <w:szCs w:val="21"/>
              </w:rPr>
            </w:pPr>
            <w:r>
              <w:rPr>
                <w:rFonts w:hint="eastAsia" w:ascii="宋体" w:hAnsi="宋体" w:cs="宋体"/>
                <w:szCs w:val="21"/>
              </w:rPr>
              <w:t>0～20</w:t>
            </w:r>
          </w:p>
        </w:tc>
        <w:tc>
          <w:tcPr>
            <w:tcW w:w="2872" w:type="dxa"/>
            <w:vAlign w:val="center"/>
          </w:tcPr>
          <w:p w14:paraId="224267F8">
            <w:pPr>
              <w:spacing w:line="360" w:lineRule="exact"/>
              <w:jc w:val="center"/>
              <w:rPr>
                <w:rFonts w:hint="eastAsia" w:ascii="宋体" w:hAnsi="宋体" w:cs="宋体"/>
                <w:szCs w:val="21"/>
              </w:rPr>
            </w:pPr>
            <w:r>
              <w:rPr>
                <w:rFonts w:hint="eastAsia" w:ascii="宋体" w:hAnsi="宋体" w:cs="宋体"/>
                <w:szCs w:val="21"/>
              </w:rPr>
              <w:t>5630.140</w:t>
            </w:r>
          </w:p>
        </w:tc>
      </w:tr>
      <w:tr w14:paraId="1433AF17">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151" w:hRule="atLeast"/>
          <w:jc w:val="center"/>
        </w:trPr>
        <w:tc>
          <w:tcPr>
            <w:tcW w:w="2814" w:type="dxa"/>
            <w:vAlign w:val="center"/>
          </w:tcPr>
          <w:p w14:paraId="2D04639F">
            <w:pPr>
              <w:spacing w:line="360" w:lineRule="exact"/>
              <w:jc w:val="center"/>
              <w:rPr>
                <w:rFonts w:hint="eastAsia" w:ascii="宋体" w:hAnsi="宋体" w:cs="宋体"/>
                <w:szCs w:val="21"/>
              </w:rPr>
            </w:pPr>
            <w:r>
              <w:rPr>
                <w:rFonts w:hint="eastAsia" w:ascii="宋体" w:hAnsi="宋体" w:cs="宋体"/>
                <w:szCs w:val="21"/>
              </w:rPr>
              <w:t>2</w:t>
            </w:r>
          </w:p>
        </w:tc>
        <w:tc>
          <w:tcPr>
            <w:tcW w:w="2833" w:type="dxa"/>
            <w:vAlign w:val="center"/>
          </w:tcPr>
          <w:p w14:paraId="1C6E86EE">
            <w:pPr>
              <w:spacing w:line="360" w:lineRule="exact"/>
              <w:jc w:val="center"/>
              <w:rPr>
                <w:rFonts w:hint="eastAsia" w:ascii="宋体" w:hAnsi="宋体" w:cs="宋体"/>
                <w:szCs w:val="21"/>
              </w:rPr>
            </w:pPr>
            <w:r>
              <w:rPr>
                <w:rFonts w:hint="eastAsia" w:ascii="宋体" w:hAnsi="宋体" w:cs="宋体"/>
                <w:szCs w:val="21"/>
              </w:rPr>
              <w:t>20～40</w:t>
            </w:r>
          </w:p>
        </w:tc>
        <w:tc>
          <w:tcPr>
            <w:tcW w:w="2872" w:type="dxa"/>
            <w:vAlign w:val="center"/>
          </w:tcPr>
          <w:p w14:paraId="573B2CD4">
            <w:pPr>
              <w:spacing w:line="360" w:lineRule="exact"/>
              <w:jc w:val="center"/>
              <w:rPr>
                <w:rFonts w:hint="eastAsia" w:ascii="宋体" w:hAnsi="宋体" w:cs="宋体"/>
                <w:szCs w:val="21"/>
              </w:rPr>
            </w:pPr>
            <w:r>
              <w:rPr>
                <w:rFonts w:hint="eastAsia" w:ascii="宋体" w:hAnsi="宋体" w:cs="宋体"/>
                <w:szCs w:val="21"/>
              </w:rPr>
              <w:t>253.016</w:t>
            </w:r>
          </w:p>
        </w:tc>
      </w:tr>
      <w:tr w14:paraId="3046FE1F">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151" w:hRule="atLeast"/>
          <w:jc w:val="center"/>
        </w:trPr>
        <w:tc>
          <w:tcPr>
            <w:tcW w:w="2814" w:type="dxa"/>
            <w:vAlign w:val="center"/>
          </w:tcPr>
          <w:p w14:paraId="1DD0B251">
            <w:pPr>
              <w:spacing w:line="360" w:lineRule="exact"/>
              <w:jc w:val="center"/>
              <w:rPr>
                <w:rFonts w:hint="eastAsia" w:ascii="宋体" w:hAnsi="宋体" w:cs="宋体"/>
                <w:szCs w:val="21"/>
              </w:rPr>
            </w:pPr>
            <w:r>
              <w:rPr>
                <w:rFonts w:hint="eastAsia" w:ascii="宋体" w:hAnsi="宋体" w:cs="宋体"/>
                <w:szCs w:val="21"/>
              </w:rPr>
              <w:t>3</w:t>
            </w:r>
          </w:p>
        </w:tc>
        <w:tc>
          <w:tcPr>
            <w:tcW w:w="2833" w:type="dxa"/>
            <w:vAlign w:val="center"/>
          </w:tcPr>
          <w:p w14:paraId="6A55804D">
            <w:pPr>
              <w:spacing w:line="360" w:lineRule="exact"/>
              <w:jc w:val="center"/>
              <w:rPr>
                <w:rFonts w:hint="eastAsia" w:ascii="宋体" w:hAnsi="宋体" w:cs="宋体"/>
                <w:szCs w:val="21"/>
              </w:rPr>
            </w:pPr>
            <w:r>
              <w:rPr>
                <w:rFonts w:hint="eastAsia" w:ascii="宋体" w:hAnsi="宋体" w:cs="宋体"/>
                <w:szCs w:val="21"/>
              </w:rPr>
              <w:t>40～60</w:t>
            </w:r>
          </w:p>
        </w:tc>
        <w:tc>
          <w:tcPr>
            <w:tcW w:w="2872" w:type="dxa"/>
            <w:vAlign w:val="center"/>
          </w:tcPr>
          <w:p w14:paraId="6D27F09F">
            <w:pPr>
              <w:spacing w:line="360" w:lineRule="exact"/>
              <w:jc w:val="center"/>
              <w:rPr>
                <w:rFonts w:hint="eastAsia" w:ascii="宋体" w:hAnsi="宋体" w:cs="宋体"/>
                <w:szCs w:val="21"/>
              </w:rPr>
            </w:pPr>
            <w:r>
              <w:rPr>
                <w:rFonts w:hint="eastAsia" w:ascii="宋体" w:hAnsi="宋体" w:cs="宋体"/>
                <w:szCs w:val="21"/>
              </w:rPr>
              <w:t>68.451</w:t>
            </w:r>
          </w:p>
        </w:tc>
      </w:tr>
      <w:tr w14:paraId="3D919DC6">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151" w:hRule="atLeast"/>
          <w:jc w:val="center"/>
        </w:trPr>
        <w:tc>
          <w:tcPr>
            <w:tcW w:w="2814" w:type="dxa"/>
            <w:vAlign w:val="center"/>
          </w:tcPr>
          <w:p w14:paraId="2E8FB691">
            <w:pPr>
              <w:spacing w:line="360" w:lineRule="exact"/>
              <w:jc w:val="center"/>
              <w:rPr>
                <w:rFonts w:hint="eastAsia" w:ascii="宋体" w:hAnsi="宋体" w:cs="宋体"/>
                <w:szCs w:val="21"/>
              </w:rPr>
            </w:pPr>
            <w:r>
              <w:rPr>
                <w:rFonts w:hint="eastAsia" w:ascii="宋体" w:hAnsi="宋体" w:cs="宋体"/>
                <w:szCs w:val="21"/>
              </w:rPr>
              <w:t>4</w:t>
            </w:r>
          </w:p>
        </w:tc>
        <w:tc>
          <w:tcPr>
            <w:tcW w:w="2833" w:type="dxa"/>
            <w:vAlign w:val="center"/>
          </w:tcPr>
          <w:p w14:paraId="5A5BA135">
            <w:pPr>
              <w:spacing w:line="360" w:lineRule="exact"/>
              <w:jc w:val="center"/>
              <w:rPr>
                <w:rFonts w:hint="eastAsia" w:ascii="宋体" w:hAnsi="宋体" w:cs="宋体"/>
                <w:szCs w:val="21"/>
              </w:rPr>
            </w:pPr>
            <w:r>
              <w:rPr>
                <w:rFonts w:hint="eastAsia" w:ascii="宋体" w:hAnsi="宋体" w:cs="宋体"/>
                <w:szCs w:val="21"/>
              </w:rPr>
              <w:t>60～80</w:t>
            </w:r>
          </w:p>
        </w:tc>
        <w:tc>
          <w:tcPr>
            <w:tcW w:w="2872" w:type="dxa"/>
            <w:vAlign w:val="center"/>
          </w:tcPr>
          <w:p w14:paraId="08444181">
            <w:pPr>
              <w:spacing w:line="360" w:lineRule="exact"/>
              <w:jc w:val="center"/>
              <w:rPr>
                <w:rFonts w:hint="eastAsia" w:ascii="宋体" w:hAnsi="宋体" w:cs="宋体"/>
                <w:szCs w:val="21"/>
              </w:rPr>
            </w:pPr>
            <w:r>
              <w:rPr>
                <w:rFonts w:hint="eastAsia" w:ascii="宋体" w:hAnsi="宋体" w:cs="宋体"/>
                <w:szCs w:val="21"/>
              </w:rPr>
              <w:t>57.220</w:t>
            </w:r>
          </w:p>
        </w:tc>
      </w:tr>
      <w:tr w14:paraId="5EAD5374">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155" w:hRule="atLeast"/>
          <w:jc w:val="center"/>
        </w:trPr>
        <w:tc>
          <w:tcPr>
            <w:tcW w:w="2814" w:type="dxa"/>
            <w:vAlign w:val="center"/>
          </w:tcPr>
          <w:p w14:paraId="165E7958">
            <w:pPr>
              <w:spacing w:line="360" w:lineRule="exact"/>
              <w:jc w:val="center"/>
              <w:rPr>
                <w:rFonts w:hint="eastAsia" w:ascii="宋体" w:hAnsi="宋体" w:cs="宋体"/>
                <w:szCs w:val="21"/>
              </w:rPr>
            </w:pPr>
            <w:r>
              <w:rPr>
                <w:rFonts w:hint="eastAsia" w:ascii="宋体" w:hAnsi="宋体" w:cs="宋体"/>
                <w:szCs w:val="21"/>
              </w:rPr>
              <w:t>5</w:t>
            </w:r>
          </w:p>
        </w:tc>
        <w:tc>
          <w:tcPr>
            <w:tcW w:w="2833" w:type="dxa"/>
            <w:vAlign w:val="center"/>
          </w:tcPr>
          <w:p w14:paraId="4161D23A">
            <w:pPr>
              <w:spacing w:line="360" w:lineRule="exact"/>
              <w:jc w:val="center"/>
              <w:rPr>
                <w:rFonts w:hint="eastAsia" w:ascii="宋体" w:hAnsi="宋体" w:cs="宋体"/>
                <w:szCs w:val="21"/>
              </w:rPr>
            </w:pPr>
            <w:r>
              <w:rPr>
                <w:rFonts w:hint="eastAsia" w:ascii="宋体" w:hAnsi="宋体" w:cs="宋体"/>
                <w:szCs w:val="21"/>
              </w:rPr>
              <w:t>80～100</w:t>
            </w:r>
          </w:p>
        </w:tc>
        <w:tc>
          <w:tcPr>
            <w:tcW w:w="2872" w:type="dxa"/>
            <w:vAlign w:val="center"/>
          </w:tcPr>
          <w:p w14:paraId="60CAC9D1">
            <w:pPr>
              <w:spacing w:line="360" w:lineRule="exact"/>
              <w:jc w:val="center"/>
              <w:rPr>
                <w:rFonts w:hint="eastAsia" w:ascii="宋体" w:hAnsi="宋体" w:cs="宋体"/>
                <w:szCs w:val="21"/>
              </w:rPr>
            </w:pPr>
            <w:r>
              <w:rPr>
                <w:rFonts w:hint="eastAsia" w:ascii="宋体" w:hAnsi="宋体" w:cs="宋体"/>
                <w:szCs w:val="21"/>
              </w:rPr>
              <w:t>48.61</w:t>
            </w:r>
          </w:p>
        </w:tc>
      </w:tr>
    </w:tbl>
    <w:p w14:paraId="3A6784FF">
      <w:pPr>
        <w:spacing w:line="360" w:lineRule="auto"/>
        <w:ind w:firstLine="480" w:firstLineChars="200"/>
        <w:rPr>
          <w:rFonts w:hint="eastAsia" w:ascii="宋体" w:hAnsi="宋体" w:cs="宋体"/>
          <w:sz w:val="24"/>
          <w:szCs w:val="24"/>
        </w:rPr>
      </w:pPr>
      <w:r>
        <w:rPr>
          <w:rFonts w:ascii="宋体" w:hAnsi="宋体" w:cs="宋体"/>
          <w:sz w:val="24"/>
          <w:szCs w:val="24"/>
        </w:rPr>
        <w:t>注：《土壤环境质量 建设用地土壤污染风险管控标准(试行)》(GB36600-2018)中第二类用地土壤污染风险筛选值石油烃标准为4500mg/kg。</w:t>
      </w:r>
    </w:p>
    <w:p w14:paraId="30660E25">
      <w:pPr>
        <w:spacing w:line="360" w:lineRule="auto"/>
        <w:ind w:firstLine="480" w:firstLineChars="200"/>
        <w:rPr>
          <w:rFonts w:hint="eastAsia" w:ascii="宋体" w:hAnsi="宋体" w:cs="宋体"/>
          <w:sz w:val="24"/>
          <w:szCs w:val="24"/>
        </w:rPr>
      </w:pPr>
      <w:r>
        <w:rPr>
          <w:rFonts w:ascii="宋体" w:hAnsi="宋体" w:cs="宋体"/>
          <w:sz w:val="24"/>
          <w:szCs w:val="24"/>
        </w:rPr>
        <w:t>表5.2-2</w:t>
      </w:r>
      <w:r>
        <w:rPr>
          <w:rFonts w:hint="eastAsia" w:ascii="宋体" w:hAnsi="宋体" w:cs="宋体"/>
          <w:sz w:val="24"/>
          <w:szCs w:val="24"/>
          <w:lang w:val="en-US" w:eastAsia="zh-CN"/>
        </w:rPr>
        <w:t>6</w:t>
      </w:r>
      <w:r>
        <w:rPr>
          <w:rFonts w:ascii="宋体" w:hAnsi="宋体" w:cs="宋体"/>
          <w:sz w:val="24"/>
          <w:szCs w:val="24"/>
        </w:rPr>
        <w:t xml:space="preserve">中的监测结果表明，非正常状况下石油烃污染物主要积聚在土壤表层40cm以内，其污染也主要限于地表，一般很难渗入到2m以下，发生泄漏会在短时间内发现，泄漏油类物质能够及时地清理，因此，本项目实施后对周边土壤环境影响可接受。 </w:t>
      </w:r>
    </w:p>
    <w:p w14:paraId="56395D4F">
      <w:pPr>
        <w:pStyle w:val="5"/>
        <w:rPr>
          <w:rFonts w:ascii="Times New Roman" w:hAnsi="Times New Roman"/>
          <w:color w:val="000000"/>
          <w:lang w:val="en-US"/>
        </w:rPr>
      </w:pPr>
      <w:r>
        <w:rPr>
          <w:rFonts w:hint="eastAsia" w:ascii="Times New Roman" w:hAnsi="Times New Roman"/>
          <w:color w:val="000000"/>
          <w:lang w:val="en-US"/>
        </w:rPr>
        <w:t>5.2.6.4土壤污染防治措施</w:t>
      </w:r>
    </w:p>
    <w:p w14:paraId="71BD7E8E">
      <w:pPr>
        <w:spacing w:line="360" w:lineRule="auto"/>
        <w:ind w:firstLine="480" w:firstLineChars="200"/>
        <w:rPr>
          <w:rFonts w:hint="eastAsia" w:ascii="宋体" w:hAnsi="宋体" w:cs="宋体"/>
          <w:sz w:val="24"/>
          <w:szCs w:val="24"/>
        </w:rPr>
      </w:pPr>
      <w:r>
        <w:rPr>
          <w:rFonts w:hint="eastAsia" w:ascii="宋体" w:hAnsi="宋体" w:cs="宋体"/>
          <w:sz w:val="24"/>
          <w:szCs w:val="24"/>
        </w:rPr>
        <w:t>（1）</w:t>
      </w:r>
      <w:r>
        <w:rPr>
          <w:rFonts w:ascii="宋体" w:hAnsi="宋体" w:cs="宋体"/>
          <w:sz w:val="24"/>
          <w:szCs w:val="24"/>
        </w:rPr>
        <w:t xml:space="preserve">源头控制 </w:t>
      </w:r>
    </w:p>
    <w:p w14:paraId="0DAD0C25">
      <w:pPr>
        <w:spacing w:line="360" w:lineRule="auto"/>
        <w:ind w:firstLine="480" w:firstLineChars="200"/>
        <w:rPr>
          <w:rFonts w:hint="eastAsia" w:ascii="宋体" w:hAnsi="宋体" w:cs="宋体"/>
          <w:sz w:val="24"/>
          <w:szCs w:val="24"/>
        </w:rPr>
      </w:pPr>
      <w:r>
        <w:rPr>
          <w:rFonts w:ascii="宋体" w:hAnsi="宋体" w:cs="宋体"/>
          <w:sz w:val="24"/>
          <w:szCs w:val="24"/>
        </w:rPr>
        <w:t>企业应建立土壤污染隐患排查治理制度，定期对生产区、危废贮存点等开展隐患排查。发现污染隐患的，应当制定整改方案，及时采取技术、管理措施消除</w:t>
      </w:r>
      <w:r>
        <w:rPr>
          <w:rFonts w:hint="eastAsia" w:ascii="宋体" w:hAnsi="宋体" w:cs="宋体"/>
          <w:sz w:val="24"/>
          <w:szCs w:val="24"/>
        </w:rPr>
        <w:t>隐患。隐患排查、治理情况应当如实记录并建立档案。加强日常巡检监管工作，出现泄漏情况能及时发现，一旦产生含油废物及时、彻底进行回收清理，受污染的土壤应交由具有相应危险废物处置资质的单位负责接收、转运和处置，降低对土壤环境质量的影响程度。</w:t>
      </w:r>
    </w:p>
    <w:p w14:paraId="42B792FA">
      <w:pPr>
        <w:spacing w:line="360" w:lineRule="auto"/>
        <w:ind w:firstLine="480" w:firstLineChars="200"/>
        <w:rPr>
          <w:rFonts w:hint="eastAsia" w:ascii="宋体" w:hAnsi="宋体" w:cs="宋体"/>
          <w:sz w:val="24"/>
          <w:szCs w:val="24"/>
        </w:rPr>
      </w:pPr>
      <w:r>
        <w:rPr>
          <w:rFonts w:hint="eastAsia" w:ascii="宋体" w:hAnsi="宋体" w:cs="宋体"/>
          <w:sz w:val="24"/>
          <w:szCs w:val="24"/>
        </w:rPr>
        <w:t>（2）过程防控措施</w:t>
      </w:r>
    </w:p>
    <w:p w14:paraId="178E48C1">
      <w:pPr>
        <w:spacing w:line="360" w:lineRule="auto"/>
        <w:ind w:firstLine="480" w:firstLineChars="200"/>
        <w:rPr>
          <w:rFonts w:hint="eastAsia" w:ascii="宋体" w:hAnsi="宋体" w:cs="宋体"/>
          <w:sz w:val="24"/>
          <w:szCs w:val="24"/>
        </w:rPr>
      </w:pPr>
      <w:r>
        <w:rPr>
          <w:rFonts w:hint="eastAsia" w:ascii="宋体" w:hAnsi="宋体" w:cs="宋体"/>
          <w:sz w:val="24"/>
          <w:szCs w:val="24"/>
        </w:rPr>
        <w:t>危废贮存点的设置严格按照《危险废物贮存污染控制标准》（GB18957-2023）中有关规定进行防渗防腐处理，防渗层为至少1m厚的粘土层(渗透系数≤10-7cm/s),或2mm厚高密度聚乙烯，渗透系数≤10</w:t>
      </w:r>
      <w:r>
        <w:rPr>
          <w:rFonts w:hint="eastAsia" w:ascii="宋体" w:hAnsi="宋体" w:cs="宋体"/>
          <w:sz w:val="24"/>
          <w:szCs w:val="24"/>
          <w:vertAlign w:val="superscript"/>
        </w:rPr>
        <w:t>-10</w:t>
      </w:r>
      <w:r>
        <w:rPr>
          <w:rFonts w:hint="eastAsia" w:ascii="宋体" w:hAnsi="宋体" w:cs="宋体"/>
          <w:sz w:val="24"/>
          <w:szCs w:val="24"/>
        </w:rPr>
        <w:t>cm/s，防止事故情况废润滑油</w:t>
      </w:r>
      <w:r>
        <w:rPr>
          <w:rFonts w:hint="eastAsia" w:ascii="宋体" w:hAnsi="宋体" w:cs="宋体"/>
          <w:sz w:val="24"/>
          <w:szCs w:val="24"/>
          <w:lang w:eastAsia="zh-CN"/>
        </w:rPr>
        <w:t>泄漏</w:t>
      </w:r>
      <w:r>
        <w:rPr>
          <w:rFonts w:hint="eastAsia" w:ascii="宋体" w:hAnsi="宋体" w:cs="宋体"/>
          <w:sz w:val="24"/>
          <w:szCs w:val="24"/>
        </w:rPr>
        <w:t>渗入土壤。</w:t>
      </w:r>
    </w:p>
    <w:p w14:paraId="4889D5FA">
      <w:pPr>
        <w:spacing w:line="360" w:lineRule="auto"/>
        <w:ind w:firstLine="480" w:firstLineChars="200"/>
        <w:rPr>
          <w:rFonts w:hint="eastAsia" w:ascii="宋体" w:hAnsi="宋体" w:cs="宋体"/>
          <w:sz w:val="24"/>
          <w:szCs w:val="24"/>
        </w:rPr>
      </w:pPr>
      <w:r>
        <w:rPr>
          <w:rFonts w:hint="eastAsia" w:ascii="宋体" w:hAnsi="宋体" w:cs="宋体"/>
          <w:sz w:val="24"/>
          <w:szCs w:val="24"/>
        </w:rPr>
        <w:t>（3）跟踪监测</w:t>
      </w:r>
    </w:p>
    <w:p w14:paraId="6AE2A4B2">
      <w:pPr>
        <w:spacing w:line="360" w:lineRule="auto"/>
        <w:ind w:firstLine="480" w:firstLineChars="200"/>
        <w:rPr>
          <w:rFonts w:hint="eastAsia" w:ascii="宋体" w:hAnsi="宋体" w:cs="宋体"/>
          <w:sz w:val="24"/>
          <w:szCs w:val="24"/>
        </w:rPr>
      </w:pPr>
      <w:r>
        <w:rPr>
          <w:rFonts w:hint="eastAsia" w:ascii="宋体" w:hAnsi="宋体" w:cs="宋体"/>
          <w:sz w:val="24"/>
          <w:szCs w:val="24"/>
        </w:rPr>
        <w:t>根据项目特点及相关要求，制定监测计划，详情见表5.2-2</w:t>
      </w:r>
      <w:r>
        <w:rPr>
          <w:rFonts w:hint="eastAsia" w:ascii="宋体" w:hAnsi="宋体" w:cs="宋体"/>
          <w:sz w:val="24"/>
          <w:szCs w:val="24"/>
          <w:lang w:val="en-US" w:eastAsia="zh-CN"/>
        </w:rPr>
        <w:t>7</w:t>
      </w:r>
      <w:r>
        <w:rPr>
          <w:rFonts w:hint="eastAsia" w:ascii="宋体" w:hAnsi="宋体" w:cs="宋体"/>
          <w:sz w:val="24"/>
          <w:szCs w:val="24"/>
        </w:rPr>
        <w:t>。</w:t>
      </w:r>
    </w:p>
    <w:p w14:paraId="13D52871">
      <w:pPr>
        <w:jc w:val="center"/>
        <w:rPr>
          <w:rFonts w:hint="eastAsia" w:ascii="宋体" w:hAnsi="宋体" w:cs="宋体"/>
          <w:b/>
          <w:bCs/>
          <w:szCs w:val="21"/>
        </w:rPr>
      </w:pPr>
      <w:r>
        <w:rPr>
          <w:rFonts w:hint="eastAsia" w:ascii="宋体" w:hAnsi="宋体" w:cs="宋体"/>
          <w:b/>
          <w:bCs/>
          <w:szCs w:val="21"/>
        </w:rPr>
        <w:t>表5.2-25</w:t>
      </w:r>
      <w:r>
        <w:rPr>
          <w:rFonts w:hint="eastAsia" w:ascii="宋体" w:hAnsi="宋体" w:cs="宋体"/>
          <w:b/>
          <w:bCs/>
          <w:szCs w:val="21"/>
          <w:lang w:val="en-US" w:eastAsia="zh-CN"/>
        </w:rPr>
        <w:t>7</w:t>
      </w:r>
      <w:r>
        <w:rPr>
          <w:rFonts w:hint="eastAsia" w:ascii="宋体" w:hAnsi="宋体" w:cs="宋体"/>
          <w:b/>
          <w:bCs/>
          <w:szCs w:val="21"/>
        </w:rPr>
        <w:t xml:space="preserve">   土壤跟踪监测点位布设情况一览表</w:t>
      </w:r>
    </w:p>
    <w:tbl>
      <w:tblPr>
        <w:tblStyle w:val="50"/>
        <w:tblW w:w="0" w:type="auto"/>
        <w:tblInd w:w="0" w:type="dxa"/>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autofit"/>
        <w:tblCellMar>
          <w:top w:w="0" w:type="dxa"/>
          <w:left w:w="108" w:type="dxa"/>
          <w:bottom w:w="0" w:type="dxa"/>
          <w:right w:w="108" w:type="dxa"/>
        </w:tblCellMar>
      </w:tblPr>
      <w:tblGrid>
        <w:gridCol w:w="771"/>
        <w:gridCol w:w="1900"/>
        <w:gridCol w:w="1199"/>
        <w:gridCol w:w="3504"/>
        <w:gridCol w:w="1148"/>
      </w:tblGrid>
      <w:tr w14:paraId="07B00E39">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c>
          <w:tcPr>
            <w:tcW w:w="778" w:type="dxa"/>
            <w:vAlign w:val="center"/>
          </w:tcPr>
          <w:p w14:paraId="737D408D">
            <w:pPr>
              <w:spacing w:line="360" w:lineRule="exact"/>
              <w:jc w:val="center"/>
              <w:rPr>
                <w:rFonts w:hint="eastAsia" w:ascii="宋体" w:hAnsi="宋体" w:cs="宋体"/>
                <w:szCs w:val="21"/>
              </w:rPr>
            </w:pPr>
            <w:r>
              <w:rPr>
                <w:rFonts w:hint="eastAsia" w:ascii="宋体" w:hAnsi="宋体" w:cs="宋体"/>
                <w:szCs w:val="21"/>
              </w:rPr>
              <w:t>序号</w:t>
            </w:r>
          </w:p>
        </w:tc>
        <w:tc>
          <w:tcPr>
            <w:tcW w:w="1932" w:type="dxa"/>
            <w:vAlign w:val="center"/>
          </w:tcPr>
          <w:p w14:paraId="272268B2">
            <w:pPr>
              <w:spacing w:line="360" w:lineRule="exact"/>
              <w:jc w:val="center"/>
              <w:rPr>
                <w:rFonts w:hint="eastAsia" w:ascii="宋体" w:hAnsi="宋体" w:cs="宋体"/>
                <w:szCs w:val="21"/>
              </w:rPr>
            </w:pPr>
            <w:r>
              <w:rPr>
                <w:rFonts w:hint="eastAsia" w:ascii="宋体" w:hAnsi="宋体" w:cs="宋体"/>
                <w:szCs w:val="21"/>
              </w:rPr>
              <w:t>跟踪监测点位名称</w:t>
            </w:r>
          </w:p>
        </w:tc>
        <w:tc>
          <w:tcPr>
            <w:tcW w:w="1200" w:type="dxa"/>
            <w:vAlign w:val="center"/>
          </w:tcPr>
          <w:p w14:paraId="6E1737B9">
            <w:pPr>
              <w:spacing w:line="360" w:lineRule="exact"/>
              <w:jc w:val="center"/>
              <w:rPr>
                <w:rFonts w:hint="eastAsia" w:ascii="宋体" w:hAnsi="宋体" w:cs="宋体"/>
                <w:szCs w:val="21"/>
              </w:rPr>
            </w:pPr>
            <w:r>
              <w:rPr>
                <w:rFonts w:hint="eastAsia" w:ascii="宋体" w:hAnsi="宋体" w:cs="宋体"/>
                <w:szCs w:val="21"/>
              </w:rPr>
              <w:t>监测因子</w:t>
            </w:r>
          </w:p>
        </w:tc>
        <w:tc>
          <w:tcPr>
            <w:tcW w:w="3543" w:type="dxa"/>
            <w:vAlign w:val="center"/>
          </w:tcPr>
          <w:p w14:paraId="0BC1A3DB">
            <w:pPr>
              <w:spacing w:line="360" w:lineRule="exact"/>
              <w:jc w:val="center"/>
              <w:rPr>
                <w:rFonts w:hint="eastAsia" w:ascii="宋体" w:hAnsi="宋体" w:cs="宋体"/>
                <w:szCs w:val="21"/>
              </w:rPr>
            </w:pPr>
            <w:r>
              <w:rPr>
                <w:rFonts w:hint="eastAsia" w:ascii="宋体" w:hAnsi="宋体" w:cs="宋体"/>
                <w:szCs w:val="21"/>
              </w:rPr>
              <w:t>执行标准</w:t>
            </w:r>
          </w:p>
        </w:tc>
        <w:tc>
          <w:tcPr>
            <w:tcW w:w="1163" w:type="dxa"/>
            <w:vAlign w:val="center"/>
          </w:tcPr>
          <w:p w14:paraId="1EB7AE8D">
            <w:pPr>
              <w:spacing w:line="360" w:lineRule="exact"/>
              <w:jc w:val="center"/>
              <w:rPr>
                <w:rFonts w:hint="eastAsia" w:ascii="宋体" w:hAnsi="宋体" w:cs="宋体"/>
                <w:szCs w:val="21"/>
              </w:rPr>
            </w:pPr>
            <w:r>
              <w:rPr>
                <w:rFonts w:hint="eastAsia" w:ascii="宋体" w:hAnsi="宋体" w:cs="宋体"/>
                <w:szCs w:val="21"/>
              </w:rPr>
              <w:t>监测频率</w:t>
            </w:r>
          </w:p>
        </w:tc>
      </w:tr>
      <w:tr w14:paraId="4083CAFC">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c>
          <w:tcPr>
            <w:tcW w:w="778" w:type="dxa"/>
            <w:vAlign w:val="center"/>
          </w:tcPr>
          <w:p w14:paraId="081E60A0">
            <w:pPr>
              <w:spacing w:line="360" w:lineRule="exact"/>
              <w:jc w:val="center"/>
              <w:rPr>
                <w:rFonts w:hint="eastAsia" w:ascii="宋体" w:hAnsi="宋体" w:cs="宋体"/>
                <w:szCs w:val="21"/>
              </w:rPr>
            </w:pPr>
            <w:r>
              <w:rPr>
                <w:rFonts w:hint="eastAsia" w:ascii="宋体" w:hAnsi="宋体" w:cs="宋体"/>
                <w:szCs w:val="21"/>
              </w:rPr>
              <w:t>1</w:t>
            </w:r>
          </w:p>
        </w:tc>
        <w:tc>
          <w:tcPr>
            <w:tcW w:w="1932" w:type="dxa"/>
            <w:vAlign w:val="center"/>
          </w:tcPr>
          <w:p w14:paraId="106D8B48">
            <w:pPr>
              <w:spacing w:line="360" w:lineRule="exact"/>
              <w:jc w:val="center"/>
              <w:rPr>
                <w:rFonts w:hint="eastAsia" w:ascii="宋体" w:hAnsi="宋体" w:cs="宋体"/>
                <w:szCs w:val="21"/>
              </w:rPr>
            </w:pPr>
            <w:r>
              <w:rPr>
                <w:rFonts w:hint="eastAsia" w:ascii="宋体" w:hAnsi="宋体" w:cs="宋体"/>
                <w:szCs w:val="21"/>
              </w:rPr>
              <w:t>厂区内</w:t>
            </w:r>
          </w:p>
        </w:tc>
        <w:tc>
          <w:tcPr>
            <w:tcW w:w="1200" w:type="dxa"/>
            <w:vAlign w:val="center"/>
          </w:tcPr>
          <w:p w14:paraId="558502A0">
            <w:pPr>
              <w:spacing w:line="360" w:lineRule="exact"/>
              <w:jc w:val="center"/>
              <w:rPr>
                <w:rFonts w:hint="eastAsia" w:ascii="宋体" w:hAnsi="宋体" w:cs="宋体"/>
                <w:szCs w:val="21"/>
              </w:rPr>
            </w:pPr>
            <w:r>
              <w:rPr>
                <w:rFonts w:hint="eastAsia" w:ascii="宋体" w:hAnsi="宋体" w:cs="宋体"/>
                <w:szCs w:val="21"/>
              </w:rPr>
              <w:t>pH、石油烃（C</w:t>
            </w:r>
            <w:r>
              <w:rPr>
                <w:rFonts w:hint="eastAsia" w:ascii="宋体" w:hAnsi="宋体" w:cs="宋体"/>
                <w:szCs w:val="21"/>
                <w:vertAlign w:val="subscript"/>
              </w:rPr>
              <w:t>10</w:t>
            </w:r>
            <w:r>
              <w:rPr>
                <w:rFonts w:hint="eastAsia" w:ascii="宋体" w:hAnsi="宋体" w:cs="宋体"/>
                <w:szCs w:val="21"/>
              </w:rPr>
              <w:t>-C</w:t>
            </w:r>
            <w:r>
              <w:rPr>
                <w:rFonts w:hint="eastAsia" w:ascii="宋体" w:hAnsi="宋体" w:cs="宋体"/>
                <w:szCs w:val="21"/>
                <w:vertAlign w:val="subscript"/>
              </w:rPr>
              <w:t>40</w:t>
            </w:r>
            <w:r>
              <w:rPr>
                <w:rFonts w:hint="eastAsia" w:ascii="宋体" w:hAnsi="宋体" w:cs="宋体"/>
                <w:szCs w:val="21"/>
              </w:rPr>
              <w:t>）</w:t>
            </w:r>
          </w:p>
        </w:tc>
        <w:tc>
          <w:tcPr>
            <w:tcW w:w="3543" w:type="dxa"/>
            <w:vAlign w:val="center"/>
          </w:tcPr>
          <w:p w14:paraId="6AC29A2D">
            <w:pPr>
              <w:spacing w:line="360" w:lineRule="exact"/>
              <w:jc w:val="center"/>
              <w:rPr>
                <w:rFonts w:hint="eastAsia" w:ascii="宋体" w:hAnsi="宋体" w:cs="宋体"/>
                <w:szCs w:val="21"/>
              </w:rPr>
            </w:pPr>
            <w:r>
              <w:rPr>
                <w:rFonts w:hint="eastAsia" w:ascii="宋体" w:hAnsi="宋体" w:cs="宋体"/>
                <w:szCs w:val="21"/>
              </w:rPr>
              <w:t>执行《土壤环境质量 建设用地污染风险管控标准(试行)》(GB36600-2018)表2 第二类用地筛选值</w:t>
            </w:r>
          </w:p>
        </w:tc>
        <w:tc>
          <w:tcPr>
            <w:tcW w:w="1163" w:type="dxa"/>
            <w:vAlign w:val="center"/>
          </w:tcPr>
          <w:p w14:paraId="46A19952">
            <w:pPr>
              <w:spacing w:line="360" w:lineRule="exact"/>
              <w:jc w:val="center"/>
              <w:rPr>
                <w:rFonts w:hint="eastAsia" w:ascii="宋体" w:hAnsi="宋体" w:cs="宋体"/>
                <w:szCs w:val="21"/>
              </w:rPr>
            </w:pPr>
            <w:r>
              <w:rPr>
                <w:rFonts w:hint="eastAsia" w:ascii="宋体" w:hAnsi="宋体" w:cs="宋体"/>
                <w:szCs w:val="21"/>
              </w:rPr>
              <w:t>每年一次</w:t>
            </w:r>
          </w:p>
        </w:tc>
      </w:tr>
    </w:tbl>
    <w:p w14:paraId="1B0F0A7A">
      <w:pPr>
        <w:pStyle w:val="5"/>
        <w:rPr>
          <w:rFonts w:ascii="Times New Roman" w:hAnsi="Times New Roman"/>
          <w:color w:val="000000"/>
          <w:lang w:val="en-US"/>
        </w:rPr>
      </w:pPr>
      <w:r>
        <w:rPr>
          <w:rFonts w:hint="eastAsia" w:ascii="Times New Roman" w:hAnsi="Times New Roman"/>
          <w:color w:val="000000"/>
          <w:lang w:val="en-US"/>
        </w:rPr>
        <w:t>5.2.6.5 土壤环境影响评价结论</w:t>
      </w:r>
    </w:p>
    <w:p w14:paraId="2B11B780">
      <w:pPr>
        <w:spacing w:line="360" w:lineRule="auto"/>
        <w:ind w:firstLine="480" w:firstLineChars="200"/>
        <w:rPr>
          <w:rFonts w:hint="eastAsia" w:ascii="宋体" w:hAnsi="宋体" w:cs="宋体"/>
          <w:sz w:val="24"/>
          <w:szCs w:val="24"/>
        </w:rPr>
      </w:pPr>
      <w:r>
        <w:rPr>
          <w:rFonts w:hint="eastAsia" w:ascii="宋体" w:hAnsi="宋体" w:cs="宋体"/>
          <w:sz w:val="24"/>
          <w:szCs w:val="24"/>
        </w:rPr>
        <w:t>本项目厂区内土壤监测点各监测因子监测值均低于《土壤环境质量建设用地土壤污染风险管控标准(试行)》(GB36600-2018)中第二类用地土壤污染风险筛选值。同时根据类比土壤剖面的采样监测数据，石油烃主要积聚在土壤表层40cm以内，其污染也主要限于地表，土壤底部石油烃浓度未检出。因此，本工程需采取土壤污染防治措施按照“源头控制、过程防控、跟踪监测、应急响应”相结合的原则，并定期开展土壤跟踪监测，在严格按照</w:t>
      </w:r>
      <w:r>
        <w:rPr>
          <w:rFonts w:hint="eastAsia" w:ascii="宋体" w:hAnsi="宋体" w:cs="宋体"/>
          <w:sz w:val="24"/>
          <w:szCs w:val="24"/>
          <w:lang w:eastAsia="zh-CN"/>
        </w:rPr>
        <w:t>土壤污染防治</w:t>
      </w:r>
      <w:r>
        <w:rPr>
          <w:rFonts w:hint="eastAsia" w:ascii="宋体" w:hAnsi="宋体" w:cs="宋体"/>
          <w:sz w:val="24"/>
          <w:szCs w:val="24"/>
        </w:rPr>
        <w:t>措施后，本项目建设可行。</w:t>
      </w:r>
    </w:p>
    <w:p w14:paraId="61B9606C">
      <w:pPr>
        <w:pStyle w:val="29"/>
        <w:ind w:firstLine="480" w:firstLineChars="200"/>
        <w:rPr>
          <w:rFonts w:hint="eastAsia" w:hAnsi="宋体" w:cs="宋体"/>
          <w:sz w:val="24"/>
          <w:szCs w:val="24"/>
          <w:lang w:val="en-US"/>
        </w:rPr>
      </w:pPr>
      <w:r>
        <w:rPr>
          <w:rFonts w:hint="eastAsia" w:hAnsi="宋体" w:cs="宋体"/>
          <w:sz w:val="24"/>
          <w:szCs w:val="24"/>
          <w:lang w:val="en-US"/>
        </w:rPr>
        <w:t>土壤环境影响评价表详见表5.2-26。</w:t>
      </w:r>
    </w:p>
    <w:p w14:paraId="1FB4EE8C">
      <w:pPr>
        <w:pStyle w:val="246"/>
        <w:spacing w:line="240" w:lineRule="auto"/>
        <w:ind w:firstLine="0" w:firstLineChars="0"/>
        <w:jc w:val="center"/>
        <w:rPr>
          <w:b/>
          <w:bCs/>
          <w:sz w:val="21"/>
          <w:szCs w:val="21"/>
        </w:rPr>
      </w:pPr>
      <w:r>
        <w:rPr>
          <w:rFonts w:hint="eastAsia"/>
          <w:b/>
          <w:bCs/>
          <w:sz w:val="21"/>
          <w:szCs w:val="21"/>
        </w:rPr>
        <w:t>表5.2-2</w:t>
      </w:r>
      <w:r>
        <w:rPr>
          <w:rFonts w:hint="eastAsia"/>
          <w:b/>
          <w:bCs/>
          <w:sz w:val="21"/>
          <w:szCs w:val="21"/>
          <w:lang w:val="en-US" w:eastAsia="zh-CN"/>
        </w:rPr>
        <w:t>8</w:t>
      </w:r>
      <w:r>
        <w:rPr>
          <w:rFonts w:hint="eastAsia"/>
          <w:b/>
          <w:bCs/>
          <w:sz w:val="21"/>
          <w:szCs w:val="21"/>
        </w:rPr>
        <w:t xml:space="preserve">    建设项目土壤环境影响评价自查表</w:t>
      </w:r>
    </w:p>
    <w:tbl>
      <w:tblPr>
        <w:tblStyle w:val="49"/>
        <w:tblW w:w="8608" w:type="dxa"/>
        <w:jc w:val="center"/>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
      <w:tblGrid>
        <w:gridCol w:w="687"/>
        <w:gridCol w:w="1409"/>
        <w:gridCol w:w="1168"/>
        <w:gridCol w:w="125"/>
        <w:gridCol w:w="1078"/>
        <w:gridCol w:w="929"/>
        <w:gridCol w:w="507"/>
        <w:gridCol w:w="1888"/>
        <w:gridCol w:w="817"/>
      </w:tblGrid>
      <w:tr w14:paraId="249065E4">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276" w:hRule="atLeast"/>
          <w:jc w:val="center"/>
        </w:trPr>
        <w:tc>
          <w:tcPr>
            <w:tcW w:w="2096" w:type="dxa"/>
            <w:gridSpan w:val="2"/>
            <w:tcBorders>
              <w:tl2br w:val="nil"/>
              <w:tr2bl w:val="nil"/>
            </w:tcBorders>
            <w:vAlign w:val="center"/>
          </w:tcPr>
          <w:p w14:paraId="7B302621">
            <w:pPr>
              <w:pStyle w:val="228"/>
              <w:snapToGrid w:val="0"/>
              <w:rPr>
                <w:szCs w:val="21"/>
              </w:rPr>
            </w:pPr>
            <w:r>
              <w:rPr>
                <w:szCs w:val="21"/>
              </w:rPr>
              <w:t>工作内容</w:t>
            </w:r>
          </w:p>
        </w:tc>
        <w:tc>
          <w:tcPr>
            <w:tcW w:w="5695" w:type="dxa"/>
            <w:gridSpan w:val="6"/>
            <w:tcBorders>
              <w:tl2br w:val="nil"/>
              <w:tr2bl w:val="nil"/>
            </w:tcBorders>
            <w:vAlign w:val="center"/>
          </w:tcPr>
          <w:p w14:paraId="0133C5D0">
            <w:pPr>
              <w:pStyle w:val="228"/>
              <w:snapToGrid w:val="0"/>
              <w:rPr>
                <w:szCs w:val="21"/>
              </w:rPr>
            </w:pPr>
            <w:r>
              <w:rPr>
                <w:szCs w:val="21"/>
              </w:rPr>
              <w:t>完成情况</w:t>
            </w:r>
          </w:p>
        </w:tc>
        <w:tc>
          <w:tcPr>
            <w:tcW w:w="817" w:type="dxa"/>
            <w:tcBorders>
              <w:tl2br w:val="nil"/>
              <w:tr2bl w:val="nil"/>
            </w:tcBorders>
            <w:vAlign w:val="center"/>
          </w:tcPr>
          <w:p w14:paraId="3A387FEC">
            <w:pPr>
              <w:pStyle w:val="228"/>
              <w:snapToGrid w:val="0"/>
              <w:rPr>
                <w:szCs w:val="21"/>
              </w:rPr>
            </w:pPr>
            <w:r>
              <w:rPr>
                <w:szCs w:val="21"/>
              </w:rPr>
              <w:t>备注</w:t>
            </w:r>
          </w:p>
        </w:tc>
      </w:tr>
      <w:tr w14:paraId="183DA49D">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365" w:hRule="atLeast"/>
          <w:jc w:val="center"/>
        </w:trPr>
        <w:tc>
          <w:tcPr>
            <w:tcW w:w="687" w:type="dxa"/>
            <w:vMerge w:val="restart"/>
            <w:tcBorders>
              <w:tl2br w:val="nil"/>
              <w:tr2bl w:val="nil"/>
            </w:tcBorders>
            <w:vAlign w:val="center"/>
          </w:tcPr>
          <w:p w14:paraId="52A1A302">
            <w:pPr>
              <w:pStyle w:val="228"/>
              <w:snapToGrid w:val="0"/>
              <w:rPr>
                <w:szCs w:val="21"/>
              </w:rPr>
            </w:pPr>
            <w:r>
              <w:rPr>
                <w:szCs w:val="21"/>
              </w:rPr>
              <w:t>影响</w:t>
            </w:r>
          </w:p>
          <w:p w14:paraId="1DF772FF">
            <w:pPr>
              <w:pStyle w:val="228"/>
              <w:snapToGrid w:val="0"/>
              <w:rPr>
                <w:szCs w:val="21"/>
              </w:rPr>
            </w:pPr>
            <w:r>
              <w:rPr>
                <w:szCs w:val="21"/>
              </w:rPr>
              <w:t>识别</w:t>
            </w:r>
          </w:p>
        </w:tc>
        <w:tc>
          <w:tcPr>
            <w:tcW w:w="1408" w:type="dxa"/>
            <w:tcBorders>
              <w:tl2br w:val="nil"/>
              <w:tr2bl w:val="nil"/>
            </w:tcBorders>
            <w:vAlign w:val="center"/>
          </w:tcPr>
          <w:p w14:paraId="3903705C">
            <w:pPr>
              <w:pStyle w:val="228"/>
              <w:snapToGrid w:val="0"/>
              <w:rPr>
                <w:szCs w:val="21"/>
              </w:rPr>
            </w:pPr>
            <w:r>
              <w:rPr>
                <w:szCs w:val="21"/>
              </w:rPr>
              <w:t>影响类型</w:t>
            </w:r>
          </w:p>
        </w:tc>
        <w:tc>
          <w:tcPr>
            <w:tcW w:w="5695" w:type="dxa"/>
            <w:gridSpan w:val="6"/>
            <w:tcBorders>
              <w:tl2br w:val="nil"/>
              <w:tr2bl w:val="nil"/>
            </w:tcBorders>
            <w:vAlign w:val="center"/>
          </w:tcPr>
          <w:p w14:paraId="53FA5D73">
            <w:pPr>
              <w:pStyle w:val="228"/>
              <w:snapToGrid w:val="0"/>
              <w:rPr>
                <w:szCs w:val="21"/>
              </w:rPr>
            </w:pPr>
            <w:r>
              <w:rPr>
                <w:szCs w:val="21"/>
              </w:rPr>
              <w:t>污染影响型</w:t>
            </w:r>
            <w:r>
              <w:rPr>
                <w:rFonts w:hint="eastAsia" w:cs="MS Mincho"/>
                <w:szCs w:val="21"/>
              </w:rPr>
              <w:sym w:font="Wingdings 2" w:char="0052"/>
            </w:r>
            <w:r>
              <w:rPr>
                <w:szCs w:val="21"/>
              </w:rPr>
              <w:t>；生态影响型</w:t>
            </w:r>
            <w:r>
              <w:rPr>
                <w:rFonts w:hint="eastAsia"/>
                <w:szCs w:val="21"/>
              </w:rPr>
              <w:t>□</w:t>
            </w:r>
            <w:r>
              <w:rPr>
                <w:szCs w:val="21"/>
              </w:rPr>
              <w:t>；两种兼有</w:t>
            </w:r>
            <w:r>
              <w:rPr>
                <w:rFonts w:hint="eastAsia"/>
                <w:szCs w:val="21"/>
              </w:rPr>
              <w:t>□</w:t>
            </w:r>
          </w:p>
        </w:tc>
        <w:tc>
          <w:tcPr>
            <w:tcW w:w="817" w:type="dxa"/>
            <w:tcBorders>
              <w:tl2br w:val="nil"/>
              <w:tr2bl w:val="nil"/>
            </w:tcBorders>
            <w:vAlign w:val="center"/>
          </w:tcPr>
          <w:p w14:paraId="46DFF16C">
            <w:pPr>
              <w:snapToGrid w:val="0"/>
              <w:jc w:val="center"/>
              <w:rPr>
                <w:szCs w:val="21"/>
              </w:rPr>
            </w:pPr>
            <w:r>
              <w:rPr>
                <w:rFonts w:hint="eastAsia"/>
                <w:szCs w:val="21"/>
              </w:rPr>
              <w:t>/</w:t>
            </w:r>
          </w:p>
        </w:tc>
      </w:tr>
      <w:tr w14:paraId="39FE8C72">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365" w:hRule="atLeast"/>
          <w:jc w:val="center"/>
        </w:trPr>
        <w:tc>
          <w:tcPr>
            <w:tcW w:w="687" w:type="dxa"/>
            <w:vMerge w:val="continue"/>
            <w:tcBorders>
              <w:tl2br w:val="nil"/>
              <w:tr2bl w:val="nil"/>
            </w:tcBorders>
            <w:vAlign w:val="center"/>
          </w:tcPr>
          <w:p w14:paraId="0FE0CF7D">
            <w:pPr>
              <w:pStyle w:val="228"/>
              <w:snapToGrid w:val="0"/>
              <w:rPr>
                <w:szCs w:val="21"/>
              </w:rPr>
            </w:pPr>
          </w:p>
        </w:tc>
        <w:tc>
          <w:tcPr>
            <w:tcW w:w="1408" w:type="dxa"/>
            <w:tcBorders>
              <w:tl2br w:val="nil"/>
              <w:tr2bl w:val="nil"/>
            </w:tcBorders>
            <w:vAlign w:val="center"/>
          </w:tcPr>
          <w:p w14:paraId="3E84A795">
            <w:pPr>
              <w:pStyle w:val="228"/>
              <w:snapToGrid w:val="0"/>
              <w:rPr>
                <w:szCs w:val="21"/>
              </w:rPr>
            </w:pPr>
            <w:r>
              <w:rPr>
                <w:szCs w:val="21"/>
              </w:rPr>
              <w:t>土地利用类型</w:t>
            </w:r>
          </w:p>
        </w:tc>
        <w:tc>
          <w:tcPr>
            <w:tcW w:w="5695" w:type="dxa"/>
            <w:gridSpan w:val="6"/>
            <w:tcBorders>
              <w:tl2br w:val="nil"/>
              <w:tr2bl w:val="nil"/>
            </w:tcBorders>
            <w:vAlign w:val="center"/>
          </w:tcPr>
          <w:p w14:paraId="021DC950">
            <w:pPr>
              <w:pStyle w:val="228"/>
              <w:snapToGrid w:val="0"/>
              <w:rPr>
                <w:szCs w:val="21"/>
              </w:rPr>
            </w:pPr>
            <w:r>
              <w:rPr>
                <w:szCs w:val="21"/>
              </w:rPr>
              <w:t>建设用地</w:t>
            </w:r>
            <w:r>
              <w:rPr>
                <w:rFonts w:hint="eastAsia"/>
                <w:szCs w:val="21"/>
              </w:rPr>
              <w:sym w:font="Wingdings 2" w:char="0052"/>
            </w:r>
            <w:r>
              <w:rPr>
                <w:szCs w:val="21"/>
              </w:rPr>
              <w:t>；农用地</w:t>
            </w:r>
            <w:r>
              <w:rPr>
                <w:rFonts w:hint="eastAsia"/>
                <w:szCs w:val="21"/>
              </w:rPr>
              <w:t>□</w:t>
            </w:r>
            <w:r>
              <w:rPr>
                <w:szCs w:val="21"/>
              </w:rPr>
              <w:t>；未利用地</w:t>
            </w:r>
            <w:r>
              <w:rPr>
                <w:rFonts w:hint="eastAsia" w:cs="MS Mincho"/>
                <w:szCs w:val="21"/>
              </w:rPr>
              <w:t>□</w:t>
            </w:r>
          </w:p>
        </w:tc>
        <w:tc>
          <w:tcPr>
            <w:tcW w:w="817" w:type="dxa"/>
            <w:tcBorders>
              <w:tl2br w:val="nil"/>
              <w:tr2bl w:val="nil"/>
            </w:tcBorders>
            <w:vAlign w:val="center"/>
          </w:tcPr>
          <w:p w14:paraId="4BC0AECB">
            <w:pPr>
              <w:snapToGrid w:val="0"/>
              <w:jc w:val="center"/>
              <w:rPr>
                <w:szCs w:val="21"/>
              </w:rPr>
            </w:pPr>
            <w:r>
              <w:rPr>
                <w:rFonts w:hint="eastAsia"/>
                <w:szCs w:val="21"/>
              </w:rPr>
              <w:t>/</w:t>
            </w:r>
          </w:p>
        </w:tc>
      </w:tr>
      <w:tr w14:paraId="09B404FF">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332" w:hRule="atLeast"/>
          <w:jc w:val="center"/>
        </w:trPr>
        <w:tc>
          <w:tcPr>
            <w:tcW w:w="687" w:type="dxa"/>
            <w:vMerge w:val="continue"/>
            <w:tcBorders>
              <w:tl2br w:val="nil"/>
              <w:tr2bl w:val="nil"/>
            </w:tcBorders>
            <w:vAlign w:val="center"/>
          </w:tcPr>
          <w:p w14:paraId="755ED511">
            <w:pPr>
              <w:pStyle w:val="228"/>
              <w:snapToGrid w:val="0"/>
              <w:rPr>
                <w:szCs w:val="21"/>
              </w:rPr>
            </w:pPr>
          </w:p>
        </w:tc>
        <w:tc>
          <w:tcPr>
            <w:tcW w:w="1408" w:type="dxa"/>
            <w:tcBorders>
              <w:tl2br w:val="nil"/>
              <w:tr2bl w:val="nil"/>
            </w:tcBorders>
            <w:vAlign w:val="center"/>
          </w:tcPr>
          <w:p w14:paraId="5220DD58">
            <w:pPr>
              <w:pStyle w:val="228"/>
              <w:snapToGrid w:val="0"/>
              <w:rPr>
                <w:szCs w:val="21"/>
              </w:rPr>
            </w:pPr>
            <w:r>
              <w:rPr>
                <w:szCs w:val="21"/>
              </w:rPr>
              <w:t>占地规模</w:t>
            </w:r>
          </w:p>
        </w:tc>
        <w:tc>
          <w:tcPr>
            <w:tcW w:w="5695" w:type="dxa"/>
            <w:gridSpan w:val="6"/>
            <w:tcBorders>
              <w:tl2br w:val="nil"/>
              <w:tr2bl w:val="nil"/>
            </w:tcBorders>
            <w:vAlign w:val="center"/>
          </w:tcPr>
          <w:p w14:paraId="51D84FA9">
            <w:pPr>
              <w:pStyle w:val="228"/>
              <w:snapToGrid w:val="0"/>
              <w:rPr>
                <w:szCs w:val="21"/>
              </w:rPr>
            </w:pPr>
            <w:r>
              <w:rPr>
                <w:rFonts w:hint="eastAsia"/>
                <w:szCs w:val="21"/>
              </w:rPr>
              <w:t>（0.1）</w:t>
            </w:r>
            <w:r>
              <w:rPr>
                <w:szCs w:val="21"/>
              </w:rPr>
              <w:t>hm</w:t>
            </w:r>
            <w:r>
              <w:rPr>
                <w:szCs w:val="21"/>
                <w:vertAlign w:val="superscript"/>
              </w:rPr>
              <w:t>2</w:t>
            </w:r>
          </w:p>
        </w:tc>
        <w:tc>
          <w:tcPr>
            <w:tcW w:w="817" w:type="dxa"/>
            <w:tcBorders>
              <w:tl2br w:val="nil"/>
              <w:tr2bl w:val="nil"/>
            </w:tcBorders>
            <w:vAlign w:val="center"/>
          </w:tcPr>
          <w:p w14:paraId="7274E64D">
            <w:pPr>
              <w:snapToGrid w:val="0"/>
              <w:jc w:val="center"/>
              <w:rPr>
                <w:szCs w:val="21"/>
              </w:rPr>
            </w:pPr>
            <w:r>
              <w:rPr>
                <w:rFonts w:hint="eastAsia"/>
                <w:szCs w:val="21"/>
              </w:rPr>
              <w:t>/</w:t>
            </w:r>
          </w:p>
        </w:tc>
      </w:tr>
      <w:tr w14:paraId="16CB51FD">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332" w:hRule="atLeast"/>
          <w:jc w:val="center"/>
        </w:trPr>
        <w:tc>
          <w:tcPr>
            <w:tcW w:w="687" w:type="dxa"/>
            <w:vMerge w:val="continue"/>
            <w:tcBorders>
              <w:tl2br w:val="nil"/>
              <w:tr2bl w:val="nil"/>
            </w:tcBorders>
            <w:vAlign w:val="center"/>
          </w:tcPr>
          <w:p w14:paraId="5A306933">
            <w:pPr>
              <w:pStyle w:val="228"/>
              <w:snapToGrid w:val="0"/>
              <w:rPr>
                <w:szCs w:val="21"/>
              </w:rPr>
            </w:pPr>
          </w:p>
        </w:tc>
        <w:tc>
          <w:tcPr>
            <w:tcW w:w="1408" w:type="dxa"/>
            <w:tcBorders>
              <w:tl2br w:val="nil"/>
              <w:tr2bl w:val="nil"/>
            </w:tcBorders>
            <w:vAlign w:val="center"/>
          </w:tcPr>
          <w:p w14:paraId="0E40BD12">
            <w:pPr>
              <w:pStyle w:val="228"/>
              <w:snapToGrid w:val="0"/>
              <w:rPr>
                <w:szCs w:val="21"/>
              </w:rPr>
            </w:pPr>
            <w:r>
              <w:rPr>
                <w:szCs w:val="21"/>
              </w:rPr>
              <w:t>敏感目标信息</w:t>
            </w:r>
          </w:p>
        </w:tc>
        <w:tc>
          <w:tcPr>
            <w:tcW w:w="5695" w:type="dxa"/>
            <w:gridSpan w:val="6"/>
            <w:tcBorders>
              <w:tl2br w:val="nil"/>
              <w:tr2bl w:val="nil"/>
            </w:tcBorders>
            <w:vAlign w:val="center"/>
          </w:tcPr>
          <w:p w14:paraId="64A21276">
            <w:pPr>
              <w:pStyle w:val="228"/>
              <w:snapToGrid w:val="0"/>
              <w:rPr>
                <w:szCs w:val="21"/>
              </w:rPr>
            </w:pPr>
            <w:r>
              <w:rPr>
                <w:szCs w:val="21"/>
              </w:rPr>
              <w:t>敏感目标</w:t>
            </w:r>
            <w:r>
              <w:rPr>
                <w:rFonts w:hint="eastAsia"/>
                <w:szCs w:val="21"/>
              </w:rPr>
              <w:t>（）</w:t>
            </w:r>
            <w:r>
              <w:rPr>
                <w:szCs w:val="21"/>
              </w:rPr>
              <w:t>、方位</w:t>
            </w:r>
            <w:r>
              <w:rPr>
                <w:rFonts w:hint="eastAsia"/>
                <w:szCs w:val="21"/>
              </w:rPr>
              <w:t>（）</w:t>
            </w:r>
            <w:r>
              <w:rPr>
                <w:szCs w:val="21"/>
              </w:rPr>
              <w:t>、距离</w:t>
            </w:r>
            <w:r>
              <w:rPr>
                <w:rFonts w:hint="eastAsia"/>
                <w:szCs w:val="21"/>
              </w:rPr>
              <w:t>（ km）</w:t>
            </w:r>
          </w:p>
        </w:tc>
        <w:tc>
          <w:tcPr>
            <w:tcW w:w="817" w:type="dxa"/>
            <w:tcBorders>
              <w:tl2br w:val="nil"/>
              <w:tr2bl w:val="nil"/>
            </w:tcBorders>
            <w:vAlign w:val="center"/>
          </w:tcPr>
          <w:p w14:paraId="38AB182D">
            <w:pPr>
              <w:snapToGrid w:val="0"/>
              <w:jc w:val="center"/>
              <w:rPr>
                <w:szCs w:val="21"/>
              </w:rPr>
            </w:pPr>
            <w:r>
              <w:rPr>
                <w:rFonts w:hint="eastAsia"/>
                <w:szCs w:val="21"/>
              </w:rPr>
              <w:t>/</w:t>
            </w:r>
          </w:p>
        </w:tc>
      </w:tr>
      <w:tr w14:paraId="40AEB732">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385" w:hRule="atLeast"/>
          <w:jc w:val="center"/>
        </w:trPr>
        <w:tc>
          <w:tcPr>
            <w:tcW w:w="687" w:type="dxa"/>
            <w:vMerge w:val="continue"/>
            <w:tcBorders>
              <w:tl2br w:val="nil"/>
              <w:tr2bl w:val="nil"/>
            </w:tcBorders>
            <w:vAlign w:val="center"/>
          </w:tcPr>
          <w:p w14:paraId="11151002">
            <w:pPr>
              <w:pStyle w:val="228"/>
              <w:snapToGrid w:val="0"/>
              <w:rPr>
                <w:szCs w:val="21"/>
              </w:rPr>
            </w:pPr>
          </w:p>
        </w:tc>
        <w:tc>
          <w:tcPr>
            <w:tcW w:w="1408" w:type="dxa"/>
            <w:tcBorders>
              <w:tl2br w:val="nil"/>
              <w:tr2bl w:val="nil"/>
            </w:tcBorders>
            <w:vAlign w:val="center"/>
          </w:tcPr>
          <w:p w14:paraId="7013DFEF">
            <w:pPr>
              <w:pStyle w:val="228"/>
              <w:snapToGrid w:val="0"/>
              <w:rPr>
                <w:szCs w:val="21"/>
              </w:rPr>
            </w:pPr>
            <w:r>
              <w:rPr>
                <w:szCs w:val="21"/>
              </w:rPr>
              <w:t>影响途径</w:t>
            </w:r>
          </w:p>
        </w:tc>
        <w:tc>
          <w:tcPr>
            <w:tcW w:w="5695" w:type="dxa"/>
            <w:gridSpan w:val="6"/>
            <w:tcBorders>
              <w:tl2br w:val="nil"/>
              <w:tr2bl w:val="nil"/>
            </w:tcBorders>
            <w:vAlign w:val="center"/>
          </w:tcPr>
          <w:p w14:paraId="4582D167">
            <w:pPr>
              <w:pStyle w:val="228"/>
              <w:snapToGrid w:val="0"/>
              <w:rPr>
                <w:szCs w:val="21"/>
              </w:rPr>
            </w:pPr>
            <w:r>
              <w:rPr>
                <w:szCs w:val="21"/>
              </w:rPr>
              <w:t>大气沉降</w:t>
            </w:r>
            <w:r>
              <w:rPr>
                <w:rFonts w:hint="eastAsia"/>
                <w:szCs w:val="21"/>
              </w:rPr>
              <w:sym w:font="Wingdings 2" w:char="0052"/>
            </w:r>
            <w:r>
              <w:rPr>
                <w:szCs w:val="21"/>
              </w:rPr>
              <w:t>；地面漫流</w:t>
            </w:r>
            <w:r>
              <w:rPr>
                <w:rFonts w:hint="eastAsia"/>
                <w:szCs w:val="21"/>
              </w:rPr>
              <w:t>□</w:t>
            </w:r>
            <w:r>
              <w:rPr>
                <w:szCs w:val="21"/>
              </w:rPr>
              <w:t>；垂直入渗</w:t>
            </w:r>
            <w:r>
              <w:rPr>
                <w:rFonts w:hint="eastAsia" w:cs="MS Mincho"/>
                <w:szCs w:val="21"/>
              </w:rPr>
              <w:t>□</w:t>
            </w:r>
            <w:r>
              <w:rPr>
                <w:szCs w:val="21"/>
              </w:rPr>
              <w:t>；地下水位</w:t>
            </w:r>
            <w:r>
              <w:rPr>
                <w:rFonts w:hint="eastAsia"/>
                <w:szCs w:val="21"/>
              </w:rPr>
              <w:t>□</w:t>
            </w:r>
            <w:r>
              <w:rPr>
                <w:szCs w:val="21"/>
              </w:rPr>
              <w:t>；其他</w:t>
            </w:r>
            <w:r>
              <w:rPr>
                <w:rFonts w:hint="eastAsia"/>
                <w:szCs w:val="21"/>
              </w:rPr>
              <w:t>（）</w:t>
            </w:r>
          </w:p>
        </w:tc>
        <w:tc>
          <w:tcPr>
            <w:tcW w:w="817" w:type="dxa"/>
            <w:tcBorders>
              <w:tl2br w:val="nil"/>
              <w:tr2bl w:val="nil"/>
            </w:tcBorders>
            <w:vAlign w:val="center"/>
          </w:tcPr>
          <w:p w14:paraId="46A846BE">
            <w:pPr>
              <w:snapToGrid w:val="0"/>
              <w:jc w:val="center"/>
              <w:rPr>
                <w:szCs w:val="21"/>
              </w:rPr>
            </w:pPr>
            <w:r>
              <w:rPr>
                <w:rFonts w:hint="eastAsia"/>
                <w:szCs w:val="21"/>
              </w:rPr>
              <w:t>/</w:t>
            </w:r>
          </w:p>
        </w:tc>
      </w:tr>
      <w:tr w14:paraId="4C7516AC">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332" w:hRule="atLeast"/>
          <w:jc w:val="center"/>
        </w:trPr>
        <w:tc>
          <w:tcPr>
            <w:tcW w:w="687" w:type="dxa"/>
            <w:vMerge w:val="continue"/>
            <w:tcBorders>
              <w:tl2br w:val="nil"/>
              <w:tr2bl w:val="nil"/>
            </w:tcBorders>
            <w:vAlign w:val="center"/>
          </w:tcPr>
          <w:p w14:paraId="09B6E0A5">
            <w:pPr>
              <w:pStyle w:val="228"/>
              <w:snapToGrid w:val="0"/>
              <w:rPr>
                <w:szCs w:val="21"/>
              </w:rPr>
            </w:pPr>
          </w:p>
        </w:tc>
        <w:tc>
          <w:tcPr>
            <w:tcW w:w="1408" w:type="dxa"/>
            <w:tcBorders>
              <w:tl2br w:val="nil"/>
              <w:tr2bl w:val="nil"/>
            </w:tcBorders>
            <w:vAlign w:val="center"/>
          </w:tcPr>
          <w:p w14:paraId="47D4C77F">
            <w:pPr>
              <w:pStyle w:val="228"/>
              <w:snapToGrid w:val="0"/>
              <w:rPr>
                <w:szCs w:val="21"/>
              </w:rPr>
            </w:pPr>
            <w:r>
              <w:rPr>
                <w:szCs w:val="21"/>
              </w:rPr>
              <w:t>全部污染物</w:t>
            </w:r>
          </w:p>
        </w:tc>
        <w:tc>
          <w:tcPr>
            <w:tcW w:w="5695" w:type="dxa"/>
            <w:gridSpan w:val="6"/>
            <w:tcBorders>
              <w:tl2br w:val="nil"/>
              <w:tr2bl w:val="nil"/>
            </w:tcBorders>
            <w:vAlign w:val="center"/>
          </w:tcPr>
          <w:p w14:paraId="48F63DC2">
            <w:pPr>
              <w:pStyle w:val="63"/>
              <w:adjustRightInd/>
              <w:snapToGrid w:val="0"/>
              <w:ind w:left="-105" w:leftChars="-50" w:right="-105" w:rightChars="-50" w:firstLine="420"/>
              <w:jc w:val="center"/>
              <w:textAlignment w:val="auto"/>
              <w:rPr>
                <w:color w:val="auto"/>
                <w:sz w:val="21"/>
                <w:szCs w:val="21"/>
              </w:rPr>
            </w:pPr>
            <w:r>
              <w:rPr>
                <w:rFonts w:hint="eastAsia"/>
                <w:color w:val="auto"/>
                <w:sz w:val="21"/>
                <w:szCs w:val="21"/>
              </w:rPr>
              <w:t>非甲烷总烃、TSP、SS</w:t>
            </w:r>
          </w:p>
        </w:tc>
        <w:tc>
          <w:tcPr>
            <w:tcW w:w="817" w:type="dxa"/>
            <w:tcBorders>
              <w:tl2br w:val="nil"/>
              <w:tr2bl w:val="nil"/>
            </w:tcBorders>
            <w:vAlign w:val="center"/>
          </w:tcPr>
          <w:p w14:paraId="29AC2786">
            <w:pPr>
              <w:snapToGrid w:val="0"/>
              <w:jc w:val="center"/>
              <w:rPr>
                <w:szCs w:val="21"/>
              </w:rPr>
            </w:pPr>
            <w:r>
              <w:rPr>
                <w:rFonts w:hint="eastAsia"/>
                <w:szCs w:val="21"/>
              </w:rPr>
              <w:t>/</w:t>
            </w:r>
          </w:p>
        </w:tc>
      </w:tr>
      <w:tr w14:paraId="02BA52B1">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283" w:hRule="atLeast"/>
          <w:jc w:val="center"/>
        </w:trPr>
        <w:tc>
          <w:tcPr>
            <w:tcW w:w="687" w:type="dxa"/>
            <w:vMerge w:val="continue"/>
            <w:tcBorders>
              <w:tl2br w:val="nil"/>
              <w:tr2bl w:val="nil"/>
            </w:tcBorders>
            <w:vAlign w:val="center"/>
          </w:tcPr>
          <w:p w14:paraId="42F399E7">
            <w:pPr>
              <w:pStyle w:val="228"/>
              <w:snapToGrid w:val="0"/>
              <w:rPr>
                <w:szCs w:val="21"/>
              </w:rPr>
            </w:pPr>
          </w:p>
        </w:tc>
        <w:tc>
          <w:tcPr>
            <w:tcW w:w="1408" w:type="dxa"/>
            <w:tcBorders>
              <w:tl2br w:val="nil"/>
              <w:tr2bl w:val="nil"/>
            </w:tcBorders>
            <w:vAlign w:val="center"/>
          </w:tcPr>
          <w:p w14:paraId="16640F75">
            <w:pPr>
              <w:pStyle w:val="228"/>
              <w:snapToGrid w:val="0"/>
              <w:rPr>
                <w:szCs w:val="21"/>
              </w:rPr>
            </w:pPr>
            <w:r>
              <w:rPr>
                <w:szCs w:val="21"/>
              </w:rPr>
              <w:t>特征因子</w:t>
            </w:r>
          </w:p>
        </w:tc>
        <w:tc>
          <w:tcPr>
            <w:tcW w:w="5695" w:type="dxa"/>
            <w:gridSpan w:val="6"/>
            <w:tcBorders>
              <w:tl2br w:val="nil"/>
              <w:tr2bl w:val="nil"/>
            </w:tcBorders>
            <w:vAlign w:val="center"/>
          </w:tcPr>
          <w:p w14:paraId="17B1BB7F">
            <w:pPr>
              <w:pStyle w:val="228"/>
              <w:snapToGrid w:val="0"/>
              <w:rPr>
                <w:szCs w:val="21"/>
              </w:rPr>
            </w:pPr>
            <w:r>
              <w:rPr>
                <w:rFonts w:hint="eastAsia"/>
                <w:szCs w:val="21"/>
              </w:rPr>
              <w:t>非甲烷总烃、TSP</w:t>
            </w:r>
          </w:p>
        </w:tc>
        <w:tc>
          <w:tcPr>
            <w:tcW w:w="817" w:type="dxa"/>
            <w:tcBorders>
              <w:tl2br w:val="nil"/>
              <w:tr2bl w:val="nil"/>
            </w:tcBorders>
            <w:vAlign w:val="center"/>
          </w:tcPr>
          <w:p w14:paraId="1872AF43">
            <w:pPr>
              <w:snapToGrid w:val="0"/>
              <w:jc w:val="center"/>
              <w:rPr>
                <w:szCs w:val="21"/>
              </w:rPr>
            </w:pPr>
            <w:r>
              <w:rPr>
                <w:rFonts w:hint="eastAsia"/>
                <w:szCs w:val="21"/>
              </w:rPr>
              <w:t>/</w:t>
            </w:r>
          </w:p>
        </w:tc>
      </w:tr>
      <w:tr w14:paraId="06ADC797">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802" w:hRule="atLeast"/>
          <w:jc w:val="center"/>
        </w:trPr>
        <w:tc>
          <w:tcPr>
            <w:tcW w:w="687" w:type="dxa"/>
            <w:vMerge w:val="continue"/>
            <w:tcBorders>
              <w:tl2br w:val="nil"/>
              <w:tr2bl w:val="nil"/>
            </w:tcBorders>
            <w:vAlign w:val="center"/>
          </w:tcPr>
          <w:p w14:paraId="4103105D">
            <w:pPr>
              <w:pStyle w:val="228"/>
              <w:snapToGrid w:val="0"/>
              <w:rPr>
                <w:szCs w:val="21"/>
              </w:rPr>
            </w:pPr>
          </w:p>
        </w:tc>
        <w:tc>
          <w:tcPr>
            <w:tcW w:w="1408" w:type="dxa"/>
            <w:tcBorders>
              <w:tl2br w:val="nil"/>
              <w:tr2bl w:val="nil"/>
            </w:tcBorders>
            <w:vAlign w:val="center"/>
          </w:tcPr>
          <w:p w14:paraId="2D97A53E">
            <w:pPr>
              <w:pStyle w:val="228"/>
              <w:snapToGrid w:val="0"/>
              <w:rPr>
                <w:szCs w:val="21"/>
              </w:rPr>
            </w:pPr>
            <w:r>
              <w:rPr>
                <w:szCs w:val="21"/>
              </w:rPr>
              <w:t>所属土壤环境影响评价项目类别</w:t>
            </w:r>
          </w:p>
        </w:tc>
        <w:tc>
          <w:tcPr>
            <w:tcW w:w="5695" w:type="dxa"/>
            <w:gridSpan w:val="6"/>
            <w:tcBorders>
              <w:tl2br w:val="nil"/>
              <w:tr2bl w:val="nil"/>
            </w:tcBorders>
            <w:vAlign w:val="center"/>
          </w:tcPr>
          <w:p w14:paraId="2DAB03C1">
            <w:pPr>
              <w:pStyle w:val="228"/>
              <w:snapToGrid w:val="0"/>
              <w:rPr>
                <w:szCs w:val="21"/>
              </w:rPr>
            </w:pPr>
            <w:r>
              <w:rPr>
                <w:rFonts w:hint="eastAsia" w:hAnsi="宋体" w:cs="宋体"/>
                <w:szCs w:val="21"/>
              </w:rPr>
              <w:t>Ⅰ</w:t>
            </w:r>
            <w:r>
              <w:rPr>
                <w:szCs w:val="21"/>
              </w:rPr>
              <w:t>类</w:t>
            </w:r>
            <w:r>
              <w:rPr>
                <w:rFonts w:hint="eastAsia"/>
                <w:szCs w:val="21"/>
              </w:rPr>
              <w:t>□</w:t>
            </w:r>
            <w:r>
              <w:rPr>
                <w:szCs w:val="21"/>
              </w:rPr>
              <w:t>；</w:t>
            </w:r>
            <w:r>
              <w:rPr>
                <w:rFonts w:hint="eastAsia"/>
                <w:szCs w:val="21"/>
              </w:rPr>
              <w:t xml:space="preserve">   </w:t>
            </w:r>
            <w:r>
              <w:rPr>
                <w:rFonts w:hint="eastAsia" w:hAnsi="宋体" w:cs="宋体"/>
                <w:szCs w:val="21"/>
              </w:rPr>
              <w:t>Ⅱ</w:t>
            </w:r>
            <w:r>
              <w:rPr>
                <w:szCs w:val="21"/>
              </w:rPr>
              <w:t>类</w:t>
            </w:r>
            <w:r>
              <w:rPr>
                <w:rFonts w:hint="eastAsia" w:cs="MS Mincho"/>
                <w:szCs w:val="21"/>
              </w:rPr>
              <w:t>□</w:t>
            </w:r>
            <w:r>
              <w:rPr>
                <w:szCs w:val="21"/>
              </w:rPr>
              <w:t>；</w:t>
            </w:r>
            <w:r>
              <w:rPr>
                <w:rFonts w:hint="eastAsia"/>
                <w:szCs w:val="21"/>
              </w:rPr>
              <w:t xml:space="preserve">   </w:t>
            </w:r>
            <w:r>
              <w:rPr>
                <w:rFonts w:hint="eastAsia" w:hAnsi="宋体" w:cs="宋体"/>
                <w:szCs w:val="21"/>
              </w:rPr>
              <w:t>Ⅲ</w:t>
            </w:r>
            <w:r>
              <w:rPr>
                <w:szCs w:val="21"/>
              </w:rPr>
              <w:t>类</w:t>
            </w:r>
            <w:r>
              <w:rPr>
                <w:rFonts w:hint="eastAsia"/>
                <w:szCs w:val="21"/>
              </w:rPr>
              <w:sym w:font="Wingdings 2" w:char="0052"/>
            </w:r>
            <w:r>
              <w:rPr>
                <w:szCs w:val="21"/>
              </w:rPr>
              <w:t>；</w:t>
            </w:r>
            <w:r>
              <w:rPr>
                <w:rFonts w:hint="eastAsia"/>
                <w:szCs w:val="21"/>
              </w:rPr>
              <w:t xml:space="preserve">   </w:t>
            </w:r>
            <w:r>
              <w:rPr>
                <w:rFonts w:hint="eastAsia" w:hAnsi="宋体" w:cs="宋体"/>
                <w:szCs w:val="21"/>
              </w:rPr>
              <w:t>Ⅳ</w:t>
            </w:r>
            <w:r>
              <w:rPr>
                <w:szCs w:val="21"/>
              </w:rPr>
              <w:t>类</w:t>
            </w:r>
            <w:r>
              <w:rPr>
                <w:rFonts w:hint="eastAsia"/>
                <w:szCs w:val="21"/>
              </w:rPr>
              <w:t>□</w:t>
            </w:r>
          </w:p>
        </w:tc>
        <w:tc>
          <w:tcPr>
            <w:tcW w:w="817" w:type="dxa"/>
            <w:tcBorders>
              <w:tl2br w:val="nil"/>
              <w:tr2bl w:val="nil"/>
            </w:tcBorders>
            <w:vAlign w:val="center"/>
          </w:tcPr>
          <w:p w14:paraId="14BBE0DA">
            <w:pPr>
              <w:snapToGrid w:val="0"/>
              <w:jc w:val="center"/>
              <w:rPr>
                <w:szCs w:val="21"/>
              </w:rPr>
            </w:pPr>
            <w:r>
              <w:rPr>
                <w:rFonts w:hint="eastAsia"/>
                <w:szCs w:val="21"/>
              </w:rPr>
              <w:t>/</w:t>
            </w:r>
          </w:p>
        </w:tc>
      </w:tr>
      <w:tr w14:paraId="10ACE442">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365" w:hRule="atLeast"/>
          <w:jc w:val="center"/>
        </w:trPr>
        <w:tc>
          <w:tcPr>
            <w:tcW w:w="687" w:type="dxa"/>
            <w:vMerge w:val="continue"/>
            <w:tcBorders>
              <w:tl2br w:val="nil"/>
              <w:tr2bl w:val="nil"/>
            </w:tcBorders>
            <w:vAlign w:val="center"/>
          </w:tcPr>
          <w:p w14:paraId="53CEAEC4">
            <w:pPr>
              <w:pStyle w:val="228"/>
              <w:snapToGrid w:val="0"/>
              <w:rPr>
                <w:szCs w:val="21"/>
              </w:rPr>
            </w:pPr>
          </w:p>
        </w:tc>
        <w:tc>
          <w:tcPr>
            <w:tcW w:w="1408" w:type="dxa"/>
            <w:tcBorders>
              <w:tl2br w:val="nil"/>
              <w:tr2bl w:val="nil"/>
            </w:tcBorders>
            <w:vAlign w:val="center"/>
          </w:tcPr>
          <w:p w14:paraId="3B1376E9">
            <w:pPr>
              <w:pStyle w:val="228"/>
              <w:snapToGrid w:val="0"/>
              <w:rPr>
                <w:szCs w:val="21"/>
              </w:rPr>
            </w:pPr>
            <w:r>
              <w:rPr>
                <w:szCs w:val="21"/>
              </w:rPr>
              <w:t>敏感程度</w:t>
            </w:r>
          </w:p>
        </w:tc>
        <w:tc>
          <w:tcPr>
            <w:tcW w:w="5695" w:type="dxa"/>
            <w:gridSpan w:val="6"/>
            <w:tcBorders>
              <w:tl2br w:val="nil"/>
              <w:tr2bl w:val="nil"/>
            </w:tcBorders>
            <w:vAlign w:val="center"/>
          </w:tcPr>
          <w:p w14:paraId="74C59D16">
            <w:pPr>
              <w:pStyle w:val="228"/>
              <w:snapToGrid w:val="0"/>
              <w:rPr>
                <w:szCs w:val="21"/>
              </w:rPr>
            </w:pPr>
            <w:r>
              <w:rPr>
                <w:szCs w:val="21"/>
              </w:rPr>
              <w:t>敏感</w:t>
            </w:r>
            <w:r>
              <w:rPr>
                <w:rFonts w:hint="eastAsia"/>
                <w:szCs w:val="21"/>
              </w:rPr>
              <w:t>☑</w:t>
            </w:r>
            <w:r>
              <w:rPr>
                <w:szCs w:val="21"/>
              </w:rPr>
              <w:t>；</w:t>
            </w:r>
            <w:r>
              <w:rPr>
                <w:rFonts w:hint="eastAsia"/>
                <w:szCs w:val="21"/>
              </w:rPr>
              <w:t xml:space="preserve">   </w:t>
            </w:r>
            <w:r>
              <w:rPr>
                <w:szCs w:val="21"/>
              </w:rPr>
              <w:t>较敏感</w:t>
            </w:r>
            <w:r>
              <w:rPr>
                <w:rFonts w:hint="eastAsia"/>
                <w:szCs w:val="21"/>
              </w:rPr>
              <w:t>□</w:t>
            </w:r>
            <w:r>
              <w:rPr>
                <w:szCs w:val="21"/>
              </w:rPr>
              <w:t>；</w:t>
            </w:r>
            <w:r>
              <w:rPr>
                <w:rFonts w:hint="eastAsia"/>
                <w:szCs w:val="21"/>
              </w:rPr>
              <w:t xml:space="preserve">   </w:t>
            </w:r>
            <w:r>
              <w:rPr>
                <w:szCs w:val="21"/>
              </w:rPr>
              <w:t>不敏感</w:t>
            </w:r>
            <w:r>
              <w:rPr>
                <w:rFonts w:hint="eastAsia" w:cs="MS Mincho"/>
                <w:szCs w:val="21"/>
              </w:rPr>
              <w:t>□</w:t>
            </w:r>
          </w:p>
        </w:tc>
        <w:tc>
          <w:tcPr>
            <w:tcW w:w="817" w:type="dxa"/>
            <w:tcBorders>
              <w:tl2br w:val="nil"/>
              <w:tr2bl w:val="nil"/>
            </w:tcBorders>
            <w:vAlign w:val="center"/>
          </w:tcPr>
          <w:p w14:paraId="5C284A07">
            <w:pPr>
              <w:snapToGrid w:val="0"/>
              <w:jc w:val="center"/>
              <w:rPr>
                <w:szCs w:val="21"/>
              </w:rPr>
            </w:pPr>
            <w:r>
              <w:rPr>
                <w:rFonts w:hint="eastAsia"/>
                <w:szCs w:val="21"/>
              </w:rPr>
              <w:t>/</w:t>
            </w:r>
          </w:p>
        </w:tc>
      </w:tr>
      <w:tr w14:paraId="50FC49F9">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365" w:hRule="atLeast"/>
          <w:jc w:val="center"/>
        </w:trPr>
        <w:tc>
          <w:tcPr>
            <w:tcW w:w="2096" w:type="dxa"/>
            <w:gridSpan w:val="2"/>
            <w:tcBorders>
              <w:tl2br w:val="nil"/>
              <w:tr2bl w:val="nil"/>
            </w:tcBorders>
            <w:vAlign w:val="center"/>
          </w:tcPr>
          <w:p w14:paraId="53BD792A">
            <w:pPr>
              <w:pStyle w:val="228"/>
              <w:snapToGrid w:val="0"/>
              <w:rPr>
                <w:szCs w:val="21"/>
              </w:rPr>
            </w:pPr>
            <w:r>
              <w:rPr>
                <w:szCs w:val="21"/>
              </w:rPr>
              <w:t>评价工作等级</w:t>
            </w:r>
          </w:p>
        </w:tc>
        <w:tc>
          <w:tcPr>
            <w:tcW w:w="5695" w:type="dxa"/>
            <w:gridSpan w:val="6"/>
            <w:tcBorders>
              <w:tl2br w:val="nil"/>
              <w:tr2bl w:val="nil"/>
            </w:tcBorders>
            <w:vAlign w:val="center"/>
          </w:tcPr>
          <w:p w14:paraId="26DE1B26">
            <w:pPr>
              <w:pStyle w:val="228"/>
              <w:snapToGrid w:val="0"/>
              <w:rPr>
                <w:szCs w:val="21"/>
              </w:rPr>
            </w:pPr>
            <w:r>
              <w:rPr>
                <w:szCs w:val="21"/>
              </w:rPr>
              <w:t>一级</w:t>
            </w:r>
            <w:r>
              <w:rPr>
                <w:rFonts w:hint="eastAsia"/>
                <w:szCs w:val="21"/>
              </w:rPr>
              <w:t>□</w:t>
            </w:r>
            <w:r>
              <w:rPr>
                <w:szCs w:val="21"/>
              </w:rPr>
              <w:t>；</w:t>
            </w:r>
            <w:r>
              <w:rPr>
                <w:rFonts w:hint="eastAsia"/>
                <w:szCs w:val="21"/>
              </w:rPr>
              <w:t xml:space="preserve">   </w:t>
            </w:r>
            <w:r>
              <w:rPr>
                <w:szCs w:val="21"/>
              </w:rPr>
              <w:t>二级</w:t>
            </w:r>
            <w:r>
              <w:rPr>
                <w:rFonts w:hint="eastAsia"/>
                <w:szCs w:val="21"/>
              </w:rPr>
              <w:t>□</w:t>
            </w:r>
            <w:r>
              <w:rPr>
                <w:szCs w:val="21"/>
              </w:rPr>
              <w:t>；</w:t>
            </w:r>
            <w:r>
              <w:rPr>
                <w:rFonts w:hint="eastAsia"/>
                <w:szCs w:val="21"/>
              </w:rPr>
              <w:t xml:space="preserve">   </w:t>
            </w:r>
            <w:r>
              <w:rPr>
                <w:szCs w:val="21"/>
              </w:rPr>
              <w:t>三级</w:t>
            </w:r>
            <w:r>
              <w:rPr>
                <w:rFonts w:hint="eastAsia" w:eastAsia="MS Mincho" w:cs="MS Mincho"/>
                <w:szCs w:val="21"/>
              </w:rPr>
              <w:t>☑</w:t>
            </w:r>
          </w:p>
        </w:tc>
        <w:tc>
          <w:tcPr>
            <w:tcW w:w="817" w:type="dxa"/>
            <w:tcBorders>
              <w:tl2br w:val="nil"/>
              <w:tr2bl w:val="nil"/>
            </w:tcBorders>
            <w:vAlign w:val="center"/>
          </w:tcPr>
          <w:p w14:paraId="31C440F2">
            <w:pPr>
              <w:pStyle w:val="228"/>
              <w:snapToGrid w:val="0"/>
              <w:rPr>
                <w:szCs w:val="21"/>
              </w:rPr>
            </w:pPr>
            <w:r>
              <w:rPr>
                <w:rFonts w:hint="eastAsia"/>
                <w:szCs w:val="21"/>
              </w:rPr>
              <w:t>/</w:t>
            </w:r>
          </w:p>
        </w:tc>
      </w:tr>
      <w:tr w14:paraId="2AD7E746">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365" w:hRule="atLeast"/>
          <w:jc w:val="center"/>
        </w:trPr>
        <w:tc>
          <w:tcPr>
            <w:tcW w:w="687" w:type="dxa"/>
            <w:vMerge w:val="restart"/>
            <w:tcBorders>
              <w:tl2br w:val="nil"/>
              <w:tr2bl w:val="nil"/>
            </w:tcBorders>
            <w:vAlign w:val="center"/>
          </w:tcPr>
          <w:p w14:paraId="79AEA8ED">
            <w:pPr>
              <w:pStyle w:val="228"/>
              <w:snapToGrid w:val="0"/>
              <w:rPr>
                <w:szCs w:val="21"/>
              </w:rPr>
            </w:pPr>
            <w:r>
              <w:rPr>
                <w:szCs w:val="21"/>
              </w:rPr>
              <w:t>现状调查内容</w:t>
            </w:r>
          </w:p>
        </w:tc>
        <w:tc>
          <w:tcPr>
            <w:tcW w:w="1408" w:type="dxa"/>
            <w:tcBorders>
              <w:tl2br w:val="nil"/>
              <w:tr2bl w:val="nil"/>
            </w:tcBorders>
            <w:vAlign w:val="center"/>
          </w:tcPr>
          <w:p w14:paraId="3C937346">
            <w:pPr>
              <w:pStyle w:val="228"/>
              <w:snapToGrid w:val="0"/>
              <w:rPr>
                <w:szCs w:val="21"/>
              </w:rPr>
            </w:pPr>
            <w:r>
              <w:rPr>
                <w:szCs w:val="21"/>
              </w:rPr>
              <w:t>资料收集</w:t>
            </w:r>
          </w:p>
        </w:tc>
        <w:tc>
          <w:tcPr>
            <w:tcW w:w="5695" w:type="dxa"/>
            <w:gridSpan w:val="6"/>
            <w:tcBorders>
              <w:tl2br w:val="nil"/>
              <w:tr2bl w:val="nil"/>
            </w:tcBorders>
            <w:vAlign w:val="center"/>
          </w:tcPr>
          <w:p w14:paraId="7FBA22E9">
            <w:pPr>
              <w:pStyle w:val="228"/>
              <w:snapToGrid w:val="0"/>
              <w:rPr>
                <w:szCs w:val="21"/>
              </w:rPr>
            </w:pPr>
            <w:r>
              <w:rPr>
                <w:rFonts w:hint="eastAsia"/>
                <w:szCs w:val="21"/>
              </w:rPr>
              <w:t>a）□</w:t>
            </w:r>
            <w:r>
              <w:rPr>
                <w:szCs w:val="21"/>
              </w:rPr>
              <w:t>；</w:t>
            </w:r>
            <w:r>
              <w:rPr>
                <w:rFonts w:hint="eastAsia"/>
                <w:szCs w:val="21"/>
              </w:rPr>
              <w:t xml:space="preserve">   </w:t>
            </w:r>
            <w:r>
              <w:rPr>
                <w:szCs w:val="21"/>
              </w:rPr>
              <w:t xml:space="preserve"> b</w:t>
            </w:r>
            <w:r>
              <w:rPr>
                <w:rFonts w:hint="eastAsia"/>
                <w:szCs w:val="21"/>
              </w:rPr>
              <w:t>）</w:t>
            </w:r>
            <w:r>
              <w:rPr>
                <w:rFonts w:hint="eastAsia"/>
                <w:szCs w:val="21"/>
              </w:rPr>
              <w:sym w:font="Wingdings 2" w:char="0052"/>
            </w:r>
            <w:r>
              <w:rPr>
                <w:szCs w:val="21"/>
              </w:rPr>
              <w:t>；</w:t>
            </w:r>
            <w:r>
              <w:rPr>
                <w:rFonts w:hint="eastAsia"/>
                <w:szCs w:val="21"/>
              </w:rPr>
              <w:t xml:space="preserve">   </w:t>
            </w:r>
            <w:r>
              <w:rPr>
                <w:szCs w:val="21"/>
              </w:rPr>
              <w:t xml:space="preserve"> c</w:t>
            </w:r>
            <w:r>
              <w:rPr>
                <w:rFonts w:hint="eastAsia"/>
                <w:szCs w:val="21"/>
              </w:rPr>
              <w:t>）□</w:t>
            </w:r>
            <w:r>
              <w:rPr>
                <w:szCs w:val="21"/>
              </w:rPr>
              <w:t>；</w:t>
            </w:r>
            <w:r>
              <w:rPr>
                <w:rFonts w:hint="eastAsia"/>
                <w:szCs w:val="21"/>
              </w:rPr>
              <w:t xml:space="preserve">   </w:t>
            </w:r>
            <w:r>
              <w:rPr>
                <w:szCs w:val="21"/>
              </w:rPr>
              <w:t xml:space="preserve"> d</w:t>
            </w:r>
            <w:r>
              <w:rPr>
                <w:rFonts w:hint="eastAsia"/>
                <w:szCs w:val="21"/>
              </w:rPr>
              <w:t>）</w:t>
            </w:r>
            <w:r>
              <w:rPr>
                <w:rFonts w:hint="eastAsia" w:eastAsia="MS Mincho" w:cs="MS Mincho"/>
                <w:szCs w:val="21"/>
              </w:rPr>
              <w:t>☑</w:t>
            </w:r>
          </w:p>
        </w:tc>
        <w:tc>
          <w:tcPr>
            <w:tcW w:w="817" w:type="dxa"/>
            <w:tcBorders>
              <w:tl2br w:val="nil"/>
              <w:tr2bl w:val="nil"/>
            </w:tcBorders>
            <w:vAlign w:val="center"/>
          </w:tcPr>
          <w:p w14:paraId="22DA46B9">
            <w:pPr>
              <w:snapToGrid w:val="0"/>
              <w:jc w:val="center"/>
              <w:rPr>
                <w:szCs w:val="21"/>
              </w:rPr>
            </w:pPr>
            <w:r>
              <w:rPr>
                <w:rFonts w:hint="eastAsia"/>
                <w:szCs w:val="21"/>
              </w:rPr>
              <w:t>/</w:t>
            </w:r>
          </w:p>
        </w:tc>
      </w:tr>
      <w:tr w14:paraId="20D7D560">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90" w:hRule="atLeast"/>
          <w:jc w:val="center"/>
        </w:trPr>
        <w:tc>
          <w:tcPr>
            <w:tcW w:w="687" w:type="dxa"/>
            <w:vMerge w:val="continue"/>
            <w:tcBorders>
              <w:tl2br w:val="nil"/>
              <w:tr2bl w:val="nil"/>
            </w:tcBorders>
            <w:vAlign w:val="center"/>
          </w:tcPr>
          <w:p w14:paraId="37D02785">
            <w:pPr>
              <w:pStyle w:val="228"/>
              <w:snapToGrid w:val="0"/>
              <w:rPr>
                <w:szCs w:val="21"/>
              </w:rPr>
            </w:pPr>
          </w:p>
        </w:tc>
        <w:tc>
          <w:tcPr>
            <w:tcW w:w="1408" w:type="dxa"/>
            <w:tcBorders>
              <w:tl2br w:val="nil"/>
              <w:tr2bl w:val="nil"/>
            </w:tcBorders>
            <w:vAlign w:val="center"/>
          </w:tcPr>
          <w:p w14:paraId="4788F0E8">
            <w:pPr>
              <w:pStyle w:val="228"/>
              <w:snapToGrid w:val="0"/>
              <w:rPr>
                <w:szCs w:val="21"/>
              </w:rPr>
            </w:pPr>
            <w:r>
              <w:rPr>
                <w:szCs w:val="21"/>
              </w:rPr>
              <w:t>理化特性</w:t>
            </w:r>
          </w:p>
        </w:tc>
        <w:tc>
          <w:tcPr>
            <w:tcW w:w="5695" w:type="dxa"/>
            <w:gridSpan w:val="6"/>
            <w:tcBorders>
              <w:tl2br w:val="nil"/>
              <w:tr2bl w:val="nil"/>
            </w:tcBorders>
            <w:vAlign w:val="center"/>
          </w:tcPr>
          <w:p w14:paraId="6B8EDB15">
            <w:pPr>
              <w:pStyle w:val="228"/>
              <w:snapToGrid w:val="0"/>
              <w:rPr>
                <w:szCs w:val="21"/>
              </w:rPr>
            </w:pPr>
          </w:p>
        </w:tc>
        <w:tc>
          <w:tcPr>
            <w:tcW w:w="817" w:type="dxa"/>
            <w:tcBorders>
              <w:tl2br w:val="nil"/>
              <w:tr2bl w:val="nil"/>
            </w:tcBorders>
            <w:vAlign w:val="center"/>
          </w:tcPr>
          <w:p w14:paraId="6277968F">
            <w:pPr>
              <w:pStyle w:val="228"/>
              <w:snapToGrid w:val="0"/>
              <w:rPr>
                <w:szCs w:val="21"/>
              </w:rPr>
            </w:pPr>
            <w:r>
              <w:rPr>
                <w:szCs w:val="21"/>
              </w:rPr>
              <w:t>同附录C</w:t>
            </w:r>
          </w:p>
        </w:tc>
      </w:tr>
      <w:tr w14:paraId="29554E6A">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332" w:hRule="atLeast"/>
          <w:jc w:val="center"/>
        </w:trPr>
        <w:tc>
          <w:tcPr>
            <w:tcW w:w="687" w:type="dxa"/>
            <w:vMerge w:val="continue"/>
            <w:tcBorders>
              <w:tl2br w:val="nil"/>
              <w:tr2bl w:val="nil"/>
            </w:tcBorders>
            <w:vAlign w:val="center"/>
          </w:tcPr>
          <w:p w14:paraId="13218D28">
            <w:pPr>
              <w:pStyle w:val="228"/>
              <w:snapToGrid w:val="0"/>
              <w:rPr>
                <w:szCs w:val="21"/>
              </w:rPr>
            </w:pPr>
          </w:p>
        </w:tc>
        <w:tc>
          <w:tcPr>
            <w:tcW w:w="1408" w:type="dxa"/>
            <w:vMerge w:val="restart"/>
            <w:tcBorders>
              <w:tl2br w:val="nil"/>
              <w:tr2bl w:val="nil"/>
            </w:tcBorders>
            <w:vAlign w:val="center"/>
          </w:tcPr>
          <w:p w14:paraId="093103BD">
            <w:pPr>
              <w:pStyle w:val="228"/>
              <w:snapToGrid w:val="0"/>
              <w:rPr>
                <w:szCs w:val="21"/>
              </w:rPr>
            </w:pPr>
            <w:r>
              <w:rPr>
                <w:szCs w:val="21"/>
              </w:rPr>
              <w:t>现状监测点位</w:t>
            </w:r>
          </w:p>
        </w:tc>
        <w:tc>
          <w:tcPr>
            <w:tcW w:w="1168" w:type="dxa"/>
            <w:tcBorders>
              <w:tl2br w:val="nil"/>
              <w:tr2bl w:val="nil"/>
            </w:tcBorders>
            <w:vAlign w:val="center"/>
          </w:tcPr>
          <w:p w14:paraId="386912B9">
            <w:pPr>
              <w:pStyle w:val="228"/>
              <w:snapToGrid w:val="0"/>
              <w:rPr>
                <w:szCs w:val="21"/>
              </w:rPr>
            </w:pPr>
          </w:p>
        </w:tc>
        <w:tc>
          <w:tcPr>
            <w:tcW w:w="1203" w:type="dxa"/>
            <w:gridSpan w:val="2"/>
            <w:tcBorders>
              <w:tl2br w:val="nil"/>
              <w:tr2bl w:val="nil"/>
            </w:tcBorders>
            <w:vAlign w:val="center"/>
          </w:tcPr>
          <w:p w14:paraId="32000B5D">
            <w:pPr>
              <w:pStyle w:val="228"/>
              <w:snapToGrid w:val="0"/>
              <w:rPr>
                <w:szCs w:val="21"/>
              </w:rPr>
            </w:pPr>
            <w:r>
              <w:rPr>
                <w:szCs w:val="21"/>
              </w:rPr>
              <w:t>占地范围内</w:t>
            </w:r>
          </w:p>
        </w:tc>
        <w:tc>
          <w:tcPr>
            <w:tcW w:w="1436" w:type="dxa"/>
            <w:gridSpan w:val="2"/>
            <w:tcBorders>
              <w:tl2br w:val="nil"/>
              <w:tr2bl w:val="nil"/>
            </w:tcBorders>
            <w:vAlign w:val="center"/>
          </w:tcPr>
          <w:p w14:paraId="46C0C58D">
            <w:pPr>
              <w:pStyle w:val="228"/>
              <w:snapToGrid w:val="0"/>
              <w:rPr>
                <w:szCs w:val="21"/>
              </w:rPr>
            </w:pPr>
            <w:r>
              <w:rPr>
                <w:szCs w:val="21"/>
              </w:rPr>
              <w:t>占地范围外</w:t>
            </w:r>
          </w:p>
        </w:tc>
        <w:tc>
          <w:tcPr>
            <w:tcW w:w="1887" w:type="dxa"/>
            <w:tcBorders>
              <w:tl2br w:val="nil"/>
              <w:tr2bl w:val="nil"/>
            </w:tcBorders>
            <w:vAlign w:val="center"/>
          </w:tcPr>
          <w:p w14:paraId="6C679919">
            <w:pPr>
              <w:pStyle w:val="228"/>
              <w:snapToGrid w:val="0"/>
              <w:rPr>
                <w:szCs w:val="21"/>
              </w:rPr>
            </w:pPr>
            <w:r>
              <w:rPr>
                <w:szCs w:val="21"/>
              </w:rPr>
              <w:t>深度</w:t>
            </w:r>
          </w:p>
        </w:tc>
        <w:tc>
          <w:tcPr>
            <w:tcW w:w="817" w:type="dxa"/>
            <w:vMerge w:val="restart"/>
            <w:tcBorders>
              <w:tl2br w:val="nil"/>
              <w:tr2bl w:val="nil"/>
            </w:tcBorders>
            <w:vAlign w:val="center"/>
          </w:tcPr>
          <w:p w14:paraId="5D693CFB">
            <w:pPr>
              <w:pStyle w:val="228"/>
              <w:snapToGrid w:val="0"/>
              <w:rPr>
                <w:szCs w:val="21"/>
              </w:rPr>
            </w:pPr>
            <w:r>
              <w:rPr>
                <w:szCs w:val="21"/>
              </w:rPr>
              <w:t>点位布置图</w:t>
            </w:r>
          </w:p>
        </w:tc>
      </w:tr>
      <w:tr w14:paraId="5B756C77">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332" w:hRule="atLeast"/>
          <w:jc w:val="center"/>
        </w:trPr>
        <w:tc>
          <w:tcPr>
            <w:tcW w:w="687" w:type="dxa"/>
            <w:vMerge w:val="continue"/>
            <w:tcBorders>
              <w:tl2br w:val="nil"/>
              <w:tr2bl w:val="nil"/>
            </w:tcBorders>
            <w:vAlign w:val="center"/>
          </w:tcPr>
          <w:p w14:paraId="48ADFB32">
            <w:pPr>
              <w:pStyle w:val="228"/>
              <w:snapToGrid w:val="0"/>
              <w:rPr>
                <w:szCs w:val="21"/>
              </w:rPr>
            </w:pPr>
          </w:p>
        </w:tc>
        <w:tc>
          <w:tcPr>
            <w:tcW w:w="1408" w:type="dxa"/>
            <w:vMerge w:val="continue"/>
            <w:tcBorders>
              <w:tl2br w:val="nil"/>
              <w:tr2bl w:val="nil"/>
            </w:tcBorders>
            <w:vAlign w:val="center"/>
          </w:tcPr>
          <w:p w14:paraId="558A79F7">
            <w:pPr>
              <w:pStyle w:val="228"/>
              <w:snapToGrid w:val="0"/>
              <w:rPr>
                <w:szCs w:val="21"/>
              </w:rPr>
            </w:pPr>
          </w:p>
        </w:tc>
        <w:tc>
          <w:tcPr>
            <w:tcW w:w="1168" w:type="dxa"/>
            <w:tcBorders>
              <w:tl2br w:val="nil"/>
              <w:tr2bl w:val="nil"/>
            </w:tcBorders>
            <w:vAlign w:val="center"/>
          </w:tcPr>
          <w:p w14:paraId="3C75D98A">
            <w:pPr>
              <w:pStyle w:val="228"/>
              <w:snapToGrid w:val="0"/>
              <w:rPr>
                <w:szCs w:val="21"/>
              </w:rPr>
            </w:pPr>
            <w:r>
              <w:rPr>
                <w:szCs w:val="21"/>
              </w:rPr>
              <w:t>表层样点数</w:t>
            </w:r>
          </w:p>
        </w:tc>
        <w:tc>
          <w:tcPr>
            <w:tcW w:w="1203" w:type="dxa"/>
            <w:gridSpan w:val="2"/>
            <w:tcBorders>
              <w:tl2br w:val="nil"/>
              <w:tr2bl w:val="nil"/>
            </w:tcBorders>
            <w:vAlign w:val="center"/>
          </w:tcPr>
          <w:p w14:paraId="102750B0">
            <w:pPr>
              <w:pStyle w:val="228"/>
              <w:snapToGrid w:val="0"/>
              <w:rPr>
                <w:szCs w:val="21"/>
              </w:rPr>
            </w:pPr>
            <w:r>
              <w:rPr>
                <w:rFonts w:hint="eastAsia"/>
                <w:szCs w:val="21"/>
              </w:rPr>
              <w:t>3</w:t>
            </w:r>
          </w:p>
        </w:tc>
        <w:tc>
          <w:tcPr>
            <w:tcW w:w="1436" w:type="dxa"/>
            <w:gridSpan w:val="2"/>
            <w:tcBorders>
              <w:tl2br w:val="nil"/>
              <w:tr2bl w:val="nil"/>
            </w:tcBorders>
            <w:vAlign w:val="center"/>
          </w:tcPr>
          <w:p w14:paraId="4F4F2356">
            <w:pPr>
              <w:pStyle w:val="228"/>
              <w:snapToGrid w:val="0"/>
              <w:rPr>
                <w:szCs w:val="21"/>
              </w:rPr>
            </w:pPr>
            <w:r>
              <w:rPr>
                <w:rFonts w:hint="eastAsia"/>
                <w:szCs w:val="21"/>
              </w:rPr>
              <w:t>/</w:t>
            </w:r>
          </w:p>
        </w:tc>
        <w:tc>
          <w:tcPr>
            <w:tcW w:w="1887" w:type="dxa"/>
            <w:tcBorders>
              <w:tl2br w:val="nil"/>
              <w:tr2bl w:val="nil"/>
            </w:tcBorders>
            <w:vAlign w:val="center"/>
          </w:tcPr>
          <w:p w14:paraId="2A0B8B50">
            <w:pPr>
              <w:pStyle w:val="228"/>
              <w:snapToGrid w:val="0"/>
              <w:rPr>
                <w:szCs w:val="21"/>
              </w:rPr>
            </w:pPr>
            <w:r>
              <w:rPr>
                <w:szCs w:val="21"/>
              </w:rPr>
              <w:t>0~</w:t>
            </w:r>
            <w:r>
              <w:rPr>
                <w:rFonts w:hint="eastAsia"/>
                <w:szCs w:val="21"/>
              </w:rPr>
              <w:t>0.2</w:t>
            </w:r>
            <w:r>
              <w:rPr>
                <w:szCs w:val="21"/>
              </w:rPr>
              <w:t>m</w:t>
            </w:r>
          </w:p>
        </w:tc>
        <w:tc>
          <w:tcPr>
            <w:tcW w:w="817" w:type="dxa"/>
            <w:vMerge w:val="continue"/>
            <w:tcBorders>
              <w:tl2br w:val="nil"/>
              <w:tr2bl w:val="nil"/>
            </w:tcBorders>
            <w:vAlign w:val="center"/>
          </w:tcPr>
          <w:p w14:paraId="17EC3336">
            <w:pPr>
              <w:pStyle w:val="228"/>
              <w:snapToGrid w:val="0"/>
              <w:rPr>
                <w:szCs w:val="21"/>
              </w:rPr>
            </w:pPr>
          </w:p>
        </w:tc>
      </w:tr>
      <w:tr w14:paraId="622B9E5A">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332" w:hRule="atLeast"/>
          <w:jc w:val="center"/>
        </w:trPr>
        <w:tc>
          <w:tcPr>
            <w:tcW w:w="687" w:type="dxa"/>
            <w:vMerge w:val="continue"/>
            <w:tcBorders>
              <w:tl2br w:val="nil"/>
              <w:tr2bl w:val="nil"/>
            </w:tcBorders>
            <w:vAlign w:val="center"/>
          </w:tcPr>
          <w:p w14:paraId="42CF06DE">
            <w:pPr>
              <w:pStyle w:val="228"/>
              <w:snapToGrid w:val="0"/>
              <w:rPr>
                <w:szCs w:val="21"/>
              </w:rPr>
            </w:pPr>
          </w:p>
        </w:tc>
        <w:tc>
          <w:tcPr>
            <w:tcW w:w="1408" w:type="dxa"/>
            <w:vMerge w:val="continue"/>
            <w:tcBorders>
              <w:tl2br w:val="nil"/>
              <w:tr2bl w:val="nil"/>
            </w:tcBorders>
            <w:vAlign w:val="center"/>
          </w:tcPr>
          <w:p w14:paraId="1B47533C">
            <w:pPr>
              <w:pStyle w:val="228"/>
              <w:snapToGrid w:val="0"/>
              <w:rPr>
                <w:szCs w:val="21"/>
              </w:rPr>
            </w:pPr>
          </w:p>
        </w:tc>
        <w:tc>
          <w:tcPr>
            <w:tcW w:w="1168" w:type="dxa"/>
            <w:tcBorders>
              <w:tl2br w:val="nil"/>
              <w:tr2bl w:val="nil"/>
            </w:tcBorders>
            <w:vAlign w:val="center"/>
          </w:tcPr>
          <w:p w14:paraId="1A50DD72">
            <w:pPr>
              <w:pStyle w:val="228"/>
              <w:snapToGrid w:val="0"/>
              <w:rPr>
                <w:szCs w:val="21"/>
              </w:rPr>
            </w:pPr>
            <w:r>
              <w:rPr>
                <w:szCs w:val="21"/>
              </w:rPr>
              <w:t>柱状样点数</w:t>
            </w:r>
          </w:p>
        </w:tc>
        <w:tc>
          <w:tcPr>
            <w:tcW w:w="1203" w:type="dxa"/>
            <w:gridSpan w:val="2"/>
            <w:tcBorders>
              <w:tl2br w:val="nil"/>
              <w:tr2bl w:val="nil"/>
            </w:tcBorders>
            <w:vAlign w:val="center"/>
          </w:tcPr>
          <w:p w14:paraId="2B4C1E2E">
            <w:pPr>
              <w:pStyle w:val="228"/>
              <w:snapToGrid w:val="0"/>
              <w:rPr>
                <w:szCs w:val="21"/>
              </w:rPr>
            </w:pPr>
            <w:r>
              <w:rPr>
                <w:rFonts w:hint="eastAsia"/>
                <w:szCs w:val="21"/>
              </w:rPr>
              <w:t>0</w:t>
            </w:r>
          </w:p>
        </w:tc>
        <w:tc>
          <w:tcPr>
            <w:tcW w:w="1436" w:type="dxa"/>
            <w:gridSpan w:val="2"/>
            <w:tcBorders>
              <w:tl2br w:val="nil"/>
              <w:tr2bl w:val="nil"/>
            </w:tcBorders>
            <w:vAlign w:val="center"/>
          </w:tcPr>
          <w:p w14:paraId="222E944B">
            <w:pPr>
              <w:pStyle w:val="228"/>
              <w:snapToGrid w:val="0"/>
              <w:rPr>
                <w:szCs w:val="21"/>
              </w:rPr>
            </w:pPr>
            <w:r>
              <w:rPr>
                <w:rFonts w:hint="eastAsia"/>
                <w:szCs w:val="21"/>
              </w:rPr>
              <w:t>/</w:t>
            </w:r>
          </w:p>
        </w:tc>
        <w:tc>
          <w:tcPr>
            <w:tcW w:w="1887" w:type="dxa"/>
            <w:tcBorders>
              <w:tl2br w:val="nil"/>
              <w:tr2bl w:val="nil"/>
            </w:tcBorders>
            <w:vAlign w:val="center"/>
          </w:tcPr>
          <w:p w14:paraId="6FFBC2F5">
            <w:pPr>
              <w:pStyle w:val="228"/>
              <w:snapToGrid w:val="0"/>
              <w:rPr>
                <w:szCs w:val="21"/>
              </w:rPr>
            </w:pPr>
            <w:r>
              <w:rPr>
                <w:rFonts w:hint="eastAsia"/>
                <w:szCs w:val="21"/>
              </w:rPr>
              <w:t>/</w:t>
            </w:r>
          </w:p>
        </w:tc>
        <w:tc>
          <w:tcPr>
            <w:tcW w:w="817" w:type="dxa"/>
            <w:vMerge w:val="continue"/>
            <w:tcBorders>
              <w:tl2br w:val="nil"/>
              <w:tr2bl w:val="nil"/>
            </w:tcBorders>
            <w:vAlign w:val="center"/>
          </w:tcPr>
          <w:p w14:paraId="2873164F">
            <w:pPr>
              <w:pStyle w:val="228"/>
              <w:snapToGrid w:val="0"/>
              <w:rPr>
                <w:szCs w:val="21"/>
              </w:rPr>
            </w:pPr>
          </w:p>
        </w:tc>
      </w:tr>
      <w:tr w14:paraId="697D6F0B">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362" w:hRule="atLeast"/>
          <w:jc w:val="center"/>
        </w:trPr>
        <w:tc>
          <w:tcPr>
            <w:tcW w:w="687" w:type="dxa"/>
            <w:vMerge w:val="continue"/>
            <w:tcBorders>
              <w:tl2br w:val="nil"/>
              <w:tr2bl w:val="nil"/>
            </w:tcBorders>
            <w:vAlign w:val="center"/>
          </w:tcPr>
          <w:p w14:paraId="3E66D1BD">
            <w:pPr>
              <w:pStyle w:val="228"/>
              <w:snapToGrid w:val="0"/>
              <w:rPr>
                <w:szCs w:val="21"/>
              </w:rPr>
            </w:pPr>
          </w:p>
        </w:tc>
        <w:tc>
          <w:tcPr>
            <w:tcW w:w="1408" w:type="dxa"/>
            <w:tcBorders>
              <w:tl2br w:val="nil"/>
              <w:tr2bl w:val="nil"/>
            </w:tcBorders>
            <w:vAlign w:val="center"/>
          </w:tcPr>
          <w:p w14:paraId="098920D9">
            <w:pPr>
              <w:pStyle w:val="228"/>
              <w:snapToGrid w:val="0"/>
              <w:rPr>
                <w:szCs w:val="21"/>
              </w:rPr>
            </w:pPr>
            <w:r>
              <w:rPr>
                <w:szCs w:val="21"/>
              </w:rPr>
              <w:t>现状监测因子</w:t>
            </w:r>
          </w:p>
        </w:tc>
        <w:tc>
          <w:tcPr>
            <w:tcW w:w="5695" w:type="dxa"/>
            <w:gridSpan w:val="6"/>
            <w:tcBorders>
              <w:tl2br w:val="nil"/>
              <w:tr2bl w:val="nil"/>
            </w:tcBorders>
            <w:vAlign w:val="center"/>
          </w:tcPr>
          <w:p w14:paraId="6CBDC87F">
            <w:pPr>
              <w:pStyle w:val="16"/>
              <w:snapToGrid w:val="0"/>
              <w:spacing w:after="0"/>
              <w:ind w:firstLine="420"/>
              <w:jc w:val="center"/>
              <w:rPr>
                <w:szCs w:val="21"/>
              </w:rPr>
            </w:pPr>
            <w:r>
              <w:rPr>
                <w:rFonts w:hint="eastAsia"/>
                <w:szCs w:val="21"/>
              </w:rPr>
              <w:t>GB36600表1中的45项基本项</w:t>
            </w:r>
          </w:p>
        </w:tc>
        <w:tc>
          <w:tcPr>
            <w:tcW w:w="817" w:type="dxa"/>
            <w:tcBorders>
              <w:tl2br w:val="nil"/>
              <w:tr2bl w:val="nil"/>
            </w:tcBorders>
            <w:vAlign w:val="center"/>
          </w:tcPr>
          <w:p w14:paraId="47C19BA9">
            <w:pPr>
              <w:snapToGrid w:val="0"/>
              <w:jc w:val="center"/>
              <w:rPr>
                <w:szCs w:val="21"/>
              </w:rPr>
            </w:pPr>
            <w:r>
              <w:rPr>
                <w:rFonts w:hint="eastAsia"/>
                <w:szCs w:val="21"/>
              </w:rPr>
              <w:t>/</w:t>
            </w:r>
          </w:p>
        </w:tc>
      </w:tr>
      <w:tr w14:paraId="143E0905">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90" w:hRule="atLeast"/>
          <w:jc w:val="center"/>
        </w:trPr>
        <w:tc>
          <w:tcPr>
            <w:tcW w:w="687" w:type="dxa"/>
            <w:vMerge w:val="restart"/>
            <w:tcBorders>
              <w:tl2br w:val="nil"/>
              <w:tr2bl w:val="nil"/>
            </w:tcBorders>
            <w:vAlign w:val="center"/>
          </w:tcPr>
          <w:p w14:paraId="0C19F23C">
            <w:pPr>
              <w:pStyle w:val="228"/>
              <w:snapToGrid w:val="0"/>
              <w:rPr>
                <w:szCs w:val="21"/>
              </w:rPr>
            </w:pPr>
            <w:r>
              <w:rPr>
                <w:szCs w:val="21"/>
              </w:rPr>
              <w:t>现状评价</w:t>
            </w:r>
          </w:p>
        </w:tc>
        <w:tc>
          <w:tcPr>
            <w:tcW w:w="1408" w:type="dxa"/>
            <w:tcBorders>
              <w:tl2br w:val="nil"/>
              <w:tr2bl w:val="nil"/>
            </w:tcBorders>
            <w:vAlign w:val="center"/>
          </w:tcPr>
          <w:p w14:paraId="5A6E973A">
            <w:pPr>
              <w:pStyle w:val="228"/>
              <w:snapToGrid w:val="0"/>
              <w:rPr>
                <w:szCs w:val="21"/>
              </w:rPr>
            </w:pPr>
            <w:r>
              <w:rPr>
                <w:szCs w:val="21"/>
              </w:rPr>
              <w:t>评价因子</w:t>
            </w:r>
          </w:p>
        </w:tc>
        <w:tc>
          <w:tcPr>
            <w:tcW w:w="5695" w:type="dxa"/>
            <w:gridSpan w:val="6"/>
            <w:tcBorders>
              <w:tl2br w:val="nil"/>
              <w:tr2bl w:val="nil"/>
            </w:tcBorders>
            <w:vAlign w:val="center"/>
          </w:tcPr>
          <w:p w14:paraId="5FAC6515">
            <w:pPr>
              <w:pStyle w:val="228"/>
              <w:snapToGrid w:val="0"/>
              <w:rPr>
                <w:szCs w:val="21"/>
              </w:rPr>
            </w:pPr>
            <w:r>
              <w:rPr>
                <w:rFonts w:hint="eastAsia"/>
                <w:szCs w:val="21"/>
              </w:rPr>
              <w:t>GB36600表1中的45项基本项</w:t>
            </w:r>
          </w:p>
        </w:tc>
        <w:tc>
          <w:tcPr>
            <w:tcW w:w="817" w:type="dxa"/>
            <w:tcBorders>
              <w:tl2br w:val="nil"/>
              <w:tr2bl w:val="nil"/>
            </w:tcBorders>
            <w:vAlign w:val="center"/>
          </w:tcPr>
          <w:p w14:paraId="73AECEBC">
            <w:pPr>
              <w:snapToGrid w:val="0"/>
              <w:jc w:val="center"/>
              <w:rPr>
                <w:szCs w:val="21"/>
              </w:rPr>
            </w:pPr>
            <w:r>
              <w:rPr>
                <w:rFonts w:hint="eastAsia"/>
                <w:szCs w:val="21"/>
              </w:rPr>
              <w:t>/</w:t>
            </w:r>
          </w:p>
        </w:tc>
      </w:tr>
      <w:tr w14:paraId="7F9CB119">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90" w:hRule="atLeast"/>
          <w:jc w:val="center"/>
        </w:trPr>
        <w:tc>
          <w:tcPr>
            <w:tcW w:w="687" w:type="dxa"/>
            <w:vMerge w:val="continue"/>
            <w:tcBorders>
              <w:tl2br w:val="nil"/>
              <w:tr2bl w:val="nil"/>
            </w:tcBorders>
            <w:vAlign w:val="center"/>
          </w:tcPr>
          <w:p w14:paraId="2AECCF12">
            <w:pPr>
              <w:pStyle w:val="228"/>
              <w:snapToGrid w:val="0"/>
              <w:rPr>
                <w:szCs w:val="21"/>
              </w:rPr>
            </w:pPr>
          </w:p>
        </w:tc>
        <w:tc>
          <w:tcPr>
            <w:tcW w:w="1408" w:type="dxa"/>
            <w:tcBorders>
              <w:tl2br w:val="nil"/>
              <w:tr2bl w:val="nil"/>
            </w:tcBorders>
            <w:vAlign w:val="center"/>
          </w:tcPr>
          <w:p w14:paraId="59D0BF9A">
            <w:pPr>
              <w:pStyle w:val="228"/>
              <w:snapToGrid w:val="0"/>
              <w:rPr>
                <w:szCs w:val="21"/>
              </w:rPr>
            </w:pPr>
            <w:r>
              <w:rPr>
                <w:szCs w:val="21"/>
              </w:rPr>
              <w:t>评价标准</w:t>
            </w:r>
          </w:p>
        </w:tc>
        <w:tc>
          <w:tcPr>
            <w:tcW w:w="5695" w:type="dxa"/>
            <w:gridSpan w:val="6"/>
            <w:tcBorders>
              <w:tl2br w:val="nil"/>
              <w:tr2bl w:val="nil"/>
            </w:tcBorders>
            <w:vAlign w:val="center"/>
          </w:tcPr>
          <w:p w14:paraId="38535D86">
            <w:pPr>
              <w:pStyle w:val="228"/>
              <w:snapToGrid w:val="0"/>
              <w:rPr>
                <w:szCs w:val="21"/>
              </w:rPr>
            </w:pPr>
            <w:r>
              <w:rPr>
                <w:szCs w:val="21"/>
              </w:rPr>
              <w:t>GB15618</w:t>
            </w:r>
            <w:r>
              <w:rPr>
                <w:rFonts w:hint="eastAsia"/>
                <w:szCs w:val="21"/>
              </w:rPr>
              <w:t>□</w:t>
            </w:r>
            <w:r>
              <w:rPr>
                <w:szCs w:val="21"/>
              </w:rPr>
              <w:t>；GB36600</w:t>
            </w:r>
            <w:r>
              <w:rPr>
                <w:rFonts w:hint="eastAsia" w:eastAsia="MS Mincho" w:cs="MS Mincho"/>
                <w:szCs w:val="21"/>
              </w:rPr>
              <w:t>☑</w:t>
            </w:r>
            <w:r>
              <w:rPr>
                <w:szCs w:val="21"/>
              </w:rPr>
              <w:t>；表D.1</w:t>
            </w:r>
            <w:r>
              <w:rPr>
                <w:rFonts w:hint="eastAsia"/>
                <w:szCs w:val="21"/>
              </w:rPr>
              <w:t>□</w:t>
            </w:r>
            <w:r>
              <w:rPr>
                <w:szCs w:val="21"/>
              </w:rPr>
              <w:t>；表D.2</w:t>
            </w:r>
            <w:r>
              <w:rPr>
                <w:rFonts w:hint="eastAsia"/>
                <w:szCs w:val="21"/>
              </w:rPr>
              <w:t>□</w:t>
            </w:r>
            <w:r>
              <w:rPr>
                <w:szCs w:val="21"/>
              </w:rPr>
              <w:t>；其他</w:t>
            </w:r>
            <w:r>
              <w:rPr>
                <w:rFonts w:hint="eastAsia"/>
                <w:szCs w:val="21"/>
              </w:rPr>
              <w:t>（）</w:t>
            </w:r>
          </w:p>
        </w:tc>
        <w:tc>
          <w:tcPr>
            <w:tcW w:w="817" w:type="dxa"/>
            <w:tcBorders>
              <w:tl2br w:val="nil"/>
              <w:tr2bl w:val="nil"/>
            </w:tcBorders>
            <w:vAlign w:val="center"/>
          </w:tcPr>
          <w:p w14:paraId="7137AAB4">
            <w:pPr>
              <w:snapToGrid w:val="0"/>
              <w:jc w:val="center"/>
              <w:rPr>
                <w:szCs w:val="21"/>
              </w:rPr>
            </w:pPr>
            <w:r>
              <w:rPr>
                <w:rFonts w:hint="eastAsia"/>
                <w:szCs w:val="21"/>
              </w:rPr>
              <w:t>/</w:t>
            </w:r>
          </w:p>
        </w:tc>
      </w:tr>
      <w:tr w14:paraId="2689D165">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802" w:hRule="atLeast"/>
          <w:jc w:val="center"/>
        </w:trPr>
        <w:tc>
          <w:tcPr>
            <w:tcW w:w="687" w:type="dxa"/>
            <w:vMerge w:val="continue"/>
            <w:tcBorders>
              <w:tl2br w:val="nil"/>
              <w:tr2bl w:val="nil"/>
            </w:tcBorders>
            <w:vAlign w:val="center"/>
          </w:tcPr>
          <w:p w14:paraId="39431A12">
            <w:pPr>
              <w:pStyle w:val="228"/>
              <w:snapToGrid w:val="0"/>
              <w:rPr>
                <w:szCs w:val="21"/>
              </w:rPr>
            </w:pPr>
          </w:p>
        </w:tc>
        <w:tc>
          <w:tcPr>
            <w:tcW w:w="1408" w:type="dxa"/>
            <w:tcBorders>
              <w:tl2br w:val="nil"/>
              <w:tr2bl w:val="nil"/>
            </w:tcBorders>
            <w:vAlign w:val="center"/>
          </w:tcPr>
          <w:p w14:paraId="5E4C0678">
            <w:pPr>
              <w:pStyle w:val="228"/>
              <w:snapToGrid w:val="0"/>
              <w:rPr>
                <w:szCs w:val="21"/>
              </w:rPr>
            </w:pPr>
            <w:r>
              <w:rPr>
                <w:szCs w:val="21"/>
              </w:rPr>
              <w:t>现状评价结论</w:t>
            </w:r>
          </w:p>
        </w:tc>
        <w:tc>
          <w:tcPr>
            <w:tcW w:w="5695" w:type="dxa"/>
            <w:gridSpan w:val="6"/>
            <w:tcBorders>
              <w:tl2br w:val="nil"/>
              <w:tr2bl w:val="nil"/>
            </w:tcBorders>
            <w:vAlign w:val="center"/>
          </w:tcPr>
          <w:p w14:paraId="25A112F2">
            <w:pPr>
              <w:pStyle w:val="253"/>
              <w:adjustRightInd/>
              <w:spacing w:after="0" w:line="240" w:lineRule="auto"/>
              <w:ind w:firstLine="420"/>
              <w:rPr>
                <w:rFonts w:eastAsia="宋体"/>
                <w:sz w:val="21"/>
                <w:lang w:val="zh-CN" w:bidi="zh-CN"/>
              </w:rPr>
            </w:pPr>
            <w:r>
              <w:rPr>
                <w:rFonts w:eastAsia="宋体"/>
                <w:sz w:val="21"/>
                <w:lang w:val="zh-CN" w:bidi="zh-CN"/>
              </w:rPr>
              <w:t>各监测因子监测结果均低于《土壤环境质量建设用地土壤污染风险管控标准(试行)》(GB36600-2018)第二类用地筛选值，区域土壤环境质量现状良好。</w:t>
            </w:r>
          </w:p>
        </w:tc>
        <w:tc>
          <w:tcPr>
            <w:tcW w:w="817" w:type="dxa"/>
            <w:tcBorders>
              <w:tl2br w:val="nil"/>
              <w:tr2bl w:val="nil"/>
            </w:tcBorders>
            <w:vAlign w:val="center"/>
          </w:tcPr>
          <w:p w14:paraId="2F60903A">
            <w:pPr>
              <w:snapToGrid w:val="0"/>
              <w:jc w:val="center"/>
              <w:rPr>
                <w:szCs w:val="21"/>
              </w:rPr>
            </w:pPr>
            <w:r>
              <w:rPr>
                <w:rFonts w:hint="eastAsia"/>
                <w:szCs w:val="21"/>
              </w:rPr>
              <w:t>/</w:t>
            </w:r>
          </w:p>
        </w:tc>
      </w:tr>
      <w:tr w14:paraId="50618998">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332" w:hRule="atLeast"/>
          <w:jc w:val="center"/>
        </w:trPr>
        <w:tc>
          <w:tcPr>
            <w:tcW w:w="687" w:type="dxa"/>
            <w:vMerge w:val="restart"/>
            <w:tcBorders>
              <w:tl2br w:val="nil"/>
              <w:tr2bl w:val="nil"/>
            </w:tcBorders>
            <w:vAlign w:val="center"/>
          </w:tcPr>
          <w:p w14:paraId="1032DEBE">
            <w:pPr>
              <w:pStyle w:val="228"/>
              <w:snapToGrid w:val="0"/>
              <w:rPr>
                <w:szCs w:val="21"/>
              </w:rPr>
            </w:pPr>
            <w:r>
              <w:rPr>
                <w:szCs w:val="21"/>
              </w:rPr>
              <w:t>影响预测</w:t>
            </w:r>
          </w:p>
        </w:tc>
        <w:tc>
          <w:tcPr>
            <w:tcW w:w="1408" w:type="dxa"/>
            <w:tcBorders>
              <w:tl2br w:val="nil"/>
              <w:tr2bl w:val="nil"/>
            </w:tcBorders>
            <w:vAlign w:val="center"/>
          </w:tcPr>
          <w:p w14:paraId="0A97EAB4">
            <w:pPr>
              <w:pStyle w:val="228"/>
              <w:snapToGrid w:val="0"/>
              <w:rPr>
                <w:szCs w:val="21"/>
              </w:rPr>
            </w:pPr>
            <w:r>
              <w:rPr>
                <w:szCs w:val="21"/>
              </w:rPr>
              <w:t>预测因子</w:t>
            </w:r>
          </w:p>
        </w:tc>
        <w:tc>
          <w:tcPr>
            <w:tcW w:w="5695" w:type="dxa"/>
            <w:gridSpan w:val="6"/>
            <w:tcBorders>
              <w:tl2br w:val="nil"/>
              <w:tr2bl w:val="nil"/>
            </w:tcBorders>
            <w:vAlign w:val="center"/>
          </w:tcPr>
          <w:p w14:paraId="0113C067">
            <w:pPr>
              <w:pStyle w:val="228"/>
              <w:snapToGrid w:val="0"/>
              <w:rPr>
                <w:szCs w:val="21"/>
              </w:rPr>
            </w:pPr>
            <w:r>
              <w:rPr>
                <w:rFonts w:hint="eastAsia"/>
                <w:szCs w:val="21"/>
              </w:rPr>
              <w:t>/</w:t>
            </w:r>
          </w:p>
        </w:tc>
        <w:tc>
          <w:tcPr>
            <w:tcW w:w="817" w:type="dxa"/>
            <w:tcBorders>
              <w:tl2br w:val="nil"/>
              <w:tr2bl w:val="nil"/>
            </w:tcBorders>
            <w:vAlign w:val="center"/>
          </w:tcPr>
          <w:p w14:paraId="6DC8EE0E">
            <w:pPr>
              <w:snapToGrid w:val="0"/>
              <w:jc w:val="center"/>
              <w:rPr>
                <w:szCs w:val="21"/>
              </w:rPr>
            </w:pPr>
            <w:r>
              <w:rPr>
                <w:rFonts w:hint="eastAsia"/>
                <w:szCs w:val="21"/>
              </w:rPr>
              <w:t>/</w:t>
            </w:r>
          </w:p>
        </w:tc>
      </w:tr>
      <w:tr w14:paraId="203A7DF8">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332" w:hRule="atLeast"/>
          <w:jc w:val="center"/>
        </w:trPr>
        <w:tc>
          <w:tcPr>
            <w:tcW w:w="687" w:type="dxa"/>
            <w:vMerge w:val="continue"/>
            <w:tcBorders>
              <w:tl2br w:val="nil"/>
              <w:tr2bl w:val="nil"/>
            </w:tcBorders>
            <w:vAlign w:val="center"/>
          </w:tcPr>
          <w:p w14:paraId="48E870FF">
            <w:pPr>
              <w:pStyle w:val="228"/>
              <w:snapToGrid w:val="0"/>
              <w:rPr>
                <w:szCs w:val="21"/>
              </w:rPr>
            </w:pPr>
          </w:p>
        </w:tc>
        <w:tc>
          <w:tcPr>
            <w:tcW w:w="1408" w:type="dxa"/>
            <w:tcBorders>
              <w:tl2br w:val="nil"/>
              <w:tr2bl w:val="nil"/>
            </w:tcBorders>
            <w:vAlign w:val="center"/>
          </w:tcPr>
          <w:p w14:paraId="1843CC3E">
            <w:pPr>
              <w:pStyle w:val="228"/>
              <w:snapToGrid w:val="0"/>
              <w:rPr>
                <w:szCs w:val="21"/>
              </w:rPr>
            </w:pPr>
            <w:r>
              <w:rPr>
                <w:szCs w:val="21"/>
              </w:rPr>
              <w:t>预测方法</w:t>
            </w:r>
          </w:p>
        </w:tc>
        <w:tc>
          <w:tcPr>
            <w:tcW w:w="5695" w:type="dxa"/>
            <w:gridSpan w:val="6"/>
            <w:tcBorders>
              <w:tl2br w:val="nil"/>
              <w:tr2bl w:val="nil"/>
            </w:tcBorders>
            <w:vAlign w:val="center"/>
          </w:tcPr>
          <w:p w14:paraId="7BFF25AF">
            <w:pPr>
              <w:pStyle w:val="228"/>
              <w:snapToGrid w:val="0"/>
              <w:rPr>
                <w:szCs w:val="21"/>
              </w:rPr>
            </w:pPr>
            <w:r>
              <w:rPr>
                <w:szCs w:val="21"/>
              </w:rPr>
              <w:t>附录E</w:t>
            </w:r>
            <w:r>
              <w:rPr>
                <w:rFonts w:hint="eastAsia"/>
                <w:szCs w:val="21"/>
              </w:rPr>
              <w:t>□</w:t>
            </w:r>
            <w:r>
              <w:rPr>
                <w:szCs w:val="21"/>
              </w:rPr>
              <w:t>；</w:t>
            </w:r>
            <w:r>
              <w:rPr>
                <w:rFonts w:hint="eastAsia"/>
                <w:szCs w:val="21"/>
              </w:rPr>
              <w:t xml:space="preserve"> </w:t>
            </w:r>
            <w:r>
              <w:rPr>
                <w:szCs w:val="21"/>
              </w:rPr>
              <w:t xml:space="preserve">  附录F</w:t>
            </w:r>
            <w:r>
              <w:rPr>
                <w:rFonts w:hint="eastAsia"/>
                <w:szCs w:val="21"/>
              </w:rPr>
              <w:t>□</w:t>
            </w:r>
            <w:r>
              <w:rPr>
                <w:szCs w:val="21"/>
              </w:rPr>
              <w:t>；</w:t>
            </w:r>
            <w:r>
              <w:rPr>
                <w:rFonts w:hint="eastAsia"/>
                <w:szCs w:val="21"/>
              </w:rPr>
              <w:t xml:space="preserve"> </w:t>
            </w:r>
            <w:r>
              <w:rPr>
                <w:szCs w:val="21"/>
              </w:rPr>
              <w:t xml:space="preserve">  其他</w:t>
            </w:r>
            <w:r>
              <w:rPr>
                <w:rFonts w:hint="eastAsia"/>
                <w:szCs w:val="21"/>
              </w:rPr>
              <w:t>（）</w:t>
            </w:r>
          </w:p>
        </w:tc>
        <w:tc>
          <w:tcPr>
            <w:tcW w:w="817" w:type="dxa"/>
            <w:tcBorders>
              <w:tl2br w:val="nil"/>
              <w:tr2bl w:val="nil"/>
            </w:tcBorders>
            <w:vAlign w:val="center"/>
          </w:tcPr>
          <w:p w14:paraId="0655AF80">
            <w:pPr>
              <w:snapToGrid w:val="0"/>
              <w:jc w:val="center"/>
              <w:rPr>
                <w:szCs w:val="21"/>
              </w:rPr>
            </w:pPr>
            <w:r>
              <w:rPr>
                <w:rFonts w:hint="eastAsia"/>
                <w:szCs w:val="21"/>
              </w:rPr>
              <w:t>/</w:t>
            </w:r>
          </w:p>
        </w:tc>
      </w:tr>
      <w:tr w14:paraId="7B839F1C">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332" w:hRule="atLeast"/>
          <w:jc w:val="center"/>
        </w:trPr>
        <w:tc>
          <w:tcPr>
            <w:tcW w:w="687" w:type="dxa"/>
            <w:vMerge w:val="continue"/>
            <w:tcBorders>
              <w:tl2br w:val="nil"/>
              <w:tr2bl w:val="nil"/>
            </w:tcBorders>
            <w:vAlign w:val="center"/>
          </w:tcPr>
          <w:p w14:paraId="7EFF5CF8">
            <w:pPr>
              <w:pStyle w:val="228"/>
              <w:snapToGrid w:val="0"/>
              <w:rPr>
                <w:szCs w:val="21"/>
              </w:rPr>
            </w:pPr>
          </w:p>
        </w:tc>
        <w:tc>
          <w:tcPr>
            <w:tcW w:w="1408" w:type="dxa"/>
            <w:tcBorders>
              <w:tl2br w:val="nil"/>
              <w:tr2bl w:val="nil"/>
            </w:tcBorders>
            <w:vAlign w:val="center"/>
          </w:tcPr>
          <w:p w14:paraId="259E9A0B">
            <w:pPr>
              <w:pStyle w:val="228"/>
              <w:snapToGrid w:val="0"/>
              <w:rPr>
                <w:szCs w:val="21"/>
              </w:rPr>
            </w:pPr>
            <w:r>
              <w:rPr>
                <w:szCs w:val="21"/>
              </w:rPr>
              <w:t>预测分析内容</w:t>
            </w:r>
          </w:p>
        </w:tc>
        <w:tc>
          <w:tcPr>
            <w:tcW w:w="5695" w:type="dxa"/>
            <w:gridSpan w:val="6"/>
            <w:tcBorders>
              <w:tl2br w:val="nil"/>
              <w:tr2bl w:val="nil"/>
            </w:tcBorders>
            <w:vAlign w:val="center"/>
          </w:tcPr>
          <w:p w14:paraId="50886CE4">
            <w:pPr>
              <w:pStyle w:val="228"/>
              <w:snapToGrid w:val="0"/>
              <w:rPr>
                <w:szCs w:val="21"/>
              </w:rPr>
            </w:pPr>
            <w:r>
              <w:rPr>
                <w:szCs w:val="21"/>
              </w:rPr>
              <w:t>影响范围</w:t>
            </w:r>
            <w:r>
              <w:rPr>
                <w:rFonts w:hint="eastAsia"/>
                <w:szCs w:val="21"/>
              </w:rPr>
              <w:t xml:space="preserve">（）       </w:t>
            </w:r>
            <w:r>
              <w:rPr>
                <w:szCs w:val="21"/>
              </w:rPr>
              <w:t>影响程度</w:t>
            </w:r>
            <w:r>
              <w:rPr>
                <w:rFonts w:hint="eastAsia"/>
                <w:szCs w:val="21"/>
              </w:rPr>
              <w:t>（）</w:t>
            </w:r>
          </w:p>
        </w:tc>
        <w:tc>
          <w:tcPr>
            <w:tcW w:w="817" w:type="dxa"/>
            <w:tcBorders>
              <w:tl2br w:val="nil"/>
              <w:tr2bl w:val="nil"/>
            </w:tcBorders>
            <w:vAlign w:val="center"/>
          </w:tcPr>
          <w:p w14:paraId="1CC638F4">
            <w:pPr>
              <w:snapToGrid w:val="0"/>
              <w:jc w:val="center"/>
              <w:rPr>
                <w:szCs w:val="21"/>
              </w:rPr>
            </w:pPr>
            <w:r>
              <w:rPr>
                <w:rFonts w:hint="eastAsia"/>
                <w:szCs w:val="21"/>
              </w:rPr>
              <w:t>/</w:t>
            </w:r>
          </w:p>
        </w:tc>
      </w:tr>
      <w:tr w14:paraId="769B5C17">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627" w:hRule="atLeast"/>
          <w:jc w:val="center"/>
        </w:trPr>
        <w:tc>
          <w:tcPr>
            <w:tcW w:w="687" w:type="dxa"/>
            <w:vMerge w:val="continue"/>
            <w:tcBorders>
              <w:tl2br w:val="nil"/>
              <w:tr2bl w:val="nil"/>
            </w:tcBorders>
            <w:vAlign w:val="center"/>
          </w:tcPr>
          <w:p w14:paraId="037BF767">
            <w:pPr>
              <w:pStyle w:val="228"/>
              <w:snapToGrid w:val="0"/>
              <w:rPr>
                <w:szCs w:val="21"/>
              </w:rPr>
            </w:pPr>
          </w:p>
        </w:tc>
        <w:tc>
          <w:tcPr>
            <w:tcW w:w="1408" w:type="dxa"/>
            <w:tcBorders>
              <w:tl2br w:val="nil"/>
              <w:tr2bl w:val="nil"/>
            </w:tcBorders>
            <w:vAlign w:val="center"/>
          </w:tcPr>
          <w:p w14:paraId="45CED234">
            <w:pPr>
              <w:pStyle w:val="228"/>
              <w:snapToGrid w:val="0"/>
              <w:rPr>
                <w:szCs w:val="21"/>
              </w:rPr>
            </w:pPr>
            <w:r>
              <w:rPr>
                <w:szCs w:val="21"/>
              </w:rPr>
              <w:t>预测结论</w:t>
            </w:r>
          </w:p>
        </w:tc>
        <w:tc>
          <w:tcPr>
            <w:tcW w:w="5695" w:type="dxa"/>
            <w:gridSpan w:val="6"/>
            <w:tcBorders>
              <w:tl2br w:val="nil"/>
              <w:tr2bl w:val="nil"/>
            </w:tcBorders>
            <w:vAlign w:val="center"/>
          </w:tcPr>
          <w:p w14:paraId="2A63000A">
            <w:pPr>
              <w:pStyle w:val="228"/>
              <w:snapToGrid w:val="0"/>
              <w:rPr>
                <w:szCs w:val="21"/>
              </w:rPr>
            </w:pPr>
            <w:r>
              <w:rPr>
                <w:szCs w:val="21"/>
              </w:rPr>
              <w:t>达标结论：a</w:t>
            </w:r>
            <w:r>
              <w:rPr>
                <w:rFonts w:hint="eastAsia"/>
                <w:szCs w:val="21"/>
              </w:rPr>
              <w:t>）</w:t>
            </w:r>
            <w:r>
              <w:rPr>
                <w:rFonts w:hint="eastAsia" w:eastAsia="MS Mincho" w:cs="MS Mincho"/>
                <w:szCs w:val="21"/>
              </w:rPr>
              <w:t>☑</w:t>
            </w:r>
            <w:r>
              <w:rPr>
                <w:szCs w:val="21"/>
              </w:rPr>
              <w:t xml:space="preserve">； </w:t>
            </w:r>
            <w:r>
              <w:rPr>
                <w:rFonts w:hint="eastAsia"/>
                <w:szCs w:val="21"/>
              </w:rPr>
              <w:t xml:space="preserve">   </w:t>
            </w:r>
            <w:r>
              <w:rPr>
                <w:szCs w:val="21"/>
              </w:rPr>
              <w:t xml:space="preserve"> b</w:t>
            </w:r>
            <w:r>
              <w:rPr>
                <w:rFonts w:hint="eastAsia"/>
                <w:szCs w:val="21"/>
              </w:rPr>
              <w:t>）□</w:t>
            </w:r>
            <w:r>
              <w:rPr>
                <w:szCs w:val="21"/>
              </w:rPr>
              <w:t xml:space="preserve">； </w:t>
            </w:r>
            <w:r>
              <w:rPr>
                <w:rFonts w:hint="eastAsia"/>
                <w:szCs w:val="21"/>
              </w:rPr>
              <w:t xml:space="preserve">   </w:t>
            </w:r>
            <w:r>
              <w:rPr>
                <w:szCs w:val="21"/>
              </w:rPr>
              <w:t xml:space="preserve"> c</w:t>
            </w:r>
            <w:r>
              <w:rPr>
                <w:rFonts w:hint="eastAsia"/>
                <w:szCs w:val="21"/>
              </w:rPr>
              <w:t>）□</w:t>
            </w:r>
          </w:p>
          <w:p w14:paraId="33054FBB">
            <w:pPr>
              <w:pStyle w:val="228"/>
              <w:snapToGrid w:val="0"/>
              <w:rPr>
                <w:szCs w:val="21"/>
              </w:rPr>
            </w:pPr>
            <w:r>
              <w:rPr>
                <w:szCs w:val="21"/>
              </w:rPr>
              <w:t>不达标结论：a</w:t>
            </w:r>
            <w:r>
              <w:rPr>
                <w:rFonts w:hint="eastAsia"/>
                <w:szCs w:val="21"/>
              </w:rPr>
              <w:t>）□</w:t>
            </w:r>
            <w:r>
              <w:rPr>
                <w:szCs w:val="21"/>
              </w:rPr>
              <w:t xml:space="preserve">； </w:t>
            </w:r>
            <w:r>
              <w:rPr>
                <w:rFonts w:hint="eastAsia"/>
                <w:szCs w:val="21"/>
              </w:rPr>
              <w:t xml:space="preserve"> </w:t>
            </w:r>
            <w:r>
              <w:rPr>
                <w:szCs w:val="21"/>
              </w:rPr>
              <w:t xml:space="preserve"> b</w:t>
            </w:r>
            <w:r>
              <w:rPr>
                <w:rFonts w:hint="eastAsia"/>
                <w:szCs w:val="21"/>
              </w:rPr>
              <w:t>）□</w:t>
            </w:r>
          </w:p>
        </w:tc>
        <w:tc>
          <w:tcPr>
            <w:tcW w:w="817" w:type="dxa"/>
            <w:tcBorders>
              <w:tl2br w:val="nil"/>
              <w:tr2bl w:val="nil"/>
            </w:tcBorders>
            <w:vAlign w:val="center"/>
          </w:tcPr>
          <w:p w14:paraId="6DD09970">
            <w:pPr>
              <w:snapToGrid w:val="0"/>
              <w:jc w:val="center"/>
              <w:rPr>
                <w:szCs w:val="21"/>
              </w:rPr>
            </w:pPr>
            <w:r>
              <w:rPr>
                <w:rFonts w:hint="eastAsia"/>
                <w:szCs w:val="21"/>
              </w:rPr>
              <w:t>/</w:t>
            </w:r>
          </w:p>
        </w:tc>
      </w:tr>
      <w:tr w14:paraId="397432E7">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365" w:hRule="atLeast"/>
          <w:jc w:val="center"/>
        </w:trPr>
        <w:tc>
          <w:tcPr>
            <w:tcW w:w="687" w:type="dxa"/>
            <w:vMerge w:val="restart"/>
            <w:tcBorders>
              <w:tl2br w:val="nil"/>
              <w:tr2bl w:val="nil"/>
            </w:tcBorders>
            <w:vAlign w:val="center"/>
          </w:tcPr>
          <w:p w14:paraId="4128C8AE">
            <w:pPr>
              <w:pStyle w:val="228"/>
              <w:snapToGrid w:val="0"/>
              <w:rPr>
                <w:szCs w:val="21"/>
              </w:rPr>
            </w:pPr>
            <w:r>
              <w:rPr>
                <w:szCs w:val="21"/>
              </w:rPr>
              <w:t>防治措施</w:t>
            </w:r>
          </w:p>
        </w:tc>
        <w:tc>
          <w:tcPr>
            <w:tcW w:w="1408" w:type="dxa"/>
            <w:tcBorders>
              <w:tl2br w:val="nil"/>
              <w:tr2bl w:val="nil"/>
            </w:tcBorders>
            <w:vAlign w:val="center"/>
          </w:tcPr>
          <w:p w14:paraId="54A78B75">
            <w:pPr>
              <w:pStyle w:val="228"/>
              <w:snapToGrid w:val="0"/>
              <w:rPr>
                <w:szCs w:val="21"/>
              </w:rPr>
            </w:pPr>
            <w:r>
              <w:rPr>
                <w:szCs w:val="21"/>
              </w:rPr>
              <w:t>防控措施</w:t>
            </w:r>
          </w:p>
        </w:tc>
        <w:tc>
          <w:tcPr>
            <w:tcW w:w="5695" w:type="dxa"/>
            <w:gridSpan w:val="6"/>
            <w:tcBorders>
              <w:tl2br w:val="nil"/>
              <w:tr2bl w:val="nil"/>
            </w:tcBorders>
            <w:vAlign w:val="center"/>
          </w:tcPr>
          <w:p w14:paraId="3A9DF5F3">
            <w:pPr>
              <w:pStyle w:val="228"/>
              <w:snapToGrid w:val="0"/>
              <w:rPr>
                <w:szCs w:val="21"/>
              </w:rPr>
            </w:pPr>
            <w:r>
              <w:rPr>
                <w:szCs w:val="21"/>
              </w:rPr>
              <w:t>土壤环境质量现状保障</w:t>
            </w:r>
            <w:r>
              <w:rPr>
                <w:rFonts w:hint="eastAsia" w:cs="MS Mincho"/>
                <w:szCs w:val="21"/>
              </w:rPr>
              <w:t>□</w:t>
            </w:r>
            <w:r>
              <w:rPr>
                <w:szCs w:val="21"/>
              </w:rPr>
              <w:t>；源头控制</w:t>
            </w:r>
            <w:r>
              <w:rPr>
                <w:rFonts w:hint="eastAsia" w:eastAsia="MS Mincho" w:cs="MS Mincho"/>
                <w:szCs w:val="21"/>
              </w:rPr>
              <w:t>☑</w:t>
            </w:r>
            <w:r>
              <w:rPr>
                <w:szCs w:val="21"/>
              </w:rPr>
              <w:t>；过程防控</w:t>
            </w:r>
            <w:r>
              <w:rPr>
                <w:rFonts w:hint="eastAsia"/>
                <w:szCs w:val="21"/>
              </w:rPr>
              <w:sym w:font="Wingdings 2" w:char="0052"/>
            </w:r>
            <w:r>
              <w:rPr>
                <w:szCs w:val="21"/>
              </w:rPr>
              <w:t>；其他</w:t>
            </w:r>
            <w:r>
              <w:rPr>
                <w:rFonts w:hint="eastAsia"/>
                <w:szCs w:val="21"/>
              </w:rPr>
              <w:t>（）</w:t>
            </w:r>
          </w:p>
        </w:tc>
        <w:tc>
          <w:tcPr>
            <w:tcW w:w="817" w:type="dxa"/>
            <w:tcBorders>
              <w:tl2br w:val="nil"/>
              <w:tr2bl w:val="nil"/>
            </w:tcBorders>
            <w:vAlign w:val="center"/>
          </w:tcPr>
          <w:p w14:paraId="58F13B13">
            <w:pPr>
              <w:snapToGrid w:val="0"/>
              <w:jc w:val="center"/>
              <w:rPr>
                <w:szCs w:val="21"/>
              </w:rPr>
            </w:pPr>
            <w:r>
              <w:rPr>
                <w:rFonts w:hint="eastAsia"/>
                <w:szCs w:val="21"/>
              </w:rPr>
              <w:t>/</w:t>
            </w:r>
          </w:p>
        </w:tc>
      </w:tr>
      <w:tr w14:paraId="58E64362">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332" w:hRule="atLeast"/>
          <w:jc w:val="center"/>
        </w:trPr>
        <w:tc>
          <w:tcPr>
            <w:tcW w:w="687" w:type="dxa"/>
            <w:vMerge w:val="continue"/>
            <w:tcBorders>
              <w:tl2br w:val="nil"/>
              <w:tr2bl w:val="nil"/>
            </w:tcBorders>
            <w:vAlign w:val="center"/>
          </w:tcPr>
          <w:p w14:paraId="39D18A15">
            <w:pPr>
              <w:pStyle w:val="228"/>
              <w:snapToGrid w:val="0"/>
              <w:rPr>
                <w:szCs w:val="21"/>
              </w:rPr>
            </w:pPr>
          </w:p>
        </w:tc>
        <w:tc>
          <w:tcPr>
            <w:tcW w:w="1408" w:type="dxa"/>
            <w:vMerge w:val="restart"/>
            <w:tcBorders>
              <w:tl2br w:val="nil"/>
              <w:tr2bl w:val="nil"/>
            </w:tcBorders>
            <w:vAlign w:val="center"/>
          </w:tcPr>
          <w:p w14:paraId="36AB0A04">
            <w:pPr>
              <w:pStyle w:val="228"/>
              <w:snapToGrid w:val="0"/>
              <w:rPr>
                <w:szCs w:val="21"/>
              </w:rPr>
            </w:pPr>
            <w:r>
              <w:rPr>
                <w:szCs w:val="21"/>
              </w:rPr>
              <w:t>跟踪监测</w:t>
            </w:r>
          </w:p>
        </w:tc>
        <w:tc>
          <w:tcPr>
            <w:tcW w:w="1293" w:type="dxa"/>
            <w:gridSpan w:val="2"/>
            <w:tcBorders>
              <w:tl2br w:val="nil"/>
              <w:tr2bl w:val="nil"/>
            </w:tcBorders>
            <w:vAlign w:val="center"/>
          </w:tcPr>
          <w:p w14:paraId="5AAC12BE">
            <w:pPr>
              <w:pStyle w:val="228"/>
              <w:snapToGrid w:val="0"/>
              <w:rPr>
                <w:szCs w:val="21"/>
              </w:rPr>
            </w:pPr>
            <w:r>
              <w:rPr>
                <w:szCs w:val="21"/>
              </w:rPr>
              <w:t>监测点位</w:t>
            </w:r>
          </w:p>
        </w:tc>
        <w:tc>
          <w:tcPr>
            <w:tcW w:w="2007" w:type="dxa"/>
            <w:gridSpan w:val="2"/>
            <w:tcBorders>
              <w:tl2br w:val="nil"/>
              <w:tr2bl w:val="nil"/>
            </w:tcBorders>
            <w:vAlign w:val="center"/>
          </w:tcPr>
          <w:p w14:paraId="1657F451">
            <w:pPr>
              <w:snapToGrid w:val="0"/>
              <w:ind w:firstLine="420" w:firstLineChars="200"/>
              <w:jc w:val="center"/>
              <w:rPr>
                <w:szCs w:val="21"/>
              </w:rPr>
            </w:pPr>
            <w:r>
              <w:rPr>
                <w:rFonts w:hint="eastAsia"/>
                <w:szCs w:val="21"/>
              </w:rPr>
              <w:t>/</w:t>
            </w:r>
          </w:p>
        </w:tc>
        <w:tc>
          <w:tcPr>
            <w:tcW w:w="2395" w:type="dxa"/>
            <w:gridSpan w:val="2"/>
            <w:tcBorders>
              <w:tl2br w:val="nil"/>
              <w:tr2bl w:val="nil"/>
            </w:tcBorders>
            <w:vAlign w:val="center"/>
          </w:tcPr>
          <w:p w14:paraId="4744937A">
            <w:pPr>
              <w:pStyle w:val="228"/>
              <w:snapToGrid w:val="0"/>
              <w:rPr>
                <w:szCs w:val="21"/>
              </w:rPr>
            </w:pPr>
            <w:r>
              <w:rPr>
                <w:szCs w:val="21"/>
              </w:rPr>
              <w:t>监测频次</w:t>
            </w:r>
          </w:p>
        </w:tc>
        <w:tc>
          <w:tcPr>
            <w:tcW w:w="817" w:type="dxa"/>
            <w:tcBorders>
              <w:tl2br w:val="nil"/>
              <w:tr2bl w:val="nil"/>
            </w:tcBorders>
            <w:vAlign w:val="center"/>
          </w:tcPr>
          <w:p w14:paraId="2CDA972C">
            <w:pPr>
              <w:pStyle w:val="228"/>
              <w:snapToGrid w:val="0"/>
              <w:rPr>
                <w:szCs w:val="21"/>
              </w:rPr>
            </w:pPr>
            <w:r>
              <w:rPr>
                <w:rFonts w:hint="eastAsia"/>
                <w:szCs w:val="21"/>
              </w:rPr>
              <w:t>--</w:t>
            </w:r>
          </w:p>
        </w:tc>
      </w:tr>
      <w:tr w14:paraId="79527B7A">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332" w:hRule="atLeast"/>
          <w:jc w:val="center"/>
        </w:trPr>
        <w:tc>
          <w:tcPr>
            <w:tcW w:w="687" w:type="dxa"/>
            <w:vMerge w:val="continue"/>
            <w:tcBorders>
              <w:tl2br w:val="nil"/>
              <w:tr2bl w:val="nil"/>
            </w:tcBorders>
            <w:vAlign w:val="center"/>
          </w:tcPr>
          <w:p w14:paraId="14B3DC9F">
            <w:pPr>
              <w:pStyle w:val="228"/>
              <w:snapToGrid w:val="0"/>
              <w:rPr>
                <w:szCs w:val="21"/>
              </w:rPr>
            </w:pPr>
          </w:p>
        </w:tc>
        <w:tc>
          <w:tcPr>
            <w:tcW w:w="1408" w:type="dxa"/>
            <w:vMerge w:val="continue"/>
            <w:tcBorders>
              <w:tl2br w:val="nil"/>
              <w:tr2bl w:val="nil"/>
            </w:tcBorders>
            <w:vAlign w:val="center"/>
          </w:tcPr>
          <w:p w14:paraId="53238751">
            <w:pPr>
              <w:pStyle w:val="228"/>
              <w:snapToGrid w:val="0"/>
              <w:rPr>
                <w:szCs w:val="21"/>
              </w:rPr>
            </w:pPr>
          </w:p>
        </w:tc>
        <w:tc>
          <w:tcPr>
            <w:tcW w:w="1293" w:type="dxa"/>
            <w:gridSpan w:val="2"/>
            <w:tcBorders>
              <w:tl2br w:val="nil"/>
              <w:tr2bl w:val="nil"/>
            </w:tcBorders>
            <w:vAlign w:val="center"/>
          </w:tcPr>
          <w:p w14:paraId="150B1A2D">
            <w:pPr>
              <w:pStyle w:val="228"/>
              <w:snapToGrid w:val="0"/>
              <w:rPr>
                <w:szCs w:val="21"/>
              </w:rPr>
            </w:pPr>
            <w:r>
              <w:rPr>
                <w:rFonts w:hint="eastAsia"/>
                <w:szCs w:val="21"/>
              </w:rPr>
              <w:t>/</w:t>
            </w:r>
          </w:p>
        </w:tc>
        <w:tc>
          <w:tcPr>
            <w:tcW w:w="2007" w:type="dxa"/>
            <w:gridSpan w:val="2"/>
            <w:tcBorders>
              <w:tl2br w:val="nil"/>
              <w:tr2bl w:val="nil"/>
            </w:tcBorders>
            <w:vAlign w:val="center"/>
          </w:tcPr>
          <w:p w14:paraId="65F7EB77">
            <w:pPr>
              <w:snapToGrid w:val="0"/>
              <w:ind w:firstLine="420" w:firstLineChars="200"/>
              <w:jc w:val="center"/>
              <w:rPr>
                <w:szCs w:val="21"/>
              </w:rPr>
            </w:pPr>
            <w:r>
              <w:rPr>
                <w:rFonts w:hint="eastAsia"/>
                <w:szCs w:val="21"/>
              </w:rPr>
              <w:t>/</w:t>
            </w:r>
          </w:p>
        </w:tc>
        <w:tc>
          <w:tcPr>
            <w:tcW w:w="2395" w:type="dxa"/>
            <w:gridSpan w:val="2"/>
            <w:tcBorders>
              <w:tl2br w:val="nil"/>
              <w:tr2bl w:val="nil"/>
            </w:tcBorders>
            <w:vAlign w:val="center"/>
          </w:tcPr>
          <w:p w14:paraId="73111A21">
            <w:pPr>
              <w:pStyle w:val="228"/>
              <w:snapToGrid w:val="0"/>
              <w:rPr>
                <w:szCs w:val="21"/>
              </w:rPr>
            </w:pPr>
            <w:r>
              <w:rPr>
                <w:rFonts w:hint="eastAsia"/>
                <w:szCs w:val="21"/>
              </w:rPr>
              <w:t>/</w:t>
            </w:r>
          </w:p>
        </w:tc>
        <w:tc>
          <w:tcPr>
            <w:tcW w:w="817" w:type="dxa"/>
            <w:tcBorders>
              <w:tl2br w:val="nil"/>
              <w:tr2bl w:val="nil"/>
            </w:tcBorders>
            <w:vAlign w:val="center"/>
          </w:tcPr>
          <w:p w14:paraId="72246563">
            <w:pPr>
              <w:pStyle w:val="228"/>
              <w:snapToGrid w:val="0"/>
              <w:rPr>
                <w:szCs w:val="21"/>
              </w:rPr>
            </w:pPr>
            <w:r>
              <w:rPr>
                <w:rFonts w:hint="eastAsia"/>
                <w:szCs w:val="21"/>
              </w:rPr>
              <w:t>--</w:t>
            </w:r>
          </w:p>
        </w:tc>
      </w:tr>
      <w:tr w14:paraId="6E238EDD">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332" w:hRule="atLeast"/>
          <w:jc w:val="center"/>
        </w:trPr>
        <w:tc>
          <w:tcPr>
            <w:tcW w:w="687" w:type="dxa"/>
            <w:vMerge w:val="continue"/>
            <w:tcBorders>
              <w:tl2br w:val="nil"/>
              <w:tr2bl w:val="nil"/>
            </w:tcBorders>
            <w:vAlign w:val="center"/>
          </w:tcPr>
          <w:p w14:paraId="6C57E28A">
            <w:pPr>
              <w:pStyle w:val="228"/>
              <w:snapToGrid w:val="0"/>
              <w:rPr>
                <w:szCs w:val="21"/>
              </w:rPr>
            </w:pPr>
          </w:p>
        </w:tc>
        <w:tc>
          <w:tcPr>
            <w:tcW w:w="1408" w:type="dxa"/>
            <w:tcBorders>
              <w:tl2br w:val="nil"/>
              <w:tr2bl w:val="nil"/>
            </w:tcBorders>
            <w:vAlign w:val="center"/>
          </w:tcPr>
          <w:p w14:paraId="029AC5A4">
            <w:pPr>
              <w:pStyle w:val="228"/>
              <w:snapToGrid w:val="0"/>
              <w:rPr>
                <w:szCs w:val="21"/>
              </w:rPr>
            </w:pPr>
            <w:r>
              <w:rPr>
                <w:szCs w:val="21"/>
              </w:rPr>
              <w:t>信息公开指标</w:t>
            </w:r>
          </w:p>
        </w:tc>
        <w:tc>
          <w:tcPr>
            <w:tcW w:w="5695" w:type="dxa"/>
            <w:gridSpan w:val="6"/>
            <w:tcBorders>
              <w:tl2br w:val="nil"/>
              <w:tr2bl w:val="nil"/>
            </w:tcBorders>
            <w:vAlign w:val="center"/>
          </w:tcPr>
          <w:p w14:paraId="069CE1A6">
            <w:pPr>
              <w:pStyle w:val="228"/>
              <w:snapToGrid w:val="0"/>
              <w:rPr>
                <w:szCs w:val="21"/>
              </w:rPr>
            </w:pPr>
            <w:r>
              <w:rPr>
                <w:rFonts w:hint="eastAsia"/>
                <w:szCs w:val="21"/>
              </w:rPr>
              <w:t>/</w:t>
            </w:r>
          </w:p>
        </w:tc>
        <w:tc>
          <w:tcPr>
            <w:tcW w:w="817" w:type="dxa"/>
            <w:tcBorders>
              <w:tl2br w:val="nil"/>
              <w:tr2bl w:val="nil"/>
            </w:tcBorders>
            <w:vAlign w:val="center"/>
          </w:tcPr>
          <w:p w14:paraId="4B895235">
            <w:pPr>
              <w:snapToGrid w:val="0"/>
              <w:jc w:val="center"/>
              <w:rPr>
                <w:szCs w:val="21"/>
              </w:rPr>
            </w:pPr>
            <w:r>
              <w:rPr>
                <w:rFonts w:hint="eastAsia"/>
                <w:szCs w:val="21"/>
              </w:rPr>
              <w:t>/</w:t>
            </w:r>
          </w:p>
        </w:tc>
      </w:tr>
      <w:tr w14:paraId="40A2D260">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90" w:hRule="atLeast"/>
          <w:jc w:val="center"/>
        </w:trPr>
        <w:tc>
          <w:tcPr>
            <w:tcW w:w="2096" w:type="dxa"/>
            <w:gridSpan w:val="2"/>
            <w:tcBorders>
              <w:tl2br w:val="nil"/>
              <w:tr2bl w:val="nil"/>
            </w:tcBorders>
            <w:vAlign w:val="center"/>
          </w:tcPr>
          <w:p w14:paraId="652C9A1C">
            <w:pPr>
              <w:pStyle w:val="228"/>
              <w:snapToGrid w:val="0"/>
              <w:rPr>
                <w:szCs w:val="21"/>
              </w:rPr>
            </w:pPr>
            <w:r>
              <w:rPr>
                <w:szCs w:val="21"/>
              </w:rPr>
              <w:t>评价结论</w:t>
            </w:r>
          </w:p>
        </w:tc>
        <w:tc>
          <w:tcPr>
            <w:tcW w:w="6512" w:type="dxa"/>
            <w:gridSpan w:val="7"/>
            <w:tcBorders>
              <w:tl2br w:val="nil"/>
              <w:tr2bl w:val="nil"/>
            </w:tcBorders>
            <w:vAlign w:val="center"/>
          </w:tcPr>
          <w:p w14:paraId="7B211EAD">
            <w:pPr>
              <w:pStyle w:val="228"/>
              <w:snapToGrid w:val="0"/>
              <w:rPr>
                <w:szCs w:val="21"/>
              </w:rPr>
            </w:pPr>
            <w:r>
              <w:rPr>
                <w:rFonts w:hint="eastAsia"/>
                <w:szCs w:val="21"/>
              </w:rPr>
              <w:t>采取环评提出的措施，影响可接受。-</w:t>
            </w:r>
          </w:p>
        </w:tc>
      </w:tr>
    </w:tbl>
    <w:p w14:paraId="416D8CB5">
      <w:pPr>
        <w:pStyle w:val="38"/>
      </w:pPr>
    </w:p>
    <w:p w14:paraId="22BBE1CF">
      <w:pPr>
        <w:pStyle w:val="4"/>
        <w:autoSpaceDE w:val="0"/>
        <w:autoSpaceDN w:val="0"/>
        <w:spacing w:before="0" w:after="0" w:line="360" w:lineRule="auto"/>
        <w:jc w:val="left"/>
        <w:rPr>
          <w:kern w:val="0"/>
          <w:sz w:val="24"/>
          <w:lang w:val="en-US" w:bidi="zh-CN"/>
        </w:rPr>
      </w:pPr>
      <w:r>
        <w:rPr>
          <w:rFonts w:hint="eastAsia"/>
          <w:kern w:val="0"/>
          <w:sz w:val="24"/>
          <w:lang w:val="en-US" w:bidi="zh-CN"/>
        </w:rPr>
        <w:t>5.2.7环境风险评价分析</w:t>
      </w:r>
    </w:p>
    <w:p w14:paraId="7AA93DD0">
      <w:pPr>
        <w:spacing w:line="360" w:lineRule="auto"/>
        <w:ind w:firstLine="480" w:firstLineChars="200"/>
        <w:rPr>
          <w:rFonts w:hint="eastAsia" w:ascii="宋体" w:hAnsi="宋体" w:eastAsia="宋体" w:cs="宋体"/>
          <w:color w:val="000000"/>
          <w:sz w:val="24"/>
          <w:szCs w:val="24"/>
          <w:lang w:val="en-US"/>
        </w:rPr>
      </w:pPr>
      <w:r>
        <w:rPr>
          <w:rFonts w:hint="eastAsia" w:ascii="宋体" w:hAnsi="宋体" w:eastAsia="宋体" w:cs="宋体"/>
          <w:color w:val="000000"/>
          <w:sz w:val="24"/>
          <w:szCs w:val="24"/>
          <w:lang w:val="en-US"/>
        </w:rPr>
        <w:t>本次风险评价以《建设项目环境风险评价技术导则》(HJ169-2018)为指导，对本项目进行风险识别、源项分析和风险影响分析，从环境风险源、扩散途径、保护目标三方面识别环境风险</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lang w:val="en-US"/>
        </w:rPr>
        <w:t>提出风险防范措施</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lang w:val="en-US"/>
        </w:rPr>
        <w:t>为环境管理提供资料和依据，达到降低危险的目的。</w:t>
      </w:r>
    </w:p>
    <w:p w14:paraId="1CD284D0">
      <w:pPr>
        <w:pStyle w:val="5"/>
        <w:rPr>
          <w:rFonts w:ascii="Times New Roman" w:hAnsi="Times New Roman"/>
          <w:color w:val="000000"/>
          <w:lang w:val="en-US"/>
        </w:rPr>
      </w:pPr>
      <w:r>
        <w:rPr>
          <w:rFonts w:hint="eastAsia" w:ascii="Times New Roman" w:hAnsi="Times New Roman"/>
          <w:color w:val="000000"/>
          <w:lang w:val="en-US"/>
        </w:rPr>
        <w:t>5.2.7.1</w:t>
      </w:r>
      <w:r>
        <w:rPr>
          <w:rFonts w:ascii="Times New Roman" w:hAnsi="Times New Roman"/>
          <w:color w:val="000000"/>
          <w:lang w:val="en-US"/>
        </w:rPr>
        <w:t>评价依据</w:t>
      </w:r>
    </w:p>
    <w:p w14:paraId="533DE565">
      <w:pPr>
        <w:widowControl/>
        <w:spacing w:line="360" w:lineRule="auto"/>
        <w:ind w:firstLine="480" w:firstLineChars="200"/>
        <w:rPr>
          <w:color w:val="000000"/>
        </w:rPr>
      </w:pPr>
      <w:r>
        <w:rPr>
          <w:rFonts w:hint="eastAsia"/>
          <w:color w:val="000000"/>
          <w:sz w:val="24"/>
        </w:rPr>
        <w:t>按照《建设项目环境风险评价技术导则》（</w:t>
      </w:r>
      <w:r>
        <w:rPr>
          <w:color w:val="000000"/>
          <w:sz w:val="24"/>
        </w:rPr>
        <w:t>HJ169-2018</w:t>
      </w:r>
      <w:r>
        <w:rPr>
          <w:rFonts w:hint="eastAsia"/>
          <w:color w:val="000000"/>
          <w:sz w:val="24"/>
        </w:rPr>
        <w:t>）的要求，环境风险评价应以突发性事故导致的危险物质环境急性损害防控为目标，对建设项目的环境风险进行分析、预测和评估，提出环境风险预防、控制、减缓措施，明确环境风险监控及应急要求，为建设项目环境风险防控提供科学依据。</w:t>
      </w:r>
    </w:p>
    <w:p w14:paraId="089638A0">
      <w:pPr>
        <w:pStyle w:val="5"/>
        <w:rPr>
          <w:rFonts w:ascii="Times New Roman" w:hAnsi="Times New Roman"/>
          <w:color w:val="000000"/>
          <w:lang w:val="en-US"/>
        </w:rPr>
      </w:pPr>
      <w:r>
        <w:rPr>
          <w:rFonts w:hint="eastAsia" w:ascii="Times New Roman" w:hAnsi="Times New Roman"/>
          <w:color w:val="000000"/>
          <w:lang w:val="en-US"/>
        </w:rPr>
        <w:t>5.2.7.2风险调查</w:t>
      </w:r>
    </w:p>
    <w:p w14:paraId="0606F8F1">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①风险物质</w:t>
      </w:r>
    </w:p>
    <w:p w14:paraId="472B3505">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本项目利用废旧地膜再生聚乙烯颗粒料生产滴灌带，滴灌带生产过程只需按照比例添加抗老化剂、黑色母料，项目生产过程不添加其他化学试剂。项目生产不涉及危险化学品的危险物质，项目主要事故风险为防治措施失效的污染物超排和火灾引发的次生污染，主要是环保设施运行异常、塑料火灾燃烧产生的有机物排放以及危废</w:t>
      </w:r>
      <w:r>
        <w:rPr>
          <w:rFonts w:hint="eastAsia" w:ascii="宋体" w:hAnsi="宋体" w:cs="宋体"/>
          <w:color w:val="000000"/>
          <w:sz w:val="24"/>
          <w:szCs w:val="24"/>
          <w:lang w:eastAsia="zh-CN"/>
        </w:rPr>
        <w:t>贮存点</w:t>
      </w:r>
      <w:r>
        <w:rPr>
          <w:rFonts w:hint="eastAsia" w:ascii="宋体" w:hAnsi="宋体" w:cs="宋体"/>
          <w:color w:val="000000"/>
          <w:sz w:val="24"/>
          <w:szCs w:val="24"/>
        </w:rPr>
        <w:t>的废润滑油等。</w:t>
      </w:r>
    </w:p>
    <w:p w14:paraId="23E4BD4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cs="宋体"/>
          <w:color w:val="000000"/>
          <w:sz w:val="24"/>
          <w:szCs w:val="24"/>
        </w:rPr>
      </w:pPr>
      <w:r>
        <w:rPr>
          <w:rFonts w:hint="eastAsia" w:ascii="宋体" w:hAnsi="宋体" w:cs="宋体"/>
          <w:color w:val="000000"/>
          <w:sz w:val="24"/>
          <w:szCs w:val="24"/>
        </w:rPr>
        <w:t>根据《危险化学品重大危险源辨识》（GB 18218-2018），将危险物质分为爆炸品、易燃气体、毒性气体、易燃液体、易于自燃的物质、遇水放出易燃气体的物质、氧化性物质、有机过氧化物、毒性物质共九大类。本项目原料、产品均不属于危险化学品，不涉及有毒有害物质，其中没有规定临界量，未列入重大危险源辨识的范围内。</w:t>
      </w:r>
    </w:p>
    <w:p w14:paraId="193DB55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cs="宋体"/>
          <w:color w:val="000000"/>
          <w:sz w:val="24"/>
          <w:szCs w:val="24"/>
        </w:rPr>
      </w:pPr>
      <w:r>
        <w:rPr>
          <w:rFonts w:hint="eastAsia" w:ascii="宋体" w:hAnsi="宋体" w:cs="宋体"/>
          <w:color w:val="000000"/>
          <w:sz w:val="24"/>
          <w:szCs w:val="24"/>
        </w:rPr>
        <w:t>项目使用的原料、生产的产品均属于可燃性物质，根据《建设项目环境风险评价技术导则》（HJ169-2018）附录B，项目原辅料、产品均不在附录B重点关注的危险物质及临界量表B.1突发环境事件风险物质及临界量中。</w:t>
      </w:r>
    </w:p>
    <w:p w14:paraId="6F62AA10">
      <w:pPr>
        <w:pStyle w:val="48"/>
        <w:keepNext w:val="0"/>
        <w:keepLines w:val="0"/>
        <w:pageBreakBefore w:val="0"/>
        <w:widowControl w:val="0"/>
        <w:tabs>
          <w:tab w:val="left" w:pos="420"/>
          <w:tab w:val="left" w:pos="870"/>
          <w:tab w:val="left" w:pos="3150"/>
        </w:tabs>
        <w:kinsoku/>
        <w:wordWrap/>
        <w:overflowPunct/>
        <w:topLinePunct w:val="0"/>
        <w:autoSpaceDE/>
        <w:autoSpaceDN/>
        <w:bidi w:val="0"/>
        <w:adjustRightInd/>
        <w:snapToGrid/>
        <w:spacing w:after="0" w:line="360" w:lineRule="auto"/>
        <w:ind w:left="0" w:leftChars="0" w:firstLine="480" w:firstLineChars="200"/>
        <w:textAlignment w:val="auto"/>
        <w:rPr>
          <w:rFonts w:hint="eastAsia" w:ascii="宋体" w:hAnsi="宋体" w:cs="宋体"/>
          <w:color w:val="000000"/>
          <w:sz w:val="24"/>
        </w:rPr>
      </w:pPr>
      <w:r>
        <w:rPr>
          <w:rFonts w:hint="eastAsia" w:ascii="宋体" w:hAnsi="宋体" w:cs="宋体"/>
          <w:color w:val="000000"/>
          <w:sz w:val="24"/>
        </w:rPr>
        <w:t>本项目所涉及主要环境风险物质为：废</w:t>
      </w:r>
      <w:r>
        <w:rPr>
          <w:rFonts w:hint="eastAsia" w:ascii="宋体" w:hAnsi="宋体" w:cs="宋体"/>
          <w:color w:val="000000"/>
          <w:sz w:val="24"/>
          <w:lang w:val="en-US"/>
        </w:rPr>
        <w:t>润滑油</w:t>
      </w:r>
      <w:r>
        <w:rPr>
          <w:rFonts w:hint="eastAsia" w:ascii="宋体" w:hAnsi="宋体" w:cs="宋体"/>
          <w:color w:val="000000"/>
          <w:sz w:val="24"/>
        </w:rPr>
        <w:t>。</w:t>
      </w:r>
    </w:p>
    <w:p w14:paraId="0ADEC19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废润滑油特性见表5.2-</w:t>
      </w:r>
      <w:r>
        <w:rPr>
          <w:rFonts w:hint="eastAsia" w:ascii="宋体" w:hAnsi="宋体" w:eastAsia="宋体" w:cs="宋体"/>
          <w:color w:val="000000"/>
          <w:sz w:val="24"/>
          <w:szCs w:val="24"/>
          <w:lang w:val="en-US" w:eastAsia="zh-CN"/>
        </w:rPr>
        <w:t>29</w:t>
      </w:r>
      <w:r>
        <w:rPr>
          <w:rFonts w:hint="eastAsia" w:ascii="宋体" w:hAnsi="宋体" w:eastAsia="宋体" w:cs="宋体"/>
          <w:color w:val="000000"/>
          <w:sz w:val="24"/>
          <w:szCs w:val="24"/>
        </w:rPr>
        <w:t>。</w:t>
      </w:r>
    </w:p>
    <w:p w14:paraId="7BED1934">
      <w:pPr>
        <w:jc w:val="center"/>
        <w:rPr>
          <w:b/>
          <w:bCs/>
          <w:color w:val="000000"/>
          <w:szCs w:val="21"/>
        </w:rPr>
      </w:pPr>
      <w:r>
        <w:rPr>
          <w:rFonts w:hint="eastAsia"/>
          <w:b/>
          <w:bCs/>
          <w:color w:val="000000"/>
          <w:szCs w:val="21"/>
        </w:rPr>
        <w:t>表5.2-</w:t>
      </w:r>
      <w:r>
        <w:rPr>
          <w:rFonts w:hint="eastAsia"/>
          <w:b/>
          <w:bCs/>
          <w:color w:val="000000"/>
          <w:szCs w:val="21"/>
          <w:lang w:val="en-US" w:eastAsia="zh-CN"/>
        </w:rPr>
        <w:t>29</w:t>
      </w:r>
      <w:r>
        <w:rPr>
          <w:rFonts w:hint="eastAsia"/>
          <w:b/>
          <w:bCs/>
          <w:color w:val="000000"/>
          <w:szCs w:val="21"/>
        </w:rPr>
        <w:t xml:space="preserve">   润滑油的理化性质及危险特性表</w:t>
      </w:r>
    </w:p>
    <w:tbl>
      <w:tblPr>
        <w:tblStyle w:val="49"/>
        <w:tblW w:w="8539"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864"/>
        <w:gridCol w:w="1455"/>
        <w:gridCol w:w="1125"/>
        <w:gridCol w:w="735"/>
        <w:gridCol w:w="410"/>
        <w:gridCol w:w="1249"/>
        <w:gridCol w:w="81"/>
        <w:gridCol w:w="1605"/>
        <w:gridCol w:w="1015"/>
      </w:tblGrid>
      <w:tr w14:paraId="2FC904E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864" w:type="dxa"/>
            <w:vMerge w:val="restart"/>
            <w:tcBorders>
              <w:tl2br w:val="nil"/>
              <w:tr2bl w:val="nil"/>
            </w:tcBorders>
            <w:vAlign w:val="center"/>
          </w:tcPr>
          <w:p w14:paraId="16DC65DC">
            <w:pPr>
              <w:pStyle w:val="240"/>
              <w:rPr>
                <w:rFonts w:hint="default"/>
              </w:rPr>
            </w:pPr>
            <w:r>
              <w:rPr>
                <w:rFonts w:hint="default"/>
              </w:rPr>
              <w:t>标识</w:t>
            </w:r>
          </w:p>
        </w:tc>
        <w:tc>
          <w:tcPr>
            <w:tcW w:w="1455" w:type="dxa"/>
            <w:tcBorders>
              <w:tl2br w:val="nil"/>
              <w:tr2bl w:val="nil"/>
            </w:tcBorders>
            <w:vAlign w:val="center"/>
          </w:tcPr>
          <w:p w14:paraId="2D46ECED">
            <w:pPr>
              <w:pStyle w:val="240"/>
              <w:rPr>
                <w:rFonts w:hint="default"/>
              </w:rPr>
            </w:pPr>
            <w:r>
              <w:rPr>
                <w:rFonts w:hint="default"/>
              </w:rPr>
              <w:t>中文名</w:t>
            </w:r>
          </w:p>
        </w:tc>
        <w:tc>
          <w:tcPr>
            <w:tcW w:w="1125" w:type="dxa"/>
            <w:tcBorders>
              <w:tl2br w:val="nil"/>
              <w:tr2bl w:val="nil"/>
            </w:tcBorders>
            <w:vAlign w:val="center"/>
          </w:tcPr>
          <w:p w14:paraId="73CC4F6F">
            <w:pPr>
              <w:pStyle w:val="240"/>
              <w:rPr>
                <w:rFonts w:hint="default"/>
              </w:rPr>
            </w:pPr>
            <w:r>
              <w:rPr>
                <w:rFonts w:hint="default"/>
              </w:rPr>
              <w:t>润滑油</w:t>
            </w:r>
          </w:p>
        </w:tc>
        <w:tc>
          <w:tcPr>
            <w:tcW w:w="735" w:type="dxa"/>
            <w:tcBorders>
              <w:tl2br w:val="nil"/>
              <w:tr2bl w:val="nil"/>
            </w:tcBorders>
            <w:vAlign w:val="center"/>
          </w:tcPr>
          <w:p w14:paraId="127C7C71">
            <w:pPr>
              <w:pStyle w:val="240"/>
              <w:rPr>
                <w:rFonts w:hint="default"/>
              </w:rPr>
            </w:pPr>
            <w:r>
              <w:rPr>
                <w:rFonts w:hint="default"/>
              </w:rPr>
              <w:t>英文名</w:t>
            </w:r>
          </w:p>
        </w:tc>
        <w:tc>
          <w:tcPr>
            <w:tcW w:w="1740" w:type="dxa"/>
            <w:gridSpan w:val="3"/>
            <w:tcBorders>
              <w:tl2br w:val="nil"/>
              <w:tr2bl w:val="nil"/>
            </w:tcBorders>
            <w:vAlign w:val="center"/>
          </w:tcPr>
          <w:p w14:paraId="1B022F9F">
            <w:pPr>
              <w:pStyle w:val="240"/>
              <w:rPr>
                <w:rFonts w:hint="default"/>
              </w:rPr>
            </w:pPr>
            <w:r>
              <w:rPr>
                <w:rFonts w:hint="default"/>
              </w:rPr>
              <w:t>lubricatingoil</w:t>
            </w:r>
          </w:p>
        </w:tc>
        <w:tc>
          <w:tcPr>
            <w:tcW w:w="1605" w:type="dxa"/>
            <w:tcBorders>
              <w:tl2br w:val="nil"/>
              <w:tr2bl w:val="nil"/>
            </w:tcBorders>
            <w:vAlign w:val="center"/>
          </w:tcPr>
          <w:p w14:paraId="436BD3EF">
            <w:pPr>
              <w:pStyle w:val="240"/>
              <w:rPr>
                <w:rFonts w:hint="default"/>
              </w:rPr>
            </w:pPr>
            <w:r>
              <w:rPr>
                <w:rFonts w:hint="default"/>
              </w:rPr>
              <w:t>危险货物编号</w:t>
            </w:r>
          </w:p>
        </w:tc>
        <w:tc>
          <w:tcPr>
            <w:tcW w:w="1015" w:type="dxa"/>
            <w:tcBorders>
              <w:tl2br w:val="nil"/>
              <w:tr2bl w:val="nil"/>
            </w:tcBorders>
            <w:vAlign w:val="center"/>
          </w:tcPr>
          <w:p w14:paraId="14680207">
            <w:pPr>
              <w:pStyle w:val="240"/>
              <w:rPr>
                <w:rFonts w:hint="default"/>
              </w:rPr>
            </w:pPr>
            <w:r>
              <w:rPr>
                <w:rFonts w:hint="default"/>
              </w:rPr>
              <w:t>--</w:t>
            </w:r>
          </w:p>
        </w:tc>
      </w:tr>
      <w:tr w14:paraId="2A906C4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864" w:type="dxa"/>
            <w:vMerge w:val="continue"/>
            <w:tcBorders>
              <w:tl2br w:val="nil"/>
              <w:tr2bl w:val="nil"/>
            </w:tcBorders>
            <w:vAlign w:val="center"/>
          </w:tcPr>
          <w:p w14:paraId="3CA929A0">
            <w:pPr>
              <w:pStyle w:val="240"/>
              <w:rPr>
                <w:rFonts w:hint="default"/>
              </w:rPr>
            </w:pPr>
          </w:p>
        </w:tc>
        <w:tc>
          <w:tcPr>
            <w:tcW w:w="1455" w:type="dxa"/>
            <w:tcBorders>
              <w:tl2br w:val="nil"/>
              <w:tr2bl w:val="nil"/>
            </w:tcBorders>
            <w:vAlign w:val="center"/>
          </w:tcPr>
          <w:p w14:paraId="42A844F1">
            <w:pPr>
              <w:pStyle w:val="240"/>
              <w:rPr>
                <w:rFonts w:hint="default"/>
              </w:rPr>
            </w:pPr>
            <w:r>
              <w:rPr>
                <w:rFonts w:hint="default"/>
              </w:rPr>
              <w:t>分子式</w:t>
            </w:r>
          </w:p>
        </w:tc>
        <w:tc>
          <w:tcPr>
            <w:tcW w:w="1125" w:type="dxa"/>
            <w:tcBorders>
              <w:tl2br w:val="nil"/>
              <w:tr2bl w:val="nil"/>
            </w:tcBorders>
            <w:vAlign w:val="center"/>
          </w:tcPr>
          <w:p w14:paraId="437AC777">
            <w:pPr>
              <w:pStyle w:val="240"/>
              <w:rPr>
                <w:rFonts w:hint="default"/>
              </w:rPr>
            </w:pPr>
            <w:r>
              <w:rPr>
                <w:rFonts w:hint="default"/>
              </w:rPr>
              <w:t>--</w:t>
            </w:r>
          </w:p>
        </w:tc>
        <w:tc>
          <w:tcPr>
            <w:tcW w:w="735" w:type="dxa"/>
            <w:tcBorders>
              <w:tl2br w:val="nil"/>
              <w:tr2bl w:val="nil"/>
            </w:tcBorders>
            <w:vAlign w:val="center"/>
          </w:tcPr>
          <w:p w14:paraId="44D3F506">
            <w:pPr>
              <w:pStyle w:val="240"/>
              <w:rPr>
                <w:rFonts w:hint="default"/>
              </w:rPr>
            </w:pPr>
            <w:r>
              <w:rPr>
                <w:rFonts w:hint="default"/>
              </w:rPr>
              <w:t>分子量</w:t>
            </w:r>
          </w:p>
        </w:tc>
        <w:tc>
          <w:tcPr>
            <w:tcW w:w="1740" w:type="dxa"/>
            <w:gridSpan w:val="3"/>
            <w:tcBorders>
              <w:tl2br w:val="nil"/>
              <w:tr2bl w:val="nil"/>
            </w:tcBorders>
            <w:vAlign w:val="center"/>
          </w:tcPr>
          <w:p w14:paraId="7BF7BAF0">
            <w:pPr>
              <w:pStyle w:val="240"/>
              <w:rPr>
                <w:rFonts w:hint="default"/>
              </w:rPr>
            </w:pPr>
            <w:r>
              <w:rPr>
                <w:rFonts w:hint="default"/>
              </w:rPr>
              <w:t>230～500</w:t>
            </w:r>
          </w:p>
        </w:tc>
        <w:tc>
          <w:tcPr>
            <w:tcW w:w="1605" w:type="dxa"/>
            <w:tcBorders>
              <w:tl2br w:val="nil"/>
              <w:tr2bl w:val="nil"/>
            </w:tcBorders>
            <w:vAlign w:val="center"/>
          </w:tcPr>
          <w:p w14:paraId="740B4768">
            <w:pPr>
              <w:pStyle w:val="240"/>
              <w:rPr>
                <w:rFonts w:hint="default"/>
              </w:rPr>
            </w:pPr>
            <w:r>
              <w:rPr>
                <w:rFonts w:hint="default"/>
              </w:rPr>
              <w:t>CAS 编号</w:t>
            </w:r>
          </w:p>
        </w:tc>
        <w:tc>
          <w:tcPr>
            <w:tcW w:w="1015" w:type="dxa"/>
            <w:tcBorders>
              <w:tl2br w:val="nil"/>
              <w:tr2bl w:val="nil"/>
            </w:tcBorders>
            <w:vAlign w:val="center"/>
          </w:tcPr>
          <w:p w14:paraId="3A5382AE">
            <w:pPr>
              <w:pStyle w:val="240"/>
              <w:rPr>
                <w:rFonts w:hint="default"/>
              </w:rPr>
            </w:pPr>
            <w:r>
              <w:rPr>
                <w:rFonts w:hint="default"/>
              </w:rPr>
              <w:t>--</w:t>
            </w:r>
          </w:p>
        </w:tc>
      </w:tr>
      <w:tr w14:paraId="496E18A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864" w:type="dxa"/>
            <w:vMerge w:val="continue"/>
            <w:tcBorders>
              <w:tl2br w:val="nil"/>
              <w:tr2bl w:val="nil"/>
            </w:tcBorders>
            <w:vAlign w:val="center"/>
          </w:tcPr>
          <w:p w14:paraId="03DA26B4">
            <w:pPr>
              <w:pStyle w:val="240"/>
              <w:rPr>
                <w:rFonts w:hint="default"/>
              </w:rPr>
            </w:pPr>
          </w:p>
        </w:tc>
        <w:tc>
          <w:tcPr>
            <w:tcW w:w="1455" w:type="dxa"/>
            <w:tcBorders>
              <w:tl2br w:val="nil"/>
              <w:tr2bl w:val="nil"/>
            </w:tcBorders>
            <w:vAlign w:val="center"/>
          </w:tcPr>
          <w:p w14:paraId="5AA80EB0">
            <w:pPr>
              <w:pStyle w:val="240"/>
              <w:rPr>
                <w:rFonts w:hint="default"/>
              </w:rPr>
            </w:pPr>
            <w:r>
              <w:rPr>
                <w:rFonts w:hint="default"/>
              </w:rPr>
              <w:t>危险类别</w:t>
            </w:r>
          </w:p>
        </w:tc>
        <w:tc>
          <w:tcPr>
            <w:tcW w:w="6220" w:type="dxa"/>
            <w:gridSpan w:val="7"/>
            <w:tcBorders>
              <w:tl2br w:val="nil"/>
              <w:tr2bl w:val="nil"/>
            </w:tcBorders>
            <w:vAlign w:val="center"/>
          </w:tcPr>
          <w:p w14:paraId="568434EE">
            <w:pPr>
              <w:pStyle w:val="240"/>
              <w:rPr>
                <w:rFonts w:hint="default"/>
              </w:rPr>
            </w:pPr>
            <w:r>
              <w:rPr>
                <w:rFonts w:hint="default"/>
              </w:rPr>
              <w:t>--</w:t>
            </w:r>
          </w:p>
        </w:tc>
      </w:tr>
      <w:tr w14:paraId="767F455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864" w:type="dxa"/>
            <w:vMerge w:val="restart"/>
            <w:tcBorders>
              <w:tl2br w:val="nil"/>
              <w:tr2bl w:val="nil"/>
            </w:tcBorders>
            <w:vAlign w:val="center"/>
          </w:tcPr>
          <w:p w14:paraId="2C559C09">
            <w:pPr>
              <w:pStyle w:val="240"/>
              <w:rPr>
                <w:rFonts w:hint="default"/>
              </w:rPr>
            </w:pPr>
            <w:r>
              <w:rPr>
                <w:rFonts w:hint="default"/>
              </w:rPr>
              <w:t>理化性质</w:t>
            </w:r>
          </w:p>
        </w:tc>
        <w:tc>
          <w:tcPr>
            <w:tcW w:w="1455" w:type="dxa"/>
            <w:tcBorders>
              <w:tl2br w:val="nil"/>
              <w:tr2bl w:val="nil"/>
            </w:tcBorders>
            <w:vAlign w:val="center"/>
          </w:tcPr>
          <w:p w14:paraId="7A83AF20">
            <w:pPr>
              <w:pStyle w:val="240"/>
              <w:rPr>
                <w:rFonts w:hint="default"/>
              </w:rPr>
            </w:pPr>
            <w:r>
              <w:rPr>
                <w:rFonts w:hint="default"/>
              </w:rPr>
              <w:t>性状</w:t>
            </w:r>
          </w:p>
        </w:tc>
        <w:tc>
          <w:tcPr>
            <w:tcW w:w="6220" w:type="dxa"/>
            <w:gridSpan w:val="7"/>
            <w:tcBorders>
              <w:tl2br w:val="nil"/>
              <w:tr2bl w:val="nil"/>
            </w:tcBorders>
            <w:vAlign w:val="center"/>
          </w:tcPr>
          <w:p w14:paraId="057EBCF3">
            <w:pPr>
              <w:pStyle w:val="240"/>
              <w:rPr>
                <w:rFonts w:hint="default"/>
              </w:rPr>
            </w:pPr>
            <w:r>
              <w:t>淡黄色粘稠液体</w:t>
            </w:r>
          </w:p>
        </w:tc>
      </w:tr>
      <w:tr w14:paraId="20C74E8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864" w:type="dxa"/>
            <w:vMerge w:val="continue"/>
            <w:tcBorders>
              <w:tl2br w:val="nil"/>
              <w:tr2bl w:val="nil"/>
            </w:tcBorders>
            <w:vAlign w:val="center"/>
          </w:tcPr>
          <w:p w14:paraId="41A71424">
            <w:pPr>
              <w:pStyle w:val="240"/>
              <w:rPr>
                <w:rFonts w:hint="default"/>
              </w:rPr>
            </w:pPr>
          </w:p>
        </w:tc>
        <w:tc>
          <w:tcPr>
            <w:tcW w:w="1455" w:type="dxa"/>
            <w:tcBorders>
              <w:tl2br w:val="nil"/>
              <w:tr2bl w:val="nil"/>
            </w:tcBorders>
            <w:vAlign w:val="center"/>
          </w:tcPr>
          <w:p w14:paraId="265325DF">
            <w:pPr>
              <w:pStyle w:val="240"/>
              <w:rPr>
                <w:rFonts w:hint="default"/>
              </w:rPr>
            </w:pPr>
            <w:r>
              <w:t>自然点</w:t>
            </w:r>
            <w:r>
              <w:rPr>
                <w:rFonts w:hint="default"/>
              </w:rPr>
              <w:t>（℃）</w:t>
            </w:r>
          </w:p>
        </w:tc>
        <w:tc>
          <w:tcPr>
            <w:tcW w:w="2270" w:type="dxa"/>
            <w:gridSpan w:val="3"/>
            <w:tcBorders>
              <w:tl2br w:val="nil"/>
              <w:tr2bl w:val="nil"/>
            </w:tcBorders>
            <w:vAlign w:val="center"/>
          </w:tcPr>
          <w:p w14:paraId="113348FE">
            <w:pPr>
              <w:pStyle w:val="240"/>
              <w:rPr>
                <w:rFonts w:hint="default"/>
              </w:rPr>
            </w:pPr>
            <w:r>
              <w:t>300-350</w:t>
            </w:r>
          </w:p>
        </w:tc>
        <w:tc>
          <w:tcPr>
            <w:tcW w:w="2935" w:type="dxa"/>
            <w:gridSpan w:val="3"/>
            <w:tcBorders>
              <w:tl2br w:val="nil"/>
              <w:tr2bl w:val="nil"/>
            </w:tcBorders>
            <w:vAlign w:val="center"/>
          </w:tcPr>
          <w:p w14:paraId="09C98753">
            <w:pPr>
              <w:pStyle w:val="240"/>
              <w:rPr>
                <w:rFonts w:hint="default"/>
              </w:rPr>
            </w:pPr>
            <w:r>
              <w:rPr>
                <w:rFonts w:hint="default"/>
              </w:rPr>
              <w:t>临界压力（Mpa）</w:t>
            </w:r>
          </w:p>
        </w:tc>
        <w:tc>
          <w:tcPr>
            <w:tcW w:w="1015" w:type="dxa"/>
            <w:tcBorders>
              <w:tl2br w:val="nil"/>
              <w:tr2bl w:val="nil"/>
            </w:tcBorders>
            <w:vAlign w:val="center"/>
          </w:tcPr>
          <w:p w14:paraId="7A34E53E">
            <w:pPr>
              <w:pStyle w:val="240"/>
              <w:rPr>
                <w:rFonts w:hint="default"/>
              </w:rPr>
            </w:pPr>
            <w:r>
              <w:rPr>
                <w:rFonts w:hint="default"/>
              </w:rPr>
              <w:t>--</w:t>
            </w:r>
          </w:p>
        </w:tc>
      </w:tr>
      <w:tr w14:paraId="6E4A03B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864" w:type="dxa"/>
            <w:vMerge w:val="continue"/>
            <w:tcBorders>
              <w:tl2br w:val="nil"/>
              <w:tr2bl w:val="nil"/>
            </w:tcBorders>
            <w:vAlign w:val="center"/>
          </w:tcPr>
          <w:p w14:paraId="2C8307E1">
            <w:pPr>
              <w:pStyle w:val="240"/>
              <w:rPr>
                <w:rFonts w:hint="default"/>
              </w:rPr>
            </w:pPr>
          </w:p>
        </w:tc>
        <w:tc>
          <w:tcPr>
            <w:tcW w:w="1455" w:type="dxa"/>
            <w:tcBorders>
              <w:tl2br w:val="nil"/>
              <w:tr2bl w:val="nil"/>
            </w:tcBorders>
            <w:vAlign w:val="center"/>
          </w:tcPr>
          <w:p w14:paraId="0748F9FA">
            <w:pPr>
              <w:pStyle w:val="240"/>
              <w:rPr>
                <w:rFonts w:hint="default"/>
              </w:rPr>
            </w:pPr>
            <w:r>
              <w:rPr>
                <w:rFonts w:hint="default"/>
              </w:rPr>
              <w:t>沸点（℃）</w:t>
            </w:r>
          </w:p>
        </w:tc>
        <w:tc>
          <w:tcPr>
            <w:tcW w:w="2270" w:type="dxa"/>
            <w:gridSpan w:val="3"/>
            <w:tcBorders>
              <w:tl2br w:val="nil"/>
              <w:tr2bl w:val="nil"/>
            </w:tcBorders>
            <w:vAlign w:val="center"/>
          </w:tcPr>
          <w:p w14:paraId="7F78FE96">
            <w:pPr>
              <w:pStyle w:val="240"/>
              <w:rPr>
                <w:rFonts w:hint="default"/>
              </w:rPr>
            </w:pPr>
            <w:r>
              <w:t>-252.8</w:t>
            </w:r>
          </w:p>
        </w:tc>
        <w:tc>
          <w:tcPr>
            <w:tcW w:w="2935" w:type="dxa"/>
            <w:gridSpan w:val="3"/>
            <w:tcBorders>
              <w:tl2br w:val="nil"/>
              <w:tr2bl w:val="nil"/>
            </w:tcBorders>
            <w:vAlign w:val="center"/>
          </w:tcPr>
          <w:p w14:paraId="10365E97">
            <w:pPr>
              <w:pStyle w:val="240"/>
              <w:rPr>
                <w:rFonts w:hint="default"/>
              </w:rPr>
            </w:pPr>
            <w:r>
              <w:rPr>
                <w:rFonts w:hint="default"/>
              </w:rPr>
              <w:t>相对密度（水＝1）</w:t>
            </w:r>
          </w:p>
        </w:tc>
        <w:tc>
          <w:tcPr>
            <w:tcW w:w="1015" w:type="dxa"/>
            <w:tcBorders>
              <w:tl2br w:val="nil"/>
              <w:tr2bl w:val="nil"/>
            </w:tcBorders>
            <w:vAlign w:val="center"/>
          </w:tcPr>
          <w:p w14:paraId="1BB30E00">
            <w:pPr>
              <w:pStyle w:val="240"/>
              <w:rPr>
                <w:rFonts w:hint="default"/>
              </w:rPr>
            </w:pPr>
            <w:r>
              <w:t>934.8</w:t>
            </w:r>
          </w:p>
        </w:tc>
      </w:tr>
      <w:tr w14:paraId="15CD61C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864" w:type="dxa"/>
            <w:vMerge w:val="continue"/>
            <w:tcBorders>
              <w:tl2br w:val="nil"/>
              <w:tr2bl w:val="nil"/>
            </w:tcBorders>
            <w:vAlign w:val="center"/>
          </w:tcPr>
          <w:p w14:paraId="6B7D9217">
            <w:pPr>
              <w:pStyle w:val="240"/>
              <w:rPr>
                <w:rFonts w:hint="default"/>
              </w:rPr>
            </w:pPr>
          </w:p>
        </w:tc>
        <w:tc>
          <w:tcPr>
            <w:tcW w:w="1455" w:type="dxa"/>
            <w:tcBorders>
              <w:tl2br w:val="nil"/>
              <w:tr2bl w:val="nil"/>
            </w:tcBorders>
            <w:vAlign w:val="center"/>
          </w:tcPr>
          <w:p w14:paraId="6A64351F">
            <w:pPr>
              <w:pStyle w:val="240"/>
              <w:rPr>
                <w:rFonts w:hint="default"/>
              </w:rPr>
            </w:pPr>
            <w:r>
              <w:rPr>
                <w:rFonts w:hint="default"/>
              </w:rPr>
              <w:t>饱和蒸汽压</w:t>
            </w:r>
          </w:p>
          <w:p w14:paraId="5CBFDC73">
            <w:pPr>
              <w:pStyle w:val="240"/>
              <w:rPr>
                <w:rFonts w:hint="default"/>
              </w:rPr>
            </w:pPr>
            <w:r>
              <w:rPr>
                <w:rFonts w:hint="default"/>
              </w:rPr>
              <w:t>（kpa）</w:t>
            </w:r>
          </w:p>
        </w:tc>
        <w:tc>
          <w:tcPr>
            <w:tcW w:w="2270" w:type="dxa"/>
            <w:gridSpan w:val="3"/>
            <w:tcBorders>
              <w:tl2br w:val="nil"/>
              <w:tr2bl w:val="nil"/>
            </w:tcBorders>
            <w:vAlign w:val="center"/>
          </w:tcPr>
          <w:p w14:paraId="44C6EDDC">
            <w:pPr>
              <w:pStyle w:val="240"/>
              <w:rPr>
                <w:rFonts w:hint="default"/>
              </w:rPr>
            </w:pPr>
            <w:r>
              <w:t>0.13（145.8</w:t>
            </w:r>
            <w:r>
              <w:rPr>
                <w:rFonts w:hint="default"/>
              </w:rPr>
              <w:t>℃</w:t>
            </w:r>
            <w:r>
              <w:t>）</w:t>
            </w:r>
          </w:p>
        </w:tc>
        <w:tc>
          <w:tcPr>
            <w:tcW w:w="2935" w:type="dxa"/>
            <w:gridSpan w:val="3"/>
            <w:tcBorders>
              <w:tl2br w:val="nil"/>
              <w:tr2bl w:val="nil"/>
            </w:tcBorders>
            <w:vAlign w:val="center"/>
          </w:tcPr>
          <w:p w14:paraId="4E29ADEA">
            <w:pPr>
              <w:pStyle w:val="240"/>
              <w:rPr>
                <w:rFonts w:hint="default"/>
              </w:rPr>
            </w:pPr>
            <w:r>
              <w:rPr>
                <w:rFonts w:hint="default"/>
              </w:rPr>
              <w:t>相对密度（空气＝1）</w:t>
            </w:r>
          </w:p>
        </w:tc>
        <w:tc>
          <w:tcPr>
            <w:tcW w:w="1015" w:type="dxa"/>
            <w:tcBorders>
              <w:tl2br w:val="nil"/>
              <w:tr2bl w:val="nil"/>
            </w:tcBorders>
            <w:vAlign w:val="center"/>
          </w:tcPr>
          <w:p w14:paraId="4A65F217">
            <w:pPr>
              <w:pStyle w:val="240"/>
              <w:rPr>
                <w:rFonts w:hint="default"/>
              </w:rPr>
            </w:pPr>
            <w:r>
              <w:t>0.85</w:t>
            </w:r>
          </w:p>
        </w:tc>
      </w:tr>
      <w:tr w14:paraId="5A5B990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864" w:type="dxa"/>
            <w:vMerge w:val="continue"/>
            <w:tcBorders>
              <w:tl2br w:val="nil"/>
              <w:tr2bl w:val="nil"/>
            </w:tcBorders>
            <w:vAlign w:val="center"/>
          </w:tcPr>
          <w:p w14:paraId="6A496333">
            <w:pPr>
              <w:pStyle w:val="240"/>
              <w:rPr>
                <w:rFonts w:hint="default"/>
              </w:rPr>
            </w:pPr>
          </w:p>
        </w:tc>
        <w:tc>
          <w:tcPr>
            <w:tcW w:w="1455" w:type="dxa"/>
            <w:tcBorders>
              <w:tl2br w:val="nil"/>
              <w:tr2bl w:val="nil"/>
            </w:tcBorders>
            <w:vAlign w:val="center"/>
          </w:tcPr>
          <w:p w14:paraId="7768F4B6">
            <w:pPr>
              <w:pStyle w:val="240"/>
              <w:rPr>
                <w:rFonts w:hint="default"/>
              </w:rPr>
            </w:pPr>
            <w:r>
              <w:rPr>
                <w:rFonts w:hint="default"/>
              </w:rPr>
              <w:t>临界温度（℃）</w:t>
            </w:r>
          </w:p>
        </w:tc>
        <w:tc>
          <w:tcPr>
            <w:tcW w:w="2270" w:type="dxa"/>
            <w:gridSpan w:val="3"/>
            <w:tcBorders>
              <w:tl2br w:val="nil"/>
              <w:tr2bl w:val="nil"/>
            </w:tcBorders>
            <w:vAlign w:val="center"/>
          </w:tcPr>
          <w:p w14:paraId="25B438D7">
            <w:pPr>
              <w:pStyle w:val="240"/>
              <w:rPr>
                <w:rFonts w:hint="default"/>
              </w:rPr>
            </w:pPr>
            <w:r>
              <w:rPr>
                <w:rFonts w:hint="default"/>
              </w:rPr>
              <w:t>--</w:t>
            </w:r>
          </w:p>
        </w:tc>
        <w:tc>
          <w:tcPr>
            <w:tcW w:w="2935" w:type="dxa"/>
            <w:gridSpan w:val="3"/>
            <w:tcBorders>
              <w:tl2br w:val="nil"/>
              <w:tr2bl w:val="nil"/>
            </w:tcBorders>
            <w:vAlign w:val="center"/>
          </w:tcPr>
          <w:p w14:paraId="4676DBF4">
            <w:pPr>
              <w:pStyle w:val="240"/>
              <w:rPr>
                <w:rFonts w:hint="default"/>
              </w:rPr>
            </w:pPr>
            <w:r>
              <w:rPr>
                <w:rFonts w:hint="default"/>
              </w:rPr>
              <w:t>燃烧热（KJ·mol</w:t>
            </w:r>
            <w:r>
              <w:rPr>
                <w:rFonts w:hint="default"/>
                <w:vertAlign w:val="superscript"/>
              </w:rPr>
              <w:t>-1</w:t>
            </w:r>
            <w:r>
              <w:rPr>
                <w:rFonts w:hint="default"/>
              </w:rPr>
              <w:t>）</w:t>
            </w:r>
          </w:p>
        </w:tc>
        <w:tc>
          <w:tcPr>
            <w:tcW w:w="1015" w:type="dxa"/>
            <w:tcBorders>
              <w:tl2br w:val="nil"/>
              <w:tr2bl w:val="nil"/>
            </w:tcBorders>
            <w:vAlign w:val="center"/>
          </w:tcPr>
          <w:p w14:paraId="4FA9241B">
            <w:pPr>
              <w:pStyle w:val="240"/>
              <w:rPr>
                <w:rFonts w:hint="default"/>
              </w:rPr>
            </w:pPr>
            <w:r>
              <w:rPr>
                <w:rFonts w:hint="default"/>
              </w:rPr>
              <w:t>--</w:t>
            </w:r>
          </w:p>
        </w:tc>
      </w:tr>
      <w:tr w14:paraId="408FDDC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864" w:type="dxa"/>
            <w:vMerge w:val="continue"/>
            <w:tcBorders>
              <w:tl2br w:val="nil"/>
              <w:tr2bl w:val="nil"/>
            </w:tcBorders>
            <w:vAlign w:val="center"/>
          </w:tcPr>
          <w:p w14:paraId="05BAA841">
            <w:pPr>
              <w:pStyle w:val="240"/>
              <w:rPr>
                <w:rFonts w:hint="default"/>
              </w:rPr>
            </w:pPr>
          </w:p>
        </w:tc>
        <w:tc>
          <w:tcPr>
            <w:tcW w:w="1455" w:type="dxa"/>
            <w:tcBorders>
              <w:tl2br w:val="nil"/>
              <w:tr2bl w:val="nil"/>
            </w:tcBorders>
            <w:vAlign w:val="center"/>
          </w:tcPr>
          <w:p w14:paraId="551A2C86">
            <w:pPr>
              <w:pStyle w:val="240"/>
              <w:rPr>
                <w:rFonts w:hint="default"/>
              </w:rPr>
            </w:pPr>
            <w:r>
              <w:rPr>
                <w:rFonts w:hint="default"/>
              </w:rPr>
              <w:t>溶解性</w:t>
            </w:r>
          </w:p>
        </w:tc>
        <w:tc>
          <w:tcPr>
            <w:tcW w:w="6220" w:type="dxa"/>
            <w:gridSpan w:val="7"/>
            <w:tcBorders>
              <w:tl2br w:val="nil"/>
              <w:tr2bl w:val="nil"/>
            </w:tcBorders>
            <w:vAlign w:val="center"/>
          </w:tcPr>
          <w:p w14:paraId="3310B542">
            <w:pPr>
              <w:pStyle w:val="240"/>
              <w:rPr>
                <w:rFonts w:hint="default"/>
              </w:rPr>
            </w:pPr>
            <w:r>
              <w:t>溶于苯、乙醇、乙醚、氯仿、丙酮等多数有机溶剂。</w:t>
            </w:r>
          </w:p>
        </w:tc>
      </w:tr>
      <w:tr w14:paraId="3E2F2D4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864" w:type="dxa"/>
            <w:vMerge w:val="restart"/>
            <w:tcBorders>
              <w:tl2br w:val="nil"/>
              <w:tr2bl w:val="nil"/>
            </w:tcBorders>
            <w:vAlign w:val="center"/>
          </w:tcPr>
          <w:p w14:paraId="34B48E1F">
            <w:pPr>
              <w:pStyle w:val="240"/>
              <w:rPr>
                <w:rFonts w:hint="default"/>
              </w:rPr>
            </w:pPr>
            <w:r>
              <w:rPr>
                <w:rFonts w:hint="default"/>
              </w:rPr>
              <w:t>燃烧爆炸危险性</w:t>
            </w:r>
          </w:p>
        </w:tc>
        <w:tc>
          <w:tcPr>
            <w:tcW w:w="1455" w:type="dxa"/>
            <w:tcBorders>
              <w:tl2br w:val="nil"/>
              <w:tr2bl w:val="nil"/>
            </w:tcBorders>
            <w:vAlign w:val="center"/>
          </w:tcPr>
          <w:p w14:paraId="706D3391">
            <w:pPr>
              <w:pStyle w:val="240"/>
              <w:rPr>
                <w:rFonts w:hint="default"/>
              </w:rPr>
            </w:pPr>
            <w:r>
              <w:rPr>
                <w:rFonts w:hint="default"/>
              </w:rPr>
              <w:t>燃烧性</w:t>
            </w:r>
          </w:p>
        </w:tc>
        <w:tc>
          <w:tcPr>
            <w:tcW w:w="2270" w:type="dxa"/>
            <w:gridSpan w:val="3"/>
            <w:tcBorders>
              <w:tl2br w:val="nil"/>
              <w:tr2bl w:val="nil"/>
            </w:tcBorders>
            <w:vAlign w:val="center"/>
          </w:tcPr>
          <w:p w14:paraId="28CE6EB2">
            <w:pPr>
              <w:pStyle w:val="240"/>
              <w:rPr>
                <w:rFonts w:hint="default"/>
              </w:rPr>
            </w:pPr>
            <w:r>
              <w:rPr>
                <w:rFonts w:hint="default"/>
              </w:rPr>
              <w:t>可燃</w:t>
            </w:r>
          </w:p>
        </w:tc>
        <w:tc>
          <w:tcPr>
            <w:tcW w:w="2935" w:type="dxa"/>
            <w:gridSpan w:val="3"/>
            <w:tcBorders>
              <w:tl2br w:val="nil"/>
              <w:tr2bl w:val="nil"/>
            </w:tcBorders>
            <w:vAlign w:val="center"/>
          </w:tcPr>
          <w:p w14:paraId="598B4900">
            <w:pPr>
              <w:pStyle w:val="240"/>
              <w:rPr>
                <w:rFonts w:hint="default"/>
              </w:rPr>
            </w:pPr>
            <w:r>
              <w:rPr>
                <w:rFonts w:hint="default"/>
              </w:rPr>
              <w:t>闪点（℃）</w:t>
            </w:r>
          </w:p>
        </w:tc>
        <w:tc>
          <w:tcPr>
            <w:tcW w:w="1015" w:type="dxa"/>
            <w:tcBorders>
              <w:tl2br w:val="nil"/>
              <w:tr2bl w:val="nil"/>
            </w:tcBorders>
            <w:vAlign w:val="center"/>
          </w:tcPr>
          <w:p w14:paraId="46152161">
            <w:pPr>
              <w:pStyle w:val="240"/>
              <w:rPr>
                <w:rFonts w:hint="default"/>
              </w:rPr>
            </w:pPr>
            <w:r>
              <w:t>120-340</w:t>
            </w:r>
          </w:p>
        </w:tc>
      </w:tr>
      <w:tr w14:paraId="57911E2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864" w:type="dxa"/>
            <w:vMerge w:val="continue"/>
            <w:tcBorders>
              <w:tl2br w:val="nil"/>
              <w:tr2bl w:val="nil"/>
            </w:tcBorders>
            <w:vAlign w:val="center"/>
          </w:tcPr>
          <w:p w14:paraId="3BCAAB0F">
            <w:pPr>
              <w:pStyle w:val="240"/>
              <w:rPr>
                <w:rFonts w:hint="default"/>
              </w:rPr>
            </w:pPr>
          </w:p>
        </w:tc>
        <w:tc>
          <w:tcPr>
            <w:tcW w:w="1455" w:type="dxa"/>
            <w:tcBorders>
              <w:tl2br w:val="nil"/>
              <w:tr2bl w:val="nil"/>
            </w:tcBorders>
            <w:vAlign w:val="center"/>
          </w:tcPr>
          <w:p w14:paraId="25248CEA">
            <w:pPr>
              <w:pStyle w:val="240"/>
              <w:rPr>
                <w:rFonts w:hint="default"/>
              </w:rPr>
            </w:pPr>
            <w:r>
              <w:rPr>
                <w:rFonts w:hint="default"/>
              </w:rPr>
              <w:t>危险特性</w:t>
            </w:r>
          </w:p>
        </w:tc>
        <w:tc>
          <w:tcPr>
            <w:tcW w:w="6220" w:type="dxa"/>
            <w:gridSpan w:val="7"/>
            <w:tcBorders>
              <w:tl2br w:val="nil"/>
              <w:tr2bl w:val="nil"/>
            </w:tcBorders>
            <w:vAlign w:val="center"/>
          </w:tcPr>
          <w:p w14:paraId="2E2D5ABC">
            <w:pPr>
              <w:pStyle w:val="240"/>
              <w:rPr>
                <w:rFonts w:hint="default"/>
              </w:rPr>
            </w:pPr>
            <w:r>
              <w:t>可燃液体，火灾危险性为丙B类；遇明火、高热可燃</w:t>
            </w:r>
            <w:r>
              <w:rPr>
                <w:rFonts w:hint="default"/>
              </w:rPr>
              <w:t>。</w:t>
            </w:r>
          </w:p>
        </w:tc>
      </w:tr>
      <w:tr w14:paraId="12CA30A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864" w:type="dxa"/>
            <w:vMerge w:val="continue"/>
            <w:tcBorders>
              <w:tl2br w:val="nil"/>
              <w:tr2bl w:val="nil"/>
            </w:tcBorders>
            <w:vAlign w:val="center"/>
          </w:tcPr>
          <w:p w14:paraId="7506E17A">
            <w:pPr>
              <w:pStyle w:val="240"/>
              <w:rPr>
                <w:rFonts w:hint="default"/>
              </w:rPr>
            </w:pPr>
          </w:p>
        </w:tc>
        <w:tc>
          <w:tcPr>
            <w:tcW w:w="1455" w:type="dxa"/>
            <w:tcBorders>
              <w:tl2br w:val="nil"/>
              <w:tr2bl w:val="nil"/>
            </w:tcBorders>
            <w:vAlign w:val="center"/>
          </w:tcPr>
          <w:p w14:paraId="5DA13B6A">
            <w:pPr>
              <w:pStyle w:val="240"/>
              <w:rPr>
                <w:rFonts w:hint="default"/>
              </w:rPr>
            </w:pPr>
          </w:p>
          <w:p w14:paraId="60A04591">
            <w:pPr>
              <w:pStyle w:val="240"/>
              <w:rPr>
                <w:rFonts w:hint="default"/>
              </w:rPr>
            </w:pPr>
            <w:r>
              <w:rPr>
                <w:rFonts w:hint="default"/>
              </w:rPr>
              <w:t>灭火方法</w:t>
            </w:r>
          </w:p>
        </w:tc>
        <w:tc>
          <w:tcPr>
            <w:tcW w:w="6220" w:type="dxa"/>
            <w:gridSpan w:val="7"/>
            <w:tcBorders>
              <w:tl2br w:val="nil"/>
              <w:tr2bl w:val="nil"/>
            </w:tcBorders>
            <w:vAlign w:val="center"/>
          </w:tcPr>
          <w:p w14:paraId="3D9894B2">
            <w:pPr>
              <w:pStyle w:val="240"/>
              <w:jc w:val="left"/>
              <w:rPr>
                <w:rFonts w:hint="default"/>
              </w:rPr>
            </w:pPr>
            <w:r>
              <w:rPr>
                <w:rFonts w:hint="default"/>
              </w:rPr>
              <w:t>消防人员须佩戴防毒面具、穿全身消防服，在上风向灭火。尽可能将容器从火场移至空旷处。喷水保持火场容器冷却，直至灭火结束。处在火场中的容器若已变色或从安全泄压装置中产生声音，必须马上撤离。</w:t>
            </w:r>
          </w:p>
        </w:tc>
      </w:tr>
      <w:tr w14:paraId="3E45D0A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864" w:type="dxa"/>
            <w:vMerge w:val="continue"/>
            <w:tcBorders>
              <w:tl2br w:val="nil"/>
              <w:tr2bl w:val="nil"/>
            </w:tcBorders>
            <w:vAlign w:val="center"/>
          </w:tcPr>
          <w:p w14:paraId="4752AAC7">
            <w:pPr>
              <w:pStyle w:val="240"/>
              <w:rPr>
                <w:rFonts w:hint="default"/>
              </w:rPr>
            </w:pPr>
          </w:p>
        </w:tc>
        <w:tc>
          <w:tcPr>
            <w:tcW w:w="1455" w:type="dxa"/>
            <w:tcBorders>
              <w:tl2br w:val="nil"/>
              <w:tr2bl w:val="nil"/>
            </w:tcBorders>
            <w:vAlign w:val="center"/>
          </w:tcPr>
          <w:p w14:paraId="45E8077A">
            <w:pPr>
              <w:pStyle w:val="240"/>
              <w:rPr>
                <w:rFonts w:hint="default"/>
              </w:rPr>
            </w:pPr>
            <w:r>
              <w:rPr>
                <w:rFonts w:hint="default"/>
              </w:rPr>
              <w:t>灭火剂</w:t>
            </w:r>
          </w:p>
        </w:tc>
        <w:tc>
          <w:tcPr>
            <w:tcW w:w="6220" w:type="dxa"/>
            <w:gridSpan w:val="7"/>
            <w:tcBorders>
              <w:tl2br w:val="nil"/>
              <w:tr2bl w:val="nil"/>
            </w:tcBorders>
            <w:vAlign w:val="center"/>
          </w:tcPr>
          <w:p w14:paraId="28090F8F">
            <w:pPr>
              <w:pStyle w:val="240"/>
              <w:jc w:val="left"/>
              <w:rPr>
                <w:rFonts w:hint="default"/>
              </w:rPr>
            </w:pPr>
            <w:r>
              <w:rPr>
                <w:rFonts w:hint="default"/>
              </w:rPr>
              <w:t>雾状水、泡沫、干粉、二氧化碳、砂土。</w:t>
            </w:r>
          </w:p>
        </w:tc>
      </w:tr>
      <w:tr w14:paraId="4E2E914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864" w:type="dxa"/>
            <w:vMerge w:val="continue"/>
            <w:tcBorders>
              <w:tl2br w:val="nil"/>
              <w:tr2bl w:val="nil"/>
            </w:tcBorders>
            <w:vAlign w:val="center"/>
          </w:tcPr>
          <w:p w14:paraId="69928C6F">
            <w:pPr>
              <w:pStyle w:val="240"/>
              <w:rPr>
                <w:rFonts w:hint="default"/>
              </w:rPr>
            </w:pPr>
          </w:p>
        </w:tc>
        <w:tc>
          <w:tcPr>
            <w:tcW w:w="1455" w:type="dxa"/>
            <w:tcBorders>
              <w:tl2br w:val="nil"/>
              <w:tr2bl w:val="nil"/>
            </w:tcBorders>
            <w:vAlign w:val="center"/>
          </w:tcPr>
          <w:p w14:paraId="3B69B68A">
            <w:pPr>
              <w:pStyle w:val="240"/>
              <w:rPr>
                <w:rFonts w:hint="default"/>
              </w:rPr>
            </w:pPr>
            <w:r>
              <w:rPr>
                <w:rFonts w:hint="default"/>
              </w:rPr>
              <w:t>禁忌物</w:t>
            </w:r>
          </w:p>
        </w:tc>
        <w:tc>
          <w:tcPr>
            <w:tcW w:w="3519" w:type="dxa"/>
            <w:gridSpan w:val="4"/>
            <w:tcBorders>
              <w:tl2br w:val="nil"/>
              <w:tr2bl w:val="nil"/>
            </w:tcBorders>
            <w:vAlign w:val="center"/>
          </w:tcPr>
          <w:p w14:paraId="26716DE1">
            <w:pPr>
              <w:pStyle w:val="240"/>
              <w:rPr>
                <w:rFonts w:hint="default"/>
              </w:rPr>
            </w:pPr>
            <w:r>
              <w:t>硝酸等强氧化剂</w:t>
            </w:r>
          </w:p>
        </w:tc>
        <w:tc>
          <w:tcPr>
            <w:tcW w:w="1686" w:type="dxa"/>
            <w:gridSpan w:val="2"/>
            <w:tcBorders>
              <w:tl2br w:val="nil"/>
              <w:tr2bl w:val="nil"/>
            </w:tcBorders>
            <w:vAlign w:val="center"/>
          </w:tcPr>
          <w:p w14:paraId="782F574F">
            <w:pPr>
              <w:pStyle w:val="240"/>
              <w:rPr>
                <w:rFonts w:hint="default"/>
              </w:rPr>
            </w:pPr>
            <w:r>
              <w:rPr>
                <w:rFonts w:hint="default"/>
              </w:rPr>
              <w:t>稳定性</w:t>
            </w:r>
          </w:p>
        </w:tc>
        <w:tc>
          <w:tcPr>
            <w:tcW w:w="1015" w:type="dxa"/>
            <w:tcBorders>
              <w:tl2br w:val="nil"/>
              <w:tr2bl w:val="nil"/>
            </w:tcBorders>
            <w:vAlign w:val="center"/>
          </w:tcPr>
          <w:p w14:paraId="4633293E">
            <w:pPr>
              <w:pStyle w:val="240"/>
              <w:rPr>
                <w:rFonts w:hint="default"/>
              </w:rPr>
            </w:pPr>
            <w:r>
              <w:rPr>
                <w:rFonts w:hint="default"/>
              </w:rPr>
              <w:t>稳定</w:t>
            </w:r>
          </w:p>
        </w:tc>
      </w:tr>
      <w:tr w14:paraId="3B8BFBA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864" w:type="dxa"/>
            <w:vMerge w:val="continue"/>
            <w:tcBorders>
              <w:tl2br w:val="nil"/>
              <w:tr2bl w:val="nil"/>
            </w:tcBorders>
            <w:vAlign w:val="center"/>
          </w:tcPr>
          <w:p w14:paraId="4189EE00">
            <w:pPr>
              <w:pStyle w:val="240"/>
              <w:rPr>
                <w:rFonts w:hint="default"/>
              </w:rPr>
            </w:pPr>
          </w:p>
        </w:tc>
        <w:tc>
          <w:tcPr>
            <w:tcW w:w="1455" w:type="dxa"/>
            <w:tcBorders>
              <w:tl2br w:val="nil"/>
              <w:tr2bl w:val="nil"/>
            </w:tcBorders>
            <w:vAlign w:val="center"/>
          </w:tcPr>
          <w:p w14:paraId="33BE9734">
            <w:pPr>
              <w:pStyle w:val="240"/>
              <w:rPr>
                <w:rFonts w:hint="default"/>
              </w:rPr>
            </w:pPr>
            <w:r>
              <w:rPr>
                <w:rFonts w:hint="default"/>
              </w:rPr>
              <w:t>燃烧</w:t>
            </w:r>
            <w:r>
              <w:t>分解</w:t>
            </w:r>
            <w:r>
              <w:rPr>
                <w:rFonts w:hint="default"/>
              </w:rPr>
              <w:t>产物</w:t>
            </w:r>
          </w:p>
        </w:tc>
        <w:tc>
          <w:tcPr>
            <w:tcW w:w="3519" w:type="dxa"/>
            <w:gridSpan w:val="4"/>
            <w:tcBorders>
              <w:tl2br w:val="nil"/>
              <w:tr2bl w:val="nil"/>
            </w:tcBorders>
            <w:vAlign w:val="center"/>
          </w:tcPr>
          <w:p w14:paraId="52682E25">
            <w:pPr>
              <w:pStyle w:val="240"/>
              <w:rPr>
                <w:rFonts w:hint="default"/>
              </w:rPr>
            </w:pPr>
            <w:r>
              <w:rPr>
                <w:rFonts w:hint="default"/>
              </w:rPr>
              <w:t>一氧化碳、二氧化碳</w:t>
            </w:r>
          </w:p>
        </w:tc>
        <w:tc>
          <w:tcPr>
            <w:tcW w:w="1686" w:type="dxa"/>
            <w:gridSpan w:val="2"/>
            <w:tcBorders>
              <w:tl2br w:val="nil"/>
              <w:tr2bl w:val="nil"/>
            </w:tcBorders>
            <w:vAlign w:val="center"/>
          </w:tcPr>
          <w:p w14:paraId="6C5D1A05">
            <w:pPr>
              <w:pStyle w:val="240"/>
              <w:rPr>
                <w:rFonts w:hint="default"/>
              </w:rPr>
            </w:pPr>
            <w:r>
              <w:rPr>
                <w:rFonts w:hint="default"/>
              </w:rPr>
              <w:t>聚合危害</w:t>
            </w:r>
          </w:p>
        </w:tc>
        <w:tc>
          <w:tcPr>
            <w:tcW w:w="1015" w:type="dxa"/>
            <w:tcBorders>
              <w:tl2br w:val="nil"/>
              <w:tr2bl w:val="nil"/>
            </w:tcBorders>
            <w:vAlign w:val="center"/>
          </w:tcPr>
          <w:p w14:paraId="4C589EA5">
            <w:pPr>
              <w:pStyle w:val="240"/>
              <w:rPr>
                <w:rFonts w:hint="default"/>
              </w:rPr>
            </w:pPr>
            <w:r>
              <w:t>--</w:t>
            </w:r>
          </w:p>
        </w:tc>
      </w:tr>
      <w:tr w14:paraId="5925108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864" w:type="dxa"/>
            <w:vMerge w:val="restart"/>
            <w:tcBorders>
              <w:tl2br w:val="nil"/>
              <w:tr2bl w:val="nil"/>
            </w:tcBorders>
            <w:vAlign w:val="center"/>
          </w:tcPr>
          <w:p w14:paraId="57AD0A9F">
            <w:pPr>
              <w:pStyle w:val="240"/>
              <w:rPr>
                <w:rFonts w:hint="default"/>
              </w:rPr>
            </w:pPr>
            <w:r>
              <w:rPr>
                <w:rFonts w:hint="default"/>
              </w:rPr>
              <w:t>毒性及健康危害</w:t>
            </w:r>
          </w:p>
        </w:tc>
        <w:tc>
          <w:tcPr>
            <w:tcW w:w="1455" w:type="dxa"/>
            <w:tcBorders>
              <w:tl2br w:val="nil"/>
              <w:tr2bl w:val="nil"/>
            </w:tcBorders>
            <w:vAlign w:val="center"/>
          </w:tcPr>
          <w:p w14:paraId="4C3919B1">
            <w:pPr>
              <w:pStyle w:val="240"/>
              <w:rPr>
                <w:rFonts w:hint="default"/>
              </w:rPr>
            </w:pPr>
            <w:r>
              <w:rPr>
                <w:rFonts w:hint="default"/>
              </w:rPr>
              <w:t>急性毒性</w:t>
            </w:r>
          </w:p>
        </w:tc>
        <w:tc>
          <w:tcPr>
            <w:tcW w:w="6220" w:type="dxa"/>
            <w:gridSpan w:val="7"/>
            <w:tcBorders>
              <w:tl2br w:val="nil"/>
              <w:tr2bl w:val="nil"/>
            </w:tcBorders>
            <w:vAlign w:val="center"/>
          </w:tcPr>
          <w:p w14:paraId="2675377D">
            <w:pPr>
              <w:pStyle w:val="240"/>
              <w:rPr>
                <w:rFonts w:hint="default"/>
              </w:rPr>
            </w:pPr>
            <w:r>
              <w:rPr>
                <w:rFonts w:hint="default"/>
              </w:rPr>
              <w:t>LD</w:t>
            </w:r>
            <w:r>
              <w:rPr>
                <w:rFonts w:hint="default"/>
                <w:vertAlign w:val="subscript"/>
              </w:rPr>
              <w:t>50</w:t>
            </w:r>
            <w:r>
              <w:rPr>
                <w:rFonts w:hint="default"/>
              </w:rPr>
              <w:t>（mg/kg，大鼠经口）：无资料</w:t>
            </w:r>
            <w:r>
              <w:t xml:space="preserve">  </w:t>
            </w:r>
            <w:r>
              <w:rPr>
                <w:rFonts w:hint="default"/>
              </w:rPr>
              <w:t>LC</w:t>
            </w:r>
            <w:r>
              <w:rPr>
                <w:rFonts w:hint="default"/>
                <w:vertAlign w:val="subscript"/>
              </w:rPr>
              <w:t>50</w:t>
            </w:r>
            <w:r>
              <w:rPr>
                <w:rFonts w:hint="default"/>
              </w:rPr>
              <w:t>（mg/kg）：无资料</w:t>
            </w:r>
          </w:p>
        </w:tc>
      </w:tr>
      <w:tr w14:paraId="6632018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864" w:type="dxa"/>
            <w:vMerge w:val="continue"/>
            <w:tcBorders>
              <w:tl2br w:val="nil"/>
              <w:tr2bl w:val="nil"/>
            </w:tcBorders>
            <w:vAlign w:val="center"/>
          </w:tcPr>
          <w:p w14:paraId="6A6A391E">
            <w:pPr>
              <w:pStyle w:val="240"/>
              <w:rPr>
                <w:rFonts w:hint="default"/>
              </w:rPr>
            </w:pPr>
          </w:p>
        </w:tc>
        <w:tc>
          <w:tcPr>
            <w:tcW w:w="1455" w:type="dxa"/>
            <w:tcBorders>
              <w:tl2br w:val="nil"/>
              <w:tr2bl w:val="nil"/>
            </w:tcBorders>
            <w:vAlign w:val="center"/>
          </w:tcPr>
          <w:p w14:paraId="40391CA9">
            <w:pPr>
              <w:pStyle w:val="240"/>
              <w:rPr>
                <w:rFonts w:hint="default"/>
              </w:rPr>
            </w:pPr>
            <w:r>
              <w:rPr>
                <w:rFonts w:hint="default"/>
              </w:rPr>
              <w:t>侵入途径</w:t>
            </w:r>
          </w:p>
        </w:tc>
        <w:tc>
          <w:tcPr>
            <w:tcW w:w="6220" w:type="dxa"/>
            <w:gridSpan w:val="7"/>
            <w:tcBorders>
              <w:tl2br w:val="nil"/>
              <w:tr2bl w:val="nil"/>
            </w:tcBorders>
            <w:vAlign w:val="center"/>
          </w:tcPr>
          <w:p w14:paraId="45476377">
            <w:pPr>
              <w:pStyle w:val="240"/>
              <w:jc w:val="left"/>
              <w:rPr>
                <w:rFonts w:hint="default"/>
              </w:rPr>
            </w:pPr>
            <w:r>
              <w:rPr>
                <w:rFonts w:hint="default"/>
              </w:rPr>
              <w:t>吸入、食入；</w:t>
            </w:r>
          </w:p>
        </w:tc>
      </w:tr>
      <w:tr w14:paraId="3619EF1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864" w:type="dxa"/>
            <w:vMerge w:val="continue"/>
            <w:tcBorders>
              <w:tl2br w:val="nil"/>
              <w:tr2bl w:val="nil"/>
            </w:tcBorders>
            <w:vAlign w:val="center"/>
          </w:tcPr>
          <w:p w14:paraId="24763B8F">
            <w:pPr>
              <w:pStyle w:val="240"/>
              <w:rPr>
                <w:rFonts w:hint="default"/>
              </w:rPr>
            </w:pPr>
          </w:p>
        </w:tc>
        <w:tc>
          <w:tcPr>
            <w:tcW w:w="1455" w:type="dxa"/>
            <w:tcBorders>
              <w:tl2br w:val="nil"/>
              <w:tr2bl w:val="nil"/>
            </w:tcBorders>
            <w:vAlign w:val="center"/>
          </w:tcPr>
          <w:p w14:paraId="4050C059">
            <w:pPr>
              <w:pStyle w:val="240"/>
              <w:rPr>
                <w:rFonts w:hint="default"/>
              </w:rPr>
            </w:pPr>
            <w:r>
              <w:rPr>
                <w:rFonts w:hint="default"/>
              </w:rPr>
              <w:t>健康危害</w:t>
            </w:r>
          </w:p>
        </w:tc>
        <w:tc>
          <w:tcPr>
            <w:tcW w:w="6220" w:type="dxa"/>
            <w:gridSpan w:val="7"/>
            <w:tcBorders>
              <w:tl2br w:val="nil"/>
              <w:tr2bl w:val="nil"/>
            </w:tcBorders>
            <w:vAlign w:val="center"/>
          </w:tcPr>
          <w:p w14:paraId="1E9E66AF">
            <w:pPr>
              <w:pStyle w:val="240"/>
              <w:jc w:val="left"/>
              <w:rPr>
                <w:rFonts w:hint="default"/>
              </w:rPr>
            </w:pPr>
            <w:r>
              <w:rPr>
                <w:rFonts w:hint="default"/>
              </w:rPr>
              <w:t>急性吸入，可出现乏力、头晕、头痛、恶心，严重者可引起油脂性肺炎慢接触者，暴露部位可发生油性痤疮和接触性皮炎。可引起神经衰弱综合征，呼吸道和眼</w:t>
            </w:r>
            <w:r>
              <w:rPr>
                <w:rFonts w:hint="eastAsia"/>
                <w:lang w:eastAsia="zh-CN"/>
              </w:rPr>
              <w:t>刺激征</w:t>
            </w:r>
            <w:r>
              <w:rPr>
                <w:rFonts w:hint="default"/>
              </w:rPr>
              <w:t>状及慢性油脂性肺炎。有资料报道，接触石油润滑油类的工人，有致癌的病例报告。</w:t>
            </w:r>
          </w:p>
        </w:tc>
      </w:tr>
      <w:tr w14:paraId="19738A1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864" w:type="dxa"/>
            <w:tcBorders>
              <w:tl2br w:val="nil"/>
              <w:tr2bl w:val="nil"/>
            </w:tcBorders>
            <w:vAlign w:val="center"/>
          </w:tcPr>
          <w:p w14:paraId="24220762">
            <w:pPr>
              <w:pStyle w:val="240"/>
              <w:rPr>
                <w:rFonts w:hint="default"/>
              </w:rPr>
            </w:pPr>
            <w:r>
              <w:rPr>
                <w:rFonts w:hint="default"/>
              </w:rPr>
              <w:t>急救</w:t>
            </w:r>
          </w:p>
        </w:tc>
        <w:tc>
          <w:tcPr>
            <w:tcW w:w="7675" w:type="dxa"/>
            <w:gridSpan w:val="8"/>
            <w:tcBorders>
              <w:tl2br w:val="nil"/>
              <w:tr2bl w:val="nil"/>
            </w:tcBorders>
            <w:vAlign w:val="center"/>
          </w:tcPr>
          <w:p w14:paraId="5A665A3E">
            <w:pPr>
              <w:pStyle w:val="240"/>
              <w:jc w:val="left"/>
              <w:rPr>
                <w:rFonts w:hint="default"/>
              </w:rPr>
            </w:pPr>
            <w:r>
              <w:rPr>
                <w:rFonts w:hint="default"/>
              </w:rPr>
              <w:t>皮肤接触：立即脱去被污染的衣着，用大量清水冲洗；</w:t>
            </w:r>
          </w:p>
          <w:p w14:paraId="0037FCFC">
            <w:pPr>
              <w:pStyle w:val="240"/>
              <w:jc w:val="left"/>
              <w:rPr>
                <w:rFonts w:hint="default"/>
              </w:rPr>
            </w:pPr>
            <w:r>
              <w:rPr>
                <w:rFonts w:hint="default"/>
              </w:rPr>
              <w:t>眼睛接触：立即提起眼睑，用大量流动清水或生理盐水冲洗，就医；</w:t>
            </w:r>
          </w:p>
          <w:p w14:paraId="07503147">
            <w:pPr>
              <w:pStyle w:val="240"/>
              <w:jc w:val="left"/>
              <w:rPr>
                <w:rFonts w:hint="default"/>
              </w:rPr>
            </w:pPr>
            <w:r>
              <w:rPr>
                <w:rFonts w:hint="default"/>
              </w:rPr>
              <w:t>吸入：迅速脱离现场至空气新鲜处，保持呼吸道通畅，如呼吸困难，给输氧；如呼吸停止，立即进行人工呼吸，就医；</w:t>
            </w:r>
          </w:p>
          <w:p w14:paraId="40E167C0">
            <w:pPr>
              <w:pStyle w:val="240"/>
              <w:jc w:val="left"/>
              <w:rPr>
                <w:rFonts w:hint="default"/>
              </w:rPr>
            </w:pPr>
            <w:r>
              <w:rPr>
                <w:rFonts w:hint="default"/>
              </w:rPr>
              <w:t>食入：饮足量温水，催吐，就医。</w:t>
            </w:r>
          </w:p>
        </w:tc>
      </w:tr>
      <w:tr w14:paraId="5B7E359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864" w:type="dxa"/>
            <w:tcBorders>
              <w:tl2br w:val="nil"/>
              <w:tr2bl w:val="nil"/>
            </w:tcBorders>
            <w:vAlign w:val="center"/>
          </w:tcPr>
          <w:p w14:paraId="53DB0F9D">
            <w:pPr>
              <w:pStyle w:val="240"/>
              <w:rPr>
                <w:rFonts w:hint="default"/>
              </w:rPr>
            </w:pPr>
            <w:r>
              <w:rPr>
                <w:rFonts w:hint="default"/>
              </w:rPr>
              <w:t>防护</w:t>
            </w:r>
          </w:p>
        </w:tc>
        <w:tc>
          <w:tcPr>
            <w:tcW w:w="7675" w:type="dxa"/>
            <w:gridSpan w:val="8"/>
            <w:tcBorders>
              <w:tl2br w:val="nil"/>
              <w:tr2bl w:val="nil"/>
            </w:tcBorders>
            <w:vAlign w:val="center"/>
          </w:tcPr>
          <w:p w14:paraId="1A58EF84">
            <w:pPr>
              <w:pStyle w:val="240"/>
              <w:jc w:val="left"/>
              <w:rPr>
                <w:rFonts w:hint="default"/>
              </w:rPr>
            </w:pPr>
            <w:r>
              <w:rPr>
                <w:rFonts w:hint="default"/>
              </w:rPr>
              <w:t>工程控制：密闭操作，注意通风；</w:t>
            </w:r>
          </w:p>
          <w:p w14:paraId="7C5627C8">
            <w:pPr>
              <w:pStyle w:val="240"/>
              <w:jc w:val="left"/>
              <w:rPr>
                <w:rFonts w:hint="default"/>
              </w:rPr>
            </w:pPr>
            <w:r>
              <w:rPr>
                <w:rFonts w:hint="default"/>
              </w:rPr>
              <w:t>呼吸系统防护：空气中浓度超标时，建议佩戴自吸过滤式防毒面具（半面罩）。紧急事态抢救或撤离时，应该佩戴空气呼吸器。</w:t>
            </w:r>
          </w:p>
          <w:p w14:paraId="6799173B">
            <w:pPr>
              <w:pStyle w:val="240"/>
              <w:jc w:val="left"/>
              <w:rPr>
                <w:rFonts w:hint="default"/>
              </w:rPr>
            </w:pPr>
            <w:r>
              <w:rPr>
                <w:rFonts w:hint="default"/>
              </w:rPr>
              <w:t>眼睛防护：戴化学安全防护眼镜。身体防护：穿防毒物渗透工作服；手防护：戴橡胶耐油手套；</w:t>
            </w:r>
          </w:p>
          <w:p w14:paraId="0DA392FA">
            <w:pPr>
              <w:pStyle w:val="240"/>
              <w:jc w:val="left"/>
              <w:rPr>
                <w:rFonts w:hint="default"/>
              </w:rPr>
            </w:pPr>
            <w:r>
              <w:rPr>
                <w:rFonts w:hint="default"/>
              </w:rPr>
              <w:t>其他：工作现场严禁吸烟。避免长期反复接触。</w:t>
            </w:r>
          </w:p>
        </w:tc>
      </w:tr>
      <w:tr w14:paraId="33E6FD1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864" w:type="dxa"/>
            <w:tcBorders>
              <w:tl2br w:val="nil"/>
              <w:tr2bl w:val="nil"/>
            </w:tcBorders>
            <w:vAlign w:val="center"/>
          </w:tcPr>
          <w:p w14:paraId="78366191">
            <w:pPr>
              <w:pStyle w:val="240"/>
              <w:rPr>
                <w:rFonts w:hint="default"/>
              </w:rPr>
            </w:pPr>
            <w:r>
              <w:rPr>
                <w:rFonts w:hint="default"/>
              </w:rPr>
              <w:t>泄漏处理</w:t>
            </w:r>
          </w:p>
        </w:tc>
        <w:tc>
          <w:tcPr>
            <w:tcW w:w="7675" w:type="dxa"/>
            <w:gridSpan w:val="8"/>
            <w:tcBorders>
              <w:tl2br w:val="nil"/>
              <w:tr2bl w:val="nil"/>
            </w:tcBorders>
            <w:vAlign w:val="center"/>
          </w:tcPr>
          <w:p w14:paraId="554E691E">
            <w:pPr>
              <w:pStyle w:val="240"/>
              <w:jc w:val="left"/>
              <w:rPr>
                <w:rFonts w:hint="default"/>
              </w:rPr>
            </w:pPr>
            <w:r>
              <w:rPr>
                <w:rFonts w:hint="default"/>
              </w:rPr>
              <w:t>迅速撤离泄漏污染区人员至安全区，并进行隔离，严格限制出入。切断火源。建议应急处理人员戴自给正压式呼吸器，穿防毒服。尽可能切断泄漏源。防止流入下水道、排洪沟等限制性空间。</w:t>
            </w:r>
          </w:p>
          <w:p w14:paraId="1195A1C8">
            <w:pPr>
              <w:pStyle w:val="240"/>
              <w:jc w:val="left"/>
              <w:rPr>
                <w:rFonts w:hint="default"/>
              </w:rPr>
            </w:pPr>
            <w:r>
              <w:rPr>
                <w:rFonts w:hint="default"/>
              </w:rPr>
              <w:t>小量泄漏：用砂土或</w:t>
            </w:r>
            <w:r>
              <w:rPr>
                <w:rFonts w:hint="eastAsia"/>
                <w:lang w:eastAsia="zh-CN"/>
              </w:rPr>
              <w:t>其他不</w:t>
            </w:r>
            <w:r>
              <w:rPr>
                <w:rFonts w:hint="default"/>
              </w:rPr>
              <w:t>燃材料吸附或吸收。 大量泄漏：构筑围堤或挖坑收容。用泵转移至槽车或专用收集器内，回收或运至废物处理场所处置。</w:t>
            </w:r>
          </w:p>
        </w:tc>
      </w:tr>
      <w:tr w14:paraId="2F6B590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95" w:hRule="atLeast"/>
          <w:jc w:val="center"/>
        </w:trPr>
        <w:tc>
          <w:tcPr>
            <w:tcW w:w="864" w:type="dxa"/>
            <w:vMerge w:val="restart"/>
            <w:tcBorders>
              <w:tl2br w:val="nil"/>
              <w:tr2bl w:val="nil"/>
            </w:tcBorders>
            <w:vAlign w:val="center"/>
          </w:tcPr>
          <w:p w14:paraId="18C40C72">
            <w:pPr>
              <w:pStyle w:val="240"/>
              <w:rPr>
                <w:rFonts w:hint="default"/>
              </w:rPr>
            </w:pPr>
            <w:r>
              <w:rPr>
                <w:rFonts w:hint="default"/>
              </w:rPr>
              <w:t>储运</w:t>
            </w:r>
          </w:p>
        </w:tc>
        <w:tc>
          <w:tcPr>
            <w:tcW w:w="7675" w:type="dxa"/>
            <w:gridSpan w:val="8"/>
            <w:tcBorders>
              <w:tl2br w:val="nil"/>
              <w:tr2bl w:val="nil"/>
            </w:tcBorders>
          </w:tcPr>
          <w:p w14:paraId="6607BCD8">
            <w:pPr>
              <w:pStyle w:val="240"/>
              <w:jc w:val="left"/>
              <w:rPr>
                <w:rFonts w:hint="default"/>
              </w:rPr>
            </w:pPr>
            <w:r>
              <w:rPr>
                <w:rFonts w:hint="default"/>
              </w:rPr>
              <w:t>储存于阴凉、通风的库房。远离火种、热源。应与氧化剂分开存放，切忌混储。配备相应品种和数量的消防器材。储区应备有泄漏应急处理设备和合适的收容材料。</w:t>
            </w:r>
          </w:p>
        </w:tc>
      </w:tr>
      <w:tr w14:paraId="5ABC2D5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1008" w:hRule="atLeast"/>
          <w:jc w:val="center"/>
        </w:trPr>
        <w:tc>
          <w:tcPr>
            <w:tcW w:w="864" w:type="dxa"/>
            <w:vMerge w:val="continue"/>
            <w:tcBorders>
              <w:tl2br w:val="nil"/>
              <w:tr2bl w:val="nil"/>
            </w:tcBorders>
          </w:tcPr>
          <w:p w14:paraId="4CE2D1ED">
            <w:pPr>
              <w:pStyle w:val="240"/>
              <w:rPr>
                <w:rFonts w:hint="default"/>
              </w:rPr>
            </w:pPr>
          </w:p>
        </w:tc>
        <w:tc>
          <w:tcPr>
            <w:tcW w:w="7675" w:type="dxa"/>
            <w:gridSpan w:val="8"/>
            <w:tcBorders>
              <w:tl2br w:val="nil"/>
              <w:tr2bl w:val="nil"/>
            </w:tcBorders>
          </w:tcPr>
          <w:p w14:paraId="74A4B3AF">
            <w:pPr>
              <w:pStyle w:val="240"/>
              <w:jc w:val="left"/>
              <w:rPr>
                <w:rFonts w:hint="default"/>
              </w:rPr>
            </w:pPr>
            <w:r>
              <w:rPr>
                <w:rFonts w:hint="default"/>
              </w:rPr>
              <w:t>运输前应先检查包装容器是否完整、密封，运输过程中要确保容器不泄漏、不倒塌、不坠落、不损坏。严禁与氧化剂、食用化学品等混装混运。运输车船必须彻底清洗、消毒否则不得装运其它物品。船运时，配装位置应远离卧室、厨房，并与机舱、电源、火源等部位隔离。公路运输时要按规定路线行驶。</w:t>
            </w:r>
          </w:p>
        </w:tc>
      </w:tr>
    </w:tbl>
    <w:p w14:paraId="3723116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cs="宋体"/>
          <w:color w:val="000000"/>
          <w:sz w:val="24"/>
          <w:szCs w:val="24"/>
        </w:rPr>
      </w:pPr>
      <w:r>
        <w:rPr>
          <w:rFonts w:hint="eastAsia" w:ascii="宋体" w:hAnsi="宋体" w:cs="宋体"/>
          <w:color w:val="000000"/>
          <w:sz w:val="24"/>
          <w:szCs w:val="24"/>
        </w:rPr>
        <w:t>②生产设施</w:t>
      </w:r>
    </w:p>
    <w:p w14:paraId="575EDA4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cs="宋体"/>
          <w:color w:val="000000"/>
          <w:sz w:val="24"/>
          <w:szCs w:val="24"/>
        </w:rPr>
      </w:pPr>
      <w:r>
        <w:rPr>
          <w:rFonts w:hint="eastAsia" w:ascii="宋体" w:hAnsi="宋体" w:cs="宋体"/>
          <w:color w:val="000000"/>
          <w:sz w:val="24"/>
          <w:szCs w:val="24"/>
        </w:rPr>
        <w:t>本项目潜在生产设施风险为生产车间、危废贮存点。</w:t>
      </w:r>
    </w:p>
    <w:p w14:paraId="6CE7E0E7">
      <w:pPr>
        <w:pStyle w:val="5"/>
        <w:rPr>
          <w:rFonts w:ascii="Times New Roman" w:hAnsi="Times New Roman"/>
          <w:color w:val="000000"/>
          <w:lang w:val="en-US"/>
        </w:rPr>
      </w:pPr>
      <w:r>
        <w:rPr>
          <w:rFonts w:hint="eastAsia" w:ascii="Times New Roman" w:hAnsi="Times New Roman"/>
          <w:color w:val="000000"/>
          <w:lang w:val="en-US"/>
        </w:rPr>
        <w:t>5.2.7.</w:t>
      </w:r>
      <w:r>
        <w:rPr>
          <w:rFonts w:hint="eastAsia" w:ascii="Times New Roman" w:hAnsi="Times New Roman"/>
          <w:color w:val="000000"/>
          <w:lang w:val="en-US" w:eastAsia="zh-CN"/>
        </w:rPr>
        <w:t>3</w:t>
      </w:r>
      <w:r>
        <w:rPr>
          <w:rFonts w:hint="eastAsia" w:ascii="Times New Roman" w:hAnsi="Times New Roman"/>
          <w:color w:val="000000"/>
          <w:lang w:val="en-US"/>
        </w:rPr>
        <w:t>环境风险潜势初判</w:t>
      </w:r>
    </w:p>
    <w:p w14:paraId="16ABF056">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①环境风险潜势划分</w:t>
      </w:r>
    </w:p>
    <w:p w14:paraId="5D2FD4CE">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建设项目环境风险潜势划分为Ⅰ、Ⅱ、Ⅲ、Ⅳ/Ⅳ</w:t>
      </w:r>
      <w:r>
        <w:rPr>
          <w:rFonts w:hint="eastAsia" w:ascii="宋体" w:hAnsi="宋体" w:cs="宋体"/>
          <w:color w:val="000000"/>
          <w:sz w:val="24"/>
          <w:szCs w:val="24"/>
          <w:vertAlign w:val="superscript"/>
        </w:rPr>
        <w:t>+</w:t>
      </w:r>
      <w:r>
        <w:rPr>
          <w:rFonts w:hint="eastAsia" w:ascii="宋体" w:hAnsi="宋体" w:cs="宋体"/>
          <w:color w:val="000000"/>
          <w:sz w:val="24"/>
          <w:szCs w:val="24"/>
        </w:rPr>
        <w:t>级。</w:t>
      </w:r>
    </w:p>
    <w:p w14:paraId="0F03BA35">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根据建设项目涉及的物质和工艺系统的危险性及其所在地的环境敏感程度，结合事故情形下环境影响途径，对建设项目潜在环境危害程度进行概化分析，按照表5.2-</w:t>
      </w:r>
      <w:r>
        <w:rPr>
          <w:rFonts w:hint="eastAsia" w:ascii="宋体" w:hAnsi="宋体" w:cs="宋体"/>
          <w:color w:val="000000"/>
          <w:sz w:val="24"/>
          <w:szCs w:val="24"/>
          <w:lang w:val="en-US" w:eastAsia="zh-CN"/>
        </w:rPr>
        <w:t>30</w:t>
      </w:r>
      <w:r>
        <w:rPr>
          <w:rFonts w:hint="eastAsia" w:ascii="宋体" w:hAnsi="宋体" w:cs="宋体"/>
          <w:color w:val="000000"/>
          <w:sz w:val="24"/>
          <w:szCs w:val="24"/>
        </w:rPr>
        <w:t>确定环境风险潜势。</w:t>
      </w:r>
    </w:p>
    <w:p w14:paraId="30B1400B">
      <w:pPr>
        <w:jc w:val="center"/>
        <w:rPr>
          <w:b/>
          <w:bCs/>
          <w:color w:val="000000"/>
          <w:szCs w:val="21"/>
        </w:rPr>
      </w:pPr>
      <w:r>
        <w:rPr>
          <w:b/>
          <w:bCs/>
          <w:color w:val="000000"/>
          <w:szCs w:val="21"/>
        </w:rPr>
        <w:t>表</w:t>
      </w:r>
      <w:r>
        <w:rPr>
          <w:rFonts w:hint="eastAsia"/>
          <w:b/>
          <w:bCs/>
          <w:color w:val="000000"/>
          <w:szCs w:val="21"/>
        </w:rPr>
        <w:t>5.2-</w:t>
      </w:r>
      <w:r>
        <w:rPr>
          <w:rFonts w:hint="eastAsia"/>
          <w:b/>
          <w:bCs/>
          <w:color w:val="000000"/>
          <w:szCs w:val="21"/>
          <w:lang w:val="en-US" w:eastAsia="zh-CN"/>
        </w:rPr>
        <w:t>30</w:t>
      </w:r>
      <w:r>
        <w:rPr>
          <w:b/>
          <w:bCs/>
          <w:color w:val="000000"/>
          <w:szCs w:val="21"/>
        </w:rPr>
        <w:t xml:space="preserve">   项目环境风险潜势划分</w:t>
      </w:r>
    </w:p>
    <w:tbl>
      <w:tblPr>
        <w:tblStyle w:val="49"/>
        <w:tblW w:w="4998" w:type="pct"/>
        <w:jc w:val="center"/>
        <w:tblBorders>
          <w:top w:val="single" w:color="000000" w:sz="12" w:space="0"/>
          <w:left w:val="single" w:color="000000" w:sz="12" w:space="0"/>
          <w:bottom w:val="single" w:color="000000" w:sz="12" w:space="0"/>
          <w:right w:val="single" w:color="000000" w:sz="12" w:space="0"/>
          <w:insideH w:val="single" w:color="000000" w:sz="2" w:space="0"/>
          <w:insideV w:val="single" w:color="000000" w:sz="6" w:space="0"/>
        </w:tblBorders>
        <w:tblLayout w:type="autofit"/>
        <w:tblCellMar>
          <w:top w:w="0" w:type="dxa"/>
          <w:left w:w="108" w:type="dxa"/>
          <w:bottom w:w="0" w:type="dxa"/>
          <w:right w:w="108" w:type="dxa"/>
        </w:tblCellMar>
      </w:tblPr>
      <w:tblGrid>
        <w:gridCol w:w="1829"/>
        <w:gridCol w:w="1687"/>
        <w:gridCol w:w="1738"/>
        <w:gridCol w:w="1600"/>
        <w:gridCol w:w="1665"/>
      </w:tblGrid>
      <w:tr w14:paraId="3DD1D176">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6" w:space="0"/>
          </w:tblBorders>
          <w:tblCellMar>
            <w:top w:w="0" w:type="dxa"/>
            <w:left w:w="108" w:type="dxa"/>
            <w:bottom w:w="0" w:type="dxa"/>
            <w:right w:w="108" w:type="dxa"/>
          </w:tblCellMar>
        </w:tblPrEx>
        <w:trPr>
          <w:trHeight w:val="454" w:hRule="atLeast"/>
          <w:jc w:val="center"/>
        </w:trPr>
        <w:tc>
          <w:tcPr>
            <w:tcW w:w="1074" w:type="pct"/>
            <w:vMerge w:val="restart"/>
            <w:tcBorders>
              <w:tl2br w:val="nil"/>
              <w:tr2bl w:val="nil"/>
            </w:tcBorders>
            <w:vAlign w:val="center"/>
          </w:tcPr>
          <w:p w14:paraId="1AF2C023">
            <w:pPr>
              <w:pStyle w:val="240"/>
              <w:rPr>
                <w:rFonts w:hint="default"/>
              </w:rPr>
            </w:pPr>
            <w:r>
              <w:rPr>
                <w:rFonts w:hint="default"/>
              </w:rPr>
              <w:t>环境敏感程度（E）</w:t>
            </w:r>
          </w:p>
        </w:tc>
        <w:tc>
          <w:tcPr>
            <w:tcW w:w="3925" w:type="pct"/>
            <w:gridSpan w:val="4"/>
            <w:tcBorders>
              <w:tl2br w:val="nil"/>
              <w:tr2bl w:val="nil"/>
            </w:tcBorders>
            <w:vAlign w:val="center"/>
          </w:tcPr>
          <w:p w14:paraId="6DC1C5E5">
            <w:pPr>
              <w:pStyle w:val="240"/>
              <w:rPr>
                <w:rFonts w:hint="default"/>
              </w:rPr>
            </w:pPr>
            <w:r>
              <w:rPr>
                <w:rFonts w:hint="default"/>
              </w:rPr>
              <w:t>危险物质及工艺系统危险性（P）</w:t>
            </w:r>
          </w:p>
        </w:tc>
      </w:tr>
      <w:tr w14:paraId="77D1D41B">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6" w:space="0"/>
          </w:tblBorders>
          <w:tblCellMar>
            <w:top w:w="0" w:type="dxa"/>
            <w:left w:w="108" w:type="dxa"/>
            <w:bottom w:w="0" w:type="dxa"/>
            <w:right w:w="108" w:type="dxa"/>
          </w:tblCellMar>
        </w:tblPrEx>
        <w:trPr>
          <w:trHeight w:val="454" w:hRule="atLeast"/>
          <w:jc w:val="center"/>
        </w:trPr>
        <w:tc>
          <w:tcPr>
            <w:tcW w:w="1074" w:type="pct"/>
            <w:vMerge w:val="continue"/>
            <w:tcBorders>
              <w:tl2br w:val="nil"/>
              <w:tr2bl w:val="nil"/>
            </w:tcBorders>
            <w:vAlign w:val="center"/>
          </w:tcPr>
          <w:p w14:paraId="355D6BAB">
            <w:pPr>
              <w:pStyle w:val="240"/>
              <w:rPr>
                <w:rFonts w:hint="default"/>
              </w:rPr>
            </w:pPr>
          </w:p>
        </w:tc>
        <w:tc>
          <w:tcPr>
            <w:tcW w:w="990" w:type="pct"/>
            <w:tcBorders>
              <w:tl2br w:val="nil"/>
              <w:tr2bl w:val="nil"/>
            </w:tcBorders>
            <w:vAlign w:val="center"/>
          </w:tcPr>
          <w:p w14:paraId="5BF843C1">
            <w:pPr>
              <w:pStyle w:val="240"/>
              <w:rPr>
                <w:rFonts w:hint="default"/>
              </w:rPr>
            </w:pPr>
            <w:r>
              <w:rPr>
                <w:rFonts w:hint="default"/>
              </w:rPr>
              <w:t>极高危害（P1）</w:t>
            </w:r>
          </w:p>
        </w:tc>
        <w:tc>
          <w:tcPr>
            <w:tcW w:w="1020" w:type="pct"/>
            <w:tcBorders>
              <w:tl2br w:val="nil"/>
              <w:tr2bl w:val="nil"/>
            </w:tcBorders>
            <w:vAlign w:val="center"/>
          </w:tcPr>
          <w:p w14:paraId="5E4C2BA3">
            <w:pPr>
              <w:pStyle w:val="240"/>
              <w:rPr>
                <w:rFonts w:hint="default"/>
              </w:rPr>
            </w:pPr>
            <w:r>
              <w:rPr>
                <w:rFonts w:hint="default"/>
              </w:rPr>
              <w:t>高度危害（P2）</w:t>
            </w:r>
          </w:p>
        </w:tc>
        <w:tc>
          <w:tcPr>
            <w:tcW w:w="939" w:type="pct"/>
            <w:tcBorders>
              <w:tl2br w:val="nil"/>
              <w:tr2bl w:val="nil"/>
            </w:tcBorders>
            <w:vAlign w:val="center"/>
          </w:tcPr>
          <w:p w14:paraId="2B32F4F7">
            <w:pPr>
              <w:pStyle w:val="240"/>
              <w:rPr>
                <w:rFonts w:hint="default"/>
              </w:rPr>
            </w:pPr>
            <w:r>
              <w:rPr>
                <w:rFonts w:hint="default"/>
              </w:rPr>
              <w:t>中度危害（P3）</w:t>
            </w:r>
          </w:p>
        </w:tc>
        <w:tc>
          <w:tcPr>
            <w:tcW w:w="976" w:type="pct"/>
            <w:tcBorders>
              <w:tl2br w:val="nil"/>
              <w:tr2bl w:val="nil"/>
            </w:tcBorders>
            <w:vAlign w:val="center"/>
          </w:tcPr>
          <w:p w14:paraId="5CEC7F05">
            <w:pPr>
              <w:pStyle w:val="240"/>
              <w:rPr>
                <w:rFonts w:hint="default"/>
              </w:rPr>
            </w:pPr>
            <w:r>
              <w:rPr>
                <w:rFonts w:hint="default"/>
              </w:rPr>
              <w:t>轻度危害（P4）</w:t>
            </w:r>
          </w:p>
        </w:tc>
      </w:tr>
      <w:tr w14:paraId="2EE19C3D">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6" w:space="0"/>
          </w:tblBorders>
          <w:tblCellMar>
            <w:top w:w="0" w:type="dxa"/>
            <w:left w:w="108" w:type="dxa"/>
            <w:bottom w:w="0" w:type="dxa"/>
            <w:right w:w="108" w:type="dxa"/>
          </w:tblCellMar>
        </w:tblPrEx>
        <w:trPr>
          <w:trHeight w:val="454" w:hRule="atLeast"/>
          <w:jc w:val="center"/>
        </w:trPr>
        <w:tc>
          <w:tcPr>
            <w:tcW w:w="1074" w:type="pct"/>
            <w:tcBorders>
              <w:tl2br w:val="nil"/>
              <w:tr2bl w:val="nil"/>
            </w:tcBorders>
            <w:vAlign w:val="center"/>
          </w:tcPr>
          <w:p w14:paraId="47C30239">
            <w:pPr>
              <w:pStyle w:val="240"/>
              <w:rPr>
                <w:rFonts w:hint="default"/>
              </w:rPr>
            </w:pPr>
            <w:r>
              <w:rPr>
                <w:rFonts w:hint="default"/>
              </w:rPr>
              <w:t>环境高度敏感区（E1）</w:t>
            </w:r>
          </w:p>
        </w:tc>
        <w:tc>
          <w:tcPr>
            <w:tcW w:w="990" w:type="pct"/>
            <w:tcBorders>
              <w:tl2br w:val="nil"/>
              <w:tr2bl w:val="nil"/>
            </w:tcBorders>
            <w:vAlign w:val="center"/>
          </w:tcPr>
          <w:p w14:paraId="1F392CA3">
            <w:pPr>
              <w:pStyle w:val="240"/>
              <w:rPr>
                <w:rFonts w:hint="default"/>
              </w:rPr>
            </w:pPr>
            <w:r>
              <w:rPr>
                <w:rFonts w:hint="default"/>
              </w:rPr>
              <w:t>Ⅳ+</w:t>
            </w:r>
          </w:p>
        </w:tc>
        <w:tc>
          <w:tcPr>
            <w:tcW w:w="1020" w:type="pct"/>
            <w:tcBorders>
              <w:tl2br w:val="nil"/>
              <w:tr2bl w:val="nil"/>
            </w:tcBorders>
            <w:vAlign w:val="center"/>
          </w:tcPr>
          <w:p w14:paraId="6F721A37">
            <w:pPr>
              <w:pStyle w:val="240"/>
              <w:rPr>
                <w:rFonts w:hint="default"/>
              </w:rPr>
            </w:pPr>
            <w:r>
              <w:rPr>
                <w:rFonts w:hint="default"/>
              </w:rPr>
              <w:t>Ⅳ</w:t>
            </w:r>
          </w:p>
        </w:tc>
        <w:tc>
          <w:tcPr>
            <w:tcW w:w="939" w:type="pct"/>
            <w:tcBorders>
              <w:tl2br w:val="nil"/>
              <w:tr2bl w:val="nil"/>
            </w:tcBorders>
            <w:vAlign w:val="center"/>
          </w:tcPr>
          <w:p w14:paraId="0764A83F">
            <w:pPr>
              <w:pStyle w:val="240"/>
              <w:rPr>
                <w:rFonts w:hint="default"/>
              </w:rPr>
            </w:pPr>
            <w:r>
              <w:rPr>
                <w:rFonts w:hint="default"/>
              </w:rPr>
              <w:t>Ⅲ</w:t>
            </w:r>
          </w:p>
        </w:tc>
        <w:tc>
          <w:tcPr>
            <w:tcW w:w="976" w:type="pct"/>
            <w:tcBorders>
              <w:tl2br w:val="nil"/>
              <w:tr2bl w:val="nil"/>
            </w:tcBorders>
            <w:vAlign w:val="center"/>
          </w:tcPr>
          <w:p w14:paraId="3B971A88">
            <w:pPr>
              <w:pStyle w:val="240"/>
              <w:rPr>
                <w:rFonts w:hint="default"/>
              </w:rPr>
            </w:pPr>
            <w:r>
              <w:rPr>
                <w:rFonts w:hint="default"/>
              </w:rPr>
              <w:t>Ⅲ</w:t>
            </w:r>
          </w:p>
        </w:tc>
      </w:tr>
      <w:tr w14:paraId="1D3B2A3B">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6" w:space="0"/>
          </w:tblBorders>
          <w:tblCellMar>
            <w:top w:w="0" w:type="dxa"/>
            <w:left w:w="108" w:type="dxa"/>
            <w:bottom w:w="0" w:type="dxa"/>
            <w:right w:w="108" w:type="dxa"/>
          </w:tblCellMar>
        </w:tblPrEx>
        <w:trPr>
          <w:trHeight w:val="454" w:hRule="atLeast"/>
          <w:jc w:val="center"/>
        </w:trPr>
        <w:tc>
          <w:tcPr>
            <w:tcW w:w="1074" w:type="pct"/>
            <w:tcBorders>
              <w:tl2br w:val="nil"/>
              <w:tr2bl w:val="nil"/>
            </w:tcBorders>
            <w:vAlign w:val="center"/>
          </w:tcPr>
          <w:p w14:paraId="203398EB">
            <w:pPr>
              <w:pStyle w:val="240"/>
              <w:rPr>
                <w:rFonts w:hint="default"/>
              </w:rPr>
            </w:pPr>
            <w:r>
              <w:rPr>
                <w:rFonts w:hint="default"/>
              </w:rPr>
              <w:t>环境中度敏感区（E2）</w:t>
            </w:r>
          </w:p>
        </w:tc>
        <w:tc>
          <w:tcPr>
            <w:tcW w:w="990" w:type="pct"/>
            <w:tcBorders>
              <w:tl2br w:val="nil"/>
              <w:tr2bl w:val="nil"/>
            </w:tcBorders>
            <w:vAlign w:val="center"/>
          </w:tcPr>
          <w:p w14:paraId="767E3128">
            <w:pPr>
              <w:pStyle w:val="240"/>
              <w:rPr>
                <w:rFonts w:hint="default"/>
              </w:rPr>
            </w:pPr>
            <w:r>
              <w:rPr>
                <w:rFonts w:hint="default"/>
              </w:rPr>
              <w:t>Ⅳ</w:t>
            </w:r>
          </w:p>
        </w:tc>
        <w:tc>
          <w:tcPr>
            <w:tcW w:w="1020" w:type="pct"/>
            <w:tcBorders>
              <w:tl2br w:val="nil"/>
              <w:tr2bl w:val="nil"/>
            </w:tcBorders>
            <w:vAlign w:val="center"/>
          </w:tcPr>
          <w:p w14:paraId="6230B7CD">
            <w:pPr>
              <w:pStyle w:val="240"/>
              <w:rPr>
                <w:rFonts w:hint="default"/>
              </w:rPr>
            </w:pPr>
            <w:r>
              <w:rPr>
                <w:rFonts w:hint="default"/>
              </w:rPr>
              <w:t>Ⅲ</w:t>
            </w:r>
          </w:p>
        </w:tc>
        <w:tc>
          <w:tcPr>
            <w:tcW w:w="939" w:type="pct"/>
            <w:tcBorders>
              <w:tl2br w:val="nil"/>
              <w:tr2bl w:val="nil"/>
            </w:tcBorders>
            <w:vAlign w:val="center"/>
          </w:tcPr>
          <w:p w14:paraId="02081F73">
            <w:pPr>
              <w:pStyle w:val="240"/>
              <w:rPr>
                <w:rFonts w:hint="default"/>
              </w:rPr>
            </w:pPr>
            <w:r>
              <w:rPr>
                <w:rFonts w:hint="default"/>
              </w:rPr>
              <w:t>Ⅲ</w:t>
            </w:r>
          </w:p>
        </w:tc>
        <w:tc>
          <w:tcPr>
            <w:tcW w:w="976" w:type="pct"/>
            <w:tcBorders>
              <w:tl2br w:val="nil"/>
              <w:tr2bl w:val="nil"/>
            </w:tcBorders>
            <w:vAlign w:val="center"/>
          </w:tcPr>
          <w:p w14:paraId="0CAB2871">
            <w:pPr>
              <w:pStyle w:val="240"/>
              <w:rPr>
                <w:rFonts w:hint="default"/>
              </w:rPr>
            </w:pPr>
            <w:r>
              <w:rPr>
                <w:rFonts w:hint="default"/>
              </w:rPr>
              <w:t>Ⅱ</w:t>
            </w:r>
          </w:p>
        </w:tc>
      </w:tr>
      <w:tr w14:paraId="21D26A15">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6" w:space="0"/>
          </w:tblBorders>
          <w:tblCellMar>
            <w:top w:w="0" w:type="dxa"/>
            <w:left w:w="108" w:type="dxa"/>
            <w:bottom w:w="0" w:type="dxa"/>
            <w:right w:w="108" w:type="dxa"/>
          </w:tblCellMar>
        </w:tblPrEx>
        <w:trPr>
          <w:trHeight w:val="454" w:hRule="atLeast"/>
          <w:jc w:val="center"/>
        </w:trPr>
        <w:tc>
          <w:tcPr>
            <w:tcW w:w="1074" w:type="pct"/>
            <w:tcBorders>
              <w:tl2br w:val="nil"/>
              <w:tr2bl w:val="nil"/>
            </w:tcBorders>
            <w:vAlign w:val="center"/>
          </w:tcPr>
          <w:p w14:paraId="01CFE63B">
            <w:pPr>
              <w:pStyle w:val="240"/>
              <w:rPr>
                <w:rFonts w:hint="default"/>
              </w:rPr>
            </w:pPr>
            <w:r>
              <w:rPr>
                <w:rFonts w:hint="default"/>
              </w:rPr>
              <w:t>环境低度敏感区（E3）</w:t>
            </w:r>
          </w:p>
        </w:tc>
        <w:tc>
          <w:tcPr>
            <w:tcW w:w="990" w:type="pct"/>
            <w:tcBorders>
              <w:tl2br w:val="nil"/>
              <w:tr2bl w:val="nil"/>
            </w:tcBorders>
            <w:vAlign w:val="center"/>
          </w:tcPr>
          <w:p w14:paraId="1FC010A2">
            <w:pPr>
              <w:pStyle w:val="240"/>
              <w:rPr>
                <w:rFonts w:hint="default"/>
              </w:rPr>
            </w:pPr>
            <w:r>
              <w:rPr>
                <w:rFonts w:hint="default"/>
              </w:rPr>
              <w:t>Ⅲ</w:t>
            </w:r>
          </w:p>
        </w:tc>
        <w:tc>
          <w:tcPr>
            <w:tcW w:w="1020" w:type="pct"/>
            <w:tcBorders>
              <w:tl2br w:val="nil"/>
              <w:tr2bl w:val="nil"/>
            </w:tcBorders>
            <w:vAlign w:val="center"/>
          </w:tcPr>
          <w:p w14:paraId="264AD29C">
            <w:pPr>
              <w:pStyle w:val="240"/>
              <w:rPr>
                <w:rFonts w:hint="default"/>
              </w:rPr>
            </w:pPr>
            <w:r>
              <w:rPr>
                <w:rFonts w:hint="default"/>
              </w:rPr>
              <w:t>Ⅲ</w:t>
            </w:r>
          </w:p>
        </w:tc>
        <w:tc>
          <w:tcPr>
            <w:tcW w:w="939" w:type="pct"/>
            <w:tcBorders>
              <w:tl2br w:val="nil"/>
              <w:tr2bl w:val="nil"/>
            </w:tcBorders>
            <w:vAlign w:val="center"/>
          </w:tcPr>
          <w:p w14:paraId="1F7E82E7">
            <w:pPr>
              <w:pStyle w:val="240"/>
              <w:rPr>
                <w:rFonts w:hint="default"/>
              </w:rPr>
            </w:pPr>
            <w:r>
              <w:rPr>
                <w:rFonts w:hint="default"/>
              </w:rPr>
              <w:t>Ⅱ</w:t>
            </w:r>
          </w:p>
        </w:tc>
        <w:tc>
          <w:tcPr>
            <w:tcW w:w="976" w:type="pct"/>
            <w:tcBorders>
              <w:tl2br w:val="nil"/>
              <w:tr2bl w:val="nil"/>
            </w:tcBorders>
            <w:vAlign w:val="center"/>
          </w:tcPr>
          <w:p w14:paraId="53709A0B">
            <w:pPr>
              <w:pStyle w:val="240"/>
              <w:rPr>
                <w:rFonts w:hint="default"/>
              </w:rPr>
            </w:pPr>
            <w:r>
              <w:rPr>
                <w:rFonts w:hint="default"/>
              </w:rPr>
              <w:t>Ⅰ</w:t>
            </w:r>
          </w:p>
        </w:tc>
      </w:tr>
      <w:tr w14:paraId="494BAC47">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6" w:space="0"/>
          </w:tblBorders>
          <w:tblCellMar>
            <w:top w:w="0" w:type="dxa"/>
            <w:left w:w="108" w:type="dxa"/>
            <w:bottom w:w="0" w:type="dxa"/>
            <w:right w:w="108" w:type="dxa"/>
          </w:tblCellMar>
        </w:tblPrEx>
        <w:trPr>
          <w:trHeight w:val="454" w:hRule="atLeast"/>
          <w:jc w:val="center"/>
        </w:trPr>
        <w:tc>
          <w:tcPr>
            <w:tcW w:w="5000" w:type="pct"/>
            <w:gridSpan w:val="5"/>
            <w:tcBorders>
              <w:tl2br w:val="nil"/>
              <w:tr2bl w:val="nil"/>
            </w:tcBorders>
            <w:vAlign w:val="center"/>
          </w:tcPr>
          <w:p w14:paraId="203C6DC4">
            <w:pPr>
              <w:pStyle w:val="240"/>
              <w:rPr>
                <w:rFonts w:hint="default"/>
              </w:rPr>
            </w:pPr>
            <w:r>
              <w:rPr>
                <w:rFonts w:hint="default"/>
              </w:rPr>
              <w:t>注：Ⅳ+为极高环境风险。</w:t>
            </w:r>
          </w:p>
        </w:tc>
      </w:tr>
    </w:tbl>
    <w:p w14:paraId="771D02D8">
      <w:pPr>
        <w:spacing w:line="360" w:lineRule="auto"/>
        <w:ind w:firstLine="480" w:firstLineChars="200"/>
        <w:rPr>
          <w:color w:val="000000"/>
          <w:sz w:val="24"/>
        </w:rPr>
      </w:pPr>
      <w:r>
        <w:rPr>
          <w:rFonts w:hint="eastAsia" w:ascii="宋体" w:hAnsi="宋体" w:cs="宋体"/>
          <w:color w:val="000000"/>
          <w:sz w:val="24"/>
          <w:szCs w:val="24"/>
        </w:rPr>
        <w:t>②</w:t>
      </w:r>
      <w:r>
        <w:rPr>
          <w:color w:val="000000"/>
          <w:sz w:val="24"/>
        </w:rPr>
        <w:t>P</w:t>
      </w:r>
      <w:r>
        <w:rPr>
          <w:rFonts w:hint="eastAsia"/>
          <w:color w:val="000000"/>
          <w:sz w:val="24"/>
        </w:rPr>
        <w:t>的分级确定</w:t>
      </w:r>
    </w:p>
    <w:p w14:paraId="2F031D9E">
      <w:pPr>
        <w:spacing w:line="360" w:lineRule="auto"/>
        <w:ind w:firstLine="480" w:firstLineChars="200"/>
        <w:rPr>
          <w:color w:val="000000"/>
          <w:sz w:val="24"/>
        </w:rPr>
      </w:pPr>
      <w:r>
        <w:rPr>
          <w:rFonts w:hint="eastAsia"/>
          <w:color w:val="000000"/>
          <w:sz w:val="24"/>
        </w:rPr>
        <w:t>根据《建设项目环境风险评价技术导则》（</w:t>
      </w:r>
      <w:r>
        <w:rPr>
          <w:color w:val="000000"/>
          <w:sz w:val="24"/>
        </w:rPr>
        <w:t>HJ169-2018</w:t>
      </w:r>
      <w:r>
        <w:rPr>
          <w:rFonts w:hint="eastAsia"/>
          <w:color w:val="000000"/>
          <w:sz w:val="24"/>
        </w:rPr>
        <w:t>）中</w:t>
      </w:r>
      <w:r>
        <w:rPr>
          <w:color w:val="000000"/>
          <w:sz w:val="24"/>
        </w:rPr>
        <w:t>P</w:t>
      </w:r>
      <w:r>
        <w:rPr>
          <w:rFonts w:hint="eastAsia"/>
          <w:color w:val="000000"/>
          <w:sz w:val="24"/>
        </w:rPr>
        <w:t>级的确定原则，首先计算所涉及的每种危险物质在厂界内的最大存在总量与其在附录</w:t>
      </w:r>
      <w:r>
        <w:rPr>
          <w:color w:val="000000"/>
          <w:sz w:val="24"/>
        </w:rPr>
        <w:t>B</w:t>
      </w:r>
      <w:r>
        <w:rPr>
          <w:rFonts w:hint="eastAsia"/>
          <w:color w:val="000000"/>
          <w:sz w:val="24"/>
        </w:rPr>
        <w:t>中对应临界量的比值</w:t>
      </w:r>
      <w:r>
        <w:rPr>
          <w:color w:val="000000"/>
          <w:sz w:val="24"/>
        </w:rPr>
        <w:t>Q</w:t>
      </w:r>
      <w:r>
        <w:rPr>
          <w:rFonts w:hint="eastAsia"/>
          <w:color w:val="000000"/>
          <w:sz w:val="24"/>
        </w:rPr>
        <w:t>。在不同厂区的同一种物质，按其在厂界内的最大存在总量计算。对于长输管线项目，按照两个截断阀室之间管段危险物质最大存在总量计算。</w:t>
      </w:r>
    </w:p>
    <w:p w14:paraId="259407B3">
      <w:pPr>
        <w:spacing w:line="360" w:lineRule="auto"/>
        <w:ind w:firstLine="480" w:firstLineChars="200"/>
        <w:rPr>
          <w:color w:val="000000"/>
          <w:sz w:val="24"/>
        </w:rPr>
      </w:pPr>
      <w:r>
        <w:rPr>
          <w:rFonts w:hint="eastAsia"/>
          <w:color w:val="000000"/>
          <w:sz w:val="24"/>
        </w:rPr>
        <w:t>当只涉及一种危险物质时，计算该物质的总量与其临界量比值，即为</w:t>
      </w:r>
      <w:r>
        <w:rPr>
          <w:color w:val="000000"/>
          <w:sz w:val="24"/>
        </w:rPr>
        <w:t>Q</w:t>
      </w:r>
      <w:r>
        <w:rPr>
          <w:rFonts w:hint="eastAsia"/>
          <w:color w:val="000000"/>
          <w:sz w:val="24"/>
        </w:rPr>
        <w:t>；</w:t>
      </w:r>
    </w:p>
    <w:p w14:paraId="3AF81493">
      <w:pPr>
        <w:spacing w:line="360" w:lineRule="auto"/>
        <w:ind w:firstLine="480" w:firstLineChars="200"/>
        <w:rPr>
          <w:color w:val="000000"/>
          <w:sz w:val="24"/>
        </w:rPr>
      </w:pPr>
      <w:r>
        <w:rPr>
          <w:rFonts w:hint="eastAsia"/>
          <w:color w:val="000000"/>
          <w:sz w:val="24"/>
        </w:rPr>
        <w:t>当存在多种危险物质时，则按下式计算物质总量与其临界量比值（</w:t>
      </w:r>
      <w:r>
        <w:rPr>
          <w:color w:val="000000"/>
          <w:sz w:val="24"/>
        </w:rPr>
        <w:t>Q</w:t>
      </w:r>
      <w:r>
        <w:rPr>
          <w:rFonts w:hint="eastAsia"/>
          <w:color w:val="000000"/>
          <w:sz w:val="24"/>
        </w:rPr>
        <w:t>）；</w:t>
      </w:r>
    </w:p>
    <w:p w14:paraId="5A3A2E3B">
      <w:pPr>
        <w:pStyle w:val="63"/>
        <w:jc w:val="center"/>
        <w:rPr>
          <w:rFonts w:ascii="Times New Roman" w:eastAsia="华文中宋" w:cs="Times New Roman"/>
        </w:rPr>
      </w:pPr>
      <w:r>
        <w:rPr>
          <w:rFonts w:ascii="Times New Roman" w:eastAsia="华文中宋" w:cs="Times New Roman"/>
          <w:position w:val="-30"/>
        </w:rPr>
        <w:object>
          <v:shape id="_x0000_i1032" o:spt="75" type="#_x0000_t75" style="height:34.45pt;width:119.1pt;" o:ole="t" filled="f" o:preferrelative="t" stroked="f" coordsize="21600,21600">
            <v:path/>
            <v:fill on="f" focussize="0,0"/>
            <v:stroke on="f" joinstyle="miter"/>
            <v:imagedata r:id="rId51" o:title=""/>
            <o:lock v:ext="edit" aspectratio="t"/>
            <w10:wrap type="none"/>
            <w10:anchorlock/>
          </v:shape>
          <o:OLEObject Type="Embed" ProgID="Equation.KSEE3" ShapeID="_x0000_i1032" DrawAspect="Content" ObjectID="_1468075734" r:id="rId50">
            <o:LockedField>false</o:LockedField>
          </o:OLEObject>
        </w:object>
      </w:r>
    </w:p>
    <w:p w14:paraId="050C7DAE">
      <w:pPr>
        <w:widowControl/>
        <w:spacing w:line="360" w:lineRule="auto"/>
        <w:ind w:firstLine="504" w:firstLineChars="200"/>
        <w:contextualSpacing/>
        <w:rPr>
          <w:color w:val="000000"/>
          <w:spacing w:val="6"/>
          <w:sz w:val="24"/>
          <w:lang w:val="zh-CN"/>
        </w:rPr>
      </w:pPr>
      <w:r>
        <w:rPr>
          <w:color w:val="000000"/>
          <w:spacing w:val="6"/>
          <w:sz w:val="24"/>
          <w:lang w:val="zh-CN"/>
        </w:rPr>
        <w:t>式中：</w:t>
      </w:r>
      <w:r>
        <w:rPr>
          <w:color w:val="000000"/>
          <w:spacing w:val="6"/>
          <w:sz w:val="24"/>
        </w:rPr>
        <w:t>q</w:t>
      </w:r>
      <w:r>
        <w:rPr>
          <w:color w:val="000000"/>
          <w:spacing w:val="6"/>
          <w:sz w:val="24"/>
          <w:vertAlign w:val="subscript"/>
        </w:rPr>
        <w:t>1</w:t>
      </w:r>
      <w:r>
        <w:rPr>
          <w:color w:val="000000"/>
          <w:spacing w:val="6"/>
          <w:sz w:val="24"/>
          <w:lang w:val="zh-CN"/>
        </w:rPr>
        <w:t>，</w:t>
      </w:r>
      <w:r>
        <w:rPr>
          <w:color w:val="000000"/>
          <w:spacing w:val="6"/>
          <w:sz w:val="24"/>
        </w:rPr>
        <w:t>q</w:t>
      </w:r>
      <w:r>
        <w:rPr>
          <w:color w:val="000000"/>
          <w:spacing w:val="6"/>
          <w:sz w:val="24"/>
          <w:vertAlign w:val="subscript"/>
        </w:rPr>
        <w:t>2</w:t>
      </w:r>
      <w:r>
        <w:rPr>
          <w:color w:val="000000"/>
          <w:spacing w:val="6"/>
          <w:sz w:val="24"/>
          <w:lang w:val="zh-CN"/>
        </w:rPr>
        <w:t>，···，</w:t>
      </w:r>
      <w:r>
        <w:rPr>
          <w:color w:val="000000"/>
          <w:spacing w:val="6"/>
          <w:sz w:val="24"/>
        </w:rPr>
        <w:t>q</w:t>
      </w:r>
      <w:r>
        <w:rPr>
          <w:color w:val="000000"/>
          <w:spacing w:val="6"/>
          <w:sz w:val="24"/>
          <w:vertAlign w:val="subscript"/>
        </w:rPr>
        <w:t>n</w:t>
      </w:r>
      <w:r>
        <w:rPr>
          <w:color w:val="000000"/>
          <w:spacing w:val="6"/>
          <w:sz w:val="24"/>
          <w:lang w:val="zh-CN"/>
        </w:rPr>
        <w:t>——每种危险物质的最大存在总量，t；</w:t>
      </w:r>
    </w:p>
    <w:p w14:paraId="4B3E336F">
      <w:pPr>
        <w:widowControl/>
        <w:spacing w:line="360" w:lineRule="auto"/>
        <w:ind w:firstLine="1260" w:firstLineChars="500"/>
        <w:contextualSpacing/>
        <w:rPr>
          <w:color w:val="000000"/>
          <w:spacing w:val="6"/>
          <w:sz w:val="24"/>
          <w:lang w:val="zh-CN"/>
        </w:rPr>
      </w:pPr>
      <w:r>
        <w:rPr>
          <w:color w:val="000000"/>
          <w:spacing w:val="6"/>
          <w:sz w:val="24"/>
        </w:rPr>
        <w:t>W</w:t>
      </w:r>
      <w:r>
        <w:rPr>
          <w:color w:val="000000"/>
          <w:spacing w:val="6"/>
          <w:sz w:val="24"/>
          <w:vertAlign w:val="subscript"/>
          <w:lang w:val="zh-CN"/>
        </w:rPr>
        <w:t>1</w:t>
      </w:r>
      <w:r>
        <w:rPr>
          <w:color w:val="000000"/>
          <w:spacing w:val="6"/>
          <w:sz w:val="24"/>
          <w:lang w:val="zh-CN"/>
        </w:rPr>
        <w:t>，</w:t>
      </w:r>
      <w:r>
        <w:rPr>
          <w:color w:val="000000"/>
          <w:spacing w:val="6"/>
          <w:sz w:val="24"/>
        </w:rPr>
        <w:t>W</w:t>
      </w:r>
      <w:r>
        <w:rPr>
          <w:color w:val="000000"/>
          <w:spacing w:val="6"/>
          <w:sz w:val="24"/>
          <w:vertAlign w:val="subscript"/>
          <w:lang w:val="zh-CN"/>
        </w:rPr>
        <w:t>2</w:t>
      </w:r>
      <w:r>
        <w:rPr>
          <w:color w:val="000000"/>
          <w:spacing w:val="6"/>
          <w:sz w:val="24"/>
          <w:lang w:val="zh-CN"/>
        </w:rPr>
        <w:t>，···，</w:t>
      </w:r>
      <w:r>
        <w:rPr>
          <w:color w:val="000000"/>
          <w:spacing w:val="6"/>
          <w:sz w:val="24"/>
        </w:rPr>
        <w:t>W</w:t>
      </w:r>
      <w:r>
        <w:rPr>
          <w:color w:val="000000"/>
          <w:spacing w:val="6"/>
          <w:sz w:val="24"/>
          <w:vertAlign w:val="subscript"/>
          <w:lang w:val="zh-CN"/>
        </w:rPr>
        <w:t>n</w:t>
      </w:r>
      <w:r>
        <w:rPr>
          <w:color w:val="000000"/>
          <w:spacing w:val="6"/>
          <w:sz w:val="24"/>
          <w:lang w:val="zh-CN"/>
        </w:rPr>
        <w:t>——每种危险物质的临界量，t。</w:t>
      </w:r>
    </w:p>
    <w:p w14:paraId="2C47FE25">
      <w:pPr>
        <w:widowControl/>
        <w:spacing w:line="360" w:lineRule="auto"/>
        <w:ind w:firstLine="1260" w:firstLineChars="500"/>
        <w:contextualSpacing/>
        <w:rPr>
          <w:color w:val="000000"/>
          <w:spacing w:val="6"/>
          <w:sz w:val="24"/>
          <w:lang w:val="zh-CN"/>
        </w:rPr>
      </w:pPr>
      <w:r>
        <w:rPr>
          <w:color w:val="000000"/>
          <w:spacing w:val="6"/>
          <w:sz w:val="24"/>
          <w:lang w:val="zh-CN"/>
        </w:rPr>
        <w:t>当Q＜1时，该项目的环境风险潜势为</w:t>
      </w:r>
      <w:r>
        <w:rPr>
          <w:color w:val="000000"/>
          <w:sz w:val="24"/>
        </w:rPr>
        <w:t>Ⅰ</w:t>
      </w:r>
      <w:r>
        <w:rPr>
          <w:color w:val="000000"/>
          <w:spacing w:val="6"/>
          <w:sz w:val="24"/>
          <w:lang w:val="zh-CN"/>
        </w:rPr>
        <w:t>；</w:t>
      </w:r>
    </w:p>
    <w:p w14:paraId="60ED9C98">
      <w:pPr>
        <w:widowControl/>
        <w:spacing w:line="360" w:lineRule="auto"/>
        <w:ind w:firstLine="1260" w:firstLineChars="500"/>
        <w:contextualSpacing/>
        <w:rPr>
          <w:color w:val="000000"/>
          <w:spacing w:val="6"/>
          <w:sz w:val="24"/>
        </w:rPr>
      </w:pPr>
      <w:r>
        <w:rPr>
          <w:color w:val="000000"/>
          <w:spacing w:val="6"/>
          <w:sz w:val="24"/>
          <w:lang w:val="zh-CN"/>
        </w:rPr>
        <w:t>当Q≥1</w:t>
      </w:r>
      <w:r>
        <w:rPr>
          <w:color w:val="000000"/>
          <w:spacing w:val="6"/>
          <w:sz w:val="24"/>
        </w:rPr>
        <w:t>00时</w:t>
      </w:r>
      <w:r>
        <w:rPr>
          <w:color w:val="000000"/>
          <w:spacing w:val="6"/>
          <w:sz w:val="24"/>
          <w:lang w:val="zh-CN"/>
        </w:rPr>
        <w:t>，将</w:t>
      </w:r>
      <w:r>
        <w:rPr>
          <w:color w:val="000000"/>
          <w:spacing w:val="6"/>
          <w:sz w:val="24"/>
        </w:rPr>
        <w:t>Q值划分为：</w:t>
      </w:r>
      <w:r>
        <w:rPr>
          <w:color w:val="000000"/>
          <w:spacing w:val="6"/>
          <w:sz w:val="24"/>
          <w:lang w:val="zh-CN"/>
        </w:rPr>
        <w:t>1≤Q＜10；1</w:t>
      </w:r>
      <w:r>
        <w:rPr>
          <w:color w:val="000000"/>
          <w:spacing w:val="6"/>
          <w:sz w:val="24"/>
        </w:rPr>
        <w:t>0</w:t>
      </w:r>
      <w:r>
        <w:rPr>
          <w:color w:val="000000"/>
          <w:spacing w:val="6"/>
          <w:sz w:val="24"/>
          <w:lang w:val="zh-CN"/>
        </w:rPr>
        <w:t>≤Q＜10</w:t>
      </w:r>
      <w:r>
        <w:rPr>
          <w:color w:val="000000"/>
          <w:spacing w:val="6"/>
          <w:sz w:val="24"/>
        </w:rPr>
        <w:t>0；</w:t>
      </w:r>
      <w:r>
        <w:rPr>
          <w:color w:val="000000"/>
          <w:spacing w:val="6"/>
          <w:sz w:val="24"/>
          <w:lang w:val="zh-CN"/>
        </w:rPr>
        <w:t>Q≥1</w:t>
      </w:r>
      <w:r>
        <w:rPr>
          <w:color w:val="000000"/>
          <w:spacing w:val="6"/>
          <w:sz w:val="24"/>
        </w:rPr>
        <w:t>00</w:t>
      </w:r>
    </w:p>
    <w:p w14:paraId="169D542E">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③</w:t>
      </w:r>
      <w:r>
        <w:rPr>
          <w:rFonts w:ascii="宋体" w:hAnsi="宋体" w:cs="宋体"/>
          <w:color w:val="000000"/>
          <w:sz w:val="24"/>
          <w:szCs w:val="24"/>
        </w:rPr>
        <w:t>建设项目环境风险潜势判断</w:t>
      </w:r>
    </w:p>
    <w:p w14:paraId="2CB31DD6">
      <w:pPr>
        <w:spacing w:line="360" w:lineRule="auto"/>
        <w:ind w:firstLine="480" w:firstLineChars="200"/>
        <w:rPr>
          <w:color w:val="000000"/>
          <w:sz w:val="24"/>
        </w:rPr>
      </w:pPr>
      <w:r>
        <w:rPr>
          <w:color w:val="000000"/>
          <w:sz w:val="24"/>
        </w:rPr>
        <w:t>根据《建设项目环境风险评价技术导则》（HJ/T 169-2018）以及《危险化学品重大危险源辨识》（GB 18218-2018）中的有毒物质、易燃物质及爆炸性物质名称及临界量的规定，本项目</w:t>
      </w:r>
      <w:r>
        <w:rPr>
          <w:rFonts w:hint="eastAsia"/>
          <w:color w:val="000000"/>
          <w:sz w:val="24"/>
        </w:rPr>
        <w:t>P值计算结果</w:t>
      </w:r>
      <w:r>
        <w:rPr>
          <w:color w:val="000000"/>
          <w:sz w:val="24"/>
        </w:rPr>
        <w:t>见表</w:t>
      </w:r>
      <w:r>
        <w:rPr>
          <w:rFonts w:hint="eastAsia"/>
          <w:color w:val="000000"/>
          <w:sz w:val="24"/>
        </w:rPr>
        <w:t>5.2-</w:t>
      </w:r>
      <w:r>
        <w:rPr>
          <w:rFonts w:hint="eastAsia"/>
          <w:color w:val="000000"/>
          <w:sz w:val="24"/>
          <w:lang w:val="en-US" w:eastAsia="zh-CN"/>
        </w:rPr>
        <w:t>31</w:t>
      </w:r>
      <w:r>
        <w:rPr>
          <w:color w:val="000000"/>
          <w:sz w:val="24"/>
        </w:rPr>
        <w:t>。</w:t>
      </w:r>
    </w:p>
    <w:p w14:paraId="6E8C6C43">
      <w:pPr>
        <w:ind w:firstLine="422" w:firstLineChars="200"/>
        <w:jc w:val="center"/>
        <w:rPr>
          <w:b/>
          <w:bCs/>
          <w:color w:val="000000"/>
          <w:szCs w:val="21"/>
        </w:rPr>
      </w:pPr>
      <w:r>
        <w:rPr>
          <w:rFonts w:hint="eastAsia"/>
          <w:b/>
          <w:bCs/>
          <w:color w:val="000000"/>
          <w:szCs w:val="21"/>
        </w:rPr>
        <w:t>表5.2-</w:t>
      </w:r>
      <w:r>
        <w:rPr>
          <w:rFonts w:hint="eastAsia"/>
          <w:b/>
          <w:bCs/>
          <w:color w:val="000000"/>
          <w:szCs w:val="21"/>
          <w:lang w:val="en-US" w:eastAsia="zh-CN"/>
        </w:rPr>
        <w:t>31</w:t>
      </w:r>
      <w:r>
        <w:rPr>
          <w:rFonts w:hint="eastAsia"/>
          <w:b/>
          <w:bCs/>
          <w:color w:val="000000"/>
          <w:szCs w:val="21"/>
        </w:rPr>
        <w:t xml:space="preserve">   危险化学品重大危险源辨识结果</w:t>
      </w:r>
    </w:p>
    <w:tbl>
      <w:tblPr>
        <w:tblStyle w:val="49"/>
        <w:tblW w:w="4997" w:type="pct"/>
        <w:tblInd w:w="0" w:type="dxa"/>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autofit"/>
        <w:tblCellMar>
          <w:top w:w="0" w:type="dxa"/>
          <w:left w:w="108" w:type="dxa"/>
          <w:bottom w:w="0" w:type="dxa"/>
          <w:right w:w="108" w:type="dxa"/>
        </w:tblCellMar>
      </w:tblPr>
      <w:tblGrid>
        <w:gridCol w:w="604"/>
        <w:gridCol w:w="2083"/>
        <w:gridCol w:w="1101"/>
        <w:gridCol w:w="984"/>
        <w:gridCol w:w="1183"/>
        <w:gridCol w:w="1340"/>
        <w:gridCol w:w="1222"/>
      </w:tblGrid>
      <w:tr w14:paraId="7457EAB9">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81" w:hRule="atLeast"/>
        </w:trPr>
        <w:tc>
          <w:tcPr>
            <w:tcW w:w="364" w:type="pct"/>
            <w:tcBorders>
              <w:tl2br w:val="nil"/>
              <w:tr2bl w:val="nil"/>
            </w:tcBorders>
            <w:vAlign w:val="center"/>
          </w:tcPr>
          <w:p w14:paraId="1C223829">
            <w:pPr>
              <w:pStyle w:val="240"/>
              <w:rPr>
                <w:rFonts w:hint="default"/>
              </w:rPr>
            </w:pPr>
            <w:r>
              <w:rPr>
                <w:rFonts w:hint="default"/>
              </w:rPr>
              <w:t>序号</w:t>
            </w:r>
          </w:p>
        </w:tc>
        <w:tc>
          <w:tcPr>
            <w:tcW w:w="1232" w:type="pct"/>
            <w:tcBorders>
              <w:tl2br w:val="nil"/>
              <w:tr2bl w:val="nil"/>
            </w:tcBorders>
            <w:vAlign w:val="center"/>
          </w:tcPr>
          <w:p w14:paraId="67D12D12">
            <w:pPr>
              <w:pStyle w:val="240"/>
              <w:rPr>
                <w:rFonts w:hint="default"/>
              </w:rPr>
            </w:pPr>
            <w:r>
              <w:rPr>
                <w:rFonts w:hint="default"/>
              </w:rPr>
              <w:t>物质名称</w:t>
            </w:r>
          </w:p>
        </w:tc>
        <w:tc>
          <w:tcPr>
            <w:tcW w:w="656" w:type="pct"/>
            <w:tcBorders>
              <w:tl2br w:val="nil"/>
              <w:tr2bl w:val="nil"/>
            </w:tcBorders>
            <w:vAlign w:val="center"/>
          </w:tcPr>
          <w:p w14:paraId="5EBB03DF">
            <w:pPr>
              <w:pStyle w:val="240"/>
              <w:rPr>
                <w:rFonts w:hint="default"/>
              </w:rPr>
            </w:pPr>
            <w:r>
              <w:rPr>
                <w:rFonts w:hint="default"/>
              </w:rPr>
              <w:t>CAS号</w:t>
            </w:r>
          </w:p>
        </w:tc>
        <w:tc>
          <w:tcPr>
            <w:tcW w:w="587" w:type="pct"/>
            <w:tcBorders>
              <w:tl2br w:val="nil"/>
              <w:tr2bl w:val="nil"/>
            </w:tcBorders>
            <w:vAlign w:val="center"/>
          </w:tcPr>
          <w:p w14:paraId="47907746">
            <w:pPr>
              <w:pStyle w:val="240"/>
              <w:rPr>
                <w:rFonts w:hint="default"/>
              </w:rPr>
            </w:pPr>
            <w:r>
              <w:rPr>
                <w:rFonts w:hint="default"/>
              </w:rPr>
              <w:t>临界量（t）</w:t>
            </w:r>
          </w:p>
        </w:tc>
        <w:tc>
          <w:tcPr>
            <w:tcW w:w="704" w:type="pct"/>
            <w:tcBorders>
              <w:tl2br w:val="nil"/>
              <w:tr2bl w:val="nil"/>
            </w:tcBorders>
            <w:vAlign w:val="center"/>
          </w:tcPr>
          <w:p w14:paraId="0C3C9C8A">
            <w:pPr>
              <w:pStyle w:val="240"/>
              <w:rPr>
                <w:rFonts w:hint="default"/>
              </w:rPr>
            </w:pPr>
            <w:r>
              <w:rPr>
                <w:rFonts w:hint="default"/>
              </w:rPr>
              <w:t>最大储存量（t）</w:t>
            </w:r>
          </w:p>
        </w:tc>
        <w:tc>
          <w:tcPr>
            <w:tcW w:w="726" w:type="pct"/>
            <w:tcBorders>
              <w:tl2br w:val="nil"/>
              <w:tr2bl w:val="nil"/>
            </w:tcBorders>
            <w:vAlign w:val="center"/>
          </w:tcPr>
          <w:p w14:paraId="0C4E0106">
            <w:pPr>
              <w:pStyle w:val="240"/>
              <w:rPr>
                <w:rFonts w:hint="default"/>
              </w:rPr>
            </w:pPr>
            <w:r>
              <w:rPr>
                <w:rFonts w:hint="default"/>
              </w:rPr>
              <w:t>q/Q</w:t>
            </w:r>
          </w:p>
        </w:tc>
        <w:tc>
          <w:tcPr>
            <w:tcW w:w="727" w:type="pct"/>
            <w:tcBorders>
              <w:tl2br w:val="nil"/>
              <w:tr2bl w:val="nil"/>
            </w:tcBorders>
            <w:vAlign w:val="center"/>
          </w:tcPr>
          <w:p w14:paraId="278A0113">
            <w:pPr>
              <w:pStyle w:val="240"/>
              <w:rPr>
                <w:rFonts w:hint="default"/>
              </w:rPr>
            </w:pPr>
            <w:r>
              <w:t>是否构成重大危险源</w:t>
            </w:r>
          </w:p>
        </w:tc>
      </w:tr>
      <w:tr w14:paraId="2D7E6E1A">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417" w:hRule="atLeast"/>
        </w:trPr>
        <w:tc>
          <w:tcPr>
            <w:tcW w:w="364" w:type="pct"/>
            <w:tcBorders>
              <w:tl2br w:val="nil"/>
              <w:tr2bl w:val="nil"/>
            </w:tcBorders>
            <w:vAlign w:val="center"/>
          </w:tcPr>
          <w:p w14:paraId="6BD4BD94">
            <w:pPr>
              <w:pStyle w:val="240"/>
              <w:rPr>
                <w:rFonts w:hint="default"/>
              </w:rPr>
            </w:pPr>
            <w:r>
              <w:rPr>
                <w:rFonts w:hint="default"/>
              </w:rPr>
              <w:t>1</w:t>
            </w:r>
          </w:p>
        </w:tc>
        <w:tc>
          <w:tcPr>
            <w:tcW w:w="1232" w:type="pct"/>
            <w:tcBorders>
              <w:tl2br w:val="nil"/>
              <w:tr2bl w:val="nil"/>
            </w:tcBorders>
            <w:vAlign w:val="center"/>
          </w:tcPr>
          <w:p w14:paraId="5B79D911">
            <w:pPr>
              <w:pStyle w:val="240"/>
              <w:rPr>
                <w:rFonts w:hint="default"/>
              </w:rPr>
            </w:pPr>
            <w:r>
              <w:t>废润滑油</w:t>
            </w:r>
          </w:p>
        </w:tc>
        <w:tc>
          <w:tcPr>
            <w:tcW w:w="656" w:type="pct"/>
            <w:tcBorders>
              <w:tl2br w:val="nil"/>
              <w:tr2bl w:val="nil"/>
            </w:tcBorders>
            <w:vAlign w:val="center"/>
          </w:tcPr>
          <w:p w14:paraId="6C893638">
            <w:pPr>
              <w:pStyle w:val="240"/>
              <w:rPr>
                <w:rFonts w:hint="default"/>
              </w:rPr>
            </w:pPr>
            <w:r>
              <w:t>/</w:t>
            </w:r>
          </w:p>
        </w:tc>
        <w:tc>
          <w:tcPr>
            <w:tcW w:w="587" w:type="pct"/>
            <w:tcBorders>
              <w:tl2br w:val="nil"/>
              <w:tr2bl w:val="nil"/>
            </w:tcBorders>
            <w:vAlign w:val="center"/>
          </w:tcPr>
          <w:p w14:paraId="66F1E266">
            <w:pPr>
              <w:pStyle w:val="240"/>
              <w:rPr>
                <w:rFonts w:hint="default"/>
              </w:rPr>
            </w:pPr>
            <w:r>
              <w:t>2500</w:t>
            </w:r>
          </w:p>
        </w:tc>
        <w:tc>
          <w:tcPr>
            <w:tcW w:w="704" w:type="pct"/>
            <w:tcBorders>
              <w:tl2br w:val="nil"/>
              <w:tr2bl w:val="nil"/>
            </w:tcBorders>
            <w:vAlign w:val="center"/>
          </w:tcPr>
          <w:p w14:paraId="68875E29">
            <w:pPr>
              <w:pStyle w:val="240"/>
              <w:rPr>
                <w:rFonts w:hint="default"/>
              </w:rPr>
            </w:pPr>
            <w:r>
              <w:t>0.12</w:t>
            </w:r>
          </w:p>
        </w:tc>
        <w:tc>
          <w:tcPr>
            <w:tcW w:w="726" w:type="pct"/>
            <w:tcBorders>
              <w:tl2br w:val="nil"/>
              <w:tr2bl w:val="nil"/>
            </w:tcBorders>
            <w:vAlign w:val="center"/>
          </w:tcPr>
          <w:p w14:paraId="2C343572">
            <w:pPr>
              <w:pStyle w:val="240"/>
              <w:rPr>
                <w:rFonts w:hint="default"/>
              </w:rPr>
            </w:pPr>
            <w:r>
              <w:rPr>
                <w:sz w:val="24"/>
                <w:szCs w:val="24"/>
              </w:rPr>
              <w:t>0.000048</w:t>
            </w:r>
            <w:r>
              <w:rPr>
                <w:rFonts w:hint="default"/>
              </w:rPr>
              <w:t>&lt;1</w:t>
            </w:r>
          </w:p>
        </w:tc>
        <w:tc>
          <w:tcPr>
            <w:tcW w:w="727" w:type="pct"/>
            <w:tcBorders>
              <w:tl2br w:val="nil"/>
              <w:tr2bl w:val="nil"/>
            </w:tcBorders>
            <w:vAlign w:val="center"/>
          </w:tcPr>
          <w:p w14:paraId="69F31520">
            <w:pPr>
              <w:pStyle w:val="240"/>
              <w:rPr>
                <w:rFonts w:hint="default"/>
              </w:rPr>
            </w:pPr>
            <w:r>
              <w:t>否</w:t>
            </w:r>
          </w:p>
        </w:tc>
      </w:tr>
    </w:tbl>
    <w:p w14:paraId="6652B07D">
      <w:pPr>
        <w:spacing w:line="360" w:lineRule="auto"/>
        <w:ind w:firstLine="480" w:firstLineChars="200"/>
        <w:rPr>
          <w:color w:val="000000"/>
          <w:sz w:val="24"/>
        </w:rPr>
      </w:pPr>
      <w:r>
        <w:rPr>
          <w:rFonts w:hint="eastAsia"/>
          <w:color w:val="000000"/>
          <w:sz w:val="24"/>
        </w:rPr>
        <w:t>通过上表可以判定：项目q/Q=</w:t>
      </w:r>
      <w:r>
        <w:rPr>
          <w:rFonts w:hint="eastAsia"/>
          <w:color w:val="000000"/>
          <w:sz w:val="24"/>
          <w:szCs w:val="24"/>
        </w:rPr>
        <w:t>0.000048</w:t>
      </w:r>
      <w:r>
        <w:rPr>
          <w:rFonts w:hint="eastAsia"/>
          <w:color w:val="000000"/>
          <w:sz w:val="24"/>
        </w:rPr>
        <w:t>，</w:t>
      </w:r>
      <w:r>
        <w:rPr>
          <w:color w:val="000000"/>
          <w:sz w:val="24"/>
          <w:lang w:val="zh-CN"/>
        </w:rPr>
        <w:t>Q＜1</w:t>
      </w:r>
      <w:r>
        <w:rPr>
          <w:rFonts w:hint="eastAsia"/>
          <w:color w:val="000000"/>
          <w:sz w:val="24"/>
          <w:lang w:val="zh-CN"/>
        </w:rPr>
        <w:t>，</w:t>
      </w:r>
      <w:r>
        <w:rPr>
          <w:rFonts w:hint="eastAsia"/>
          <w:color w:val="000000"/>
          <w:sz w:val="24"/>
        </w:rPr>
        <w:t>不构成重大危险源。根据《建设项目环境风险评价技术导则》（HJ169-2018）中规定，</w:t>
      </w:r>
      <w:r>
        <w:rPr>
          <w:color w:val="000000"/>
          <w:sz w:val="24"/>
          <w:lang w:val="zh-CN"/>
        </w:rPr>
        <w:t>当Q＜1时，项目的环境风险潜势</w:t>
      </w:r>
      <w:r>
        <w:rPr>
          <w:rFonts w:hint="eastAsia"/>
          <w:color w:val="000000"/>
          <w:sz w:val="24"/>
          <w:lang w:val="zh-CN"/>
        </w:rPr>
        <w:t>直接判定</w:t>
      </w:r>
      <w:r>
        <w:rPr>
          <w:color w:val="000000"/>
          <w:sz w:val="24"/>
          <w:lang w:val="zh-CN"/>
        </w:rPr>
        <w:t>为</w:t>
      </w:r>
      <w:r>
        <w:rPr>
          <w:color w:val="000000"/>
          <w:sz w:val="24"/>
        </w:rPr>
        <w:t>Ⅰ</w:t>
      </w:r>
      <w:r>
        <w:rPr>
          <w:rFonts w:hint="eastAsia"/>
          <w:color w:val="000000"/>
          <w:sz w:val="24"/>
        </w:rPr>
        <w:t>，所以本项目环境潜势为Ⅰ。</w:t>
      </w:r>
    </w:p>
    <w:p w14:paraId="0CF309EA">
      <w:pPr>
        <w:pStyle w:val="5"/>
        <w:rPr>
          <w:rFonts w:ascii="Times New Roman" w:hAnsi="Times New Roman"/>
          <w:color w:val="000000"/>
          <w:lang w:val="en-US"/>
        </w:rPr>
      </w:pPr>
      <w:bookmarkStart w:id="325" w:name="_Toc23954"/>
      <w:bookmarkStart w:id="326" w:name="_Toc24396"/>
      <w:bookmarkStart w:id="327" w:name="_Toc3553"/>
      <w:bookmarkStart w:id="328" w:name="_Toc20189"/>
      <w:bookmarkStart w:id="329" w:name="_Toc3781"/>
      <w:bookmarkStart w:id="330" w:name="_Toc8150"/>
      <w:r>
        <w:rPr>
          <w:rFonts w:hint="eastAsia" w:ascii="Times New Roman" w:hAnsi="Times New Roman"/>
          <w:color w:val="000000"/>
          <w:lang w:val="en-US"/>
        </w:rPr>
        <w:t>5.2.7.</w:t>
      </w:r>
      <w:r>
        <w:rPr>
          <w:rFonts w:hint="eastAsia" w:ascii="Times New Roman" w:hAnsi="Times New Roman"/>
          <w:color w:val="000000"/>
          <w:lang w:val="en-US" w:eastAsia="zh-CN"/>
        </w:rPr>
        <w:t>4</w:t>
      </w:r>
      <w:r>
        <w:rPr>
          <w:rFonts w:ascii="Times New Roman" w:hAnsi="Times New Roman"/>
          <w:color w:val="000000"/>
          <w:lang w:val="en-US"/>
        </w:rPr>
        <w:t>环境风险识别</w:t>
      </w:r>
      <w:bookmarkEnd w:id="325"/>
      <w:bookmarkEnd w:id="326"/>
      <w:bookmarkEnd w:id="327"/>
    </w:p>
    <w:p w14:paraId="1D0B8DD2">
      <w:pPr>
        <w:spacing w:line="360" w:lineRule="auto"/>
        <w:ind w:firstLine="480" w:firstLineChars="200"/>
        <w:rPr>
          <w:rFonts w:hint="eastAsia" w:ascii="Times New Roman" w:hAnsi="Times New Roman" w:eastAsia="宋体" w:cs="Times New Roman"/>
          <w:color w:val="000000"/>
          <w:sz w:val="24"/>
        </w:rPr>
      </w:pPr>
      <w:bookmarkStart w:id="331" w:name="_Toc12111"/>
      <w:bookmarkStart w:id="332" w:name="_Toc181"/>
      <w:bookmarkStart w:id="333" w:name="_Toc25687_WPSOffice_Level3"/>
      <w:r>
        <w:rPr>
          <w:rFonts w:hint="eastAsia" w:ascii="Times New Roman" w:hAnsi="Times New Roman" w:eastAsia="宋体" w:cs="Times New Roman"/>
          <w:color w:val="000000"/>
          <w:sz w:val="24"/>
        </w:rPr>
        <w:t>根据《关于进一步加强环境影响评价管理防范环境风险的通知</w:t>
      </w:r>
      <w:r>
        <w:rPr>
          <w:rFonts w:hint="eastAsia" w:ascii="Times New Roman" w:hAnsi="Times New Roman" w:eastAsia="宋体" w:cs="Times New Roman"/>
          <w:color w:val="000000"/>
          <w:sz w:val="24"/>
          <w:lang w:eastAsia="zh-CN"/>
        </w:rPr>
        <w:t>（</w:t>
      </w:r>
      <w:r>
        <w:rPr>
          <w:rFonts w:hint="eastAsia" w:ascii="Times New Roman" w:hAnsi="Times New Roman" w:eastAsia="宋体" w:cs="Times New Roman"/>
          <w:color w:val="000000"/>
          <w:sz w:val="24"/>
        </w:rPr>
        <w:t>环发</w:t>
      </w:r>
      <w:r>
        <w:rPr>
          <w:rFonts w:hint="eastAsia" w:cs="Times New Roman"/>
          <w:color w:val="000000"/>
          <w:sz w:val="24"/>
          <w:lang w:eastAsia="zh-CN"/>
        </w:rPr>
        <w:t>〔2012〕77号</w:t>
      </w:r>
      <w:r>
        <w:rPr>
          <w:rFonts w:hint="eastAsia" w:ascii="Times New Roman" w:hAnsi="Times New Roman" w:eastAsia="宋体" w:cs="Times New Roman"/>
          <w:color w:val="000000"/>
          <w:sz w:val="24"/>
          <w:lang w:eastAsia="zh-CN"/>
        </w:rPr>
        <w:t>）</w:t>
      </w:r>
      <w:r>
        <w:rPr>
          <w:rFonts w:hint="eastAsia" w:ascii="Times New Roman" w:hAnsi="Times New Roman" w:eastAsia="宋体" w:cs="Times New Roman"/>
          <w:color w:val="000000"/>
          <w:sz w:val="24"/>
        </w:rPr>
        <w:t>的要求，应从环境风险源、扩散途径、保护目标三方面识别环境风险。环境风险识别应包括生产设施和危险物质的识别，有毒有害物质扩散途径的识别</w:t>
      </w:r>
      <w:r>
        <w:rPr>
          <w:rFonts w:hint="eastAsia" w:ascii="Times New Roman" w:hAnsi="Times New Roman" w:eastAsia="宋体" w:cs="Times New Roman"/>
          <w:color w:val="000000"/>
          <w:sz w:val="24"/>
          <w:lang w:eastAsia="zh-CN"/>
        </w:rPr>
        <w:t>（</w:t>
      </w:r>
      <w:r>
        <w:rPr>
          <w:rFonts w:hint="eastAsia" w:ascii="Times New Roman" w:hAnsi="Times New Roman" w:eastAsia="宋体" w:cs="Times New Roman"/>
          <w:color w:val="000000"/>
          <w:sz w:val="24"/>
        </w:rPr>
        <w:t>如大气环境、水环境、土壤等</w:t>
      </w:r>
      <w:r>
        <w:rPr>
          <w:rFonts w:hint="eastAsia" w:ascii="Times New Roman" w:hAnsi="Times New Roman" w:eastAsia="宋体" w:cs="Times New Roman"/>
          <w:color w:val="000000"/>
          <w:sz w:val="24"/>
          <w:lang w:eastAsia="zh-CN"/>
        </w:rPr>
        <w:t>）</w:t>
      </w:r>
      <w:r>
        <w:rPr>
          <w:rFonts w:hint="eastAsia" w:ascii="Times New Roman" w:hAnsi="Times New Roman" w:eastAsia="宋体" w:cs="Times New Roman"/>
          <w:color w:val="000000"/>
          <w:sz w:val="24"/>
        </w:rPr>
        <w:t>以及可能受影响的环境保护目标的识别。</w:t>
      </w:r>
    </w:p>
    <w:p w14:paraId="320E9934">
      <w:pPr>
        <w:spacing w:line="360" w:lineRule="auto"/>
        <w:ind w:firstLine="482" w:firstLineChars="200"/>
        <w:rPr>
          <w:b/>
          <w:bCs/>
          <w:color w:val="000000"/>
          <w:sz w:val="24"/>
          <w:szCs w:val="24"/>
        </w:rPr>
      </w:pPr>
      <w:r>
        <w:rPr>
          <w:rFonts w:hint="eastAsia"/>
          <w:b/>
          <w:bCs/>
          <w:color w:val="000000"/>
          <w:sz w:val="24"/>
          <w:szCs w:val="24"/>
          <w:lang w:val="en-US" w:eastAsia="zh-CN"/>
        </w:rPr>
        <w:t>1、</w:t>
      </w:r>
      <w:r>
        <w:rPr>
          <w:rFonts w:hint="eastAsia"/>
          <w:b/>
          <w:bCs/>
          <w:color w:val="000000"/>
          <w:sz w:val="24"/>
          <w:szCs w:val="24"/>
        </w:rPr>
        <w:t>风险识别的范围和类型</w:t>
      </w:r>
      <w:bookmarkEnd w:id="331"/>
      <w:bookmarkEnd w:id="332"/>
      <w:bookmarkEnd w:id="333"/>
    </w:p>
    <w:p w14:paraId="0752BC7D">
      <w:pPr>
        <w:pStyle w:val="38"/>
        <w:ind w:left="0" w:firstLine="0"/>
        <w:rPr>
          <w:rFonts w:ascii="宋体" w:hAnsi="宋体" w:eastAsia="宋体" w:cs="宋体"/>
          <w:sz w:val="24"/>
          <w:szCs w:val="24"/>
        </w:rPr>
      </w:pPr>
      <w:r>
        <w:rPr>
          <w:rFonts w:hint="eastAsia"/>
          <w:color w:val="000000"/>
        </w:rPr>
        <w:t xml:space="preserve">   </w:t>
      </w:r>
      <w:r>
        <w:rPr>
          <w:rFonts w:hint="eastAsia"/>
          <w:color w:val="000000"/>
          <w:lang w:val="en-US" w:eastAsia="zh-CN"/>
        </w:rPr>
        <w:t xml:space="preserve"> </w:t>
      </w:r>
      <w:r>
        <w:rPr>
          <w:rFonts w:ascii="宋体" w:hAnsi="宋体" w:eastAsia="宋体" w:cs="宋体"/>
          <w:sz w:val="24"/>
          <w:szCs w:val="24"/>
        </w:rPr>
        <w:t xml:space="preserve">根据《建设项目环境风险评价技术导则》（HJ169-2018）内容，环境风险识别包括三个方面的内容： </w:t>
      </w:r>
    </w:p>
    <w:p w14:paraId="4F10CDC3">
      <w:pPr>
        <w:pStyle w:val="38"/>
        <w:numPr>
          <w:ilvl w:val="0"/>
          <w:numId w:val="5"/>
        </w:numPr>
        <w:ind w:left="0" w:firstLine="480" w:firstLineChars="200"/>
        <w:rPr>
          <w:rFonts w:ascii="宋体" w:hAnsi="宋体" w:eastAsia="宋体" w:cs="宋体"/>
          <w:sz w:val="24"/>
          <w:szCs w:val="24"/>
        </w:rPr>
      </w:pPr>
      <w:r>
        <w:rPr>
          <w:rFonts w:ascii="宋体" w:hAnsi="宋体" w:eastAsia="宋体" w:cs="宋体"/>
          <w:sz w:val="24"/>
          <w:szCs w:val="24"/>
        </w:rPr>
        <w:t xml:space="preserve">物质危险性识别，包括主要原辅材料、燃料、中间产品、副产品、最终产品、污染物、火灾和爆炸伴生/次生物等。 </w:t>
      </w:r>
    </w:p>
    <w:p w14:paraId="2C54C31D">
      <w:pPr>
        <w:bidi w:val="0"/>
        <w:adjustRightInd w:val="0"/>
        <w:snapToGrid w:val="0"/>
        <w:spacing w:line="440" w:lineRule="exact"/>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val="en-US"/>
        </w:rPr>
        <w:t>（2）生产系统危险性识别，包括主要生产装置、储运设施、公用工程和辅助生产设施，以及环境保护设施等。</w:t>
      </w:r>
    </w:p>
    <w:p w14:paraId="53B25939">
      <w:pPr>
        <w:bidi w:val="0"/>
        <w:adjustRightInd w:val="0"/>
        <w:snapToGrid w:val="0"/>
        <w:spacing w:line="440" w:lineRule="exact"/>
        <w:ind w:firstLine="480" w:firstLineChars="200"/>
      </w:pPr>
      <w:r>
        <w:rPr>
          <w:rFonts w:hint="default" w:ascii="Times New Roman" w:hAnsi="Times New Roman" w:eastAsia="宋体" w:cs="Times New Roman"/>
          <w:color w:val="auto"/>
          <w:sz w:val="24"/>
          <w:szCs w:val="24"/>
          <w:lang w:val="en-US"/>
        </w:rPr>
        <w:t>（3）危险物质向环境转移的途径识别，包括分析危险物质特性及可能的环境风险类型，识别危险物质影响环境的途径，分析可能影响的环境敏感目标。</w:t>
      </w:r>
    </w:p>
    <w:p w14:paraId="4558C64F">
      <w:pPr>
        <w:adjustRightInd w:val="0"/>
        <w:snapToGrid w:val="0"/>
        <w:spacing w:line="440" w:lineRule="exact"/>
        <w:ind w:firstLine="482" w:firstLineChars="200"/>
        <w:rPr>
          <w:rFonts w:ascii="Times New Roman" w:hAnsi="Times New Roman" w:eastAsia="宋体" w:cs="Times New Roman"/>
          <w:b/>
          <w:bCs/>
          <w:color w:val="auto"/>
          <w:sz w:val="24"/>
          <w:szCs w:val="24"/>
        </w:rPr>
      </w:pPr>
      <w:r>
        <w:rPr>
          <w:rFonts w:hint="eastAsia" w:ascii="Times New Roman" w:hAnsi="Times New Roman" w:eastAsia="宋体" w:cs="Times New Roman"/>
          <w:b/>
          <w:bCs/>
          <w:color w:val="auto"/>
          <w:sz w:val="24"/>
          <w:szCs w:val="24"/>
          <w:lang w:val="en-US" w:eastAsia="zh-CN"/>
        </w:rPr>
        <w:t>2、</w:t>
      </w:r>
      <w:r>
        <w:rPr>
          <w:rFonts w:hint="eastAsia" w:ascii="Times New Roman" w:hAnsi="Times New Roman" w:eastAsia="宋体" w:cs="Times New Roman"/>
          <w:b/>
          <w:bCs/>
          <w:color w:val="auto"/>
          <w:sz w:val="24"/>
          <w:szCs w:val="24"/>
        </w:rPr>
        <w:t>原料的危险性识别</w:t>
      </w:r>
    </w:p>
    <w:p w14:paraId="4113F6C4">
      <w:pPr>
        <w:adjustRightInd w:val="0"/>
        <w:snapToGrid w:val="0"/>
        <w:spacing w:line="440" w:lineRule="exact"/>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危险化学品的危害特性主要包括火灾爆炸危险性、人体健康危险性以及反应危险性。本项目生产过程中并未使用有毒物质，原材料为聚乙烯及润滑油等，属于可燃性危险源。</w:t>
      </w:r>
    </w:p>
    <w:p w14:paraId="4354D9C5">
      <w:pPr>
        <w:adjustRightInd w:val="0"/>
        <w:snapToGrid w:val="0"/>
        <w:spacing w:line="440" w:lineRule="exact"/>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根据《建设项目环境风险评价技术导则》（HJ169-2018）和《危险化学品重大危险源辨识》（GB18218-2018）和《危险化学品目录（</w:t>
      </w:r>
      <w:r>
        <w:rPr>
          <w:rFonts w:ascii="Times New Roman" w:hAnsi="Times New Roman" w:eastAsia="宋体" w:cs="Times New Roman"/>
          <w:color w:val="auto"/>
          <w:sz w:val="24"/>
          <w:szCs w:val="24"/>
        </w:rPr>
        <w:t>2015</w:t>
      </w:r>
      <w:r>
        <w:rPr>
          <w:rFonts w:hint="eastAsia" w:ascii="Times New Roman" w:hAnsi="Times New Roman" w:eastAsia="宋体" w:cs="Times New Roman"/>
          <w:color w:val="auto"/>
          <w:sz w:val="24"/>
          <w:szCs w:val="24"/>
        </w:rPr>
        <w:t>版）》</w:t>
      </w:r>
      <w:r>
        <w:rPr>
          <w:rFonts w:hint="eastAsia" w:ascii="Times New Roman" w:hAnsi="Times New Roman" w:eastAsia="宋体" w:cs="Times New Roman"/>
          <w:color w:val="auto"/>
          <w:sz w:val="24"/>
          <w:szCs w:val="24"/>
          <w:lang w:eastAsia="zh-CN"/>
        </w:rPr>
        <w:t>（公告2022年第8号修正）</w:t>
      </w:r>
      <w:r>
        <w:rPr>
          <w:rFonts w:hint="eastAsia" w:ascii="Times New Roman" w:hAnsi="Times New Roman" w:eastAsia="宋体" w:cs="Times New Roman"/>
          <w:color w:val="auto"/>
          <w:sz w:val="24"/>
          <w:szCs w:val="24"/>
        </w:rPr>
        <w:t>的有关规定，本项目在生产过程中使用的主要原材料为聚乙烯，未被列入《危险化学品重大危险源辨识》（</w:t>
      </w:r>
      <w:r>
        <w:rPr>
          <w:rFonts w:ascii="Times New Roman" w:hAnsi="Times New Roman" w:eastAsia="宋体" w:cs="Times New Roman"/>
          <w:color w:val="auto"/>
          <w:sz w:val="24"/>
          <w:szCs w:val="24"/>
        </w:rPr>
        <w:t>GB18218-201</w:t>
      </w:r>
      <w:r>
        <w:rPr>
          <w:rFonts w:hint="eastAsia" w:ascii="Times New Roman" w:hAnsi="Times New Roman" w:eastAsia="宋体" w:cs="Times New Roman"/>
          <w:color w:val="auto"/>
          <w:sz w:val="24"/>
          <w:szCs w:val="24"/>
        </w:rPr>
        <w:t>8）监控目录，</w:t>
      </w:r>
      <w:r>
        <w:rPr>
          <w:rFonts w:ascii="Times New Roman" w:hAnsi="Times New Roman" w:eastAsia="宋体" w:cs="Times New Roman"/>
          <w:color w:val="auto"/>
          <w:sz w:val="24"/>
          <w:szCs w:val="24"/>
        </w:rPr>
        <w:t>项目涉及的危险物质主要为</w:t>
      </w:r>
      <w:r>
        <w:rPr>
          <w:rFonts w:hint="eastAsia" w:ascii="Times New Roman" w:hAnsi="Times New Roman" w:eastAsia="宋体" w:cs="Times New Roman"/>
          <w:color w:val="auto"/>
          <w:sz w:val="24"/>
          <w:szCs w:val="24"/>
          <w:lang w:val="en-US" w:eastAsia="zh-CN"/>
        </w:rPr>
        <w:t>废</w:t>
      </w:r>
      <w:r>
        <w:rPr>
          <w:rFonts w:hint="eastAsia" w:ascii="Times New Roman" w:hAnsi="Times New Roman" w:eastAsia="宋体" w:cs="Times New Roman"/>
          <w:color w:val="auto"/>
          <w:sz w:val="24"/>
          <w:szCs w:val="24"/>
        </w:rPr>
        <w:t>润滑油</w:t>
      </w:r>
      <w:r>
        <w:rPr>
          <w:rFonts w:ascii="Times New Roman" w:hAnsi="Times New Roman" w:eastAsia="宋体" w:cs="Times New Roman"/>
          <w:color w:val="auto"/>
          <w:sz w:val="24"/>
          <w:szCs w:val="24"/>
        </w:rPr>
        <w:t>。</w:t>
      </w:r>
    </w:p>
    <w:p w14:paraId="6E3A6026">
      <w:pPr>
        <w:adjustRightInd w:val="0"/>
        <w:snapToGrid w:val="0"/>
        <w:spacing w:line="440" w:lineRule="exact"/>
        <w:ind w:firstLine="482" w:firstLineChars="200"/>
        <w:rPr>
          <w:rFonts w:ascii="Times New Roman" w:hAnsi="Times New Roman" w:eastAsia="宋体" w:cs="Times New Roman"/>
          <w:b/>
          <w:bCs/>
          <w:color w:val="auto"/>
          <w:sz w:val="24"/>
          <w:szCs w:val="24"/>
        </w:rPr>
      </w:pPr>
      <w:r>
        <w:rPr>
          <w:rFonts w:hint="eastAsia" w:ascii="Times New Roman" w:hAnsi="Times New Roman" w:eastAsia="宋体" w:cs="Times New Roman"/>
          <w:b/>
          <w:bCs/>
          <w:color w:val="auto"/>
          <w:sz w:val="24"/>
          <w:szCs w:val="24"/>
          <w:lang w:val="en-US" w:eastAsia="zh-CN"/>
        </w:rPr>
        <w:t>3、</w:t>
      </w:r>
      <w:r>
        <w:rPr>
          <w:rFonts w:hint="eastAsia" w:ascii="Times New Roman" w:hAnsi="Times New Roman" w:eastAsia="宋体" w:cs="Times New Roman"/>
          <w:b/>
          <w:bCs/>
          <w:color w:val="auto"/>
          <w:sz w:val="24"/>
          <w:szCs w:val="24"/>
        </w:rPr>
        <w:t>产品识别</w:t>
      </w:r>
    </w:p>
    <w:p w14:paraId="72C450B9">
      <w:pPr>
        <w:adjustRightInd w:val="0"/>
        <w:snapToGrid w:val="0"/>
        <w:spacing w:line="440" w:lineRule="exact"/>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本项目以废旧滴灌带</w:t>
      </w: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val="en-US" w:eastAsia="zh-CN"/>
        </w:rPr>
        <w:t>废地膜</w:t>
      </w:r>
      <w:r>
        <w:rPr>
          <w:rFonts w:hint="eastAsia" w:ascii="Times New Roman" w:hAnsi="Times New Roman" w:eastAsia="宋体" w:cs="Times New Roman"/>
          <w:color w:val="auto"/>
          <w:sz w:val="24"/>
          <w:szCs w:val="24"/>
        </w:rPr>
        <w:t>为主要原料，配以新料生产塑料滴灌带</w:t>
      </w: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rPr>
        <w:t>地膜及</w:t>
      </w:r>
      <w:r>
        <w:rPr>
          <w:rFonts w:hint="eastAsia" w:ascii="Times New Roman" w:hAnsi="Times New Roman" w:eastAsia="宋体" w:cs="Times New Roman"/>
          <w:color w:val="auto"/>
          <w:sz w:val="24"/>
          <w:szCs w:val="24"/>
          <w:lang w:val="en-US" w:eastAsia="zh-CN"/>
        </w:rPr>
        <w:t>井盖</w:t>
      </w:r>
      <w:r>
        <w:rPr>
          <w:rFonts w:hint="eastAsia" w:ascii="Times New Roman" w:hAnsi="Times New Roman" w:eastAsia="宋体" w:cs="Times New Roman"/>
          <w:color w:val="auto"/>
          <w:sz w:val="24"/>
          <w:szCs w:val="24"/>
        </w:rPr>
        <w:t>产品，经查《危险化学品目录（</w:t>
      </w:r>
      <w:r>
        <w:rPr>
          <w:rFonts w:ascii="Times New Roman" w:hAnsi="Times New Roman" w:eastAsia="宋体" w:cs="Times New Roman"/>
          <w:color w:val="auto"/>
          <w:sz w:val="24"/>
          <w:szCs w:val="24"/>
        </w:rPr>
        <w:t>2015</w:t>
      </w:r>
      <w:r>
        <w:rPr>
          <w:rFonts w:hint="eastAsia" w:ascii="Times New Roman" w:hAnsi="Times New Roman" w:eastAsia="宋体" w:cs="Times New Roman"/>
          <w:color w:val="auto"/>
          <w:sz w:val="24"/>
          <w:szCs w:val="24"/>
        </w:rPr>
        <w:t>）》</w:t>
      </w:r>
      <w:r>
        <w:rPr>
          <w:rFonts w:hint="eastAsia" w:ascii="Times New Roman" w:hAnsi="Times New Roman" w:eastAsia="宋体" w:cs="Times New Roman"/>
          <w:color w:val="auto"/>
          <w:sz w:val="24"/>
          <w:szCs w:val="24"/>
          <w:lang w:eastAsia="zh-CN"/>
        </w:rPr>
        <w:t>（公告2022年第8号修正）</w:t>
      </w:r>
      <w:r>
        <w:rPr>
          <w:rFonts w:hint="eastAsia" w:ascii="Times New Roman" w:hAnsi="Times New Roman" w:eastAsia="宋体" w:cs="Times New Roman"/>
          <w:color w:val="auto"/>
          <w:sz w:val="24"/>
          <w:szCs w:val="24"/>
        </w:rPr>
        <w:t>，本项目产品不属于危险化学品，对照《建设项目环境风险评价技术导则》（</w:t>
      </w:r>
      <w:r>
        <w:rPr>
          <w:rFonts w:ascii="Times New Roman" w:hAnsi="Times New Roman" w:eastAsia="宋体" w:cs="Times New Roman"/>
          <w:color w:val="auto"/>
          <w:sz w:val="24"/>
          <w:szCs w:val="24"/>
        </w:rPr>
        <w:t>HJ169-2018</w:t>
      </w:r>
      <w:r>
        <w:rPr>
          <w:rFonts w:hint="eastAsia" w:ascii="Times New Roman" w:hAnsi="Times New Roman" w:eastAsia="宋体" w:cs="Times New Roman"/>
          <w:color w:val="auto"/>
          <w:sz w:val="24"/>
          <w:szCs w:val="24"/>
        </w:rPr>
        <w:t>）不属于有毒物质。</w:t>
      </w:r>
    </w:p>
    <w:p w14:paraId="1BA94B22">
      <w:pPr>
        <w:adjustRightInd w:val="0"/>
        <w:snapToGrid w:val="0"/>
        <w:spacing w:line="440" w:lineRule="exact"/>
        <w:ind w:firstLine="482" w:firstLineChars="200"/>
        <w:rPr>
          <w:rFonts w:ascii="Times New Roman" w:hAnsi="Times New Roman" w:eastAsia="宋体" w:cs="Times New Roman"/>
          <w:b/>
          <w:bCs/>
          <w:color w:val="auto"/>
          <w:sz w:val="24"/>
          <w:szCs w:val="24"/>
        </w:rPr>
      </w:pPr>
      <w:r>
        <w:rPr>
          <w:rFonts w:hint="eastAsia" w:ascii="Times New Roman" w:hAnsi="Times New Roman" w:eastAsia="宋体" w:cs="Times New Roman"/>
          <w:b/>
          <w:bCs/>
          <w:color w:val="auto"/>
          <w:sz w:val="24"/>
          <w:szCs w:val="24"/>
          <w:lang w:val="en-US" w:eastAsia="zh-CN"/>
        </w:rPr>
        <w:t>4、</w:t>
      </w:r>
      <w:r>
        <w:rPr>
          <w:rFonts w:hint="eastAsia" w:ascii="Times New Roman" w:hAnsi="Times New Roman" w:eastAsia="宋体" w:cs="Times New Roman"/>
          <w:b/>
          <w:bCs/>
          <w:color w:val="auto"/>
          <w:sz w:val="24"/>
          <w:szCs w:val="24"/>
        </w:rPr>
        <w:t>“三废”污染物识别</w:t>
      </w:r>
    </w:p>
    <w:p w14:paraId="33593473">
      <w:pPr>
        <w:bidi w:val="0"/>
        <w:adjustRightInd w:val="0"/>
        <w:snapToGrid w:val="0"/>
        <w:spacing w:line="440" w:lineRule="exact"/>
        <w:ind w:firstLine="480" w:firstLineChars="200"/>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rPr>
        <w:t>项目产生的污染物主要包括废气、废水和固体废物，本项目废水主要为生产废水和生活污水，生产废水主要污染因子为</w:t>
      </w:r>
      <w:r>
        <w:rPr>
          <w:rFonts w:ascii="Times New Roman" w:hAnsi="Times New Roman" w:eastAsia="宋体" w:cs="Times New Roman"/>
          <w:color w:val="auto"/>
          <w:sz w:val="24"/>
          <w:szCs w:val="24"/>
        </w:rPr>
        <w:t>SS</w:t>
      </w:r>
      <w:r>
        <w:rPr>
          <w:rFonts w:hint="eastAsia" w:ascii="Times New Roman" w:hAnsi="Times New Roman" w:eastAsia="宋体" w:cs="Times New Roman"/>
          <w:color w:val="auto"/>
          <w:sz w:val="24"/>
          <w:szCs w:val="24"/>
        </w:rPr>
        <w:t>；固体废物主要是一般固体废弃物、危险废物和生活垃圾，废气主要是</w:t>
      </w:r>
      <w:r>
        <w:rPr>
          <w:rFonts w:hint="eastAsia" w:ascii="Times New Roman" w:hAnsi="Times New Roman" w:eastAsia="宋体" w:cs="Times New Roman"/>
          <w:color w:val="auto"/>
          <w:sz w:val="24"/>
          <w:szCs w:val="24"/>
          <w:lang w:val="en-US" w:eastAsia="zh-CN"/>
        </w:rPr>
        <w:t>颗粒物</w:t>
      </w:r>
      <w:r>
        <w:rPr>
          <w:rFonts w:hint="eastAsia" w:ascii="Times New Roman" w:hAnsi="Times New Roman" w:eastAsia="宋体" w:cs="Times New Roman"/>
          <w:color w:val="auto"/>
          <w:sz w:val="24"/>
          <w:szCs w:val="24"/>
          <w:lang w:eastAsia="zh-CN"/>
        </w:rPr>
        <w:t>、</w:t>
      </w:r>
      <w:r>
        <w:rPr>
          <w:rFonts w:ascii="Times New Roman" w:hAnsi="Times New Roman" w:eastAsia="宋体" w:cs="Times New Roman"/>
          <w:color w:val="auto"/>
          <w:sz w:val="24"/>
          <w:szCs w:val="24"/>
        </w:rPr>
        <w:t>VOCs</w:t>
      </w:r>
      <w:r>
        <w:rPr>
          <w:rFonts w:hint="eastAsia" w:ascii="Times New Roman" w:hAnsi="Times New Roman" w:eastAsia="宋体" w:cs="Times New Roman"/>
          <w:color w:val="auto"/>
          <w:sz w:val="24"/>
          <w:szCs w:val="24"/>
        </w:rPr>
        <w:t>，</w:t>
      </w:r>
      <w:r>
        <w:rPr>
          <w:rFonts w:ascii="Times New Roman" w:hAnsi="Times New Roman" w:eastAsia="宋体" w:cs="Times New Roman"/>
          <w:color w:val="auto"/>
          <w:sz w:val="24"/>
          <w:szCs w:val="24"/>
        </w:rPr>
        <w:t>VOCs</w:t>
      </w:r>
      <w:r>
        <w:rPr>
          <w:rFonts w:hint="eastAsia" w:ascii="Times New Roman" w:hAnsi="Times New Roman" w:eastAsia="宋体" w:cs="Times New Roman"/>
          <w:color w:val="auto"/>
          <w:sz w:val="24"/>
          <w:szCs w:val="24"/>
        </w:rPr>
        <w:t>属于有害物质。</w:t>
      </w:r>
    </w:p>
    <w:p w14:paraId="1E7A2BAA">
      <w:pPr>
        <w:adjustRightInd w:val="0"/>
        <w:snapToGrid w:val="0"/>
        <w:spacing w:line="440" w:lineRule="exact"/>
        <w:ind w:firstLine="482" w:firstLineChars="200"/>
        <w:rPr>
          <w:rFonts w:hint="default" w:ascii="Times New Roman" w:hAnsi="Times New Roman" w:eastAsia="宋体" w:cs="Times New Roman"/>
          <w:b/>
          <w:bCs/>
          <w:color w:val="auto"/>
          <w:sz w:val="24"/>
          <w:szCs w:val="24"/>
          <w:lang w:val="en-US" w:eastAsia="zh-CN"/>
        </w:rPr>
      </w:pPr>
      <w:r>
        <w:rPr>
          <w:rFonts w:hint="eastAsia" w:ascii="Times New Roman" w:hAnsi="Times New Roman" w:eastAsia="宋体" w:cs="Times New Roman"/>
          <w:b/>
          <w:bCs/>
          <w:color w:val="auto"/>
          <w:sz w:val="24"/>
          <w:szCs w:val="24"/>
          <w:lang w:val="en-US" w:eastAsia="zh-CN"/>
        </w:rPr>
        <w:t>5</w:t>
      </w:r>
      <w:r>
        <w:rPr>
          <w:rFonts w:hint="default" w:ascii="Times New Roman" w:hAnsi="Times New Roman" w:eastAsia="宋体" w:cs="Times New Roman"/>
          <w:b/>
          <w:bCs/>
          <w:color w:val="auto"/>
          <w:sz w:val="24"/>
          <w:szCs w:val="24"/>
          <w:lang w:val="en-US" w:eastAsia="zh-CN"/>
        </w:rPr>
        <w:t>、生产系统危险性识别</w:t>
      </w:r>
    </w:p>
    <w:p w14:paraId="1F5CC220">
      <w:pPr>
        <w:bidi w:val="0"/>
        <w:adjustRightInd w:val="0"/>
        <w:snapToGrid w:val="0"/>
        <w:spacing w:line="440" w:lineRule="exact"/>
        <w:ind w:firstLine="480" w:firstLineChars="200"/>
        <w:rPr>
          <w:rFonts w:hint="default" w:ascii="Times New Roman" w:hAnsi="Times New Roman" w:eastAsia="宋体" w:cs="Times New Roman"/>
          <w:color w:val="auto"/>
          <w:sz w:val="24"/>
          <w:szCs w:val="24"/>
          <w:lang w:val="en-US"/>
        </w:rPr>
      </w:pPr>
      <w:bookmarkStart w:id="334" w:name="_Toc287627772"/>
      <w:bookmarkStart w:id="335" w:name="_Toc287628665"/>
      <w:bookmarkStart w:id="336" w:name="_Toc286878512"/>
      <w:r>
        <w:rPr>
          <w:rFonts w:hint="eastAsia" w:ascii="Times New Roman" w:hAnsi="Times New Roman" w:eastAsia="宋体" w:cs="Times New Roman"/>
          <w:color w:val="auto"/>
          <w:sz w:val="24"/>
          <w:szCs w:val="24"/>
          <w:lang w:val="en-US"/>
        </w:rPr>
        <w:t>（</w:t>
      </w:r>
      <w:r>
        <w:rPr>
          <w:rFonts w:hint="default" w:ascii="Times New Roman" w:hAnsi="Times New Roman" w:eastAsia="宋体" w:cs="Times New Roman"/>
          <w:color w:val="auto"/>
          <w:sz w:val="24"/>
          <w:szCs w:val="24"/>
          <w:lang w:val="en-US"/>
        </w:rPr>
        <w:t>1</w:t>
      </w:r>
      <w:r>
        <w:rPr>
          <w:rFonts w:hint="eastAsia" w:ascii="Times New Roman" w:hAnsi="Times New Roman" w:eastAsia="宋体" w:cs="Times New Roman"/>
          <w:color w:val="auto"/>
          <w:sz w:val="24"/>
          <w:szCs w:val="24"/>
          <w:lang w:val="en-US"/>
        </w:rPr>
        <w:t>）生产装置风险识别</w:t>
      </w:r>
    </w:p>
    <w:p w14:paraId="4B7742AC">
      <w:pPr>
        <w:bidi w:val="0"/>
        <w:adjustRightInd w:val="0"/>
        <w:snapToGrid w:val="0"/>
        <w:spacing w:line="440" w:lineRule="exact"/>
        <w:ind w:firstLine="480" w:firstLineChars="200"/>
        <w:rPr>
          <w:rFonts w:hint="default" w:ascii="Times New Roman" w:hAnsi="Times New Roman" w:eastAsia="宋体" w:cs="Times New Roman"/>
          <w:color w:val="auto"/>
          <w:sz w:val="24"/>
          <w:szCs w:val="24"/>
          <w:lang w:val="en-US"/>
        </w:rPr>
      </w:pPr>
      <w:r>
        <w:rPr>
          <w:rFonts w:hint="eastAsia" w:ascii="Times New Roman" w:hAnsi="Times New Roman" w:eastAsia="宋体" w:cs="Times New Roman"/>
          <w:color w:val="auto"/>
          <w:sz w:val="24"/>
          <w:szCs w:val="24"/>
          <w:lang w:val="en-US"/>
        </w:rPr>
        <w:t>生产操作过程中必须加强安全管理，提高事故防范措施。突发性污染事故，特别是废气处理设施发生故障将对事故现场人员的生命和健康造成严重危害，此外还将造成巨大的经济损失，以及社会不安定因素，同时对生态环境也会造成严重的破坏。因此，做好突发性环境污染事故的预防，提高对突发性污染事故的应急处理和处置能力，对企业具有重要的意义。发生突发性污染事故的诱发因素很多，其中被认为重要的因素有：</w:t>
      </w:r>
    </w:p>
    <w:p w14:paraId="76E71025">
      <w:pPr>
        <w:bidi w:val="0"/>
        <w:adjustRightInd w:val="0"/>
        <w:snapToGrid w:val="0"/>
        <w:spacing w:line="440" w:lineRule="exact"/>
        <w:ind w:firstLine="480" w:firstLineChars="200"/>
        <w:rPr>
          <w:rFonts w:hint="default" w:ascii="Times New Roman" w:hAnsi="Times New Roman" w:eastAsia="宋体" w:cs="Times New Roman"/>
          <w:color w:val="auto"/>
          <w:sz w:val="24"/>
          <w:szCs w:val="24"/>
          <w:lang w:val="en-US"/>
        </w:rPr>
      </w:pPr>
      <w:r>
        <w:rPr>
          <w:rFonts w:hint="default" w:ascii="Times New Roman" w:hAnsi="Times New Roman" w:eastAsia="宋体" w:cs="Times New Roman"/>
          <w:color w:val="auto"/>
          <w:sz w:val="24"/>
          <w:szCs w:val="24"/>
          <w:lang w:val="en-US"/>
        </w:rPr>
        <w:t xml:space="preserve">a </w:t>
      </w:r>
      <w:r>
        <w:rPr>
          <w:rFonts w:hint="eastAsia" w:ascii="Times New Roman" w:hAnsi="Times New Roman" w:eastAsia="宋体" w:cs="Times New Roman"/>
          <w:color w:val="auto"/>
          <w:sz w:val="24"/>
          <w:szCs w:val="24"/>
          <w:lang w:val="en-US"/>
        </w:rPr>
        <w:t>设计上存在缺陷；</w:t>
      </w:r>
    </w:p>
    <w:p w14:paraId="022AD255">
      <w:pPr>
        <w:bidi w:val="0"/>
        <w:adjustRightInd w:val="0"/>
        <w:snapToGrid w:val="0"/>
        <w:spacing w:line="440" w:lineRule="exact"/>
        <w:ind w:firstLine="480" w:firstLineChars="200"/>
        <w:rPr>
          <w:rFonts w:hint="default" w:ascii="Times New Roman" w:hAnsi="Times New Roman" w:eastAsia="宋体" w:cs="Times New Roman"/>
          <w:color w:val="auto"/>
          <w:sz w:val="24"/>
          <w:szCs w:val="24"/>
          <w:lang w:val="en-US"/>
        </w:rPr>
      </w:pPr>
      <w:r>
        <w:rPr>
          <w:rFonts w:hint="default" w:ascii="Times New Roman" w:hAnsi="Times New Roman" w:eastAsia="宋体" w:cs="Times New Roman"/>
          <w:color w:val="auto"/>
          <w:sz w:val="24"/>
          <w:szCs w:val="24"/>
          <w:lang w:val="en-US"/>
        </w:rPr>
        <w:t xml:space="preserve">b </w:t>
      </w:r>
      <w:r>
        <w:rPr>
          <w:rFonts w:hint="eastAsia" w:ascii="Times New Roman" w:hAnsi="Times New Roman" w:eastAsia="宋体" w:cs="Times New Roman"/>
          <w:color w:val="auto"/>
          <w:sz w:val="24"/>
          <w:szCs w:val="24"/>
          <w:lang w:val="en-US"/>
        </w:rPr>
        <w:t>设备质量差，或过度超时、超负荷运转；</w:t>
      </w:r>
    </w:p>
    <w:p w14:paraId="592872F6">
      <w:pPr>
        <w:bidi w:val="0"/>
        <w:adjustRightInd w:val="0"/>
        <w:snapToGrid w:val="0"/>
        <w:spacing w:line="440" w:lineRule="exact"/>
        <w:ind w:firstLine="480" w:firstLineChars="200"/>
        <w:rPr>
          <w:rFonts w:hint="default" w:ascii="Times New Roman" w:hAnsi="Times New Roman" w:eastAsia="宋体" w:cs="Times New Roman"/>
          <w:color w:val="auto"/>
          <w:sz w:val="24"/>
          <w:szCs w:val="24"/>
          <w:lang w:val="en-US"/>
        </w:rPr>
      </w:pPr>
      <w:r>
        <w:rPr>
          <w:rFonts w:hint="default" w:ascii="Times New Roman" w:hAnsi="Times New Roman" w:eastAsia="宋体" w:cs="Times New Roman"/>
          <w:color w:val="auto"/>
          <w:sz w:val="24"/>
          <w:szCs w:val="24"/>
          <w:lang w:val="en-US"/>
        </w:rPr>
        <w:t xml:space="preserve">c </w:t>
      </w:r>
      <w:r>
        <w:rPr>
          <w:rFonts w:hint="eastAsia" w:ascii="Times New Roman" w:hAnsi="Times New Roman" w:eastAsia="宋体" w:cs="Times New Roman"/>
          <w:color w:val="auto"/>
          <w:sz w:val="24"/>
          <w:szCs w:val="24"/>
          <w:lang w:val="en-US"/>
        </w:rPr>
        <w:t>管理或指挥失误；</w:t>
      </w:r>
    </w:p>
    <w:p w14:paraId="642E0724">
      <w:pPr>
        <w:bidi w:val="0"/>
        <w:adjustRightInd w:val="0"/>
        <w:snapToGrid w:val="0"/>
        <w:spacing w:line="440" w:lineRule="exact"/>
        <w:ind w:firstLine="480" w:firstLineChars="200"/>
        <w:rPr>
          <w:rFonts w:hint="default" w:ascii="Times New Roman" w:hAnsi="Times New Roman" w:eastAsia="宋体" w:cs="Times New Roman"/>
          <w:color w:val="auto"/>
          <w:sz w:val="24"/>
          <w:szCs w:val="24"/>
          <w:lang w:val="en-US"/>
        </w:rPr>
      </w:pPr>
      <w:r>
        <w:rPr>
          <w:rFonts w:hint="default" w:ascii="Times New Roman" w:hAnsi="Times New Roman" w:eastAsia="宋体" w:cs="Times New Roman"/>
          <w:color w:val="auto"/>
          <w:sz w:val="24"/>
          <w:szCs w:val="24"/>
          <w:lang w:val="en-US"/>
        </w:rPr>
        <w:t xml:space="preserve">d </w:t>
      </w:r>
      <w:r>
        <w:rPr>
          <w:rFonts w:hint="eastAsia" w:ascii="Times New Roman" w:hAnsi="Times New Roman" w:eastAsia="宋体" w:cs="Times New Roman"/>
          <w:color w:val="auto"/>
          <w:sz w:val="24"/>
          <w:szCs w:val="24"/>
          <w:lang w:val="en-US"/>
        </w:rPr>
        <w:t>违章操作；</w:t>
      </w:r>
    </w:p>
    <w:p w14:paraId="6F390E77">
      <w:pPr>
        <w:bidi w:val="0"/>
        <w:adjustRightInd w:val="0"/>
        <w:snapToGrid w:val="0"/>
        <w:spacing w:line="440" w:lineRule="exact"/>
        <w:ind w:firstLine="480" w:firstLineChars="200"/>
        <w:rPr>
          <w:rFonts w:hint="default" w:ascii="Times New Roman" w:hAnsi="Times New Roman" w:eastAsia="宋体" w:cs="Times New Roman"/>
          <w:color w:val="auto"/>
          <w:sz w:val="24"/>
          <w:szCs w:val="24"/>
          <w:lang w:val="en-US"/>
        </w:rPr>
      </w:pPr>
      <w:r>
        <w:rPr>
          <w:rFonts w:hint="default" w:ascii="Times New Roman" w:hAnsi="Times New Roman" w:eastAsia="宋体" w:cs="Times New Roman"/>
          <w:color w:val="auto"/>
          <w:sz w:val="24"/>
          <w:szCs w:val="24"/>
          <w:lang w:val="en-US"/>
        </w:rPr>
        <w:t xml:space="preserve">e </w:t>
      </w:r>
      <w:r>
        <w:rPr>
          <w:rFonts w:hint="eastAsia" w:ascii="Times New Roman" w:hAnsi="Times New Roman" w:eastAsia="宋体" w:cs="Times New Roman"/>
          <w:color w:val="auto"/>
          <w:sz w:val="24"/>
          <w:szCs w:val="24"/>
          <w:lang w:val="en-US"/>
        </w:rPr>
        <w:t>废气处理设施出现故障或是长时间没有经过整修清理。</w:t>
      </w:r>
    </w:p>
    <w:p w14:paraId="614A22D3">
      <w:pPr>
        <w:bidi w:val="0"/>
        <w:adjustRightInd w:val="0"/>
        <w:snapToGrid w:val="0"/>
        <w:spacing w:line="440" w:lineRule="exact"/>
        <w:ind w:firstLine="480" w:firstLineChars="200"/>
        <w:rPr>
          <w:rFonts w:hint="default" w:ascii="Times New Roman" w:hAnsi="Times New Roman" w:eastAsia="宋体" w:cs="Times New Roman"/>
          <w:color w:val="auto"/>
          <w:sz w:val="24"/>
          <w:szCs w:val="24"/>
          <w:lang w:val="en-US"/>
        </w:rPr>
      </w:pPr>
      <w:r>
        <w:rPr>
          <w:rFonts w:hint="eastAsia" w:ascii="Times New Roman" w:hAnsi="Times New Roman" w:eastAsia="宋体" w:cs="Times New Roman"/>
          <w:color w:val="auto"/>
          <w:sz w:val="24"/>
          <w:szCs w:val="24"/>
          <w:lang w:val="en-US"/>
        </w:rPr>
        <w:t>因此，对突发性污染事故的防治对策，应从以上几点严格控制和管理，加强事故措施和事故应急</w:t>
      </w:r>
      <w:r>
        <w:rPr>
          <w:rFonts w:hint="eastAsia" w:ascii="Times New Roman" w:hAnsi="Times New Roman" w:eastAsia="宋体" w:cs="Times New Roman"/>
          <w:color w:val="auto"/>
          <w:sz w:val="24"/>
          <w:szCs w:val="24"/>
          <w:lang w:val="en-US" w:eastAsia="zh-CN"/>
        </w:rPr>
        <w:t>处理</w:t>
      </w:r>
      <w:r>
        <w:rPr>
          <w:rFonts w:hint="eastAsia" w:ascii="Times New Roman" w:hAnsi="Times New Roman" w:eastAsia="宋体" w:cs="Times New Roman"/>
          <w:color w:val="auto"/>
          <w:sz w:val="24"/>
          <w:szCs w:val="24"/>
          <w:lang w:val="en-US"/>
        </w:rPr>
        <w:t>技能，懂得紧急救援的知识。将预防为主，安全第一的理念作为减少事故发生、降低污染事故损害的主要保障。</w:t>
      </w:r>
    </w:p>
    <w:p w14:paraId="14631BC0">
      <w:pPr>
        <w:bidi w:val="0"/>
        <w:adjustRightInd w:val="0"/>
        <w:snapToGrid w:val="0"/>
        <w:spacing w:line="440" w:lineRule="exact"/>
        <w:ind w:firstLine="480" w:firstLineChars="200"/>
        <w:rPr>
          <w:rFonts w:hint="default" w:ascii="Times New Roman" w:hAnsi="Times New Roman" w:eastAsia="宋体" w:cs="Times New Roman"/>
          <w:color w:val="auto"/>
          <w:sz w:val="24"/>
          <w:szCs w:val="24"/>
          <w:lang w:val="en-US"/>
        </w:rPr>
      </w:pPr>
      <w:r>
        <w:rPr>
          <w:rFonts w:hint="eastAsia" w:ascii="Times New Roman" w:hAnsi="Times New Roman" w:eastAsia="宋体" w:cs="Times New Roman"/>
          <w:color w:val="auto"/>
          <w:sz w:val="24"/>
          <w:szCs w:val="24"/>
          <w:lang w:val="en-US"/>
        </w:rPr>
        <w:t>（</w:t>
      </w:r>
      <w:r>
        <w:rPr>
          <w:rFonts w:hint="default" w:ascii="Times New Roman" w:hAnsi="Times New Roman" w:eastAsia="宋体" w:cs="Times New Roman"/>
          <w:color w:val="auto"/>
          <w:sz w:val="24"/>
          <w:szCs w:val="24"/>
          <w:lang w:val="en-US"/>
        </w:rPr>
        <w:t>2</w:t>
      </w:r>
      <w:r>
        <w:rPr>
          <w:rFonts w:hint="eastAsia" w:ascii="Times New Roman" w:hAnsi="Times New Roman" w:eastAsia="宋体" w:cs="Times New Roman"/>
          <w:color w:val="auto"/>
          <w:sz w:val="24"/>
          <w:szCs w:val="24"/>
          <w:lang w:val="en-US"/>
        </w:rPr>
        <w:t>）贮存过程危险性</w:t>
      </w:r>
      <w:bookmarkEnd w:id="334"/>
      <w:bookmarkEnd w:id="335"/>
      <w:bookmarkEnd w:id="336"/>
    </w:p>
    <w:p w14:paraId="244632C5">
      <w:pPr>
        <w:bidi w:val="0"/>
        <w:adjustRightInd w:val="0"/>
        <w:snapToGrid w:val="0"/>
        <w:spacing w:line="440" w:lineRule="exact"/>
        <w:ind w:firstLine="480" w:firstLineChars="200"/>
        <w:rPr>
          <w:rFonts w:hint="default" w:ascii="Times New Roman" w:hAnsi="Times New Roman" w:eastAsia="宋体" w:cs="Times New Roman"/>
          <w:color w:val="auto"/>
          <w:sz w:val="24"/>
          <w:szCs w:val="24"/>
          <w:lang w:val="en-US"/>
        </w:rPr>
      </w:pPr>
      <w:r>
        <w:rPr>
          <w:rFonts w:hint="eastAsia" w:ascii="Times New Roman" w:hAnsi="Times New Roman" w:eastAsia="宋体" w:cs="Times New Roman"/>
          <w:color w:val="auto"/>
          <w:sz w:val="24"/>
          <w:szCs w:val="24"/>
          <w:lang w:val="en-US"/>
        </w:rPr>
        <w:t>废塑料、润滑油等原料的储存过程在正常情况下的环境风险很小，但堆存时遇热源，废塑料、润滑油等原料会因受到外来的热量且相互传热，而分解出可燃性有机气体，对周围大气环境造成一定程度的污染。如果贮存过程管理不善，与空气中的氧气相混合而着火，有可能发生火灾事故。</w:t>
      </w:r>
    </w:p>
    <w:p w14:paraId="3FE5529A">
      <w:pPr>
        <w:bidi w:val="0"/>
        <w:adjustRightInd w:val="0"/>
        <w:snapToGrid w:val="0"/>
        <w:spacing w:line="440" w:lineRule="exact"/>
        <w:ind w:firstLine="480" w:firstLineChars="200"/>
        <w:rPr>
          <w:rFonts w:hint="default" w:ascii="Times New Roman" w:hAnsi="Times New Roman" w:eastAsia="宋体" w:cs="Times New Roman"/>
          <w:color w:val="auto"/>
          <w:sz w:val="24"/>
          <w:szCs w:val="24"/>
          <w:lang w:val="en-US"/>
        </w:rPr>
      </w:pPr>
      <w:r>
        <w:rPr>
          <w:rFonts w:hint="eastAsia" w:ascii="Times New Roman" w:hAnsi="Times New Roman" w:eastAsia="宋体" w:cs="Times New Roman"/>
          <w:color w:val="auto"/>
          <w:sz w:val="24"/>
          <w:szCs w:val="24"/>
          <w:lang w:val="en-US"/>
        </w:rPr>
        <w:t>（</w:t>
      </w:r>
      <w:r>
        <w:rPr>
          <w:rFonts w:hint="default" w:ascii="Times New Roman" w:hAnsi="Times New Roman" w:eastAsia="宋体" w:cs="Times New Roman"/>
          <w:color w:val="auto"/>
          <w:sz w:val="24"/>
          <w:szCs w:val="24"/>
          <w:lang w:val="en-US"/>
        </w:rPr>
        <w:t>3</w:t>
      </w:r>
      <w:r>
        <w:rPr>
          <w:rFonts w:hint="eastAsia" w:ascii="Times New Roman" w:hAnsi="Times New Roman" w:eastAsia="宋体" w:cs="Times New Roman"/>
          <w:color w:val="auto"/>
          <w:sz w:val="24"/>
          <w:szCs w:val="24"/>
          <w:lang w:val="en-US"/>
        </w:rPr>
        <w:t>）公用工程</w:t>
      </w:r>
    </w:p>
    <w:p w14:paraId="44753628">
      <w:pPr>
        <w:bidi w:val="0"/>
        <w:adjustRightInd w:val="0"/>
        <w:snapToGrid w:val="0"/>
        <w:spacing w:line="440" w:lineRule="exact"/>
        <w:ind w:firstLine="480" w:firstLineChars="200"/>
        <w:rPr>
          <w:rFonts w:hint="default" w:ascii="Times New Roman" w:hAnsi="Times New Roman" w:eastAsia="宋体" w:cs="Times New Roman"/>
          <w:color w:val="auto"/>
          <w:sz w:val="24"/>
          <w:szCs w:val="24"/>
          <w:lang w:val="en-US"/>
        </w:rPr>
      </w:pPr>
      <w:r>
        <w:rPr>
          <w:rFonts w:hint="eastAsia" w:ascii="Times New Roman" w:hAnsi="Times New Roman" w:eastAsia="宋体" w:cs="Times New Roman"/>
          <w:color w:val="auto"/>
          <w:sz w:val="24"/>
          <w:szCs w:val="24"/>
          <w:lang w:val="en-US"/>
        </w:rPr>
        <w:t>配电室内由于变、配电设备较多，本身就具有很大的危险性，发生事故的危险程度很高。该装置发生火灾和爆炸事故的主要原因有：线路短路和断路产生电火花，油气串入渗入与电发生火灾，用电负荷超载引起线路起火，设备自身故障导致过热引起火灾，设备接地不良遇雷电引起火灾等。</w:t>
      </w:r>
    </w:p>
    <w:p w14:paraId="2492718E">
      <w:pPr>
        <w:bidi w:val="0"/>
        <w:adjustRightInd w:val="0"/>
        <w:snapToGrid w:val="0"/>
        <w:spacing w:line="440" w:lineRule="exact"/>
        <w:ind w:firstLine="480" w:firstLineChars="200"/>
        <w:rPr>
          <w:rFonts w:hint="default" w:ascii="Times New Roman" w:hAnsi="Times New Roman" w:eastAsia="宋体" w:cs="Times New Roman"/>
          <w:color w:val="auto"/>
          <w:sz w:val="24"/>
          <w:szCs w:val="24"/>
          <w:lang w:val="en-US"/>
        </w:rPr>
      </w:pPr>
      <w:r>
        <w:rPr>
          <w:rFonts w:hint="eastAsia" w:ascii="Times New Roman" w:hAnsi="Times New Roman" w:eastAsia="宋体" w:cs="Times New Roman"/>
          <w:color w:val="auto"/>
          <w:sz w:val="24"/>
          <w:szCs w:val="24"/>
          <w:lang w:val="en-US"/>
        </w:rPr>
        <w:t>如果易燃物料、可燃气体引发火灾风险，对火灾消防泡沫、消防水等处理不当会引发伴生的环境污染影响。</w:t>
      </w:r>
    </w:p>
    <w:p w14:paraId="3D4AE4EC">
      <w:pPr>
        <w:bidi w:val="0"/>
        <w:adjustRightInd w:val="0"/>
        <w:snapToGrid w:val="0"/>
        <w:spacing w:line="440" w:lineRule="exact"/>
        <w:ind w:firstLine="480" w:firstLineChars="200"/>
        <w:rPr>
          <w:rFonts w:hint="default" w:ascii="Times New Roman" w:hAnsi="Times New Roman" w:eastAsia="宋体" w:cs="Times New Roman"/>
          <w:color w:val="auto"/>
          <w:sz w:val="24"/>
          <w:szCs w:val="24"/>
          <w:lang w:val="en-US"/>
        </w:rPr>
      </w:pPr>
      <w:r>
        <w:rPr>
          <w:rFonts w:hint="eastAsia" w:ascii="Times New Roman" w:hAnsi="Times New Roman" w:eastAsia="宋体" w:cs="Times New Roman"/>
          <w:color w:val="auto"/>
          <w:sz w:val="24"/>
          <w:szCs w:val="24"/>
          <w:lang w:val="en-US"/>
        </w:rPr>
        <w:t>（</w:t>
      </w:r>
      <w:r>
        <w:rPr>
          <w:rFonts w:hint="default" w:ascii="Times New Roman" w:hAnsi="Times New Roman" w:eastAsia="宋体" w:cs="Times New Roman"/>
          <w:color w:val="auto"/>
          <w:sz w:val="24"/>
          <w:szCs w:val="24"/>
          <w:lang w:val="en-US"/>
        </w:rPr>
        <w:t>4</w:t>
      </w:r>
      <w:r>
        <w:rPr>
          <w:rFonts w:hint="eastAsia" w:ascii="Times New Roman" w:hAnsi="Times New Roman" w:eastAsia="宋体" w:cs="Times New Roman"/>
          <w:color w:val="auto"/>
          <w:sz w:val="24"/>
          <w:szCs w:val="24"/>
          <w:lang w:val="en-US"/>
        </w:rPr>
        <w:t>）环保工程</w:t>
      </w:r>
    </w:p>
    <w:p w14:paraId="729AEF1F">
      <w:pPr>
        <w:bidi w:val="0"/>
        <w:adjustRightInd w:val="0"/>
        <w:snapToGrid w:val="0"/>
        <w:spacing w:line="440" w:lineRule="exact"/>
        <w:ind w:firstLine="480" w:firstLineChars="200"/>
        <w:rPr>
          <w:rFonts w:hint="default" w:ascii="Times New Roman" w:hAnsi="Times New Roman" w:eastAsia="宋体" w:cs="Times New Roman"/>
          <w:color w:val="auto"/>
          <w:sz w:val="24"/>
          <w:szCs w:val="24"/>
          <w:lang w:val="en-US"/>
        </w:rPr>
      </w:pPr>
      <w:r>
        <w:rPr>
          <w:rFonts w:hint="eastAsia" w:ascii="Times New Roman" w:hAnsi="Times New Roman" w:eastAsia="宋体" w:cs="Times New Roman"/>
          <w:color w:val="auto"/>
          <w:sz w:val="24"/>
          <w:szCs w:val="24"/>
          <w:lang w:val="en-US"/>
        </w:rPr>
        <w:t>本项目废气主要是非甲烷总烃，根据本项目特点采用</w:t>
      </w:r>
      <w:r>
        <w:rPr>
          <w:rFonts w:hint="eastAsia" w:ascii="Times New Roman" w:hAnsi="Times New Roman" w:eastAsia="宋体" w:cs="Times New Roman"/>
          <w:color w:val="auto"/>
          <w:sz w:val="24"/>
          <w:szCs w:val="24"/>
          <w:lang w:val="en-US" w:eastAsia="zh-CN"/>
        </w:rPr>
        <w:t>“活性炭吸附浓缩+催化燃烧装置”</w:t>
      </w:r>
      <w:r>
        <w:rPr>
          <w:rFonts w:hint="eastAsia" w:ascii="Times New Roman" w:hAnsi="Times New Roman" w:eastAsia="宋体" w:cs="Times New Roman"/>
          <w:color w:val="auto"/>
          <w:sz w:val="24"/>
          <w:szCs w:val="24"/>
          <w:lang w:val="en-US"/>
        </w:rPr>
        <w:t>处置废气；</w:t>
      </w:r>
      <w:r>
        <w:rPr>
          <w:rFonts w:hint="eastAsia" w:ascii="宋体" w:hAnsi="宋体"/>
          <w:sz w:val="24"/>
          <w:szCs w:val="24"/>
        </w:rPr>
        <w:t>生活污水排入</w:t>
      </w:r>
      <w:r>
        <w:rPr>
          <w:rFonts w:hint="eastAsia" w:ascii="宋体" w:hAnsi="宋体"/>
          <w:sz w:val="24"/>
          <w:szCs w:val="24"/>
          <w:lang w:val="en-US" w:eastAsia="zh-CN"/>
        </w:rPr>
        <w:t>10</w:t>
      </w:r>
      <w:r>
        <w:rPr>
          <w:rFonts w:ascii="宋体" w:hAnsi="宋体"/>
          <w:sz w:val="24"/>
          <w:szCs w:val="24"/>
        </w:rPr>
        <w:t>m</w:t>
      </w:r>
      <w:r>
        <w:rPr>
          <w:rFonts w:ascii="宋体" w:hAnsi="宋体"/>
          <w:sz w:val="24"/>
          <w:szCs w:val="24"/>
          <w:vertAlign w:val="superscript"/>
        </w:rPr>
        <w:t>3</w:t>
      </w:r>
      <w:r>
        <w:rPr>
          <w:rFonts w:hint="eastAsia" w:ascii="Times New Roman" w:hAnsi="Times New Roman" w:eastAsia="宋体" w:cs="Times New Roman"/>
          <w:color w:val="auto"/>
          <w:sz w:val="24"/>
          <w:szCs w:val="24"/>
          <w:lang w:val="en-US" w:eastAsia="zh-CN"/>
        </w:rPr>
        <w:t>防渗</w:t>
      </w:r>
      <w:r>
        <w:rPr>
          <w:rFonts w:hint="eastAsia"/>
          <w:color w:val="000000"/>
          <w:sz w:val="24"/>
          <w:szCs w:val="24"/>
          <w:lang w:val="en-US" w:eastAsia="zh-CN"/>
        </w:rPr>
        <w:t>化粪池</w:t>
      </w:r>
      <w:r>
        <w:rPr>
          <w:rFonts w:hint="eastAsia" w:ascii="宋体" w:hAnsi="宋体"/>
          <w:sz w:val="24"/>
          <w:szCs w:val="24"/>
          <w:lang w:eastAsia="zh-CN"/>
        </w:rPr>
        <w:t>，定期由库尔勒龙润水处理有限公司采用罐车拉运至库尔勒南市区污水处理厂；</w:t>
      </w:r>
      <w:r>
        <w:rPr>
          <w:rFonts w:hint="eastAsia" w:ascii="Times New Roman" w:hAnsi="Times New Roman" w:eastAsia="宋体" w:cs="Times New Roman"/>
          <w:color w:val="auto"/>
          <w:sz w:val="24"/>
          <w:szCs w:val="24"/>
          <w:lang w:val="en-US"/>
        </w:rPr>
        <w:t>固废主要为一般生产固废、危险废物和生活垃圾。以上环保工程正常情况下的环境风险很小。但当设备出现故障，管理不到位等情况下，将会造成环境污染。</w:t>
      </w:r>
    </w:p>
    <w:p w14:paraId="27B63959">
      <w:pPr>
        <w:bidi w:val="0"/>
        <w:adjustRightInd w:val="0"/>
        <w:snapToGrid w:val="0"/>
        <w:spacing w:line="440" w:lineRule="exact"/>
        <w:ind w:firstLine="482" w:firstLineChars="200"/>
        <w:rPr>
          <w:rFonts w:hint="default" w:ascii="Times New Roman" w:hAnsi="Times New Roman" w:eastAsia="宋体" w:cs="Times New Roman"/>
          <w:b/>
          <w:bCs/>
          <w:color w:val="auto"/>
          <w:sz w:val="24"/>
          <w:szCs w:val="24"/>
          <w:lang w:val="en-US" w:eastAsia="zh-CN"/>
        </w:rPr>
      </w:pPr>
      <w:r>
        <w:rPr>
          <w:rFonts w:hint="eastAsia" w:ascii="Times New Roman" w:hAnsi="Times New Roman" w:eastAsia="宋体" w:cs="Times New Roman"/>
          <w:b/>
          <w:bCs/>
          <w:color w:val="auto"/>
          <w:sz w:val="24"/>
          <w:szCs w:val="24"/>
          <w:lang w:val="en-US" w:eastAsia="zh-CN"/>
        </w:rPr>
        <w:t>6、小结</w:t>
      </w:r>
    </w:p>
    <w:p w14:paraId="1A4E550F">
      <w:pPr>
        <w:adjustRightInd w:val="0"/>
        <w:snapToGrid w:val="0"/>
        <w:spacing w:line="440" w:lineRule="exact"/>
        <w:ind w:firstLine="480" w:firstLineChars="200"/>
        <w:rPr>
          <w:rFonts w:hint="eastAsia"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根据对环境风险物质的筛选和工艺流程确定本评价的生产设施风险单元主要为储存单元（储存成品的</w:t>
      </w:r>
      <w:r>
        <w:rPr>
          <w:rFonts w:hint="eastAsia" w:ascii="Times New Roman" w:hAnsi="Times New Roman" w:eastAsia="宋体" w:cs="Times New Roman"/>
          <w:color w:val="auto"/>
          <w:sz w:val="24"/>
          <w:szCs w:val="24"/>
          <w:lang w:eastAsia="zh-CN"/>
        </w:rPr>
        <w:t>场所</w:t>
      </w:r>
      <w:r>
        <w:rPr>
          <w:rFonts w:hint="eastAsia" w:ascii="Times New Roman" w:hAnsi="Times New Roman" w:eastAsia="宋体" w:cs="Times New Roman"/>
          <w:color w:val="auto"/>
          <w:sz w:val="24"/>
          <w:szCs w:val="24"/>
        </w:rPr>
        <w:t>）和厂房，在生产过程中有可能发生火灾事故，将对人类生命、物质财产和环境安全构成威胁。</w:t>
      </w:r>
    </w:p>
    <w:p w14:paraId="6027A923">
      <w:pPr>
        <w:adjustRightInd w:val="0"/>
        <w:snapToGrid w:val="0"/>
        <w:spacing w:line="440" w:lineRule="exact"/>
        <w:ind w:firstLine="480" w:firstLineChars="200"/>
        <w:rPr>
          <w:rFonts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危险性物质向环境转移的途径、影响方式及风险识别结果一览表</w:t>
      </w:r>
      <w:r>
        <w:rPr>
          <w:rFonts w:hint="eastAsia" w:ascii="Times New Roman" w:hAnsi="Times New Roman" w:eastAsia="宋体" w:cs="Times New Roman"/>
          <w:color w:val="auto"/>
          <w:sz w:val="24"/>
          <w:szCs w:val="24"/>
        </w:rPr>
        <w:t>见表5.</w:t>
      </w:r>
      <w:r>
        <w:rPr>
          <w:rFonts w:hint="eastAsia" w:ascii="Times New Roman" w:hAnsi="Times New Roman" w:eastAsia="宋体" w:cs="Times New Roman"/>
          <w:color w:val="auto"/>
          <w:sz w:val="24"/>
          <w:szCs w:val="24"/>
          <w:lang w:val="en-US" w:eastAsia="zh-CN"/>
        </w:rPr>
        <w:t>2</w:t>
      </w:r>
      <w:r>
        <w:rPr>
          <w:rFonts w:hint="eastAsia" w:ascii="Times New Roman" w:hAnsi="Times New Roman" w:eastAsia="宋体" w:cs="Times New Roman"/>
          <w:color w:val="auto"/>
          <w:sz w:val="24"/>
          <w:szCs w:val="24"/>
        </w:rPr>
        <w:t>-</w:t>
      </w:r>
      <w:r>
        <w:rPr>
          <w:rFonts w:hint="eastAsia" w:ascii="Times New Roman" w:hAnsi="Times New Roman" w:eastAsia="宋体" w:cs="Times New Roman"/>
          <w:color w:val="auto"/>
          <w:sz w:val="24"/>
          <w:szCs w:val="24"/>
          <w:lang w:val="en-US" w:eastAsia="zh-CN"/>
        </w:rPr>
        <w:t>32</w:t>
      </w:r>
      <w:r>
        <w:rPr>
          <w:rFonts w:hint="eastAsia" w:ascii="Times New Roman" w:hAnsi="Times New Roman" w:eastAsia="宋体" w:cs="Times New Roman"/>
          <w:color w:val="auto"/>
          <w:sz w:val="24"/>
          <w:szCs w:val="24"/>
        </w:rPr>
        <w:t>。</w:t>
      </w:r>
    </w:p>
    <w:p w14:paraId="0F202B38">
      <w:pPr>
        <w:keepNext w:val="0"/>
        <w:keepLines w:val="0"/>
        <w:pageBreakBefore w:val="0"/>
        <w:widowControl w:val="0"/>
        <w:kinsoku/>
        <w:wordWrap/>
        <w:overflowPunct/>
        <w:topLinePunct w:val="0"/>
        <w:autoSpaceDE/>
        <w:autoSpaceDN/>
        <w:bidi w:val="0"/>
        <w:adjustRightInd w:val="0"/>
        <w:snapToGrid w:val="0"/>
        <w:spacing w:line="440" w:lineRule="exact"/>
        <w:ind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表</w:t>
      </w:r>
      <w:r>
        <w:rPr>
          <w:rFonts w:hint="default" w:ascii="Times New Roman" w:hAnsi="Times New Roman" w:eastAsia="宋体" w:cs="Times New Roman"/>
          <w:b/>
          <w:bCs/>
          <w:color w:val="auto"/>
          <w:sz w:val="21"/>
          <w:szCs w:val="21"/>
          <w:lang w:val="en-US" w:eastAsia="zh-CN"/>
        </w:rPr>
        <w:t>5.</w:t>
      </w:r>
      <w:r>
        <w:rPr>
          <w:rFonts w:hint="eastAsia" w:ascii="Times New Roman" w:hAnsi="Times New Roman" w:eastAsia="宋体" w:cs="Times New Roman"/>
          <w:b/>
          <w:bCs/>
          <w:color w:val="auto"/>
          <w:sz w:val="21"/>
          <w:szCs w:val="21"/>
          <w:lang w:val="en-US" w:eastAsia="zh-CN"/>
        </w:rPr>
        <w:t>2-32</w:t>
      </w:r>
      <w:r>
        <w:rPr>
          <w:rFonts w:hint="default" w:ascii="Times New Roman" w:hAnsi="Times New Roman" w:eastAsia="宋体" w:cs="Times New Roman"/>
          <w:b/>
          <w:bCs/>
          <w:color w:val="auto"/>
          <w:sz w:val="21"/>
          <w:szCs w:val="21"/>
        </w:rPr>
        <w:t xml:space="preserve">   危险性物质向环境转移的途径、影响方式及风险识别结果一览表</w:t>
      </w:r>
    </w:p>
    <w:tbl>
      <w:tblPr>
        <w:tblStyle w:val="49"/>
        <w:tblW w:w="4995"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693"/>
        <w:gridCol w:w="711"/>
        <w:gridCol w:w="987"/>
        <w:gridCol w:w="1007"/>
        <w:gridCol w:w="598"/>
        <w:gridCol w:w="833"/>
        <w:gridCol w:w="2275"/>
        <w:gridCol w:w="1409"/>
      </w:tblGrid>
      <w:tr w14:paraId="62D8416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92" w:hRule="atLeast"/>
          <w:jc w:val="center"/>
        </w:trPr>
        <w:tc>
          <w:tcPr>
            <w:tcW w:w="407" w:type="pct"/>
            <w:tcBorders>
              <w:tl2br w:val="nil"/>
              <w:tr2bl w:val="nil"/>
            </w:tcBorders>
            <w:noWrap w:val="0"/>
            <w:vAlign w:val="center"/>
          </w:tcPr>
          <w:p w14:paraId="16ED1A1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工程内容</w:t>
            </w:r>
          </w:p>
        </w:tc>
        <w:tc>
          <w:tcPr>
            <w:tcW w:w="417" w:type="pct"/>
            <w:tcBorders>
              <w:tl2br w:val="nil"/>
              <w:tr2bl w:val="nil"/>
            </w:tcBorders>
            <w:noWrap w:val="0"/>
            <w:vAlign w:val="center"/>
          </w:tcPr>
          <w:p w14:paraId="4AFD0D4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危险单元</w:t>
            </w:r>
          </w:p>
        </w:tc>
        <w:tc>
          <w:tcPr>
            <w:tcW w:w="579" w:type="pct"/>
            <w:tcBorders>
              <w:tl2br w:val="nil"/>
              <w:tr2bl w:val="nil"/>
            </w:tcBorders>
            <w:noWrap w:val="0"/>
            <w:vAlign w:val="center"/>
          </w:tcPr>
          <w:p w14:paraId="495637C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风险源</w:t>
            </w:r>
          </w:p>
        </w:tc>
        <w:tc>
          <w:tcPr>
            <w:tcW w:w="591" w:type="pct"/>
            <w:tcBorders>
              <w:tl2br w:val="nil"/>
              <w:tr2bl w:val="nil"/>
            </w:tcBorders>
            <w:noWrap w:val="0"/>
            <w:vAlign w:val="center"/>
          </w:tcPr>
          <w:p w14:paraId="3DB0DB9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危险物质</w:t>
            </w:r>
          </w:p>
        </w:tc>
        <w:tc>
          <w:tcPr>
            <w:tcW w:w="351" w:type="pct"/>
            <w:tcBorders>
              <w:tl2br w:val="nil"/>
              <w:tr2bl w:val="nil"/>
            </w:tcBorders>
            <w:noWrap w:val="0"/>
            <w:vAlign w:val="center"/>
          </w:tcPr>
          <w:p w14:paraId="12B4B56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触发</w:t>
            </w:r>
          </w:p>
          <w:p w14:paraId="68E4692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因素</w:t>
            </w:r>
          </w:p>
        </w:tc>
        <w:tc>
          <w:tcPr>
            <w:tcW w:w="489" w:type="pct"/>
            <w:tcBorders>
              <w:tl2br w:val="nil"/>
              <w:tr2bl w:val="nil"/>
            </w:tcBorders>
            <w:noWrap w:val="0"/>
            <w:vAlign w:val="center"/>
          </w:tcPr>
          <w:p w14:paraId="0C66E52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环境风险类型</w:t>
            </w:r>
          </w:p>
        </w:tc>
        <w:tc>
          <w:tcPr>
            <w:tcW w:w="1335" w:type="pct"/>
            <w:tcBorders>
              <w:tl2br w:val="nil"/>
              <w:tr2bl w:val="nil"/>
            </w:tcBorders>
            <w:noWrap w:val="0"/>
            <w:vAlign w:val="center"/>
          </w:tcPr>
          <w:p w14:paraId="4BCBC65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环境影响途径</w:t>
            </w:r>
          </w:p>
        </w:tc>
        <w:tc>
          <w:tcPr>
            <w:tcW w:w="827" w:type="pct"/>
            <w:tcBorders>
              <w:tl2br w:val="nil"/>
              <w:tr2bl w:val="nil"/>
            </w:tcBorders>
            <w:noWrap w:val="0"/>
            <w:vAlign w:val="center"/>
          </w:tcPr>
          <w:p w14:paraId="3EA34AA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可能受影响的环境敏感目标</w:t>
            </w:r>
          </w:p>
        </w:tc>
      </w:tr>
      <w:tr w14:paraId="18B4A65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92" w:hRule="atLeast"/>
          <w:jc w:val="center"/>
        </w:trPr>
        <w:tc>
          <w:tcPr>
            <w:tcW w:w="407" w:type="pct"/>
            <w:tcBorders>
              <w:tl2br w:val="nil"/>
              <w:tr2bl w:val="nil"/>
            </w:tcBorders>
            <w:noWrap w:val="0"/>
            <w:vAlign w:val="center"/>
          </w:tcPr>
          <w:p w14:paraId="6333CA3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sz w:val="21"/>
                <w:szCs w:val="21"/>
                <w:lang w:val="en-US" w:eastAsia="zh-CN"/>
              </w:rPr>
              <w:t>危险废物贮存库</w:t>
            </w:r>
          </w:p>
        </w:tc>
        <w:tc>
          <w:tcPr>
            <w:tcW w:w="417" w:type="pct"/>
            <w:tcBorders>
              <w:tl2br w:val="nil"/>
              <w:tr2bl w:val="nil"/>
            </w:tcBorders>
            <w:noWrap w:val="0"/>
            <w:vAlign w:val="center"/>
          </w:tcPr>
          <w:p w14:paraId="359E940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lang w:eastAsia="zh-CN"/>
              </w:rPr>
              <w:t>储存</w:t>
            </w:r>
          </w:p>
        </w:tc>
        <w:tc>
          <w:tcPr>
            <w:tcW w:w="579" w:type="pct"/>
            <w:tcBorders>
              <w:tl2br w:val="nil"/>
              <w:tr2bl w:val="nil"/>
            </w:tcBorders>
            <w:noWrap w:val="0"/>
            <w:vAlign w:val="center"/>
          </w:tcPr>
          <w:p w14:paraId="0057B78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sz w:val="21"/>
                <w:szCs w:val="21"/>
                <w:lang w:val="en-US" w:eastAsia="zh-CN"/>
              </w:rPr>
              <w:t>危险废物</w:t>
            </w:r>
          </w:p>
        </w:tc>
        <w:tc>
          <w:tcPr>
            <w:tcW w:w="591" w:type="pct"/>
            <w:tcBorders>
              <w:tl2br w:val="nil"/>
              <w:tr2bl w:val="nil"/>
            </w:tcBorders>
            <w:noWrap w:val="0"/>
            <w:vAlign w:val="center"/>
          </w:tcPr>
          <w:p w14:paraId="69526AE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sz w:val="21"/>
                <w:szCs w:val="21"/>
                <w:lang w:val="en-US" w:eastAsia="zh-CN"/>
              </w:rPr>
              <w:t>废润滑油、矿物油包装桶、废活性炭</w:t>
            </w:r>
          </w:p>
        </w:tc>
        <w:tc>
          <w:tcPr>
            <w:tcW w:w="351" w:type="pct"/>
            <w:vMerge w:val="restart"/>
            <w:tcBorders>
              <w:tl2br w:val="nil"/>
              <w:tr2bl w:val="nil"/>
            </w:tcBorders>
            <w:noWrap w:val="0"/>
            <w:vAlign w:val="center"/>
          </w:tcPr>
          <w:p w14:paraId="67D6727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lang w:eastAsia="zh-CN"/>
              </w:rPr>
              <w:t>人为引发火灾</w:t>
            </w:r>
          </w:p>
        </w:tc>
        <w:tc>
          <w:tcPr>
            <w:tcW w:w="489" w:type="pct"/>
            <w:tcBorders>
              <w:tl2br w:val="nil"/>
              <w:tr2bl w:val="nil"/>
            </w:tcBorders>
            <w:noWrap w:val="0"/>
            <w:vAlign w:val="center"/>
          </w:tcPr>
          <w:p w14:paraId="3072E98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rPr>
              <w:t>火灾、爆炸次生污染</w:t>
            </w:r>
          </w:p>
        </w:tc>
        <w:tc>
          <w:tcPr>
            <w:tcW w:w="1335" w:type="pct"/>
            <w:tcBorders>
              <w:tl2br w:val="nil"/>
              <w:tr2bl w:val="nil"/>
            </w:tcBorders>
            <w:noWrap w:val="0"/>
            <w:vAlign w:val="center"/>
          </w:tcPr>
          <w:p w14:paraId="58395C1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bCs w:val="0"/>
                <w:color w:val="auto"/>
                <w:sz w:val="21"/>
                <w:szCs w:val="21"/>
                <w:lang w:eastAsia="zh-CN"/>
              </w:rPr>
            </w:pPr>
            <w:r>
              <w:rPr>
                <w:rFonts w:hint="eastAsia" w:ascii="Times New Roman" w:hAnsi="Times New Roman" w:eastAsia="宋体" w:cs="Times New Roman"/>
                <w:b w:val="0"/>
                <w:bCs w:val="0"/>
                <w:color w:val="auto"/>
                <w:sz w:val="21"/>
                <w:szCs w:val="21"/>
                <w:lang w:eastAsia="zh-CN"/>
              </w:rPr>
              <w:t>泄漏</w:t>
            </w:r>
            <w:r>
              <w:rPr>
                <w:rFonts w:hint="default" w:ascii="Times New Roman" w:hAnsi="Times New Roman" w:eastAsia="宋体" w:cs="Times New Roman"/>
                <w:b w:val="0"/>
                <w:bCs w:val="0"/>
                <w:color w:val="auto"/>
                <w:sz w:val="21"/>
                <w:szCs w:val="21"/>
                <w:lang w:eastAsia="zh-CN"/>
              </w:rPr>
              <w:t>扩散至大气环境造成中毒</w:t>
            </w:r>
            <w:r>
              <w:rPr>
                <w:rFonts w:hint="eastAsia" w:ascii="Times New Roman" w:hAnsi="Times New Roman" w:eastAsia="宋体" w:cs="Times New Roman"/>
                <w:b w:val="0"/>
                <w:bCs w:val="0"/>
                <w:color w:val="auto"/>
                <w:sz w:val="21"/>
                <w:szCs w:val="21"/>
                <w:lang w:eastAsia="zh-CN"/>
              </w:rPr>
              <w:t>；</w:t>
            </w:r>
          </w:p>
          <w:p w14:paraId="477C4CE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lang w:eastAsia="zh-CN"/>
              </w:rPr>
              <w:t>火灾、爆炸伴生/次生污染物进入大气环境</w:t>
            </w:r>
          </w:p>
        </w:tc>
        <w:tc>
          <w:tcPr>
            <w:tcW w:w="827" w:type="pct"/>
            <w:vMerge w:val="restart"/>
            <w:tcBorders>
              <w:tl2br w:val="nil"/>
              <w:tr2bl w:val="nil"/>
            </w:tcBorders>
            <w:noWrap w:val="0"/>
            <w:vAlign w:val="center"/>
          </w:tcPr>
          <w:p w14:paraId="30A5A3C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lang w:eastAsia="zh-CN"/>
              </w:rPr>
              <w:t>周边村庄等保护目标</w:t>
            </w:r>
          </w:p>
        </w:tc>
      </w:tr>
      <w:tr w14:paraId="18DE9DA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92" w:hRule="atLeast"/>
          <w:jc w:val="center"/>
        </w:trPr>
        <w:tc>
          <w:tcPr>
            <w:tcW w:w="407" w:type="pct"/>
            <w:tcBorders>
              <w:tl2br w:val="nil"/>
              <w:tr2bl w:val="nil"/>
            </w:tcBorders>
            <w:noWrap w:val="0"/>
            <w:vAlign w:val="center"/>
          </w:tcPr>
          <w:p w14:paraId="1CDB18A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color w:val="auto"/>
                <w:sz w:val="21"/>
                <w:szCs w:val="21"/>
              </w:rPr>
              <w:t>生产单元</w:t>
            </w:r>
          </w:p>
        </w:tc>
        <w:tc>
          <w:tcPr>
            <w:tcW w:w="417" w:type="pct"/>
            <w:tcBorders>
              <w:tl2br w:val="nil"/>
              <w:tr2bl w:val="nil"/>
            </w:tcBorders>
            <w:noWrap w:val="0"/>
            <w:vAlign w:val="center"/>
          </w:tcPr>
          <w:p w14:paraId="557E7ED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lang w:eastAsia="zh-CN"/>
              </w:rPr>
            </w:pPr>
            <w:r>
              <w:rPr>
                <w:rFonts w:hint="eastAsia" w:ascii="Times New Roman" w:hAnsi="Times New Roman" w:eastAsia="宋体" w:cs="Times New Roman"/>
                <w:color w:val="auto"/>
                <w:sz w:val="21"/>
                <w:szCs w:val="21"/>
              </w:rPr>
              <w:t>生产单元</w:t>
            </w:r>
          </w:p>
        </w:tc>
        <w:tc>
          <w:tcPr>
            <w:tcW w:w="579" w:type="pct"/>
            <w:tcBorders>
              <w:tl2br w:val="nil"/>
              <w:tr2bl w:val="nil"/>
            </w:tcBorders>
            <w:noWrap w:val="0"/>
            <w:vAlign w:val="center"/>
          </w:tcPr>
          <w:p w14:paraId="12C8C73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color w:val="auto"/>
                <w:sz w:val="21"/>
                <w:szCs w:val="21"/>
                <w:lang w:val="en-US"/>
              </w:rPr>
              <w:t>废塑料</w:t>
            </w:r>
          </w:p>
        </w:tc>
        <w:tc>
          <w:tcPr>
            <w:tcW w:w="591" w:type="pct"/>
            <w:tcBorders>
              <w:tl2br w:val="nil"/>
              <w:tr2bl w:val="nil"/>
            </w:tcBorders>
            <w:noWrap w:val="0"/>
            <w:vAlign w:val="center"/>
          </w:tcPr>
          <w:p w14:paraId="57AE83D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color w:val="auto"/>
                <w:sz w:val="21"/>
                <w:szCs w:val="21"/>
                <w:lang w:val="en-US"/>
              </w:rPr>
              <w:t>废塑料</w:t>
            </w:r>
          </w:p>
        </w:tc>
        <w:tc>
          <w:tcPr>
            <w:tcW w:w="351" w:type="pct"/>
            <w:vMerge w:val="continue"/>
            <w:tcBorders>
              <w:tl2br w:val="nil"/>
              <w:tr2bl w:val="nil"/>
            </w:tcBorders>
            <w:noWrap w:val="0"/>
            <w:vAlign w:val="center"/>
          </w:tcPr>
          <w:p w14:paraId="518B72F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lang w:eastAsia="zh-CN"/>
              </w:rPr>
            </w:pPr>
          </w:p>
        </w:tc>
        <w:tc>
          <w:tcPr>
            <w:tcW w:w="489" w:type="pct"/>
            <w:tcBorders>
              <w:tl2br w:val="nil"/>
              <w:tr2bl w:val="nil"/>
            </w:tcBorders>
            <w:noWrap w:val="0"/>
            <w:vAlign w:val="center"/>
          </w:tcPr>
          <w:p w14:paraId="7D2511B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火灾</w:t>
            </w:r>
            <w:r>
              <w:rPr>
                <w:rFonts w:hint="eastAsia" w:ascii="Times New Roman" w:hAnsi="Times New Roman" w:eastAsia="宋体" w:cs="Times New Roman"/>
                <w:b w:val="0"/>
                <w:bCs w:val="0"/>
                <w:color w:val="auto"/>
                <w:sz w:val="21"/>
                <w:szCs w:val="21"/>
                <w:lang w:eastAsia="zh-CN"/>
              </w:rPr>
              <w:t>、</w:t>
            </w:r>
            <w:r>
              <w:rPr>
                <w:rFonts w:hint="default" w:ascii="Times New Roman" w:hAnsi="Times New Roman" w:eastAsia="宋体" w:cs="Times New Roman"/>
                <w:b w:val="0"/>
                <w:bCs w:val="0"/>
                <w:color w:val="auto"/>
                <w:sz w:val="21"/>
                <w:szCs w:val="21"/>
              </w:rPr>
              <w:t>次生污染</w:t>
            </w:r>
          </w:p>
        </w:tc>
        <w:tc>
          <w:tcPr>
            <w:tcW w:w="1335" w:type="pct"/>
            <w:tcBorders>
              <w:tl2br w:val="nil"/>
              <w:tr2bl w:val="nil"/>
            </w:tcBorders>
            <w:noWrap w:val="0"/>
            <w:vAlign w:val="center"/>
          </w:tcPr>
          <w:p w14:paraId="0EF8AFD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lang w:eastAsia="zh-CN"/>
              </w:rPr>
            </w:pPr>
            <w:r>
              <w:rPr>
                <w:rFonts w:hint="default" w:ascii="Times New Roman" w:hAnsi="Times New Roman" w:eastAsia="宋体" w:cs="Times New Roman"/>
                <w:b w:val="0"/>
                <w:bCs w:val="0"/>
                <w:color w:val="auto"/>
                <w:sz w:val="21"/>
                <w:szCs w:val="21"/>
                <w:lang w:eastAsia="zh-CN"/>
              </w:rPr>
              <w:t>火灾、伴生/次生污染物进入大气环境</w:t>
            </w:r>
          </w:p>
        </w:tc>
        <w:tc>
          <w:tcPr>
            <w:tcW w:w="827" w:type="pct"/>
            <w:vMerge w:val="continue"/>
            <w:tcBorders>
              <w:tl2br w:val="nil"/>
              <w:tr2bl w:val="nil"/>
            </w:tcBorders>
            <w:noWrap w:val="0"/>
            <w:vAlign w:val="center"/>
          </w:tcPr>
          <w:p w14:paraId="43C2DC6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lang w:eastAsia="zh-CN"/>
              </w:rPr>
            </w:pPr>
          </w:p>
        </w:tc>
      </w:tr>
      <w:tr w14:paraId="2FC5B6A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92" w:hRule="atLeast"/>
          <w:jc w:val="center"/>
        </w:trPr>
        <w:tc>
          <w:tcPr>
            <w:tcW w:w="824" w:type="pct"/>
            <w:gridSpan w:val="2"/>
            <w:tcBorders>
              <w:tl2br w:val="nil"/>
              <w:tr2bl w:val="nil"/>
            </w:tcBorders>
            <w:noWrap w:val="0"/>
            <w:vAlign w:val="center"/>
          </w:tcPr>
          <w:p w14:paraId="385C662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rPr>
              <w:t>废气治理设施</w:t>
            </w:r>
          </w:p>
        </w:tc>
        <w:tc>
          <w:tcPr>
            <w:tcW w:w="579" w:type="pct"/>
            <w:tcBorders>
              <w:tl2br w:val="nil"/>
              <w:tr2bl w:val="nil"/>
            </w:tcBorders>
            <w:noWrap w:val="0"/>
            <w:vAlign w:val="center"/>
          </w:tcPr>
          <w:p w14:paraId="2A98997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lang w:val="en-US"/>
              </w:rPr>
            </w:pPr>
            <w:r>
              <w:rPr>
                <w:rFonts w:hint="eastAsia" w:ascii="Times New Roman" w:hAnsi="Times New Roman" w:eastAsia="宋体" w:cs="Times New Roman"/>
                <w:color w:val="auto"/>
                <w:sz w:val="21"/>
                <w:szCs w:val="21"/>
                <w:lang w:val="en-US" w:eastAsia="zh-CN"/>
              </w:rPr>
              <w:t>废气</w:t>
            </w:r>
            <w:r>
              <w:rPr>
                <w:rFonts w:hint="eastAsia" w:ascii="Times New Roman" w:hAnsi="Times New Roman" w:eastAsia="宋体" w:cs="Times New Roman"/>
                <w:color w:val="auto"/>
                <w:sz w:val="21"/>
                <w:szCs w:val="21"/>
              </w:rPr>
              <w:t>事故排放</w:t>
            </w:r>
          </w:p>
        </w:tc>
        <w:tc>
          <w:tcPr>
            <w:tcW w:w="591" w:type="pct"/>
            <w:tcBorders>
              <w:tl2br w:val="nil"/>
              <w:tr2bl w:val="nil"/>
            </w:tcBorders>
            <w:noWrap w:val="0"/>
            <w:vAlign w:val="center"/>
          </w:tcPr>
          <w:p w14:paraId="5850018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lang w:val="en-US"/>
              </w:rPr>
            </w:pPr>
            <w:r>
              <w:rPr>
                <w:rFonts w:hint="eastAsia" w:ascii="Times New Roman" w:hAnsi="Times New Roman" w:eastAsia="宋体" w:cs="Times New Roman"/>
                <w:color w:val="auto"/>
                <w:sz w:val="21"/>
                <w:szCs w:val="21"/>
                <w:lang w:val="en-US" w:eastAsia="zh-CN"/>
              </w:rPr>
              <w:t>废气</w:t>
            </w:r>
          </w:p>
        </w:tc>
        <w:tc>
          <w:tcPr>
            <w:tcW w:w="351" w:type="pct"/>
            <w:tcBorders>
              <w:tl2br w:val="nil"/>
              <w:tr2bl w:val="nil"/>
            </w:tcBorders>
            <w:noWrap w:val="0"/>
            <w:vAlign w:val="center"/>
          </w:tcPr>
          <w:p w14:paraId="4E12389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环保设备异常</w:t>
            </w:r>
          </w:p>
        </w:tc>
        <w:tc>
          <w:tcPr>
            <w:tcW w:w="489" w:type="pct"/>
            <w:tcBorders>
              <w:tl2br w:val="nil"/>
              <w:tr2bl w:val="nil"/>
            </w:tcBorders>
            <w:noWrap w:val="0"/>
            <w:vAlign w:val="center"/>
          </w:tcPr>
          <w:p w14:paraId="742D7BC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lang w:eastAsia="zh-CN"/>
              </w:rPr>
            </w:pPr>
            <w:r>
              <w:rPr>
                <w:rFonts w:hint="eastAsia" w:ascii="Times New Roman" w:hAnsi="Times New Roman" w:eastAsia="宋体" w:cs="Times New Roman"/>
                <w:b w:val="0"/>
                <w:bCs w:val="0"/>
                <w:color w:val="auto"/>
                <w:sz w:val="21"/>
                <w:szCs w:val="21"/>
                <w:lang w:eastAsia="zh-CN"/>
              </w:rPr>
              <w:t>废气超标排放</w:t>
            </w:r>
          </w:p>
        </w:tc>
        <w:tc>
          <w:tcPr>
            <w:tcW w:w="1335" w:type="pct"/>
            <w:tcBorders>
              <w:tl2br w:val="nil"/>
              <w:tr2bl w:val="nil"/>
            </w:tcBorders>
            <w:noWrap w:val="0"/>
            <w:vAlign w:val="center"/>
          </w:tcPr>
          <w:p w14:paraId="7F84730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eastAsia="zh-CN"/>
              </w:rPr>
              <w:t>废气</w:t>
            </w:r>
            <w:r>
              <w:rPr>
                <w:rFonts w:hint="default" w:ascii="Times New Roman" w:hAnsi="Times New Roman" w:eastAsia="宋体" w:cs="Times New Roman"/>
                <w:b w:val="0"/>
                <w:bCs w:val="0"/>
                <w:color w:val="auto"/>
                <w:sz w:val="21"/>
                <w:szCs w:val="21"/>
                <w:lang w:eastAsia="zh-CN"/>
              </w:rPr>
              <w:t>进入大气环境</w:t>
            </w:r>
          </w:p>
        </w:tc>
        <w:tc>
          <w:tcPr>
            <w:tcW w:w="827" w:type="pct"/>
            <w:vMerge w:val="continue"/>
            <w:tcBorders>
              <w:tl2br w:val="nil"/>
              <w:tr2bl w:val="nil"/>
            </w:tcBorders>
            <w:noWrap w:val="0"/>
            <w:vAlign w:val="center"/>
          </w:tcPr>
          <w:p w14:paraId="6B4592D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lang w:eastAsia="zh-CN"/>
              </w:rPr>
            </w:pPr>
          </w:p>
        </w:tc>
      </w:tr>
    </w:tbl>
    <w:p w14:paraId="33927E26">
      <w:pPr>
        <w:pStyle w:val="5"/>
        <w:rPr>
          <w:rFonts w:ascii="Times New Roman" w:hAnsi="Times New Roman"/>
          <w:color w:val="000000"/>
          <w:lang w:val="en-US"/>
        </w:rPr>
      </w:pPr>
      <w:r>
        <w:rPr>
          <w:rFonts w:hint="eastAsia" w:ascii="Times New Roman" w:hAnsi="Times New Roman"/>
          <w:color w:val="000000"/>
          <w:lang w:val="en-US"/>
        </w:rPr>
        <w:t>5.2.7.</w:t>
      </w:r>
      <w:r>
        <w:rPr>
          <w:rFonts w:hint="eastAsia" w:ascii="Times New Roman" w:hAnsi="Times New Roman"/>
          <w:color w:val="000000"/>
          <w:lang w:val="en-US" w:eastAsia="zh-CN"/>
        </w:rPr>
        <w:t>5</w:t>
      </w:r>
      <w:r>
        <w:rPr>
          <w:rFonts w:ascii="Times New Roman" w:hAnsi="Times New Roman"/>
          <w:color w:val="000000"/>
          <w:lang w:val="en-US"/>
        </w:rPr>
        <w:t>环境敏感目标概况</w:t>
      </w:r>
      <w:bookmarkEnd w:id="328"/>
      <w:bookmarkEnd w:id="329"/>
      <w:bookmarkEnd w:id="330"/>
    </w:p>
    <w:p w14:paraId="547445EC">
      <w:pPr>
        <w:tabs>
          <w:tab w:val="left" w:leader="dot" w:pos="8770"/>
        </w:tabs>
        <w:spacing w:line="360" w:lineRule="auto"/>
        <w:ind w:firstLine="482"/>
        <w:rPr>
          <w:color w:val="000000"/>
          <w:sz w:val="24"/>
          <w:szCs w:val="24"/>
        </w:rPr>
      </w:pPr>
      <w:r>
        <w:rPr>
          <w:color w:val="000000"/>
          <w:sz w:val="24"/>
          <w:szCs w:val="24"/>
        </w:rPr>
        <w:t>本项目位于</w:t>
      </w:r>
      <w:r>
        <w:rPr>
          <w:rFonts w:hint="eastAsia" w:ascii="宋体" w:hAnsi="宋体" w:cs="宋体"/>
          <w:kern w:val="0"/>
          <w:sz w:val="24"/>
          <w:szCs w:val="24"/>
          <w:lang w:val="zh-CN" w:bidi="zh-CN"/>
        </w:rPr>
        <w:t>新疆库尔勒市普惠乡润疆社区四分场库尔勒惠泉工贸有限公司厂区内</w:t>
      </w:r>
      <w:r>
        <w:rPr>
          <w:rFonts w:hint="eastAsia"/>
          <w:color w:val="000000"/>
          <w:sz w:val="24"/>
          <w:szCs w:val="24"/>
        </w:rPr>
        <w:t>，用地性质为工业用地。根据调查，评价区域</w:t>
      </w:r>
      <w:r>
        <w:rPr>
          <w:color w:val="000000"/>
          <w:sz w:val="24"/>
          <w:szCs w:val="24"/>
        </w:rPr>
        <w:t>内无</w:t>
      </w:r>
      <w:r>
        <w:rPr>
          <w:rFonts w:hint="eastAsia"/>
          <w:color w:val="000000"/>
          <w:sz w:val="24"/>
          <w:szCs w:val="24"/>
        </w:rPr>
        <w:t>饮用水水源保护区、</w:t>
      </w:r>
      <w:r>
        <w:rPr>
          <w:color w:val="000000"/>
          <w:sz w:val="24"/>
          <w:szCs w:val="24"/>
        </w:rPr>
        <w:t>自然保护区</w:t>
      </w:r>
      <w:r>
        <w:rPr>
          <w:rFonts w:hint="eastAsia"/>
          <w:color w:val="000000"/>
          <w:sz w:val="24"/>
          <w:szCs w:val="24"/>
        </w:rPr>
        <w:t>、</w:t>
      </w:r>
      <w:r>
        <w:rPr>
          <w:color w:val="000000"/>
          <w:sz w:val="24"/>
          <w:szCs w:val="24"/>
        </w:rPr>
        <w:t>风景名胜区</w:t>
      </w:r>
      <w:r>
        <w:rPr>
          <w:rFonts w:hint="eastAsia"/>
          <w:color w:val="000000"/>
          <w:sz w:val="24"/>
          <w:szCs w:val="24"/>
        </w:rPr>
        <w:t>、地表文物、珍稀动植物等环境敏感区。</w:t>
      </w:r>
      <w:r>
        <w:rPr>
          <w:color w:val="000000"/>
          <w:sz w:val="24"/>
          <w:szCs w:val="24"/>
        </w:rPr>
        <w:t>根据</w:t>
      </w:r>
      <w:r>
        <w:rPr>
          <w:rFonts w:hint="eastAsia"/>
          <w:color w:val="000000"/>
          <w:sz w:val="24"/>
          <w:szCs w:val="24"/>
        </w:rPr>
        <w:t>工程性质及周围环境特征，</w:t>
      </w:r>
      <w:r>
        <w:rPr>
          <w:rFonts w:hint="eastAsia"/>
          <w:color w:val="000000"/>
          <w:kern w:val="0"/>
          <w:sz w:val="24"/>
          <w:szCs w:val="24"/>
        </w:rPr>
        <w:t>评价范围内主要环境风险保护目标</w:t>
      </w:r>
      <w:r>
        <w:rPr>
          <w:color w:val="000000"/>
          <w:sz w:val="24"/>
          <w:szCs w:val="24"/>
        </w:rPr>
        <w:t>具体</w:t>
      </w:r>
      <w:r>
        <w:rPr>
          <w:rFonts w:hint="eastAsia"/>
          <w:color w:val="000000"/>
          <w:sz w:val="24"/>
          <w:szCs w:val="24"/>
        </w:rPr>
        <w:t>情况</w:t>
      </w:r>
      <w:r>
        <w:rPr>
          <w:color w:val="000000"/>
          <w:sz w:val="24"/>
          <w:szCs w:val="24"/>
        </w:rPr>
        <w:t>见表</w:t>
      </w:r>
      <w:r>
        <w:rPr>
          <w:rFonts w:hint="eastAsia"/>
          <w:color w:val="000000"/>
          <w:sz w:val="24"/>
          <w:szCs w:val="24"/>
        </w:rPr>
        <w:t>5.2-</w:t>
      </w:r>
      <w:r>
        <w:rPr>
          <w:rFonts w:hint="eastAsia"/>
          <w:color w:val="000000"/>
          <w:sz w:val="24"/>
          <w:szCs w:val="24"/>
          <w:lang w:val="en-US" w:eastAsia="zh-CN"/>
        </w:rPr>
        <w:t>33</w:t>
      </w:r>
      <w:r>
        <w:rPr>
          <w:color w:val="000000"/>
          <w:sz w:val="24"/>
          <w:szCs w:val="24"/>
        </w:rPr>
        <w:t>。</w:t>
      </w:r>
    </w:p>
    <w:p w14:paraId="2EA28899">
      <w:pPr>
        <w:jc w:val="center"/>
        <w:rPr>
          <w:rFonts w:hint="eastAsia" w:hAnsi="宋体"/>
          <w:b/>
          <w:color w:val="000000"/>
          <w:szCs w:val="21"/>
        </w:rPr>
      </w:pPr>
      <w:r>
        <w:rPr>
          <w:rFonts w:hAnsi="宋体"/>
          <w:b/>
          <w:color w:val="000000"/>
          <w:szCs w:val="21"/>
        </w:rPr>
        <w:t>表</w:t>
      </w:r>
      <w:r>
        <w:rPr>
          <w:rFonts w:hint="eastAsia" w:hAnsi="宋体"/>
          <w:b/>
          <w:color w:val="000000"/>
          <w:szCs w:val="21"/>
        </w:rPr>
        <w:t>5.2-</w:t>
      </w:r>
      <w:r>
        <w:rPr>
          <w:rFonts w:hint="eastAsia" w:hAnsi="宋体"/>
          <w:b/>
          <w:color w:val="000000"/>
          <w:szCs w:val="21"/>
          <w:lang w:val="en-US" w:eastAsia="zh-CN"/>
        </w:rPr>
        <w:t>33</w:t>
      </w:r>
      <w:r>
        <w:rPr>
          <w:rFonts w:hint="eastAsia" w:hAnsi="宋体"/>
          <w:b/>
          <w:color w:val="000000"/>
          <w:szCs w:val="21"/>
        </w:rPr>
        <w:t xml:space="preserve">   </w:t>
      </w:r>
      <w:r>
        <w:rPr>
          <w:rFonts w:hAnsi="宋体"/>
          <w:b/>
          <w:color w:val="000000"/>
          <w:szCs w:val="21"/>
        </w:rPr>
        <w:t xml:space="preserve"> 项目</w:t>
      </w:r>
      <w:r>
        <w:rPr>
          <w:rFonts w:hint="eastAsia" w:hAnsi="宋体"/>
          <w:b/>
          <w:color w:val="000000"/>
          <w:szCs w:val="21"/>
        </w:rPr>
        <w:t>区</w:t>
      </w:r>
      <w:r>
        <w:rPr>
          <w:rFonts w:hAnsi="宋体"/>
          <w:b/>
          <w:color w:val="000000"/>
          <w:szCs w:val="21"/>
        </w:rPr>
        <w:t>周围</w:t>
      </w:r>
      <w:r>
        <w:rPr>
          <w:rFonts w:hint="eastAsia" w:hAnsi="宋体"/>
          <w:b/>
          <w:color w:val="000000"/>
          <w:szCs w:val="21"/>
        </w:rPr>
        <w:t>主要</w:t>
      </w:r>
      <w:r>
        <w:rPr>
          <w:rFonts w:hAnsi="宋体"/>
          <w:b/>
          <w:color w:val="000000"/>
          <w:szCs w:val="21"/>
        </w:rPr>
        <w:t>环境</w:t>
      </w:r>
      <w:r>
        <w:rPr>
          <w:rFonts w:hint="eastAsia" w:hAnsi="宋体"/>
          <w:b/>
          <w:color w:val="000000"/>
          <w:szCs w:val="21"/>
        </w:rPr>
        <w:t>风险</w:t>
      </w:r>
      <w:r>
        <w:rPr>
          <w:rFonts w:hAnsi="宋体"/>
          <w:b/>
          <w:color w:val="000000"/>
          <w:szCs w:val="21"/>
        </w:rPr>
        <w:t>保护目标</w:t>
      </w:r>
    </w:p>
    <w:tbl>
      <w:tblPr>
        <w:tblStyle w:val="49"/>
        <w:tblW w:w="4996" w:type="pct"/>
        <w:jc w:val="center"/>
        <w:tblBorders>
          <w:top w:val="single" w:color="auto" w:sz="12" w:space="0"/>
          <w:left w:val="single" w:color="auto" w:sz="12" w:space="0"/>
          <w:bottom w:val="single" w:color="auto" w:sz="12" w:space="0"/>
          <w:right w:val="single" w:color="auto" w:sz="12" w:space="0"/>
          <w:insideH w:val="single" w:color="auto" w:sz="2" w:space="0"/>
          <w:insideV w:val="single" w:color="auto" w:sz="4" w:space="0"/>
        </w:tblBorders>
        <w:tblLayout w:type="fixed"/>
        <w:tblCellMar>
          <w:top w:w="0" w:type="dxa"/>
          <w:left w:w="108" w:type="dxa"/>
          <w:bottom w:w="0" w:type="dxa"/>
          <w:right w:w="108" w:type="dxa"/>
        </w:tblCellMar>
      </w:tblPr>
      <w:tblGrid>
        <w:gridCol w:w="610"/>
        <w:gridCol w:w="1061"/>
        <w:gridCol w:w="1068"/>
        <w:gridCol w:w="1100"/>
        <w:gridCol w:w="875"/>
        <w:gridCol w:w="984"/>
        <w:gridCol w:w="945"/>
        <w:gridCol w:w="1872"/>
      </w:tblGrid>
      <w:tr w14:paraId="5322860F">
        <w:tblPrEx>
          <w:tblBorders>
            <w:top w:val="single" w:color="auto" w:sz="12" w:space="0"/>
            <w:left w:val="single" w:color="auto" w:sz="12" w:space="0"/>
            <w:bottom w:val="single" w:color="auto" w:sz="12" w:space="0"/>
            <w:right w:val="single" w:color="auto" w:sz="12" w:space="0"/>
            <w:insideH w:val="single" w:color="auto" w:sz="2" w:space="0"/>
            <w:insideV w:val="single" w:color="auto" w:sz="4" w:space="0"/>
          </w:tblBorders>
          <w:tblCellMar>
            <w:top w:w="0" w:type="dxa"/>
            <w:left w:w="108" w:type="dxa"/>
            <w:bottom w:w="0" w:type="dxa"/>
            <w:right w:w="108" w:type="dxa"/>
          </w:tblCellMar>
        </w:tblPrEx>
        <w:trPr>
          <w:trHeight w:val="285" w:hRule="atLeast"/>
          <w:jc w:val="center"/>
        </w:trPr>
        <w:tc>
          <w:tcPr>
            <w:tcW w:w="358" w:type="pct"/>
            <w:vMerge w:val="restart"/>
            <w:tcBorders>
              <w:tl2br w:val="nil"/>
              <w:tr2bl w:val="nil"/>
            </w:tcBorders>
            <w:vAlign w:val="center"/>
          </w:tcPr>
          <w:p w14:paraId="7C57C8C8">
            <w:pPr>
              <w:pStyle w:val="240"/>
              <w:rPr>
                <w:rFonts w:hint="default"/>
              </w:rPr>
            </w:pPr>
            <w:r>
              <w:t>环境要素</w:t>
            </w:r>
          </w:p>
        </w:tc>
        <w:tc>
          <w:tcPr>
            <w:tcW w:w="623" w:type="pct"/>
            <w:vMerge w:val="restart"/>
            <w:tcBorders>
              <w:tl2br w:val="nil"/>
              <w:tr2bl w:val="nil"/>
            </w:tcBorders>
            <w:vAlign w:val="center"/>
          </w:tcPr>
          <w:p w14:paraId="258A70CA">
            <w:pPr>
              <w:pStyle w:val="240"/>
              <w:rPr>
                <w:rFonts w:hint="default"/>
              </w:rPr>
            </w:pPr>
            <w:r>
              <w:rPr>
                <w:rFonts w:hint="default"/>
              </w:rPr>
              <w:t>保护目标</w:t>
            </w:r>
          </w:p>
        </w:tc>
        <w:tc>
          <w:tcPr>
            <w:tcW w:w="1273" w:type="pct"/>
            <w:gridSpan w:val="2"/>
            <w:tcBorders>
              <w:tl2br w:val="nil"/>
              <w:tr2bl w:val="nil"/>
            </w:tcBorders>
            <w:vAlign w:val="center"/>
          </w:tcPr>
          <w:p w14:paraId="2A116B5A">
            <w:pPr>
              <w:pStyle w:val="240"/>
              <w:rPr>
                <w:rFonts w:hint="default"/>
              </w:rPr>
            </w:pPr>
            <w:r>
              <w:rPr>
                <w:rFonts w:hint="default"/>
              </w:rPr>
              <w:t>坐标</w:t>
            </w:r>
          </w:p>
        </w:tc>
        <w:tc>
          <w:tcPr>
            <w:tcW w:w="514" w:type="pct"/>
            <w:vMerge w:val="restart"/>
            <w:tcBorders>
              <w:tl2br w:val="nil"/>
              <w:tr2bl w:val="nil"/>
            </w:tcBorders>
            <w:vAlign w:val="center"/>
          </w:tcPr>
          <w:p w14:paraId="07F99F6F">
            <w:pPr>
              <w:pStyle w:val="240"/>
              <w:rPr>
                <w:rFonts w:hint="default"/>
              </w:rPr>
            </w:pPr>
            <w:r>
              <w:rPr>
                <w:rFonts w:hint="default"/>
              </w:rPr>
              <w:t>相对厂址方位</w:t>
            </w:r>
          </w:p>
        </w:tc>
        <w:tc>
          <w:tcPr>
            <w:tcW w:w="578" w:type="pct"/>
            <w:vMerge w:val="restart"/>
            <w:tcBorders>
              <w:tl2br w:val="nil"/>
              <w:tr2bl w:val="nil"/>
            </w:tcBorders>
            <w:vAlign w:val="center"/>
          </w:tcPr>
          <w:p w14:paraId="64BE30F8">
            <w:pPr>
              <w:pStyle w:val="240"/>
              <w:rPr>
                <w:rFonts w:hint="default"/>
              </w:rPr>
            </w:pPr>
            <w:r>
              <w:rPr>
                <w:rFonts w:hint="default"/>
              </w:rPr>
              <w:t>相对厂界距离（m）</w:t>
            </w:r>
          </w:p>
        </w:tc>
        <w:tc>
          <w:tcPr>
            <w:tcW w:w="555" w:type="pct"/>
            <w:vMerge w:val="restart"/>
            <w:tcBorders>
              <w:tl2br w:val="nil"/>
              <w:tr2bl w:val="nil"/>
            </w:tcBorders>
            <w:vAlign w:val="center"/>
          </w:tcPr>
          <w:p w14:paraId="409B57CD">
            <w:pPr>
              <w:pStyle w:val="240"/>
              <w:rPr>
                <w:rFonts w:hint="default"/>
              </w:rPr>
            </w:pPr>
            <w:r>
              <w:t>规模</w:t>
            </w:r>
          </w:p>
        </w:tc>
        <w:tc>
          <w:tcPr>
            <w:tcW w:w="1099" w:type="pct"/>
            <w:vMerge w:val="restart"/>
            <w:tcBorders>
              <w:tl2br w:val="nil"/>
              <w:tr2bl w:val="nil"/>
            </w:tcBorders>
            <w:vAlign w:val="center"/>
          </w:tcPr>
          <w:p w14:paraId="2C1F4470">
            <w:pPr>
              <w:pStyle w:val="240"/>
              <w:rPr>
                <w:rFonts w:hint="default"/>
              </w:rPr>
            </w:pPr>
            <w:r>
              <w:rPr>
                <w:rFonts w:hint="default"/>
              </w:rPr>
              <w:t>环境功能区</w:t>
            </w:r>
          </w:p>
        </w:tc>
      </w:tr>
      <w:tr w14:paraId="66FD250B">
        <w:tblPrEx>
          <w:tblBorders>
            <w:top w:val="single" w:color="auto" w:sz="12" w:space="0"/>
            <w:left w:val="single" w:color="auto" w:sz="12" w:space="0"/>
            <w:bottom w:val="single" w:color="auto" w:sz="12" w:space="0"/>
            <w:right w:val="single" w:color="auto" w:sz="12" w:space="0"/>
            <w:insideH w:val="single" w:color="auto" w:sz="2" w:space="0"/>
            <w:insideV w:val="single" w:color="auto" w:sz="4" w:space="0"/>
          </w:tblBorders>
          <w:tblCellMar>
            <w:top w:w="0" w:type="dxa"/>
            <w:left w:w="108" w:type="dxa"/>
            <w:bottom w:w="0" w:type="dxa"/>
            <w:right w:w="108" w:type="dxa"/>
          </w:tblCellMar>
        </w:tblPrEx>
        <w:trPr>
          <w:trHeight w:val="285" w:hRule="atLeast"/>
          <w:jc w:val="center"/>
        </w:trPr>
        <w:tc>
          <w:tcPr>
            <w:tcW w:w="358" w:type="pct"/>
            <w:vMerge w:val="continue"/>
            <w:tcBorders>
              <w:tl2br w:val="nil"/>
              <w:tr2bl w:val="nil"/>
            </w:tcBorders>
            <w:vAlign w:val="center"/>
          </w:tcPr>
          <w:p w14:paraId="4605A2ED">
            <w:pPr>
              <w:pStyle w:val="240"/>
              <w:rPr>
                <w:rFonts w:hint="default"/>
              </w:rPr>
            </w:pPr>
          </w:p>
        </w:tc>
        <w:tc>
          <w:tcPr>
            <w:tcW w:w="623" w:type="pct"/>
            <w:vMerge w:val="continue"/>
            <w:tcBorders>
              <w:tl2br w:val="nil"/>
              <w:tr2bl w:val="nil"/>
            </w:tcBorders>
            <w:vAlign w:val="center"/>
          </w:tcPr>
          <w:p w14:paraId="6C6950FA">
            <w:pPr>
              <w:pStyle w:val="240"/>
              <w:rPr>
                <w:rFonts w:hint="default"/>
              </w:rPr>
            </w:pPr>
          </w:p>
        </w:tc>
        <w:tc>
          <w:tcPr>
            <w:tcW w:w="627" w:type="pct"/>
            <w:tcBorders>
              <w:tl2br w:val="nil"/>
              <w:tr2bl w:val="nil"/>
            </w:tcBorders>
            <w:vAlign w:val="center"/>
          </w:tcPr>
          <w:p w14:paraId="5CE4A6CB">
            <w:pPr>
              <w:pStyle w:val="240"/>
              <w:rPr>
                <w:rFonts w:hint="default"/>
              </w:rPr>
            </w:pPr>
            <w:r>
              <w:rPr>
                <w:rFonts w:hint="default"/>
              </w:rPr>
              <w:t>经度</w:t>
            </w:r>
          </w:p>
        </w:tc>
        <w:tc>
          <w:tcPr>
            <w:tcW w:w="646" w:type="pct"/>
            <w:tcBorders>
              <w:tl2br w:val="nil"/>
              <w:tr2bl w:val="nil"/>
            </w:tcBorders>
            <w:vAlign w:val="center"/>
          </w:tcPr>
          <w:p w14:paraId="278B2F66">
            <w:pPr>
              <w:pStyle w:val="240"/>
              <w:rPr>
                <w:rFonts w:hint="default"/>
              </w:rPr>
            </w:pPr>
            <w:r>
              <w:rPr>
                <w:rFonts w:hint="default"/>
              </w:rPr>
              <w:t>纬度</w:t>
            </w:r>
          </w:p>
        </w:tc>
        <w:tc>
          <w:tcPr>
            <w:tcW w:w="514" w:type="pct"/>
            <w:vMerge w:val="continue"/>
            <w:tcBorders>
              <w:tl2br w:val="nil"/>
              <w:tr2bl w:val="nil"/>
            </w:tcBorders>
            <w:vAlign w:val="center"/>
          </w:tcPr>
          <w:p w14:paraId="64C9EA74">
            <w:pPr>
              <w:pStyle w:val="240"/>
              <w:rPr>
                <w:rFonts w:hint="default"/>
              </w:rPr>
            </w:pPr>
          </w:p>
        </w:tc>
        <w:tc>
          <w:tcPr>
            <w:tcW w:w="578" w:type="pct"/>
            <w:vMerge w:val="continue"/>
            <w:tcBorders>
              <w:tl2br w:val="nil"/>
              <w:tr2bl w:val="nil"/>
            </w:tcBorders>
            <w:vAlign w:val="center"/>
          </w:tcPr>
          <w:p w14:paraId="138DA4B4">
            <w:pPr>
              <w:pStyle w:val="240"/>
              <w:rPr>
                <w:rFonts w:hint="default"/>
              </w:rPr>
            </w:pPr>
          </w:p>
        </w:tc>
        <w:tc>
          <w:tcPr>
            <w:tcW w:w="555" w:type="pct"/>
            <w:vMerge w:val="continue"/>
            <w:tcBorders>
              <w:tl2br w:val="nil"/>
              <w:tr2bl w:val="nil"/>
            </w:tcBorders>
            <w:vAlign w:val="center"/>
          </w:tcPr>
          <w:p w14:paraId="6D357671">
            <w:pPr>
              <w:pStyle w:val="240"/>
              <w:rPr>
                <w:rFonts w:hint="default"/>
              </w:rPr>
            </w:pPr>
          </w:p>
        </w:tc>
        <w:tc>
          <w:tcPr>
            <w:tcW w:w="1099" w:type="pct"/>
            <w:vMerge w:val="continue"/>
            <w:tcBorders>
              <w:tl2br w:val="nil"/>
              <w:tr2bl w:val="nil"/>
            </w:tcBorders>
            <w:vAlign w:val="center"/>
          </w:tcPr>
          <w:p w14:paraId="072ABD90">
            <w:pPr>
              <w:pStyle w:val="240"/>
              <w:rPr>
                <w:rFonts w:hint="default"/>
              </w:rPr>
            </w:pPr>
          </w:p>
        </w:tc>
      </w:tr>
      <w:tr w14:paraId="246A47F3">
        <w:tblPrEx>
          <w:tblBorders>
            <w:top w:val="single" w:color="auto" w:sz="12" w:space="0"/>
            <w:left w:val="single" w:color="auto" w:sz="12" w:space="0"/>
            <w:bottom w:val="single" w:color="auto" w:sz="12" w:space="0"/>
            <w:right w:val="single" w:color="auto" w:sz="12" w:space="0"/>
            <w:insideH w:val="single" w:color="auto" w:sz="2" w:space="0"/>
            <w:insideV w:val="single" w:color="auto" w:sz="4" w:space="0"/>
          </w:tblBorders>
          <w:tblCellMar>
            <w:top w:w="0" w:type="dxa"/>
            <w:left w:w="108" w:type="dxa"/>
            <w:bottom w:w="0" w:type="dxa"/>
            <w:right w:w="108" w:type="dxa"/>
          </w:tblCellMar>
        </w:tblPrEx>
        <w:trPr>
          <w:cantSplit/>
          <w:trHeight w:val="532" w:hRule="atLeast"/>
          <w:jc w:val="center"/>
        </w:trPr>
        <w:tc>
          <w:tcPr>
            <w:tcW w:w="358" w:type="pct"/>
            <w:vMerge w:val="restart"/>
            <w:tcBorders>
              <w:tl2br w:val="nil"/>
              <w:tr2bl w:val="nil"/>
            </w:tcBorders>
            <w:vAlign w:val="center"/>
          </w:tcPr>
          <w:p w14:paraId="0D35D173">
            <w:pPr>
              <w:pStyle w:val="240"/>
              <w:rPr>
                <w:rFonts w:hint="default"/>
              </w:rPr>
            </w:pPr>
            <w:r>
              <w:rPr>
                <w:rFonts w:hint="default"/>
              </w:rPr>
              <w:t>大气环境</w:t>
            </w:r>
          </w:p>
        </w:tc>
        <w:tc>
          <w:tcPr>
            <w:tcW w:w="623" w:type="pct"/>
            <w:tcBorders>
              <w:tl2br w:val="nil"/>
              <w:tr2bl w:val="nil"/>
            </w:tcBorders>
            <w:vAlign w:val="center"/>
          </w:tcPr>
          <w:p w14:paraId="7C3A0881">
            <w:pPr>
              <w:adjustRightInd w:val="0"/>
              <w:snapToGrid w:val="0"/>
              <w:spacing w:line="320" w:lineRule="exact"/>
              <w:jc w:val="center"/>
              <w:rPr>
                <w:bCs/>
                <w:color w:val="000000"/>
                <w:szCs w:val="21"/>
              </w:rPr>
            </w:pPr>
            <w:r>
              <w:rPr>
                <w:rFonts w:hint="eastAsia"/>
                <w:szCs w:val="21"/>
              </w:rPr>
              <w:t>普惠农场三队</w:t>
            </w:r>
          </w:p>
        </w:tc>
        <w:tc>
          <w:tcPr>
            <w:tcW w:w="627" w:type="pct"/>
            <w:tcBorders>
              <w:tl2br w:val="nil"/>
              <w:tr2bl w:val="nil"/>
            </w:tcBorders>
            <w:vAlign w:val="center"/>
          </w:tcPr>
          <w:p w14:paraId="7B8FF292">
            <w:pPr>
              <w:adjustRightInd w:val="0"/>
              <w:snapToGrid w:val="0"/>
              <w:spacing w:line="320" w:lineRule="exact"/>
              <w:jc w:val="center"/>
              <w:rPr>
                <w:color w:val="000000"/>
              </w:rPr>
            </w:pPr>
            <w:r>
              <w:rPr>
                <w:rFonts w:hint="eastAsia"/>
                <w:szCs w:val="21"/>
              </w:rPr>
              <w:t>85.85348</w:t>
            </w:r>
          </w:p>
        </w:tc>
        <w:tc>
          <w:tcPr>
            <w:tcW w:w="646" w:type="pct"/>
            <w:tcBorders>
              <w:tl2br w:val="nil"/>
              <w:tr2bl w:val="nil"/>
            </w:tcBorders>
            <w:vAlign w:val="center"/>
          </w:tcPr>
          <w:p w14:paraId="6C64E13C">
            <w:pPr>
              <w:adjustRightInd w:val="0"/>
              <w:snapToGrid w:val="0"/>
              <w:spacing w:line="320" w:lineRule="exact"/>
              <w:jc w:val="center"/>
              <w:rPr>
                <w:color w:val="000000"/>
              </w:rPr>
            </w:pPr>
            <w:r>
              <w:rPr>
                <w:rFonts w:hint="eastAsia"/>
                <w:szCs w:val="21"/>
              </w:rPr>
              <w:t>41.41325</w:t>
            </w:r>
          </w:p>
        </w:tc>
        <w:tc>
          <w:tcPr>
            <w:tcW w:w="514" w:type="pct"/>
            <w:tcBorders>
              <w:tl2br w:val="nil"/>
              <w:tr2bl w:val="nil"/>
            </w:tcBorders>
            <w:vAlign w:val="center"/>
          </w:tcPr>
          <w:p w14:paraId="1F9B0461">
            <w:pPr>
              <w:pStyle w:val="240"/>
              <w:rPr>
                <w:rFonts w:hint="default"/>
              </w:rPr>
            </w:pPr>
            <w:r>
              <w:t>东侧</w:t>
            </w:r>
          </w:p>
        </w:tc>
        <w:tc>
          <w:tcPr>
            <w:tcW w:w="578" w:type="pct"/>
            <w:tcBorders>
              <w:tl2br w:val="nil"/>
              <w:tr2bl w:val="nil"/>
            </w:tcBorders>
            <w:vAlign w:val="center"/>
          </w:tcPr>
          <w:p w14:paraId="4B457F68">
            <w:pPr>
              <w:pStyle w:val="240"/>
              <w:rPr>
                <w:rFonts w:hint="default"/>
              </w:rPr>
            </w:pPr>
            <w:r>
              <w:t>1030</w:t>
            </w:r>
          </w:p>
        </w:tc>
        <w:tc>
          <w:tcPr>
            <w:tcW w:w="555" w:type="pct"/>
            <w:tcBorders>
              <w:tl2br w:val="nil"/>
              <w:tr2bl w:val="nil"/>
            </w:tcBorders>
            <w:vAlign w:val="center"/>
          </w:tcPr>
          <w:p w14:paraId="456482C3">
            <w:pPr>
              <w:adjustRightInd w:val="0"/>
              <w:snapToGrid w:val="0"/>
              <w:spacing w:line="320" w:lineRule="exact"/>
              <w:jc w:val="center"/>
              <w:rPr>
                <w:szCs w:val="21"/>
              </w:rPr>
            </w:pPr>
            <w:r>
              <w:rPr>
                <w:rFonts w:hint="eastAsia"/>
                <w:szCs w:val="21"/>
              </w:rPr>
              <w:t>约64户201</w:t>
            </w:r>
            <w:r>
              <w:rPr>
                <w:szCs w:val="21"/>
              </w:rPr>
              <w:t>人</w:t>
            </w:r>
          </w:p>
        </w:tc>
        <w:tc>
          <w:tcPr>
            <w:tcW w:w="1099" w:type="pct"/>
            <w:vMerge w:val="restart"/>
            <w:tcBorders>
              <w:tl2br w:val="nil"/>
              <w:tr2bl w:val="nil"/>
            </w:tcBorders>
            <w:vAlign w:val="center"/>
          </w:tcPr>
          <w:p w14:paraId="650D4E97">
            <w:pPr>
              <w:pStyle w:val="240"/>
              <w:rPr>
                <w:rFonts w:hint="default"/>
              </w:rPr>
            </w:pPr>
            <w:r>
              <w:rPr>
                <w:rFonts w:hint="default"/>
              </w:rPr>
              <w:t>《环境空气质量标准》（GB3095-</w:t>
            </w:r>
          </w:p>
          <w:p w14:paraId="194EC9E4">
            <w:pPr>
              <w:pStyle w:val="240"/>
              <w:rPr>
                <w:rFonts w:hint="default"/>
              </w:rPr>
            </w:pPr>
            <w:r>
              <w:rPr>
                <w:rFonts w:hint="default"/>
              </w:rPr>
              <w:t>1996）中及其修改单中的二级标准</w:t>
            </w:r>
          </w:p>
        </w:tc>
      </w:tr>
      <w:tr w14:paraId="19947219">
        <w:tblPrEx>
          <w:tblBorders>
            <w:top w:val="single" w:color="auto" w:sz="12" w:space="0"/>
            <w:left w:val="single" w:color="auto" w:sz="12" w:space="0"/>
            <w:bottom w:val="single" w:color="auto" w:sz="12" w:space="0"/>
            <w:right w:val="single" w:color="auto" w:sz="12" w:space="0"/>
            <w:insideH w:val="single" w:color="auto" w:sz="2" w:space="0"/>
            <w:insideV w:val="single" w:color="auto" w:sz="4" w:space="0"/>
          </w:tblBorders>
          <w:tblCellMar>
            <w:top w:w="0" w:type="dxa"/>
            <w:left w:w="108" w:type="dxa"/>
            <w:bottom w:w="0" w:type="dxa"/>
            <w:right w:w="108" w:type="dxa"/>
          </w:tblCellMar>
        </w:tblPrEx>
        <w:trPr>
          <w:cantSplit/>
          <w:trHeight w:val="532" w:hRule="atLeast"/>
          <w:jc w:val="center"/>
        </w:trPr>
        <w:tc>
          <w:tcPr>
            <w:tcW w:w="358" w:type="pct"/>
            <w:vMerge w:val="continue"/>
            <w:tcBorders>
              <w:tl2br w:val="nil"/>
              <w:tr2bl w:val="nil"/>
            </w:tcBorders>
            <w:vAlign w:val="center"/>
          </w:tcPr>
          <w:p w14:paraId="7C0DF489">
            <w:pPr>
              <w:pStyle w:val="240"/>
              <w:rPr>
                <w:rFonts w:hint="default"/>
              </w:rPr>
            </w:pPr>
          </w:p>
        </w:tc>
        <w:tc>
          <w:tcPr>
            <w:tcW w:w="623" w:type="pct"/>
            <w:tcBorders>
              <w:tl2br w:val="nil"/>
              <w:tr2bl w:val="nil"/>
            </w:tcBorders>
            <w:vAlign w:val="center"/>
          </w:tcPr>
          <w:p w14:paraId="45DB5769">
            <w:pPr>
              <w:adjustRightInd w:val="0"/>
              <w:snapToGrid w:val="0"/>
              <w:spacing w:line="320" w:lineRule="exact"/>
              <w:jc w:val="center"/>
              <w:rPr>
                <w:szCs w:val="21"/>
              </w:rPr>
            </w:pPr>
            <w:r>
              <w:rPr>
                <w:rFonts w:hint="eastAsia"/>
                <w:szCs w:val="21"/>
              </w:rPr>
              <w:t>普惠农场二队</w:t>
            </w:r>
          </w:p>
        </w:tc>
        <w:tc>
          <w:tcPr>
            <w:tcW w:w="627" w:type="pct"/>
            <w:tcBorders>
              <w:tl2br w:val="nil"/>
              <w:tr2bl w:val="nil"/>
            </w:tcBorders>
            <w:vAlign w:val="center"/>
          </w:tcPr>
          <w:p w14:paraId="44FA6A32">
            <w:pPr>
              <w:adjustRightInd w:val="0"/>
              <w:snapToGrid w:val="0"/>
              <w:spacing w:line="320" w:lineRule="exact"/>
              <w:jc w:val="center"/>
              <w:rPr>
                <w:szCs w:val="21"/>
              </w:rPr>
            </w:pPr>
            <w:r>
              <w:rPr>
                <w:rFonts w:hint="eastAsia"/>
                <w:szCs w:val="21"/>
              </w:rPr>
              <w:t>85.86495</w:t>
            </w:r>
          </w:p>
        </w:tc>
        <w:tc>
          <w:tcPr>
            <w:tcW w:w="646" w:type="pct"/>
            <w:tcBorders>
              <w:tl2br w:val="nil"/>
              <w:tr2bl w:val="nil"/>
            </w:tcBorders>
            <w:vAlign w:val="center"/>
          </w:tcPr>
          <w:p w14:paraId="68D6C41D">
            <w:pPr>
              <w:adjustRightInd w:val="0"/>
              <w:snapToGrid w:val="0"/>
              <w:spacing w:line="320" w:lineRule="exact"/>
              <w:jc w:val="center"/>
              <w:rPr>
                <w:szCs w:val="21"/>
              </w:rPr>
            </w:pPr>
            <w:r>
              <w:rPr>
                <w:rFonts w:hint="eastAsia"/>
                <w:szCs w:val="21"/>
              </w:rPr>
              <w:t>41.42520</w:t>
            </w:r>
          </w:p>
        </w:tc>
        <w:tc>
          <w:tcPr>
            <w:tcW w:w="514" w:type="pct"/>
            <w:tcBorders>
              <w:tl2br w:val="nil"/>
              <w:tr2bl w:val="nil"/>
            </w:tcBorders>
            <w:vAlign w:val="center"/>
          </w:tcPr>
          <w:p w14:paraId="04D43406">
            <w:pPr>
              <w:pStyle w:val="240"/>
              <w:rPr>
                <w:rFonts w:hint="default"/>
              </w:rPr>
            </w:pPr>
            <w:r>
              <w:t>东北侧</w:t>
            </w:r>
          </w:p>
        </w:tc>
        <w:tc>
          <w:tcPr>
            <w:tcW w:w="578" w:type="pct"/>
            <w:tcBorders>
              <w:tl2br w:val="nil"/>
              <w:tr2bl w:val="nil"/>
            </w:tcBorders>
            <w:vAlign w:val="center"/>
          </w:tcPr>
          <w:p w14:paraId="0AB9155A">
            <w:pPr>
              <w:pStyle w:val="240"/>
              <w:rPr>
                <w:rFonts w:hint="default"/>
              </w:rPr>
            </w:pPr>
            <w:r>
              <w:t>2240</w:t>
            </w:r>
          </w:p>
        </w:tc>
        <w:tc>
          <w:tcPr>
            <w:tcW w:w="555" w:type="pct"/>
            <w:tcBorders>
              <w:tl2br w:val="nil"/>
              <w:tr2bl w:val="nil"/>
            </w:tcBorders>
            <w:vAlign w:val="center"/>
          </w:tcPr>
          <w:p w14:paraId="0E3560AE">
            <w:pPr>
              <w:adjustRightInd w:val="0"/>
              <w:snapToGrid w:val="0"/>
              <w:spacing w:line="320" w:lineRule="exact"/>
              <w:jc w:val="center"/>
              <w:rPr>
                <w:szCs w:val="21"/>
              </w:rPr>
            </w:pPr>
            <w:r>
              <w:rPr>
                <w:rFonts w:hint="eastAsia"/>
                <w:szCs w:val="21"/>
              </w:rPr>
              <w:t>约24户97</w:t>
            </w:r>
            <w:r>
              <w:rPr>
                <w:szCs w:val="21"/>
              </w:rPr>
              <w:t>人</w:t>
            </w:r>
          </w:p>
        </w:tc>
        <w:tc>
          <w:tcPr>
            <w:tcW w:w="1099" w:type="pct"/>
            <w:vMerge w:val="continue"/>
            <w:tcBorders>
              <w:tl2br w:val="nil"/>
              <w:tr2bl w:val="nil"/>
            </w:tcBorders>
            <w:vAlign w:val="center"/>
          </w:tcPr>
          <w:p w14:paraId="3D696CE4">
            <w:pPr>
              <w:pStyle w:val="240"/>
              <w:rPr>
                <w:rFonts w:hint="default"/>
              </w:rPr>
            </w:pPr>
          </w:p>
        </w:tc>
      </w:tr>
      <w:tr w14:paraId="4F1A4127">
        <w:tblPrEx>
          <w:tblBorders>
            <w:top w:val="single" w:color="auto" w:sz="12" w:space="0"/>
            <w:left w:val="single" w:color="auto" w:sz="12" w:space="0"/>
            <w:bottom w:val="single" w:color="auto" w:sz="12" w:space="0"/>
            <w:right w:val="single" w:color="auto" w:sz="12" w:space="0"/>
            <w:insideH w:val="single" w:color="auto" w:sz="2" w:space="0"/>
            <w:insideV w:val="single" w:color="auto" w:sz="4" w:space="0"/>
          </w:tblBorders>
          <w:tblCellMar>
            <w:top w:w="0" w:type="dxa"/>
            <w:left w:w="108" w:type="dxa"/>
            <w:bottom w:w="0" w:type="dxa"/>
            <w:right w:w="108" w:type="dxa"/>
          </w:tblCellMar>
        </w:tblPrEx>
        <w:trPr>
          <w:cantSplit/>
          <w:trHeight w:val="532" w:hRule="atLeast"/>
          <w:jc w:val="center"/>
        </w:trPr>
        <w:tc>
          <w:tcPr>
            <w:tcW w:w="358" w:type="pct"/>
            <w:vMerge w:val="continue"/>
            <w:tcBorders>
              <w:tl2br w:val="nil"/>
              <w:tr2bl w:val="nil"/>
            </w:tcBorders>
            <w:vAlign w:val="center"/>
          </w:tcPr>
          <w:p w14:paraId="21220755">
            <w:pPr>
              <w:pStyle w:val="240"/>
              <w:rPr>
                <w:rFonts w:hint="default"/>
              </w:rPr>
            </w:pPr>
          </w:p>
        </w:tc>
        <w:tc>
          <w:tcPr>
            <w:tcW w:w="623" w:type="pct"/>
            <w:tcBorders>
              <w:tl2br w:val="nil"/>
              <w:tr2bl w:val="nil"/>
            </w:tcBorders>
            <w:vAlign w:val="center"/>
          </w:tcPr>
          <w:p w14:paraId="32588071">
            <w:pPr>
              <w:adjustRightInd w:val="0"/>
              <w:snapToGrid w:val="0"/>
              <w:spacing w:line="320" w:lineRule="exact"/>
              <w:jc w:val="center"/>
              <w:rPr>
                <w:rFonts w:hint="eastAsia" w:ascii="宋体" w:hAnsi="宋体"/>
                <w:color w:val="000000"/>
                <w:sz w:val="23"/>
                <w:szCs w:val="23"/>
              </w:rPr>
            </w:pPr>
            <w:r>
              <w:rPr>
                <w:rFonts w:hint="eastAsia"/>
                <w:szCs w:val="21"/>
              </w:rPr>
              <w:t>普惠农场八队</w:t>
            </w:r>
          </w:p>
        </w:tc>
        <w:tc>
          <w:tcPr>
            <w:tcW w:w="627" w:type="pct"/>
            <w:tcBorders>
              <w:tl2br w:val="nil"/>
              <w:tr2bl w:val="nil"/>
            </w:tcBorders>
            <w:vAlign w:val="center"/>
          </w:tcPr>
          <w:p w14:paraId="70BDAF41">
            <w:pPr>
              <w:adjustRightInd w:val="0"/>
              <w:snapToGrid w:val="0"/>
              <w:spacing w:line="320" w:lineRule="exact"/>
              <w:jc w:val="center"/>
              <w:rPr>
                <w:color w:val="000000"/>
              </w:rPr>
            </w:pPr>
            <w:r>
              <w:rPr>
                <w:rFonts w:hint="eastAsia"/>
                <w:szCs w:val="21"/>
              </w:rPr>
              <w:t>85.83181</w:t>
            </w:r>
          </w:p>
        </w:tc>
        <w:tc>
          <w:tcPr>
            <w:tcW w:w="646" w:type="pct"/>
            <w:tcBorders>
              <w:tl2br w:val="nil"/>
              <w:tr2bl w:val="nil"/>
            </w:tcBorders>
            <w:vAlign w:val="center"/>
          </w:tcPr>
          <w:p w14:paraId="6B9F47BD">
            <w:pPr>
              <w:adjustRightInd w:val="0"/>
              <w:snapToGrid w:val="0"/>
              <w:spacing w:line="320" w:lineRule="exact"/>
              <w:jc w:val="center"/>
              <w:rPr>
                <w:color w:val="000000"/>
              </w:rPr>
            </w:pPr>
            <w:r>
              <w:rPr>
                <w:rFonts w:hint="eastAsia"/>
                <w:szCs w:val="21"/>
              </w:rPr>
              <w:t>41.42323</w:t>
            </w:r>
          </w:p>
        </w:tc>
        <w:tc>
          <w:tcPr>
            <w:tcW w:w="514" w:type="pct"/>
            <w:tcBorders>
              <w:tl2br w:val="nil"/>
              <w:tr2bl w:val="nil"/>
            </w:tcBorders>
            <w:vAlign w:val="center"/>
          </w:tcPr>
          <w:p w14:paraId="07D616B9">
            <w:pPr>
              <w:pStyle w:val="240"/>
              <w:rPr>
                <w:rFonts w:hint="default"/>
              </w:rPr>
            </w:pPr>
            <w:r>
              <w:t>西北侧</w:t>
            </w:r>
          </w:p>
        </w:tc>
        <w:tc>
          <w:tcPr>
            <w:tcW w:w="578" w:type="pct"/>
            <w:tcBorders>
              <w:tl2br w:val="nil"/>
              <w:tr2bl w:val="nil"/>
            </w:tcBorders>
            <w:vAlign w:val="center"/>
          </w:tcPr>
          <w:p w14:paraId="08BB7150">
            <w:pPr>
              <w:pStyle w:val="240"/>
              <w:rPr>
                <w:rFonts w:hint="default"/>
              </w:rPr>
            </w:pPr>
            <w:r>
              <w:t>650</w:t>
            </w:r>
          </w:p>
        </w:tc>
        <w:tc>
          <w:tcPr>
            <w:tcW w:w="555" w:type="pct"/>
            <w:tcBorders>
              <w:tl2br w:val="nil"/>
              <w:tr2bl w:val="nil"/>
            </w:tcBorders>
            <w:vAlign w:val="center"/>
          </w:tcPr>
          <w:p w14:paraId="4777F68B">
            <w:pPr>
              <w:adjustRightInd w:val="0"/>
              <w:snapToGrid w:val="0"/>
              <w:spacing w:line="320" w:lineRule="exact"/>
              <w:jc w:val="center"/>
              <w:rPr>
                <w:szCs w:val="21"/>
              </w:rPr>
            </w:pPr>
            <w:r>
              <w:rPr>
                <w:rFonts w:hint="eastAsia"/>
                <w:szCs w:val="21"/>
              </w:rPr>
              <w:t>约16户</w:t>
            </w:r>
          </w:p>
          <w:p w14:paraId="195772EA">
            <w:pPr>
              <w:adjustRightInd w:val="0"/>
              <w:snapToGrid w:val="0"/>
              <w:spacing w:line="320" w:lineRule="exact"/>
              <w:jc w:val="center"/>
              <w:rPr>
                <w:szCs w:val="21"/>
              </w:rPr>
            </w:pPr>
            <w:r>
              <w:rPr>
                <w:rFonts w:hint="eastAsia"/>
                <w:szCs w:val="21"/>
              </w:rPr>
              <w:t>5</w:t>
            </w:r>
            <w:r>
              <w:rPr>
                <w:rFonts w:hint="eastAsia"/>
                <w:szCs w:val="21"/>
                <w:lang w:val="en-US" w:eastAsia="zh-CN"/>
              </w:rPr>
              <w:t>0</w:t>
            </w:r>
            <w:r>
              <w:rPr>
                <w:rFonts w:hint="eastAsia"/>
                <w:szCs w:val="21"/>
              </w:rPr>
              <w:t>人</w:t>
            </w:r>
          </w:p>
        </w:tc>
        <w:tc>
          <w:tcPr>
            <w:tcW w:w="1099" w:type="pct"/>
            <w:vMerge w:val="continue"/>
            <w:tcBorders>
              <w:tl2br w:val="nil"/>
              <w:tr2bl w:val="nil"/>
            </w:tcBorders>
            <w:vAlign w:val="center"/>
          </w:tcPr>
          <w:p w14:paraId="32E76E9A">
            <w:pPr>
              <w:pStyle w:val="240"/>
              <w:rPr>
                <w:rFonts w:hint="default"/>
              </w:rPr>
            </w:pPr>
          </w:p>
        </w:tc>
      </w:tr>
      <w:tr w14:paraId="37C685F4">
        <w:tblPrEx>
          <w:tblBorders>
            <w:top w:val="single" w:color="auto" w:sz="12" w:space="0"/>
            <w:left w:val="single" w:color="auto" w:sz="12" w:space="0"/>
            <w:bottom w:val="single" w:color="auto" w:sz="12" w:space="0"/>
            <w:right w:val="single" w:color="auto" w:sz="12" w:space="0"/>
            <w:insideH w:val="single" w:color="auto" w:sz="2" w:space="0"/>
            <w:insideV w:val="single" w:color="auto" w:sz="4" w:space="0"/>
          </w:tblBorders>
          <w:tblCellMar>
            <w:top w:w="0" w:type="dxa"/>
            <w:left w:w="108" w:type="dxa"/>
            <w:bottom w:w="0" w:type="dxa"/>
            <w:right w:w="108" w:type="dxa"/>
          </w:tblCellMar>
        </w:tblPrEx>
        <w:trPr>
          <w:cantSplit/>
          <w:trHeight w:val="532" w:hRule="atLeast"/>
          <w:jc w:val="center"/>
        </w:trPr>
        <w:tc>
          <w:tcPr>
            <w:tcW w:w="358" w:type="pct"/>
            <w:tcBorders>
              <w:tl2br w:val="nil"/>
              <w:tr2bl w:val="nil"/>
            </w:tcBorders>
            <w:vAlign w:val="center"/>
          </w:tcPr>
          <w:p w14:paraId="3E7081B8">
            <w:pPr>
              <w:pStyle w:val="240"/>
              <w:rPr>
                <w:rFonts w:hint="default"/>
              </w:rPr>
            </w:pPr>
            <w:r>
              <w:rPr>
                <w:rFonts w:hint="default"/>
              </w:rPr>
              <w:t>地下水水环境</w:t>
            </w:r>
          </w:p>
        </w:tc>
        <w:tc>
          <w:tcPr>
            <w:tcW w:w="2988" w:type="pct"/>
            <w:gridSpan w:val="5"/>
            <w:tcBorders>
              <w:tl2br w:val="nil"/>
              <w:tr2bl w:val="nil"/>
            </w:tcBorders>
            <w:vAlign w:val="center"/>
          </w:tcPr>
          <w:p w14:paraId="15274017">
            <w:pPr>
              <w:pStyle w:val="240"/>
              <w:rPr>
                <w:rFonts w:hint="default"/>
              </w:rPr>
            </w:pPr>
            <w:r>
              <w:rPr>
                <w:rFonts w:hint="default"/>
              </w:rPr>
              <w:t>项目区及周围</w:t>
            </w:r>
            <w:r>
              <w:t>地下水环境</w:t>
            </w:r>
          </w:p>
        </w:tc>
        <w:tc>
          <w:tcPr>
            <w:tcW w:w="555" w:type="pct"/>
            <w:tcBorders>
              <w:tl2br w:val="nil"/>
              <w:tr2bl w:val="nil"/>
            </w:tcBorders>
            <w:vAlign w:val="center"/>
          </w:tcPr>
          <w:p w14:paraId="210D8D1A">
            <w:pPr>
              <w:pStyle w:val="240"/>
              <w:rPr>
                <w:rFonts w:hint="default"/>
              </w:rPr>
            </w:pPr>
            <w:r>
              <w:t>/</w:t>
            </w:r>
          </w:p>
        </w:tc>
        <w:tc>
          <w:tcPr>
            <w:tcW w:w="1099" w:type="pct"/>
            <w:tcBorders>
              <w:tl2br w:val="nil"/>
              <w:tr2bl w:val="nil"/>
            </w:tcBorders>
            <w:vAlign w:val="center"/>
          </w:tcPr>
          <w:p w14:paraId="7C6E3543">
            <w:pPr>
              <w:pStyle w:val="240"/>
              <w:rPr>
                <w:rFonts w:hint="default"/>
              </w:rPr>
            </w:pPr>
            <w:r>
              <w:rPr>
                <w:rFonts w:hint="default"/>
              </w:rPr>
              <w:t>满足《地下水质量标准》（GB/T14848</w:t>
            </w:r>
          </w:p>
          <w:p w14:paraId="7517BA19">
            <w:pPr>
              <w:pStyle w:val="240"/>
              <w:rPr>
                <w:rFonts w:hint="default"/>
              </w:rPr>
            </w:pPr>
            <w:r>
              <w:rPr>
                <w:rFonts w:hint="default"/>
              </w:rPr>
              <w:t>-2017）Ⅲ类标准。</w:t>
            </w:r>
          </w:p>
        </w:tc>
      </w:tr>
      <w:tr w14:paraId="491025E1">
        <w:tblPrEx>
          <w:tblBorders>
            <w:top w:val="single" w:color="auto" w:sz="12" w:space="0"/>
            <w:left w:val="single" w:color="auto" w:sz="12" w:space="0"/>
            <w:bottom w:val="single" w:color="auto" w:sz="12" w:space="0"/>
            <w:right w:val="single" w:color="auto" w:sz="12" w:space="0"/>
            <w:insideH w:val="single" w:color="auto" w:sz="2" w:space="0"/>
            <w:insideV w:val="single" w:color="auto" w:sz="4" w:space="0"/>
          </w:tblBorders>
          <w:tblCellMar>
            <w:top w:w="0" w:type="dxa"/>
            <w:left w:w="108" w:type="dxa"/>
            <w:bottom w:w="0" w:type="dxa"/>
            <w:right w:w="108" w:type="dxa"/>
          </w:tblCellMar>
        </w:tblPrEx>
        <w:trPr>
          <w:cantSplit/>
          <w:trHeight w:val="532" w:hRule="atLeast"/>
          <w:jc w:val="center"/>
        </w:trPr>
        <w:tc>
          <w:tcPr>
            <w:tcW w:w="358" w:type="pct"/>
            <w:tcBorders>
              <w:tl2br w:val="nil"/>
              <w:tr2bl w:val="nil"/>
            </w:tcBorders>
            <w:vAlign w:val="center"/>
          </w:tcPr>
          <w:p w14:paraId="265F9A13">
            <w:pPr>
              <w:spacing w:line="320" w:lineRule="exact"/>
              <w:jc w:val="center"/>
              <w:textAlignment w:val="baseline"/>
              <w:rPr>
                <w:rFonts w:hint="eastAsia" w:ascii="宋体" w:hAnsi="宋体" w:cs="宋体"/>
                <w:kern w:val="13"/>
              </w:rPr>
            </w:pPr>
            <w:r>
              <w:rPr>
                <w:rFonts w:hint="eastAsia" w:ascii="宋体" w:hAnsi="宋体" w:cs="宋体"/>
                <w:kern w:val="13"/>
              </w:rPr>
              <w:t>土壤</w:t>
            </w:r>
          </w:p>
          <w:p w14:paraId="18E97512">
            <w:pPr>
              <w:pStyle w:val="240"/>
              <w:rPr>
                <w:rFonts w:hint="default"/>
              </w:rPr>
            </w:pPr>
            <w:r>
              <w:rPr>
                <w:rFonts w:ascii="宋体" w:hAnsi="宋体" w:cs="宋体"/>
                <w:kern w:val="13"/>
                <w:szCs w:val="20"/>
              </w:rPr>
              <w:t>环境</w:t>
            </w:r>
          </w:p>
        </w:tc>
        <w:tc>
          <w:tcPr>
            <w:tcW w:w="2988" w:type="pct"/>
            <w:gridSpan w:val="5"/>
            <w:tcBorders>
              <w:tl2br w:val="nil"/>
              <w:tr2bl w:val="nil"/>
            </w:tcBorders>
            <w:vAlign w:val="center"/>
          </w:tcPr>
          <w:p w14:paraId="55E55080">
            <w:pPr>
              <w:pStyle w:val="240"/>
              <w:rPr>
                <w:rFonts w:hint="default"/>
              </w:rPr>
            </w:pPr>
            <w:r>
              <w:t>厂界外延50m范围内耕地</w:t>
            </w:r>
          </w:p>
        </w:tc>
        <w:tc>
          <w:tcPr>
            <w:tcW w:w="555" w:type="pct"/>
            <w:tcBorders>
              <w:tl2br w:val="nil"/>
              <w:tr2bl w:val="nil"/>
            </w:tcBorders>
            <w:vAlign w:val="center"/>
          </w:tcPr>
          <w:p w14:paraId="5F6A05B1">
            <w:pPr>
              <w:pStyle w:val="240"/>
              <w:rPr>
                <w:rFonts w:hint="default"/>
              </w:rPr>
            </w:pPr>
            <w:r>
              <w:t>/</w:t>
            </w:r>
          </w:p>
        </w:tc>
        <w:tc>
          <w:tcPr>
            <w:tcW w:w="1099" w:type="pct"/>
            <w:tcBorders>
              <w:tl2br w:val="nil"/>
              <w:tr2bl w:val="nil"/>
            </w:tcBorders>
            <w:vAlign w:val="center"/>
          </w:tcPr>
          <w:p w14:paraId="15BB14B4">
            <w:pPr>
              <w:pStyle w:val="240"/>
              <w:rPr>
                <w:rFonts w:hint="default"/>
              </w:rPr>
            </w:pPr>
            <w:r>
              <w:t>满足《土壤环境质量农用地土壤污染风险管控标准（试行）》（GB15618-2018）相关要求</w:t>
            </w:r>
          </w:p>
        </w:tc>
      </w:tr>
    </w:tbl>
    <w:p w14:paraId="56690D27">
      <w:pPr>
        <w:pStyle w:val="5"/>
        <w:numPr>
          <w:ilvl w:val="0"/>
          <w:numId w:val="0"/>
        </w:numPr>
        <w:bidi w:val="0"/>
        <w:adjustRightInd w:val="0"/>
        <w:snapToGrid w:val="0"/>
        <w:spacing w:line="440" w:lineRule="exact"/>
        <w:ind w:leftChars="0"/>
        <w:rPr>
          <w:rFonts w:hint="default" w:ascii="Times New Roman" w:hAnsi="Times New Roman" w:eastAsia="宋体" w:cs="Times New Roman"/>
          <w:bCs/>
          <w:color w:val="auto"/>
          <w:lang w:val="en-US"/>
        </w:rPr>
      </w:pPr>
      <w:r>
        <w:rPr>
          <w:rFonts w:hint="eastAsia" w:ascii="Times New Roman" w:hAnsi="Times New Roman"/>
          <w:color w:val="000000"/>
          <w:lang w:val="en-US"/>
        </w:rPr>
        <w:t>5.2.7.</w:t>
      </w:r>
      <w:bookmarkStart w:id="337" w:name="_Toc5008"/>
      <w:bookmarkStart w:id="338" w:name="_Toc17113"/>
      <w:bookmarkStart w:id="339" w:name="_Toc26327"/>
      <w:r>
        <w:rPr>
          <w:rFonts w:hint="eastAsia" w:ascii="Times New Roman" w:hAnsi="Times New Roman"/>
          <w:color w:val="000000"/>
          <w:lang w:val="en-US" w:eastAsia="zh-CN"/>
        </w:rPr>
        <w:t>6</w:t>
      </w:r>
      <w:r>
        <w:rPr>
          <w:rFonts w:hint="default" w:ascii="Times New Roman" w:hAnsi="Times New Roman" w:eastAsia="宋体" w:cs="Times New Roman"/>
          <w:bCs/>
          <w:color w:val="auto"/>
          <w:lang w:val="en-US"/>
        </w:rPr>
        <w:t>风险事故情形分析</w:t>
      </w:r>
    </w:p>
    <w:p w14:paraId="608BB354">
      <w:pPr>
        <w:bidi w:val="0"/>
        <w:adjustRightInd w:val="0"/>
        <w:snapToGrid w:val="0"/>
        <w:spacing w:line="440" w:lineRule="exact"/>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项目原料及成品主要为聚乙烯，塑料燃烧特性如表</w:t>
      </w:r>
      <w:r>
        <w:rPr>
          <w:rFonts w:hint="eastAsia" w:ascii="Times New Roman" w:hAnsi="Times New Roman" w:eastAsia="宋体" w:cs="Times New Roman"/>
          <w:color w:val="auto"/>
          <w:sz w:val="24"/>
          <w:szCs w:val="24"/>
          <w:lang w:val="en-US" w:eastAsia="zh-CN"/>
        </w:rPr>
        <w:t>5.2-34</w:t>
      </w:r>
      <w:r>
        <w:rPr>
          <w:rFonts w:hint="default" w:ascii="Times New Roman" w:hAnsi="Times New Roman" w:eastAsia="宋体" w:cs="Times New Roman"/>
          <w:color w:val="auto"/>
          <w:sz w:val="24"/>
          <w:szCs w:val="24"/>
        </w:rPr>
        <w:t>所示。</w:t>
      </w:r>
    </w:p>
    <w:p w14:paraId="41B20D47">
      <w:pPr>
        <w:bidi w:val="0"/>
        <w:adjustRightInd w:val="0"/>
        <w:snapToGrid w:val="0"/>
        <w:spacing w:line="440" w:lineRule="exact"/>
        <w:ind w:left="0" w:leftChars="0"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b/>
          <w:bCs/>
          <w:color w:val="auto"/>
          <w:sz w:val="21"/>
          <w:szCs w:val="21"/>
        </w:rPr>
        <w:t>表</w:t>
      </w:r>
      <w:r>
        <w:rPr>
          <w:rFonts w:hint="eastAsia" w:ascii="Times New Roman" w:hAnsi="Times New Roman" w:eastAsia="宋体" w:cs="Times New Roman"/>
          <w:b/>
          <w:bCs/>
          <w:color w:val="auto"/>
          <w:sz w:val="21"/>
          <w:szCs w:val="21"/>
          <w:lang w:val="en-US" w:eastAsia="zh-CN"/>
        </w:rPr>
        <w:t xml:space="preserve">5.2-34   </w:t>
      </w:r>
      <w:r>
        <w:rPr>
          <w:rFonts w:hint="default" w:ascii="Times New Roman" w:hAnsi="Times New Roman" w:eastAsia="宋体" w:cs="Times New Roman"/>
          <w:b/>
          <w:bCs/>
          <w:color w:val="auto"/>
          <w:sz w:val="21"/>
          <w:szCs w:val="21"/>
        </w:rPr>
        <w:t>塑料燃烧特别鉴别</w:t>
      </w:r>
    </w:p>
    <w:tbl>
      <w:tblPr>
        <w:tblStyle w:val="49"/>
        <w:tblW w:w="4996"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1199"/>
        <w:gridCol w:w="999"/>
        <w:gridCol w:w="1350"/>
        <w:gridCol w:w="2133"/>
        <w:gridCol w:w="1200"/>
        <w:gridCol w:w="1438"/>
      </w:tblGrid>
      <w:tr w14:paraId="6F6D5AD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20" w:type="pct"/>
            <w:tcBorders>
              <w:tl2br w:val="nil"/>
              <w:tr2bl w:val="nil"/>
            </w:tcBorders>
            <w:noWrap w:val="0"/>
            <w:vAlign w:val="center"/>
          </w:tcPr>
          <w:p w14:paraId="4085C242">
            <w:pPr>
              <w:adjustRightInd w:val="0"/>
              <w:snapToGrid w:val="0"/>
              <w:spacing w:line="240" w:lineRule="auto"/>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塑料名称</w:t>
            </w:r>
          </w:p>
        </w:tc>
        <w:tc>
          <w:tcPr>
            <w:tcW w:w="600" w:type="pct"/>
            <w:tcBorders>
              <w:tl2br w:val="nil"/>
              <w:tr2bl w:val="nil"/>
            </w:tcBorders>
            <w:noWrap w:val="0"/>
            <w:vAlign w:val="center"/>
          </w:tcPr>
          <w:p w14:paraId="54A26C72">
            <w:pPr>
              <w:adjustRightInd w:val="0"/>
              <w:snapToGrid w:val="0"/>
              <w:spacing w:line="240" w:lineRule="auto"/>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燃烧难易</w:t>
            </w:r>
          </w:p>
        </w:tc>
        <w:tc>
          <w:tcPr>
            <w:tcW w:w="811" w:type="pct"/>
            <w:tcBorders>
              <w:tl2br w:val="nil"/>
              <w:tr2bl w:val="nil"/>
            </w:tcBorders>
            <w:noWrap w:val="0"/>
            <w:vAlign w:val="center"/>
          </w:tcPr>
          <w:p w14:paraId="2603B54D">
            <w:pPr>
              <w:adjustRightInd w:val="0"/>
              <w:snapToGrid w:val="0"/>
              <w:spacing w:line="240" w:lineRule="auto"/>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离火后是否自熄</w:t>
            </w:r>
          </w:p>
        </w:tc>
        <w:tc>
          <w:tcPr>
            <w:tcW w:w="1281" w:type="pct"/>
            <w:tcBorders>
              <w:tl2br w:val="nil"/>
              <w:tr2bl w:val="nil"/>
            </w:tcBorders>
            <w:noWrap w:val="0"/>
            <w:vAlign w:val="center"/>
          </w:tcPr>
          <w:p w14:paraId="72CD2247">
            <w:pPr>
              <w:adjustRightInd w:val="0"/>
              <w:snapToGrid w:val="0"/>
              <w:spacing w:line="240" w:lineRule="auto"/>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火焰状态</w:t>
            </w:r>
          </w:p>
        </w:tc>
        <w:tc>
          <w:tcPr>
            <w:tcW w:w="721" w:type="pct"/>
            <w:tcBorders>
              <w:tl2br w:val="nil"/>
              <w:tr2bl w:val="nil"/>
            </w:tcBorders>
            <w:noWrap w:val="0"/>
            <w:vAlign w:val="center"/>
          </w:tcPr>
          <w:p w14:paraId="51DBE78C">
            <w:pPr>
              <w:adjustRightInd w:val="0"/>
              <w:snapToGrid w:val="0"/>
              <w:spacing w:line="240" w:lineRule="auto"/>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塑料变化状态</w:t>
            </w:r>
          </w:p>
        </w:tc>
        <w:tc>
          <w:tcPr>
            <w:tcW w:w="864" w:type="pct"/>
            <w:tcBorders>
              <w:tl2br w:val="nil"/>
              <w:tr2bl w:val="nil"/>
            </w:tcBorders>
            <w:noWrap w:val="0"/>
            <w:vAlign w:val="center"/>
          </w:tcPr>
          <w:p w14:paraId="73EF666F">
            <w:pPr>
              <w:adjustRightInd w:val="0"/>
              <w:snapToGrid w:val="0"/>
              <w:spacing w:line="240" w:lineRule="auto"/>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气味</w:t>
            </w:r>
          </w:p>
        </w:tc>
      </w:tr>
      <w:tr w14:paraId="423A7F8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20" w:type="pct"/>
            <w:tcBorders>
              <w:tl2br w:val="nil"/>
              <w:tr2bl w:val="nil"/>
            </w:tcBorders>
            <w:noWrap w:val="0"/>
            <w:vAlign w:val="center"/>
          </w:tcPr>
          <w:p w14:paraId="242EFADC">
            <w:pPr>
              <w:adjustRightInd w:val="0"/>
              <w:snapToGrid w:val="0"/>
              <w:spacing w:line="240" w:lineRule="auto"/>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聚乙烯（PE）</w:t>
            </w:r>
          </w:p>
        </w:tc>
        <w:tc>
          <w:tcPr>
            <w:tcW w:w="600" w:type="pct"/>
            <w:tcBorders>
              <w:tl2br w:val="nil"/>
              <w:tr2bl w:val="nil"/>
            </w:tcBorders>
            <w:noWrap w:val="0"/>
            <w:vAlign w:val="center"/>
          </w:tcPr>
          <w:p w14:paraId="176D3FC5">
            <w:pPr>
              <w:adjustRightInd w:val="0"/>
              <w:snapToGrid w:val="0"/>
              <w:spacing w:line="240" w:lineRule="auto"/>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易燃</w:t>
            </w:r>
          </w:p>
        </w:tc>
        <w:tc>
          <w:tcPr>
            <w:tcW w:w="811" w:type="pct"/>
            <w:tcBorders>
              <w:tl2br w:val="nil"/>
              <w:tr2bl w:val="nil"/>
            </w:tcBorders>
            <w:noWrap w:val="0"/>
            <w:vAlign w:val="center"/>
          </w:tcPr>
          <w:p w14:paraId="6C85F2C0">
            <w:pPr>
              <w:adjustRightInd w:val="0"/>
              <w:snapToGrid w:val="0"/>
              <w:spacing w:line="240" w:lineRule="auto"/>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继续燃烧</w:t>
            </w:r>
          </w:p>
        </w:tc>
        <w:tc>
          <w:tcPr>
            <w:tcW w:w="1281" w:type="pct"/>
            <w:tcBorders>
              <w:tl2br w:val="nil"/>
              <w:tr2bl w:val="nil"/>
            </w:tcBorders>
            <w:noWrap w:val="0"/>
            <w:vAlign w:val="center"/>
          </w:tcPr>
          <w:p w14:paraId="6508BF89">
            <w:pPr>
              <w:adjustRightInd w:val="0"/>
              <w:snapToGrid w:val="0"/>
              <w:spacing w:line="240" w:lineRule="auto"/>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上端黄色，下端蓝色</w:t>
            </w:r>
          </w:p>
        </w:tc>
        <w:tc>
          <w:tcPr>
            <w:tcW w:w="721" w:type="pct"/>
            <w:tcBorders>
              <w:tl2br w:val="nil"/>
              <w:tr2bl w:val="nil"/>
            </w:tcBorders>
            <w:noWrap w:val="0"/>
            <w:vAlign w:val="center"/>
          </w:tcPr>
          <w:p w14:paraId="1EE8D1C8">
            <w:pPr>
              <w:adjustRightInd w:val="0"/>
              <w:snapToGrid w:val="0"/>
              <w:spacing w:line="240" w:lineRule="auto"/>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熔融滴落</w:t>
            </w:r>
          </w:p>
        </w:tc>
        <w:tc>
          <w:tcPr>
            <w:tcW w:w="864" w:type="pct"/>
            <w:tcBorders>
              <w:tl2br w:val="nil"/>
              <w:tr2bl w:val="nil"/>
            </w:tcBorders>
            <w:noWrap w:val="0"/>
            <w:vAlign w:val="center"/>
          </w:tcPr>
          <w:p w14:paraId="632EF9B5">
            <w:pPr>
              <w:adjustRightInd w:val="0"/>
              <w:snapToGrid w:val="0"/>
              <w:spacing w:line="240" w:lineRule="auto"/>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石蜡燃烧的气味</w:t>
            </w:r>
          </w:p>
        </w:tc>
      </w:tr>
    </w:tbl>
    <w:p w14:paraId="08D0996D">
      <w:pPr>
        <w:bidi w:val="0"/>
        <w:adjustRightInd w:val="0"/>
        <w:snapToGrid w:val="0"/>
        <w:spacing w:line="440" w:lineRule="exact"/>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本项目储存的产品为易燃的塑料，总量较大。塑料的贮存过程在正常情况下的环境风险很小，但堆存时遇热源，塑料会因受到外来的热量且相互传热，而分解出可燃性的有机气体，对周围大气环境造成一定程度的污染。如果贮存过程管理不善，与空气中的氧气相混合而着火，可能发生火灾事故，塑料燃烧产生的高温、烟尘和有机废气，对</w:t>
      </w:r>
      <w:r>
        <w:rPr>
          <w:rFonts w:hint="eastAsia" w:ascii="Times New Roman" w:hAnsi="Times New Roman" w:eastAsia="宋体" w:cs="Times New Roman"/>
          <w:color w:val="auto"/>
          <w:sz w:val="24"/>
          <w:szCs w:val="24"/>
          <w:lang w:eastAsia="zh-CN"/>
        </w:rPr>
        <w:t>人居环境</w:t>
      </w:r>
      <w:r>
        <w:rPr>
          <w:rFonts w:hint="default" w:ascii="Times New Roman" w:hAnsi="Times New Roman" w:eastAsia="宋体" w:cs="Times New Roman"/>
          <w:color w:val="auto"/>
          <w:sz w:val="24"/>
          <w:szCs w:val="24"/>
        </w:rPr>
        <w:t>造成较大危害。</w:t>
      </w:r>
    </w:p>
    <w:p w14:paraId="1AE83B3A">
      <w:pPr>
        <w:pStyle w:val="5"/>
        <w:rPr>
          <w:rFonts w:ascii="Times New Roman" w:hAnsi="Times New Roman"/>
          <w:color w:val="000000"/>
          <w:lang w:val="en-US"/>
        </w:rPr>
      </w:pPr>
      <w:r>
        <w:rPr>
          <w:rFonts w:hint="eastAsia" w:ascii="Times New Roman" w:hAnsi="Times New Roman"/>
          <w:color w:val="000000"/>
          <w:lang w:val="en-US"/>
        </w:rPr>
        <w:t>5.2.7.7环境风险分析</w:t>
      </w:r>
      <w:bookmarkEnd w:id="337"/>
      <w:bookmarkEnd w:id="338"/>
      <w:bookmarkEnd w:id="339"/>
    </w:p>
    <w:p w14:paraId="0DE269A2">
      <w:pPr>
        <w:bidi w:val="0"/>
        <w:adjustRightInd w:val="0"/>
        <w:snapToGrid w:val="0"/>
        <w:spacing w:line="440" w:lineRule="exact"/>
        <w:ind w:firstLine="482" w:firstLineChars="200"/>
        <w:rPr>
          <w:rFonts w:hint="default" w:ascii="Times New Roman" w:hAnsi="Times New Roman" w:eastAsia="宋体" w:cs="Times New Roman"/>
          <w:b/>
          <w:bCs/>
          <w:color w:val="auto"/>
          <w:sz w:val="24"/>
          <w:szCs w:val="24"/>
        </w:rPr>
      </w:pPr>
      <w:bookmarkStart w:id="340" w:name="_Toc28125"/>
      <w:bookmarkStart w:id="341" w:name="_Toc29926"/>
      <w:r>
        <w:rPr>
          <w:rFonts w:hint="default" w:ascii="Times New Roman" w:hAnsi="Times New Roman" w:eastAsia="宋体" w:cs="Times New Roman"/>
          <w:b/>
          <w:bCs/>
          <w:color w:val="auto"/>
          <w:sz w:val="24"/>
          <w:szCs w:val="24"/>
          <w:lang w:val="en-US" w:eastAsia="zh-CN"/>
        </w:rPr>
        <w:t>1、</w:t>
      </w:r>
      <w:r>
        <w:rPr>
          <w:rFonts w:hint="default" w:ascii="Times New Roman" w:hAnsi="Times New Roman" w:eastAsia="宋体" w:cs="Times New Roman"/>
          <w:b/>
          <w:bCs/>
          <w:color w:val="auto"/>
          <w:sz w:val="24"/>
          <w:szCs w:val="24"/>
        </w:rPr>
        <w:t>火灾事故后果分析</w:t>
      </w:r>
    </w:p>
    <w:p w14:paraId="3F1734AE">
      <w:pPr>
        <w:bidi w:val="0"/>
        <w:adjustRightInd w:val="0"/>
        <w:snapToGrid w:val="0"/>
        <w:spacing w:line="440" w:lineRule="exact"/>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项目生产过程中使用的废旧塑料、聚乙烯颗粒料，当遇见明火或高温时易发生火灾事故。火灾会带来生产设施的重大破坏和人员伤亡，火灾时再起火后火势逐渐蔓延扩大，随着时间的延续，损失数量迅速增长，损失大约与时间的平方成正比，如火灾时间延长一倍，损失可能增加4倍。同时，在火灾过程中，废旧塑料、聚乙烯颗粒料的燃烧会产生有毒有害的气体，造成次生污染，从而对周围环境空气造成污染以及人员健康造成伤害。</w:t>
      </w:r>
    </w:p>
    <w:p w14:paraId="2A6CD0E2">
      <w:pPr>
        <w:bidi w:val="0"/>
        <w:adjustRightInd w:val="0"/>
        <w:snapToGrid w:val="0"/>
        <w:spacing w:line="440" w:lineRule="exact"/>
        <w:ind w:firstLine="482" w:firstLineChars="200"/>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2、燃烧释放有毒气体对环境的影响</w:t>
      </w:r>
    </w:p>
    <w:p w14:paraId="634A6335">
      <w:pPr>
        <w:bidi w:val="0"/>
        <w:adjustRightInd w:val="0"/>
        <w:snapToGrid w:val="0"/>
        <w:spacing w:line="440" w:lineRule="exact"/>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val="en-US"/>
        </w:rPr>
        <w:t>1</w:t>
      </w:r>
      <w:r>
        <w:rPr>
          <w:rFonts w:hint="default" w:ascii="Times New Roman" w:hAnsi="Times New Roman" w:eastAsia="宋体" w:cs="Times New Roman"/>
          <w:color w:val="auto"/>
          <w:sz w:val="24"/>
          <w:szCs w:val="24"/>
        </w:rPr>
        <w:t>）燃烧释放有毒气体分析</w:t>
      </w:r>
    </w:p>
    <w:p w14:paraId="60B49FF3">
      <w:pPr>
        <w:bidi w:val="0"/>
        <w:adjustRightInd w:val="0"/>
        <w:snapToGrid w:val="0"/>
        <w:spacing w:line="440" w:lineRule="exact"/>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在火灾条件下，任何塑料燃烧都会产生有毒气体，其中聚乙烯（PE）燃烧的主要产物为CO、CO</w:t>
      </w:r>
      <w:r>
        <w:rPr>
          <w:rFonts w:hint="default" w:ascii="Times New Roman" w:hAnsi="Times New Roman" w:eastAsia="宋体" w:cs="Times New Roman"/>
          <w:color w:val="auto"/>
          <w:sz w:val="24"/>
          <w:szCs w:val="24"/>
          <w:vertAlign w:val="subscript"/>
        </w:rPr>
        <w:t>2</w:t>
      </w:r>
      <w:r>
        <w:rPr>
          <w:rFonts w:hint="default" w:ascii="Times New Roman" w:hAnsi="Times New Roman" w:eastAsia="宋体" w:cs="Times New Roman"/>
          <w:color w:val="auto"/>
          <w:sz w:val="24"/>
          <w:szCs w:val="24"/>
        </w:rPr>
        <w:t>、C</w:t>
      </w:r>
      <w:r>
        <w:rPr>
          <w:rFonts w:hint="default" w:ascii="Times New Roman" w:hAnsi="Times New Roman" w:eastAsia="宋体" w:cs="Times New Roman"/>
          <w:color w:val="auto"/>
          <w:sz w:val="24"/>
          <w:szCs w:val="24"/>
          <w:vertAlign w:val="subscript"/>
        </w:rPr>
        <w:t>3</w:t>
      </w:r>
      <w:r>
        <w:rPr>
          <w:rFonts w:hint="default" w:ascii="Times New Roman" w:hAnsi="Times New Roman" w:eastAsia="宋体" w:cs="Times New Roman"/>
          <w:color w:val="auto"/>
          <w:sz w:val="24"/>
          <w:szCs w:val="24"/>
        </w:rPr>
        <w:t>~C</w:t>
      </w:r>
      <w:r>
        <w:rPr>
          <w:rFonts w:hint="default" w:ascii="Times New Roman" w:hAnsi="Times New Roman" w:eastAsia="宋体" w:cs="Times New Roman"/>
          <w:color w:val="auto"/>
          <w:sz w:val="24"/>
          <w:szCs w:val="24"/>
          <w:vertAlign w:val="subscript"/>
        </w:rPr>
        <w:t>5</w:t>
      </w:r>
      <w:r>
        <w:rPr>
          <w:rFonts w:hint="default" w:ascii="Times New Roman" w:hAnsi="Times New Roman" w:eastAsia="宋体" w:cs="Times New Roman"/>
          <w:color w:val="auto"/>
          <w:sz w:val="24"/>
          <w:szCs w:val="24"/>
        </w:rPr>
        <w:t>的醛类；聚丙烯（PP）燃烧的主要产物为CO、CO</w:t>
      </w:r>
      <w:r>
        <w:rPr>
          <w:rFonts w:hint="default" w:ascii="Times New Roman" w:hAnsi="Times New Roman" w:eastAsia="宋体" w:cs="Times New Roman"/>
          <w:color w:val="auto"/>
          <w:sz w:val="24"/>
          <w:szCs w:val="24"/>
          <w:vertAlign w:val="subscript"/>
        </w:rPr>
        <w:t>2</w:t>
      </w:r>
      <w:r>
        <w:rPr>
          <w:rFonts w:hint="default" w:ascii="Times New Roman" w:hAnsi="Times New Roman" w:eastAsia="宋体" w:cs="Times New Roman"/>
          <w:color w:val="auto"/>
          <w:sz w:val="24"/>
          <w:szCs w:val="24"/>
        </w:rPr>
        <w:t>、C</w:t>
      </w:r>
      <w:r>
        <w:rPr>
          <w:rFonts w:hint="default" w:ascii="Times New Roman" w:hAnsi="Times New Roman" w:eastAsia="宋体" w:cs="Times New Roman"/>
          <w:color w:val="auto"/>
          <w:sz w:val="24"/>
          <w:szCs w:val="24"/>
          <w:vertAlign w:val="subscript"/>
        </w:rPr>
        <w:t>3</w:t>
      </w:r>
      <w:r>
        <w:rPr>
          <w:rFonts w:hint="default" w:ascii="Times New Roman" w:hAnsi="Times New Roman" w:eastAsia="宋体" w:cs="Times New Roman"/>
          <w:color w:val="auto"/>
          <w:sz w:val="24"/>
          <w:szCs w:val="24"/>
        </w:rPr>
        <w:t>~C</w:t>
      </w:r>
      <w:r>
        <w:rPr>
          <w:rFonts w:hint="default" w:ascii="Times New Roman" w:hAnsi="Times New Roman" w:eastAsia="宋体" w:cs="Times New Roman"/>
          <w:color w:val="auto"/>
          <w:sz w:val="24"/>
          <w:szCs w:val="24"/>
          <w:vertAlign w:val="subscript"/>
        </w:rPr>
        <w:t>5</w:t>
      </w:r>
      <w:r>
        <w:rPr>
          <w:rFonts w:hint="default" w:ascii="Times New Roman" w:hAnsi="Times New Roman" w:eastAsia="宋体" w:cs="Times New Roman"/>
          <w:color w:val="auto"/>
          <w:sz w:val="24"/>
          <w:szCs w:val="24"/>
        </w:rPr>
        <w:t>的醛类、酮类。上述原料合并燃烧，其燃烧的主要产物之间不会发生反应。</w:t>
      </w:r>
    </w:p>
    <w:p w14:paraId="7799839D">
      <w:pPr>
        <w:bidi w:val="0"/>
        <w:adjustRightInd w:val="0"/>
        <w:snapToGrid w:val="0"/>
        <w:spacing w:line="440" w:lineRule="exact"/>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废塑料燃烧有毒成分主要为一氧化碳。但是化学成分不同的塑料燃烧时产生的有毒气体种类不同：以碳、氢或碳、氢、氧为主要组成元素的塑料燃烧产生的有毒气体是一氧化碳，在火势猛烈时，这种气体最具危险性；含氮的塑料，如三聚氰胺甲醛和聚氨酯等，燃烧时能产生一氧化碳、氧化氮和氰化氢，这种混合气体毒性极大；含氯的塑料，如聚氯乙烯，在火焰中过分加热会产生氯化氢，达到一定浓度时会致人死亡；含氟的塑料，如聚四氟乙烯，在火灾中或过分受热产生氟化氢气体，该气体具有腐蚀性、毒性。本项目营运过程中使用原辅材料，类型为PE。有研究表明，PE燃烧时主要的大气污染物为CO，其具体的大气污染物产物如下表所示。</w:t>
      </w:r>
    </w:p>
    <w:p w14:paraId="0C0E5C4C">
      <w:pPr>
        <w:adjustRightInd w:val="0"/>
        <w:snapToGrid w:val="0"/>
        <w:spacing w:line="440" w:lineRule="exact"/>
        <w:ind w:firstLine="422" w:firstLineChars="20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表</w:t>
      </w:r>
      <w:r>
        <w:rPr>
          <w:rFonts w:hint="eastAsia" w:ascii="Times New Roman" w:hAnsi="Times New Roman" w:eastAsia="宋体" w:cs="Times New Roman"/>
          <w:b/>
          <w:bCs/>
          <w:color w:val="auto"/>
          <w:sz w:val="21"/>
          <w:szCs w:val="21"/>
          <w:lang w:val="en-US" w:eastAsia="zh-CN"/>
        </w:rPr>
        <w:t xml:space="preserve">5.2-35   </w:t>
      </w:r>
      <w:r>
        <w:rPr>
          <w:rFonts w:hint="default" w:ascii="Times New Roman" w:hAnsi="Times New Roman" w:eastAsia="宋体" w:cs="Times New Roman"/>
          <w:b/>
          <w:bCs/>
          <w:color w:val="auto"/>
          <w:sz w:val="21"/>
          <w:szCs w:val="21"/>
        </w:rPr>
        <w:t>塑料意外燃烧排放的污染物</w:t>
      </w:r>
    </w:p>
    <w:tbl>
      <w:tblPr>
        <w:tblStyle w:val="49"/>
        <w:tblW w:w="4999" w:type="pct"/>
        <w:jc w:val="center"/>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autofit"/>
        <w:tblCellMar>
          <w:top w:w="0" w:type="dxa"/>
          <w:left w:w="0" w:type="dxa"/>
          <w:bottom w:w="0" w:type="dxa"/>
          <w:right w:w="0" w:type="dxa"/>
        </w:tblCellMar>
      </w:tblPr>
      <w:tblGrid>
        <w:gridCol w:w="1517"/>
        <w:gridCol w:w="4640"/>
        <w:gridCol w:w="2167"/>
      </w:tblGrid>
      <w:tr w14:paraId="6225D1BB">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911" w:type="pct"/>
            <w:tcBorders>
              <w:tl2br w:val="nil"/>
              <w:tr2bl w:val="nil"/>
            </w:tcBorders>
            <w:noWrap w:val="0"/>
            <w:vAlign w:val="center"/>
          </w:tcPr>
          <w:p w14:paraId="5CA19CB8">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塑料名称</w:t>
            </w:r>
          </w:p>
        </w:tc>
        <w:tc>
          <w:tcPr>
            <w:tcW w:w="2786" w:type="pct"/>
            <w:tcBorders>
              <w:tl2br w:val="nil"/>
              <w:tr2bl w:val="nil"/>
            </w:tcBorders>
            <w:noWrap w:val="0"/>
            <w:vAlign w:val="center"/>
          </w:tcPr>
          <w:p w14:paraId="74EBCBCD">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燃烧的主要产物</w:t>
            </w:r>
          </w:p>
        </w:tc>
        <w:tc>
          <w:tcPr>
            <w:tcW w:w="1301" w:type="pct"/>
            <w:tcBorders>
              <w:tl2br w:val="nil"/>
              <w:tr2bl w:val="nil"/>
            </w:tcBorders>
            <w:noWrap w:val="0"/>
            <w:vAlign w:val="center"/>
          </w:tcPr>
          <w:p w14:paraId="7C5F8DB1">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风险类型</w:t>
            </w:r>
          </w:p>
        </w:tc>
      </w:tr>
      <w:tr w14:paraId="1D30AF11">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911" w:type="pct"/>
            <w:tcBorders>
              <w:tl2br w:val="nil"/>
              <w:tr2bl w:val="nil"/>
            </w:tcBorders>
            <w:noWrap w:val="0"/>
            <w:vAlign w:val="center"/>
          </w:tcPr>
          <w:p w14:paraId="65759AEB">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聚乙烯（PE）</w:t>
            </w:r>
          </w:p>
        </w:tc>
        <w:tc>
          <w:tcPr>
            <w:tcW w:w="2786" w:type="pct"/>
            <w:tcBorders>
              <w:tl2br w:val="nil"/>
              <w:tr2bl w:val="nil"/>
            </w:tcBorders>
            <w:noWrap w:val="0"/>
            <w:vAlign w:val="center"/>
          </w:tcPr>
          <w:p w14:paraId="3316E17A">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CO、CO</w:t>
            </w:r>
            <w:r>
              <w:rPr>
                <w:rFonts w:hint="default" w:ascii="Times New Roman" w:hAnsi="Times New Roman" w:eastAsia="宋体" w:cs="Times New Roman"/>
                <w:color w:val="auto"/>
                <w:sz w:val="21"/>
                <w:szCs w:val="21"/>
                <w:vertAlign w:val="subscript"/>
              </w:rPr>
              <w:t>2</w:t>
            </w:r>
            <w:r>
              <w:rPr>
                <w:rFonts w:hint="default" w:ascii="Times New Roman" w:hAnsi="Times New Roman" w:eastAsia="宋体" w:cs="Times New Roman"/>
                <w:color w:val="auto"/>
                <w:sz w:val="21"/>
                <w:szCs w:val="21"/>
              </w:rPr>
              <w:t>、C</w:t>
            </w:r>
            <w:r>
              <w:rPr>
                <w:rFonts w:hint="default" w:ascii="Times New Roman" w:hAnsi="Times New Roman" w:eastAsia="宋体" w:cs="Times New Roman"/>
                <w:color w:val="auto"/>
                <w:sz w:val="21"/>
                <w:szCs w:val="21"/>
                <w:vertAlign w:val="subscript"/>
              </w:rPr>
              <w:t>3</w:t>
            </w:r>
            <w:r>
              <w:rPr>
                <w:rFonts w:hint="default" w:ascii="Times New Roman" w:hAnsi="Times New Roman" w:eastAsia="宋体" w:cs="Times New Roman"/>
                <w:color w:val="auto"/>
                <w:sz w:val="21"/>
                <w:szCs w:val="21"/>
              </w:rPr>
              <w:t>~C</w:t>
            </w:r>
            <w:r>
              <w:rPr>
                <w:rFonts w:hint="default" w:ascii="Times New Roman" w:hAnsi="Times New Roman" w:eastAsia="宋体" w:cs="Times New Roman"/>
                <w:color w:val="auto"/>
                <w:sz w:val="21"/>
                <w:szCs w:val="21"/>
                <w:vertAlign w:val="subscript"/>
              </w:rPr>
              <w:t>5</w:t>
            </w:r>
            <w:r>
              <w:rPr>
                <w:rFonts w:hint="default" w:ascii="Times New Roman" w:hAnsi="Times New Roman" w:eastAsia="宋体" w:cs="Times New Roman"/>
                <w:color w:val="auto"/>
                <w:sz w:val="21"/>
                <w:szCs w:val="21"/>
              </w:rPr>
              <w:t>的醛类</w:t>
            </w:r>
          </w:p>
        </w:tc>
        <w:tc>
          <w:tcPr>
            <w:tcW w:w="1301" w:type="pct"/>
            <w:tcBorders>
              <w:tl2br w:val="nil"/>
              <w:tr2bl w:val="nil"/>
            </w:tcBorders>
            <w:noWrap w:val="0"/>
            <w:vAlign w:val="center"/>
          </w:tcPr>
          <w:p w14:paraId="3EA4BBBD">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中毒</w:t>
            </w:r>
          </w:p>
        </w:tc>
      </w:tr>
    </w:tbl>
    <w:p w14:paraId="49FD8829">
      <w:pPr>
        <w:adjustRightInd w:val="0"/>
        <w:snapToGrid w:val="0"/>
        <w:spacing w:line="440" w:lineRule="exact"/>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val="en-US"/>
        </w:rPr>
        <w:t>2</w:t>
      </w:r>
      <w:r>
        <w:rPr>
          <w:rFonts w:hint="default" w:ascii="Times New Roman" w:hAnsi="Times New Roman" w:eastAsia="宋体" w:cs="Times New Roman"/>
          <w:color w:val="auto"/>
          <w:sz w:val="24"/>
          <w:szCs w:val="24"/>
        </w:rPr>
        <w:t>）有毒气体对环境的影响分析</w:t>
      </w:r>
    </w:p>
    <w:p w14:paraId="11078183">
      <w:pPr>
        <w:adjustRightInd w:val="0"/>
        <w:snapToGrid w:val="0"/>
        <w:spacing w:line="440" w:lineRule="exact"/>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当火灾事故发生时，塑料燃烧产生的烟气短时间内会对厂区内员工有较大的影响，应随着空间扩散，对项目周边居民产生一定的影响。</w:t>
      </w:r>
    </w:p>
    <w:p w14:paraId="6A6BC135">
      <w:pPr>
        <w:adjustRightInd w:val="0"/>
        <w:snapToGrid w:val="0"/>
        <w:spacing w:line="440" w:lineRule="exact"/>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①有毒的烟气能在</w:t>
      </w:r>
      <w:r>
        <w:rPr>
          <w:rFonts w:hint="eastAsia" w:ascii="Times New Roman" w:hAnsi="Times New Roman" w:eastAsia="宋体" w:cs="Times New Roman"/>
          <w:color w:val="auto"/>
          <w:sz w:val="24"/>
          <w:szCs w:val="24"/>
          <w:lang w:eastAsia="zh-CN"/>
        </w:rPr>
        <w:t>极短</w:t>
      </w:r>
      <w:r>
        <w:rPr>
          <w:rFonts w:hint="default" w:ascii="Times New Roman" w:hAnsi="Times New Roman" w:eastAsia="宋体" w:cs="Times New Roman"/>
          <w:color w:val="auto"/>
          <w:sz w:val="24"/>
          <w:szCs w:val="24"/>
        </w:rPr>
        <w:t>的时间内快速进入密闭空间，可以使人窒息死亡。CO的LC50（大鼠吸入4h）为2069mg/m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sz w:val="24"/>
          <w:szCs w:val="24"/>
        </w:rPr>
        <w:t>（来源于《危险化学品安全技术全书》，化学工业出版社），IDLH（立即威胁生命和健康浓度）的浓度为1500mg/m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sz w:val="24"/>
          <w:szCs w:val="24"/>
        </w:rPr>
        <w:t>（1200ppm）。</w:t>
      </w:r>
    </w:p>
    <w:p w14:paraId="1AF2AAEA">
      <w:pPr>
        <w:adjustRightInd w:val="0"/>
        <w:snapToGrid w:val="0"/>
        <w:spacing w:line="440" w:lineRule="exact"/>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②塑料燃烧时产生的烟气中含大量的CO，CO随空气进入人体后，经肺泡进入血液循环，能与血液中</w:t>
      </w:r>
      <w:r>
        <w:rPr>
          <w:rFonts w:hint="default" w:ascii="Times New Roman" w:hAnsi="Times New Roman" w:eastAsia="宋体" w:cs="Times New Roman"/>
          <w:color w:val="auto"/>
          <w:sz w:val="24"/>
          <w:szCs w:val="24"/>
          <w:lang w:eastAsia="zh-CN"/>
        </w:rPr>
        <w:t>红细胞</w:t>
      </w:r>
      <w:r>
        <w:rPr>
          <w:rFonts w:hint="default" w:ascii="Times New Roman" w:hAnsi="Times New Roman" w:eastAsia="宋体" w:cs="Times New Roman"/>
          <w:color w:val="auto"/>
          <w:sz w:val="24"/>
          <w:szCs w:val="24"/>
        </w:rPr>
        <w:t>里的血红蛋白、血液外的肌红蛋白和含二价铁的细胞呼吸酶等形成可逆性结合。高浓度CO可引起急性中毒，中毒者常出现脉弱、呼吸变慢等症状，最后衰竭致死；慢性CO中毒会出现头痛，头晕、记忆力降低等神经衰弱症状。燃烧事故发生后，显示对近距离目标影响较大，且危害程度也大，随着时间的推移，逐渐对远处产生影响，但危害程度逐渐减小。</w:t>
      </w:r>
    </w:p>
    <w:p w14:paraId="19D86C4D">
      <w:pPr>
        <w:adjustRightInd w:val="0"/>
        <w:snapToGrid w:val="0"/>
        <w:spacing w:line="440" w:lineRule="exact"/>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val="en-US"/>
        </w:rPr>
        <w:t>3</w:t>
      </w:r>
      <w:r>
        <w:rPr>
          <w:rFonts w:hint="default" w:ascii="Times New Roman" w:hAnsi="Times New Roman" w:eastAsia="宋体" w:cs="Times New Roman"/>
          <w:color w:val="auto"/>
          <w:sz w:val="24"/>
          <w:szCs w:val="24"/>
        </w:rPr>
        <w:t>）事故废水影响分析</w:t>
      </w:r>
    </w:p>
    <w:p w14:paraId="039C859E">
      <w:pPr>
        <w:adjustRightInd w:val="0"/>
        <w:snapToGrid w:val="0"/>
        <w:spacing w:line="440" w:lineRule="exact"/>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一旦发生火灾，厂房应立即报警，通过消防灭火；组织救援小组，封锁现场，指挥人员疏散，并组织消防力量进行自救灭火；将消防废水引至设置的事故池内，待事故处置完毕后交由有资质的单位拉运处置；事故后对起火原因做调查和鉴定，提出切实可行的防范措施。</w:t>
      </w:r>
    </w:p>
    <w:bookmarkEnd w:id="340"/>
    <w:bookmarkEnd w:id="341"/>
    <w:p w14:paraId="6BA34AAA">
      <w:pPr>
        <w:pStyle w:val="5"/>
        <w:rPr>
          <w:rFonts w:ascii="Times New Roman" w:hAnsi="Times New Roman"/>
          <w:color w:val="000000"/>
          <w:lang w:val="en-US"/>
        </w:rPr>
      </w:pPr>
      <w:bookmarkStart w:id="342" w:name="_Toc9232"/>
      <w:bookmarkStart w:id="343" w:name="_Toc1130"/>
      <w:bookmarkStart w:id="344" w:name="_Toc28968"/>
      <w:r>
        <w:rPr>
          <w:rFonts w:hint="eastAsia" w:ascii="Times New Roman" w:hAnsi="Times New Roman"/>
          <w:color w:val="000000"/>
          <w:lang w:val="en-US"/>
        </w:rPr>
        <w:t>5.2.7</w:t>
      </w:r>
      <w:r>
        <w:rPr>
          <w:rFonts w:ascii="Times New Roman" w:hAnsi="Times New Roman"/>
          <w:color w:val="000000"/>
          <w:lang w:val="en-US"/>
        </w:rPr>
        <w:t>.</w:t>
      </w:r>
      <w:r>
        <w:rPr>
          <w:rFonts w:hint="eastAsia" w:ascii="Times New Roman" w:hAnsi="Times New Roman"/>
          <w:color w:val="000000"/>
          <w:lang w:val="en-US"/>
        </w:rPr>
        <w:t>8</w:t>
      </w:r>
      <w:r>
        <w:rPr>
          <w:rFonts w:ascii="Times New Roman" w:hAnsi="Times New Roman"/>
          <w:color w:val="000000"/>
          <w:lang w:val="en-US"/>
        </w:rPr>
        <w:t>环境风险</w:t>
      </w:r>
      <w:r>
        <w:rPr>
          <w:rFonts w:hint="eastAsia" w:ascii="Times New Roman" w:hAnsi="Times New Roman"/>
          <w:color w:val="000000"/>
          <w:lang w:val="en-US" w:eastAsia="zh-CN"/>
        </w:rPr>
        <w:t>管理和</w:t>
      </w:r>
      <w:r>
        <w:rPr>
          <w:rFonts w:ascii="Times New Roman" w:hAnsi="Times New Roman"/>
          <w:color w:val="000000"/>
          <w:lang w:val="en-US"/>
        </w:rPr>
        <w:t>防范措施</w:t>
      </w:r>
      <w:bookmarkEnd w:id="342"/>
      <w:bookmarkEnd w:id="343"/>
      <w:bookmarkEnd w:id="344"/>
    </w:p>
    <w:p w14:paraId="72745D28">
      <w:pPr>
        <w:spacing w:line="360" w:lineRule="auto"/>
        <w:ind w:firstLine="482" w:firstLineChars="200"/>
        <w:rPr>
          <w:b/>
          <w:bCs/>
          <w:color w:val="000000"/>
          <w:sz w:val="24"/>
        </w:rPr>
      </w:pPr>
      <w:bookmarkStart w:id="345" w:name="_Toc27005"/>
      <w:bookmarkStart w:id="346" w:name="_Toc26940"/>
      <w:bookmarkStart w:id="347" w:name="_Toc22537"/>
      <w:bookmarkStart w:id="348" w:name="_Toc9567"/>
      <w:r>
        <w:rPr>
          <w:rFonts w:hint="eastAsia"/>
          <w:b/>
          <w:bCs/>
          <w:color w:val="000000"/>
          <w:sz w:val="24"/>
        </w:rPr>
        <w:t>（1）项目选址、总图布置和建筑安全防范措施</w:t>
      </w:r>
    </w:p>
    <w:p w14:paraId="7526BC0B">
      <w:pPr>
        <w:spacing w:line="360" w:lineRule="auto"/>
        <w:ind w:firstLine="480" w:firstLineChars="200"/>
        <w:rPr>
          <w:color w:val="000000"/>
          <w:sz w:val="24"/>
        </w:rPr>
      </w:pPr>
      <w:r>
        <w:rPr>
          <w:rFonts w:hint="eastAsia"/>
          <w:color w:val="000000"/>
          <w:sz w:val="24"/>
        </w:rPr>
        <w:t>①厂区总平面布置应根据厂内各生产系统及安全、卫生要求，按照功能合理分区，各功能分区之间及功能分区内部要按照有关规范保持足够的安全距离。</w:t>
      </w:r>
    </w:p>
    <w:p w14:paraId="6A08DD37">
      <w:pPr>
        <w:spacing w:line="360" w:lineRule="auto"/>
        <w:ind w:firstLine="480" w:firstLineChars="200"/>
        <w:rPr>
          <w:color w:val="000000"/>
          <w:sz w:val="24"/>
        </w:rPr>
      </w:pPr>
      <w:r>
        <w:rPr>
          <w:rFonts w:hint="eastAsia"/>
          <w:color w:val="000000"/>
          <w:sz w:val="24"/>
        </w:rPr>
        <w:t>②厂区内的道路应根据交通、消防和分区的要求合理布置，设置</w:t>
      </w:r>
      <w:r>
        <w:rPr>
          <w:rFonts w:hint="eastAsia"/>
          <w:color w:val="000000"/>
          <w:sz w:val="24"/>
          <w:lang w:eastAsia="zh-CN"/>
        </w:rPr>
        <w:t>环形</w:t>
      </w:r>
      <w:r>
        <w:rPr>
          <w:rFonts w:hint="eastAsia"/>
          <w:color w:val="000000"/>
          <w:sz w:val="24"/>
        </w:rPr>
        <w:t>通道，</w:t>
      </w:r>
      <w:r>
        <w:rPr>
          <w:rFonts w:hint="eastAsia"/>
          <w:color w:val="000000"/>
          <w:sz w:val="24"/>
          <w:lang w:eastAsia="zh-CN"/>
        </w:rPr>
        <w:t>环形</w:t>
      </w:r>
      <w:r>
        <w:rPr>
          <w:rFonts w:hint="eastAsia"/>
          <w:color w:val="000000"/>
          <w:sz w:val="24"/>
        </w:rPr>
        <w:t>通道上不能堆放产品，以保证消防、急救车辆畅行无阻。</w:t>
      </w:r>
    </w:p>
    <w:p w14:paraId="711B847C">
      <w:pPr>
        <w:spacing w:line="360" w:lineRule="auto"/>
        <w:ind w:firstLine="480" w:firstLineChars="200"/>
        <w:rPr>
          <w:color w:val="000000"/>
          <w:sz w:val="24"/>
        </w:rPr>
      </w:pPr>
      <w:r>
        <w:rPr>
          <w:rFonts w:hint="eastAsia"/>
          <w:color w:val="000000"/>
          <w:sz w:val="24"/>
        </w:rPr>
        <w:t>③厂区内的各厂房的耐火等级应符合《建设设计防火规范》（GB50016-2014）的要求，按照所使用的物料不同的火灾危险类别确定要求。</w:t>
      </w:r>
    </w:p>
    <w:p w14:paraId="47B66C67">
      <w:pPr>
        <w:spacing w:line="360" w:lineRule="auto"/>
        <w:ind w:firstLine="482" w:firstLineChars="200"/>
        <w:rPr>
          <w:b/>
          <w:bCs/>
          <w:color w:val="000000"/>
          <w:sz w:val="24"/>
        </w:rPr>
      </w:pPr>
      <w:r>
        <w:rPr>
          <w:rFonts w:hint="eastAsia"/>
          <w:b/>
          <w:bCs/>
          <w:color w:val="000000"/>
          <w:sz w:val="24"/>
        </w:rPr>
        <w:t>（2）原料运输及贮存防范措施</w:t>
      </w:r>
      <w:bookmarkEnd w:id="345"/>
      <w:bookmarkEnd w:id="346"/>
      <w:bookmarkEnd w:id="347"/>
      <w:bookmarkEnd w:id="348"/>
    </w:p>
    <w:p w14:paraId="3C697FDD">
      <w:pPr>
        <w:spacing w:line="360" w:lineRule="auto"/>
        <w:ind w:firstLine="480" w:firstLineChars="200"/>
        <w:rPr>
          <w:color w:val="000000"/>
          <w:sz w:val="24"/>
        </w:rPr>
      </w:pPr>
      <w:r>
        <w:rPr>
          <w:rFonts w:hint="eastAsia"/>
          <w:color w:val="000000"/>
          <w:sz w:val="24"/>
        </w:rPr>
        <w:t>①原料运输防范措施</w:t>
      </w:r>
    </w:p>
    <w:p w14:paraId="184355D3">
      <w:pPr>
        <w:numPr>
          <w:ilvl w:val="0"/>
          <w:numId w:val="6"/>
        </w:numPr>
        <w:spacing w:line="360" w:lineRule="auto"/>
        <w:ind w:firstLine="480" w:firstLineChars="200"/>
        <w:rPr>
          <w:rFonts w:hint="eastAsia"/>
          <w:color w:val="000000"/>
          <w:sz w:val="24"/>
        </w:rPr>
      </w:pPr>
      <w:r>
        <w:rPr>
          <w:rFonts w:hint="eastAsia"/>
          <w:color w:val="000000"/>
          <w:sz w:val="24"/>
        </w:rPr>
        <w:t>运输过</w:t>
      </w:r>
      <w:r>
        <w:rPr>
          <w:rFonts w:hint="eastAsia"/>
          <w:color w:val="000000"/>
          <w:sz w:val="24"/>
          <w:lang w:eastAsia="zh-CN"/>
        </w:rPr>
        <w:t>程中</w:t>
      </w:r>
      <w:r>
        <w:rPr>
          <w:rFonts w:hint="eastAsia"/>
          <w:color w:val="000000"/>
          <w:sz w:val="24"/>
        </w:rPr>
        <w:t>严格执行《工业企业内运输安全规程》（</w:t>
      </w:r>
      <w:r>
        <w:rPr>
          <w:color w:val="000000"/>
          <w:sz w:val="24"/>
        </w:rPr>
        <w:t>GB4378-84</w:t>
      </w:r>
      <w:r>
        <w:rPr>
          <w:rFonts w:hint="eastAsia"/>
          <w:color w:val="000000"/>
          <w:sz w:val="24"/>
        </w:rPr>
        <w:t>）、《机动车运行安全技术条件》（</w:t>
      </w:r>
      <w:r>
        <w:rPr>
          <w:color w:val="000000"/>
          <w:sz w:val="24"/>
        </w:rPr>
        <w:t>GB7258-</w:t>
      </w:r>
      <w:r>
        <w:rPr>
          <w:rFonts w:hint="eastAsia"/>
          <w:color w:val="000000"/>
          <w:sz w:val="24"/>
        </w:rPr>
        <w:t>2017）；</w:t>
      </w:r>
    </w:p>
    <w:p w14:paraId="2F0808E7">
      <w:pPr>
        <w:numPr>
          <w:ilvl w:val="0"/>
          <w:numId w:val="6"/>
        </w:numPr>
        <w:spacing w:line="360" w:lineRule="auto"/>
        <w:ind w:firstLine="480" w:firstLineChars="200"/>
        <w:rPr>
          <w:color w:val="000000"/>
          <w:sz w:val="24"/>
        </w:rPr>
      </w:pPr>
      <w:r>
        <w:rPr>
          <w:rFonts w:hint="eastAsia"/>
          <w:color w:val="000000"/>
          <w:sz w:val="24"/>
        </w:rPr>
        <w:t>运输车辆尽量避开恶劣天气，以减少因事故造成对运输线路沿途的影响；严格运输管理，加强车辆保养；</w:t>
      </w:r>
    </w:p>
    <w:p w14:paraId="365B0FF6">
      <w:pPr>
        <w:numPr>
          <w:ilvl w:val="0"/>
          <w:numId w:val="6"/>
        </w:numPr>
        <w:spacing w:line="360" w:lineRule="auto"/>
        <w:ind w:firstLine="480" w:firstLineChars="200"/>
        <w:rPr>
          <w:color w:val="000000"/>
          <w:sz w:val="24"/>
        </w:rPr>
      </w:pPr>
      <w:r>
        <w:rPr>
          <w:rFonts w:hint="eastAsia"/>
          <w:color w:val="000000"/>
          <w:sz w:val="24"/>
        </w:rPr>
        <w:t>根据《废塑料污染控制技术规范》（HJ 364-2022），废塑料运输前应进行包装，或用封闭的交通工具运输，不得裸露运输废塑料；废塑料的包装应在通过环保审批的回收中转场所内进行；废塑料包装物应防水、耐压、遮蔽性好，可多次重复使用；在装卸、运输过程中应确保包装完好，无废塑料遗洒；包装物表面必须有回收标志和废塑料种类标志，标志应清晰、易于识别、不易擦掉，并应标明废塑料的来源、原用途和去向等信息。执行《塑料制品的标志》（</w:t>
      </w:r>
      <w:r>
        <w:rPr>
          <w:color w:val="000000"/>
          <w:sz w:val="24"/>
        </w:rPr>
        <w:t>GB/T16288</w:t>
      </w:r>
      <w:r>
        <w:rPr>
          <w:rFonts w:hint="eastAsia"/>
          <w:color w:val="000000"/>
          <w:sz w:val="24"/>
        </w:rPr>
        <w:t>-2008）中相关要求；不得超高、超宽、超载运输废塑料。运输过程中严禁与易燃物或可燃物等混装混运。运输途中应防暴晒、放高温。公路运输时要按规定路线</w:t>
      </w:r>
      <w:r>
        <w:rPr>
          <w:rFonts w:hint="eastAsia"/>
          <w:color w:val="000000"/>
          <w:sz w:val="24"/>
          <w:lang w:eastAsia="zh-CN"/>
        </w:rPr>
        <w:t>行驶</w:t>
      </w:r>
      <w:r>
        <w:rPr>
          <w:rFonts w:hint="eastAsia"/>
          <w:color w:val="000000"/>
          <w:sz w:val="24"/>
        </w:rPr>
        <w:t>，勿在居民区和人口稠密区停留。</w:t>
      </w:r>
    </w:p>
    <w:p w14:paraId="5E801F91">
      <w:pPr>
        <w:spacing w:line="360" w:lineRule="auto"/>
        <w:ind w:firstLine="480" w:firstLineChars="200"/>
        <w:rPr>
          <w:color w:val="000000"/>
          <w:sz w:val="24"/>
        </w:rPr>
      </w:pPr>
      <w:r>
        <w:rPr>
          <w:rFonts w:hint="eastAsia"/>
          <w:color w:val="000000"/>
          <w:sz w:val="24"/>
        </w:rPr>
        <w:t>②原料贮存防范措施</w:t>
      </w:r>
    </w:p>
    <w:p w14:paraId="747368EB">
      <w:pPr>
        <w:spacing w:line="360" w:lineRule="auto"/>
        <w:ind w:firstLine="480" w:firstLineChars="200"/>
        <w:rPr>
          <w:rFonts w:hint="eastAsia"/>
          <w:color w:val="000000"/>
          <w:sz w:val="24"/>
        </w:rPr>
      </w:pPr>
      <w:bookmarkStart w:id="349" w:name="_Toc20578"/>
      <w:bookmarkStart w:id="350" w:name="_Toc5892"/>
      <w:bookmarkStart w:id="351" w:name="_Toc13623"/>
      <w:bookmarkStart w:id="352" w:name="_Toc17052"/>
      <w:r>
        <w:rPr>
          <w:rFonts w:hint="eastAsia"/>
          <w:color w:val="000000"/>
          <w:sz w:val="24"/>
          <w:lang w:val="en-US" w:eastAsia="zh-CN"/>
        </w:rPr>
        <w:t>a、</w:t>
      </w:r>
      <w:r>
        <w:rPr>
          <w:rFonts w:hint="eastAsia"/>
          <w:color w:val="000000"/>
          <w:sz w:val="24"/>
        </w:rPr>
        <w:t>塑料原料贮放设置明显标志，贮存场所采用防雨、防晒、防渗、防尘、防扬散和防火措施。</w:t>
      </w:r>
    </w:p>
    <w:p w14:paraId="12B09D6F">
      <w:pPr>
        <w:spacing w:line="360" w:lineRule="auto"/>
        <w:ind w:firstLine="480" w:firstLineChars="200"/>
        <w:rPr>
          <w:rFonts w:hint="eastAsia"/>
          <w:color w:val="000000"/>
          <w:sz w:val="24"/>
        </w:rPr>
      </w:pPr>
      <w:r>
        <w:rPr>
          <w:rFonts w:hint="eastAsia"/>
          <w:color w:val="000000"/>
          <w:sz w:val="24"/>
          <w:lang w:val="en-US" w:eastAsia="zh-CN"/>
        </w:rPr>
        <w:t>b、</w:t>
      </w:r>
      <w:r>
        <w:rPr>
          <w:rFonts w:hint="eastAsia"/>
          <w:color w:val="000000"/>
          <w:sz w:val="24"/>
        </w:rPr>
        <w:t>塑料按计划采购、分期分批入库，严格控制贮存量；</w:t>
      </w:r>
    </w:p>
    <w:p w14:paraId="1F8FBAF7">
      <w:pPr>
        <w:spacing w:line="360" w:lineRule="auto"/>
        <w:ind w:firstLine="480" w:firstLineChars="200"/>
        <w:rPr>
          <w:rFonts w:hint="eastAsia"/>
          <w:color w:val="000000"/>
          <w:sz w:val="24"/>
        </w:rPr>
      </w:pPr>
      <w:r>
        <w:rPr>
          <w:rFonts w:hint="eastAsia"/>
          <w:color w:val="000000"/>
          <w:sz w:val="24"/>
          <w:lang w:val="en-US" w:eastAsia="zh-CN"/>
        </w:rPr>
        <w:t>c、</w:t>
      </w:r>
      <w:r>
        <w:rPr>
          <w:rFonts w:hint="eastAsia"/>
          <w:color w:val="000000"/>
          <w:sz w:val="24"/>
        </w:rPr>
        <w:t>严禁在生产车间和库房使用明火；</w:t>
      </w:r>
    </w:p>
    <w:p w14:paraId="35186B2D">
      <w:pPr>
        <w:spacing w:line="360" w:lineRule="auto"/>
        <w:ind w:firstLine="480" w:firstLineChars="200"/>
        <w:rPr>
          <w:rFonts w:hint="eastAsia"/>
          <w:color w:val="000000"/>
          <w:sz w:val="24"/>
        </w:rPr>
      </w:pPr>
      <w:r>
        <w:rPr>
          <w:rFonts w:hint="eastAsia"/>
          <w:color w:val="000000"/>
          <w:sz w:val="24"/>
          <w:lang w:val="en-US" w:eastAsia="zh-CN"/>
        </w:rPr>
        <w:t>d、</w:t>
      </w:r>
      <w:r>
        <w:rPr>
          <w:rFonts w:hint="eastAsia"/>
          <w:color w:val="000000"/>
          <w:sz w:val="24"/>
        </w:rPr>
        <w:t>实行安全检查制度，各类安全设施、消防器材，进行各种日常、定期的、专业的防火安全检查，并将发现的问题定人、限期落实整改。</w:t>
      </w:r>
    </w:p>
    <w:bookmarkEnd w:id="349"/>
    <w:bookmarkEnd w:id="350"/>
    <w:bookmarkEnd w:id="351"/>
    <w:bookmarkEnd w:id="352"/>
    <w:p w14:paraId="05565CCA">
      <w:pPr>
        <w:bidi w:val="0"/>
        <w:adjustRightInd w:val="0"/>
        <w:snapToGrid w:val="0"/>
        <w:spacing w:line="440" w:lineRule="exact"/>
        <w:ind w:firstLine="482" w:firstLineChars="200"/>
        <w:rPr>
          <w:rFonts w:hint="default" w:ascii="Times New Roman" w:hAnsi="Times New Roman" w:eastAsia="宋体" w:cs="Times New Roman"/>
          <w:b/>
          <w:bCs/>
          <w:color w:val="auto"/>
          <w:sz w:val="24"/>
          <w:szCs w:val="24"/>
          <w:lang w:val="en-US" w:eastAsia="zh-CN"/>
        </w:rPr>
      </w:pPr>
      <w:r>
        <w:rPr>
          <w:rFonts w:hint="eastAsia" w:ascii="Times New Roman" w:hAnsi="Times New Roman" w:eastAsia="宋体" w:cs="Times New Roman"/>
          <w:b/>
          <w:bCs/>
          <w:color w:val="auto"/>
          <w:sz w:val="24"/>
          <w:szCs w:val="24"/>
          <w:lang w:val="en-US" w:eastAsia="zh-CN"/>
        </w:rPr>
        <w:t>（3）</w:t>
      </w:r>
      <w:r>
        <w:rPr>
          <w:rFonts w:hint="default" w:ascii="Times New Roman" w:hAnsi="Times New Roman" w:eastAsia="宋体" w:cs="Times New Roman"/>
          <w:b/>
          <w:bCs/>
          <w:color w:val="auto"/>
          <w:sz w:val="24"/>
          <w:szCs w:val="24"/>
          <w:lang w:val="en-US" w:eastAsia="zh-CN"/>
        </w:rPr>
        <w:t>风险有毒气体的防范措施</w:t>
      </w:r>
    </w:p>
    <w:p w14:paraId="18FE2A08">
      <w:pPr>
        <w:bidi w:val="0"/>
        <w:adjustRightInd w:val="0"/>
        <w:snapToGrid w:val="0"/>
        <w:spacing w:line="440" w:lineRule="exact"/>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①加强安全教育培训和宣传：塑料燃烧会产生的毒害气体，应加强对从业人员的专题教育，进一步提高企业管理者、操作人员的安全意识防范知识和应急救援的水平。</w:t>
      </w:r>
    </w:p>
    <w:p w14:paraId="06AFBACB">
      <w:pPr>
        <w:bidi w:val="0"/>
        <w:adjustRightInd w:val="0"/>
        <w:snapToGrid w:val="0"/>
        <w:spacing w:line="440" w:lineRule="exact"/>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②加大安全生产的投入：在强化安全教育、</w:t>
      </w:r>
      <w:r>
        <w:rPr>
          <w:rFonts w:hint="eastAsia" w:cs="Times New Roman"/>
          <w:color w:val="auto"/>
          <w:sz w:val="24"/>
          <w:szCs w:val="24"/>
          <w:lang w:eastAsia="zh-CN"/>
        </w:rPr>
        <w:t>增强</w:t>
      </w:r>
      <w:r>
        <w:rPr>
          <w:rFonts w:hint="default" w:ascii="Times New Roman" w:hAnsi="Times New Roman" w:eastAsia="宋体" w:cs="Times New Roman"/>
          <w:color w:val="auto"/>
          <w:sz w:val="24"/>
          <w:szCs w:val="24"/>
        </w:rPr>
        <w:t>安全意识的同时，企业必须加大安全生产的投入。一是在可能产生有毒气体的场所设置报警仪；二是采取通风、监测等安全措施；三是为操作人员配备呼吸器、救护带、有害气体</w:t>
      </w:r>
      <w:r>
        <w:rPr>
          <w:rFonts w:hint="eastAsia" w:cs="Times New Roman"/>
          <w:color w:val="auto"/>
          <w:sz w:val="24"/>
          <w:szCs w:val="24"/>
          <w:lang w:eastAsia="zh-CN"/>
        </w:rPr>
        <w:t>监测仪器</w:t>
      </w:r>
      <w:r>
        <w:rPr>
          <w:rFonts w:hint="default" w:ascii="Times New Roman" w:hAnsi="Times New Roman" w:eastAsia="宋体" w:cs="Times New Roman"/>
          <w:color w:val="auto"/>
          <w:sz w:val="24"/>
          <w:szCs w:val="24"/>
        </w:rPr>
        <w:t>等安全设备；四是危险作业增设监护人员并为其</w:t>
      </w:r>
      <w:r>
        <w:rPr>
          <w:rFonts w:hint="eastAsia" w:ascii="Times New Roman" w:hAnsi="Times New Roman" w:eastAsia="宋体" w:cs="Times New Roman"/>
          <w:color w:val="auto"/>
          <w:sz w:val="24"/>
          <w:szCs w:val="24"/>
          <w:lang w:eastAsia="zh-CN"/>
        </w:rPr>
        <w:t>配备通信</w:t>
      </w:r>
      <w:r>
        <w:rPr>
          <w:rFonts w:hint="default" w:ascii="Times New Roman" w:hAnsi="Times New Roman" w:eastAsia="宋体" w:cs="Times New Roman"/>
          <w:color w:val="auto"/>
          <w:sz w:val="24"/>
          <w:szCs w:val="24"/>
        </w:rPr>
        <w:t>、救援等设备。</w:t>
      </w:r>
    </w:p>
    <w:p w14:paraId="633EA2AC">
      <w:pPr>
        <w:bidi w:val="0"/>
        <w:adjustRightInd w:val="0"/>
        <w:snapToGrid w:val="0"/>
        <w:spacing w:line="440" w:lineRule="exact"/>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③建立健全有毒气体中毒事故应急救援预案：塑料燃烧可能产生有毒气体中毒事故，企业应建立健全有毒气体中毒等事故专项应急救援预案，确认可能发生有毒气体中毒事故的场所，要落实针对性的应急救援组织、救援人员、救援器材。企业应根据实际情况，不断充实和完善应急预案的各项措施，并定期组织演练。</w:t>
      </w:r>
    </w:p>
    <w:p w14:paraId="3D6B4758">
      <w:pPr>
        <w:bidi w:val="0"/>
        <w:adjustRightInd w:val="0"/>
        <w:snapToGrid w:val="0"/>
        <w:spacing w:line="440" w:lineRule="exact"/>
        <w:ind w:firstLine="482" w:firstLineChars="200"/>
        <w:rPr>
          <w:rFonts w:hint="default" w:ascii="Times New Roman" w:hAnsi="Times New Roman" w:eastAsia="宋体" w:cs="Times New Roman"/>
          <w:b/>
          <w:bCs/>
          <w:color w:val="auto"/>
          <w:sz w:val="24"/>
          <w:szCs w:val="24"/>
          <w:lang w:val="en-US" w:eastAsia="zh-CN"/>
        </w:rPr>
      </w:pPr>
      <w:r>
        <w:rPr>
          <w:rFonts w:hint="eastAsia" w:ascii="Times New Roman" w:hAnsi="Times New Roman" w:eastAsia="宋体" w:cs="Times New Roman"/>
          <w:b/>
          <w:bCs/>
          <w:color w:val="auto"/>
          <w:sz w:val="24"/>
          <w:szCs w:val="24"/>
          <w:lang w:val="en-US" w:eastAsia="zh-CN"/>
        </w:rPr>
        <w:t>（4）废润滑油储存过程中</w:t>
      </w:r>
      <w:r>
        <w:rPr>
          <w:rFonts w:hint="default" w:ascii="Times New Roman" w:hAnsi="Times New Roman" w:eastAsia="宋体" w:cs="Times New Roman"/>
          <w:b/>
          <w:bCs/>
          <w:color w:val="auto"/>
          <w:sz w:val="24"/>
          <w:szCs w:val="24"/>
          <w:lang w:val="en-US" w:eastAsia="zh-CN"/>
        </w:rPr>
        <w:t>的防范措施</w:t>
      </w:r>
    </w:p>
    <w:p w14:paraId="13FA88F7">
      <w:pPr>
        <w:bidi w:val="0"/>
        <w:adjustRightInd w:val="0"/>
        <w:snapToGrid w:val="0"/>
        <w:spacing w:line="440" w:lineRule="exact"/>
        <w:ind w:firstLine="480" w:firstLineChars="200"/>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①废润滑油正常情况下不会外泄引起火灾，按有关规范设计设置有效地消防系统，做到以防为主，严格控制操作区内的明火，严禁吸烟和带入火柴和打火机等火种，设置“严禁烟火”“严禁吸烟”等警告牌，避免火灾事故的发生：在厂区设置干粉灭火器应急设施和装备。</w:t>
      </w:r>
    </w:p>
    <w:p w14:paraId="5860E0D7">
      <w:pPr>
        <w:bidi w:val="0"/>
        <w:adjustRightInd w:val="0"/>
        <w:snapToGrid w:val="0"/>
        <w:spacing w:line="440" w:lineRule="exact"/>
        <w:ind w:firstLine="480" w:firstLineChars="200"/>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②储油桶与管道都必须做防静电、防接地设计；定期对管道、油桶进行</w:t>
      </w:r>
      <w:r>
        <w:rPr>
          <w:rFonts w:hint="default" w:ascii="Times New Roman" w:hAnsi="Times New Roman" w:eastAsia="宋体" w:cs="Times New Roman"/>
          <w:color w:val="auto"/>
          <w:sz w:val="24"/>
          <w:szCs w:val="24"/>
          <w:lang w:val="en-US" w:eastAsia="zh-CN"/>
        </w:rPr>
        <w:t>检修，发现跑、冒、滴、漏及时处理。</w:t>
      </w:r>
    </w:p>
    <w:p w14:paraId="0AEDEE7A">
      <w:pPr>
        <w:bidi w:val="0"/>
        <w:adjustRightInd w:val="0"/>
        <w:snapToGrid w:val="0"/>
        <w:spacing w:line="440" w:lineRule="exact"/>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③厂区总平面布置根据功能分区布置，各建构筑物之间预留足够的安全防护距离，建构筑物内外道路畅通并形成环状，以利消防和安全疏散。</w:t>
      </w:r>
    </w:p>
    <w:p w14:paraId="757DE212">
      <w:pPr>
        <w:bidi w:val="0"/>
        <w:adjustRightInd w:val="0"/>
        <w:snapToGrid w:val="0"/>
        <w:spacing w:line="440" w:lineRule="exact"/>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④本项目防范措施主要体现在风险管理方面，项目设计、建造和运行要科学规划、合理布局、严格执行防火安全设计规范，保证工程质量，严格安全生产制度、严格日常管理，提高操作人员素质和水平，以减少事故的发生。厂区一旦发生事故，则要根据具体情况采取应急措施，切断泄漏源、火源，控制事故扩大；立即报警；采取阻止泄漏物进入环境的紧急措施，控制和减少事故危害。</w:t>
      </w:r>
    </w:p>
    <w:p w14:paraId="64C91163">
      <w:pPr>
        <w:bidi w:val="0"/>
        <w:adjustRightInd w:val="0"/>
        <w:snapToGrid w:val="0"/>
        <w:spacing w:line="440" w:lineRule="exact"/>
        <w:ind w:firstLine="482" w:firstLineChars="200"/>
        <w:rPr>
          <w:rFonts w:hint="default" w:ascii="Times New Roman" w:hAnsi="Times New Roman" w:eastAsia="宋体" w:cs="Times New Roman"/>
          <w:b/>
          <w:bCs/>
          <w:color w:val="auto"/>
          <w:sz w:val="24"/>
          <w:szCs w:val="24"/>
          <w:lang w:val="en-US" w:eastAsia="zh-CN"/>
        </w:rPr>
      </w:pPr>
      <w:r>
        <w:rPr>
          <w:rFonts w:hint="eastAsia" w:ascii="Times New Roman" w:hAnsi="Times New Roman" w:eastAsia="宋体" w:cs="Times New Roman"/>
          <w:b/>
          <w:bCs/>
          <w:color w:val="auto"/>
          <w:sz w:val="24"/>
          <w:szCs w:val="24"/>
          <w:lang w:val="en-US" w:eastAsia="zh-CN"/>
        </w:rPr>
        <w:t>（5）</w:t>
      </w:r>
      <w:r>
        <w:rPr>
          <w:rFonts w:hint="default" w:ascii="Times New Roman" w:hAnsi="Times New Roman" w:eastAsia="宋体" w:cs="Times New Roman"/>
          <w:b/>
          <w:bCs/>
          <w:color w:val="auto"/>
          <w:sz w:val="24"/>
          <w:szCs w:val="24"/>
          <w:lang w:val="en-US" w:eastAsia="zh-CN"/>
        </w:rPr>
        <w:t>末端处置设施的风险防范措施</w:t>
      </w:r>
    </w:p>
    <w:p w14:paraId="08F0C006">
      <w:pPr>
        <w:bidi w:val="0"/>
        <w:adjustRightInd w:val="0"/>
        <w:snapToGrid w:val="0"/>
        <w:spacing w:line="440" w:lineRule="exact"/>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①本项目产生的有机废气，成分主要为非甲烷总烃。由于设备故障、操作不当、工艺控制不当等因素可能导致温度过高，产生大量有机废气或环保治理措施失效，导致废气不经处理全部排放。事故性排放（指废气收集治理措施故障，导致废气按产生量排放）工况下，非甲烷总烃不经处理直接外排，事故性排放对周边环境产生一定的影响。</w:t>
      </w:r>
    </w:p>
    <w:p w14:paraId="7F0855D5">
      <w:pPr>
        <w:bidi w:val="0"/>
        <w:adjustRightInd w:val="0"/>
        <w:snapToGrid w:val="0"/>
        <w:spacing w:line="440" w:lineRule="exact"/>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对此，企业须对</w:t>
      </w:r>
      <w:r>
        <w:rPr>
          <w:rFonts w:hint="eastAsia" w:ascii="Times New Roman" w:hAnsi="Times New Roman" w:eastAsia="宋体" w:cs="Times New Roman"/>
          <w:color w:val="auto"/>
          <w:sz w:val="24"/>
          <w:szCs w:val="24"/>
          <w:lang w:eastAsia="zh-CN"/>
        </w:rPr>
        <w:t>生产</w:t>
      </w:r>
      <w:r>
        <w:rPr>
          <w:rFonts w:hint="default" w:ascii="Times New Roman" w:hAnsi="Times New Roman" w:eastAsia="宋体" w:cs="Times New Roman"/>
          <w:color w:val="auto"/>
          <w:sz w:val="24"/>
          <w:szCs w:val="24"/>
        </w:rPr>
        <w:t>辅助设备定期检修，保证各设备的正常运行，并制定操作规程和规章制度，加强人员培训，避免非正常工况的出现。</w:t>
      </w:r>
    </w:p>
    <w:p w14:paraId="209975D0">
      <w:pPr>
        <w:bidi w:val="0"/>
        <w:adjustRightInd w:val="0"/>
        <w:snapToGrid w:val="0"/>
        <w:spacing w:line="440" w:lineRule="exact"/>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②废气等末端治理措施必须确保</w:t>
      </w:r>
      <w:r>
        <w:rPr>
          <w:rFonts w:hint="eastAsia" w:ascii="Times New Roman" w:hAnsi="Times New Roman" w:eastAsia="宋体" w:cs="Times New Roman"/>
          <w:color w:val="auto"/>
          <w:sz w:val="24"/>
          <w:szCs w:val="24"/>
          <w:lang w:eastAsia="zh-CN"/>
        </w:rPr>
        <w:t>正常运行</w:t>
      </w:r>
      <w:r>
        <w:rPr>
          <w:rFonts w:hint="default" w:ascii="Times New Roman" w:hAnsi="Times New Roman" w:eastAsia="宋体" w:cs="Times New Roman"/>
          <w:color w:val="auto"/>
          <w:sz w:val="24"/>
          <w:szCs w:val="24"/>
        </w:rPr>
        <w:t>，如发现人为原因不开启废气治理设施，责任人应</w:t>
      </w:r>
      <w:r>
        <w:rPr>
          <w:rFonts w:hint="eastAsia" w:ascii="Times New Roman" w:hAnsi="Times New Roman" w:eastAsia="宋体" w:cs="Times New Roman"/>
          <w:color w:val="auto"/>
          <w:sz w:val="24"/>
          <w:szCs w:val="24"/>
          <w:lang w:eastAsia="zh-CN"/>
        </w:rPr>
        <w:t>受到</w:t>
      </w:r>
      <w:r>
        <w:rPr>
          <w:rFonts w:hint="default" w:ascii="Times New Roman" w:hAnsi="Times New Roman" w:eastAsia="宋体" w:cs="Times New Roman"/>
          <w:color w:val="auto"/>
          <w:sz w:val="24"/>
          <w:szCs w:val="24"/>
        </w:rPr>
        <w:t>行政和经济处罚，并承担事故排放责任。若末端治理措施因故不能运行，则生产必须停止；</w:t>
      </w:r>
    </w:p>
    <w:p w14:paraId="5D2BD80C">
      <w:pPr>
        <w:bidi w:val="0"/>
        <w:adjustRightInd w:val="0"/>
        <w:snapToGrid w:val="0"/>
        <w:spacing w:line="440" w:lineRule="exact"/>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③为确保处理效率，在车间设备检修期间，末端处理系统也应同时进行检修，日常应有专人负责进行维护；</w:t>
      </w:r>
    </w:p>
    <w:p w14:paraId="16A49522">
      <w:pPr>
        <w:bidi w:val="0"/>
        <w:adjustRightInd w:val="0"/>
        <w:snapToGrid w:val="0"/>
        <w:spacing w:line="440" w:lineRule="exact"/>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④废气处理岗位严格按照操作规程进行，确保废气处理效果。</w:t>
      </w:r>
    </w:p>
    <w:p w14:paraId="26842838">
      <w:pPr>
        <w:bidi w:val="0"/>
        <w:adjustRightInd w:val="0"/>
        <w:snapToGrid w:val="0"/>
        <w:spacing w:line="440" w:lineRule="exact"/>
        <w:ind w:firstLine="482" w:firstLineChars="200"/>
        <w:rPr>
          <w:rFonts w:hint="eastAsia" w:ascii="Times New Roman" w:hAnsi="Times New Roman" w:eastAsia="宋体" w:cs="Times New Roman"/>
          <w:b/>
          <w:bCs/>
          <w:color w:val="auto"/>
          <w:sz w:val="24"/>
          <w:szCs w:val="24"/>
          <w:lang w:val="en-US" w:eastAsia="zh-CN"/>
        </w:rPr>
      </w:pPr>
      <w:r>
        <w:rPr>
          <w:rFonts w:hint="eastAsia" w:ascii="Times New Roman" w:hAnsi="Times New Roman" w:eastAsia="宋体" w:cs="Times New Roman"/>
          <w:b/>
          <w:bCs/>
          <w:color w:val="auto"/>
          <w:sz w:val="24"/>
          <w:szCs w:val="24"/>
          <w:lang w:val="en-US" w:eastAsia="zh-CN"/>
        </w:rPr>
        <w:t>（6）火灾处理设施</w:t>
      </w:r>
    </w:p>
    <w:p w14:paraId="1F0CF85D">
      <w:pPr>
        <w:bidi w:val="0"/>
        <w:adjustRightInd w:val="0"/>
        <w:snapToGrid w:val="0"/>
        <w:spacing w:line="440" w:lineRule="exact"/>
        <w:ind w:firstLine="480" w:firstLineChars="200"/>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一旦发生火灾，厂房应立即报警，通过消防灭火；组织救援小组，封锁现场，指挥人员疏散，并组织消防力量进行自救灭火；将消防废水引至设置的事故池内，待事故处置完毕后交由有资质的单位拉运处置；事故后对起火原因做调查和鉴定，提出切实可行的防范措施。</w:t>
      </w:r>
    </w:p>
    <w:p w14:paraId="25B2E854">
      <w:pPr>
        <w:bidi w:val="0"/>
        <w:adjustRightInd w:val="0"/>
        <w:snapToGrid w:val="0"/>
        <w:spacing w:line="440" w:lineRule="exact"/>
        <w:ind w:firstLine="480" w:firstLineChars="200"/>
        <w:rPr>
          <w:rFonts w:hint="eastAsia"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rPr>
        <w:t>①</w:t>
      </w:r>
      <w:r>
        <w:rPr>
          <w:rFonts w:hint="eastAsia" w:ascii="Times New Roman" w:hAnsi="Times New Roman" w:eastAsia="宋体" w:cs="Times New Roman"/>
          <w:color w:val="auto"/>
          <w:sz w:val="24"/>
          <w:szCs w:val="24"/>
          <w:lang w:val="en-US" w:eastAsia="zh-CN"/>
        </w:rPr>
        <w:t>建立消防事故水池</w:t>
      </w:r>
    </w:p>
    <w:p w14:paraId="221FBDBA">
      <w:pPr>
        <w:bidi w:val="0"/>
        <w:adjustRightInd w:val="0"/>
        <w:snapToGrid w:val="0"/>
        <w:spacing w:line="440" w:lineRule="exact"/>
        <w:ind w:firstLine="480" w:firstLineChars="200"/>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为防止发生火灾时消防废水外排对周边环境产生影响，项目生产厂区已有消防事故池容积为80m</w:t>
      </w:r>
      <w:r>
        <w:rPr>
          <w:rFonts w:hint="eastAsia" w:ascii="Times New Roman" w:hAnsi="Times New Roman" w:eastAsia="宋体" w:cs="Times New Roman"/>
          <w:color w:val="auto"/>
          <w:sz w:val="24"/>
          <w:szCs w:val="24"/>
          <w:vertAlign w:val="superscript"/>
          <w:lang w:val="en-US" w:eastAsia="zh-CN"/>
        </w:rPr>
        <w:t>3</w:t>
      </w:r>
      <w:r>
        <w:rPr>
          <w:rFonts w:hint="eastAsia" w:ascii="Times New Roman" w:hAnsi="Times New Roman" w:eastAsia="宋体" w:cs="Times New Roman"/>
          <w:color w:val="auto"/>
          <w:sz w:val="24"/>
          <w:szCs w:val="24"/>
          <w:lang w:val="en-US" w:eastAsia="zh-CN"/>
        </w:rPr>
        <w:t>。根据《建筑设计防火规范》（GB50016-2014），本工程同一时间的火灾次数为一次。室内消防用水量为5L/s，室外消防用水量为5L/s，则消防总用水量为5L/s，火灾延续时间为2小时，则本项目消防用水量为72m</w:t>
      </w:r>
      <w:r>
        <w:rPr>
          <w:rFonts w:hint="eastAsia" w:ascii="Times New Roman" w:hAnsi="Times New Roman" w:eastAsia="宋体" w:cs="Times New Roman"/>
          <w:color w:val="auto"/>
          <w:sz w:val="24"/>
          <w:szCs w:val="24"/>
          <w:vertAlign w:val="superscript"/>
          <w:lang w:val="en-US" w:eastAsia="zh-CN"/>
        </w:rPr>
        <w:t>3</w:t>
      </w:r>
      <w:r>
        <w:rPr>
          <w:rFonts w:hint="eastAsia" w:ascii="Times New Roman" w:hAnsi="Times New Roman" w:eastAsia="宋体" w:cs="Times New Roman"/>
          <w:color w:val="auto"/>
          <w:sz w:val="24"/>
          <w:szCs w:val="24"/>
          <w:lang w:val="en-US" w:eastAsia="zh-CN"/>
        </w:rPr>
        <w:t>，小于消防事故水池设计容量。</w:t>
      </w:r>
    </w:p>
    <w:p w14:paraId="0316A999">
      <w:pPr>
        <w:bidi w:val="0"/>
        <w:adjustRightInd w:val="0"/>
        <w:snapToGrid w:val="0"/>
        <w:spacing w:line="440" w:lineRule="exact"/>
        <w:ind w:firstLine="480" w:firstLineChars="200"/>
        <w:rPr>
          <w:rFonts w:hint="eastAsia"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rPr>
        <w:t>②</w:t>
      </w:r>
      <w:r>
        <w:rPr>
          <w:rFonts w:hint="eastAsia" w:ascii="Times New Roman" w:hAnsi="Times New Roman" w:eastAsia="宋体" w:cs="Times New Roman"/>
          <w:color w:val="auto"/>
          <w:sz w:val="24"/>
          <w:szCs w:val="24"/>
          <w:lang w:val="en-US" w:eastAsia="zh-CN"/>
        </w:rPr>
        <w:t>事故池防渗要求</w:t>
      </w:r>
    </w:p>
    <w:p w14:paraId="6D6F3F19">
      <w:pPr>
        <w:bidi w:val="0"/>
        <w:adjustRightInd w:val="0"/>
        <w:snapToGrid w:val="0"/>
        <w:spacing w:line="440" w:lineRule="exact"/>
        <w:ind w:firstLine="480" w:firstLineChars="200"/>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本项目事故池根据业主方提供的资料，已有事故池做了防渗处理，防渗渗透系数＜10</w:t>
      </w:r>
      <w:r>
        <w:rPr>
          <w:rFonts w:hint="eastAsia" w:ascii="Times New Roman" w:hAnsi="Times New Roman" w:eastAsia="宋体" w:cs="Times New Roman"/>
          <w:color w:val="auto"/>
          <w:sz w:val="24"/>
          <w:szCs w:val="24"/>
          <w:vertAlign w:val="superscript"/>
          <w:lang w:val="en-US" w:eastAsia="zh-CN"/>
        </w:rPr>
        <w:t>-7</w:t>
      </w:r>
      <w:r>
        <w:rPr>
          <w:rFonts w:hint="eastAsia" w:ascii="Times New Roman" w:hAnsi="Times New Roman" w:eastAsia="宋体" w:cs="Times New Roman"/>
          <w:color w:val="auto"/>
          <w:sz w:val="24"/>
          <w:szCs w:val="24"/>
          <w:lang w:val="en-US" w:eastAsia="zh-CN"/>
        </w:rPr>
        <w:t>cm/s，满足相关防渗要求，防止废水下渗对项目所在地地下水产生影响。</w:t>
      </w:r>
    </w:p>
    <w:p w14:paraId="1C963B9D">
      <w:pPr>
        <w:bidi w:val="0"/>
        <w:adjustRightInd w:val="0"/>
        <w:snapToGrid w:val="0"/>
        <w:spacing w:line="440" w:lineRule="exact"/>
        <w:ind w:firstLine="480" w:firstLineChars="200"/>
        <w:rPr>
          <w:rFonts w:hint="eastAsia"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rPr>
        <w:t>③</w:t>
      </w:r>
      <w:r>
        <w:rPr>
          <w:rFonts w:hint="eastAsia" w:ascii="Times New Roman" w:hAnsi="Times New Roman" w:eastAsia="宋体" w:cs="Times New Roman"/>
          <w:color w:val="auto"/>
          <w:sz w:val="24"/>
          <w:szCs w:val="24"/>
          <w:lang w:val="en-US" w:eastAsia="zh-CN"/>
        </w:rPr>
        <w:t>消防废水收集处理方案</w:t>
      </w:r>
    </w:p>
    <w:p w14:paraId="6DC37BCD">
      <w:pPr>
        <w:bidi w:val="0"/>
        <w:adjustRightInd w:val="0"/>
        <w:snapToGrid w:val="0"/>
        <w:spacing w:line="440" w:lineRule="exact"/>
        <w:ind w:firstLine="480" w:firstLineChars="200"/>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厂区内设置事故排污管道，发生火灾时，消防废水通过排污管道集中引至消防事故池，一旦发生火灾，各车间立即停止生产，避免火势继续扩大。</w:t>
      </w:r>
    </w:p>
    <w:p w14:paraId="14BE2ACD">
      <w:pPr>
        <w:bidi w:val="0"/>
        <w:adjustRightInd w:val="0"/>
        <w:snapToGrid w:val="0"/>
        <w:spacing w:line="440" w:lineRule="exact"/>
        <w:ind w:firstLine="482" w:firstLineChars="200"/>
        <w:rPr>
          <w:rFonts w:hint="default" w:ascii="Times New Roman" w:hAnsi="Times New Roman" w:eastAsia="宋体" w:cs="Times New Roman"/>
          <w:b/>
          <w:bCs/>
          <w:color w:val="auto"/>
          <w:sz w:val="24"/>
          <w:szCs w:val="24"/>
        </w:rPr>
      </w:pPr>
      <w:r>
        <w:rPr>
          <w:rFonts w:hint="eastAsia" w:ascii="Times New Roman" w:hAnsi="Times New Roman" w:eastAsia="宋体" w:cs="Times New Roman"/>
          <w:b/>
          <w:bCs/>
          <w:color w:val="auto"/>
          <w:sz w:val="24"/>
          <w:szCs w:val="24"/>
          <w:lang w:eastAsia="zh-CN"/>
        </w:rPr>
        <w:t>（</w:t>
      </w:r>
      <w:r>
        <w:rPr>
          <w:rFonts w:hint="eastAsia" w:ascii="Times New Roman" w:hAnsi="Times New Roman" w:eastAsia="宋体" w:cs="Times New Roman"/>
          <w:b/>
          <w:bCs/>
          <w:color w:val="auto"/>
          <w:sz w:val="24"/>
          <w:szCs w:val="24"/>
          <w:lang w:val="en-US" w:eastAsia="zh-CN"/>
        </w:rPr>
        <w:t>7</w:t>
      </w:r>
      <w:r>
        <w:rPr>
          <w:rFonts w:hint="eastAsia" w:ascii="Times New Roman" w:hAnsi="Times New Roman" w:eastAsia="宋体" w:cs="Times New Roman"/>
          <w:b/>
          <w:bCs/>
          <w:color w:val="auto"/>
          <w:sz w:val="24"/>
          <w:szCs w:val="24"/>
          <w:lang w:eastAsia="zh-CN"/>
        </w:rPr>
        <w:t>）</w:t>
      </w:r>
      <w:r>
        <w:rPr>
          <w:rFonts w:hint="default" w:ascii="Times New Roman" w:hAnsi="Times New Roman" w:eastAsia="宋体" w:cs="Times New Roman"/>
          <w:b/>
          <w:bCs/>
          <w:color w:val="auto"/>
          <w:sz w:val="24"/>
          <w:szCs w:val="24"/>
        </w:rPr>
        <w:t>其他事故的风险防范措施</w:t>
      </w:r>
    </w:p>
    <w:p w14:paraId="3D2AFD53">
      <w:pPr>
        <w:bidi w:val="0"/>
        <w:adjustRightInd w:val="0"/>
        <w:snapToGrid w:val="0"/>
        <w:spacing w:line="440" w:lineRule="exact"/>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①在生产区、贮存区，应按规定要求设置灭火系统以及消防水灭火系统，其控制阀应设在便于操作的地方，以确保在火情出现的第一时间内能迅速投用，防止火情蔓延和扩大，及时消除火险。</w:t>
      </w:r>
    </w:p>
    <w:p w14:paraId="42845DF8">
      <w:pPr>
        <w:bidi w:val="0"/>
        <w:adjustRightInd w:val="0"/>
        <w:snapToGrid w:val="0"/>
        <w:spacing w:line="440" w:lineRule="exact"/>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②加强员工的思想、道德教育，提高员工的责任心和主观能动性：完善并严格遵守相关的操作规程，加强岗位培训，落实岗位责任制：加强设备管理，特别是对易产生有毒物质泄漏的部位加强检查。</w:t>
      </w:r>
    </w:p>
    <w:p w14:paraId="54390684">
      <w:pPr>
        <w:bidi w:val="0"/>
        <w:adjustRightInd w:val="0"/>
        <w:snapToGrid w:val="0"/>
        <w:spacing w:line="440" w:lineRule="exact"/>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③建立事故预防、监测、检验、报警系统；采取技术、工艺、设备、管理等综合预防措施，生产场所应设置相应的通风设施，确保工作人员不受有害气体的危害。</w:t>
      </w:r>
    </w:p>
    <w:p w14:paraId="4BA98F02">
      <w:pPr>
        <w:pStyle w:val="5"/>
        <w:rPr>
          <w:rFonts w:ascii="Times New Roman" w:hAnsi="Times New Roman"/>
          <w:color w:val="000000"/>
          <w:lang w:val="en-US"/>
        </w:rPr>
      </w:pPr>
      <w:r>
        <w:rPr>
          <w:rFonts w:hint="eastAsia" w:ascii="Times New Roman" w:hAnsi="Times New Roman"/>
          <w:color w:val="000000"/>
          <w:lang w:val="en-US"/>
        </w:rPr>
        <w:t>5.2.7.9环境风险应急预案</w:t>
      </w:r>
    </w:p>
    <w:p w14:paraId="65CED39C">
      <w:pPr>
        <w:adjustRightInd w:val="0"/>
        <w:snapToGrid w:val="0"/>
        <w:spacing w:line="440" w:lineRule="exact"/>
        <w:ind w:firstLine="480" w:firstLineChars="200"/>
        <w:rPr>
          <w:rFonts w:hint="default" w:ascii="Times New Roman" w:hAnsi="Times New Roman" w:eastAsia="宋体" w:cs="Times New Roman"/>
          <w:color w:val="auto"/>
          <w:sz w:val="24"/>
          <w:szCs w:val="24"/>
        </w:rPr>
      </w:pPr>
      <w:r>
        <w:rPr>
          <w:rFonts w:hint="eastAsia"/>
          <w:color w:val="000000"/>
          <w:sz w:val="24"/>
          <w:szCs w:val="24"/>
        </w:rPr>
        <w:t>企业应建立风险组织管理体系，</w:t>
      </w:r>
      <w:r>
        <w:rPr>
          <w:rFonts w:hint="default" w:ascii="Times New Roman" w:hAnsi="Times New Roman" w:eastAsia="宋体" w:cs="Times New Roman"/>
          <w:color w:val="auto"/>
          <w:sz w:val="24"/>
          <w:szCs w:val="24"/>
        </w:rPr>
        <w:t>并根据《企业事业单位突发环境事件应急预案备案管理办法（试行）》（环发</w:t>
      </w:r>
      <w:r>
        <w:rPr>
          <w:rFonts w:hint="eastAsia" w:cs="Times New Roman"/>
          <w:color w:val="auto"/>
          <w:sz w:val="24"/>
          <w:szCs w:val="24"/>
          <w:lang w:eastAsia="zh-CN"/>
        </w:rPr>
        <w:t>〔2015〕4号</w:t>
      </w:r>
      <w:r>
        <w:rPr>
          <w:rFonts w:hint="default" w:ascii="Times New Roman" w:hAnsi="Times New Roman" w:eastAsia="宋体" w:cs="Times New Roman"/>
          <w:color w:val="auto"/>
          <w:sz w:val="24"/>
          <w:szCs w:val="24"/>
        </w:rPr>
        <w:t>）</w:t>
      </w: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val="en-US" w:eastAsia="zh-CN"/>
        </w:rPr>
        <w:t>新疆维吾尔自治区突发环境事件应急预案（修订稿）</w:t>
      </w:r>
      <w:r>
        <w:rPr>
          <w:rFonts w:hint="default" w:ascii="Times New Roman" w:hAnsi="Times New Roman" w:eastAsia="宋体" w:cs="Times New Roman"/>
          <w:color w:val="auto"/>
          <w:sz w:val="24"/>
          <w:szCs w:val="24"/>
        </w:rPr>
        <w:t>》（</w:t>
      </w:r>
      <w:r>
        <w:rPr>
          <w:rFonts w:hint="eastAsia" w:ascii="Times New Roman" w:hAnsi="Times New Roman" w:eastAsia="宋体" w:cs="Times New Roman"/>
          <w:color w:val="auto"/>
          <w:sz w:val="24"/>
          <w:szCs w:val="24"/>
          <w:lang w:val="en-US" w:eastAsia="zh-CN"/>
        </w:rPr>
        <w:t>新</w:t>
      </w:r>
      <w:r>
        <w:rPr>
          <w:rFonts w:hint="eastAsia" w:cs="Times New Roman"/>
          <w:color w:val="auto"/>
          <w:sz w:val="24"/>
          <w:szCs w:val="24"/>
          <w:lang w:val="en-US" w:eastAsia="zh-CN"/>
        </w:rPr>
        <w:t>政办发</w:t>
      </w:r>
      <w:r>
        <w:rPr>
          <w:rFonts w:hint="eastAsia" w:ascii="Times New Roman" w:hAnsi="Times New Roman" w:eastAsia="宋体" w:cs="Times New Roman"/>
          <w:color w:val="auto"/>
          <w:sz w:val="24"/>
          <w:szCs w:val="24"/>
          <w:lang w:val="en-US" w:eastAsia="zh-CN"/>
        </w:rPr>
        <w:t>〔2022〕4号</w:t>
      </w:r>
      <w:r>
        <w:rPr>
          <w:rFonts w:hint="default" w:ascii="Times New Roman" w:hAnsi="Times New Roman" w:eastAsia="宋体" w:cs="Times New Roman"/>
          <w:color w:val="auto"/>
          <w:sz w:val="24"/>
          <w:szCs w:val="24"/>
        </w:rPr>
        <w:t>）</w:t>
      </w:r>
      <w:r>
        <w:rPr>
          <w:rFonts w:hint="eastAsia" w:ascii="Times New Roman" w:hAnsi="Times New Roman" w:eastAsia="宋体" w:cs="Times New Roman"/>
          <w:color w:val="auto"/>
          <w:sz w:val="24"/>
          <w:szCs w:val="24"/>
          <w:lang w:eastAsia="zh-CN"/>
        </w:rPr>
        <w:t>，以及</w:t>
      </w:r>
      <w:r>
        <w:rPr>
          <w:rFonts w:hint="eastAsia" w:cs="Times New Roman"/>
          <w:color w:val="auto"/>
          <w:sz w:val="24"/>
          <w:szCs w:val="24"/>
          <w:lang w:eastAsia="zh-CN"/>
        </w:rPr>
        <w:t>其他</w:t>
      </w:r>
      <w:r>
        <w:rPr>
          <w:rFonts w:hint="default" w:ascii="Times New Roman" w:hAnsi="Times New Roman" w:eastAsia="宋体" w:cs="Times New Roman"/>
          <w:color w:val="auto"/>
          <w:sz w:val="24"/>
          <w:szCs w:val="24"/>
        </w:rPr>
        <w:t>相关法律法规要求，编制突发环境事件应急预案。</w:t>
      </w:r>
    </w:p>
    <w:p w14:paraId="2B35F65B">
      <w:pPr>
        <w:spacing w:line="360" w:lineRule="auto"/>
        <w:ind w:firstLine="480" w:firstLineChars="200"/>
        <w:rPr>
          <w:color w:val="000000"/>
          <w:sz w:val="24"/>
          <w:szCs w:val="24"/>
        </w:rPr>
      </w:pPr>
      <w:r>
        <w:rPr>
          <w:rFonts w:hint="eastAsia"/>
          <w:color w:val="000000"/>
          <w:sz w:val="24"/>
          <w:szCs w:val="24"/>
        </w:rPr>
        <w:t>风险应急预案强调组织机构的应急能力，重点是组织救援响应协调机构的建立及要求，应急管理、应急救援各级响应程序是否能快速、安全、有效启动，对风险影响的快速、有效控制措施。</w:t>
      </w:r>
    </w:p>
    <w:p w14:paraId="5038D56D">
      <w:pPr>
        <w:spacing w:line="360" w:lineRule="auto"/>
        <w:ind w:firstLine="480" w:firstLineChars="200"/>
        <w:rPr>
          <w:color w:val="000000"/>
          <w:sz w:val="24"/>
          <w:szCs w:val="24"/>
        </w:rPr>
      </w:pPr>
      <w:r>
        <w:rPr>
          <w:rFonts w:hint="eastAsia"/>
          <w:color w:val="000000"/>
          <w:sz w:val="24"/>
          <w:szCs w:val="24"/>
        </w:rPr>
        <w:t>应急预案内容参</w:t>
      </w:r>
      <w:r>
        <w:rPr>
          <w:rFonts w:hint="eastAsia"/>
          <w:color w:val="000000"/>
          <w:sz w:val="24"/>
          <w:szCs w:val="24"/>
          <w:lang w:eastAsia="zh-CN"/>
        </w:rPr>
        <w:t>照下</w:t>
      </w:r>
      <w:r>
        <w:rPr>
          <w:rFonts w:hint="eastAsia"/>
          <w:color w:val="000000"/>
          <w:sz w:val="24"/>
          <w:szCs w:val="24"/>
        </w:rPr>
        <w:t>表5.2-3</w:t>
      </w:r>
      <w:r>
        <w:rPr>
          <w:rFonts w:hint="eastAsia"/>
          <w:color w:val="000000"/>
          <w:sz w:val="24"/>
          <w:szCs w:val="24"/>
          <w:lang w:val="en-US" w:eastAsia="zh-CN"/>
        </w:rPr>
        <w:t>6</w:t>
      </w:r>
      <w:r>
        <w:rPr>
          <w:rFonts w:hint="eastAsia"/>
          <w:color w:val="000000"/>
          <w:sz w:val="24"/>
          <w:szCs w:val="24"/>
        </w:rPr>
        <w:t>。</w:t>
      </w:r>
    </w:p>
    <w:p w14:paraId="2F60A4AB">
      <w:pPr>
        <w:adjustRightInd w:val="0"/>
        <w:snapToGrid w:val="0"/>
        <w:jc w:val="center"/>
        <w:rPr>
          <w:b/>
          <w:color w:val="000000"/>
          <w:szCs w:val="21"/>
        </w:rPr>
      </w:pPr>
      <w:r>
        <w:rPr>
          <w:rFonts w:hAnsi="宋体"/>
          <w:b/>
          <w:color w:val="000000"/>
          <w:szCs w:val="21"/>
        </w:rPr>
        <w:t>表</w:t>
      </w:r>
      <w:r>
        <w:rPr>
          <w:rFonts w:hint="eastAsia"/>
          <w:b/>
          <w:color w:val="000000"/>
          <w:szCs w:val="21"/>
        </w:rPr>
        <w:t>5.2-3</w:t>
      </w:r>
      <w:r>
        <w:rPr>
          <w:rFonts w:hint="eastAsia"/>
          <w:b/>
          <w:color w:val="000000"/>
          <w:szCs w:val="21"/>
          <w:lang w:val="en-US" w:eastAsia="zh-CN"/>
        </w:rPr>
        <w:t>6</w:t>
      </w:r>
      <w:r>
        <w:rPr>
          <w:b/>
          <w:color w:val="000000"/>
          <w:szCs w:val="21"/>
        </w:rPr>
        <w:t xml:space="preserve">           </w:t>
      </w:r>
      <w:r>
        <w:rPr>
          <w:rFonts w:hAnsi="宋体"/>
          <w:b/>
          <w:color w:val="000000"/>
          <w:szCs w:val="21"/>
        </w:rPr>
        <w:t>应急预案</w:t>
      </w:r>
      <w:r>
        <w:rPr>
          <w:rFonts w:hint="eastAsia" w:hAnsi="宋体"/>
          <w:b/>
          <w:color w:val="000000"/>
          <w:szCs w:val="21"/>
        </w:rPr>
        <w:t>内容</w:t>
      </w:r>
    </w:p>
    <w:tbl>
      <w:tblPr>
        <w:tblStyle w:val="49"/>
        <w:tblW w:w="0" w:type="auto"/>
        <w:tblInd w:w="0" w:type="dxa"/>
        <w:tblBorders>
          <w:top w:val="single" w:color="auto" w:sz="12" w:space="0"/>
          <w:left w:val="single" w:color="auto" w:sz="12" w:space="0"/>
          <w:bottom w:val="single" w:color="auto" w:sz="12" w:space="0"/>
          <w:right w:val="single" w:color="auto" w:sz="12" w:space="0"/>
          <w:insideH w:val="single" w:color="auto" w:sz="2" w:space="0"/>
          <w:insideV w:val="single" w:color="auto" w:sz="4" w:space="0"/>
        </w:tblBorders>
        <w:tblLayout w:type="autofit"/>
        <w:tblCellMar>
          <w:top w:w="0" w:type="dxa"/>
          <w:left w:w="108" w:type="dxa"/>
          <w:bottom w:w="0" w:type="dxa"/>
          <w:right w:w="108" w:type="dxa"/>
        </w:tblCellMar>
      </w:tblPr>
      <w:tblGrid>
        <w:gridCol w:w="706"/>
        <w:gridCol w:w="1449"/>
        <w:gridCol w:w="6367"/>
      </w:tblGrid>
      <w:tr w14:paraId="6BEA6FC3">
        <w:tblPrEx>
          <w:tblBorders>
            <w:top w:val="single" w:color="auto" w:sz="12" w:space="0"/>
            <w:left w:val="single" w:color="auto" w:sz="12" w:space="0"/>
            <w:bottom w:val="single" w:color="auto" w:sz="12" w:space="0"/>
            <w:right w:val="single" w:color="auto" w:sz="12" w:space="0"/>
            <w:insideH w:val="single" w:color="auto" w:sz="2" w:space="0"/>
            <w:insideV w:val="single" w:color="auto" w:sz="4" w:space="0"/>
          </w:tblBorders>
          <w:tblCellMar>
            <w:top w:w="0" w:type="dxa"/>
            <w:left w:w="108" w:type="dxa"/>
            <w:bottom w:w="0" w:type="dxa"/>
            <w:right w:w="108" w:type="dxa"/>
          </w:tblCellMar>
        </w:tblPrEx>
        <w:trPr>
          <w:trHeight w:val="142" w:hRule="atLeast"/>
        </w:trPr>
        <w:tc>
          <w:tcPr>
            <w:tcW w:w="706" w:type="dxa"/>
            <w:tcBorders>
              <w:tl2br w:val="nil"/>
              <w:tr2bl w:val="nil"/>
            </w:tcBorders>
            <w:vAlign w:val="center"/>
          </w:tcPr>
          <w:p w14:paraId="299A0771">
            <w:pPr>
              <w:pStyle w:val="240"/>
              <w:rPr>
                <w:rFonts w:hint="default"/>
              </w:rPr>
            </w:pPr>
            <w:r>
              <w:t>序号</w:t>
            </w:r>
          </w:p>
        </w:tc>
        <w:tc>
          <w:tcPr>
            <w:tcW w:w="1449" w:type="dxa"/>
            <w:tcBorders>
              <w:tl2br w:val="nil"/>
              <w:tr2bl w:val="nil"/>
            </w:tcBorders>
            <w:vAlign w:val="center"/>
          </w:tcPr>
          <w:p w14:paraId="151C534B">
            <w:pPr>
              <w:pStyle w:val="240"/>
              <w:rPr>
                <w:rFonts w:hint="default"/>
              </w:rPr>
            </w:pPr>
            <w:r>
              <w:t>项目</w:t>
            </w:r>
          </w:p>
        </w:tc>
        <w:tc>
          <w:tcPr>
            <w:tcW w:w="0" w:type="auto"/>
            <w:tcBorders>
              <w:tl2br w:val="nil"/>
              <w:tr2bl w:val="nil"/>
            </w:tcBorders>
            <w:vAlign w:val="center"/>
          </w:tcPr>
          <w:p w14:paraId="7AB42488">
            <w:pPr>
              <w:pStyle w:val="240"/>
              <w:rPr>
                <w:rFonts w:hint="default"/>
              </w:rPr>
            </w:pPr>
            <w:r>
              <w:t>内容及要求</w:t>
            </w:r>
          </w:p>
        </w:tc>
      </w:tr>
      <w:tr w14:paraId="1E21325F">
        <w:tblPrEx>
          <w:tblBorders>
            <w:top w:val="single" w:color="auto" w:sz="12" w:space="0"/>
            <w:left w:val="single" w:color="auto" w:sz="12" w:space="0"/>
            <w:bottom w:val="single" w:color="auto" w:sz="12" w:space="0"/>
            <w:right w:val="single" w:color="auto" w:sz="12" w:space="0"/>
            <w:insideH w:val="single" w:color="auto" w:sz="2" w:space="0"/>
            <w:insideV w:val="single" w:color="auto" w:sz="4" w:space="0"/>
          </w:tblBorders>
          <w:tblCellMar>
            <w:top w:w="0" w:type="dxa"/>
            <w:left w:w="108" w:type="dxa"/>
            <w:bottom w:w="0" w:type="dxa"/>
            <w:right w:w="108" w:type="dxa"/>
          </w:tblCellMar>
        </w:tblPrEx>
        <w:trPr>
          <w:trHeight w:val="142" w:hRule="atLeast"/>
        </w:trPr>
        <w:tc>
          <w:tcPr>
            <w:tcW w:w="706" w:type="dxa"/>
            <w:tcBorders>
              <w:tl2br w:val="nil"/>
              <w:tr2bl w:val="nil"/>
            </w:tcBorders>
            <w:vAlign w:val="center"/>
          </w:tcPr>
          <w:p w14:paraId="1BCE7D82">
            <w:pPr>
              <w:pStyle w:val="240"/>
              <w:rPr>
                <w:rFonts w:hint="default"/>
              </w:rPr>
            </w:pPr>
            <w:r>
              <w:t>1</w:t>
            </w:r>
          </w:p>
        </w:tc>
        <w:tc>
          <w:tcPr>
            <w:tcW w:w="1449" w:type="dxa"/>
            <w:tcBorders>
              <w:tl2br w:val="nil"/>
              <w:tr2bl w:val="nil"/>
            </w:tcBorders>
            <w:vAlign w:val="center"/>
          </w:tcPr>
          <w:p w14:paraId="5BB1ACD5">
            <w:pPr>
              <w:pStyle w:val="240"/>
              <w:rPr>
                <w:rFonts w:hint="default"/>
              </w:rPr>
            </w:pPr>
            <w:r>
              <w:t>总则</w:t>
            </w:r>
          </w:p>
        </w:tc>
        <w:tc>
          <w:tcPr>
            <w:tcW w:w="0" w:type="auto"/>
            <w:tcBorders>
              <w:tl2br w:val="nil"/>
              <w:tr2bl w:val="nil"/>
            </w:tcBorders>
            <w:vAlign w:val="center"/>
          </w:tcPr>
          <w:p w14:paraId="4A404198">
            <w:pPr>
              <w:pStyle w:val="240"/>
              <w:rPr>
                <w:rFonts w:hint="default"/>
              </w:rPr>
            </w:pPr>
            <w:r>
              <w:t>总体概述</w:t>
            </w:r>
          </w:p>
        </w:tc>
      </w:tr>
      <w:tr w14:paraId="40CFA454">
        <w:tblPrEx>
          <w:tblBorders>
            <w:top w:val="single" w:color="auto" w:sz="12" w:space="0"/>
            <w:left w:val="single" w:color="auto" w:sz="12" w:space="0"/>
            <w:bottom w:val="single" w:color="auto" w:sz="12" w:space="0"/>
            <w:right w:val="single" w:color="auto" w:sz="12" w:space="0"/>
            <w:insideH w:val="single" w:color="auto" w:sz="2" w:space="0"/>
            <w:insideV w:val="single" w:color="auto" w:sz="4" w:space="0"/>
          </w:tblBorders>
          <w:tblCellMar>
            <w:top w:w="0" w:type="dxa"/>
            <w:left w:w="108" w:type="dxa"/>
            <w:bottom w:w="0" w:type="dxa"/>
            <w:right w:w="108" w:type="dxa"/>
          </w:tblCellMar>
        </w:tblPrEx>
        <w:trPr>
          <w:trHeight w:val="142" w:hRule="atLeast"/>
        </w:trPr>
        <w:tc>
          <w:tcPr>
            <w:tcW w:w="706" w:type="dxa"/>
            <w:tcBorders>
              <w:tl2br w:val="nil"/>
              <w:tr2bl w:val="nil"/>
            </w:tcBorders>
            <w:vAlign w:val="center"/>
          </w:tcPr>
          <w:p w14:paraId="7A962B4B">
            <w:pPr>
              <w:pStyle w:val="240"/>
              <w:rPr>
                <w:rFonts w:hint="default"/>
              </w:rPr>
            </w:pPr>
            <w:r>
              <w:t>2</w:t>
            </w:r>
          </w:p>
        </w:tc>
        <w:tc>
          <w:tcPr>
            <w:tcW w:w="1449" w:type="dxa"/>
            <w:tcBorders>
              <w:tl2br w:val="nil"/>
              <w:tr2bl w:val="nil"/>
            </w:tcBorders>
            <w:vAlign w:val="center"/>
          </w:tcPr>
          <w:p w14:paraId="6E07D2B5">
            <w:pPr>
              <w:pStyle w:val="240"/>
              <w:rPr>
                <w:rFonts w:hint="default"/>
              </w:rPr>
            </w:pPr>
            <w:r>
              <w:t>危险源情况</w:t>
            </w:r>
          </w:p>
        </w:tc>
        <w:tc>
          <w:tcPr>
            <w:tcW w:w="0" w:type="auto"/>
            <w:tcBorders>
              <w:tl2br w:val="nil"/>
              <w:tr2bl w:val="nil"/>
            </w:tcBorders>
            <w:vAlign w:val="center"/>
          </w:tcPr>
          <w:p w14:paraId="3D2B4A56">
            <w:pPr>
              <w:pStyle w:val="240"/>
              <w:rPr>
                <w:rFonts w:hint="default"/>
              </w:rPr>
            </w:pPr>
            <w:r>
              <w:t>详细说明危险源类型、数量、分布及对环境影响</w:t>
            </w:r>
          </w:p>
        </w:tc>
      </w:tr>
      <w:tr w14:paraId="47F4658B">
        <w:tblPrEx>
          <w:tblBorders>
            <w:top w:val="single" w:color="auto" w:sz="12" w:space="0"/>
            <w:left w:val="single" w:color="auto" w:sz="12" w:space="0"/>
            <w:bottom w:val="single" w:color="auto" w:sz="12" w:space="0"/>
            <w:right w:val="single" w:color="auto" w:sz="12" w:space="0"/>
            <w:insideH w:val="single" w:color="auto" w:sz="2" w:space="0"/>
            <w:insideV w:val="single" w:color="auto" w:sz="4" w:space="0"/>
          </w:tblBorders>
          <w:tblCellMar>
            <w:top w:w="0" w:type="dxa"/>
            <w:left w:w="108" w:type="dxa"/>
            <w:bottom w:w="0" w:type="dxa"/>
            <w:right w:w="108" w:type="dxa"/>
          </w:tblCellMar>
        </w:tblPrEx>
        <w:trPr>
          <w:trHeight w:val="142" w:hRule="atLeast"/>
        </w:trPr>
        <w:tc>
          <w:tcPr>
            <w:tcW w:w="706" w:type="dxa"/>
            <w:tcBorders>
              <w:tl2br w:val="nil"/>
              <w:tr2bl w:val="nil"/>
            </w:tcBorders>
            <w:vAlign w:val="center"/>
          </w:tcPr>
          <w:p w14:paraId="78DFF13F">
            <w:pPr>
              <w:pStyle w:val="240"/>
              <w:rPr>
                <w:rFonts w:hint="default"/>
              </w:rPr>
            </w:pPr>
            <w:r>
              <w:t>3</w:t>
            </w:r>
          </w:p>
        </w:tc>
        <w:tc>
          <w:tcPr>
            <w:tcW w:w="1449" w:type="dxa"/>
            <w:tcBorders>
              <w:tl2br w:val="nil"/>
              <w:tr2bl w:val="nil"/>
            </w:tcBorders>
            <w:vAlign w:val="center"/>
          </w:tcPr>
          <w:p w14:paraId="4236E9B5">
            <w:pPr>
              <w:pStyle w:val="240"/>
              <w:rPr>
                <w:rFonts w:hint="default"/>
              </w:rPr>
            </w:pPr>
            <w:r>
              <w:t>应急计划区</w:t>
            </w:r>
          </w:p>
        </w:tc>
        <w:tc>
          <w:tcPr>
            <w:tcW w:w="0" w:type="auto"/>
            <w:tcBorders>
              <w:tl2br w:val="nil"/>
              <w:tr2bl w:val="nil"/>
            </w:tcBorders>
            <w:vAlign w:val="center"/>
          </w:tcPr>
          <w:p w14:paraId="4FB0AD47">
            <w:pPr>
              <w:pStyle w:val="240"/>
              <w:rPr>
                <w:rFonts w:hint="default"/>
              </w:rPr>
            </w:pPr>
            <w:r>
              <w:t>临近地点</w:t>
            </w:r>
          </w:p>
        </w:tc>
      </w:tr>
      <w:tr w14:paraId="29F1A163">
        <w:tblPrEx>
          <w:tblBorders>
            <w:top w:val="single" w:color="auto" w:sz="12" w:space="0"/>
            <w:left w:val="single" w:color="auto" w:sz="12" w:space="0"/>
            <w:bottom w:val="single" w:color="auto" w:sz="12" w:space="0"/>
            <w:right w:val="single" w:color="auto" w:sz="12" w:space="0"/>
            <w:insideH w:val="single" w:color="auto" w:sz="2" w:space="0"/>
            <w:insideV w:val="single" w:color="auto" w:sz="4" w:space="0"/>
          </w:tblBorders>
          <w:tblCellMar>
            <w:top w:w="0" w:type="dxa"/>
            <w:left w:w="108" w:type="dxa"/>
            <w:bottom w:w="0" w:type="dxa"/>
            <w:right w:w="108" w:type="dxa"/>
          </w:tblCellMar>
        </w:tblPrEx>
        <w:trPr>
          <w:trHeight w:val="142" w:hRule="atLeast"/>
        </w:trPr>
        <w:tc>
          <w:tcPr>
            <w:tcW w:w="706" w:type="dxa"/>
            <w:tcBorders>
              <w:tl2br w:val="nil"/>
              <w:tr2bl w:val="nil"/>
            </w:tcBorders>
            <w:vAlign w:val="center"/>
          </w:tcPr>
          <w:p w14:paraId="05E85CCB">
            <w:pPr>
              <w:pStyle w:val="240"/>
              <w:rPr>
                <w:rFonts w:hint="default"/>
              </w:rPr>
            </w:pPr>
            <w:r>
              <w:t>4</w:t>
            </w:r>
          </w:p>
        </w:tc>
        <w:tc>
          <w:tcPr>
            <w:tcW w:w="1449" w:type="dxa"/>
            <w:tcBorders>
              <w:tl2br w:val="nil"/>
              <w:tr2bl w:val="nil"/>
            </w:tcBorders>
            <w:vAlign w:val="center"/>
          </w:tcPr>
          <w:p w14:paraId="3E3C7C50">
            <w:pPr>
              <w:pStyle w:val="240"/>
              <w:rPr>
                <w:rFonts w:hint="default"/>
              </w:rPr>
            </w:pPr>
            <w:r>
              <w:t>预案分级响应条件</w:t>
            </w:r>
          </w:p>
        </w:tc>
        <w:tc>
          <w:tcPr>
            <w:tcW w:w="0" w:type="auto"/>
            <w:tcBorders>
              <w:tl2br w:val="nil"/>
              <w:tr2bl w:val="nil"/>
            </w:tcBorders>
            <w:vAlign w:val="center"/>
          </w:tcPr>
          <w:p w14:paraId="3179D51E">
            <w:pPr>
              <w:pStyle w:val="240"/>
              <w:rPr>
                <w:rFonts w:hint="default"/>
              </w:rPr>
            </w:pPr>
            <w:r>
              <w:t>规定预案的级别及分级响应程序</w:t>
            </w:r>
          </w:p>
        </w:tc>
      </w:tr>
      <w:tr w14:paraId="082ED2C6">
        <w:tblPrEx>
          <w:tblBorders>
            <w:top w:val="single" w:color="auto" w:sz="12" w:space="0"/>
            <w:left w:val="single" w:color="auto" w:sz="12" w:space="0"/>
            <w:bottom w:val="single" w:color="auto" w:sz="12" w:space="0"/>
            <w:right w:val="single" w:color="auto" w:sz="12" w:space="0"/>
            <w:insideH w:val="single" w:color="auto" w:sz="2" w:space="0"/>
            <w:insideV w:val="single" w:color="auto" w:sz="4" w:space="0"/>
          </w:tblBorders>
          <w:tblCellMar>
            <w:top w:w="0" w:type="dxa"/>
            <w:left w:w="108" w:type="dxa"/>
            <w:bottom w:w="0" w:type="dxa"/>
            <w:right w:w="108" w:type="dxa"/>
          </w:tblCellMar>
        </w:tblPrEx>
        <w:trPr>
          <w:trHeight w:val="142" w:hRule="atLeast"/>
        </w:trPr>
        <w:tc>
          <w:tcPr>
            <w:tcW w:w="706" w:type="dxa"/>
            <w:tcBorders>
              <w:tl2br w:val="nil"/>
              <w:tr2bl w:val="nil"/>
            </w:tcBorders>
            <w:vAlign w:val="center"/>
          </w:tcPr>
          <w:p w14:paraId="35C9235D">
            <w:pPr>
              <w:pStyle w:val="240"/>
              <w:rPr>
                <w:rFonts w:hint="default"/>
              </w:rPr>
            </w:pPr>
            <w:r>
              <w:t>5</w:t>
            </w:r>
          </w:p>
        </w:tc>
        <w:tc>
          <w:tcPr>
            <w:tcW w:w="1449" w:type="dxa"/>
            <w:tcBorders>
              <w:tl2br w:val="nil"/>
              <w:tr2bl w:val="nil"/>
            </w:tcBorders>
            <w:vAlign w:val="center"/>
          </w:tcPr>
          <w:p w14:paraId="005E7CCF">
            <w:pPr>
              <w:pStyle w:val="240"/>
              <w:rPr>
                <w:rFonts w:hint="default"/>
              </w:rPr>
            </w:pPr>
            <w:r>
              <w:t>应急组织</w:t>
            </w:r>
          </w:p>
        </w:tc>
        <w:tc>
          <w:tcPr>
            <w:tcW w:w="0" w:type="auto"/>
            <w:tcBorders>
              <w:tl2br w:val="nil"/>
              <w:tr2bl w:val="nil"/>
            </w:tcBorders>
            <w:vAlign w:val="center"/>
          </w:tcPr>
          <w:p w14:paraId="43E6B264">
            <w:pPr>
              <w:pStyle w:val="240"/>
              <w:rPr>
                <w:rFonts w:hint="default"/>
              </w:rPr>
            </w:pPr>
            <w:r>
              <w:t>储存区内应有专人负责——现场全面指挥、专业救援队伍、负责事故控制、救援及善后处理</w:t>
            </w:r>
          </w:p>
          <w:p w14:paraId="04569215">
            <w:pPr>
              <w:pStyle w:val="240"/>
              <w:rPr>
                <w:rFonts w:hint="default"/>
              </w:rPr>
            </w:pPr>
            <w:r>
              <w:t>临近区域：区内专人负责全面指挥、救援、管制和疏散</w:t>
            </w:r>
          </w:p>
        </w:tc>
      </w:tr>
      <w:tr w14:paraId="6FD6CF23">
        <w:tblPrEx>
          <w:tblBorders>
            <w:top w:val="single" w:color="auto" w:sz="12" w:space="0"/>
            <w:left w:val="single" w:color="auto" w:sz="12" w:space="0"/>
            <w:bottom w:val="single" w:color="auto" w:sz="12" w:space="0"/>
            <w:right w:val="single" w:color="auto" w:sz="12" w:space="0"/>
            <w:insideH w:val="single" w:color="auto" w:sz="2" w:space="0"/>
            <w:insideV w:val="single" w:color="auto" w:sz="4" w:space="0"/>
          </w:tblBorders>
          <w:tblCellMar>
            <w:top w:w="0" w:type="dxa"/>
            <w:left w:w="108" w:type="dxa"/>
            <w:bottom w:w="0" w:type="dxa"/>
            <w:right w:w="108" w:type="dxa"/>
          </w:tblCellMar>
        </w:tblPrEx>
        <w:trPr>
          <w:trHeight w:val="142" w:hRule="atLeast"/>
        </w:trPr>
        <w:tc>
          <w:tcPr>
            <w:tcW w:w="706" w:type="dxa"/>
            <w:tcBorders>
              <w:tl2br w:val="nil"/>
              <w:tr2bl w:val="nil"/>
            </w:tcBorders>
            <w:vAlign w:val="center"/>
          </w:tcPr>
          <w:p w14:paraId="0758B0AD">
            <w:pPr>
              <w:pStyle w:val="240"/>
              <w:rPr>
                <w:rFonts w:hint="default"/>
              </w:rPr>
            </w:pPr>
            <w:r>
              <w:t>6</w:t>
            </w:r>
          </w:p>
        </w:tc>
        <w:tc>
          <w:tcPr>
            <w:tcW w:w="1449" w:type="dxa"/>
            <w:tcBorders>
              <w:tl2br w:val="nil"/>
              <w:tr2bl w:val="nil"/>
            </w:tcBorders>
            <w:vAlign w:val="center"/>
          </w:tcPr>
          <w:p w14:paraId="707E9FE8">
            <w:pPr>
              <w:pStyle w:val="240"/>
              <w:rPr>
                <w:rFonts w:hint="default"/>
              </w:rPr>
            </w:pPr>
            <w:r>
              <w:t>应急设施设备与材料</w:t>
            </w:r>
          </w:p>
        </w:tc>
        <w:tc>
          <w:tcPr>
            <w:tcW w:w="0" w:type="auto"/>
            <w:tcBorders>
              <w:tl2br w:val="nil"/>
              <w:tr2bl w:val="nil"/>
            </w:tcBorders>
            <w:vAlign w:val="center"/>
          </w:tcPr>
          <w:p w14:paraId="44C976ED">
            <w:pPr>
              <w:pStyle w:val="240"/>
              <w:rPr>
                <w:rFonts w:hint="default"/>
              </w:rPr>
            </w:pPr>
            <w:r>
              <w:t>区内防火灾事故的应急设施、设备与材料，主要为消防器材、消防服等；防毒有害物质外溢、扩散，主要为水或喷淋设备、防毒服和中毒急救药物、器材。</w:t>
            </w:r>
          </w:p>
          <w:p w14:paraId="7FE42E72">
            <w:pPr>
              <w:pStyle w:val="240"/>
              <w:rPr>
                <w:rFonts w:hint="default"/>
              </w:rPr>
            </w:pPr>
            <w:r>
              <w:t>临近区域：中毒急救药物、器材</w:t>
            </w:r>
          </w:p>
        </w:tc>
      </w:tr>
      <w:tr w14:paraId="19C3B17B">
        <w:tblPrEx>
          <w:tblBorders>
            <w:top w:val="single" w:color="auto" w:sz="12" w:space="0"/>
            <w:left w:val="single" w:color="auto" w:sz="12" w:space="0"/>
            <w:bottom w:val="single" w:color="auto" w:sz="12" w:space="0"/>
            <w:right w:val="single" w:color="auto" w:sz="12" w:space="0"/>
            <w:insideH w:val="single" w:color="auto" w:sz="2" w:space="0"/>
            <w:insideV w:val="single" w:color="auto" w:sz="4" w:space="0"/>
          </w:tblBorders>
          <w:tblCellMar>
            <w:top w:w="0" w:type="dxa"/>
            <w:left w:w="108" w:type="dxa"/>
            <w:bottom w:w="0" w:type="dxa"/>
            <w:right w:w="108" w:type="dxa"/>
          </w:tblCellMar>
        </w:tblPrEx>
        <w:trPr>
          <w:trHeight w:val="142" w:hRule="atLeast"/>
        </w:trPr>
        <w:tc>
          <w:tcPr>
            <w:tcW w:w="706" w:type="dxa"/>
            <w:tcBorders>
              <w:tl2br w:val="nil"/>
              <w:tr2bl w:val="nil"/>
            </w:tcBorders>
            <w:vAlign w:val="center"/>
          </w:tcPr>
          <w:p w14:paraId="1ED55825">
            <w:pPr>
              <w:pStyle w:val="240"/>
              <w:rPr>
                <w:rFonts w:hint="default"/>
              </w:rPr>
            </w:pPr>
            <w:r>
              <w:t>7</w:t>
            </w:r>
          </w:p>
        </w:tc>
        <w:tc>
          <w:tcPr>
            <w:tcW w:w="1449" w:type="dxa"/>
            <w:tcBorders>
              <w:tl2br w:val="nil"/>
              <w:tr2bl w:val="nil"/>
            </w:tcBorders>
            <w:vAlign w:val="center"/>
          </w:tcPr>
          <w:p w14:paraId="79A3429A">
            <w:pPr>
              <w:pStyle w:val="240"/>
              <w:rPr>
                <w:rFonts w:hint="default"/>
              </w:rPr>
            </w:pPr>
            <w:r>
              <w:t>应急通信及交通措施</w:t>
            </w:r>
          </w:p>
        </w:tc>
        <w:tc>
          <w:tcPr>
            <w:tcW w:w="0" w:type="auto"/>
            <w:tcBorders>
              <w:tl2br w:val="nil"/>
              <w:tr2bl w:val="nil"/>
            </w:tcBorders>
            <w:vAlign w:val="center"/>
          </w:tcPr>
          <w:p w14:paraId="073F12DF">
            <w:pPr>
              <w:pStyle w:val="240"/>
              <w:rPr>
                <w:rFonts w:hint="default"/>
              </w:rPr>
            </w:pPr>
            <w:r>
              <w:t>规定应急状态下的通讯、通告方式和交通保障、管制等事项</w:t>
            </w:r>
          </w:p>
        </w:tc>
      </w:tr>
      <w:tr w14:paraId="03601C08">
        <w:tblPrEx>
          <w:tblBorders>
            <w:top w:val="single" w:color="auto" w:sz="12" w:space="0"/>
            <w:left w:val="single" w:color="auto" w:sz="12" w:space="0"/>
            <w:bottom w:val="single" w:color="auto" w:sz="12" w:space="0"/>
            <w:right w:val="single" w:color="auto" w:sz="12" w:space="0"/>
            <w:insideH w:val="single" w:color="auto" w:sz="2" w:space="0"/>
            <w:insideV w:val="single" w:color="auto" w:sz="4" w:space="0"/>
          </w:tblBorders>
          <w:tblCellMar>
            <w:top w:w="0" w:type="dxa"/>
            <w:left w:w="108" w:type="dxa"/>
            <w:bottom w:w="0" w:type="dxa"/>
            <w:right w:w="108" w:type="dxa"/>
          </w:tblCellMar>
        </w:tblPrEx>
        <w:trPr>
          <w:trHeight w:val="142" w:hRule="atLeast"/>
        </w:trPr>
        <w:tc>
          <w:tcPr>
            <w:tcW w:w="706" w:type="dxa"/>
            <w:tcBorders>
              <w:tl2br w:val="nil"/>
              <w:tr2bl w:val="nil"/>
            </w:tcBorders>
            <w:vAlign w:val="center"/>
          </w:tcPr>
          <w:p w14:paraId="037C8591">
            <w:pPr>
              <w:pStyle w:val="240"/>
              <w:rPr>
                <w:rFonts w:hint="default"/>
              </w:rPr>
            </w:pPr>
            <w:r>
              <w:t>8</w:t>
            </w:r>
          </w:p>
        </w:tc>
        <w:tc>
          <w:tcPr>
            <w:tcW w:w="1449" w:type="dxa"/>
            <w:tcBorders>
              <w:tl2br w:val="nil"/>
              <w:tr2bl w:val="nil"/>
            </w:tcBorders>
            <w:vAlign w:val="center"/>
          </w:tcPr>
          <w:p w14:paraId="5B1CC2E6">
            <w:pPr>
              <w:pStyle w:val="240"/>
              <w:rPr>
                <w:rFonts w:hint="default"/>
              </w:rPr>
            </w:pPr>
            <w:r>
              <w:t>应急环境监测及事故评估</w:t>
            </w:r>
          </w:p>
        </w:tc>
        <w:tc>
          <w:tcPr>
            <w:tcW w:w="0" w:type="auto"/>
            <w:tcBorders>
              <w:tl2br w:val="nil"/>
              <w:tr2bl w:val="nil"/>
            </w:tcBorders>
            <w:vAlign w:val="center"/>
          </w:tcPr>
          <w:p w14:paraId="796DC65F">
            <w:pPr>
              <w:pStyle w:val="240"/>
              <w:rPr>
                <w:rFonts w:hint="default"/>
              </w:rPr>
            </w:pPr>
            <w:r>
              <w:t>由专业人员对环境风险事故现场进行预测，对事故性质、严重程度等造成的环境后果进行评估，吸取经验教训避免事故再次发生，为决策提供依据</w:t>
            </w:r>
          </w:p>
        </w:tc>
      </w:tr>
      <w:tr w14:paraId="5D8E3B0E">
        <w:tblPrEx>
          <w:tblBorders>
            <w:top w:val="single" w:color="auto" w:sz="12" w:space="0"/>
            <w:left w:val="single" w:color="auto" w:sz="12" w:space="0"/>
            <w:bottom w:val="single" w:color="auto" w:sz="12" w:space="0"/>
            <w:right w:val="single" w:color="auto" w:sz="12" w:space="0"/>
            <w:insideH w:val="single" w:color="auto" w:sz="2" w:space="0"/>
            <w:insideV w:val="single" w:color="auto" w:sz="4" w:space="0"/>
          </w:tblBorders>
          <w:tblCellMar>
            <w:top w:w="0" w:type="dxa"/>
            <w:left w:w="108" w:type="dxa"/>
            <w:bottom w:w="0" w:type="dxa"/>
            <w:right w:w="108" w:type="dxa"/>
          </w:tblCellMar>
        </w:tblPrEx>
        <w:trPr>
          <w:trHeight w:val="142" w:hRule="atLeast"/>
        </w:trPr>
        <w:tc>
          <w:tcPr>
            <w:tcW w:w="706" w:type="dxa"/>
            <w:tcBorders>
              <w:tl2br w:val="nil"/>
              <w:tr2bl w:val="nil"/>
            </w:tcBorders>
            <w:vAlign w:val="center"/>
          </w:tcPr>
          <w:p w14:paraId="19201994">
            <w:pPr>
              <w:pStyle w:val="240"/>
              <w:rPr>
                <w:rFonts w:hint="default"/>
              </w:rPr>
            </w:pPr>
            <w:r>
              <w:t>9</w:t>
            </w:r>
          </w:p>
        </w:tc>
        <w:tc>
          <w:tcPr>
            <w:tcW w:w="1449" w:type="dxa"/>
            <w:tcBorders>
              <w:tl2br w:val="nil"/>
              <w:tr2bl w:val="nil"/>
            </w:tcBorders>
            <w:vAlign w:val="center"/>
          </w:tcPr>
          <w:p w14:paraId="7F81FEDB">
            <w:pPr>
              <w:pStyle w:val="240"/>
              <w:rPr>
                <w:rFonts w:hint="default"/>
              </w:rPr>
            </w:pPr>
            <w:r>
              <w:t>事故应急救援关闭程序与恢复措施</w:t>
            </w:r>
          </w:p>
        </w:tc>
        <w:tc>
          <w:tcPr>
            <w:tcW w:w="0" w:type="auto"/>
            <w:tcBorders>
              <w:tl2br w:val="nil"/>
              <w:tr2bl w:val="nil"/>
            </w:tcBorders>
            <w:vAlign w:val="center"/>
          </w:tcPr>
          <w:p w14:paraId="391B0B53">
            <w:pPr>
              <w:pStyle w:val="240"/>
              <w:rPr>
                <w:rFonts w:hint="default"/>
              </w:rPr>
            </w:pPr>
            <w:r>
              <w:t>规定应急状态终止程序；事故现场善后处理、恢复措施；邻近区域解除事故警戒及善后恢复措施</w:t>
            </w:r>
          </w:p>
        </w:tc>
      </w:tr>
      <w:tr w14:paraId="5EBF9D6E">
        <w:tblPrEx>
          <w:tblBorders>
            <w:top w:val="single" w:color="auto" w:sz="12" w:space="0"/>
            <w:left w:val="single" w:color="auto" w:sz="12" w:space="0"/>
            <w:bottom w:val="single" w:color="auto" w:sz="12" w:space="0"/>
            <w:right w:val="single" w:color="auto" w:sz="12" w:space="0"/>
            <w:insideH w:val="single" w:color="auto" w:sz="2" w:space="0"/>
            <w:insideV w:val="single" w:color="auto" w:sz="4" w:space="0"/>
          </w:tblBorders>
          <w:tblCellMar>
            <w:top w:w="0" w:type="dxa"/>
            <w:left w:w="108" w:type="dxa"/>
            <w:bottom w:w="0" w:type="dxa"/>
            <w:right w:w="108" w:type="dxa"/>
          </w:tblCellMar>
        </w:tblPrEx>
        <w:trPr>
          <w:trHeight w:val="267" w:hRule="atLeast"/>
        </w:trPr>
        <w:tc>
          <w:tcPr>
            <w:tcW w:w="706" w:type="dxa"/>
            <w:tcBorders>
              <w:tl2br w:val="nil"/>
              <w:tr2bl w:val="nil"/>
            </w:tcBorders>
            <w:vAlign w:val="center"/>
          </w:tcPr>
          <w:p w14:paraId="347C6200">
            <w:pPr>
              <w:pStyle w:val="240"/>
              <w:rPr>
                <w:rFonts w:hint="default"/>
              </w:rPr>
            </w:pPr>
            <w:r>
              <w:t>10</w:t>
            </w:r>
          </w:p>
        </w:tc>
        <w:tc>
          <w:tcPr>
            <w:tcW w:w="1449" w:type="dxa"/>
            <w:tcBorders>
              <w:tl2br w:val="nil"/>
              <w:tr2bl w:val="nil"/>
            </w:tcBorders>
            <w:vAlign w:val="center"/>
          </w:tcPr>
          <w:p w14:paraId="22C872A4">
            <w:pPr>
              <w:pStyle w:val="240"/>
              <w:rPr>
                <w:rFonts w:hint="default"/>
              </w:rPr>
            </w:pPr>
            <w:r>
              <w:t>人员培训与演练</w:t>
            </w:r>
          </w:p>
        </w:tc>
        <w:tc>
          <w:tcPr>
            <w:tcW w:w="0" w:type="auto"/>
            <w:tcBorders>
              <w:tl2br w:val="nil"/>
              <w:tr2bl w:val="nil"/>
            </w:tcBorders>
            <w:vAlign w:val="center"/>
          </w:tcPr>
          <w:p w14:paraId="7EE2D2D8">
            <w:pPr>
              <w:pStyle w:val="240"/>
              <w:rPr>
                <w:rFonts w:hint="default"/>
              </w:rPr>
            </w:pPr>
            <w:r>
              <w:t>应急计划制定后，组织相关人员进行事故应急相关知识的培训及事故应急处理演习；储存区内个人进行安全卫士教育</w:t>
            </w:r>
          </w:p>
        </w:tc>
      </w:tr>
      <w:tr w14:paraId="443855F9">
        <w:tblPrEx>
          <w:tblBorders>
            <w:top w:val="single" w:color="auto" w:sz="12" w:space="0"/>
            <w:left w:val="single" w:color="auto" w:sz="12" w:space="0"/>
            <w:bottom w:val="single" w:color="auto" w:sz="12" w:space="0"/>
            <w:right w:val="single" w:color="auto" w:sz="12" w:space="0"/>
            <w:insideH w:val="single" w:color="auto" w:sz="2" w:space="0"/>
            <w:insideV w:val="single" w:color="auto" w:sz="4" w:space="0"/>
          </w:tblBorders>
          <w:tblCellMar>
            <w:top w:w="0" w:type="dxa"/>
            <w:left w:w="108" w:type="dxa"/>
            <w:bottom w:w="0" w:type="dxa"/>
            <w:right w:w="108" w:type="dxa"/>
          </w:tblCellMar>
        </w:tblPrEx>
        <w:trPr>
          <w:trHeight w:val="267" w:hRule="atLeast"/>
        </w:trPr>
        <w:tc>
          <w:tcPr>
            <w:tcW w:w="706" w:type="dxa"/>
            <w:tcBorders>
              <w:tl2br w:val="nil"/>
              <w:tr2bl w:val="nil"/>
            </w:tcBorders>
            <w:vAlign w:val="center"/>
          </w:tcPr>
          <w:p w14:paraId="780773A0">
            <w:pPr>
              <w:pStyle w:val="240"/>
              <w:rPr>
                <w:rFonts w:hint="default"/>
              </w:rPr>
            </w:pPr>
            <w:r>
              <w:t>11</w:t>
            </w:r>
          </w:p>
        </w:tc>
        <w:tc>
          <w:tcPr>
            <w:tcW w:w="1449" w:type="dxa"/>
            <w:tcBorders>
              <w:tl2br w:val="nil"/>
              <w:tr2bl w:val="nil"/>
            </w:tcBorders>
            <w:vAlign w:val="center"/>
          </w:tcPr>
          <w:p w14:paraId="50EBCC31">
            <w:pPr>
              <w:pStyle w:val="240"/>
              <w:rPr>
                <w:rFonts w:hint="default"/>
              </w:rPr>
            </w:pPr>
            <w:r>
              <w:t>公众教育和信息</w:t>
            </w:r>
          </w:p>
        </w:tc>
        <w:tc>
          <w:tcPr>
            <w:tcW w:w="0" w:type="auto"/>
            <w:tcBorders>
              <w:tl2br w:val="nil"/>
              <w:tr2bl w:val="nil"/>
            </w:tcBorders>
            <w:vAlign w:val="center"/>
          </w:tcPr>
          <w:p w14:paraId="01055270">
            <w:pPr>
              <w:pStyle w:val="240"/>
              <w:rPr>
                <w:rFonts w:hint="default"/>
              </w:rPr>
            </w:pPr>
            <w:r>
              <w:t>对企业邻近地区开展公众教育、培训和发布有关信息</w:t>
            </w:r>
          </w:p>
        </w:tc>
      </w:tr>
    </w:tbl>
    <w:p w14:paraId="40470FA5">
      <w:pPr>
        <w:pStyle w:val="5"/>
        <w:rPr>
          <w:rFonts w:ascii="Times New Roman" w:hAnsi="Times New Roman"/>
          <w:color w:val="000000"/>
          <w:lang w:val="en-US"/>
        </w:rPr>
      </w:pPr>
      <w:bookmarkStart w:id="353" w:name="_Toc18370"/>
      <w:bookmarkStart w:id="354" w:name="_Toc22608"/>
      <w:bookmarkStart w:id="355" w:name="_Toc12093"/>
      <w:r>
        <w:rPr>
          <w:rFonts w:hint="eastAsia" w:ascii="Times New Roman" w:hAnsi="Times New Roman"/>
          <w:color w:val="000000"/>
          <w:lang w:val="en-US"/>
        </w:rPr>
        <w:t>5.2.7.10环境风险评价</w:t>
      </w:r>
      <w:r>
        <w:rPr>
          <w:rFonts w:ascii="Times New Roman" w:hAnsi="Times New Roman"/>
          <w:color w:val="000000"/>
          <w:lang w:val="en-US"/>
        </w:rPr>
        <w:t>结论</w:t>
      </w:r>
      <w:r>
        <w:rPr>
          <w:rFonts w:hint="eastAsia" w:ascii="Times New Roman" w:hAnsi="Times New Roman"/>
          <w:color w:val="000000"/>
          <w:lang w:val="en-US"/>
        </w:rPr>
        <w:t>及建议</w:t>
      </w:r>
      <w:bookmarkEnd w:id="353"/>
      <w:bookmarkEnd w:id="354"/>
      <w:bookmarkEnd w:id="355"/>
    </w:p>
    <w:p w14:paraId="556FD763">
      <w:pPr>
        <w:bidi w:val="0"/>
        <w:adjustRightInd w:val="0"/>
        <w:snapToGrid w:val="0"/>
        <w:spacing w:line="440" w:lineRule="exact"/>
        <w:ind w:firstLine="480" w:firstLineChars="200"/>
        <w:rPr>
          <w:rFonts w:hint="default" w:ascii="Times New Roman" w:hAnsi="Times New Roman" w:eastAsia="宋体" w:cs="Times New Roman"/>
          <w:color w:val="auto"/>
          <w:sz w:val="24"/>
          <w:szCs w:val="24"/>
        </w:rPr>
      </w:pPr>
      <w:bookmarkStart w:id="356" w:name="OLE_LINK35"/>
      <w:r>
        <w:rPr>
          <w:rFonts w:hint="default" w:ascii="Times New Roman" w:hAnsi="Times New Roman" w:eastAsia="宋体" w:cs="Times New Roman"/>
          <w:color w:val="auto"/>
          <w:sz w:val="24"/>
          <w:szCs w:val="24"/>
          <w:lang w:val="en-US" w:eastAsia="zh-CN"/>
        </w:rPr>
        <w:t>1、</w:t>
      </w:r>
      <w:r>
        <w:rPr>
          <w:rFonts w:hint="default" w:ascii="Times New Roman" w:hAnsi="Times New Roman" w:eastAsia="宋体" w:cs="Times New Roman"/>
          <w:color w:val="auto"/>
          <w:sz w:val="24"/>
          <w:szCs w:val="24"/>
        </w:rPr>
        <w:t>风险评价结论</w:t>
      </w:r>
    </w:p>
    <w:p w14:paraId="19692F5D">
      <w:pPr>
        <w:bidi w:val="0"/>
        <w:adjustRightInd w:val="0"/>
        <w:snapToGrid w:val="0"/>
        <w:spacing w:line="440" w:lineRule="exact"/>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风险评价的结果表明，本项目主要危险物质为</w:t>
      </w:r>
      <w:r>
        <w:rPr>
          <w:rFonts w:hint="default" w:ascii="Times New Roman" w:hAnsi="Times New Roman" w:eastAsia="宋体" w:cs="Times New Roman"/>
          <w:color w:val="auto"/>
          <w:sz w:val="24"/>
          <w:szCs w:val="24"/>
          <w:lang w:val="en-US" w:eastAsia="zh-CN"/>
        </w:rPr>
        <w:t>废润滑油</w:t>
      </w:r>
      <w:r>
        <w:rPr>
          <w:rFonts w:hint="default" w:ascii="Times New Roman" w:hAnsi="Times New Roman" w:eastAsia="宋体" w:cs="Times New Roman"/>
          <w:color w:val="auto"/>
          <w:sz w:val="24"/>
          <w:szCs w:val="24"/>
        </w:rPr>
        <w:t>，</w:t>
      </w:r>
      <w:r>
        <w:rPr>
          <w:rFonts w:hint="eastAsia" w:ascii="Times New Roman" w:hAnsi="Times New Roman" w:eastAsia="宋体" w:cs="Times New Roman"/>
          <w:color w:val="auto"/>
          <w:sz w:val="24"/>
          <w:szCs w:val="24"/>
          <w:lang w:val="en-US" w:eastAsia="zh-CN"/>
        </w:rPr>
        <w:t>临时储存量较少，</w:t>
      </w:r>
      <w:r>
        <w:rPr>
          <w:rFonts w:hint="default" w:ascii="Times New Roman" w:hAnsi="Times New Roman" w:eastAsia="宋体" w:cs="Times New Roman"/>
          <w:color w:val="auto"/>
          <w:sz w:val="24"/>
          <w:szCs w:val="24"/>
        </w:rPr>
        <w:t>不构成重大危险源。本项目环境风险主要</w:t>
      </w:r>
      <w:r>
        <w:rPr>
          <w:rFonts w:hint="default" w:ascii="Times New Roman" w:hAnsi="Times New Roman" w:eastAsia="宋体" w:cs="Times New Roman"/>
          <w:color w:val="auto"/>
          <w:sz w:val="24"/>
          <w:szCs w:val="24"/>
          <w:lang w:eastAsia="zh-CN"/>
        </w:rPr>
        <w:t>来自</w:t>
      </w:r>
      <w:r>
        <w:rPr>
          <w:rFonts w:hint="default" w:ascii="Times New Roman" w:hAnsi="Times New Roman" w:eastAsia="宋体" w:cs="Times New Roman"/>
          <w:color w:val="auto"/>
          <w:sz w:val="24"/>
          <w:szCs w:val="24"/>
          <w:lang w:val="en-US" w:eastAsia="zh-CN"/>
        </w:rPr>
        <w:t>废润滑油</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rPr>
        <w:t>聚乙烯塑料发生火灾事故等。在进一步采取安全防范措施和事故应急预案、在落实各项环保措施和采取本报告书提出的有关建议的前提下，基本满足国家相关环境保护和安全法规、标准的要求，该项目发生风险事故的可</w:t>
      </w:r>
      <w:r>
        <w:rPr>
          <w:rFonts w:hint="eastAsia" w:cs="Times New Roman"/>
          <w:color w:val="auto"/>
          <w:sz w:val="24"/>
          <w:szCs w:val="24"/>
          <w:lang w:eastAsia="zh-CN"/>
        </w:rPr>
        <w:t>能性</w:t>
      </w:r>
      <w:r>
        <w:rPr>
          <w:rFonts w:hint="default" w:ascii="Times New Roman" w:hAnsi="Times New Roman" w:eastAsia="宋体" w:cs="Times New Roman"/>
          <w:color w:val="auto"/>
          <w:sz w:val="24"/>
          <w:szCs w:val="24"/>
        </w:rPr>
        <w:t>进一步降低，其潜在的环境风险是可以接受的。但企业仍需要提高风险管理水平和强化风险防范措施，降低环境风险事故发生的概率。</w:t>
      </w:r>
    </w:p>
    <w:p w14:paraId="1CA0A612">
      <w:pPr>
        <w:bidi w:val="0"/>
        <w:adjustRightInd w:val="0"/>
        <w:snapToGrid w:val="0"/>
        <w:spacing w:line="440" w:lineRule="exact"/>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val="en-US" w:eastAsia="zh-CN"/>
        </w:rPr>
        <w:t>2、</w:t>
      </w:r>
      <w:r>
        <w:rPr>
          <w:rFonts w:hint="default" w:ascii="Times New Roman" w:hAnsi="Times New Roman" w:eastAsia="宋体" w:cs="Times New Roman"/>
          <w:color w:val="auto"/>
          <w:sz w:val="24"/>
          <w:szCs w:val="24"/>
        </w:rPr>
        <w:t>建议</w:t>
      </w:r>
    </w:p>
    <w:p w14:paraId="7CA2C598">
      <w:pPr>
        <w:bidi w:val="0"/>
        <w:adjustRightInd w:val="0"/>
        <w:snapToGrid w:val="0"/>
        <w:spacing w:line="440" w:lineRule="exact"/>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根据风险评价结论和项目特点，本次评价提出以下建议：</w:t>
      </w:r>
    </w:p>
    <w:p w14:paraId="41995D7A">
      <w:pPr>
        <w:bidi w:val="0"/>
        <w:adjustRightInd w:val="0"/>
        <w:snapToGrid w:val="0"/>
        <w:spacing w:line="440" w:lineRule="exact"/>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val="en-US"/>
        </w:rPr>
        <w:t>1</w:t>
      </w:r>
      <w:r>
        <w:rPr>
          <w:rFonts w:hint="default" w:ascii="Times New Roman" w:hAnsi="Times New Roman" w:eastAsia="宋体" w:cs="Times New Roman"/>
          <w:color w:val="auto"/>
          <w:sz w:val="24"/>
          <w:szCs w:val="24"/>
        </w:rPr>
        <w:t>）本项目具有潜在的事故风险，尽管风险可接受，但企业应从建设、生产、贮运等各方面积极采取防护措施，这是确保安全的根本措施。</w:t>
      </w:r>
    </w:p>
    <w:p w14:paraId="5C4CA78D">
      <w:pPr>
        <w:bidi w:val="0"/>
        <w:adjustRightInd w:val="0"/>
        <w:snapToGrid w:val="0"/>
        <w:spacing w:line="440" w:lineRule="exact"/>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val="en-US"/>
        </w:rPr>
        <w:t>2</w:t>
      </w:r>
      <w:r>
        <w:rPr>
          <w:rFonts w:hint="default" w:ascii="Times New Roman" w:hAnsi="Times New Roman" w:eastAsia="宋体" w:cs="Times New Roman"/>
          <w:color w:val="auto"/>
          <w:sz w:val="24"/>
          <w:szCs w:val="24"/>
        </w:rPr>
        <w:t>）当出现事故时，要采取紧急的工程应急措施，如必要，应采取社会应急措施，以控制事故和减少对环境造成的危害。</w:t>
      </w:r>
    </w:p>
    <w:p w14:paraId="21FFD4ED">
      <w:pPr>
        <w:bidi w:val="0"/>
        <w:adjustRightInd w:val="0"/>
        <w:snapToGrid w:val="0"/>
        <w:spacing w:line="440" w:lineRule="exact"/>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val="en-US"/>
        </w:rPr>
        <w:t>3</w:t>
      </w:r>
      <w:r>
        <w:rPr>
          <w:rFonts w:hint="default" w:ascii="Times New Roman" w:hAnsi="Times New Roman" w:eastAsia="宋体" w:cs="Times New Roman"/>
          <w:color w:val="auto"/>
          <w:sz w:val="24"/>
          <w:szCs w:val="24"/>
        </w:rPr>
        <w:t>）按照企业制定的突发环境事故应急预案，定期进行预案演练并实现与地方政府或相关管理部门突发环境事故应急预案的有效衔接。</w:t>
      </w:r>
    </w:p>
    <w:p w14:paraId="44BADEEF">
      <w:pPr>
        <w:bidi w:val="0"/>
        <w:adjustRightInd w:val="0"/>
        <w:snapToGrid w:val="0"/>
        <w:spacing w:line="440" w:lineRule="exact"/>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val="en-US"/>
        </w:rPr>
        <w:t>4</w:t>
      </w:r>
      <w:r>
        <w:rPr>
          <w:rFonts w:hint="default" w:ascii="Times New Roman" w:hAnsi="Times New Roman" w:eastAsia="宋体" w:cs="Times New Roman"/>
          <w:color w:val="auto"/>
          <w:sz w:val="24"/>
          <w:szCs w:val="24"/>
        </w:rPr>
        <w:t>）建设单位必须高度重视，做到风险防范</w:t>
      </w:r>
      <w:r>
        <w:rPr>
          <w:rFonts w:hint="eastAsia" w:ascii="Times New Roman" w:hAnsi="Times New Roman" w:eastAsia="宋体" w:cs="Times New Roman"/>
          <w:color w:val="auto"/>
          <w:sz w:val="24"/>
          <w:szCs w:val="24"/>
          <w:lang w:eastAsia="zh-CN"/>
        </w:rPr>
        <w:t>警钟长鸣</w:t>
      </w:r>
      <w:r>
        <w:rPr>
          <w:rFonts w:hint="default" w:ascii="Times New Roman" w:hAnsi="Times New Roman" w:eastAsia="宋体" w:cs="Times New Roman"/>
          <w:color w:val="auto"/>
          <w:sz w:val="24"/>
          <w:szCs w:val="24"/>
        </w:rPr>
        <w:t>，环境安全管理常抓不懈；严格落实各项风险防范措施，不断完善风险管理体系。</w:t>
      </w:r>
    </w:p>
    <w:p w14:paraId="3FE019FA">
      <w:pPr>
        <w:bidi w:val="0"/>
        <w:adjustRightInd w:val="0"/>
        <w:snapToGrid w:val="0"/>
        <w:spacing w:line="440" w:lineRule="exact"/>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val="en-US"/>
        </w:rPr>
        <w:t>5</w:t>
      </w:r>
      <w:r>
        <w:rPr>
          <w:rFonts w:hint="default" w:ascii="Times New Roman" w:hAnsi="Times New Roman" w:eastAsia="宋体" w:cs="Times New Roman"/>
          <w:color w:val="auto"/>
          <w:sz w:val="24"/>
          <w:szCs w:val="24"/>
        </w:rPr>
        <w:t>）建立企业环境风险应急机制，加强厂区巡查、监视力度，强化风险管理，强化对员工的职业素质教育，杜绝违章作业。</w:t>
      </w:r>
    </w:p>
    <w:p w14:paraId="7FABC0D0">
      <w:pPr>
        <w:widowControl/>
        <w:spacing w:line="360" w:lineRule="auto"/>
        <w:ind w:firstLine="480" w:firstLineChars="200"/>
        <w:rPr>
          <w:color w:val="000000"/>
          <w:sz w:val="24"/>
        </w:rPr>
      </w:pPr>
      <w:r>
        <w:rPr>
          <w:rFonts w:hint="eastAsia"/>
          <w:color w:val="000000"/>
          <w:sz w:val="24"/>
        </w:rPr>
        <w:t>建设项目环境风险简单分析内容见表5.2-3</w:t>
      </w:r>
      <w:r>
        <w:rPr>
          <w:rFonts w:hint="eastAsia"/>
          <w:color w:val="000000"/>
          <w:sz w:val="24"/>
          <w:lang w:val="en-US" w:eastAsia="zh-CN"/>
        </w:rPr>
        <w:t>7</w:t>
      </w:r>
      <w:r>
        <w:rPr>
          <w:rFonts w:hint="eastAsia"/>
          <w:color w:val="000000"/>
          <w:sz w:val="24"/>
        </w:rPr>
        <w:t>。</w:t>
      </w:r>
      <w:bookmarkEnd w:id="356"/>
    </w:p>
    <w:p w14:paraId="7B10E9AA">
      <w:pPr>
        <w:widowControl/>
        <w:jc w:val="center"/>
        <w:rPr>
          <w:b/>
          <w:bCs/>
          <w:color w:val="000000"/>
          <w:szCs w:val="21"/>
        </w:rPr>
      </w:pPr>
      <w:r>
        <w:rPr>
          <w:b/>
          <w:bCs/>
          <w:color w:val="000000"/>
          <w:szCs w:val="21"/>
        </w:rPr>
        <w:t>表</w:t>
      </w:r>
      <w:r>
        <w:rPr>
          <w:rFonts w:hint="eastAsia"/>
          <w:b/>
          <w:bCs/>
          <w:color w:val="000000"/>
          <w:szCs w:val="21"/>
        </w:rPr>
        <w:t>5.2-3</w:t>
      </w:r>
      <w:r>
        <w:rPr>
          <w:rFonts w:hint="eastAsia"/>
          <w:b/>
          <w:bCs/>
          <w:color w:val="000000"/>
          <w:szCs w:val="21"/>
          <w:lang w:val="en-US" w:eastAsia="zh-CN"/>
        </w:rPr>
        <w:t>7</w:t>
      </w:r>
      <w:r>
        <w:rPr>
          <w:b/>
          <w:bCs/>
          <w:color w:val="000000"/>
          <w:szCs w:val="21"/>
        </w:rPr>
        <w:t xml:space="preserve">   建设项目环境风险简单分析内容表</w:t>
      </w:r>
    </w:p>
    <w:tbl>
      <w:tblPr>
        <w:tblStyle w:val="49"/>
        <w:tblW w:w="4999" w:type="pct"/>
        <w:jc w:val="center"/>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autofit"/>
        <w:tblCellMar>
          <w:top w:w="0" w:type="dxa"/>
          <w:left w:w="108" w:type="dxa"/>
          <w:bottom w:w="0" w:type="dxa"/>
          <w:right w:w="108" w:type="dxa"/>
        </w:tblCellMar>
      </w:tblPr>
      <w:tblGrid>
        <w:gridCol w:w="1972"/>
        <w:gridCol w:w="1104"/>
        <w:gridCol w:w="2214"/>
        <w:gridCol w:w="970"/>
        <w:gridCol w:w="2260"/>
      </w:tblGrid>
      <w:tr w14:paraId="0A2F7A84">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287" w:hRule="atLeast"/>
          <w:jc w:val="center"/>
        </w:trPr>
        <w:tc>
          <w:tcPr>
            <w:tcW w:w="1157" w:type="pct"/>
            <w:vAlign w:val="center"/>
          </w:tcPr>
          <w:p w14:paraId="52E11392">
            <w:pPr>
              <w:pStyle w:val="240"/>
              <w:rPr>
                <w:rFonts w:hint="default"/>
              </w:rPr>
            </w:pPr>
            <w:r>
              <w:t>建设项目名称</w:t>
            </w:r>
          </w:p>
        </w:tc>
        <w:tc>
          <w:tcPr>
            <w:tcW w:w="3842" w:type="pct"/>
            <w:gridSpan w:val="4"/>
            <w:vAlign w:val="center"/>
          </w:tcPr>
          <w:p w14:paraId="1FB8A8C6">
            <w:pPr>
              <w:pStyle w:val="240"/>
              <w:rPr>
                <w:rFonts w:hint="default"/>
              </w:rPr>
            </w:pPr>
            <w:r>
              <w:t>库尔勒市新如兴环保科技有限公司库尔勒市废旧地膜加工建设项目</w:t>
            </w:r>
          </w:p>
        </w:tc>
      </w:tr>
      <w:tr w14:paraId="759F6455">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287" w:hRule="atLeast"/>
          <w:jc w:val="center"/>
        </w:trPr>
        <w:tc>
          <w:tcPr>
            <w:tcW w:w="1157" w:type="pct"/>
            <w:vAlign w:val="center"/>
          </w:tcPr>
          <w:p w14:paraId="5A7BD179">
            <w:pPr>
              <w:pStyle w:val="240"/>
              <w:rPr>
                <w:rFonts w:hint="default"/>
              </w:rPr>
            </w:pPr>
            <w:r>
              <w:t>建设地点</w:t>
            </w:r>
          </w:p>
        </w:tc>
        <w:tc>
          <w:tcPr>
            <w:tcW w:w="3842" w:type="pct"/>
            <w:gridSpan w:val="4"/>
            <w:vAlign w:val="center"/>
          </w:tcPr>
          <w:p w14:paraId="5B1FFFA6">
            <w:pPr>
              <w:pStyle w:val="240"/>
              <w:rPr>
                <w:rFonts w:hint="default"/>
              </w:rPr>
            </w:pPr>
            <w:r>
              <w:t>新疆库尔勒市普惠乡润疆社区四分场库尔勒惠泉工贸有限公司厂区内</w:t>
            </w:r>
          </w:p>
        </w:tc>
      </w:tr>
      <w:tr w14:paraId="3CA03EA1">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287" w:hRule="atLeast"/>
          <w:jc w:val="center"/>
        </w:trPr>
        <w:tc>
          <w:tcPr>
            <w:tcW w:w="1157" w:type="pct"/>
            <w:vAlign w:val="center"/>
          </w:tcPr>
          <w:p w14:paraId="7ED919B2">
            <w:pPr>
              <w:pStyle w:val="240"/>
              <w:rPr>
                <w:rFonts w:hint="default"/>
              </w:rPr>
            </w:pPr>
            <w:r>
              <w:t>地理坐标</w:t>
            </w:r>
          </w:p>
        </w:tc>
        <w:tc>
          <w:tcPr>
            <w:tcW w:w="648" w:type="pct"/>
            <w:vAlign w:val="center"/>
          </w:tcPr>
          <w:p w14:paraId="69BBB593">
            <w:pPr>
              <w:pStyle w:val="240"/>
              <w:rPr>
                <w:rFonts w:hint="default"/>
              </w:rPr>
            </w:pPr>
            <w:r>
              <w:rPr>
                <w:rFonts w:hint="default"/>
              </w:rPr>
              <w:t>经度</w:t>
            </w:r>
          </w:p>
        </w:tc>
        <w:tc>
          <w:tcPr>
            <w:tcW w:w="1299" w:type="pct"/>
            <w:vAlign w:val="center"/>
          </w:tcPr>
          <w:p w14:paraId="6131C89A">
            <w:pPr>
              <w:pStyle w:val="240"/>
              <w:rPr>
                <w:rFonts w:hint="default"/>
              </w:rPr>
            </w:pPr>
            <w:r>
              <w:rPr>
                <w:rFonts w:hint="default"/>
              </w:rPr>
              <w:t>85°50′11.947″</w:t>
            </w:r>
          </w:p>
        </w:tc>
        <w:tc>
          <w:tcPr>
            <w:tcW w:w="569" w:type="pct"/>
            <w:vAlign w:val="center"/>
          </w:tcPr>
          <w:p w14:paraId="4DE9B3FB">
            <w:pPr>
              <w:pStyle w:val="240"/>
              <w:rPr>
                <w:rFonts w:hint="default"/>
              </w:rPr>
            </w:pPr>
            <w:r>
              <w:rPr>
                <w:rFonts w:hint="default"/>
              </w:rPr>
              <w:t>纬度</w:t>
            </w:r>
          </w:p>
        </w:tc>
        <w:tc>
          <w:tcPr>
            <w:tcW w:w="1325" w:type="pct"/>
            <w:vAlign w:val="center"/>
          </w:tcPr>
          <w:p w14:paraId="19AA7D93">
            <w:pPr>
              <w:pStyle w:val="240"/>
              <w:rPr>
                <w:rFonts w:hint="default"/>
              </w:rPr>
            </w:pPr>
            <w:r>
              <w:rPr>
                <w:rFonts w:hint="default"/>
              </w:rPr>
              <w:t>41°25′3.496″</w:t>
            </w:r>
          </w:p>
        </w:tc>
      </w:tr>
      <w:tr w14:paraId="506D771F">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287" w:hRule="atLeast"/>
          <w:jc w:val="center"/>
        </w:trPr>
        <w:tc>
          <w:tcPr>
            <w:tcW w:w="1157" w:type="pct"/>
            <w:vAlign w:val="center"/>
          </w:tcPr>
          <w:p w14:paraId="6A8F723D">
            <w:pPr>
              <w:pStyle w:val="240"/>
              <w:rPr>
                <w:rFonts w:hint="default"/>
              </w:rPr>
            </w:pPr>
            <w:r>
              <w:t>主要危险物质及分布</w:t>
            </w:r>
          </w:p>
        </w:tc>
        <w:tc>
          <w:tcPr>
            <w:tcW w:w="3842" w:type="pct"/>
            <w:gridSpan w:val="4"/>
            <w:vAlign w:val="center"/>
          </w:tcPr>
          <w:p w14:paraId="6F09ADF1">
            <w:pPr>
              <w:pStyle w:val="240"/>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zh-CN" w:eastAsia="zh-CN"/>
              </w:rPr>
              <w:t>主要危险物质：</w:t>
            </w:r>
            <w:r>
              <w:rPr>
                <w:rFonts w:hint="default" w:ascii="Times New Roman" w:hAnsi="Times New Roman" w:eastAsia="宋体" w:cs="Times New Roman"/>
                <w:color w:val="auto"/>
                <w:sz w:val="21"/>
                <w:szCs w:val="21"/>
                <w:lang w:eastAsia="zh-CN"/>
              </w:rPr>
              <w:t>废旧塑料</w:t>
            </w:r>
            <w:r>
              <w:rPr>
                <w:rFonts w:hint="eastAsia" w:ascii="Times New Roman" w:hAnsi="Times New Roman" w:eastAsia="宋体" w:cs="Times New Roman"/>
                <w:color w:val="auto"/>
                <w:sz w:val="21"/>
                <w:szCs w:val="21"/>
                <w:lang w:eastAsia="zh-CN"/>
              </w:rPr>
              <w:t>、产品及废润滑油</w:t>
            </w:r>
            <w:r>
              <w:rPr>
                <w:rFonts w:hint="default" w:ascii="Times New Roman" w:hAnsi="Times New Roman" w:eastAsia="宋体" w:cs="Times New Roman"/>
                <w:color w:val="auto"/>
                <w:sz w:val="21"/>
                <w:szCs w:val="21"/>
                <w:lang w:eastAsia="zh-CN"/>
              </w:rPr>
              <w:t>；</w:t>
            </w:r>
          </w:p>
          <w:p w14:paraId="59348F62">
            <w:pPr>
              <w:pStyle w:val="240"/>
              <w:rPr>
                <w:rFonts w:hint="default"/>
              </w:rPr>
            </w:pPr>
            <w:r>
              <w:rPr>
                <w:rFonts w:hint="default" w:ascii="Times New Roman" w:hAnsi="Times New Roman" w:eastAsia="宋体" w:cs="Times New Roman"/>
                <w:color w:val="auto"/>
                <w:sz w:val="21"/>
                <w:szCs w:val="21"/>
                <w:lang w:eastAsia="zh-CN"/>
              </w:rPr>
              <w:t>位于车间</w:t>
            </w:r>
            <w:r>
              <w:rPr>
                <w:rFonts w:hint="eastAsia"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eastAsia="zh-CN"/>
              </w:rPr>
              <w:t>库房</w:t>
            </w:r>
            <w:r>
              <w:rPr>
                <w:rFonts w:hint="eastAsia" w:ascii="Times New Roman" w:hAnsi="Times New Roman" w:eastAsia="宋体" w:cs="Times New Roman"/>
                <w:color w:val="auto"/>
                <w:sz w:val="21"/>
                <w:szCs w:val="21"/>
                <w:lang w:eastAsia="zh-CN"/>
              </w:rPr>
              <w:t>及危险废物贮存点</w:t>
            </w:r>
          </w:p>
        </w:tc>
      </w:tr>
      <w:tr w14:paraId="6B8C9742">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287" w:hRule="atLeast"/>
          <w:jc w:val="center"/>
        </w:trPr>
        <w:tc>
          <w:tcPr>
            <w:tcW w:w="1157" w:type="pct"/>
            <w:vAlign w:val="center"/>
          </w:tcPr>
          <w:p w14:paraId="127FB5E8">
            <w:pPr>
              <w:pStyle w:val="240"/>
              <w:rPr>
                <w:rFonts w:hint="default"/>
              </w:rPr>
            </w:pPr>
            <w:r>
              <w:t>环境影响途径及危害结果（大气、地表水、地下水）</w:t>
            </w:r>
          </w:p>
        </w:tc>
        <w:tc>
          <w:tcPr>
            <w:tcW w:w="3842" w:type="pct"/>
            <w:gridSpan w:val="4"/>
            <w:vAlign w:val="center"/>
          </w:tcPr>
          <w:p w14:paraId="765BAFCB">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left"/>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zh-CN" w:eastAsia="zh-CN"/>
              </w:rPr>
              <w:t>影响途径：</w:t>
            </w:r>
            <w:r>
              <w:rPr>
                <w:rFonts w:hint="default" w:ascii="Times New Roman" w:hAnsi="Times New Roman" w:eastAsia="宋体" w:cs="Times New Roman"/>
                <w:color w:val="auto"/>
                <w:sz w:val="21"/>
                <w:szCs w:val="21"/>
                <w:lang w:val="en-US" w:eastAsia="zh-CN"/>
              </w:rPr>
              <w:t>若发生火灾事故，可能只是废旧塑料和</w:t>
            </w:r>
            <w:r>
              <w:rPr>
                <w:rFonts w:hint="default" w:ascii="Times New Roman" w:hAnsi="Times New Roman" w:eastAsia="宋体" w:cs="Times New Roman"/>
                <w:color w:val="auto"/>
                <w:sz w:val="21"/>
                <w:szCs w:val="21"/>
                <w:lang w:eastAsia="zh-CN"/>
              </w:rPr>
              <w:t>废</w:t>
            </w:r>
            <w:r>
              <w:rPr>
                <w:rFonts w:hint="eastAsia" w:ascii="Times New Roman" w:hAnsi="Times New Roman" w:eastAsia="宋体" w:cs="Times New Roman"/>
                <w:color w:val="auto"/>
                <w:sz w:val="21"/>
                <w:szCs w:val="21"/>
                <w:lang w:val="en-US" w:eastAsia="zh-CN"/>
              </w:rPr>
              <w:t>润滑油</w:t>
            </w:r>
            <w:r>
              <w:rPr>
                <w:rFonts w:hint="default" w:ascii="Times New Roman" w:hAnsi="Times New Roman" w:eastAsia="宋体" w:cs="Times New Roman"/>
                <w:color w:val="auto"/>
                <w:sz w:val="21"/>
                <w:szCs w:val="21"/>
                <w:lang w:val="en-US" w:eastAsia="zh-CN"/>
              </w:rPr>
              <w:t>快速燃烧，产生烟雾、毒气、废气污染，主要对厂内建筑物和人员构成潜在危害。</w:t>
            </w:r>
          </w:p>
          <w:p w14:paraId="13F8B5F6">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left"/>
              <w:textAlignment w:val="auto"/>
              <w:rPr>
                <w:rFonts w:hint="eastAsia"/>
                <w:lang w:eastAsia="zh-CN"/>
              </w:rPr>
            </w:pPr>
            <w:r>
              <w:rPr>
                <w:rFonts w:hint="default" w:ascii="Times New Roman" w:hAnsi="Times New Roman" w:eastAsia="宋体" w:cs="Times New Roman"/>
                <w:color w:val="auto"/>
                <w:sz w:val="21"/>
                <w:szCs w:val="21"/>
                <w:lang w:val="zh-CN" w:eastAsia="zh-CN"/>
              </w:rPr>
              <w:t>影响后果：</w:t>
            </w:r>
            <w:r>
              <w:rPr>
                <w:rFonts w:hint="default" w:ascii="Times New Roman" w:hAnsi="Times New Roman" w:eastAsia="宋体" w:cs="Times New Roman"/>
                <w:color w:val="auto"/>
                <w:sz w:val="21"/>
                <w:szCs w:val="21"/>
                <w:lang w:val="en-US" w:eastAsia="zh-CN"/>
              </w:rPr>
              <w:t>塑料、废</w:t>
            </w:r>
            <w:r>
              <w:rPr>
                <w:rFonts w:hint="eastAsia" w:ascii="Times New Roman" w:hAnsi="Times New Roman" w:eastAsia="宋体" w:cs="Times New Roman"/>
                <w:color w:val="auto"/>
                <w:sz w:val="21"/>
                <w:szCs w:val="21"/>
                <w:lang w:val="en-US" w:eastAsia="zh-CN"/>
              </w:rPr>
              <w:t>润滑油</w:t>
            </w:r>
            <w:r>
              <w:rPr>
                <w:rFonts w:hint="default" w:ascii="Times New Roman" w:hAnsi="Times New Roman" w:eastAsia="宋体" w:cs="Times New Roman"/>
                <w:color w:val="auto"/>
                <w:sz w:val="21"/>
                <w:szCs w:val="21"/>
                <w:lang w:val="en-US" w:eastAsia="zh-CN"/>
              </w:rPr>
              <w:t>和产品堆存时如遇热源，塑料、废</w:t>
            </w:r>
            <w:r>
              <w:rPr>
                <w:rFonts w:hint="eastAsia" w:ascii="Times New Roman" w:hAnsi="Times New Roman" w:eastAsia="宋体" w:cs="Times New Roman"/>
                <w:color w:val="auto"/>
                <w:sz w:val="21"/>
                <w:szCs w:val="21"/>
                <w:lang w:val="en-US" w:eastAsia="zh-CN"/>
              </w:rPr>
              <w:t>润滑油</w:t>
            </w:r>
            <w:r>
              <w:rPr>
                <w:rFonts w:hint="default" w:ascii="Times New Roman" w:hAnsi="Times New Roman" w:eastAsia="宋体" w:cs="Times New Roman"/>
                <w:color w:val="auto"/>
                <w:sz w:val="21"/>
                <w:szCs w:val="21"/>
                <w:lang w:val="en-US" w:eastAsia="zh-CN"/>
              </w:rPr>
              <w:t>及产品会因受到外来的热量且相互传热，而分解出可燃性有机气体，对周围大气环境造成一定程度的污染。如果管理不善，分解出的可燃性气体与空气中的氧气相混合而着火，从而引发火灾事故。一旦发生火灾，火势会迅速蔓延，如果灾情控制不住，将会对项目造成一定的经济损失，严重</w:t>
            </w:r>
            <w:r>
              <w:rPr>
                <w:rFonts w:hint="eastAsia" w:ascii="Times New Roman" w:hAnsi="Times New Roman" w:eastAsia="宋体" w:cs="Times New Roman"/>
                <w:color w:val="auto"/>
                <w:sz w:val="21"/>
                <w:szCs w:val="21"/>
                <w:lang w:val="en-US" w:eastAsia="zh-CN"/>
              </w:rPr>
              <w:t>可能</w:t>
            </w:r>
            <w:r>
              <w:rPr>
                <w:rFonts w:hint="default" w:ascii="Times New Roman" w:hAnsi="Times New Roman" w:eastAsia="宋体" w:cs="Times New Roman"/>
                <w:color w:val="auto"/>
                <w:sz w:val="21"/>
                <w:szCs w:val="21"/>
                <w:lang w:val="en-US" w:eastAsia="zh-CN"/>
              </w:rPr>
              <w:t>危及周围的企业，同时燃烧产生大量的有害气体，如CO、烟尘等，引发一系列的次生环境问题。</w:t>
            </w:r>
          </w:p>
        </w:tc>
      </w:tr>
      <w:tr w14:paraId="501ABD58">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287" w:hRule="atLeast"/>
          <w:jc w:val="center"/>
        </w:trPr>
        <w:tc>
          <w:tcPr>
            <w:tcW w:w="1157" w:type="pct"/>
            <w:vAlign w:val="center"/>
          </w:tcPr>
          <w:p w14:paraId="0B93B451">
            <w:pPr>
              <w:pStyle w:val="240"/>
              <w:rPr>
                <w:rFonts w:hint="default"/>
              </w:rPr>
            </w:pPr>
            <w:r>
              <w:t>风险防范措施要求</w:t>
            </w:r>
          </w:p>
        </w:tc>
        <w:tc>
          <w:tcPr>
            <w:tcW w:w="3842" w:type="pct"/>
            <w:gridSpan w:val="4"/>
            <w:vAlign w:val="center"/>
          </w:tcPr>
          <w:p w14:paraId="74912B59">
            <w:pPr>
              <w:pStyle w:val="266"/>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jc w:val="both"/>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（1）贮存过程中的事故防范措施</w:t>
            </w:r>
          </w:p>
          <w:p w14:paraId="27FC7A3C">
            <w:pPr>
              <w:pStyle w:val="266"/>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jc w:val="both"/>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①</w:t>
            </w:r>
            <w:r>
              <w:rPr>
                <w:rFonts w:hint="default" w:ascii="Times New Roman" w:hAnsi="Times New Roman" w:eastAsia="宋体" w:cs="Times New Roman"/>
                <w:color w:val="auto"/>
                <w:kern w:val="2"/>
                <w:sz w:val="21"/>
                <w:szCs w:val="21"/>
                <w:lang w:val="en-US" w:eastAsia="zh-CN" w:bidi="ar-SA"/>
              </w:rPr>
              <w:t>加强回收废物的储存管理，储存过</w:t>
            </w:r>
            <w:r>
              <w:rPr>
                <w:rFonts w:hint="eastAsia" w:ascii="Times New Roman" w:hAnsi="Times New Roman" w:eastAsia="宋体" w:cs="Times New Roman"/>
                <w:color w:val="auto"/>
                <w:kern w:val="2"/>
                <w:sz w:val="21"/>
                <w:szCs w:val="21"/>
                <w:lang w:val="en-US" w:eastAsia="zh-CN" w:bidi="ar-SA"/>
              </w:rPr>
              <w:t>程中</w:t>
            </w:r>
            <w:r>
              <w:rPr>
                <w:rFonts w:hint="default" w:ascii="Times New Roman" w:hAnsi="Times New Roman" w:eastAsia="宋体" w:cs="Times New Roman"/>
                <w:color w:val="auto"/>
                <w:kern w:val="2"/>
                <w:sz w:val="21"/>
                <w:szCs w:val="21"/>
                <w:lang w:val="en-US" w:eastAsia="zh-CN" w:bidi="ar-SA"/>
              </w:rPr>
              <w:t>必须严格遵守安全防火规定，仓库配备防火器材，项目的原料、产品及产生的生产固废严禁与易燃易爆品混存；</w:t>
            </w:r>
          </w:p>
          <w:p w14:paraId="1193AE78">
            <w:pPr>
              <w:pStyle w:val="266"/>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jc w:val="both"/>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②</w:t>
            </w:r>
            <w:r>
              <w:rPr>
                <w:rFonts w:hint="default" w:ascii="Times New Roman" w:hAnsi="Times New Roman" w:eastAsia="宋体" w:cs="Times New Roman"/>
                <w:color w:val="auto"/>
                <w:kern w:val="2"/>
                <w:sz w:val="21"/>
                <w:szCs w:val="21"/>
                <w:lang w:val="en-US" w:eastAsia="zh-CN" w:bidi="ar-SA"/>
              </w:rPr>
              <w:t>成品仓库应</w:t>
            </w:r>
            <w:r>
              <w:rPr>
                <w:rFonts w:hint="eastAsia" w:ascii="Times New Roman" w:hAnsi="Times New Roman" w:eastAsia="宋体" w:cs="Times New Roman"/>
                <w:color w:val="auto"/>
                <w:kern w:val="2"/>
                <w:sz w:val="21"/>
                <w:szCs w:val="21"/>
                <w:lang w:val="en-US" w:eastAsia="zh-CN" w:bidi="ar-SA"/>
              </w:rPr>
              <w:t>设置</w:t>
            </w:r>
            <w:r>
              <w:rPr>
                <w:rFonts w:hint="default" w:ascii="Times New Roman" w:hAnsi="Times New Roman" w:eastAsia="宋体" w:cs="Times New Roman"/>
                <w:color w:val="auto"/>
                <w:kern w:val="2"/>
                <w:sz w:val="21"/>
                <w:szCs w:val="21"/>
                <w:lang w:val="en-US" w:eastAsia="zh-CN" w:bidi="ar-SA"/>
              </w:rPr>
              <w:t>禁火区，远离明火、禁烟；生产车间设置防火通道，禁止在通道内堆放物品，并配备防火器材；</w:t>
            </w:r>
          </w:p>
          <w:p w14:paraId="3662BB1C">
            <w:pPr>
              <w:pStyle w:val="266"/>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jc w:val="both"/>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③</w:t>
            </w:r>
            <w:r>
              <w:rPr>
                <w:rFonts w:hint="default" w:ascii="Times New Roman" w:hAnsi="Times New Roman" w:eastAsia="宋体" w:cs="Times New Roman"/>
                <w:color w:val="auto"/>
                <w:kern w:val="2"/>
                <w:sz w:val="21"/>
                <w:szCs w:val="21"/>
                <w:lang w:val="en-US" w:eastAsia="zh-CN" w:bidi="ar-SA"/>
              </w:rPr>
              <w:t>落实责任制，生产车间应分设负责人看管，确保生产车间消防隐患时刻监控，不可利用废物定期清理；</w:t>
            </w:r>
          </w:p>
          <w:p w14:paraId="37586DBC">
            <w:pPr>
              <w:pStyle w:val="266"/>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jc w:val="both"/>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④</w:t>
            </w:r>
            <w:r>
              <w:rPr>
                <w:rFonts w:hint="default" w:ascii="Times New Roman" w:hAnsi="Times New Roman" w:eastAsia="宋体" w:cs="Times New Roman"/>
                <w:color w:val="auto"/>
                <w:kern w:val="2"/>
                <w:sz w:val="21"/>
                <w:szCs w:val="21"/>
                <w:lang w:val="en-US" w:eastAsia="zh-CN" w:bidi="ar-SA"/>
              </w:rPr>
              <w:t>如突发火灾，应立即采取急救措施，并及时向当地环保局等有关部门报告。</w:t>
            </w:r>
          </w:p>
          <w:p w14:paraId="3D2D96B3">
            <w:pPr>
              <w:pStyle w:val="266"/>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jc w:val="both"/>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（2）运行过程中的事故防范措施</w:t>
            </w:r>
          </w:p>
          <w:p w14:paraId="4EDD44F7">
            <w:pPr>
              <w:pStyle w:val="266"/>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jc w:val="both"/>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①</w:t>
            </w:r>
            <w:r>
              <w:rPr>
                <w:rFonts w:hint="default" w:ascii="Times New Roman" w:hAnsi="Times New Roman" w:eastAsia="宋体" w:cs="Times New Roman"/>
                <w:color w:val="auto"/>
                <w:kern w:val="2"/>
                <w:sz w:val="21"/>
                <w:szCs w:val="21"/>
                <w:lang w:val="en-US" w:eastAsia="zh-CN" w:bidi="ar-SA"/>
              </w:rPr>
              <w:t>严格操作规程，加强对生产和辅助设备定期检修，确保废气处理设施正常运行和加工过程中产生的废气达标排放；</w:t>
            </w:r>
          </w:p>
          <w:p w14:paraId="0CC80592">
            <w:pPr>
              <w:pStyle w:val="266"/>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jc w:val="both"/>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②</w:t>
            </w:r>
            <w:r>
              <w:rPr>
                <w:rFonts w:hint="default" w:ascii="Times New Roman" w:hAnsi="Times New Roman" w:eastAsia="宋体" w:cs="Times New Roman"/>
                <w:color w:val="auto"/>
                <w:kern w:val="2"/>
                <w:sz w:val="21"/>
                <w:szCs w:val="21"/>
                <w:lang w:val="en-US" w:eastAsia="zh-CN" w:bidi="ar-SA"/>
              </w:rPr>
              <w:t>加强管理，定期向当地环保主管部门及安全消防部门汇报，以便得到有效监管。</w:t>
            </w:r>
          </w:p>
          <w:p w14:paraId="4B592A30">
            <w:pPr>
              <w:pStyle w:val="266"/>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jc w:val="both"/>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（3）火灾风险防范措施</w:t>
            </w:r>
          </w:p>
          <w:p w14:paraId="01426BB7">
            <w:pPr>
              <w:pStyle w:val="266"/>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jc w:val="both"/>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①</w:t>
            </w:r>
            <w:r>
              <w:rPr>
                <w:rFonts w:hint="default" w:ascii="Times New Roman" w:hAnsi="Times New Roman" w:eastAsia="宋体" w:cs="Times New Roman"/>
                <w:color w:val="auto"/>
                <w:kern w:val="2"/>
                <w:sz w:val="21"/>
                <w:szCs w:val="21"/>
                <w:lang w:val="en-US" w:eastAsia="zh-CN" w:bidi="ar-SA"/>
              </w:rPr>
              <w:t>加强消防安全教育培训。定期组织员工学习消防法规和各项规章制度，做到依法治火；各部门应针对岗位特点进行消防安全教育培训；对消防设施维护保养和使用人员应进行实地演示和培训；对新员工进行岗前消防培训，经考试合格后方可上岗；消控中心等特殊岗位要进行专业培训，经考试合格，持证上岗。</w:t>
            </w:r>
          </w:p>
          <w:p w14:paraId="67E865C5">
            <w:pPr>
              <w:pStyle w:val="266"/>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jc w:val="both"/>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②</w:t>
            </w:r>
            <w:r>
              <w:rPr>
                <w:rFonts w:hint="default" w:ascii="Times New Roman" w:hAnsi="Times New Roman" w:eastAsia="宋体" w:cs="Times New Roman"/>
                <w:color w:val="auto"/>
                <w:kern w:val="2"/>
                <w:sz w:val="21"/>
                <w:szCs w:val="21"/>
                <w:lang w:val="en-US" w:eastAsia="zh-CN" w:bidi="ar-SA"/>
              </w:rPr>
              <w:t>加强防火巡查检查。落实逐级消防安全责任制和岗位消防安全责任制，落实巡查检查制度；每月对单位进行一次防火检查并复查追踪改善，检查中发现火灾隐患，检查人员应填写防火检查记录；检查部门应将检查情况及时通知受检部门，各部门负责人应每日消防安全检查情况通知，若发现本单位存在火灾隐患，应及时整改。</w:t>
            </w:r>
          </w:p>
          <w:p w14:paraId="5A1887F5">
            <w:pPr>
              <w:pStyle w:val="266"/>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jc w:val="both"/>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③</w:t>
            </w:r>
            <w:r>
              <w:rPr>
                <w:rFonts w:hint="default" w:ascii="Times New Roman" w:hAnsi="Times New Roman" w:eastAsia="宋体" w:cs="Times New Roman"/>
                <w:color w:val="auto"/>
                <w:kern w:val="2"/>
                <w:sz w:val="21"/>
                <w:szCs w:val="21"/>
                <w:lang w:val="en-US" w:eastAsia="zh-CN" w:bidi="ar-SA"/>
              </w:rPr>
              <w:t>加强安全疏散设施管理。单位应保持疏散通道、安全出口畅通，严禁占用疏散通道，严禁在安全出口或疏散通道上安装栅栏等影响疏散的障碍物；应按规范设置符合国家规定的消防安全疏散指示标志和应急照明设施；应保持防火门、消防安全疏散指示标志、应急照明、机械排烟送风、火灾事故广播等设施处于正常状态，并定期组织检查、测试、维护和保养；严禁在营业或工作期间将安全出口上锁。</w:t>
            </w:r>
          </w:p>
          <w:p w14:paraId="15061E2B">
            <w:pPr>
              <w:pStyle w:val="240"/>
              <w:jc w:val="left"/>
              <w:rPr>
                <w:rFonts w:hint="default"/>
              </w:rPr>
            </w:pPr>
            <w:r>
              <w:rPr>
                <w:rFonts w:hint="eastAsia" w:ascii="Times New Roman" w:hAnsi="Times New Roman" w:eastAsia="宋体" w:cs="Times New Roman"/>
                <w:color w:val="auto"/>
                <w:kern w:val="2"/>
                <w:sz w:val="21"/>
                <w:szCs w:val="21"/>
                <w:lang w:val="en-US" w:eastAsia="zh-CN" w:bidi="ar-SA"/>
              </w:rPr>
              <w:t>④强化</w:t>
            </w:r>
            <w:r>
              <w:rPr>
                <w:rFonts w:hint="default" w:ascii="Times New Roman" w:hAnsi="Times New Roman" w:eastAsia="宋体" w:cs="Times New Roman"/>
                <w:color w:val="auto"/>
                <w:kern w:val="2"/>
                <w:sz w:val="21"/>
                <w:szCs w:val="21"/>
                <w:lang w:val="en-US" w:eastAsia="zh-CN" w:bidi="ar-SA"/>
              </w:rPr>
              <w:t>消防设施、器材维护管理。每年在冬防、夏防期间定期两次对灭火器进行普查换药。派专人管理，定期巡查消防器材，包括烟、温感报警系统、消防水泵、喷淋水泵、水幕水泵、正压送风、防排烟系统及室内消火栓等，保证处于完好状态。</w:t>
            </w:r>
          </w:p>
        </w:tc>
      </w:tr>
      <w:tr w14:paraId="42D5CDB7">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287" w:hRule="atLeast"/>
          <w:jc w:val="center"/>
        </w:trPr>
        <w:tc>
          <w:tcPr>
            <w:tcW w:w="1157" w:type="pct"/>
            <w:vAlign w:val="center"/>
          </w:tcPr>
          <w:p w14:paraId="2CDEB1E9">
            <w:pPr>
              <w:pStyle w:val="240"/>
              <w:rPr>
                <w:rFonts w:hint="default"/>
              </w:rPr>
            </w:pPr>
            <w:r>
              <w:t>填表说明（列出项目相关信息及评价说明）</w:t>
            </w:r>
          </w:p>
        </w:tc>
        <w:tc>
          <w:tcPr>
            <w:tcW w:w="3842" w:type="pct"/>
            <w:gridSpan w:val="4"/>
            <w:vAlign w:val="center"/>
          </w:tcPr>
          <w:p w14:paraId="765C026C">
            <w:pPr>
              <w:pStyle w:val="240"/>
              <w:rPr>
                <w:rFonts w:hint="default"/>
              </w:rPr>
            </w:pPr>
            <w:r>
              <w:t>本项目属于废旧资源回收再生利用项目，</w:t>
            </w:r>
            <w:r>
              <w:rPr>
                <w:rFonts w:hint="eastAsia"/>
              </w:rPr>
              <w:t>本项目属于废旧资源回收再生利用项目,生产过程中并未使用有毒物质</w:t>
            </w:r>
            <w:r>
              <w:rPr>
                <w:rFonts w:hint="eastAsia"/>
                <w:lang w:eastAsia="zh-CN"/>
              </w:rPr>
              <w:t>，</w:t>
            </w:r>
            <w:r>
              <w:rPr>
                <w:rFonts w:hint="eastAsia"/>
              </w:rPr>
              <w:t>原材料为废旧地膜、抗老化剂、黑色母料，属于可燃性危险源。根据物质危险性识别、生产工艺过程风险识别、生产装置、危险物质及工艺系统危险性(P)分级、环境</w:t>
            </w:r>
            <w:r>
              <w:rPr>
                <w:rFonts w:hint="eastAsia"/>
                <w:lang w:eastAsia="zh-CN"/>
              </w:rPr>
              <w:t>敏感</w:t>
            </w:r>
            <w:r>
              <w:rPr>
                <w:rFonts w:hint="eastAsia"/>
              </w:rPr>
              <w:t>程度分级、环境风险潜势判断，确定各环境要素环境风险潜势等级均为I，根据《建设项目环境风险评价技术导则》(HJ/T169-2018)环境风险评价工作等级为简单分析，评价深度以定性说明为主，环境风险评价对其进行了简要定性分析。最终确定环境风险可控，处于可接受水平。</w:t>
            </w:r>
          </w:p>
        </w:tc>
      </w:tr>
    </w:tbl>
    <w:p w14:paraId="1F41AF4A">
      <w:pPr>
        <w:ind w:firstLine="480" w:firstLineChars="200"/>
        <w:rPr>
          <w:color w:val="000000"/>
        </w:rPr>
      </w:pPr>
      <w:r>
        <w:rPr>
          <w:rFonts w:hint="eastAsia"/>
          <w:color w:val="000000"/>
          <w:sz w:val="24"/>
        </w:rPr>
        <w:t>建设项目环境风险简单分析内容见表5.2-3</w:t>
      </w:r>
      <w:r>
        <w:rPr>
          <w:rFonts w:hint="eastAsia"/>
          <w:color w:val="000000"/>
          <w:sz w:val="24"/>
          <w:lang w:val="en-US" w:eastAsia="zh-CN"/>
        </w:rPr>
        <w:t>8</w:t>
      </w:r>
      <w:r>
        <w:rPr>
          <w:rFonts w:hint="eastAsia"/>
          <w:color w:val="000000"/>
          <w:sz w:val="24"/>
        </w:rPr>
        <w:t>。</w:t>
      </w:r>
    </w:p>
    <w:p w14:paraId="27F70878">
      <w:pPr>
        <w:jc w:val="center"/>
        <w:rPr>
          <w:rFonts w:hint="eastAsia"/>
          <w:b/>
          <w:bCs/>
          <w:color w:val="000000"/>
          <w:szCs w:val="21"/>
        </w:rPr>
      </w:pPr>
    </w:p>
    <w:p w14:paraId="35EE5A23">
      <w:pPr>
        <w:jc w:val="center"/>
        <w:rPr>
          <w:b/>
          <w:bCs/>
          <w:color w:val="000000"/>
          <w:szCs w:val="21"/>
        </w:rPr>
      </w:pPr>
      <w:r>
        <w:rPr>
          <w:rFonts w:hint="eastAsia"/>
          <w:b/>
          <w:bCs/>
          <w:color w:val="000000"/>
          <w:szCs w:val="21"/>
        </w:rPr>
        <w:t>表5.2-3</w:t>
      </w:r>
      <w:r>
        <w:rPr>
          <w:rFonts w:hint="eastAsia"/>
          <w:b/>
          <w:bCs/>
          <w:color w:val="000000"/>
          <w:szCs w:val="21"/>
          <w:lang w:val="en-US" w:eastAsia="zh-CN"/>
        </w:rPr>
        <w:t>8</w:t>
      </w:r>
      <w:r>
        <w:rPr>
          <w:rFonts w:hint="eastAsia"/>
          <w:b/>
          <w:bCs/>
          <w:color w:val="000000"/>
          <w:szCs w:val="21"/>
        </w:rPr>
        <w:t xml:space="preserve">     环境风险评价自查表</w:t>
      </w:r>
    </w:p>
    <w:tbl>
      <w:tblPr>
        <w:tblStyle w:val="49"/>
        <w:tblW w:w="4991"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57" w:type="dxa"/>
          <w:bottom w:w="0" w:type="dxa"/>
          <w:right w:w="57" w:type="dxa"/>
        </w:tblCellMar>
      </w:tblPr>
      <w:tblGrid>
        <w:gridCol w:w="507"/>
        <w:gridCol w:w="800"/>
        <w:gridCol w:w="1315"/>
        <w:gridCol w:w="1866"/>
        <w:gridCol w:w="1204"/>
        <w:gridCol w:w="1427"/>
        <w:gridCol w:w="1286"/>
      </w:tblGrid>
      <w:tr w14:paraId="51C775A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105" w:hRule="atLeast"/>
          <w:jc w:val="center"/>
        </w:trPr>
        <w:tc>
          <w:tcPr>
            <w:tcW w:w="1560" w:type="pct"/>
            <w:gridSpan w:val="3"/>
            <w:tcBorders>
              <w:tl2br w:val="nil"/>
              <w:tr2bl w:val="nil"/>
            </w:tcBorders>
            <w:vAlign w:val="center"/>
          </w:tcPr>
          <w:p w14:paraId="1404C9A8">
            <w:pPr>
              <w:pStyle w:val="240"/>
              <w:rPr>
                <w:rFonts w:hint="default"/>
              </w:rPr>
            </w:pPr>
            <w:r>
              <w:rPr>
                <w:rFonts w:hint="default"/>
              </w:rPr>
              <w:t>工作内容</w:t>
            </w:r>
          </w:p>
        </w:tc>
        <w:tc>
          <w:tcPr>
            <w:tcW w:w="3439" w:type="pct"/>
            <w:gridSpan w:val="4"/>
            <w:tcBorders>
              <w:tl2br w:val="nil"/>
              <w:tr2bl w:val="nil"/>
            </w:tcBorders>
            <w:vAlign w:val="center"/>
          </w:tcPr>
          <w:p w14:paraId="16B8FCD0">
            <w:pPr>
              <w:pStyle w:val="240"/>
              <w:rPr>
                <w:rFonts w:hint="default"/>
              </w:rPr>
            </w:pPr>
            <w:r>
              <w:rPr>
                <w:rFonts w:hint="default"/>
              </w:rPr>
              <w:t>完成情况</w:t>
            </w:r>
          </w:p>
        </w:tc>
      </w:tr>
      <w:tr w14:paraId="6763CBB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100" w:hRule="atLeast"/>
          <w:jc w:val="center"/>
        </w:trPr>
        <w:tc>
          <w:tcPr>
            <w:tcW w:w="302" w:type="pct"/>
            <w:vMerge w:val="restart"/>
            <w:tcBorders>
              <w:tl2br w:val="nil"/>
              <w:tr2bl w:val="nil"/>
            </w:tcBorders>
            <w:vAlign w:val="center"/>
          </w:tcPr>
          <w:p w14:paraId="6BFA5DF0">
            <w:pPr>
              <w:pStyle w:val="240"/>
              <w:rPr>
                <w:rFonts w:hint="default"/>
              </w:rPr>
            </w:pPr>
            <w:r>
              <w:rPr>
                <w:rFonts w:hint="default"/>
              </w:rPr>
              <w:t>风险调查</w:t>
            </w:r>
          </w:p>
        </w:tc>
        <w:tc>
          <w:tcPr>
            <w:tcW w:w="475" w:type="pct"/>
            <w:vMerge w:val="restart"/>
            <w:tcBorders>
              <w:tl2br w:val="nil"/>
              <w:tr2bl w:val="nil"/>
            </w:tcBorders>
            <w:vAlign w:val="center"/>
          </w:tcPr>
          <w:p w14:paraId="7EF2B632">
            <w:pPr>
              <w:pStyle w:val="240"/>
              <w:rPr>
                <w:rFonts w:hint="default"/>
              </w:rPr>
            </w:pPr>
            <w:r>
              <w:rPr>
                <w:rFonts w:hint="default"/>
              </w:rPr>
              <w:t>危险物质</w:t>
            </w:r>
          </w:p>
        </w:tc>
        <w:tc>
          <w:tcPr>
            <w:tcW w:w="781" w:type="pct"/>
            <w:tcBorders>
              <w:tl2br w:val="nil"/>
              <w:tr2bl w:val="nil"/>
            </w:tcBorders>
            <w:vAlign w:val="center"/>
          </w:tcPr>
          <w:p w14:paraId="40449FAA">
            <w:pPr>
              <w:pStyle w:val="240"/>
              <w:rPr>
                <w:rFonts w:hint="default"/>
              </w:rPr>
            </w:pPr>
            <w:r>
              <w:rPr>
                <w:rFonts w:hint="default"/>
              </w:rPr>
              <w:t>名称</w:t>
            </w:r>
          </w:p>
        </w:tc>
        <w:tc>
          <w:tcPr>
            <w:tcW w:w="3439" w:type="pct"/>
            <w:gridSpan w:val="4"/>
            <w:tcBorders>
              <w:tl2br w:val="nil"/>
              <w:tr2bl w:val="nil"/>
            </w:tcBorders>
            <w:vAlign w:val="center"/>
          </w:tcPr>
          <w:p w14:paraId="23AE0E35">
            <w:pPr>
              <w:pStyle w:val="240"/>
              <w:rPr>
                <w:rFonts w:hint="default"/>
              </w:rPr>
            </w:pPr>
            <w:r>
              <w:t>废润滑油</w:t>
            </w:r>
          </w:p>
        </w:tc>
      </w:tr>
      <w:tr w14:paraId="6A987BE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100" w:hRule="atLeast"/>
          <w:jc w:val="center"/>
        </w:trPr>
        <w:tc>
          <w:tcPr>
            <w:tcW w:w="302" w:type="pct"/>
            <w:vMerge w:val="continue"/>
            <w:tcBorders>
              <w:tl2br w:val="nil"/>
              <w:tr2bl w:val="nil"/>
            </w:tcBorders>
            <w:vAlign w:val="center"/>
          </w:tcPr>
          <w:p w14:paraId="7A8BEC3F">
            <w:pPr>
              <w:pStyle w:val="240"/>
              <w:rPr>
                <w:rFonts w:hint="default"/>
              </w:rPr>
            </w:pPr>
          </w:p>
        </w:tc>
        <w:tc>
          <w:tcPr>
            <w:tcW w:w="475" w:type="pct"/>
            <w:vMerge w:val="continue"/>
            <w:tcBorders>
              <w:tl2br w:val="nil"/>
              <w:tr2bl w:val="nil"/>
            </w:tcBorders>
            <w:vAlign w:val="center"/>
          </w:tcPr>
          <w:p w14:paraId="64F31DE0">
            <w:pPr>
              <w:pStyle w:val="240"/>
              <w:rPr>
                <w:rFonts w:hint="default"/>
              </w:rPr>
            </w:pPr>
          </w:p>
        </w:tc>
        <w:tc>
          <w:tcPr>
            <w:tcW w:w="781" w:type="pct"/>
            <w:tcBorders>
              <w:tl2br w:val="nil"/>
              <w:tr2bl w:val="nil"/>
            </w:tcBorders>
            <w:vAlign w:val="center"/>
          </w:tcPr>
          <w:p w14:paraId="5DCE1747">
            <w:pPr>
              <w:pStyle w:val="240"/>
              <w:rPr>
                <w:rFonts w:hint="default"/>
              </w:rPr>
            </w:pPr>
            <w:r>
              <w:rPr>
                <w:rFonts w:hint="default"/>
              </w:rPr>
              <w:t>存在总量/t</w:t>
            </w:r>
          </w:p>
        </w:tc>
        <w:tc>
          <w:tcPr>
            <w:tcW w:w="3439" w:type="pct"/>
            <w:gridSpan w:val="4"/>
            <w:tcBorders>
              <w:tl2br w:val="nil"/>
              <w:tr2bl w:val="nil"/>
            </w:tcBorders>
            <w:vAlign w:val="center"/>
          </w:tcPr>
          <w:p w14:paraId="465FF721">
            <w:pPr>
              <w:pStyle w:val="240"/>
              <w:rPr>
                <w:rFonts w:hint="default"/>
              </w:rPr>
            </w:pPr>
            <w:r>
              <w:t>0.12</w:t>
            </w:r>
          </w:p>
        </w:tc>
      </w:tr>
      <w:tr w14:paraId="3E25967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100" w:hRule="atLeast"/>
          <w:jc w:val="center"/>
        </w:trPr>
        <w:tc>
          <w:tcPr>
            <w:tcW w:w="302" w:type="pct"/>
            <w:vMerge w:val="continue"/>
            <w:tcBorders>
              <w:tl2br w:val="nil"/>
              <w:tr2bl w:val="nil"/>
            </w:tcBorders>
            <w:vAlign w:val="center"/>
          </w:tcPr>
          <w:p w14:paraId="76D59791">
            <w:pPr>
              <w:pStyle w:val="240"/>
              <w:rPr>
                <w:rFonts w:hint="default"/>
              </w:rPr>
            </w:pPr>
          </w:p>
        </w:tc>
        <w:tc>
          <w:tcPr>
            <w:tcW w:w="475" w:type="pct"/>
            <w:vMerge w:val="restart"/>
            <w:tcBorders>
              <w:tl2br w:val="nil"/>
              <w:tr2bl w:val="nil"/>
            </w:tcBorders>
            <w:vAlign w:val="center"/>
          </w:tcPr>
          <w:p w14:paraId="7B248949">
            <w:pPr>
              <w:pStyle w:val="240"/>
              <w:rPr>
                <w:rFonts w:hint="default"/>
              </w:rPr>
            </w:pPr>
            <w:r>
              <w:rPr>
                <w:rFonts w:hint="default"/>
              </w:rPr>
              <w:t>环境敏感性</w:t>
            </w:r>
          </w:p>
        </w:tc>
        <w:tc>
          <w:tcPr>
            <w:tcW w:w="781" w:type="pct"/>
            <w:vMerge w:val="restart"/>
            <w:tcBorders>
              <w:tl2br w:val="nil"/>
              <w:tr2bl w:val="nil"/>
            </w:tcBorders>
            <w:vAlign w:val="center"/>
          </w:tcPr>
          <w:p w14:paraId="43B3C036">
            <w:pPr>
              <w:pStyle w:val="240"/>
              <w:rPr>
                <w:rFonts w:hint="default"/>
              </w:rPr>
            </w:pPr>
            <w:r>
              <w:rPr>
                <w:rFonts w:hint="default"/>
              </w:rPr>
              <w:t>大气</w:t>
            </w:r>
          </w:p>
        </w:tc>
        <w:tc>
          <w:tcPr>
            <w:tcW w:w="1826" w:type="pct"/>
            <w:gridSpan w:val="2"/>
            <w:tcBorders>
              <w:tl2br w:val="nil"/>
              <w:tr2bl w:val="nil"/>
            </w:tcBorders>
            <w:vAlign w:val="center"/>
          </w:tcPr>
          <w:p w14:paraId="61E1B9D9">
            <w:pPr>
              <w:pStyle w:val="240"/>
              <w:rPr>
                <w:rFonts w:hint="default"/>
              </w:rPr>
            </w:pPr>
            <w:r>
              <w:rPr>
                <w:rFonts w:hint="default"/>
              </w:rPr>
              <w:t>500m范围内人口数</w:t>
            </w:r>
            <w:r>
              <w:t>0</w:t>
            </w:r>
            <w:r>
              <w:rPr>
                <w:rFonts w:hint="default"/>
              </w:rPr>
              <w:t>人</w:t>
            </w:r>
          </w:p>
        </w:tc>
        <w:tc>
          <w:tcPr>
            <w:tcW w:w="1613" w:type="pct"/>
            <w:gridSpan w:val="2"/>
            <w:tcBorders>
              <w:tl2br w:val="nil"/>
              <w:tr2bl w:val="nil"/>
            </w:tcBorders>
            <w:vAlign w:val="center"/>
          </w:tcPr>
          <w:p w14:paraId="2BA398B1">
            <w:pPr>
              <w:pStyle w:val="240"/>
              <w:rPr>
                <w:rFonts w:hint="default"/>
              </w:rPr>
            </w:pPr>
            <w:r>
              <w:rPr>
                <w:rFonts w:hint="default"/>
              </w:rPr>
              <w:t xml:space="preserve">5km范围内人口数 </w:t>
            </w:r>
            <w:r>
              <w:t>251</w:t>
            </w:r>
            <w:r>
              <w:rPr>
                <w:rFonts w:hint="default"/>
              </w:rPr>
              <w:t>人</w:t>
            </w:r>
          </w:p>
        </w:tc>
      </w:tr>
      <w:tr w14:paraId="7007A05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195" w:hRule="atLeast"/>
          <w:jc w:val="center"/>
        </w:trPr>
        <w:tc>
          <w:tcPr>
            <w:tcW w:w="302" w:type="pct"/>
            <w:vMerge w:val="continue"/>
            <w:tcBorders>
              <w:tl2br w:val="nil"/>
              <w:tr2bl w:val="nil"/>
            </w:tcBorders>
            <w:vAlign w:val="center"/>
          </w:tcPr>
          <w:p w14:paraId="430B3198">
            <w:pPr>
              <w:pStyle w:val="240"/>
              <w:rPr>
                <w:rFonts w:hint="default"/>
              </w:rPr>
            </w:pPr>
          </w:p>
        </w:tc>
        <w:tc>
          <w:tcPr>
            <w:tcW w:w="475" w:type="pct"/>
            <w:vMerge w:val="continue"/>
            <w:tcBorders>
              <w:tl2br w:val="nil"/>
              <w:tr2bl w:val="nil"/>
            </w:tcBorders>
            <w:vAlign w:val="center"/>
          </w:tcPr>
          <w:p w14:paraId="1F7A7B8C">
            <w:pPr>
              <w:pStyle w:val="240"/>
              <w:rPr>
                <w:rFonts w:hint="default"/>
              </w:rPr>
            </w:pPr>
          </w:p>
        </w:tc>
        <w:tc>
          <w:tcPr>
            <w:tcW w:w="781" w:type="pct"/>
            <w:vMerge w:val="continue"/>
            <w:tcBorders>
              <w:tl2br w:val="nil"/>
              <w:tr2bl w:val="nil"/>
            </w:tcBorders>
            <w:vAlign w:val="center"/>
          </w:tcPr>
          <w:p w14:paraId="38E26FD8">
            <w:pPr>
              <w:pStyle w:val="240"/>
              <w:rPr>
                <w:rFonts w:hint="default"/>
              </w:rPr>
            </w:pPr>
          </w:p>
        </w:tc>
        <w:tc>
          <w:tcPr>
            <w:tcW w:w="2675" w:type="pct"/>
            <w:gridSpan w:val="3"/>
            <w:tcBorders>
              <w:tl2br w:val="nil"/>
              <w:tr2bl w:val="nil"/>
            </w:tcBorders>
            <w:vAlign w:val="center"/>
          </w:tcPr>
          <w:p w14:paraId="61E97DF8">
            <w:pPr>
              <w:pStyle w:val="240"/>
              <w:rPr>
                <w:rFonts w:hint="default"/>
              </w:rPr>
            </w:pPr>
            <w:r>
              <w:rPr>
                <w:rFonts w:hint="default"/>
              </w:rPr>
              <w:t>每公里管段周边200m范围内人口数（最大）</w:t>
            </w:r>
          </w:p>
        </w:tc>
        <w:tc>
          <w:tcPr>
            <w:tcW w:w="764" w:type="pct"/>
            <w:tcBorders>
              <w:tl2br w:val="nil"/>
              <w:tr2bl w:val="nil"/>
            </w:tcBorders>
            <w:vAlign w:val="center"/>
          </w:tcPr>
          <w:p w14:paraId="55927E64">
            <w:pPr>
              <w:pStyle w:val="240"/>
              <w:rPr>
                <w:rFonts w:hint="default"/>
              </w:rPr>
            </w:pPr>
            <w:r>
              <w:rPr>
                <w:rFonts w:hint="default"/>
              </w:rPr>
              <w:t xml:space="preserve">   /   人</w:t>
            </w:r>
          </w:p>
        </w:tc>
      </w:tr>
      <w:tr w14:paraId="6805EBC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195" w:hRule="atLeast"/>
          <w:jc w:val="center"/>
        </w:trPr>
        <w:tc>
          <w:tcPr>
            <w:tcW w:w="302" w:type="pct"/>
            <w:vMerge w:val="continue"/>
            <w:tcBorders>
              <w:tl2br w:val="nil"/>
              <w:tr2bl w:val="nil"/>
            </w:tcBorders>
            <w:vAlign w:val="center"/>
          </w:tcPr>
          <w:p w14:paraId="6F9FE80C">
            <w:pPr>
              <w:pStyle w:val="240"/>
              <w:rPr>
                <w:rFonts w:hint="default"/>
              </w:rPr>
            </w:pPr>
          </w:p>
        </w:tc>
        <w:tc>
          <w:tcPr>
            <w:tcW w:w="475" w:type="pct"/>
            <w:vMerge w:val="continue"/>
            <w:tcBorders>
              <w:tl2br w:val="nil"/>
              <w:tr2bl w:val="nil"/>
            </w:tcBorders>
            <w:vAlign w:val="center"/>
          </w:tcPr>
          <w:p w14:paraId="649613A9">
            <w:pPr>
              <w:pStyle w:val="240"/>
              <w:rPr>
                <w:rFonts w:hint="default"/>
              </w:rPr>
            </w:pPr>
          </w:p>
        </w:tc>
        <w:tc>
          <w:tcPr>
            <w:tcW w:w="781" w:type="pct"/>
            <w:vMerge w:val="restart"/>
            <w:tcBorders>
              <w:tl2br w:val="nil"/>
              <w:tr2bl w:val="nil"/>
            </w:tcBorders>
            <w:vAlign w:val="center"/>
          </w:tcPr>
          <w:p w14:paraId="6C7D2B9C">
            <w:pPr>
              <w:pStyle w:val="240"/>
              <w:rPr>
                <w:rFonts w:hint="default"/>
              </w:rPr>
            </w:pPr>
            <w:r>
              <w:rPr>
                <w:rFonts w:hint="default"/>
              </w:rPr>
              <w:t>地表水</w:t>
            </w:r>
          </w:p>
        </w:tc>
        <w:tc>
          <w:tcPr>
            <w:tcW w:w="1110" w:type="pct"/>
            <w:tcBorders>
              <w:tl2br w:val="nil"/>
              <w:tr2bl w:val="nil"/>
            </w:tcBorders>
            <w:vAlign w:val="center"/>
          </w:tcPr>
          <w:p w14:paraId="18FEEB1F">
            <w:pPr>
              <w:pStyle w:val="240"/>
              <w:rPr>
                <w:rFonts w:hint="default"/>
              </w:rPr>
            </w:pPr>
            <w:r>
              <w:rPr>
                <w:rFonts w:hint="default"/>
              </w:rPr>
              <w:t>地表水功能敏感性</w:t>
            </w:r>
          </w:p>
        </w:tc>
        <w:tc>
          <w:tcPr>
            <w:tcW w:w="715" w:type="pct"/>
            <w:tcBorders>
              <w:tl2br w:val="nil"/>
              <w:tr2bl w:val="nil"/>
            </w:tcBorders>
            <w:vAlign w:val="center"/>
          </w:tcPr>
          <w:p w14:paraId="068ECA06">
            <w:pPr>
              <w:pStyle w:val="240"/>
              <w:rPr>
                <w:rFonts w:hint="default"/>
              </w:rPr>
            </w:pPr>
            <w:r>
              <w:rPr>
                <w:rFonts w:hint="default"/>
              </w:rPr>
              <w:t xml:space="preserve">F1 </w:t>
            </w:r>
            <w:r>
              <w:rPr>
                <w:rFonts w:hint="default"/>
              </w:rPr>
              <w:sym w:font="Wingdings 2" w:char="F0A3"/>
            </w:r>
          </w:p>
        </w:tc>
        <w:tc>
          <w:tcPr>
            <w:tcW w:w="848" w:type="pct"/>
            <w:tcBorders>
              <w:tl2br w:val="nil"/>
              <w:tr2bl w:val="nil"/>
            </w:tcBorders>
            <w:vAlign w:val="center"/>
          </w:tcPr>
          <w:p w14:paraId="2EE8FFC7">
            <w:pPr>
              <w:pStyle w:val="240"/>
              <w:rPr>
                <w:rFonts w:hint="default"/>
              </w:rPr>
            </w:pPr>
            <w:r>
              <w:rPr>
                <w:rFonts w:hint="default"/>
              </w:rPr>
              <w:t xml:space="preserve">F2 </w:t>
            </w:r>
            <w:r>
              <w:rPr>
                <w:rFonts w:hint="default"/>
              </w:rPr>
              <w:sym w:font="Wingdings 2" w:char="F0A3"/>
            </w:r>
          </w:p>
        </w:tc>
        <w:tc>
          <w:tcPr>
            <w:tcW w:w="764" w:type="pct"/>
            <w:tcBorders>
              <w:tl2br w:val="nil"/>
              <w:tr2bl w:val="nil"/>
            </w:tcBorders>
            <w:vAlign w:val="center"/>
          </w:tcPr>
          <w:p w14:paraId="3BA94697">
            <w:pPr>
              <w:pStyle w:val="240"/>
              <w:rPr>
                <w:rFonts w:hint="default"/>
              </w:rPr>
            </w:pPr>
            <w:r>
              <w:rPr>
                <w:rFonts w:hint="default"/>
              </w:rPr>
              <w:t xml:space="preserve">F3 </w:t>
            </w:r>
            <w:r>
              <w:rPr>
                <w:rFonts w:hint="default"/>
              </w:rPr>
              <w:sym w:font="Wingdings 2" w:char="F052"/>
            </w:r>
          </w:p>
        </w:tc>
      </w:tr>
      <w:tr w14:paraId="30E0D9D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195" w:hRule="atLeast"/>
          <w:jc w:val="center"/>
        </w:trPr>
        <w:tc>
          <w:tcPr>
            <w:tcW w:w="302" w:type="pct"/>
            <w:vMerge w:val="continue"/>
            <w:tcBorders>
              <w:tl2br w:val="nil"/>
              <w:tr2bl w:val="nil"/>
            </w:tcBorders>
            <w:vAlign w:val="center"/>
          </w:tcPr>
          <w:p w14:paraId="4632A109">
            <w:pPr>
              <w:pStyle w:val="240"/>
              <w:rPr>
                <w:rFonts w:hint="default"/>
              </w:rPr>
            </w:pPr>
          </w:p>
        </w:tc>
        <w:tc>
          <w:tcPr>
            <w:tcW w:w="475" w:type="pct"/>
            <w:vMerge w:val="continue"/>
            <w:tcBorders>
              <w:tl2br w:val="nil"/>
              <w:tr2bl w:val="nil"/>
            </w:tcBorders>
            <w:vAlign w:val="center"/>
          </w:tcPr>
          <w:p w14:paraId="1F58A027">
            <w:pPr>
              <w:pStyle w:val="240"/>
              <w:rPr>
                <w:rFonts w:hint="default"/>
              </w:rPr>
            </w:pPr>
          </w:p>
        </w:tc>
        <w:tc>
          <w:tcPr>
            <w:tcW w:w="781" w:type="pct"/>
            <w:vMerge w:val="continue"/>
            <w:tcBorders>
              <w:tl2br w:val="nil"/>
              <w:tr2bl w:val="nil"/>
            </w:tcBorders>
            <w:vAlign w:val="center"/>
          </w:tcPr>
          <w:p w14:paraId="2604AF64">
            <w:pPr>
              <w:pStyle w:val="240"/>
              <w:rPr>
                <w:rFonts w:hint="default"/>
              </w:rPr>
            </w:pPr>
          </w:p>
        </w:tc>
        <w:tc>
          <w:tcPr>
            <w:tcW w:w="1110" w:type="pct"/>
            <w:tcBorders>
              <w:tl2br w:val="nil"/>
              <w:tr2bl w:val="nil"/>
            </w:tcBorders>
            <w:vAlign w:val="center"/>
          </w:tcPr>
          <w:p w14:paraId="1CC96426">
            <w:pPr>
              <w:pStyle w:val="240"/>
              <w:rPr>
                <w:rFonts w:hint="default"/>
              </w:rPr>
            </w:pPr>
            <w:r>
              <w:rPr>
                <w:rFonts w:hint="default"/>
              </w:rPr>
              <w:t>环境敏感目标分级</w:t>
            </w:r>
          </w:p>
        </w:tc>
        <w:tc>
          <w:tcPr>
            <w:tcW w:w="715" w:type="pct"/>
            <w:tcBorders>
              <w:tl2br w:val="nil"/>
              <w:tr2bl w:val="nil"/>
            </w:tcBorders>
            <w:vAlign w:val="center"/>
          </w:tcPr>
          <w:p w14:paraId="7513D0F4">
            <w:pPr>
              <w:pStyle w:val="240"/>
              <w:rPr>
                <w:rFonts w:hint="default"/>
              </w:rPr>
            </w:pPr>
            <w:r>
              <w:rPr>
                <w:rFonts w:hint="default"/>
              </w:rPr>
              <w:t xml:space="preserve">S1 </w:t>
            </w:r>
            <w:r>
              <w:rPr>
                <w:rFonts w:hint="default"/>
              </w:rPr>
              <w:sym w:font="Wingdings 2" w:char="F0A3"/>
            </w:r>
          </w:p>
        </w:tc>
        <w:tc>
          <w:tcPr>
            <w:tcW w:w="848" w:type="pct"/>
            <w:tcBorders>
              <w:tl2br w:val="nil"/>
              <w:tr2bl w:val="nil"/>
            </w:tcBorders>
            <w:vAlign w:val="center"/>
          </w:tcPr>
          <w:p w14:paraId="144427F7">
            <w:pPr>
              <w:pStyle w:val="240"/>
              <w:rPr>
                <w:rFonts w:hint="default"/>
              </w:rPr>
            </w:pPr>
            <w:r>
              <w:rPr>
                <w:rFonts w:hint="default"/>
              </w:rPr>
              <w:t xml:space="preserve">S2 </w:t>
            </w:r>
            <w:r>
              <w:rPr>
                <w:rFonts w:hint="default"/>
              </w:rPr>
              <w:sym w:font="Wingdings 2" w:char="F0A3"/>
            </w:r>
          </w:p>
        </w:tc>
        <w:tc>
          <w:tcPr>
            <w:tcW w:w="764" w:type="pct"/>
            <w:tcBorders>
              <w:tl2br w:val="nil"/>
              <w:tr2bl w:val="nil"/>
            </w:tcBorders>
            <w:vAlign w:val="center"/>
          </w:tcPr>
          <w:p w14:paraId="15BDE402">
            <w:pPr>
              <w:pStyle w:val="240"/>
              <w:rPr>
                <w:rFonts w:hint="default"/>
              </w:rPr>
            </w:pPr>
            <w:r>
              <w:rPr>
                <w:rFonts w:hint="default"/>
              </w:rPr>
              <w:t xml:space="preserve">S3 </w:t>
            </w:r>
            <w:r>
              <w:rPr>
                <w:rFonts w:hint="default"/>
              </w:rPr>
              <w:sym w:font="Wingdings 2" w:char="F052"/>
            </w:r>
          </w:p>
        </w:tc>
      </w:tr>
      <w:tr w14:paraId="020DD5D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195" w:hRule="atLeast"/>
          <w:jc w:val="center"/>
        </w:trPr>
        <w:tc>
          <w:tcPr>
            <w:tcW w:w="302" w:type="pct"/>
            <w:vMerge w:val="continue"/>
            <w:tcBorders>
              <w:tl2br w:val="nil"/>
              <w:tr2bl w:val="nil"/>
            </w:tcBorders>
            <w:vAlign w:val="center"/>
          </w:tcPr>
          <w:p w14:paraId="3D1136DD">
            <w:pPr>
              <w:pStyle w:val="240"/>
              <w:rPr>
                <w:rFonts w:hint="default"/>
              </w:rPr>
            </w:pPr>
          </w:p>
        </w:tc>
        <w:tc>
          <w:tcPr>
            <w:tcW w:w="475" w:type="pct"/>
            <w:vMerge w:val="continue"/>
            <w:tcBorders>
              <w:tl2br w:val="nil"/>
              <w:tr2bl w:val="nil"/>
            </w:tcBorders>
            <w:vAlign w:val="center"/>
          </w:tcPr>
          <w:p w14:paraId="58729380">
            <w:pPr>
              <w:pStyle w:val="240"/>
              <w:rPr>
                <w:rFonts w:hint="default"/>
              </w:rPr>
            </w:pPr>
          </w:p>
        </w:tc>
        <w:tc>
          <w:tcPr>
            <w:tcW w:w="781" w:type="pct"/>
            <w:vMerge w:val="restart"/>
            <w:tcBorders>
              <w:tl2br w:val="nil"/>
              <w:tr2bl w:val="nil"/>
            </w:tcBorders>
            <w:vAlign w:val="center"/>
          </w:tcPr>
          <w:p w14:paraId="3E917FD3">
            <w:pPr>
              <w:pStyle w:val="240"/>
              <w:rPr>
                <w:rFonts w:hint="default"/>
              </w:rPr>
            </w:pPr>
            <w:r>
              <w:rPr>
                <w:rFonts w:hint="default"/>
              </w:rPr>
              <w:t>地下水</w:t>
            </w:r>
          </w:p>
        </w:tc>
        <w:tc>
          <w:tcPr>
            <w:tcW w:w="1110" w:type="pct"/>
            <w:tcBorders>
              <w:tl2br w:val="nil"/>
              <w:tr2bl w:val="nil"/>
            </w:tcBorders>
            <w:vAlign w:val="center"/>
          </w:tcPr>
          <w:p w14:paraId="6EE191D3">
            <w:pPr>
              <w:pStyle w:val="240"/>
              <w:rPr>
                <w:rFonts w:hint="default"/>
              </w:rPr>
            </w:pPr>
            <w:r>
              <w:rPr>
                <w:rFonts w:hint="default"/>
              </w:rPr>
              <w:t>地下水功能敏感性</w:t>
            </w:r>
          </w:p>
        </w:tc>
        <w:tc>
          <w:tcPr>
            <w:tcW w:w="715" w:type="pct"/>
            <w:tcBorders>
              <w:tl2br w:val="nil"/>
              <w:tr2bl w:val="nil"/>
            </w:tcBorders>
            <w:vAlign w:val="center"/>
          </w:tcPr>
          <w:p w14:paraId="5EA43320">
            <w:pPr>
              <w:pStyle w:val="240"/>
              <w:rPr>
                <w:rFonts w:hint="default"/>
              </w:rPr>
            </w:pPr>
            <w:r>
              <w:rPr>
                <w:rFonts w:hint="default"/>
              </w:rPr>
              <w:t xml:space="preserve">G1 </w:t>
            </w:r>
            <w:r>
              <w:rPr>
                <w:rFonts w:hint="default"/>
              </w:rPr>
              <w:sym w:font="Wingdings 2" w:char="F0A3"/>
            </w:r>
          </w:p>
        </w:tc>
        <w:tc>
          <w:tcPr>
            <w:tcW w:w="848" w:type="pct"/>
            <w:tcBorders>
              <w:tl2br w:val="nil"/>
              <w:tr2bl w:val="nil"/>
            </w:tcBorders>
            <w:vAlign w:val="center"/>
          </w:tcPr>
          <w:p w14:paraId="5C4A4CFB">
            <w:pPr>
              <w:pStyle w:val="240"/>
              <w:rPr>
                <w:rFonts w:hint="default"/>
              </w:rPr>
            </w:pPr>
            <w:r>
              <w:rPr>
                <w:rFonts w:hint="default"/>
              </w:rPr>
              <w:t xml:space="preserve">G2 </w:t>
            </w:r>
            <w:r>
              <w:rPr>
                <w:rFonts w:hint="default"/>
              </w:rPr>
              <w:sym w:font="Wingdings 2" w:char="F0A3"/>
            </w:r>
          </w:p>
        </w:tc>
        <w:tc>
          <w:tcPr>
            <w:tcW w:w="764" w:type="pct"/>
            <w:tcBorders>
              <w:tl2br w:val="nil"/>
              <w:tr2bl w:val="nil"/>
            </w:tcBorders>
            <w:vAlign w:val="center"/>
          </w:tcPr>
          <w:p w14:paraId="29782AC7">
            <w:pPr>
              <w:pStyle w:val="240"/>
              <w:rPr>
                <w:rFonts w:hint="default"/>
              </w:rPr>
            </w:pPr>
            <w:r>
              <w:rPr>
                <w:rFonts w:hint="default"/>
              </w:rPr>
              <w:t xml:space="preserve">G3 </w:t>
            </w:r>
            <w:r>
              <w:rPr>
                <w:rFonts w:hint="default"/>
              </w:rPr>
              <w:sym w:font="Wingdings 2" w:char="F052"/>
            </w:r>
          </w:p>
        </w:tc>
      </w:tr>
      <w:tr w14:paraId="6888C52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195" w:hRule="atLeast"/>
          <w:jc w:val="center"/>
        </w:trPr>
        <w:tc>
          <w:tcPr>
            <w:tcW w:w="302" w:type="pct"/>
            <w:vMerge w:val="continue"/>
            <w:tcBorders>
              <w:tl2br w:val="nil"/>
              <w:tr2bl w:val="nil"/>
            </w:tcBorders>
            <w:vAlign w:val="center"/>
          </w:tcPr>
          <w:p w14:paraId="67D209EC">
            <w:pPr>
              <w:pStyle w:val="240"/>
              <w:rPr>
                <w:rFonts w:hint="default"/>
              </w:rPr>
            </w:pPr>
          </w:p>
        </w:tc>
        <w:tc>
          <w:tcPr>
            <w:tcW w:w="475" w:type="pct"/>
            <w:vMerge w:val="continue"/>
            <w:tcBorders>
              <w:tl2br w:val="nil"/>
              <w:tr2bl w:val="nil"/>
            </w:tcBorders>
            <w:vAlign w:val="center"/>
          </w:tcPr>
          <w:p w14:paraId="7FD39AFE">
            <w:pPr>
              <w:pStyle w:val="240"/>
              <w:rPr>
                <w:rFonts w:hint="default"/>
              </w:rPr>
            </w:pPr>
          </w:p>
        </w:tc>
        <w:tc>
          <w:tcPr>
            <w:tcW w:w="781" w:type="pct"/>
            <w:vMerge w:val="continue"/>
            <w:tcBorders>
              <w:tl2br w:val="nil"/>
              <w:tr2bl w:val="nil"/>
            </w:tcBorders>
            <w:vAlign w:val="center"/>
          </w:tcPr>
          <w:p w14:paraId="73EE0791">
            <w:pPr>
              <w:pStyle w:val="240"/>
              <w:rPr>
                <w:rFonts w:hint="default"/>
              </w:rPr>
            </w:pPr>
          </w:p>
        </w:tc>
        <w:tc>
          <w:tcPr>
            <w:tcW w:w="1110" w:type="pct"/>
            <w:tcBorders>
              <w:tl2br w:val="nil"/>
              <w:tr2bl w:val="nil"/>
            </w:tcBorders>
            <w:vAlign w:val="center"/>
          </w:tcPr>
          <w:p w14:paraId="0DA54B47">
            <w:pPr>
              <w:pStyle w:val="240"/>
              <w:rPr>
                <w:rFonts w:hint="default"/>
              </w:rPr>
            </w:pPr>
            <w:r>
              <w:rPr>
                <w:rFonts w:hint="default"/>
              </w:rPr>
              <w:t>包气带防污性能</w:t>
            </w:r>
          </w:p>
        </w:tc>
        <w:tc>
          <w:tcPr>
            <w:tcW w:w="715" w:type="pct"/>
            <w:tcBorders>
              <w:tl2br w:val="nil"/>
              <w:tr2bl w:val="nil"/>
            </w:tcBorders>
            <w:vAlign w:val="center"/>
          </w:tcPr>
          <w:p w14:paraId="1945912D">
            <w:pPr>
              <w:pStyle w:val="240"/>
              <w:rPr>
                <w:rFonts w:hint="default"/>
              </w:rPr>
            </w:pPr>
            <w:r>
              <w:rPr>
                <w:rFonts w:hint="default"/>
              </w:rPr>
              <w:t xml:space="preserve">D1 </w:t>
            </w:r>
            <w:r>
              <w:rPr>
                <w:rFonts w:hint="default"/>
              </w:rPr>
              <w:sym w:font="Wingdings 2" w:char="F0A3"/>
            </w:r>
          </w:p>
        </w:tc>
        <w:tc>
          <w:tcPr>
            <w:tcW w:w="848" w:type="pct"/>
            <w:tcBorders>
              <w:tl2br w:val="nil"/>
              <w:tr2bl w:val="nil"/>
            </w:tcBorders>
            <w:vAlign w:val="center"/>
          </w:tcPr>
          <w:p w14:paraId="1CDF2F89">
            <w:pPr>
              <w:pStyle w:val="240"/>
              <w:rPr>
                <w:rFonts w:hint="default"/>
              </w:rPr>
            </w:pPr>
            <w:r>
              <w:rPr>
                <w:rFonts w:hint="default"/>
              </w:rPr>
              <w:t xml:space="preserve">D2 </w:t>
            </w:r>
            <w:r>
              <w:rPr>
                <w:rFonts w:hint="default"/>
              </w:rPr>
              <w:sym w:font="Wingdings 2" w:char="F0A3"/>
            </w:r>
          </w:p>
        </w:tc>
        <w:tc>
          <w:tcPr>
            <w:tcW w:w="764" w:type="pct"/>
            <w:tcBorders>
              <w:tl2br w:val="nil"/>
              <w:tr2bl w:val="nil"/>
            </w:tcBorders>
            <w:vAlign w:val="center"/>
          </w:tcPr>
          <w:p w14:paraId="392F597C">
            <w:pPr>
              <w:pStyle w:val="240"/>
              <w:rPr>
                <w:rFonts w:hint="default"/>
              </w:rPr>
            </w:pPr>
            <w:r>
              <w:rPr>
                <w:rFonts w:hint="default"/>
              </w:rPr>
              <w:t xml:space="preserve">D3 </w:t>
            </w:r>
            <w:r>
              <w:rPr>
                <w:rFonts w:hint="default"/>
              </w:rPr>
              <w:sym w:font="Wingdings 2" w:char="F0A3"/>
            </w:r>
          </w:p>
        </w:tc>
      </w:tr>
      <w:tr w14:paraId="6A25C7B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195" w:hRule="atLeast"/>
          <w:jc w:val="center"/>
        </w:trPr>
        <w:tc>
          <w:tcPr>
            <w:tcW w:w="778" w:type="pct"/>
            <w:gridSpan w:val="2"/>
            <w:vMerge w:val="restart"/>
            <w:tcBorders>
              <w:tl2br w:val="nil"/>
              <w:tr2bl w:val="nil"/>
            </w:tcBorders>
            <w:vAlign w:val="center"/>
          </w:tcPr>
          <w:p w14:paraId="62008AF0">
            <w:pPr>
              <w:pStyle w:val="240"/>
              <w:rPr>
                <w:rFonts w:hint="default"/>
              </w:rPr>
            </w:pPr>
            <w:r>
              <w:rPr>
                <w:rFonts w:hint="default"/>
              </w:rPr>
              <w:t>物质及工艺系统危险性</w:t>
            </w:r>
          </w:p>
        </w:tc>
        <w:tc>
          <w:tcPr>
            <w:tcW w:w="781" w:type="pct"/>
            <w:tcBorders>
              <w:tl2br w:val="nil"/>
              <w:tr2bl w:val="nil"/>
            </w:tcBorders>
            <w:vAlign w:val="center"/>
          </w:tcPr>
          <w:p w14:paraId="49DEF93F">
            <w:pPr>
              <w:pStyle w:val="240"/>
              <w:rPr>
                <w:rFonts w:hint="default"/>
              </w:rPr>
            </w:pPr>
            <w:r>
              <w:rPr>
                <w:rFonts w:hint="default"/>
              </w:rPr>
              <w:t>Q值</w:t>
            </w:r>
          </w:p>
        </w:tc>
        <w:tc>
          <w:tcPr>
            <w:tcW w:w="1110" w:type="pct"/>
            <w:tcBorders>
              <w:tl2br w:val="nil"/>
              <w:tr2bl w:val="nil"/>
            </w:tcBorders>
            <w:vAlign w:val="center"/>
          </w:tcPr>
          <w:p w14:paraId="0A0CBA7C">
            <w:pPr>
              <w:pStyle w:val="240"/>
              <w:rPr>
                <w:rFonts w:hint="default"/>
              </w:rPr>
            </w:pPr>
            <w:r>
              <w:rPr>
                <w:rFonts w:hint="default"/>
              </w:rPr>
              <w:t xml:space="preserve">Q&lt;1 </w:t>
            </w:r>
            <w:r>
              <w:rPr>
                <w:rFonts w:hint="default"/>
              </w:rPr>
              <w:sym w:font="Wingdings 2" w:char="F052"/>
            </w:r>
          </w:p>
        </w:tc>
        <w:tc>
          <w:tcPr>
            <w:tcW w:w="715" w:type="pct"/>
            <w:tcBorders>
              <w:tl2br w:val="nil"/>
              <w:tr2bl w:val="nil"/>
            </w:tcBorders>
            <w:vAlign w:val="center"/>
          </w:tcPr>
          <w:p w14:paraId="255ADD4C">
            <w:pPr>
              <w:pStyle w:val="240"/>
              <w:rPr>
                <w:rFonts w:hint="default"/>
              </w:rPr>
            </w:pPr>
            <w:r>
              <w:rPr>
                <w:rFonts w:hint="default"/>
              </w:rPr>
              <w:t xml:space="preserve">1≤Q&lt;10 </w:t>
            </w:r>
            <w:r>
              <w:rPr>
                <w:rFonts w:hint="default"/>
              </w:rPr>
              <w:sym w:font="Wingdings 2" w:char="F0A3"/>
            </w:r>
          </w:p>
        </w:tc>
        <w:tc>
          <w:tcPr>
            <w:tcW w:w="848" w:type="pct"/>
            <w:tcBorders>
              <w:tl2br w:val="nil"/>
              <w:tr2bl w:val="nil"/>
            </w:tcBorders>
            <w:vAlign w:val="center"/>
          </w:tcPr>
          <w:p w14:paraId="29E87391">
            <w:pPr>
              <w:pStyle w:val="240"/>
              <w:rPr>
                <w:rFonts w:hint="default"/>
              </w:rPr>
            </w:pPr>
            <w:r>
              <w:rPr>
                <w:rFonts w:hint="default"/>
              </w:rPr>
              <w:t xml:space="preserve">10≤Q&lt;100 </w:t>
            </w:r>
            <w:r>
              <w:rPr>
                <w:rFonts w:hint="default"/>
              </w:rPr>
              <w:sym w:font="Wingdings 2" w:char="F0A3"/>
            </w:r>
          </w:p>
        </w:tc>
        <w:tc>
          <w:tcPr>
            <w:tcW w:w="764" w:type="pct"/>
            <w:tcBorders>
              <w:tl2br w:val="nil"/>
              <w:tr2bl w:val="nil"/>
            </w:tcBorders>
            <w:vAlign w:val="center"/>
          </w:tcPr>
          <w:p w14:paraId="55A65C0A">
            <w:pPr>
              <w:pStyle w:val="240"/>
              <w:rPr>
                <w:rFonts w:hint="default"/>
              </w:rPr>
            </w:pPr>
            <w:r>
              <w:rPr>
                <w:rFonts w:hint="default"/>
              </w:rPr>
              <w:t xml:space="preserve">Q&gt;100 </w:t>
            </w:r>
            <w:r>
              <w:rPr>
                <w:rFonts w:hint="default"/>
              </w:rPr>
              <w:sym w:font="Wingdings 2" w:char="F0A3"/>
            </w:r>
          </w:p>
        </w:tc>
      </w:tr>
      <w:tr w14:paraId="204FFB0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100" w:hRule="atLeast"/>
          <w:jc w:val="center"/>
        </w:trPr>
        <w:tc>
          <w:tcPr>
            <w:tcW w:w="778" w:type="pct"/>
            <w:gridSpan w:val="2"/>
            <w:vMerge w:val="continue"/>
            <w:tcBorders>
              <w:tl2br w:val="nil"/>
              <w:tr2bl w:val="nil"/>
            </w:tcBorders>
            <w:vAlign w:val="center"/>
          </w:tcPr>
          <w:p w14:paraId="466BC0C0">
            <w:pPr>
              <w:pStyle w:val="240"/>
              <w:rPr>
                <w:rFonts w:hint="default"/>
              </w:rPr>
            </w:pPr>
          </w:p>
        </w:tc>
        <w:tc>
          <w:tcPr>
            <w:tcW w:w="781" w:type="pct"/>
            <w:tcBorders>
              <w:tl2br w:val="nil"/>
              <w:tr2bl w:val="nil"/>
            </w:tcBorders>
            <w:vAlign w:val="center"/>
          </w:tcPr>
          <w:p w14:paraId="2ECE5699">
            <w:pPr>
              <w:pStyle w:val="240"/>
              <w:rPr>
                <w:rFonts w:hint="default"/>
              </w:rPr>
            </w:pPr>
            <w:r>
              <w:rPr>
                <w:rFonts w:hint="default"/>
              </w:rPr>
              <w:t>M值</w:t>
            </w:r>
          </w:p>
        </w:tc>
        <w:tc>
          <w:tcPr>
            <w:tcW w:w="1110" w:type="pct"/>
            <w:tcBorders>
              <w:tl2br w:val="nil"/>
              <w:tr2bl w:val="nil"/>
            </w:tcBorders>
            <w:vAlign w:val="center"/>
          </w:tcPr>
          <w:p w14:paraId="3CDD050C">
            <w:pPr>
              <w:pStyle w:val="240"/>
              <w:rPr>
                <w:rFonts w:hint="default"/>
              </w:rPr>
            </w:pPr>
            <w:r>
              <w:rPr>
                <w:rFonts w:hint="default"/>
              </w:rPr>
              <w:t xml:space="preserve">M1 </w:t>
            </w:r>
            <w:r>
              <w:rPr>
                <w:rFonts w:hint="default"/>
              </w:rPr>
              <w:sym w:font="Wingdings 2" w:char="F0A3"/>
            </w:r>
          </w:p>
        </w:tc>
        <w:tc>
          <w:tcPr>
            <w:tcW w:w="715" w:type="pct"/>
            <w:tcBorders>
              <w:tl2br w:val="nil"/>
              <w:tr2bl w:val="nil"/>
            </w:tcBorders>
            <w:vAlign w:val="center"/>
          </w:tcPr>
          <w:p w14:paraId="0617728F">
            <w:pPr>
              <w:pStyle w:val="240"/>
              <w:rPr>
                <w:rFonts w:hint="default"/>
              </w:rPr>
            </w:pPr>
            <w:r>
              <w:rPr>
                <w:rFonts w:hint="default"/>
              </w:rPr>
              <w:t xml:space="preserve">M2 </w:t>
            </w:r>
            <w:r>
              <w:rPr>
                <w:rFonts w:hint="default"/>
              </w:rPr>
              <w:sym w:font="Wingdings 2" w:char="F0A3"/>
            </w:r>
          </w:p>
        </w:tc>
        <w:tc>
          <w:tcPr>
            <w:tcW w:w="848" w:type="pct"/>
            <w:tcBorders>
              <w:tl2br w:val="nil"/>
              <w:tr2bl w:val="nil"/>
            </w:tcBorders>
            <w:vAlign w:val="center"/>
          </w:tcPr>
          <w:p w14:paraId="4C927938">
            <w:pPr>
              <w:pStyle w:val="240"/>
              <w:rPr>
                <w:rFonts w:hint="default"/>
              </w:rPr>
            </w:pPr>
            <w:r>
              <w:rPr>
                <w:rFonts w:hint="default"/>
              </w:rPr>
              <w:t xml:space="preserve">M3 </w:t>
            </w:r>
            <w:r>
              <w:rPr>
                <w:rFonts w:hint="default"/>
              </w:rPr>
              <w:sym w:font="Wingdings 2" w:char="F0A3"/>
            </w:r>
          </w:p>
        </w:tc>
        <w:tc>
          <w:tcPr>
            <w:tcW w:w="764" w:type="pct"/>
            <w:tcBorders>
              <w:tl2br w:val="nil"/>
              <w:tr2bl w:val="nil"/>
            </w:tcBorders>
            <w:vAlign w:val="center"/>
          </w:tcPr>
          <w:p w14:paraId="2A4125B3">
            <w:pPr>
              <w:pStyle w:val="240"/>
              <w:rPr>
                <w:rFonts w:hint="default"/>
              </w:rPr>
            </w:pPr>
            <w:r>
              <w:rPr>
                <w:rFonts w:hint="default"/>
              </w:rPr>
              <w:t xml:space="preserve">M4 </w:t>
            </w:r>
            <w:r>
              <w:rPr>
                <w:rFonts w:hint="default"/>
              </w:rPr>
              <w:sym w:font="Wingdings 2" w:char="F0A3"/>
            </w:r>
          </w:p>
        </w:tc>
      </w:tr>
      <w:tr w14:paraId="5F41095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100" w:hRule="atLeast"/>
          <w:jc w:val="center"/>
        </w:trPr>
        <w:tc>
          <w:tcPr>
            <w:tcW w:w="778" w:type="pct"/>
            <w:gridSpan w:val="2"/>
            <w:vMerge w:val="continue"/>
            <w:tcBorders>
              <w:tl2br w:val="nil"/>
              <w:tr2bl w:val="nil"/>
            </w:tcBorders>
            <w:vAlign w:val="center"/>
          </w:tcPr>
          <w:p w14:paraId="375DFB75">
            <w:pPr>
              <w:pStyle w:val="240"/>
              <w:rPr>
                <w:rFonts w:hint="default"/>
              </w:rPr>
            </w:pPr>
          </w:p>
        </w:tc>
        <w:tc>
          <w:tcPr>
            <w:tcW w:w="781" w:type="pct"/>
            <w:tcBorders>
              <w:tl2br w:val="nil"/>
              <w:tr2bl w:val="nil"/>
            </w:tcBorders>
            <w:vAlign w:val="center"/>
          </w:tcPr>
          <w:p w14:paraId="2B848F06">
            <w:pPr>
              <w:pStyle w:val="240"/>
              <w:rPr>
                <w:rFonts w:hint="default"/>
              </w:rPr>
            </w:pPr>
            <w:r>
              <w:rPr>
                <w:rFonts w:hint="default"/>
              </w:rPr>
              <w:t>P值</w:t>
            </w:r>
          </w:p>
        </w:tc>
        <w:tc>
          <w:tcPr>
            <w:tcW w:w="1110" w:type="pct"/>
            <w:tcBorders>
              <w:tl2br w:val="nil"/>
              <w:tr2bl w:val="nil"/>
            </w:tcBorders>
            <w:vAlign w:val="center"/>
          </w:tcPr>
          <w:p w14:paraId="176F92A7">
            <w:pPr>
              <w:pStyle w:val="240"/>
              <w:rPr>
                <w:rFonts w:hint="default"/>
              </w:rPr>
            </w:pPr>
            <w:r>
              <w:rPr>
                <w:rFonts w:hint="default"/>
              </w:rPr>
              <w:t xml:space="preserve">P1 </w:t>
            </w:r>
            <w:r>
              <w:rPr>
                <w:rFonts w:hint="default"/>
              </w:rPr>
              <w:sym w:font="Wingdings 2" w:char="F0A3"/>
            </w:r>
          </w:p>
        </w:tc>
        <w:tc>
          <w:tcPr>
            <w:tcW w:w="715" w:type="pct"/>
            <w:tcBorders>
              <w:tl2br w:val="nil"/>
              <w:tr2bl w:val="nil"/>
            </w:tcBorders>
            <w:vAlign w:val="center"/>
          </w:tcPr>
          <w:p w14:paraId="2E59D05C">
            <w:pPr>
              <w:pStyle w:val="240"/>
              <w:rPr>
                <w:rFonts w:hint="default"/>
              </w:rPr>
            </w:pPr>
            <w:r>
              <w:rPr>
                <w:rFonts w:hint="default"/>
              </w:rPr>
              <w:t xml:space="preserve">P2 </w:t>
            </w:r>
            <w:r>
              <w:rPr>
                <w:rFonts w:hint="default"/>
              </w:rPr>
              <w:sym w:font="Wingdings 2" w:char="F0A3"/>
            </w:r>
          </w:p>
        </w:tc>
        <w:tc>
          <w:tcPr>
            <w:tcW w:w="848" w:type="pct"/>
            <w:tcBorders>
              <w:tl2br w:val="nil"/>
              <w:tr2bl w:val="nil"/>
            </w:tcBorders>
            <w:vAlign w:val="center"/>
          </w:tcPr>
          <w:p w14:paraId="469B1C08">
            <w:pPr>
              <w:pStyle w:val="240"/>
              <w:rPr>
                <w:rFonts w:hint="default"/>
              </w:rPr>
            </w:pPr>
            <w:r>
              <w:rPr>
                <w:rFonts w:hint="default"/>
              </w:rPr>
              <w:t xml:space="preserve">P3 </w:t>
            </w:r>
            <w:r>
              <w:rPr>
                <w:rFonts w:hint="default"/>
              </w:rPr>
              <w:sym w:font="Wingdings 2" w:char="F0A3"/>
            </w:r>
          </w:p>
        </w:tc>
        <w:tc>
          <w:tcPr>
            <w:tcW w:w="764" w:type="pct"/>
            <w:tcBorders>
              <w:tl2br w:val="nil"/>
              <w:tr2bl w:val="nil"/>
            </w:tcBorders>
            <w:vAlign w:val="center"/>
          </w:tcPr>
          <w:p w14:paraId="478F4B1A">
            <w:pPr>
              <w:pStyle w:val="240"/>
              <w:rPr>
                <w:rFonts w:hint="default"/>
              </w:rPr>
            </w:pPr>
            <w:r>
              <w:rPr>
                <w:rFonts w:hint="default"/>
              </w:rPr>
              <w:t xml:space="preserve">P4 </w:t>
            </w:r>
            <w:r>
              <w:rPr>
                <w:rFonts w:hint="default"/>
              </w:rPr>
              <w:sym w:font="Wingdings 2" w:char="F0A3"/>
            </w:r>
          </w:p>
        </w:tc>
      </w:tr>
      <w:tr w14:paraId="31BE857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100" w:hRule="atLeast"/>
          <w:jc w:val="center"/>
        </w:trPr>
        <w:tc>
          <w:tcPr>
            <w:tcW w:w="778" w:type="pct"/>
            <w:gridSpan w:val="2"/>
            <w:vMerge w:val="restart"/>
            <w:tcBorders>
              <w:tl2br w:val="nil"/>
              <w:tr2bl w:val="nil"/>
            </w:tcBorders>
            <w:vAlign w:val="center"/>
          </w:tcPr>
          <w:p w14:paraId="5D11750D">
            <w:pPr>
              <w:pStyle w:val="240"/>
              <w:rPr>
                <w:rFonts w:hint="default"/>
              </w:rPr>
            </w:pPr>
            <w:r>
              <w:rPr>
                <w:rFonts w:hint="default"/>
              </w:rPr>
              <w:t>环境敏感</w:t>
            </w:r>
          </w:p>
          <w:p w14:paraId="01C45103">
            <w:pPr>
              <w:pStyle w:val="240"/>
              <w:rPr>
                <w:rFonts w:hint="default"/>
              </w:rPr>
            </w:pPr>
            <w:r>
              <w:rPr>
                <w:rFonts w:hint="default"/>
              </w:rPr>
              <w:t>程度</w:t>
            </w:r>
          </w:p>
        </w:tc>
        <w:tc>
          <w:tcPr>
            <w:tcW w:w="781" w:type="pct"/>
            <w:tcBorders>
              <w:tl2br w:val="nil"/>
              <w:tr2bl w:val="nil"/>
            </w:tcBorders>
            <w:vAlign w:val="center"/>
          </w:tcPr>
          <w:p w14:paraId="63649909">
            <w:pPr>
              <w:pStyle w:val="240"/>
              <w:rPr>
                <w:rFonts w:hint="default"/>
              </w:rPr>
            </w:pPr>
            <w:r>
              <w:rPr>
                <w:rFonts w:hint="default"/>
              </w:rPr>
              <w:t>大气</w:t>
            </w:r>
          </w:p>
        </w:tc>
        <w:tc>
          <w:tcPr>
            <w:tcW w:w="1110" w:type="pct"/>
            <w:tcBorders>
              <w:tl2br w:val="nil"/>
              <w:tr2bl w:val="nil"/>
            </w:tcBorders>
            <w:vAlign w:val="center"/>
          </w:tcPr>
          <w:p w14:paraId="254FC9E9">
            <w:pPr>
              <w:pStyle w:val="240"/>
              <w:rPr>
                <w:rFonts w:hint="default"/>
              </w:rPr>
            </w:pPr>
            <w:r>
              <w:rPr>
                <w:rFonts w:hint="default"/>
              </w:rPr>
              <w:t xml:space="preserve">E1 </w:t>
            </w:r>
            <w:r>
              <w:rPr>
                <w:rFonts w:hint="default"/>
              </w:rPr>
              <w:sym w:font="Wingdings 2" w:char="F0A3"/>
            </w:r>
          </w:p>
        </w:tc>
        <w:tc>
          <w:tcPr>
            <w:tcW w:w="715" w:type="pct"/>
            <w:tcBorders>
              <w:tl2br w:val="nil"/>
              <w:tr2bl w:val="nil"/>
            </w:tcBorders>
            <w:vAlign w:val="center"/>
          </w:tcPr>
          <w:p w14:paraId="0101BFBF">
            <w:pPr>
              <w:pStyle w:val="240"/>
              <w:rPr>
                <w:rFonts w:hint="default"/>
              </w:rPr>
            </w:pPr>
            <w:r>
              <w:rPr>
                <w:rFonts w:hint="default"/>
              </w:rPr>
              <w:t xml:space="preserve">E2 </w:t>
            </w:r>
            <w:r>
              <w:rPr>
                <w:rFonts w:hint="default"/>
              </w:rPr>
              <w:sym w:font="Wingdings 2" w:char="0052"/>
            </w:r>
          </w:p>
        </w:tc>
        <w:tc>
          <w:tcPr>
            <w:tcW w:w="1613" w:type="pct"/>
            <w:gridSpan w:val="2"/>
            <w:tcBorders>
              <w:tl2br w:val="nil"/>
              <w:tr2bl w:val="nil"/>
            </w:tcBorders>
            <w:vAlign w:val="center"/>
          </w:tcPr>
          <w:p w14:paraId="3B25BC88">
            <w:pPr>
              <w:pStyle w:val="240"/>
              <w:rPr>
                <w:rFonts w:hint="default"/>
              </w:rPr>
            </w:pPr>
            <w:r>
              <w:rPr>
                <w:rFonts w:hint="default"/>
              </w:rPr>
              <w:t xml:space="preserve">E3 </w:t>
            </w:r>
            <w:r>
              <w:rPr>
                <w:rFonts w:hint="default"/>
              </w:rPr>
              <w:sym w:font="Wingdings 2" w:char="00A3"/>
            </w:r>
          </w:p>
        </w:tc>
      </w:tr>
      <w:tr w14:paraId="0ED106C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100" w:hRule="atLeast"/>
          <w:jc w:val="center"/>
        </w:trPr>
        <w:tc>
          <w:tcPr>
            <w:tcW w:w="778" w:type="pct"/>
            <w:gridSpan w:val="2"/>
            <w:vMerge w:val="continue"/>
            <w:tcBorders>
              <w:tl2br w:val="nil"/>
              <w:tr2bl w:val="nil"/>
            </w:tcBorders>
            <w:vAlign w:val="center"/>
          </w:tcPr>
          <w:p w14:paraId="75125C20">
            <w:pPr>
              <w:pStyle w:val="240"/>
              <w:rPr>
                <w:rFonts w:hint="default"/>
              </w:rPr>
            </w:pPr>
          </w:p>
        </w:tc>
        <w:tc>
          <w:tcPr>
            <w:tcW w:w="781" w:type="pct"/>
            <w:tcBorders>
              <w:tl2br w:val="nil"/>
              <w:tr2bl w:val="nil"/>
            </w:tcBorders>
            <w:vAlign w:val="center"/>
          </w:tcPr>
          <w:p w14:paraId="5C651F2D">
            <w:pPr>
              <w:pStyle w:val="240"/>
              <w:rPr>
                <w:rFonts w:hint="default"/>
              </w:rPr>
            </w:pPr>
            <w:r>
              <w:rPr>
                <w:rFonts w:hint="default"/>
              </w:rPr>
              <w:t>地表水</w:t>
            </w:r>
          </w:p>
        </w:tc>
        <w:tc>
          <w:tcPr>
            <w:tcW w:w="1110" w:type="pct"/>
            <w:tcBorders>
              <w:tl2br w:val="nil"/>
              <w:tr2bl w:val="nil"/>
            </w:tcBorders>
            <w:vAlign w:val="center"/>
          </w:tcPr>
          <w:p w14:paraId="2E69DC63">
            <w:pPr>
              <w:pStyle w:val="240"/>
              <w:rPr>
                <w:rFonts w:hint="default"/>
              </w:rPr>
            </w:pPr>
            <w:r>
              <w:rPr>
                <w:rFonts w:hint="default"/>
              </w:rPr>
              <w:t xml:space="preserve">E1 </w:t>
            </w:r>
            <w:r>
              <w:rPr>
                <w:rFonts w:hint="default"/>
              </w:rPr>
              <w:sym w:font="Wingdings 2" w:char="F0A3"/>
            </w:r>
          </w:p>
        </w:tc>
        <w:tc>
          <w:tcPr>
            <w:tcW w:w="715" w:type="pct"/>
            <w:tcBorders>
              <w:tl2br w:val="nil"/>
              <w:tr2bl w:val="nil"/>
            </w:tcBorders>
            <w:vAlign w:val="center"/>
          </w:tcPr>
          <w:p w14:paraId="2E38900B">
            <w:pPr>
              <w:pStyle w:val="240"/>
              <w:rPr>
                <w:rFonts w:hint="default"/>
              </w:rPr>
            </w:pPr>
            <w:r>
              <w:rPr>
                <w:rFonts w:hint="default"/>
              </w:rPr>
              <w:t xml:space="preserve">E2 </w:t>
            </w:r>
            <w:r>
              <w:rPr>
                <w:rFonts w:hint="default"/>
              </w:rPr>
              <w:sym w:font="Wingdings 2" w:char="F0A3"/>
            </w:r>
          </w:p>
        </w:tc>
        <w:tc>
          <w:tcPr>
            <w:tcW w:w="1613" w:type="pct"/>
            <w:gridSpan w:val="2"/>
            <w:tcBorders>
              <w:tl2br w:val="nil"/>
              <w:tr2bl w:val="nil"/>
            </w:tcBorders>
            <w:vAlign w:val="center"/>
          </w:tcPr>
          <w:p w14:paraId="4AFAB3D0">
            <w:pPr>
              <w:pStyle w:val="240"/>
              <w:rPr>
                <w:rFonts w:hint="default"/>
              </w:rPr>
            </w:pPr>
            <w:r>
              <w:rPr>
                <w:rFonts w:hint="default"/>
              </w:rPr>
              <w:t xml:space="preserve">E3 </w:t>
            </w:r>
            <w:r>
              <w:rPr>
                <w:rFonts w:hint="default"/>
              </w:rPr>
              <w:sym w:font="Wingdings 2" w:char="F052"/>
            </w:r>
          </w:p>
        </w:tc>
      </w:tr>
      <w:tr w14:paraId="6EBFA2B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100" w:hRule="atLeast"/>
          <w:jc w:val="center"/>
        </w:trPr>
        <w:tc>
          <w:tcPr>
            <w:tcW w:w="778" w:type="pct"/>
            <w:gridSpan w:val="2"/>
            <w:vMerge w:val="continue"/>
            <w:tcBorders>
              <w:tl2br w:val="nil"/>
              <w:tr2bl w:val="nil"/>
            </w:tcBorders>
            <w:vAlign w:val="center"/>
          </w:tcPr>
          <w:p w14:paraId="03FE06CB">
            <w:pPr>
              <w:pStyle w:val="240"/>
              <w:rPr>
                <w:rFonts w:hint="default"/>
              </w:rPr>
            </w:pPr>
          </w:p>
        </w:tc>
        <w:tc>
          <w:tcPr>
            <w:tcW w:w="781" w:type="pct"/>
            <w:tcBorders>
              <w:tl2br w:val="nil"/>
              <w:tr2bl w:val="nil"/>
            </w:tcBorders>
            <w:vAlign w:val="center"/>
          </w:tcPr>
          <w:p w14:paraId="43574EF2">
            <w:pPr>
              <w:pStyle w:val="240"/>
              <w:rPr>
                <w:rFonts w:hint="default"/>
              </w:rPr>
            </w:pPr>
            <w:r>
              <w:rPr>
                <w:rFonts w:hint="default"/>
              </w:rPr>
              <w:t>地下水</w:t>
            </w:r>
          </w:p>
        </w:tc>
        <w:tc>
          <w:tcPr>
            <w:tcW w:w="1110" w:type="pct"/>
            <w:tcBorders>
              <w:tl2br w:val="nil"/>
              <w:tr2bl w:val="nil"/>
            </w:tcBorders>
            <w:vAlign w:val="center"/>
          </w:tcPr>
          <w:p w14:paraId="077C7268">
            <w:pPr>
              <w:pStyle w:val="240"/>
              <w:rPr>
                <w:rFonts w:hint="default"/>
              </w:rPr>
            </w:pPr>
            <w:r>
              <w:rPr>
                <w:rFonts w:hint="default"/>
              </w:rPr>
              <w:t xml:space="preserve">E1 </w:t>
            </w:r>
            <w:r>
              <w:rPr>
                <w:rFonts w:hint="default"/>
              </w:rPr>
              <w:sym w:font="Wingdings 2" w:char="F0A3"/>
            </w:r>
          </w:p>
        </w:tc>
        <w:tc>
          <w:tcPr>
            <w:tcW w:w="715" w:type="pct"/>
            <w:tcBorders>
              <w:tl2br w:val="nil"/>
              <w:tr2bl w:val="nil"/>
            </w:tcBorders>
            <w:vAlign w:val="center"/>
          </w:tcPr>
          <w:p w14:paraId="4C3DC71D">
            <w:pPr>
              <w:pStyle w:val="240"/>
              <w:rPr>
                <w:rFonts w:hint="default"/>
              </w:rPr>
            </w:pPr>
            <w:r>
              <w:rPr>
                <w:rFonts w:hint="default"/>
              </w:rPr>
              <w:t xml:space="preserve">E2 </w:t>
            </w:r>
            <w:r>
              <w:rPr>
                <w:rFonts w:hint="default"/>
              </w:rPr>
              <w:sym w:font="Wingdings 2" w:char="F0A3"/>
            </w:r>
          </w:p>
        </w:tc>
        <w:tc>
          <w:tcPr>
            <w:tcW w:w="1613" w:type="pct"/>
            <w:gridSpan w:val="2"/>
            <w:tcBorders>
              <w:tl2br w:val="nil"/>
              <w:tr2bl w:val="nil"/>
            </w:tcBorders>
            <w:vAlign w:val="center"/>
          </w:tcPr>
          <w:p w14:paraId="790C7A60">
            <w:pPr>
              <w:pStyle w:val="240"/>
              <w:rPr>
                <w:rFonts w:hint="default"/>
              </w:rPr>
            </w:pPr>
            <w:r>
              <w:rPr>
                <w:rFonts w:hint="default"/>
              </w:rPr>
              <w:t xml:space="preserve">E3 </w:t>
            </w:r>
            <w:r>
              <w:rPr>
                <w:rFonts w:hint="default"/>
              </w:rPr>
              <w:sym w:font="Wingdings 2" w:char="00A3"/>
            </w:r>
          </w:p>
        </w:tc>
      </w:tr>
      <w:tr w14:paraId="3F1A791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195" w:hRule="atLeast"/>
          <w:jc w:val="center"/>
        </w:trPr>
        <w:tc>
          <w:tcPr>
            <w:tcW w:w="778" w:type="pct"/>
            <w:gridSpan w:val="2"/>
            <w:tcBorders>
              <w:tl2br w:val="nil"/>
              <w:tr2bl w:val="nil"/>
            </w:tcBorders>
            <w:vAlign w:val="center"/>
          </w:tcPr>
          <w:p w14:paraId="48D251C6">
            <w:pPr>
              <w:pStyle w:val="240"/>
              <w:rPr>
                <w:rFonts w:hint="default"/>
              </w:rPr>
            </w:pPr>
            <w:r>
              <w:rPr>
                <w:rFonts w:hint="default"/>
              </w:rPr>
              <w:t>环境风险潜势</w:t>
            </w:r>
          </w:p>
        </w:tc>
        <w:tc>
          <w:tcPr>
            <w:tcW w:w="781" w:type="pct"/>
            <w:tcBorders>
              <w:tl2br w:val="nil"/>
              <w:tr2bl w:val="nil"/>
            </w:tcBorders>
            <w:vAlign w:val="center"/>
          </w:tcPr>
          <w:p w14:paraId="4797E62E">
            <w:pPr>
              <w:pStyle w:val="240"/>
              <w:rPr>
                <w:rFonts w:hint="default"/>
              </w:rPr>
            </w:pPr>
            <w:r>
              <w:rPr>
                <w:rFonts w:hint="default"/>
              </w:rPr>
              <w:t xml:space="preserve">Ⅳ+ </w:t>
            </w:r>
            <w:r>
              <w:rPr>
                <w:rFonts w:hint="default"/>
              </w:rPr>
              <w:sym w:font="Wingdings 2" w:char="F0A3"/>
            </w:r>
          </w:p>
        </w:tc>
        <w:tc>
          <w:tcPr>
            <w:tcW w:w="1110" w:type="pct"/>
            <w:tcBorders>
              <w:tl2br w:val="nil"/>
              <w:tr2bl w:val="nil"/>
            </w:tcBorders>
            <w:vAlign w:val="center"/>
          </w:tcPr>
          <w:p w14:paraId="296656F7">
            <w:pPr>
              <w:pStyle w:val="240"/>
              <w:rPr>
                <w:rFonts w:hint="default"/>
              </w:rPr>
            </w:pPr>
            <w:r>
              <w:rPr>
                <w:rFonts w:hint="default"/>
              </w:rPr>
              <w:t>Ⅳ □</w:t>
            </w:r>
          </w:p>
        </w:tc>
        <w:tc>
          <w:tcPr>
            <w:tcW w:w="715" w:type="pct"/>
            <w:tcBorders>
              <w:tl2br w:val="nil"/>
              <w:tr2bl w:val="nil"/>
            </w:tcBorders>
            <w:vAlign w:val="center"/>
          </w:tcPr>
          <w:p w14:paraId="56231CEB">
            <w:pPr>
              <w:pStyle w:val="240"/>
              <w:rPr>
                <w:rFonts w:hint="default"/>
              </w:rPr>
            </w:pPr>
            <w:r>
              <w:rPr>
                <w:rFonts w:hint="default"/>
              </w:rPr>
              <w:t xml:space="preserve">Ⅲ </w:t>
            </w:r>
            <w:r>
              <w:rPr>
                <w:rFonts w:hint="default"/>
              </w:rPr>
              <w:sym w:font="Wingdings 2" w:char="F0A3"/>
            </w:r>
          </w:p>
        </w:tc>
        <w:tc>
          <w:tcPr>
            <w:tcW w:w="848" w:type="pct"/>
            <w:tcBorders>
              <w:tl2br w:val="nil"/>
              <w:tr2bl w:val="nil"/>
            </w:tcBorders>
            <w:vAlign w:val="center"/>
          </w:tcPr>
          <w:p w14:paraId="1C193F63">
            <w:pPr>
              <w:pStyle w:val="240"/>
              <w:rPr>
                <w:rFonts w:hint="default"/>
              </w:rPr>
            </w:pPr>
            <w:r>
              <w:rPr>
                <w:rFonts w:hint="default"/>
              </w:rPr>
              <w:t xml:space="preserve">Ⅱ </w:t>
            </w:r>
            <w:r>
              <w:rPr>
                <w:rFonts w:hint="default"/>
              </w:rPr>
              <w:sym w:font="Wingdings 2" w:char="F0A3"/>
            </w:r>
          </w:p>
        </w:tc>
        <w:tc>
          <w:tcPr>
            <w:tcW w:w="764" w:type="pct"/>
            <w:tcBorders>
              <w:tl2br w:val="nil"/>
              <w:tr2bl w:val="nil"/>
            </w:tcBorders>
            <w:vAlign w:val="center"/>
          </w:tcPr>
          <w:p w14:paraId="0FA16E8B">
            <w:pPr>
              <w:pStyle w:val="240"/>
              <w:rPr>
                <w:rFonts w:hint="default"/>
              </w:rPr>
            </w:pPr>
            <w:r>
              <w:rPr>
                <w:rFonts w:hint="default"/>
              </w:rPr>
              <w:t xml:space="preserve">Ⅰ </w:t>
            </w:r>
            <w:r>
              <w:rPr>
                <w:rFonts w:hint="default"/>
              </w:rPr>
              <w:sym w:font="Wingdings 2" w:char="F052"/>
            </w:r>
          </w:p>
        </w:tc>
      </w:tr>
      <w:tr w14:paraId="79E19B4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100" w:hRule="atLeast"/>
          <w:jc w:val="center"/>
        </w:trPr>
        <w:tc>
          <w:tcPr>
            <w:tcW w:w="778" w:type="pct"/>
            <w:gridSpan w:val="2"/>
            <w:tcBorders>
              <w:tl2br w:val="nil"/>
              <w:tr2bl w:val="nil"/>
            </w:tcBorders>
            <w:vAlign w:val="center"/>
          </w:tcPr>
          <w:p w14:paraId="75A4B388">
            <w:pPr>
              <w:pStyle w:val="240"/>
              <w:rPr>
                <w:rFonts w:hint="default"/>
              </w:rPr>
            </w:pPr>
            <w:r>
              <w:rPr>
                <w:rFonts w:hint="default"/>
              </w:rPr>
              <w:t>评价等级</w:t>
            </w:r>
          </w:p>
        </w:tc>
        <w:tc>
          <w:tcPr>
            <w:tcW w:w="1891" w:type="pct"/>
            <w:gridSpan w:val="2"/>
            <w:tcBorders>
              <w:tl2br w:val="nil"/>
              <w:tr2bl w:val="nil"/>
            </w:tcBorders>
            <w:vAlign w:val="center"/>
          </w:tcPr>
          <w:p w14:paraId="4A88677C">
            <w:pPr>
              <w:pStyle w:val="240"/>
              <w:rPr>
                <w:rFonts w:hint="default"/>
              </w:rPr>
            </w:pPr>
            <w:r>
              <w:rPr>
                <w:rFonts w:hint="default"/>
              </w:rPr>
              <w:t xml:space="preserve">一级 </w:t>
            </w:r>
            <w:r>
              <w:rPr>
                <w:rFonts w:hint="default"/>
              </w:rPr>
              <w:sym w:font="Wingdings 2" w:char="F0A3"/>
            </w:r>
          </w:p>
        </w:tc>
        <w:tc>
          <w:tcPr>
            <w:tcW w:w="715" w:type="pct"/>
            <w:tcBorders>
              <w:tl2br w:val="nil"/>
              <w:tr2bl w:val="nil"/>
            </w:tcBorders>
            <w:vAlign w:val="center"/>
          </w:tcPr>
          <w:p w14:paraId="6DF6DC48">
            <w:pPr>
              <w:pStyle w:val="240"/>
              <w:rPr>
                <w:rFonts w:hint="default"/>
              </w:rPr>
            </w:pPr>
            <w:r>
              <w:rPr>
                <w:rFonts w:hint="default"/>
              </w:rPr>
              <w:t xml:space="preserve">二级 </w:t>
            </w:r>
            <w:r>
              <w:rPr>
                <w:rFonts w:hint="default"/>
              </w:rPr>
              <w:sym w:font="Wingdings 2" w:char="F0A3"/>
            </w:r>
          </w:p>
        </w:tc>
        <w:tc>
          <w:tcPr>
            <w:tcW w:w="848" w:type="pct"/>
            <w:tcBorders>
              <w:tl2br w:val="nil"/>
              <w:tr2bl w:val="nil"/>
            </w:tcBorders>
            <w:vAlign w:val="center"/>
          </w:tcPr>
          <w:p w14:paraId="326DA700">
            <w:pPr>
              <w:pStyle w:val="240"/>
              <w:rPr>
                <w:rFonts w:hint="default"/>
              </w:rPr>
            </w:pPr>
            <w:r>
              <w:rPr>
                <w:rFonts w:hint="default"/>
              </w:rPr>
              <w:t xml:space="preserve">三级 </w:t>
            </w:r>
            <w:r>
              <w:rPr>
                <w:rFonts w:hint="default"/>
              </w:rPr>
              <w:sym w:font="Wingdings 2" w:char="F0A3"/>
            </w:r>
          </w:p>
        </w:tc>
        <w:tc>
          <w:tcPr>
            <w:tcW w:w="764" w:type="pct"/>
            <w:tcBorders>
              <w:tl2br w:val="nil"/>
              <w:tr2bl w:val="nil"/>
            </w:tcBorders>
            <w:vAlign w:val="center"/>
          </w:tcPr>
          <w:p w14:paraId="33AC73C2">
            <w:pPr>
              <w:pStyle w:val="240"/>
              <w:rPr>
                <w:rFonts w:hint="default"/>
              </w:rPr>
            </w:pPr>
            <w:r>
              <w:rPr>
                <w:rFonts w:hint="default"/>
              </w:rPr>
              <w:t>简单分析√</w:t>
            </w:r>
          </w:p>
        </w:tc>
      </w:tr>
      <w:tr w14:paraId="201EDE3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195" w:hRule="atLeast"/>
          <w:jc w:val="center"/>
        </w:trPr>
        <w:tc>
          <w:tcPr>
            <w:tcW w:w="302" w:type="pct"/>
            <w:vMerge w:val="restart"/>
            <w:tcBorders>
              <w:tl2br w:val="nil"/>
              <w:tr2bl w:val="nil"/>
            </w:tcBorders>
            <w:vAlign w:val="center"/>
          </w:tcPr>
          <w:p w14:paraId="5F0E459C">
            <w:pPr>
              <w:pStyle w:val="240"/>
              <w:rPr>
                <w:rFonts w:hint="default"/>
              </w:rPr>
            </w:pPr>
            <w:r>
              <w:rPr>
                <w:rFonts w:hint="default"/>
              </w:rPr>
              <w:t>风险识别</w:t>
            </w:r>
          </w:p>
        </w:tc>
        <w:tc>
          <w:tcPr>
            <w:tcW w:w="475" w:type="pct"/>
            <w:tcBorders>
              <w:tl2br w:val="nil"/>
              <w:tr2bl w:val="nil"/>
            </w:tcBorders>
            <w:vAlign w:val="center"/>
          </w:tcPr>
          <w:p w14:paraId="41915DA5">
            <w:pPr>
              <w:pStyle w:val="240"/>
              <w:rPr>
                <w:rFonts w:hint="default"/>
              </w:rPr>
            </w:pPr>
            <w:r>
              <w:rPr>
                <w:rFonts w:hint="default"/>
              </w:rPr>
              <w:t>物质危险性</w:t>
            </w:r>
          </w:p>
        </w:tc>
        <w:tc>
          <w:tcPr>
            <w:tcW w:w="2607" w:type="pct"/>
            <w:gridSpan w:val="3"/>
            <w:tcBorders>
              <w:tl2br w:val="nil"/>
              <w:tr2bl w:val="nil"/>
            </w:tcBorders>
            <w:vAlign w:val="center"/>
          </w:tcPr>
          <w:p w14:paraId="00C252F8">
            <w:pPr>
              <w:pStyle w:val="240"/>
              <w:rPr>
                <w:rFonts w:hint="default"/>
              </w:rPr>
            </w:pPr>
            <w:r>
              <w:rPr>
                <w:rFonts w:hint="default"/>
              </w:rPr>
              <w:t xml:space="preserve">有毒有害 </w:t>
            </w:r>
            <w:r>
              <w:rPr>
                <w:rFonts w:hint="default"/>
              </w:rPr>
              <w:sym w:font="Wingdings 2" w:char="00A3"/>
            </w:r>
          </w:p>
        </w:tc>
        <w:tc>
          <w:tcPr>
            <w:tcW w:w="1613" w:type="pct"/>
            <w:gridSpan w:val="2"/>
            <w:tcBorders>
              <w:tl2br w:val="nil"/>
              <w:tr2bl w:val="nil"/>
            </w:tcBorders>
            <w:vAlign w:val="center"/>
          </w:tcPr>
          <w:p w14:paraId="39F5A745">
            <w:pPr>
              <w:pStyle w:val="240"/>
              <w:rPr>
                <w:rFonts w:hint="default"/>
              </w:rPr>
            </w:pPr>
            <w:r>
              <w:rPr>
                <w:rFonts w:hint="default"/>
              </w:rPr>
              <w:t xml:space="preserve">易燃易爆 </w:t>
            </w:r>
            <w:r>
              <w:rPr>
                <w:rFonts w:hint="default"/>
              </w:rPr>
              <w:sym w:font="Wingdings 2" w:char="F052"/>
            </w:r>
          </w:p>
        </w:tc>
      </w:tr>
      <w:tr w14:paraId="5D9EBC5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195" w:hRule="atLeast"/>
          <w:jc w:val="center"/>
        </w:trPr>
        <w:tc>
          <w:tcPr>
            <w:tcW w:w="302" w:type="pct"/>
            <w:vMerge w:val="continue"/>
            <w:tcBorders>
              <w:tl2br w:val="nil"/>
              <w:tr2bl w:val="nil"/>
            </w:tcBorders>
            <w:vAlign w:val="center"/>
          </w:tcPr>
          <w:p w14:paraId="5B404C68">
            <w:pPr>
              <w:pStyle w:val="240"/>
              <w:rPr>
                <w:rFonts w:hint="default"/>
              </w:rPr>
            </w:pPr>
          </w:p>
        </w:tc>
        <w:tc>
          <w:tcPr>
            <w:tcW w:w="475" w:type="pct"/>
            <w:tcBorders>
              <w:tl2br w:val="nil"/>
              <w:tr2bl w:val="nil"/>
            </w:tcBorders>
            <w:vAlign w:val="center"/>
          </w:tcPr>
          <w:p w14:paraId="4CC01CDA">
            <w:pPr>
              <w:pStyle w:val="240"/>
              <w:rPr>
                <w:rFonts w:hint="default"/>
              </w:rPr>
            </w:pPr>
            <w:r>
              <w:rPr>
                <w:rFonts w:hint="default"/>
              </w:rPr>
              <w:t>环境风险类型</w:t>
            </w:r>
          </w:p>
        </w:tc>
        <w:tc>
          <w:tcPr>
            <w:tcW w:w="1891" w:type="pct"/>
            <w:gridSpan w:val="2"/>
            <w:tcBorders>
              <w:tl2br w:val="nil"/>
              <w:tr2bl w:val="nil"/>
            </w:tcBorders>
            <w:vAlign w:val="center"/>
          </w:tcPr>
          <w:p w14:paraId="011FC6B1">
            <w:pPr>
              <w:pStyle w:val="240"/>
              <w:rPr>
                <w:rFonts w:hint="default"/>
              </w:rPr>
            </w:pPr>
            <w:r>
              <w:rPr>
                <w:rFonts w:hint="eastAsia"/>
                <w:lang w:eastAsia="zh-CN"/>
              </w:rPr>
              <w:t>泄漏</w:t>
            </w:r>
            <w:r>
              <w:rPr>
                <w:rFonts w:hint="default"/>
              </w:rPr>
              <w:t xml:space="preserve"> </w:t>
            </w:r>
            <w:r>
              <w:rPr>
                <w:rFonts w:hint="default"/>
              </w:rPr>
              <w:sym w:font="Wingdings 2" w:char="F052"/>
            </w:r>
          </w:p>
        </w:tc>
        <w:tc>
          <w:tcPr>
            <w:tcW w:w="2329" w:type="pct"/>
            <w:gridSpan w:val="3"/>
            <w:tcBorders>
              <w:tl2br w:val="nil"/>
              <w:tr2bl w:val="nil"/>
            </w:tcBorders>
            <w:vAlign w:val="center"/>
          </w:tcPr>
          <w:p w14:paraId="3B163291">
            <w:pPr>
              <w:pStyle w:val="240"/>
              <w:rPr>
                <w:rFonts w:hint="default"/>
              </w:rPr>
            </w:pPr>
            <w:r>
              <w:rPr>
                <w:rFonts w:hint="default"/>
              </w:rPr>
              <w:t xml:space="preserve">火灾、爆炸引发伴生/次生污染物排放 </w:t>
            </w:r>
            <w:r>
              <w:rPr>
                <w:rFonts w:hint="default"/>
              </w:rPr>
              <w:sym w:font="Wingdings 2" w:char="F052"/>
            </w:r>
          </w:p>
        </w:tc>
      </w:tr>
      <w:tr w14:paraId="4979FB3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100" w:hRule="atLeast"/>
          <w:jc w:val="center"/>
        </w:trPr>
        <w:tc>
          <w:tcPr>
            <w:tcW w:w="302" w:type="pct"/>
            <w:vMerge w:val="continue"/>
            <w:tcBorders>
              <w:tl2br w:val="nil"/>
              <w:tr2bl w:val="nil"/>
            </w:tcBorders>
            <w:vAlign w:val="center"/>
          </w:tcPr>
          <w:p w14:paraId="2DAC4ED7">
            <w:pPr>
              <w:pStyle w:val="240"/>
              <w:rPr>
                <w:rFonts w:hint="default"/>
              </w:rPr>
            </w:pPr>
          </w:p>
        </w:tc>
        <w:tc>
          <w:tcPr>
            <w:tcW w:w="475" w:type="pct"/>
            <w:tcBorders>
              <w:tl2br w:val="nil"/>
              <w:tr2bl w:val="nil"/>
            </w:tcBorders>
            <w:vAlign w:val="center"/>
          </w:tcPr>
          <w:p w14:paraId="465963E6">
            <w:pPr>
              <w:pStyle w:val="240"/>
              <w:rPr>
                <w:rFonts w:hint="default"/>
              </w:rPr>
            </w:pPr>
            <w:r>
              <w:rPr>
                <w:rFonts w:hint="default"/>
              </w:rPr>
              <w:t>影响途径</w:t>
            </w:r>
          </w:p>
        </w:tc>
        <w:tc>
          <w:tcPr>
            <w:tcW w:w="1891" w:type="pct"/>
            <w:gridSpan w:val="2"/>
            <w:tcBorders>
              <w:tl2br w:val="nil"/>
              <w:tr2bl w:val="nil"/>
            </w:tcBorders>
            <w:vAlign w:val="center"/>
          </w:tcPr>
          <w:p w14:paraId="6E5A4791">
            <w:pPr>
              <w:pStyle w:val="240"/>
              <w:rPr>
                <w:rFonts w:hint="default"/>
              </w:rPr>
            </w:pPr>
            <w:r>
              <w:rPr>
                <w:rFonts w:hint="default"/>
              </w:rPr>
              <w:t xml:space="preserve">大气 </w:t>
            </w:r>
            <w:r>
              <w:rPr>
                <w:rFonts w:hint="default"/>
              </w:rPr>
              <w:sym w:font="Wingdings 2" w:char="0052"/>
            </w:r>
          </w:p>
        </w:tc>
        <w:tc>
          <w:tcPr>
            <w:tcW w:w="715" w:type="pct"/>
            <w:tcBorders>
              <w:tl2br w:val="nil"/>
              <w:tr2bl w:val="nil"/>
            </w:tcBorders>
            <w:vAlign w:val="center"/>
          </w:tcPr>
          <w:p w14:paraId="18787DCA">
            <w:pPr>
              <w:pStyle w:val="240"/>
              <w:rPr>
                <w:rFonts w:hint="default"/>
              </w:rPr>
            </w:pPr>
            <w:r>
              <w:rPr>
                <w:rFonts w:hint="default"/>
              </w:rPr>
              <w:t xml:space="preserve">地表水 </w:t>
            </w:r>
            <w:r>
              <w:rPr>
                <w:rFonts w:hint="default"/>
              </w:rPr>
              <w:sym w:font="Wingdings 2" w:char="F0A3"/>
            </w:r>
          </w:p>
        </w:tc>
        <w:tc>
          <w:tcPr>
            <w:tcW w:w="1613" w:type="pct"/>
            <w:gridSpan w:val="2"/>
            <w:tcBorders>
              <w:tl2br w:val="nil"/>
              <w:tr2bl w:val="nil"/>
            </w:tcBorders>
            <w:vAlign w:val="center"/>
          </w:tcPr>
          <w:p w14:paraId="617E6873">
            <w:pPr>
              <w:pStyle w:val="240"/>
              <w:rPr>
                <w:rFonts w:hint="default"/>
              </w:rPr>
            </w:pPr>
            <w:r>
              <w:rPr>
                <w:rFonts w:hint="default"/>
              </w:rPr>
              <w:t xml:space="preserve">地下水 </w:t>
            </w:r>
            <w:r>
              <w:rPr>
                <w:rFonts w:hint="default"/>
              </w:rPr>
              <w:sym w:font="Wingdings 2" w:char="0052"/>
            </w:r>
          </w:p>
        </w:tc>
      </w:tr>
      <w:tr w14:paraId="50E489A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195" w:hRule="atLeast"/>
          <w:jc w:val="center"/>
        </w:trPr>
        <w:tc>
          <w:tcPr>
            <w:tcW w:w="778" w:type="pct"/>
            <w:gridSpan w:val="2"/>
            <w:tcBorders>
              <w:tl2br w:val="nil"/>
              <w:tr2bl w:val="nil"/>
            </w:tcBorders>
            <w:vAlign w:val="center"/>
          </w:tcPr>
          <w:p w14:paraId="67A734FC">
            <w:pPr>
              <w:pStyle w:val="240"/>
              <w:rPr>
                <w:rFonts w:hint="default"/>
              </w:rPr>
            </w:pPr>
            <w:r>
              <w:rPr>
                <w:rFonts w:hint="default"/>
              </w:rPr>
              <w:t>事故情形分析</w:t>
            </w:r>
          </w:p>
        </w:tc>
        <w:tc>
          <w:tcPr>
            <w:tcW w:w="781" w:type="pct"/>
            <w:tcBorders>
              <w:tl2br w:val="nil"/>
              <w:tr2bl w:val="nil"/>
            </w:tcBorders>
            <w:vAlign w:val="center"/>
          </w:tcPr>
          <w:p w14:paraId="14A896BE">
            <w:pPr>
              <w:pStyle w:val="240"/>
              <w:rPr>
                <w:rFonts w:hint="default"/>
              </w:rPr>
            </w:pPr>
            <w:r>
              <w:rPr>
                <w:rFonts w:hint="default"/>
              </w:rPr>
              <w:t>源强设定方法</w:t>
            </w:r>
          </w:p>
        </w:tc>
        <w:tc>
          <w:tcPr>
            <w:tcW w:w="1110" w:type="pct"/>
            <w:tcBorders>
              <w:tl2br w:val="nil"/>
              <w:tr2bl w:val="nil"/>
            </w:tcBorders>
            <w:vAlign w:val="center"/>
          </w:tcPr>
          <w:p w14:paraId="22ABBFC8">
            <w:pPr>
              <w:pStyle w:val="240"/>
              <w:rPr>
                <w:rFonts w:hint="default"/>
              </w:rPr>
            </w:pPr>
            <w:r>
              <w:rPr>
                <w:rFonts w:hint="default"/>
              </w:rPr>
              <w:t xml:space="preserve">计算法 </w:t>
            </w:r>
            <w:r>
              <w:rPr>
                <w:rFonts w:hint="default"/>
              </w:rPr>
              <w:sym w:font="Wingdings 2" w:char="F0A3"/>
            </w:r>
          </w:p>
        </w:tc>
        <w:tc>
          <w:tcPr>
            <w:tcW w:w="715" w:type="pct"/>
            <w:tcBorders>
              <w:tl2br w:val="nil"/>
              <w:tr2bl w:val="nil"/>
            </w:tcBorders>
            <w:vAlign w:val="center"/>
          </w:tcPr>
          <w:p w14:paraId="31E91D72">
            <w:pPr>
              <w:pStyle w:val="240"/>
              <w:rPr>
                <w:rFonts w:hint="default"/>
              </w:rPr>
            </w:pPr>
            <w:r>
              <w:rPr>
                <w:rFonts w:hint="default"/>
              </w:rPr>
              <w:t xml:space="preserve">经验估算法 </w:t>
            </w:r>
            <w:r>
              <w:rPr>
                <w:rFonts w:hint="default"/>
              </w:rPr>
              <w:sym w:font="Wingdings 2" w:char="F0A3"/>
            </w:r>
          </w:p>
        </w:tc>
        <w:tc>
          <w:tcPr>
            <w:tcW w:w="1613" w:type="pct"/>
            <w:gridSpan w:val="2"/>
            <w:tcBorders>
              <w:tl2br w:val="nil"/>
              <w:tr2bl w:val="nil"/>
            </w:tcBorders>
            <w:vAlign w:val="center"/>
          </w:tcPr>
          <w:p w14:paraId="571B6452">
            <w:pPr>
              <w:pStyle w:val="240"/>
              <w:rPr>
                <w:rFonts w:hint="default"/>
              </w:rPr>
            </w:pPr>
            <w:r>
              <w:rPr>
                <w:rFonts w:hint="default"/>
              </w:rPr>
              <w:t xml:space="preserve">其他估算法 </w:t>
            </w:r>
            <w:r>
              <w:rPr>
                <w:rFonts w:hint="default"/>
              </w:rPr>
              <w:sym w:font="Wingdings 2" w:char="0052"/>
            </w:r>
          </w:p>
        </w:tc>
      </w:tr>
      <w:tr w14:paraId="40DA771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100" w:hRule="atLeast"/>
          <w:jc w:val="center"/>
        </w:trPr>
        <w:tc>
          <w:tcPr>
            <w:tcW w:w="302" w:type="pct"/>
            <w:vMerge w:val="restart"/>
            <w:tcBorders>
              <w:tl2br w:val="nil"/>
              <w:tr2bl w:val="nil"/>
            </w:tcBorders>
            <w:vAlign w:val="center"/>
          </w:tcPr>
          <w:p w14:paraId="6A82EDFE">
            <w:pPr>
              <w:pStyle w:val="240"/>
              <w:rPr>
                <w:rFonts w:hint="default"/>
              </w:rPr>
            </w:pPr>
            <w:r>
              <w:rPr>
                <w:rFonts w:hint="default"/>
              </w:rPr>
              <w:t>风险预测与评价</w:t>
            </w:r>
          </w:p>
        </w:tc>
        <w:tc>
          <w:tcPr>
            <w:tcW w:w="475" w:type="pct"/>
            <w:vMerge w:val="restart"/>
            <w:tcBorders>
              <w:tl2br w:val="nil"/>
              <w:tr2bl w:val="nil"/>
            </w:tcBorders>
            <w:vAlign w:val="center"/>
          </w:tcPr>
          <w:p w14:paraId="3BF106EF">
            <w:pPr>
              <w:pStyle w:val="240"/>
              <w:rPr>
                <w:rFonts w:hint="default"/>
              </w:rPr>
            </w:pPr>
            <w:r>
              <w:rPr>
                <w:rFonts w:hint="default"/>
              </w:rPr>
              <w:t>大气</w:t>
            </w:r>
          </w:p>
        </w:tc>
        <w:tc>
          <w:tcPr>
            <w:tcW w:w="781" w:type="pct"/>
            <w:tcBorders>
              <w:tl2br w:val="nil"/>
              <w:tr2bl w:val="nil"/>
            </w:tcBorders>
            <w:vAlign w:val="center"/>
          </w:tcPr>
          <w:p w14:paraId="28A3DA9D">
            <w:pPr>
              <w:pStyle w:val="240"/>
              <w:rPr>
                <w:rFonts w:hint="default"/>
              </w:rPr>
            </w:pPr>
            <w:r>
              <w:rPr>
                <w:rFonts w:hint="default"/>
              </w:rPr>
              <w:t>预测模型</w:t>
            </w:r>
          </w:p>
        </w:tc>
        <w:tc>
          <w:tcPr>
            <w:tcW w:w="1110" w:type="pct"/>
            <w:tcBorders>
              <w:tl2br w:val="nil"/>
              <w:tr2bl w:val="nil"/>
            </w:tcBorders>
            <w:vAlign w:val="center"/>
          </w:tcPr>
          <w:p w14:paraId="31068012">
            <w:pPr>
              <w:pStyle w:val="240"/>
              <w:rPr>
                <w:rFonts w:hint="default"/>
              </w:rPr>
            </w:pPr>
            <w:r>
              <w:rPr>
                <w:rFonts w:hint="default"/>
              </w:rPr>
              <w:t xml:space="preserve">SLAB </w:t>
            </w:r>
            <w:r>
              <w:rPr>
                <w:rFonts w:hint="default"/>
              </w:rPr>
              <w:sym w:font="Wingdings 2" w:char="F0A3"/>
            </w:r>
          </w:p>
        </w:tc>
        <w:tc>
          <w:tcPr>
            <w:tcW w:w="715" w:type="pct"/>
            <w:tcBorders>
              <w:tl2br w:val="nil"/>
              <w:tr2bl w:val="nil"/>
            </w:tcBorders>
            <w:vAlign w:val="center"/>
          </w:tcPr>
          <w:p w14:paraId="616BED82">
            <w:pPr>
              <w:pStyle w:val="240"/>
              <w:rPr>
                <w:rFonts w:hint="default"/>
              </w:rPr>
            </w:pPr>
            <w:r>
              <w:rPr>
                <w:rFonts w:hint="default"/>
              </w:rPr>
              <w:t xml:space="preserve">AFTOX </w:t>
            </w:r>
            <w:r>
              <w:rPr>
                <w:rFonts w:hint="default"/>
              </w:rPr>
              <w:sym w:font="Wingdings 2" w:char="F0A3"/>
            </w:r>
          </w:p>
        </w:tc>
        <w:tc>
          <w:tcPr>
            <w:tcW w:w="1613" w:type="pct"/>
            <w:gridSpan w:val="2"/>
            <w:tcBorders>
              <w:tl2br w:val="nil"/>
              <w:tr2bl w:val="nil"/>
            </w:tcBorders>
            <w:vAlign w:val="center"/>
          </w:tcPr>
          <w:p w14:paraId="04836C32">
            <w:pPr>
              <w:pStyle w:val="240"/>
              <w:rPr>
                <w:rFonts w:hint="default"/>
              </w:rPr>
            </w:pPr>
            <w:r>
              <w:rPr>
                <w:rFonts w:hint="default"/>
              </w:rPr>
              <w:t xml:space="preserve">其他 </w:t>
            </w:r>
            <w:r>
              <w:rPr>
                <w:rFonts w:hint="default"/>
              </w:rPr>
              <w:sym w:font="Wingdings 2" w:char="F0A3"/>
            </w:r>
          </w:p>
        </w:tc>
      </w:tr>
      <w:tr w14:paraId="1BE4D41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100" w:hRule="atLeast"/>
          <w:jc w:val="center"/>
        </w:trPr>
        <w:tc>
          <w:tcPr>
            <w:tcW w:w="302" w:type="pct"/>
            <w:vMerge w:val="continue"/>
            <w:tcBorders>
              <w:tl2br w:val="nil"/>
              <w:tr2bl w:val="nil"/>
            </w:tcBorders>
            <w:vAlign w:val="center"/>
          </w:tcPr>
          <w:p w14:paraId="18172DF5">
            <w:pPr>
              <w:pStyle w:val="240"/>
              <w:rPr>
                <w:rFonts w:hint="default"/>
              </w:rPr>
            </w:pPr>
          </w:p>
        </w:tc>
        <w:tc>
          <w:tcPr>
            <w:tcW w:w="475" w:type="pct"/>
            <w:vMerge w:val="continue"/>
            <w:tcBorders>
              <w:tl2br w:val="nil"/>
              <w:tr2bl w:val="nil"/>
            </w:tcBorders>
            <w:vAlign w:val="center"/>
          </w:tcPr>
          <w:p w14:paraId="4C4AD4DD">
            <w:pPr>
              <w:pStyle w:val="240"/>
              <w:rPr>
                <w:rFonts w:hint="default"/>
              </w:rPr>
            </w:pPr>
          </w:p>
        </w:tc>
        <w:tc>
          <w:tcPr>
            <w:tcW w:w="781" w:type="pct"/>
            <w:vMerge w:val="restart"/>
            <w:tcBorders>
              <w:tl2br w:val="nil"/>
              <w:tr2bl w:val="nil"/>
            </w:tcBorders>
            <w:vAlign w:val="center"/>
          </w:tcPr>
          <w:p w14:paraId="6DD4F959">
            <w:pPr>
              <w:pStyle w:val="240"/>
              <w:rPr>
                <w:rFonts w:hint="default"/>
              </w:rPr>
            </w:pPr>
            <w:r>
              <w:rPr>
                <w:rFonts w:hint="default"/>
              </w:rPr>
              <w:t>预测结果</w:t>
            </w:r>
          </w:p>
        </w:tc>
        <w:tc>
          <w:tcPr>
            <w:tcW w:w="3439" w:type="pct"/>
            <w:gridSpan w:val="4"/>
            <w:tcBorders>
              <w:tl2br w:val="nil"/>
              <w:tr2bl w:val="nil"/>
            </w:tcBorders>
            <w:vAlign w:val="center"/>
          </w:tcPr>
          <w:p w14:paraId="1E6ECE16">
            <w:pPr>
              <w:pStyle w:val="240"/>
              <w:rPr>
                <w:rFonts w:hint="default"/>
              </w:rPr>
            </w:pPr>
            <w:r>
              <w:rPr>
                <w:rFonts w:hint="default"/>
              </w:rPr>
              <w:t>大气毒性终点浓度—1 最大影响范围 /  m</w:t>
            </w:r>
          </w:p>
        </w:tc>
      </w:tr>
      <w:tr w14:paraId="355900D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100" w:hRule="atLeast"/>
          <w:jc w:val="center"/>
        </w:trPr>
        <w:tc>
          <w:tcPr>
            <w:tcW w:w="302" w:type="pct"/>
            <w:vMerge w:val="continue"/>
            <w:tcBorders>
              <w:tl2br w:val="nil"/>
              <w:tr2bl w:val="nil"/>
            </w:tcBorders>
            <w:vAlign w:val="center"/>
          </w:tcPr>
          <w:p w14:paraId="34AA7098">
            <w:pPr>
              <w:pStyle w:val="240"/>
              <w:rPr>
                <w:rFonts w:hint="default"/>
              </w:rPr>
            </w:pPr>
          </w:p>
        </w:tc>
        <w:tc>
          <w:tcPr>
            <w:tcW w:w="475" w:type="pct"/>
            <w:vMerge w:val="continue"/>
            <w:tcBorders>
              <w:tl2br w:val="nil"/>
              <w:tr2bl w:val="nil"/>
            </w:tcBorders>
            <w:vAlign w:val="center"/>
          </w:tcPr>
          <w:p w14:paraId="09AE4E10">
            <w:pPr>
              <w:pStyle w:val="240"/>
              <w:rPr>
                <w:rFonts w:hint="default"/>
              </w:rPr>
            </w:pPr>
          </w:p>
        </w:tc>
        <w:tc>
          <w:tcPr>
            <w:tcW w:w="781" w:type="pct"/>
            <w:vMerge w:val="continue"/>
            <w:tcBorders>
              <w:tl2br w:val="nil"/>
              <w:tr2bl w:val="nil"/>
            </w:tcBorders>
            <w:vAlign w:val="center"/>
          </w:tcPr>
          <w:p w14:paraId="7EF5834A">
            <w:pPr>
              <w:pStyle w:val="240"/>
              <w:rPr>
                <w:rFonts w:hint="default"/>
              </w:rPr>
            </w:pPr>
          </w:p>
        </w:tc>
        <w:tc>
          <w:tcPr>
            <w:tcW w:w="3439" w:type="pct"/>
            <w:gridSpan w:val="4"/>
            <w:tcBorders>
              <w:tl2br w:val="nil"/>
              <w:tr2bl w:val="nil"/>
            </w:tcBorders>
            <w:vAlign w:val="center"/>
          </w:tcPr>
          <w:p w14:paraId="2BBAB907">
            <w:pPr>
              <w:pStyle w:val="240"/>
              <w:rPr>
                <w:rFonts w:hint="default"/>
              </w:rPr>
            </w:pPr>
            <w:r>
              <w:rPr>
                <w:rFonts w:hint="default"/>
              </w:rPr>
              <w:t>大气毒性终点浓度—2 最大影响范围 /  m</w:t>
            </w:r>
          </w:p>
        </w:tc>
      </w:tr>
      <w:tr w14:paraId="2AEE471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100" w:hRule="atLeast"/>
          <w:jc w:val="center"/>
        </w:trPr>
        <w:tc>
          <w:tcPr>
            <w:tcW w:w="302" w:type="pct"/>
            <w:vMerge w:val="continue"/>
            <w:tcBorders>
              <w:tl2br w:val="nil"/>
              <w:tr2bl w:val="nil"/>
            </w:tcBorders>
            <w:vAlign w:val="center"/>
          </w:tcPr>
          <w:p w14:paraId="3282BE0E">
            <w:pPr>
              <w:pStyle w:val="240"/>
              <w:rPr>
                <w:rFonts w:hint="default"/>
              </w:rPr>
            </w:pPr>
          </w:p>
        </w:tc>
        <w:tc>
          <w:tcPr>
            <w:tcW w:w="475" w:type="pct"/>
            <w:tcBorders>
              <w:tl2br w:val="nil"/>
              <w:tr2bl w:val="nil"/>
            </w:tcBorders>
            <w:vAlign w:val="center"/>
          </w:tcPr>
          <w:p w14:paraId="5CC1F986">
            <w:pPr>
              <w:pStyle w:val="240"/>
              <w:rPr>
                <w:rFonts w:hint="default"/>
              </w:rPr>
            </w:pPr>
            <w:r>
              <w:rPr>
                <w:rFonts w:hint="default"/>
              </w:rPr>
              <w:t>地表水</w:t>
            </w:r>
          </w:p>
        </w:tc>
        <w:tc>
          <w:tcPr>
            <w:tcW w:w="4221" w:type="pct"/>
            <w:gridSpan w:val="5"/>
            <w:tcBorders>
              <w:tl2br w:val="nil"/>
              <w:tr2bl w:val="nil"/>
            </w:tcBorders>
            <w:vAlign w:val="center"/>
          </w:tcPr>
          <w:p w14:paraId="188E6CBD">
            <w:pPr>
              <w:pStyle w:val="240"/>
              <w:rPr>
                <w:rFonts w:hint="default"/>
              </w:rPr>
            </w:pPr>
            <w:r>
              <w:rPr>
                <w:rFonts w:hint="default"/>
              </w:rPr>
              <w:t>最近环境敏感目标       /       ，到达时间    /    h</w:t>
            </w:r>
          </w:p>
        </w:tc>
      </w:tr>
      <w:tr w14:paraId="5CCBE8A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100" w:hRule="atLeast"/>
          <w:jc w:val="center"/>
        </w:trPr>
        <w:tc>
          <w:tcPr>
            <w:tcW w:w="302" w:type="pct"/>
            <w:vMerge w:val="continue"/>
            <w:tcBorders>
              <w:tl2br w:val="nil"/>
              <w:tr2bl w:val="nil"/>
            </w:tcBorders>
            <w:vAlign w:val="center"/>
          </w:tcPr>
          <w:p w14:paraId="1229C1DB">
            <w:pPr>
              <w:pStyle w:val="240"/>
              <w:rPr>
                <w:rFonts w:hint="default"/>
              </w:rPr>
            </w:pPr>
          </w:p>
        </w:tc>
        <w:tc>
          <w:tcPr>
            <w:tcW w:w="475" w:type="pct"/>
            <w:vMerge w:val="restart"/>
            <w:tcBorders>
              <w:tl2br w:val="nil"/>
              <w:tr2bl w:val="nil"/>
            </w:tcBorders>
            <w:vAlign w:val="center"/>
          </w:tcPr>
          <w:p w14:paraId="66FE9E23">
            <w:pPr>
              <w:pStyle w:val="240"/>
              <w:rPr>
                <w:rFonts w:hint="default"/>
              </w:rPr>
            </w:pPr>
            <w:r>
              <w:rPr>
                <w:rFonts w:hint="default"/>
              </w:rPr>
              <w:t>地下水</w:t>
            </w:r>
          </w:p>
        </w:tc>
        <w:tc>
          <w:tcPr>
            <w:tcW w:w="4221" w:type="pct"/>
            <w:gridSpan w:val="5"/>
            <w:tcBorders>
              <w:tl2br w:val="nil"/>
              <w:tr2bl w:val="nil"/>
            </w:tcBorders>
            <w:vAlign w:val="center"/>
          </w:tcPr>
          <w:p w14:paraId="51058BAA">
            <w:pPr>
              <w:pStyle w:val="240"/>
              <w:rPr>
                <w:rFonts w:hint="default"/>
              </w:rPr>
            </w:pPr>
            <w:r>
              <w:rPr>
                <w:rFonts w:hint="default"/>
              </w:rPr>
              <w:t>下游厂区边界到达时间   /  d</w:t>
            </w:r>
          </w:p>
        </w:tc>
      </w:tr>
      <w:tr w14:paraId="78CE233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172" w:hRule="atLeast"/>
          <w:jc w:val="center"/>
        </w:trPr>
        <w:tc>
          <w:tcPr>
            <w:tcW w:w="302" w:type="pct"/>
            <w:vMerge w:val="continue"/>
            <w:tcBorders>
              <w:tl2br w:val="nil"/>
              <w:tr2bl w:val="nil"/>
            </w:tcBorders>
            <w:vAlign w:val="center"/>
          </w:tcPr>
          <w:p w14:paraId="15A8233C">
            <w:pPr>
              <w:pStyle w:val="240"/>
              <w:rPr>
                <w:rFonts w:hint="default"/>
              </w:rPr>
            </w:pPr>
          </w:p>
        </w:tc>
        <w:tc>
          <w:tcPr>
            <w:tcW w:w="475" w:type="pct"/>
            <w:vMerge w:val="continue"/>
            <w:tcBorders>
              <w:tl2br w:val="nil"/>
              <w:tr2bl w:val="nil"/>
            </w:tcBorders>
            <w:vAlign w:val="center"/>
          </w:tcPr>
          <w:p w14:paraId="6E5C77DB">
            <w:pPr>
              <w:pStyle w:val="240"/>
              <w:rPr>
                <w:rFonts w:hint="default"/>
              </w:rPr>
            </w:pPr>
          </w:p>
        </w:tc>
        <w:tc>
          <w:tcPr>
            <w:tcW w:w="4221" w:type="pct"/>
            <w:gridSpan w:val="5"/>
            <w:tcBorders>
              <w:tl2br w:val="nil"/>
              <w:tr2bl w:val="nil"/>
            </w:tcBorders>
            <w:vAlign w:val="center"/>
          </w:tcPr>
          <w:p w14:paraId="6C6EFC33">
            <w:pPr>
              <w:pStyle w:val="240"/>
              <w:rPr>
                <w:rFonts w:hint="default"/>
              </w:rPr>
            </w:pPr>
            <w:r>
              <w:rPr>
                <w:rFonts w:hint="default"/>
              </w:rPr>
              <w:t>最近环境敏感目标       /       ，到达时间    /    d</w:t>
            </w:r>
          </w:p>
        </w:tc>
      </w:tr>
      <w:tr w14:paraId="53082C8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195" w:hRule="atLeast"/>
          <w:jc w:val="center"/>
        </w:trPr>
        <w:tc>
          <w:tcPr>
            <w:tcW w:w="778" w:type="pct"/>
            <w:gridSpan w:val="2"/>
            <w:tcBorders>
              <w:tl2br w:val="nil"/>
              <w:tr2bl w:val="nil"/>
            </w:tcBorders>
            <w:vAlign w:val="center"/>
          </w:tcPr>
          <w:p w14:paraId="172ADEF6">
            <w:pPr>
              <w:pStyle w:val="240"/>
              <w:rPr>
                <w:rFonts w:hint="default"/>
              </w:rPr>
            </w:pPr>
            <w:r>
              <w:rPr>
                <w:rFonts w:hint="default"/>
              </w:rPr>
              <w:t>重点风险防范措施</w:t>
            </w:r>
          </w:p>
        </w:tc>
        <w:tc>
          <w:tcPr>
            <w:tcW w:w="4221" w:type="pct"/>
            <w:gridSpan w:val="5"/>
            <w:tcBorders>
              <w:tl2br w:val="nil"/>
              <w:tr2bl w:val="nil"/>
            </w:tcBorders>
            <w:vAlign w:val="center"/>
          </w:tcPr>
          <w:p w14:paraId="62B84A53">
            <w:pPr>
              <w:pStyle w:val="240"/>
              <w:rPr>
                <w:rFonts w:hint="default"/>
              </w:rPr>
            </w:pPr>
            <w:r>
              <w:rPr>
                <w:rFonts w:hint="default"/>
              </w:rPr>
              <w:t>完善制度，严格检查、加强技术培训，</w:t>
            </w:r>
            <w:r>
              <w:rPr>
                <w:rFonts w:hint="eastAsia"/>
                <w:lang w:eastAsia="zh-CN"/>
              </w:rPr>
              <w:t>增强</w:t>
            </w:r>
            <w:r>
              <w:rPr>
                <w:rFonts w:hint="default"/>
              </w:rPr>
              <w:t xml:space="preserve">安全意识 </w:t>
            </w:r>
          </w:p>
        </w:tc>
      </w:tr>
      <w:tr w14:paraId="1924B8F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133" w:hRule="atLeast"/>
          <w:jc w:val="center"/>
        </w:trPr>
        <w:tc>
          <w:tcPr>
            <w:tcW w:w="778" w:type="pct"/>
            <w:gridSpan w:val="2"/>
            <w:tcBorders>
              <w:tl2br w:val="nil"/>
              <w:tr2bl w:val="nil"/>
            </w:tcBorders>
            <w:vAlign w:val="center"/>
          </w:tcPr>
          <w:p w14:paraId="7BA0A009">
            <w:pPr>
              <w:pStyle w:val="240"/>
              <w:rPr>
                <w:rFonts w:hint="default"/>
              </w:rPr>
            </w:pPr>
            <w:r>
              <w:rPr>
                <w:rFonts w:hint="default"/>
              </w:rPr>
              <w:t>评价结论与建议</w:t>
            </w:r>
          </w:p>
        </w:tc>
        <w:tc>
          <w:tcPr>
            <w:tcW w:w="4221" w:type="pct"/>
            <w:gridSpan w:val="5"/>
            <w:tcBorders>
              <w:tl2br w:val="nil"/>
              <w:tr2bl w:val="nil"/>
            </w:tcBorders>
            <w:vAlign w:val="center"/>
          </w:tcPr>
          <w:p w14:paraId="5C288289">
            <w:pPr>
              <w:pStyle w:val="240"/>
              <w:rPr>
                <w:rFonts w:hint="default"/>
              </w:rPr>
            </w:pPr>
            <w:r>
              <w:rPr>
                <w:rFonts w:hint="default"/>
              </w:rPr>
              <w:t xml:space="preserve">    在严格按照安监、消防部门的管理要求，落实安全风险防范措施和应急措施的前提下，环境风险水平是可以接受的</w:t>
            </w:r>
          </w:p>
        </w:tc>
      </w:tr>
      <w:tr w14:paraId="1BAB0B8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109" w:hRule="atLeast"/>
          <w:jc w:val="center"/>
        </w:trPr>
        <w:tc>
          <w:tcPr>
            <w:tcW w:w="5000" w:type="pct"/>
            <w:gridSpan w:val="7"/>
            <w:tcBorders>
              <w:tl2br w:val="nil"/>
              <w:tr2bl w:val="nil"/>
            </w:tcBorders>
            <w:vAlign w:val="center"/>
          </w:tcPr>
          <w:p w14:paraId="30D94EA6">
            <w:pPr>
              <w:pStyle w:val="240"/>
              <w:rPr>
                <w:rFonts w:hint="default"/>
              </w:rPr>
            </w:pPr>
            <w:r>
              <w:rPr>
                <w:rFonts w:hint="default"/>
              </w:rPr>
              <w:t>注：“</w:t>
            </w:r>
            <w:r>
              <w:rPr>
                <w:rFonts w:hint="default"/>
              </w:rPr>
              <w:sym w:font="Wingdings 2" w:char="F0A3"/>
            </w:r>
            <w:r>
              <w:rPr>
                <w:rFonts w:hint="default"/>
              </w:rPr>
              <w:t>”为勾选项，</w:t>
            </w:r>
            <w:r>
              <w:t>“       ”</w:t>
            </w:r>
            <w:r>
              <w:rPr>
                <w:rFonts w:hint="default"/>
              </w:rPr>
              <w:t>为填写项。</w:t>
            </w:r>
          </w:p>
        </w:tc>
      </w:tr>
    </w:tbl>
    <w:p w14:paraId="0BE4F523">
      <w:pPr>
        <w:rPr>
          <w:b/>
          <w:bCs/>
          <w:color w:val="000000"/>
        </w:rPr>
        <w:sectPr>
          <w:pgSz w:w="11906" w:h="16838"/>
          <w:pgMar w:top="1440" w:right="1800" w:bottom="1440" w:left="1800" w:header="851" w:footer="992" w:gutter="0"/>
          <w:pgBorders>
            <w:top w:val="none" w:sz="0" w:space="0"/>
            <w:left w:val="none" w:sz="0" w:space="0"/>
            <w:bottom w:val="none" w:sz="0" w:space="0"/>
            <w:right w:val="none" w:sz="0" w:space="0"/>
          </w:pgBorders>
          <w:cols w:space="720" w:num="1"/>
          <w:docGrid w:type="lines" w:linePitch="312" w:charSpace="0"/>
        </w:sectPr>
      </w:pPr>
    </w:p>
    <w:p w14:paraId="699CE5B4">
      <w:pPr>
        <w:pStyle w:val="2"/>
        <w:keepNext w:val="0"/>
        <w:keepLines w:val="0"/>
        <w:autoSpaceDE w:val="0"/>
        <w:autoSpaceDN w:val="0"/>
        <w:spacing w:before="0" w:beforeAutospacing="0" w:after="0" w:afterAutospacing="0" w:line="360" w:lineRule="auto"/>
        <w:jc w:val="left"/>
        <w:rPr>
          <w:kern w:val="0"/>
          <w:sz w:val="28"/>
          <w:szCs w:val="28"/>
          <w:lang w:val="en-US" w:bidi="zh-CN"/>
        </w:rPr>
      </w:pPr>
      <w:bookmarkStart w:id="357" w:name="_Toc332727845"/>
      <w:bookmarkStart w:id="358" w:name="_Toc329880349"/>
      <w:bookmarkStart w:id="359" w:name="_Toc363049978"/>
      <w:bookmarkStart w:id="360" w:name="_Toc5026"/>
      <w:r>
        <w:rPr>
          <w:rFonts w:hint="eastAsia"/>
          <w:kern w:val="0"/>
          <w:sz w:val="28"/>
          <w:szCs w:val="28"/>
          <w:lang w:val="en-US" w:bidi="zh-CN"/>
        </w:rPr>
        <w:t>6环境保护措施及可行性论证</w:t>
      </w:r>
      <w:bookmarkEnd w:id="357"/>
      <w:bookmarkEnd w:id="358"/>
      <w:bookmarkEnd w:id="359"/>
      <w:bookmarkEnd w:id="360"/>
    </w:p>
    <w:p w14:paraId="432507C0">
      <w:pPr>
        <w:pStyle w:val="3"/>
        <w:keepNext w:val="0"/>
        <w:keepLines w:val="0"/>
        <w:autoSpaceDE w:val="0"/>
        <w:autoSpaceDN w:val="0"/>
        <w:spacing w:before="0" w:after="0" w:line="360" w:lineRule="auto"/>
        <w:jc w:val="left"/>
        <w:rPr>
          <w:rFonts w:ascii="Times New Roman" w:hAnsi="Times New Roman" w:eastAsia="宋体"/>
          <w:kern w:val="0"/>
          <w:sz w:val="24"/>
          <w:szCs w:val="30"/>
          <w:lang w:val="en-US" w:bidi="zh-CN"/>
        </w:rPr>
      </w:pPr>
      <w:bookmarkStart w:id="361" w:name="_Toc24500"/>
      <w:bookmarkStart w:id="362" w:name="_Toc26127"/>
      <w:bookmarkStart w:id="363" w:name="_Toc332727846"/>
      <w:bookmarkStart w:id="364" w:name="_Toc363049979"/>
      <w:bookmarkStart w:id="365" w:name="_Toc329880350"/>
      <w:r>
        <w:rPr>
          <w:rFonts w:hint="eastAsia" w:ascii="Times New Roman" w:hAnsi="Times New Roman" w:eastAsia="宋体"/>
          <w:kern w:val="0"/>
          <w:sz w:val="24"/>
          <w:szCs w:val="30"/>
          <w:lang w:val="en-US" w:bidi="zh-CN"/>
        </w:rPr>
        <w:t>6.1施工期环境保护措施分析</w:t>
      </w:r>
      <w:bookmarkEnd w:id="361"/>
      <w:bookmarkEnd w:id="362"/>
    </w:p>
    <w:p w14:paraId="7EA73706">
      <w:pPr>
        <w:spacing w:before="78" w:line="356" w:lineRule="auto"/>
        <w:ind w:left="12" w:right="105" w:firstLine="478"/>
        <w:rPr>
          <w:rFonts w:hint="eastAsia" w:ascii="宋体" w:hAnsi="宋体" w:cs="宋体"/>
          <w:spacing w:val="-1"/>
          <w:sz w:val="24"/>
          <w:szCs w:val="24"/>
        </w:rPr>
      </w:pPr>
      <w:r>
        <w:rPr>
          <w:rFonts w:hint="eastAsia" w:ascii="宋体" w:hAnsi="宋体" w:cs="宋体"/>
          <w:spacing w:val="-2"/>
          <w:sz w:val="24"/>
          <w:szCs w:val="24"/>
        </w:rPr>
        <w:t>本项目不进行土建工程，主要在租用的厂房内进行设备安装，施工内容简单，加之在</w:t>
      </w:r>
      <w:r>
        <w:rPr>
          <w:rFonts w:hint="eastAsia" w:ascii="宋体" w:hAnsi="宋体" w:cs="宋体"/>
          <w:sz w:val="24"/>
          <w:szCs w:val="24"/>
        </w:rPr>
        <w:t>车间内进行，远离居民生活区，因此施工期对环</w:t>
      </w:r>
      <w:r>
        <w:rPr>
          <w:rFonts w:hint="eastAsia" w:ascii="宋体" w:hAnsi="宋体" w:cs="宋体"/>
          <w:spacing w:val="-1"/>
          <w:sz w:val="24"/>
          <w:szCs w:val="24"/>
        </w:rPr>
        <w:t>境的影响是十分有限且短暂的。</w:t>
      </w:r>
    </w:p>
    <w:p w14:paraId="6FF6DF0E">
      <w:pPr>
        <w:pStyle w:val="4"/>
        <w:autoSpaceDE w:val="0"/>
        <w:autoSpaceDN w:val="0"/>
        <w:spacing w:before="0" w:after="0" w:line="360" w:lineRule="auto"/>
        <w:jc w:val="left"/>
        <w:rPr>
          <w:kern w:val="0"/>
          <w:sz w:val="24"/>
          <w:lang w:val="en-US" w:bidi="zh-CN"/>
        </w:rPr>
      </w:pPr>
      <w:r>
        <w:rPr>
          <w:rFonts w:hint="eastAsia"/>
          <w:kern w:val="0"/>
          <w:sz w:val="24"/>
          <w:lang w:val="en-US" w:bidi="zh-CN"/>
        </w:rPr>
        <w:t>6.1.1施工期大气污染防治措施分析</w:t>
      </w:r>
    </w:p>
    <w:p w14:paraId="6CD82248">
      <w:pPr>
        <w:spacing w:line="360" w:lineRule="auto"/>
        <w:ind w:firstLine="480" w:firstLineChars="200"/>
        <w:rPr>
          <w:rFonts w:hint="eastAsia" w:ascii="宋体" w:hAnsi="宋体"/>
          <w:sz w:val="24"/>
        </w:rPr>
      </w:pPr>
      <w:r>
        <w:rPr>
          <w:rFonts w:hint="eastAsia"/>
          <w:sz w:val="24"/>
          <w:szCs w:val="24"/>
        </w:rPr>
        <w:t>项目施工期主要为租用现有厂房进行设备安装，仅限于车间内，在安装过程中轻拿轻放，减少起尘量，因此对周围环境影响甚微。</w:t>
      </w:r>
    </w:p>
    <w:p w14:paraId="3AA80A49">
      <w:pPr>
        <w:pStyle w:val="4"/>
        <w:autoSpaceDE w:val="0"/>
        <w:autoSpaceDN w:val="0"/>
        <w:spacing w:before="0" w:after="0" w:line="360" w:lineRule="auto"/>
        <w:jc w:val="left"/>
        <w:rPr>
          <w:kern w:val="0"/>
          <w:sz w:val="24"/>
          <w:lang w:val="en-US" w:bidi="zh-CN"/>
        </w:rPr>
      </w:pPr>
      <w:r>
        <w:rPr>
          <w:rFonts w:hint="eastAsia"/>
          <w:kern w:val="0"/>
          <w:sz w:val="24"/>
          <w:lang w:val="en-US" w:bidi="zh-CN"/>
        </w:rPr>
        <w:t>6.1.2施工期水污染防治措施分析</w:t>
      </w:r>
    </w:p>
    <w:p w14:paraId="5B9F5C2C">
      <w:pPr>
        <w:spacing w:line="360" w:lineRule="auto"/>
        <w:ind w:firstLine="476" w:firstLineChars="200"/>
        <w:rPr>
          <w:sz w:val="24"/>
          <w:szCs w:val="24"/>
        </w:rPr>
      </w:pPr>
      <w:r>
        <w:rPr>
          <w:rFonts w:hint="eastAsia" w:ascii="宋体" w:hAnsi="宋体" w:cs="宋体"/>
          <w:spacing w:val="-1"/>
          <w:sz w:val="24"/>
          <w:szCs w:val="24"/>
        </w:rPr>
        <w:t>本项目施工期间产生的废水主要为少量施工人员产生的生活污水，施工人员</w:t>
      </w:r>
      <w:r>
        <w:rPr>
          <w:rFonts w:hint="eastAsia" w:ascii="宋体" w:hAnsi="宋体"/>
          <w:sz w:val="24"/>
          <w:szCs w:val="24"/>
        </w:rPr>
        <w:t>生活污水排入</w:t>
      </w:r>
      <w:r>
        <w:rPr>
          <w:rFonts w:hint="eastAsia" w:ascii="宋体" w:hAnsi="宋体"/>
          <w:sz w:val="24"/>
          <w:szCs w:val="24"/>
          <w:lang w:val="en-US" w:eastAsia="zh-CN"/>
        </w:rPr>
        <w:t>10</w:t>
      </w:r>
      <w:r>
        <w:rPr>
          <w:rFonts w:ascii="宋体" w:hAnsi="宋体"/>
          <w:sz w:val="24"/>
          <w:szCs w:val="24"/>
        </w:rPr>
        <w:t>m</w:t>
      </w:r>
      <w:r>
        <w:rPr>
          <w:rFonts w:ascii="宋体" w:hAnsi="宋体"/>
          <w:sz w:val="24"/>
          <w:szCs w:val="24"/>
          <w:vertAlign w:val="superscript"/>
        </w:rPr>
        <w:t>3</w:t>
      </w:r>
      <w:r>
        <w:rPr>
          <w:rFonts w:hint="eastAsia" w:ascii="宋体" w:hAnsi="宋体"/>
          <w:sz w:val="24"/>
          <w:szCs w:val="24"/>
          <w:lang w:val="en-US" w:eastAsia="zh-CN"/>
        </w:rPr>
        <w:t>防渗化粪池</w:t>
      </w:r>
      <w:r>
        <w:rPr>
          <w:rFonts w:hint="eastAsia" w:ascii="宋体" w:hAnsi="宋体"/>
          <w:sz w:val="24"/>
          <w:szCs w:val="24"/>
          <w:lang w:eastAsia="zh-CN"/>
        </w:rPr>
        <w:t>，定期由库尔勒龙润水处理有限公司采用罐车拉运至库尔勒南市区污水处理厂</w:t>
      </w:r>
      <w:r>
        <w:rPr>
          <w:rFonts w:hint="eastAsia" w:ascii="宋体" w:hAnsi="宋体" w:cs="宋体"/>
          <w:spacing w:val="-2"/>
          <w:sz w:val="24"/>
          <w:szCs w:val="24"/>
        </w:rPr>
        <w:t>。</w:t>
      </w:r>
      <w:r>
        <w:rPr>
          <w:sz w:val="24"/>
          <w:szCs w:val="24"/>
        </w:rPr>
        <w:t>施工期生活废水对项目区及周边环境影响甚微。</w:t>
      </w:r>
    </w:p>
    <w:p w14:paraId="0B9FF308">
      <w:pPr>
        <w:pStyle w:val="4"/>
        <w:autoSpaceDE w:val="0"/>
        <w:autoSpaceDN w:val="0"/>
        <w:spacing w:before="0" w:after="0" w:line="360" w:lineRule="auto"/>
        <w:jc w:val="left"/>
        <w:rPr>
          <w:kern w:val="0"/>
          <w:sz w:val="24"/>
          <w:lang w:val="en-US" w:bidi="zh-CN"/>
        </w:rPr>
      </w:pPr>
      <w:r>
        <w:rPr>
          <w:rFonts w:hint="eastAsia"/>
          <w:kern w:val="0"/>
          <w:sz w:val="24"/>
          <w:lang w:val="en-US" w:bidi="zh-CN"/>
        </w:rPr>
        <w:t>6.1.3施工期噪声污染防治措施分析</w:t>
      </w:r>
    </w:p>
    <w:p w14:paraId="123B34BA">
      <w:pPr>
        <w:spacing w:before="78" w:line="356" w:lineRule="auto"/>
        <w:ind w:left="12" w:right="105" w:firstLine="478"/>
        <w:rPr>
          <w:rFonts w:hint="eastAsia" w:ascii="宋体" w:hAnsi="宋体" w:cs="宋体"/>
          <w:spacing w:val="-1"/>
          <w:sz w:val="24"/>
          <w:szCs w:val="24"/>
        </w:rPr>
      </w:pPr>
      <w:r>
        <w:rPr>
          <w:rFonts w:hint="eastAsia" w:ascii="宋体" w:hAnsi="宋体" w:cs="宋体"/>
          <w:spacing w:val="-1"/>
          <w:sz w:val="24"/>
          <w:szCs w:val="24"/>
        </w:rPr>
        <w:t>为了减轻施工噪声与振动对附近区域的影响，建设方应采取有效措施控制施工期噪声。施工期噪声污染控制对策：</w:t>
      </w:r>
    </w:p>
    <w:p w14:paraId="04628D9A">
      <w:pPr>
        <w:spacing w:before="78" w:line="356" w:lineRule="auto"/>
        <w:ind w:left="12" w:right="105" w:firstLine="478"/>
        <w:rPr>
          <w:rFonts w:hint="eastAsia" w:ascii="宋体" w:hAnsi="宋体" w:cs="宋体"/>
          <w:spacing w:val="-1"/>
          <w:sz w:val="24"/>
          <w:szCs w:val="24"/>
        </w:rPr>
      </w:pPr>
      <w:r>
        <w:rPr>
          <w:rFonts w:hint="eastAsia" w:ascii="宋体" w:hAnsi="宋体" w:cs="宋体"/>
          <w:spacing w:val="-1"/>
          <w:sz w:val="24"/>
          <w:szCs w:val="24"/>
        </w:rPr>
        <w:t>（1）制订施工计划时应避免同时使用大量高噪声设备施工，除此之外，高噪声机械施工时间要安排在日间，减少夜间施工量。</w:t>
      </w:r>
    </w:p>
    <w:p w14:paraId="53DF121A">
      <w:pPr>
        <w:spacing w:before="78" w:line="356" w:lineRule="auto"/>
        <w:ind w:left="12" w:right="105" w:firstLine="478"/>
        <w:rPr>
          <w:rFonts w:hint="eastAsia" w:ascii="宋体" w:hAnsi="宋体" w:cs="宋体"/>
          <w:spacing w:val="-1"/>
          <w:sz w:val="24"/>
          <w:szCs w:val="24"/>
        </w:rPr>
      </w:pPr>
      <w:r>
        <w:rPr>
          <w:rFonts w:hint="eastAsia" w:ascii="宋体" w:hAnsi="宋体" w:cs="宋体"/>
          <w:spacing w:val="-1"/>
          <w:sz w:val="24"/>
          <w:szCs w:val="24"/>
        </w:rPr>
        <w:t>（2）合理布局施工现场，避免在同一地点安排大量动力机械设备，以防止局部声级过高。针对个别影响突出的高噪声设备，在厂房内，与周围环境隔离，使施工噪声控制在车间内，以减小环境噪声污染范围与污染程度。</w:t>
      </w:r>
    </w:p>
    <w:p w14:paraId="2FC66263">
      <w:pPr>
        <w:pStyle w:val="4"/>
        <w:autoSpaceDE w:val="0"/>
        <w:autoSpaceDN w:val="0"/>
        <w:spacing w:before="0" w:after="0" w:line="360" w:lineRule="auto"/>
        <w:jc w:val="left"/>
        <w:rPr>
          <w:kern w:val="0"/>
          <w:sz w:val="24"/>
          <w:lang w:val="en-US" w:bidi="zh-CN"/>
        </w:rPr>
      </w:pPr>
      <w:r>
        <w:rPr>
          <w:rFonts w:hint="eastAsia"/>
          <w:kern w:val="0"/>
          <w:sz w:val="24"/>
          <w:lang w:val="en-US" w:bidi="zh-CN"/>
        </w:rPr>
        <w:t>6.1.4施工期固体废物处置措施</w:t>
      </w:r>
    </w:p>
    <w:p w14:paraId="68B93BDD">
      <w:pPr>
        <w:spacing w:line="360" w:lineRule="auto"/>
        <w:ind w:firstLine="480" w:firstLineChars="200"/>
        <w:rPr>
          <w:color w:val="000000"/>
          <w:sz w:val="24"/>
        </w:rPr>
      </w:pPr>
      <w:r>
        <w:rPr>
          <w:rFonts w:hint="eastAsia"/>
          <w:sz w:val="24"/>
          <w:szCs w:val="24"/>
        </w:rPr>
        <w:t>本项目施工期的固体废物主要为设备的废包装材料等，集中收休后外售给废品收购站，</w:t>
      </w:r>
      <w:r>
        <w:rPr>
          <w:rFonts w:hint="eastAsia"/>
          <w:color w:val="000000"/>
          <w:sz w:val="24"/>
        </w:rPr>
        <w:t>生活垃圾集中收集后统一交由环卫部门统一处置。</w:t>
      </w:r>
    </w:p>
    <w:p w14:paraId="253A8D90">
      <w:pPr>
        <w:spacing w:line="360" w:lineRule="auto"/>
        <w:ind w:firstLine="480" w:firstLineChars="200"/>
        <w:rPr>
          <w:sz w:val="24"/>
          <w:szCs w:val="24"/>
        </w:rPr>
      </w:pPr>
      <w:r>
        <w:rPr>
          <w:rFonts w:hint="eastAsia"/>
          <w:sz w:val="24"/>
          <w:szCs w:val="24"/>
        </w:rPr>
        <w:t>施工结束后施工区做到“人退，料尽，场 净”无遗留的固废，对周围影响不大，措施可行。</w:t>
      </w:r>
    </w:p>
    <w:p w14:paraId="5255A5F4">
      <w:pPr>
        <w:pStyle w:val="3"/>
        <w:keepNext w:val="0"/>
        <w:keepLines w:val="0"/>
        <w:autoSpaceDE w:val="0"/>
        <w:autoSpaceDN w:val="0"/>
        <w:spacing w:before="0" w:after="0" w:line="360" w:lineRule="auto"/>
        <w:jc w:val="left"/>
        <w:rPr>
          <w:rFonts w:ascii="Times New Roman" w:hAnsi="Times New Roman" w:eastAsia="宋体"/>
          <w:kern w:val="0"/>
          <w:sz w:val="24"/>
          <w:szCs w:val="30"/>
          <w:lang w:val="en-US" w:bidi="zh-CN"/>
        </w:rPr>
      </w:pPr>
      <w:bookmarkStart w:id="366" w:name="_Toc6286"/>
      <w:bookmarkStart w:id="367" w:name="_Toc14108"/>
      <w:r>
        <w:rPr>
          <w:rFonts w:hint="eastAsia" w:ascii="Times New Roman" w:hAnsi="Times New Roman" w:eastAsia="宋体"/>
          <w:kern w:val="0"/>
          <w:sz w:val="24"/>
          <w:szCs w:val="30"/>
          <w:lang w:val="en-US" w:bidi="zh-CN"/>
        </w:rPr>
        <w:t>6.2运营期环境保护措施分析</w:t>
      </w:r>
      <w:bookmarkEnd w:id="366"/>
      <w:bookmarkEnd w:id="367"/>
    </w:p>
    <w:p w14:paraId="3ACC56E9">
      <w:pPr>
        <w:pStyle w:val="4"/>
        <w:autoSpaceDE w:val="0"/>
        <w:autoSpaceDN w:val="0"/>
        <w:spacing w:before="0" w:after="0" w:line="360" w:lineRule="auto"/>
        <w:jc w:val="left"/>
        <w:rPr>
          <w:kern w:val="0"/>
          <w:sz w:val="24"/>
          <w:lang w:val="en-US" w:bidi="zh-CN"/>
        </w:rPr>
      </w:pPr>
      <w:r>
        <w:rPr>
          <w:rFonts w:hint="eastAsia"/>
          <w:kern w:val="0"/>
          <w:sz w:val="24"/>
          <w:lang w:val="en-US" w:bidi="zh-CN"/>
        </w:rPr>
        <w:t>6.2.1</w:t>
      </w:r>
      <w:bookmarkEnd w:id="363"/>
      <w:bookmarkEnd w:id="364"/>
      <w:bookmarkEnd w:id="365"/>
      <w:r>
        <w:rPr>
          <w:rFonts w:hint="eastAsia"/>
          <w:kern w:val="0"/>
          <w:sz w:val="24"/>
          <w:lang w:val="en-US" w:bidi="zh-CN"/>
        </w:rPr>
        <w:t>大气环境保护措施及可行性分析</w:t>
      </w:r>
    </w:p>
    <w:p w14:paraId="4C2EF73E">
      <w:pPr>
        <w:pStyle w:val="5"/>
        <w:rPr>
          <w:rFonts w:ascii="Times New Roman" w:hAnsi="Times New Roman"/>
          <w:color w:val="000000"/>
          <w:lang w:val="en-US"/>
        </w:rPr>
      </w:pPr>
      <w:r>
        <w:rPr>
          <w:rFonts w:hint="eastAsia" w:ascii="Times New Roman" w:hAnsi="Times New Roman"/>
          <w:color w:val="000000"/>
          <w:lang w:val="en-US"/>
        </w:rPr>
        <w:t>6.2.1.1大气污染防治措施</w:t>
      </w:r>
    </w:p>
    <w:p w14:paraId="5FB96DE4">
      <w:pPr>
        <w:kinsoku w:val="0"/>
        <w:overflowPunct w:val="0"/>
        <w:autoSpaceDE w:val="0"/>
        <w:autoSpaceDN w:val="0"/>
        <w:spacing w:line="360" w:lineRule="auto"/>
        <w:ind w:firstLine="480" w:firstLineChars="200"/>
        <w:rPr>
          <w:kern w:val="0"/>
          <w:sz w:val="24"/>
          <w:szCs w:val="24"/>
          <w:lang w:bidi="zh-CN"/>
        </w:rPr>
      </w:pPr>
      <w:r>
        <w:rPr>
          <w:rFonts w:hint="eastAsia"/>
          <w:kern w:val="0"/>
          <w:sz w:val="24"/>
          <w:szCs w:val="24"/>
          <w:lang w:bidi="zh-CN"/>
        </w:rPr>
        <w:t>本项目有组织废气主要为</w:t>
      </w:r>
      <w:r>
        <w:rPr>
          <w:rFonts w:hint="eastAsia"/>
          <w:kern w:val="0"/>
          <w:sz w:val="24"/>
          <w:szCs w:val="24"/>
          <w:lang w:val="zh-CN" w:bidi="zh-CN"/>
        </w:rPr>
        <w:t>热熔挤出废气</w:t>
      </w:r>
      <w:r>
        <w:rPr>
          <w:rFonts w:hint="eastAsia"/>
          <w:kern w:val="0"/>
          <w:sz w:val="24"/>
          <w:szCs w:val="24"/>
          <w:lang w:bidi="zh-CN"/>
        </w:rPr>
        <w:t>；无组织排放废气主要包括未经集气罩收集的</w:t>
      </w:r>
      <w:r>
        <w:rPr>
          <w:rFonts w:hint="eastAsia"/>
          <w:kern w:val="0"/>
          <w:sz w:val="24"/>
          <w:szCs w:val="24"/>
          <w:lang w:val="zh-CN" w:bidi="zh-CN"/>
        </w:rPr>
        <w:t>热熔挤出废气</w:t>
      </w:r>
      <w:r>
        <w:rPr>
          <w:rFonts w:hint="eastAsia"/>
          <w:kern w:val="0"/>
          <w:sz w:val="24"/>
          <w:szCs w:val="24"/>
          <w:lang w:bidi="zh-CN"/>
        </w:rPr>
        <w:t>非甲烷总烃。</w:t>
      </w:r>
    </w:p>
    <w:p w14:paraId="67B9BA36">
      <w:pPr>
        <w:kinsoku w:val="0"/>
        <w:overflowPunct w:val="0"/>
        <w:autoSpaceDE w:val="0"/>
        <w:autoSpaceDN w:val="0"/>
        <w:spacing w:line="360" w:lineRule="auto"/>
        <w:ind w:firstLine="480" w:firstLineChars="200"/>
        <w:rPr>
          <w:kern w:val="0"/>
          <w:sz w:val="24"/>
          <w:szCs w:val="24"/>
          <w:lang w:bidi="zh-CN"/>
        </w:rPr>
      </w:pPr>
      <w:r>
        <w:rPr>
          <w:rFonts w:hint="eastAsia"/>
          <w:kern w:val="0"/>
          <w:sz w:val="24"/>
          <w:szCs w:val="24"/>
          <w:lang w:bidi="zh-CN"/>
        </w:rPr>
        <w:t>（1）</w:t>
      </w:r>
      <w:r>
        <w:rPr>
          <w:kern w:val="0"/>
          <w:sz w:val="24"/>
          <w:szCs w:val="24"/>
          <w:lang w:bidi="zh-CN"/>
        </w:rPr>
        <w:t>有组织非甲烷总烃</w:t>
      </w:r>
    </w:p>
    <w:p w14:paraId="5B29A985">
      <w:pPr>
        <w:overflowPunct w:val="0"/>
        <w:autoSpaceDE w:val="0"/>
        <w:autoSpaceDN w:val="0"/>
        <w:spacing w:line="360" w:lineRule="auto"/>
        <w:ind w:firstLine="480" w:firstLineChars="200"/>
        <w:rPr>
          <w:kern w:val="0"/>
          <w:sz w:val="24"/>
          <w:szCs w:val="24"/>
          <w:lang w:bidi="zh-CN"/>
        </w:rPr>
      </w:pPr>
      <w:r>
        <w:rPr>
          <w:kern w:val="0"/>
          <w:sz w:val="24"/>
          <w:szCs w:val="24"/>
          <w:lang w:val="zh-CN" w:bidi="zh-CN"/>
        </w:rPr>
        <w:t>本项目建设单位在厂房内</w:t>
      </w:r>
      <w:r>
        <w:rPr>
          <w:rFonts w:hint="eastAsia"/>
          <w:kern w:val="0"/>
          <w:sz w:val="24"/>
          <w:szCs w:val="24"/>
          <w:lang w:val="zh-CN" w:bidi="zh-CN"/>
        </w:rPr>
        <w:t>每条生产线</w:t>
      </w:r>
      <w:r>
        <w:rPr>
          <w:kern w:val="0"/>
          <w:sz w:val="24"/>
          <w:szCs w:val="24"/>
          <w:lang w:val="zh-CN" w:bidi="zh-CN"/>
        </w:rPr>
        <w:t>设</w:t>
      </w:r>
      <w:r>
        <w:rPr>
          <w:rFonts w:hint="eastAsia"/>
          <w:kern w:val="0"/>
          <w:sz w:val="24"/>
          <w:szCs w:val="24"/>
          <w:lang w:val="zh-CN" w:bidi="zh-CN"/>
        </w:rPr>
        <w:t>一个</w:t>
      </w:r>
      <w:r>
        <w:rPr>
          <w:kern w:val="0"/>
          <w:sz w:val="24"/>
          <w:szCs w:val="24"/>
          <w:lang w:val="zh-CN" w:bidi="zh-CN"/>
        </w:rPr>
        <w:t>集气罩，同时</w:t>
      </w:r>
      <w:r>
        <w:rPr>
          <w:rFonts w:hint="eastAsia"/>
          <w:kern w:val="0"/>
          <w:sz w:val="24"/>
          <w:szCs w:val="24"/>
          <w:lang w:val="zh-CN" w:bidi="zh-CN"/>
        </w:rPr>
        <w:t>配置1套活性炭浓缩吸附+催化燃烧</w:t>
      </w:r>
      <w:r>
        <w:rPr>
          <w:kern w:val="0"/>
          <w:sz w:val="24"/>
          <w:szCs w:val="24"/>
          <w:lang w:val="zh-CN" w:bidi="zh-CN"/>
        </w:rPr>
        <w:t>系统，废气经集气罩收集后引入</w:t>
      </w:r>
      <w:r>
        <w:rPr>
          <w:rFonts w:hint="eastAsia"/>
          <w:kern w:val="0"/>
          <w:sz w:val="24"/>
          <w:szCs w:val="24"/>
          <w:lang w:val="zh-CN" w:bidi="zh-CN"/>
        </w:rPr>
        <w:t>活性炭浓缩吸附+催化燃烧</w:t>
      </w:r>
      <w:r>
        <w:rPr>
          <w:kern w:val="0"/>
          <w:sz w:val="24"/>
          <w:szCs w:val="24"/>
          <w:lang w:val="zh-CN" w:bidi="zh-CN"/>
        </w:rPr>
        <w:t>系统处理，最终通过排气筒排放。</w:t>
      </w:r>
      <w:r>
        <w:rPr>
          <w:kern w:val="0"/>
          <w:sz w:val="24"/>
          <w:szCs w:val="24"/>
          <w:lang w:bidi="zh-CN"/>
        </w:rPr>
        <w:t>有组织排放的非甲烷总烃可满足《合成树脂工业污染物排放标准》（GB31572-2015，含2024年修改单）表</w:t>
      </w:r>
      <w:r>
        <w:rPr>
          <w:rFonts w:hint="eastAsia"/>
          <w:kern w:val="0"/>
          <w:sz w:val="24"/>
          <w:szCs w:val="24"/>
          <w:lang w:val="en-US" w:bidi="zh-CN"/>
        </w:rPr>
        <w:t>4</w:t>
      </w:r>
      <w:r>
        <w:rPr>
          <w:kern w:val="0"/>
          <w:sz w:val="24"/>
          <w:szCs w:val="24"/>
          <w:lang w:bidi="zh-CN"/>
        </w:rPr>
        <w:t>规定的大气污染物排放限值要求（非甲烷总烃</w:t>
      </w:r>
      <w:r>
        <w:rPr>
          <w:rFonts w:hint="eastAsia"/>
          <w:kern w:val="0"/>
          <w:sz w:val="24"/>
          <w:szCs w:val="24"/>
          <w:lang w:val="en-US" w:bidi="zh-CN"/>
        </w:rPr>
        <w:t>100</w:t>
      </w:r>
      <w:r>
        <w:rPr>
          <w:kern w:val="0"/>
          <w:sz w:val="24"/>
          <w:szCs w:val="24"/>
          <w:lang w:bidi="zh-CN"/>
        </w:rPr>
        <w:t>mg/m</w:t>
      </w:r>
      <w:r>
        <w:rPr>
          <w:kern w:val="0"/>
          <w:sz w:val="24"/>
          <w:szCs w:val="24"/>
          <w:vertAlign w:val="superscript"/>
          <w:lang w:bidi="zh-CN"/>
        </w:rPr>
        <w:t>3</w:t>
      </w:r>
      <w:r>
        <w:rPr>
          <w:kern w:val="0"/>
          <w:sz w:val="24"/>
          <w:szCs w:val="24"/>
          <w:lang w:bidi="zh-CN"/>
        </w:rPr>
        <w:t>）</w:t>
      </w:r>
      <w:r>
        <w:rPr>
          <w:rFonts w:hint="eastAsia"/>
          <w:kern w:val="0"/>
          <w:sz w:val="24"/>
          <w:szCs w:val="24"/>
          <w:lang w:bidi="zh-CN"/>
        </w:rPr>
        <w:t>，</w:t>
      </w:r>
      <w:r>
        <w:rPr>
          <w:kern w:val="0"/>
          <w:sz w:val="24"/>
          <w:szCs w:val="24"/>
          <w:lang w:val="zh-CN" w:bidi="zh-CN"/>
        </w:rPr>
        <w:t>对大气环境影响较小。</w:t>
      </w:r>
      <w:r>
        <w:rPr>
          <w:rFonts w:hint="eastAsia"/>
          <w:kern w:val="0"/>
          <w:sz w:val="24"/>
          <w:szCs w:val="24"/>
          <w:lang w:bidi="zh-CN"/>
        </w:rPr>
        <w:t>为了确保集气罩的收集效率，必须保证轴流风机正常运行，定期对设备进行维护。</w:t>
      </w:r>
    </w:p>
    <w:p w14:paraId="68592F7A">
      <w:pPr>
        <w:autoSpaceDE w:val="0"/>
        <w:autoSpaceDN w:val="0"/>
        <w:spacing w:line="360" w:lineRule="auto"/>
        <w:ind w:firstLine="480" w:firstLineChars="200"/>
        <w:jc w:val="left"/>
        <w:rPr>
          <w:kern w:val="0"/>
          <w:sz w:val="24"/>
          <w:lang w:bidi="zh-CN"/>
        </w:rPr>
      </w:pPr>
      <w:r>
        <w:rPr>
          <w:rFonts w:cs="宋体"/>
          <w:kern w:val="0"/>
          <w:sz w:val="24"/>
          <w:lang w:bidi="zh-CN"/>
        </w:rPr>
        <w:t>（</w:t>
      </w:r>
      <w:r>
        <w:rPr>
          <w:rFonts w:hint="eastAsia" w:cs="宋体"/>
          <w:kern w:val="0"/>
          <w:sz w:val="24"/>
          <w:lang w:bidi="zh-CN"/>
        </w:rPr>
        <w:t>2</w:t>
      </w:r>
      <w:r>
        <w:rPr>
          <w:rFonts w:cs="宋体"/>
          <w:kern w:val="0"/>
          <w:sz w:val="24"/>
          <w:lang w:bidi="zh-CN"/>
        </w:rPr>
        <w:t>）</w:t>
      </w:r>
      <w:r>
        <w:rPr>
          <w:kern w:val="0"/>
          <w:sz w:val="24"/>
          <w:lang w:bidi="zh-CN"/>
        </w:rPr>
        <w:t>无组织</w:t>
      </w:r>
      <w:r>
        <w:rPr>
          <w:rFonts w:hint="eastAsia"/>
          <w:kern w:val="0"/>
          <w:sz w:val="24"/>
          <w:lang w:bidi="zh-CN"/>
        </w:rPr>
        <w:t>非甲烷总烃</w:t>
      </w:r>
    </w:p>
    <w:p w14:paraId="407F4532">
      <w:pPr>
        <w:autoSpaceDE w:val="0"/>
        <w:autoSpaceDN w:val="0"/>
        <w:snapToGrid w:val="0"/>
        <w:spacing w:line="360" w:lineRule="auto"/>
        <w:ind w:firstLine="480" w:firstLineChars="200"/>
        <w:rPr>
          <w:kern w:val="0"/>
          <w:sz w:val="24"/>
          <w:szCs w:val="24"/>
          <w:lang w:bidi="zh-CN"/>
        </w:rPr>
      </w:pPr>
      <w:r>
        <w:rPr>
          <w:kern w:val="0"/>
          <w:sz w:val="24"/>
          <w:szCs w:val="24"/>
          <w:lang w:val="zh-CN" w:bidi="zh-CN"/>
        </w:rPr>
        <w:t>本项目生产过程中最终以无组织形式排放的非甲烷总烃主要为未被收集的非甲烷总烃。</w:t>
      </w:r>
      <w:r>
        <w:rPr>
          <w:kern w:val="0"/>
          <w:sz w:val="24"/>
          <w:szCs w:val="24"/>
          <w:lang w:bidi="zh-CN"/>
        </w:rPr>
        <w:t>根据《挥发性有机物无组织排放控制标准》（GB37822-2019）和</w:t>
      </w:r>
      <w:r>
        <w:rPr>
          <w:kern w:val="0"/>
          <w:sz w:val="24"/>
          <w:szCs w:val="24"/>
          <w:lang w:val="zh-CN" w:bidi="zh-CN"/>
        </w:rPr>
        <w:t>《排污许可证申请与核发技术规范废弃资源加工工业》（HJ1034-2019）</w:t>
      </w:r>
      <w:r>
        <w:rPr>
          <w:kern w:val="0"/>
          <w:sz w:val="24"/>
          <w:szCs w:val="24"/>
          <w:lang w:bidi="zh-CN"/>
        </w:rPr>
        <w:t>的相关要求：</w:t>
      </w:r>
    </w:p>
    <w:p w14:paraId="6D8E5BE3">
      <w:pPr>
        <w:widowControl/>
        <w:overflowPunct w:val="0"/>
        <w:topLinePunct/>
        <w:autoSpaceDE w:val="0"/>
        <w:autoSpaceDN w:val="0"/>
        <w:adjustRightInd w:val="0"/>
        <w:snapToGrid w:val="0"/>
        <w:spacing w:line="360" w:lineRule="auto"/>
        <w:ind w:firstLine="480" w:firstLineChars="200"/>
        <w:jc w:val="left"/>
        <w:textAlignment w:val="baseline"/>
        <w:rPr>
          <w:kern w:val="0"/>
          <w:sz w:val="24"/>
          <w:szCs w:val="24"/>
          <w:lang w:val="zh-CN" w:bidi="zh-CN"/>
        </w:rPr>
      </w:pPr>
      <w:r>
        <w:rPr>
          <w:kern w:val="0"/>
          <w:sz w:val="24"/>
          <w:szCs w:val="24"/>
          <w:lang w:val="zh-CN" w:bidi="zh-CN"/>
        </w:rPr>
        <w:t>1）粒状VOCs物料应采用气力输送方式或采用密闭固体投料器等给料方式密闭投加。无法密闭投加的，应在密闭空间内操作，或进行局部气体收集，废气应排至除尘设施、VOCs废气收集处理系统。</w:t>
      </w:r>
    </w:p>
    <w:p w14:paraId="096813AC">
      <w:pPr>
        <w:widowControl/>
        <w:overflowPunct w:val="0"/>
        <w:topLinePunct/>
        <w:autoSpaceDE w:val="0"/>
        <w:autoSpaceDN w:val="0"/>
        <w:adjustRightInd w:val="0"/>
        <w:snapToGrid w:val="0"/>
        <w:spacing w:line="360" w:lineRule="auto"/>
        <w:ind w:firstLine="480" w:firstLineChars="200"/>
        <w:jc w:val="left"/>
        <w:textAlignment w:val="baseline"/>
        <w:rPr>
          <w:kern w:val="0"/>
          <w:sz w:val="24"/>
          <w:szCs w:val="24"/>
          <w:lang w:val="zh-CN" w:bidi="zh-CN"/>
        </w:rPr>
      </w:pPr>
      <w:r>
        <w:rPr>
          <w:kern w:val="0"/>
          <w:sz w:val="24"/>
          <w:szCs w:val="24"/>
          <w:lang w:val="zh-CN" w:bidi="zh-CN"/>
        </w:rPr>
        <w:t>2）VOCs物料卸（出、放）料过程应密闭，卸料废气应排至VOCs废气收集处理系统；无法密闭的，应采取局部气体收集措施，废气应排至VOCs废气收集处理系统。</w:t>
      </w:r>
    </w:p>
    <w:p w14:paraId="78C758DD">
      <w:pPr>
        <w:widowControl/>
        <w:overflowPunct w:val="0"/>
        <w:topLinePunct/>
        <w:autoSpaceDE w:val="0"/>
        <w:autoSpaceDN w:val="0"/>
        <w:adjustRightInd w:val="0"/>
        <w:snapToGrid w:val="0"/>
        <w:spacing w:line="360" w:lineRule="auto"/>
        <w:ind w:firstLine="480" w:firstLineChars="200"/>
        <w:jc w:val="left"/>
        <w:textAlignment w:val="baseline"/>
        <w:rPr>
          <w:kern w:val="0"/>
          <w:sz w:val="24"/>
          <w:szCs w:val="24"/>
          <w:lang w:val="zh-CN" w:bidi="zh-CN"/>
        </w:rPr>
      </w:pPr>
      <w:r>
        <w:rPr>
          <w:kern w:val="0"/>
          <w:sz w:val="24"/>
          <w:szCs w:val="24"/>
          <w:lang w:val="zh-CN" w:bidi="zh-CN"/>
        </w:rPr>
        <w:t>3）载有VOCs物料的设备及其管道在开停工（车）、检维修和清洗时，应在退料阶段将残存物料退净，并用密闭容器盛装，退料过程废气应排至VOCs废气收集处理系统；清洗及吹扫过程排气应排至VOCs废气收集处理系统。</w:t>
      </w:r>
    </w:p>
    <w:p w14:paraId="12A91D02">
      <w:pPr>
        <w:widowControl/>
        <w:overflowPunct w:val="0"/>
        <w:topLinePunct/>
        <w:autoSpaceDE w:val="0"/>
        <w:autoSpaceDN w:val="0"/>
        <w:adjustRightInd w:val="0"/>
        <w:snapToGrid w:val="0"/>
        <w:spacing w:line="360" w:lineRule="auto"/>
        <w:ind w:firstLine="480" w:firstLineChars="200"/>
        <w:jc w:val="left"/>
        <w:textAlignment w:val="baseline"/>
        <w:rPr>
          <w:kern w:val="0"/>
          <w:sz w:val="24"/>
          <w:szCs w:val="24"/>
          <w:lang w:val="zh-CN" w:bidi="zh-CN"/>
        </w:rPr>
      </w:pPr>
      <w:r>
        <w:rPr>
          <w:kern w:val="0"/>
          <w:sz w:val="24"/>
          <w:szCs w:val="24"/>
          <w:lang w:val="zh-CN" w:bidi="zh-CN"/>
        </w:rPr>
        <w:t>4）造粒</w:t>
      </w:r>
      <w:r>
        <w:rPr>
          <w:rFonts w:hint="eastAsia"/>
          <w:kern w:val="0"/>
          <w:sz w:val="24"/>
          <w:szCs w:val="24"/>
          <w:lang w:val="zh-CN" w:bidi="zh-CN"/>
        </w:rPr>
        <w:t>和滴灌带</w:t>
      </w:r>
      <w:r>
        <w:rPr>
          <w:kern w:val="0"/>
          <w:sz w:val="24"/>
          <w:szCs w:val="24"/>
          <w:lang w:val="zh-CN" w:bidi="zh-CN"/>
        </w:rPr>
        <w:t>生产单元产生的无组织废气必须进行收集处理</w:t>
      </w:r>
    </w:p>
    <w:p w14:paraId="7CCA9FFA">
      <w:pPr>
        <w:autoSpaceDE w:val="0"/>
        <w:autoSpaceDN w:val="0"/>
        <w:snapToGrid w:val="0"/>
        <w:spacing w:line="360" w:lineRule="auto"/>
        <w:ind w:firstLine="480" w:firstLineChars="200"/>
        <w:rPr>
          <w:kern w:val="0"/>
          <w:sz w:val="24"/>
          <w:szCs w:val="24"/>
          <w:lang w:val="zh-CN" w:bidi="zh-CN"/>
        </w:rPr>
      </w:pPr>
      <w:r>
        <w:rPr>
          <w:kern w:val="0"/>
          <w:sz w:val="24"/>
          <w:szCs w:val="24"/>
          <w:lang w:bidi="zh-CN"/>
        </w:rPr>
        <w:t>本项目粒状VOCs物料在密闭空间内操作，在局部进行气体收集，废气排至VOCs废气收集处理设施，符合《挥发性有机物无组织排放控制标准》（GB37822-2019）和</w:t>
      </w:r>
      <w:r>
        <w:rPr>
          <w:kern w:val="0"/>
          <w:sz w:val="24"/>
          <w:szCs w:val="24"/>
          <w:lang w:val="zh-CN" w:bidi="zh-CN"/>
        </w:rPr>
        <w:t>《排污许可证申请与核发技术规范废弃资源加工工业》（HJ1034-2019）</w:t>
      </w:r>
      <w:r>
        <w:rPr>
          <w:kern w:val="0"/>
          <w:sz w:val="24"/>
          <w:szCs w:val="24"/>
          <w:lang w:bidi="zh-CN"/>
        </w:rPr>
        <w:t>中关于设VOCs物料生产过程的相应要求。同时，</w:t>
      </w:r>
      <w:r>
        <w:rPr>
          <w:kern w:val="0"/>
          <w:sz w:val="24"/>
          <w:szCs w:val="24"/>
          <w:lang w:val="zh-CN" w:bidi="zh-CN"/>
        </w:rPr>
        <w:t>根据预测结果，无组织排放的非甲烷总烃能够满足《合成树脂工业污染物排放标准》（GB31572-2015</w:t>
      </w:r>
      <w:r>
        <w:rPr>
          <w:kern w:val="0"/>
          <w:sz w:val="24"/>
          <w:szCs w:val="24"/>
          <w:lang w:bidi="zh-CN"/>
        </w:rPr>
        <w:t>，含2024年修改单</w:t>
      </w:r>
      <w:r>
        <w:rPr>
          <w:kern w:val="0"/>
          <w:sz w:val="24"/>
          <w:szCs w:val="24"/>
          <w:lang w:val="zh-CN" w:bidi="zh-CN"/>
        </w:rPr>
        <w:t>）表9中企业边界非甲烷总烃浓度限值（4.0mg/m</w:t>
      </w:r>
      <w:r>
        <w:rPr>
          <w:kern w:val="0"/>
          <w:sz w:val="24"/>
          <w:szCs w:val="24"/>
          <w:vertAlign w:val="superscript"/>
          <w:lang w:val="zh-CN" w:bidi="zh-CN"/>
        </w:rPr>
        <w:t>3</w:t>
      </w:r>
      <w:r>
        <w:rPr>
          <w:kern w:val="0"/>
          <w:sz w:val="24"/>
          <w:szCs w:val="24"/>
          <w:lang w:val="zh-CN" w:bidi="zh-CN"/>
        </w:rPr>
        <w:t>）要求，</w:t>
      </w:r>
      <w:r>
        <w:rPr>
          <w:kern w:val="0"/>
          <w:sz w:val="24"/>
          <w:szCs w:val="24"/>
          <w:lang w:bidi="zh-CN"/>
        </w:rPr>
        <w:t>车间外浓度可满足《挥发性有机物无组织排放控制标准》（GB37822-2019）标准要求</w:t>
      </w:r>
      <w:r>
        <w:rPr>
          <w:kern w:val="0"/>
          <w:sz w:val="24"/>
          <w:szCs w:val="24"/>
          <w:lang w:val="zh-CN" w:bidi="zh-CN"/>
        </w:rPr>
        <w:t>。</w:t>
      </w:r>
    </w:p>
    <w:p w14:paraId="1D407A8A">
      <w:pPr>
        <w:autoSpaceDE w:val="0"/>
        <w:autoSpaceDN w:val="0"/>
        <w:snapToGrid w:val="0"/>
        <w:spacing w:line="360" w:lineRule="auto"/>
        <w:ind w:firstLine="480" w:firstLineChars="200"/>
        <w:rPr>
          <w:kern w:val="0"/>
          <w:sz w:val="24"/>
          <w:szCs w:val="24"/>
          <w:lang w:bidi="zh-CN"/>
        </w:rPr>
      </w:pPr>
      <w:r>
        <w:rPr>
          <w:rFonts w:hint="eastAsia"/>
          <w:kern w:val="0"/>
          <w:sz w:val="24"/>
          <w:szCs w:val="24"/>
          <w:lang w:bidi="zh-CN"/>
        </w:rPr>
        <w:t>（3）</w:t>
      </w:r>
      <w:r>
        <w:rPr>
          <w:kern w:val="0"/>
          <w:sz w:val="24"/>
          <w:szCs w:val="24"/>
          <w:lang w:bidi="zh-CN"/>
        </w:rPr>
        <w:t>臭气浓度</w:t>
      </w:r>
    </w:p>
    <w:p w14:paraId="4DA9D1A7">
      <w:pPr>
        <w:autoSpaceDE w:val="0"/>
        <w:autoSpaceDN w:val="0"/>
        <w:spacing w:line="360" w:lineRule="auto"/>
        <w:ind w:firstLine="480" w:firstLineChars="200"/>
        <w:jc w:val="left"/>
        <w:rPr>
          <w:rFonts w:hint="eastAsia" w:ascii="宋体" w:hAnsi="宋体"/>
          <w:kern w:val="0"/>
          <w:sz w:val="24"/>
          <w:szCs w:val="24"/>
          <w:lang w:val="zh-CN" w:bidi="zh-CN"/>
        </w:rPr>
      </w:pPr>
      <w:r>
        <w:rPr>
          <w:kern w:val="0"/>
          <w:sz w:val="24"/>
          <w:szCs w:val="24"/>
          <w:lang w:bidi="zh-CN"/>
        </w:rPr>
        <w:t>本项目造粒机及</w:t>
      </w:r>
      <w:r>
        <w:rPr>
          <w:rFonts w:hint="eastAsia"/>
          <w:kern w:val="0"/>
          <w:sz w:val="24"/>
          <w:szCs w:val="24"/>
          <w:lang w:bidi="zh-CN"/>
        </w:rPr>
        <w:t>滴灌带</w:t>
      </w:r>
      <w:r>
        <w:rPr>
          <w:kern w:val="0"/>
          <w:sz w:val="24"/>
          <w:szCs w:val="24"/>
          <w:lang w:bidi="zh-CN"/>
        </w:rPr>
        <w:t>制造过程中热熔挤出工序产生少量臭气，通过各工序上方集气罩收集后，再经</w:t>
      </w:r>
      <w:r>
        <w:rPr>
          <w:rFonts w:hint="eastAsia"/>
          <w:kern w:val="0"/>
          <w:sz w:val="24"/>
          <w:szCs w:val="24"/>
          <w:lang w:bidi="zh-CN"/>
        </w:rPr>
        <w:t>同1套</w:t>
      </w:r>
      <w:r>
        <w:rPr>
          <w:rFonts w:hint="eastAsia"/>
          <w:kern w:val="0"/>
          <w:sz w:val="24"/>
          <w:szCs w:val="24"/>
          <w:lang w:val="zh-CN" w:bidi="zh-CN"/>
        </w:rPr>
        <w:t>活性炭浓缩吸附+催化燃烧</w:t>
      </w:r>
      <w:r>
        <w:rPr>
          <w:kern w:val="0"/>
          <w:sz w:val="24"/>
          <w:szCs w:val="24"/>
          <w:lang w:val="zh-CN" w:bidi="zh-CN"/>
        </w:rPr>
        <w:t>系统</w:t>
      </w:r>
      <w:r>
        <w:rPr>
          <w:kern w:val="0"/>
          <w:sz w:val="24"/>
          <w:szCs w:val="24"/>
          <w:lang w:bidi="zh-CN"/>
        </w:rPr>
        <w:t>处置后，通过15m排气筒排放，臭气浓度满足《恶臭污染物排放标准》（GB14554-93）中限值要求。</w:t>
      </w:r>
    </w:p>
    <w:p w14:paraId="3049108F">
      <w:pPr>
        <w:pStyle w:val="5"/>
        <w:rPr>
          <w:rFonts w:ascii="Times New Roman" w:hAnsi="Times New Roman"/>
          <w:color w:val="000000"/>
          <w:lang w:val="en-US"/>
        </w:rPr>
      </w:pPr>
      <w:r>
        <w:rPr>
          <w:rFonts w:hint="eastAsia" w:ascii="Times New Roman" w:hAnsi="Times New Roman"/>
          <w:color w:val="000000"/>
          <w:lang w:val="en-US"/>
        </w:rPr>
        <w:t>6.2.1.2防治措施可行性分析</w:t>
      </w:r>
    </w:p>
    <w:p w14:paraId="7E0D110B">
      <w:pPr>
        <w:autoSpaceDE w:val="0"/>
        <w:autoSpaceDN w:val="0"/>
        <w:snapToGrid w:val="0"/>
        <w:spacing w:line="480" w:lineRule="exact"/>
        <w:ind w:firstLine="482" w:firstLineChars="200"/>
        <w:rPr>
          <w:b/>
          <w:bCs/>
          <w:kern w:val="0"/>
          <w:sz w:val="24"/>
          <w:szCs w:val="24"/>
          <w:lang w:bidi="zh-CN"/>
        </w:rPr>
      </w:pPr>
      <w:r>
        <w:rPr>
          <w:b/>
          <w:bCs/>
          <w:kern w:val="0"/>
          <w:sz w:val="24"/>
          <w:szCs w:val="24"/>
          <w:lang w:bidi="zh-CN"/>
        </w:rPr>
        <w:t>（1）</w:t>
      </w:r>
      <w:r>
        <w:rPr>
          <w:rFonts w:hint="eastAsia"/>
          <w:b/>
          <w:bCs/>
          <w:kern w:val="0"/>
          <w:sz w:val="24"/>
          <w:szCs w:val="24"/>
          <w:lang w:val="zh-CN" w:bidi="zh-CN"/>
        </w:rPr>
        <w:t>活性炭浓缩吸附+催化燃烧</w:t>
      </w:r>
      <w:r>
        <w:rPr>
          <w:b/>
          <w:bCs/>
          <w:kern w:val="0"/>
          <w:sz w:val="24"/>
          <w:szCs w:val="24"/>
          <w:lang w:val="zh-CN" w:bidi="zh-CN"/>
        </w:rPr>
        <w:t>系统</w:t>
      </w:r>
      <w:r>
        <w:rPr>
          <w:b/>
          <w:bCs/>
          <w:kern w:val="0"/>
          <w:sz w:val="24"/>
          <w:szCs w:val="24"/>
          <w:lang w:bidi="zh-CN"/>
        </w:rPr>
        <w:t>工艺</w:t>
      </w:r>
    </w:p>
    <w:p w14:paraId="5653BDB1">
      <w:pPr>
        <w:widowControl/>
        <w:autoSpaceDE w:val="0"/>
        <w:autoSpaceDN w:val="0"/>
        <w:spacing w:line="480" w:lineRule="exact"/>
        <w:ind w:firstLine="480" w:firstLineChars="200"/>
        <w:jc w:val="left"/>
        <w:rPr>
          <w:kern w:val="0"/>
          <w:sz w:val="24"/>
          <w:lang w:val="en-GB" w:bidi="zh-CN"/>
        </w:rPr>
      </w:pPr>
      <w:r>
        <w:rPr>
          <w:kern w:val="0"/>
          <w:sz w:val="24"/>
          <w:lang w:val="en-GB" w:bidi="zh-CN"/>
        </w:rPr>
        <w:t>该装置采用在线吸附-脱附工艺，根据在线吸附和节能燃烧两个基本原理设计，一个催化燃烧炉，多个活性炭吸附床交替使用。</w:t>
      </w:r>
    </w:p>
    <w:p w14:paraId="65A12250">
      <w:pPr>
        <w:widowControl/>
        <w:autoSpaceDE w:val="0"/>
        <w:autoSpaceDN w:val="0"/>
        <w:spacing w:line="480" w:lineRule="exact"/>
        <w:ind w:firstLine="480" w:firstLineChars="200"/>
        <w:rPr>
          <w:kern w:val="0"/>
          <w:sz w:val="24"/>
          <w:lang w:val="en-GB" w:bidi="zh-CN"/>
        </w:rPr>
      </w:pPr>
      <w:r>
        <w:rPr>
          <w:kern w:val="0"/>
          <w:sz w:val="24"/>
          <w:lang w:val="en-GB" w:bidi="zh-CN"/>
        </w:rPr>
        <w:t>该装置在工作时，有机废气先经过前置过滤系统进入活性炭吸附箱进行吸附，洁净气体被排出。经过一段时间后活性炭当达到饱和状态时</w:t>
      </w:r>
      <w:r>
        <w:rPr>
          <w:rFonts w:hint="eastAsia"/>
          <w:kern w:val="0"/>
          <w:sz w:val="24"/>
          <w:lang w:val="en-GB" w:bidi="zh-CN"/>
        </w:rPr>
        <w:t>停止</w:t>
      </w:r>
      <w:r>
        <w:rPr>
          <w:kern w:val="0"/>
          <w:sz w:val="24"/>
          <w:lang w:val="en-GB" w:bidi="zh-CN"/>
        </w:rPr>
        <w:t>吸附，此时有机物已经被浓缩在活性炭内，启动催化净化装置内设加热室加热装置，进入内部循环，当热气源达到有机物的沸点时，有机物从活性炭内挥发出来，进入催化室进行催化分解成CO</w:t>
      </w:r>
      <w:r>
        <w:rPr>
          <w:kern w:val="0"/>
          <w:sz w:val="24"/>
          <w:vertAlign w:val="subscript"/>
          <w:lang w:val="en-GB" w:bidi="zh-CN"/>
        </w:rPr>
        <w:t>2</w:t>
      </w:r>
      <w:r>
        <w:rPr>
          <w:kern w:val="0"/>
          <w:sz w:val="24"/>
          <w:lang w:val="en-GB" w:bidi="zh-CN"/>
        </w:rPr>
        <w:t>和H</w:t>
      </w:r>
      <w:r>
        <w:rPr>
          <w:kern w:val="0"/>
          <w:sz w:val="24"/>
          <w:vertAlign w:val="subscript"/>
          <w:lang w:val="en-GB" w:bidi="zh-CN"/>
        </w:rPr>
        <w:t>2</w:t>
      </w:r>
      <w:r>
        <w:rPr>
          <w:kern w:val="0"/>
          <w:sz w:val="24"/>
          <w:lang w:val="en-GB" w:bidi="zh-CN"/>
        </w:rPr>
        <w:t>O，同时释放出能量。利用释放出的能量再进入吸附床脱附时，此时加热装置完全停止工作，有机废气在催化燃烧室内维持自燃，尾气再生，循环进行，直到有机物完全从活性炭内部分离，至催化室分解。活性炭得到了再生，有机物得到分解处理。</w:t>
      </w:r>
    </w:p>
    <w:p w14:paraId="71AE504B">
      <w:pPr>
        <w:widowControl/>
        <w:autoSpaceDE w:val="0"/>
        <w:autoSpaceDN w:val="0"/>
        <w:spacing w:line="480" w:lineRule="exact"/>
        <w:ind w:firstLine="480" w:firstLineChars="200"/>
        <w:rPr>
          <w:kern w:val="0"/>
          <w:sz w:val="24"/>
          <w:lang w:val="en-GB" w:bidi="zh-CN"/>
        </w:rPr>
      </w:pPr>
      <w:r>
        <w:rPr>
          <w:kern w:val="0"/>
          <w:sz w:val="24"/>
          <w:lang w:val="en-GB" w:bidi="zh-CN"/>
        </w:rPr>
        <w:t>本项目催化燃烧装置使用的催化剂是贵金属催化剂，主要利用其催化活性，不参与反应，贵金属催化剂具有很高的催化活性，且使用寿命长，易于回收，是常用的催化燃烧催化剂。</w:t>
      </w:r>
    </w:p>
    <w:p w14:paraId="474B4967">
      <w:pPr>
        <w:widowControl/>
        <w:autoSpaceDE w:val="0"/>
        <w:autoSpaceDN w:val="0"/>
        <w:spacing w:line="480" w:lineRule="exact"/>
        <w:ind w:firstLine="480" w:firstLineChars="200"/>
        <w:rPr>
          <w:kern w:val="0"/>
          <w:sz w:val="24"/>
          <w:lang w:val="en-GB" w:bidi="zh-CN"/>
        </w:rPr>
      </w:pPr>
      <w:r>
        <w:rPr>
          <w:kern w:val="0"/>
          <w:sz w:val="24"/>
          <w:lang w:val="en-GB" w:bidi="zh-CN"/>
        </w:rPr>
        <w:t>催化燃烧设备主要由换热器、催化床、电加热器、燃烧室等几个主要部分组成，废气经风机送入到催化燃烧室前的换热器，然后进入催化燃烧室中的预热器，在电加热的作用下，使气体温度提高到250-300℃左右，再进入催化燃烧床，有机物质在催化剂的作用下无焰燃烧，被分解为CO</w:t>
      </w:r>
      <w:r>
        <w:rPr>
          <w:kern w:val="0"/>
          <w:sz w:val="24"/>
          <w:vertAlign w:val="subscript"/>
          <w:lang w:val="en-GB" w:bidi="zh-CN"/>
        </w:rPr>
        <w:t>2</w:t>
      </w:r>
      <w:r>
        <w:rPr>
          <w:kern w:val="0"/>
          <w:sz w:val="24"/>
          <w:lang w:val="en-GB" w:bidi="zh-CN"/>
        </w:rPr>
        <w:t>和H</w:t>
      </w:r>
      <w:r>
        <w:rPr>
          <w:kern w:val="0"/>
          <w:sz w:val="24"/>
          <w:vertAlign w:val="subscript"/>
          <w:lang w:val="en-GB" w:bidi="zh-CN"/>
        </w:rPr>
        <w:t>2</w:t>
      </w:r>
      <w:r>
        <w:rPr>
          <w:kern w:val="0"/>
          <w:sz w:val="24"/>
          <w:lang w:val="en-GB" w:bidi="zh-CN"/>
        </w:rPr>
        <w:t>O，同时放出大量的热气体温度进一步提高，该高温气体再次经过换热器预热未经处理的有机气体，回收一部分热量。从换热器出来的气体再通过新风入口的换热器对脱附新鲜空气进行加热，经过换热后的气体通过排气筒排放。</w:t>
      </w:r>
    </w:p>
    <w:p w14:paraId="2E4BCD82">
      <w:pPr>
        <w:widowControl/>
        <w:autoSpaceDE w:val="0"/>
        <w:autoSpaceDN w:val="0"/>
        <w:spacing w:line="480" w:lineRule="exact"/>
        <w:ind w:firstLine="480" w:firstLineChars="200"/>
        <w:rPr>
          <w:kern w:val="0"/>
          <w:sz w:val="24"/>
          <w:lang w:val="en-GB" w:bidi="zh-CN"/>
        </w:rPr>
      </w:pPr>
      <w:r>
        <w:rPr>
          <w:kern w:val="0"/>
          <w:sz w:val="24"/>
          <w:lang w:val="en-GB" w:bidi="zh-CN"/>
        </w:rPr>
        <w:t>催化燃烧废气处理装置不仅能使碳循环使用，还有节能省电的功效。在装置运行时，如果有机废气的浓度达到2000PPm以上时，有机废气在催化室便可以维持自燃，不用外加热。这样，一部分气体排出，另一部分继续被送往活性炭吸附床进行脱附，这样既可以满足燃烧，又能保证吸附所需的热能，达到省电节能的目的。</w:t>
      </w:r>
    </w:p>
    <w:p w14:paraId="2D17CCF1">
      <w:pPr>
        <w:widowControl/>
        <w:autoSpaceDE w:val="0"/>
        <w:autoSpaceDN w:val="0"/>
        <w:spacing w:line="360" w:lineRule="auto"/>
        <w:ind w:firstLine="480" w:firstLineChars="200"/>
        <w:jc w:val="left"/>
        <w:rPr>
          <w:kern w:val="0"/>
          <w:sz w:val="24"/>
          <w:lang w:val="en-GB" w:bidi="zh-CN"/>
        </w:rPr>
      </w:pPr>
      <w:r>
        <w:rPr>
          <w:kern w:val="0"/>
          <w:sz w:val="24"/>
          <w:lang w:val="en-GB" w:bidi="zh-CN"/>
        </w:rPr>
        <w:t>根据《催化燃烧法工业有机废气治理工程技术规范》（HJ2027-2013）的要求，催化燃烧装置运行参数如下：</w:t>
      </w:r>
    </w:p>
    <w:p w14:paraId="051E15CB">
      <w:pPr>
        <w:autoSpaceDE w:val="0"/>
        <w:autoSpaceDN w:val="0"/>
        <w:spacing w:line="360" w:lineRule="auto"/>
        <w:ind w:firstLine="480" w:firstLineChars="200"/>
        <w:jc w:val="left"/>
        <w:rPr>
          <w:kern w:val="0"/>
          <w:sz w:val="24"/>
          <w:szCs w:val="24"/>
          <w:lang w:val="zh-CN" w:bidi="zh-CN"/>
        </w:rPr>
      </w:pPr>
      <w:r>
        <w:rPr>
          <w:rFonts w:hint="eastAsia" w:ascii="宋体" w:hAnsi="宋体" w:cs="宋体"/>
          <w:kern w:val="0"/>
          <w:sz w:val="24"/>
          <w:szCs w:val="24"/>
          <w:lang w:val="zh-CN" w:bidi="zh-CN"/>
        </w:rPr>
        <w:t>①</w:t>
      </w:r>
      <w:r>
        <w:rPr>
          <w:kern w:val="0"/>
          <w:sz w:val="24"/>
          <w:szCs w:val="24"/>
          <w:lang w:val="zh-CN" w:bidi="zh-CN"/>
        </w:rPr>
        <w:t>进入催化燃烧装置的废气浓度、流量和温度应当稳定，不宜出现较大波动。</w:t>
      </w:r>
    </w:p>
    <w:p w14:paraId="6E36B0DC">
      <w:pPr>
        <w:autoSpaceDE w:val="0"/>
        <w:autoSpaceDN w:val="0"/>
        <w:spacing w:line="360" w:lineRule="auto"/>
        <w:ind w:firstLine="480" w:firstLineChars="200"/>
        <w:jc w:val="left"/>
        <w:rPr>
          <w:kern w:val="0"/>
          <w:sz w:val="24"/>
          <w:szCs w:val="24"/>
          <w:lang w:val="zh-CN" w:bidi="zh-CN"/>
        </w:rPr>
      </w:pPr>
      <w:r>
        <w:rPr>
          <w:rFonts w:hint="eastAsia" w:ascii="宋体" w:hAnsi="宋体" w:cs="宋体"/>
          <w:kern w:val="0"/>
          <w:sz w:val="24"/>
          <w:szCs w:val="24"/>
          <w:lang w:val="zh-CN" w:bidi="zh-CN"/>
        </w:rPr>
        <w:t>②</w:t>
      </w:r>
      <w:r>
        <w:rPr>
          <w:kern w:val="0"/>
          <w:sz w:val="24"/>
          <w:szCs w:val="24"/>
          <w:lang w:val="zh-CN" w:bidi="zh-CN"/>
        </w:rPr>
        <w:t>催化燃烧装置的设计空速宜大于10000/h，但不应高于40000/h。</w:t>
      </w:r>
    </w:p>
    <w:p w14:paraId="432BD6E4">
      <w:pPr>
        <w:autoSpaceDE w:val="0"/>
        <w:autoSpaceDN w:val="0"/>
        <w:spacing w:line="360" w:lineRule="auto"/>
        <w:ind w:firstLine="480" w:firstLineChars="200"/>
        <w:jc w:val="left"/>
        <w:rPr>
          <w:kern w:val="0"/>
          <w:sz w:val="24"/>
          <w:szCs w:val="24"/>
          <w:lang w:val="zh-CN" w:bidi="zh-CN"/>
        </w:rPr>
      </w:pPr>
      <w:r>
        <w:rPr>
          <w:rFonts w:hint="eastAsia" w:ascii="宋体" w:hAnsi="宋体" w:cs="宋体"/>
          <w:kern w:val="0"/>
          <w:sz w:val="24"/>
          <w:szCs w:val="24"/>
          <w:lang w:val="zh-CN" w:bidi="zh-CN"/>
        </w:rPr>
        <w:t>③</w:t>
      </w:r>
      <w:r>
        <w:rPr>
          <w:kern w:val="0"/>
          <w:sz w:val="24"/>
          <w:szCs w:val="24"/>
          <w:lang w:val="zh-CN" w:bidi="zh-CN"/>
        </w:rPr>
        <w:t>进入催化燃烧装置的废气温度宜低于400℃。</w:t>
      </w:r>
    </w:p>
    <w:p w14:paraId="03DFC31F">
      <w:pPr>
        <w:widowControl/>
        <w:autoSpaceDE w:val="0"/>
        <w:autoSpaceDN w:val="0"/>
        <w:spacing w:line="360" w:lineRule="auto"/>
        <w:ind w:firstLine="480" w:firstLineChars="200"/>
        <w:jc w:val="left"/>
        <w:rPr>
          <w:kern w:val="0"/>
          <w:sz w:val="24"/>
          <w:lang w:val="en-GB" w:bidi="zh-CN"/>
        </w:rPr>
      </w:pPr>
      <w:r>
        <w:rPr>
          <w:kern w:val="0"/>
          <w:sz w:val="24"/>
          <w:lang w:val="en-GB" w:bidi="zh-CN"/>
        </w:rPr>
        <w:t>其装置净化工艺流程见图</w:t>
      </w:r>
      <w:r>
        <w:rPr>
          <w:rFonts w:hint="eastAsia"/>
          <w:kern w:val="0"/>
          <w:sz w:val="24"/>
          <w:lang w:val="en-US" w:bidi="zh-CN"/>
        </w:rPr>
        <w:t>6.2-</w:t>
      </w:r>
      <w:r>
        <w:rPr>
          <w:kern w:val="0"/>
          <w:sz w:val="24"/>
          <w:lang w:val="en-GB" w:bidi="zh-CN"/>
        </w:rPr>
        <w:t>1。</w:t>
      </w:r>
    </w:p>
    <w:p w14:paraId="3A4D2B05">
      <w:pPr>
        <w:autoSpaceDE w:val="0"/>
        <w:autoSpaceDN w:val="0"/>
        <w:spacing w:line="360" w:lineRule="auto"/>
        <w:ind w:firstLine="480" w:firstLineChars="200"/>
        <w:jc w:val="left"/>
        <w:rPr>
          <w:kern w:val="0"/>
          <w:sz w:val="24"/>
          <w:szCs w:val="24"/>
          <w:lang w:val="zh-CN" w:bidi="zh-CN"/>
        </w:rPr>
      </w:pPr>
      <w:r>
        <w:rPr>
          <w:kern w:val="0"/>
          <w:sz w:val="24"/>
          <w:szCs w:val="24"/>
        </w:rPr>
        <w:drawing>
          <wp:inline distT="0" distB="0" distL="0" distR="0">
            <wp:extent cx="4191000" cy="2919730"/>
            <wp:effectExtent l="0" t="0" r="0" b="0"/>
            <wp:docPr id="87406339" name="图片 104"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406339" name="图片 104" descr="图片"/>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a:xfrm>
                      <a:off x="0" y="0"/>
                      <a:ext cx="4191000" cy="2919730"/>
                    </a:xfrm>
                    <a:prstGeom prst="rect">
                      <a:avLst/>
                    </a:prstGeom>
                    <a:noFill/>
                    <a:ln>
                      <a:noFill/>
                    </a:ln>
                  </pic:spPr>
                </pic:pic>
              </a:graphicData>
            </a:graphic>
          </wp:inline>
        </w:drawing>
      </w:r>
    </w:p>
    <w:p w14:paraId="3D781F7B">
      <w:pPr>
        <w:autoSpaceDE w:val="0"/>
        <w:autoSpaceDN w:val="0"/>
        <w:jc w:val="center"/>
        <w:rPr>
          <w:b/>
          <w:color w:val="000000"/>
          <w:kern w:val="0"/>
          <w:szCs w:val="21"/>
          <w:lang w:val="zh-CN" w:bidi="zh-CN"/>
        </w:rPr>
      </w:pPr>
      <w:r>
        <w:rPr>
          <w:b/>
          <w:color w:val="000000"/>
          <w:kern w:val="0"/>
          <w:szCs w:val="21"/>
          <w:lang w:val="zh-CN" w:bidi="zh-CN"/>
        </w:rPr>
        <w:t>图6</w:t>
      </w:r>
      <w:r>
        <w:rPr>
          <w:rFonts w:hint="eastAsia"/>
          <w:b/>
          <w:color w:val="000000"/>
          <w:kern w:val="0"/>
          <w:szCs w:val="21"/>
          <w:lang w:val="en-US" w:bidi="zh-CN"/>
        </w:rPr>
        <w:t>.2-1</w:t>
      </w:r>
      <w:r>
        <w:rPr>
          <w:rFonts w:hint="eastAsia"/>
          <w:b/>
          <w:color w:val="000000"/>
          <w:kern w:val="0"/>
          <w:szCs w:val="21"/>
          <w:lang w:bidi="zh-CN"/>
        </w:rPr>
        <w:t xml:space="preserve">   </w:t>
      </w:r>
      <w:r>
        <w:rPr>
          <w:b/>
          <w:color w:val="000000"/>
          <w:kern w:val="0"/>
          <w:szCs w:val="21"/>
          <w:lang w:val="zh-CN" w:bidi="zh-CN"/>
        </w:rPr>
        <w:t>废气系统处理工艺流程图</w:t>
      </w:r>
    </w:p>
    <w:p w14:paraId="445C8228">
      <w:pPr>
        <w:widowControl/>
        <w:autoSpaceDE w:val="0"/>
        <w:autoSpaceDN w:val="0"/>
        <w:spacing w:line="360" w:lineRule="auto"/>
        <w:ind w:firstLine="480" w:firstLineChars="200"/>
        <w:rPr>
          <w:kern w:val="0"/>
          <w:sz w:val="24"/>
          <w:lang w:val="en-GB" w:bidi="zh-CN"/>
        </w:rPr>
      </w:pPr>
      <w:r>
        <w:rPr>
          <w:kern w:val="0"/>
          <w:sz w:val="24"/>
          <w:lang w:val="en-GB" w:bidi="zh-CN"/>
        </w:rPr>
        <w:t>《排污许可证申请与核发技术规范 废弃资源加工工业》（HJ1034-2019）附录A废弃资源加工工业排污单位污染防治可行技术参考表，本项目有机废气处理设施</w:t>
      </w:r>
      <w:r>
        <w:rPr>
          <w:rFonts w:hint="eastAsia"/>
          <w:kern w:val="0"/>
          <w:sz w:val="24"/>
          <w:lang w:val="en-GB" w:bidi="zh-CN"/>
        </w:rPr>
        <w:t>活性炭浓缩吸附+催化燃烧</w:t>
      </w:r>
      <w:r>
        <w:rPr>
          <w:kern w:val="0"/>
          <w:sz w:val="24"/>
          <w:lang w:val="en-GB" w:bidi="zh-CN"/>
        </w:rPr>
        <w:t>系统工艺为可行性技术，废气治理措施可行。</w:t>
      </w:r>
    </w:p>
    <w:p w14:paraId="2BFA1585">
      <w:pPr>
        <w:autoSpaceDE w:val="0"/>
        <w:autoSpaceDN w:val="0"/>
        <w:snapToGrid w:val="0"/>
        <w:spacing w:line="360" w:lineRule="auto"/>
        <w:ind w:firstLine="482" w:firstLineChars="200"/>
        <w:rPr>
          <w:b/>
          <w:bCs/>
          <w:kern w:val="0"/>
          <w:sz w:val="24"/>
          <w:szCs w:val="24"/>
          <w:lang w:bidi="zh-CN"/>
        </w:rPr>
      </w:pPr>
      <w:r>
        <w:rPr>
          <w:b/>
          <w:bCs/>
          <w:kern w:val="0"/>
          <w:sz w:val="24"/>
          <w:szCs w:val="24"/>
          <w:lang w:val="zh-CN" w:bidi="zh-CN"/>
        </w:rPr>
        <w:t>（2）</w:t>
      </w:r>
      <w:r>
        <w:rPr>
          <w:b/>
          <w:bCs/>
          <w:kern w:val="0"/>
          <w:sz w:val="24"/>
          <w:szCs w:val="24"/>
          <w:lang w:bidi="zh-CN"/>
        </w:rPr>
        <w:t>技术可行性</w:t>
      </w:r>
    </w:p>
    <w:p w14:paraId="341852C1">
      <w:pPr>
        <w:autoSpaceDE w:val="0"/>
        <w:autoSpaceDN w:val="0"/>
        <w:snapToGrid w:val="0"/>
        <w:spacing w:line="360" w:lineRule="auto"/>
        <w:ind w:firstLine="480" w:firstLineChars="200"/>
        <w:rPr>
          <w:kern w:val="0"/>
          <w:sz w:val="24"/>
          <w:szCs w:val="24"/>
          <w:lang w:bidi="zh-CN"/>
        </w:rPr>
      </w:pPr>
      <w:r>
        <w:rPr>
          <w:rFonts w:hint="eastAsia" w:ascii="宋体" w:hAnsi="宋体" w:cs="宋体"/>
          <w:kern w:val="0"/>
          <w:sz w:val="24"/>
          <w:szCs w:val="24"/>
          <w:lang w:val="zh-CN" w:bidi="zh-CN"/>
        </w:rPr>
        <w:t>①</w:t>
      </w:r>
      <w:r>
        <w:rPr>
          <w:kern w:val="0"/>
          <w:sz w:val="24"/>
          <w:szCs w:val="24"/>
          <w:lang w:bidi="zh-CN"/>
        </w:rPr>
        <w:t>根据《排污许可证申请与核发技术规范 废弃资源加工工业》（HJ1034-2019）附录A废弃资源加工工业排污单位污染防治可行技术参考表，本次采用的喷淋降尘和催化燃烧法为可行技术。</w:t>
      </w:r>
    </w:p>
    <w:p w14:paraId="242B7BE0">
      <w:pPr>
        <w:autoSpaceDE w:val="0"/>
        <w:autoSpaceDN w:val="0"/>
        <w:snapToGrid w:val="0"/>
        <w:spacing w:line="360" w:lineRule="auto"/>
        <w:ind w:firstLine="480" w:firstLineChars="200"/>
        <w:rPr>
          <w:kern w:val="0"/>
          <w:sz w:val="24"/>
          <w:szCs w:val="24"/>
          <w:lang w:bidi="zh-CN"/>
        </w:rPr>
      </w:pPr>
      <w:r>
        <w:rPr>
          <w:rFonts w:hint="eastAsia" w:ascii="宋体" w:hAnsi="宋体" w:cs="宋体"/>
          <w:kern w:val="0"/>
          <w:sz w:val="24"/>
          <w:szCs w:val="24"/>
          <w:lang w:val="zh-CN" w:bidi="zh-CN"/>
        </w:rPr>
        <w:t>②</w:t>
      </w:r>
      <w:r>
        <w:rPr>
          <w:kern w:val="0"/>
          <w:sz w:val="24"/>
          <w:szCs w:val="24"/>
          <w:lang w:bidi="zh-CN"/>
        </w:rPr>
        <w:t>根据《排污许可证申请与核发技术规范 橡胶和塑料制品工业》（HJ1122—2020）附录A塑料制品工业排污单位废气污染防治可行技术参考表，本项目熔挤出过程产生的非甲烷总烃采用的催化燃烧法处理，属于可行技术。</w:t>
      </w:r>
    </w:p>
    <w:p w14:paraId="333BF7F9">
      <w:pPr>
        <w:autoSpaceDE w:val="0"/>
        <w:autoSpaceDN w:val="0"/>
        <w:snapToGrid w:val="0"/>
        <w:spacing w:line="360" w:lineRule="auto"/>
        <w:ind w:firstLine="482" w:firstLineChars="200"/>
        <w:rPr>
          <w:b/>
          <w:bCs/>
          <w:kern w:val="0"/>
          <w:sz w:val="24"/>
          <w:szCs w:val="24"/>
          <w:lang w:val="zh-CN" w:bidi="zh-CN"/>
        </w:rPr>
      </w:pPr>
      <w:r>
        <w:rPr>
          <w:b/>
          <w:bCs/>
          <w:kern w:val="0"/>
          <w:sz w:val="24"/>
          <w:szCs w:val="24"/>
          <w:lang w:val="zh-CN" w:bidi="zh-CN"/>
        </w:rPr>
        <w:t>（3）经济可行性</w:t>
      </w:r>
    </w:p>
    <w:p w14:paraId="1EA4DCC2">
      <w:pPr>
        <w:autoSpaceDE w:val="0"/>
        <w:autoSpaceDN w:val="0"/>
        <w:snapToGrid w:val="0"/>
        <w:spacing w:line="360" w:lineRule="auto"/>
        <w:ind w:firstLine="480" w:firstLineChars="200"/>
        <w:rPr>
          <w:kern w:val="0"/>
          <w:sz w:val="24"/>
          <w:szCs w:val="24"/>
          <w:lang w:val="zh-CN" w:bidi="zh-CN"/>
        </w:rPr>
      </w:pPr>
      <w:r>
        <w:rPr>
          <w:kern w:val="0"/>
          <w:sz w:val="24"/>
          <w:szCs w:val="24"/>
          <w:lang w:val="zh-CN" w:bidi="zh-CN"/>
        </w:rPr>
        <w:t>本项目废气治理措施的投资和运行维护费用情况详见表</w:t>
      </w:r>
      <w:r>
        <w:rPr>
          <w:kern w:val="0"/>
          <w:sz w:val="24"/>
          <w:szCs w:val="24"/>
          <w:lang w:bidi="zh-CN"/>
        </w:rPr>
        <w:t>6.2</w:t>
      </w:r>
      <w:r>
        <w:rPr>
          <w:kern w:val="0"/>
          <w:sz w:val="24"/>
          <w:szCs w:val="24"/>
          <w:lang w:val="zh-CN" w:bidi="zh-CN"/>
        </w:rPr>
        <w:t>-1。</w:t>
      </w:r>
    </w:p>
    <w:p w14:paraId="35B5B506">
      <w:pPr>
        <w:tabs>
          <w:tab w:val="center" w:pos="4153"/>
          <w:tab w:val="right" w:pos="8306"/>
        </w:tabs>
        <w:autoSpaceDE w:val="0"/>
        <w:autoSpaceDN w:val="0"/>
        <w:snapToGrid w:val="0"/>
        <w:ind w:firstLine="422" w:firstLineChars="200"/>
        <w:jc w:val="center"/>
        <w:rPr>
          <w:b/>
          <w:bCs/>
          <w:kern w:val="0"/>
          <w:szCs w:val="21"/>
          <w:lang w:val="zh-CN" w:bidi="zh-CN"/>
        </w:rPr>
      </w:pPr>
      <w:r>
        <w:rPr>
          <w:b/>
          <w:bCs/>
          <w:kern w:val="0"/>
          <w:szCs w:val="21"/>
          <w:lang w:val="zh-CN" w:bidi="zh-CN"/>
        </w:rPr>
        <w:t>表</w:t>
      </w:r>
      <w:r>
        <w:rPr>
          <w:b/>
          <w:bCs/>
          <w:kern w:val="0"/>
          <w:szCs w:val="21"/>
          <w:lang w:bidi="zh-CN"/>
        </w:rPr>
        <w:t>6.2</w:t>
      </w:r>
      <w:r>
        <w:rPr>
          <w:b/>
          <w:bCs/>
          <w:kern w:val="0"/>
          <w:szCs w:val="21"/>
          <w:lang w:val="zh-CN" w:bidi="zh-CN"/>
        </w:rPr>
        <w:t xml:space="preserve">-1 </w:t>
      </w:r>
      <w:r>
        <w:rPr>
          <w:b/>
          <w:bCs/>
          <w:kern w:val="0"/>
          <w:szCs w:val="21"/>
          <w:lang w:bidi="zh-CN"/>
        </w:rPr>
        <w:t xml:space="preserve">          </w:t>
      </w:r>
      <w:r>
        <w:rPr>
          <w:b/>
          <w:bCs/>
          <w:kern w:val="0"/>
          <w:szCs w:val="21"/>
          <w:lang w:val="zh-CN" w:bidi="zh-CN"/>
        </w:rPr>
        <w:t xml:space="preserve"> 废气治理措施的投资和运行维护费用</w:t>
      </w:r>
    </w:p>
    <w:tbl>
      <w:tblPr>
        <w:tblStyle w:val="49"/>
        <w:tblW w:w="4999"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6129"/>
        <w:gridCol w:w="3157"/>
      </w:tblGrid>
      <w:tr w14:paraId="79152DA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300" w:type="pct"/>
            <w:vAlign w:val="center"/>
          </w:tcPr>
          <w:p w14:paraId="16EE8A03">
            <w:pPr>
              <w:autoSpaceDE w:val="0"/>
              <w:autoSpaceDN w:val="0"/>
              <w:snapToGrid w:val="0"/>
              <w:jc w:val="center"/>
              <w:rPr>
                <w:kern w:val="0"/>
                <w:szCs w:val="21"/>
              </w:rPr>
            </w:pPr>
            <w:r>
              <w:rPr>
                <w:kern w:val="0"/>
                <w:szCs w:val="21"/>
              </w:rPr>
              <w:t>治理措施</w:t>
            </w:r>
          </w:p>
        </w:tc>
        <w:tc>
          <w:tcPr>
            <w:tcW w:w="1700" w:type="pct"/>
            <w:vAlign w:val="center"/>
          </w:tcPr>
          <w:p w14:paraId="58315EF8">
            <w:pPr>
              <w:autoSpaceDE w:val="0"/>
              <w:autoSpaceDN w:val="0"/>
              <w:snapToGrid w:val="0"/>
              <w:jc w:val="center"/>
              <w:rPr>
                <w:kern w:val="0"/>
                <w:szCs w:val="21"/>
              </w:rPr>
            </w:pPr>
            <w:r>
              <w:rPr>
                <w:kern w:val="0"/>
                <w:szCs w:val="21"/>
              </w:rPr>
              <w:t>投资及运行维护费用（万元）</w:t>
            </w:r>
          </w:p>
        </w:tc>
      </w:tr>
      <w:tr w14:paraId="253E6F6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300" w:type="pct"/>
            <w:vAlign w:val="center"/>
          </w:tcPr>
          <w:p w14:paraId="3C864108">
            <w:pPr>
              <w:autoSpaceDE w:val="0"/>
              <w:autoSpaceDN w:val="0"/>
              <w:snapToGrid w:val="0"/>
              <w:jc w:val="center"/>
              <w:rPr>
                <w:kern w:val="0"/>
                <w:szCs w:val="21"/>
              </w:rPr>
            </w:pPr>
            <w:r>
              <w:rPr>
                <w:kern w:val="0"/>
                <w:szCs w:val="21"/>
              </w:rPr>
              <w:t>集气罩+</w:t>
            </w:r>
            <w:r>
              <w:rPr>
                <w:rFonts w:hint="eastAsia"/>
                <w:kern w:val="0"/>
                <w:szCs w:val="21"/>
                <w:lang w:val="zh-CN" w:bidi="zh-CN"/>
              </w:rPr>
              <w:t>活性炭浓缩吸附+催化燃烧</w:t>
            </w:r>
            <w:r>
              <w:rPr>
                <w:kern w:val="0"/>
                <w:szCs w:val="21"/>
                <w:lang w:val="zh-CN" w:bidi="zh-CN"/>
              </w:rPr>
              <w:t>系统</w:t>
            </w:r>
            <w:r>
              <w:rPr>
                <w:kern w:val="0"/>
                <w:szCs w:val="21"/>
              </w:rPr>
              <w:t>+15m高排气筒（</w:t>
            </w:r>
            <w:r>
              <w:rPr>
                <w:rFonts w:hint="eastAsia"/>
                <w:kern w:val="0"/>
                <w:szCs w:val="21"/>
              </w:rPr>
              <w:t>1</w:t>
            </w:r>
            <w:r>
              <w:rPr>
                <w:kern w:val="0"/>
                <w:szCs w:val="21"/>
              </w:rPr>
              <w:t>套）</w:t>
            </w:r>
          </w:p>
        </w:tc>
        <w:tc>
          <w:tcPr>
            <w:tcW w:w="1700" w:type="pct"/>
            <w:vAlign w:val="center"/>
          </w:tcPr>
          <w:p w14:paraId="05799B10">
            <w:pPr>
              <w:autoSpaceDE w:val="0"/>
              <w:autoSpaceDN w:val="0"/>
              <w:snapToGrid w:val="0"/>
              <w:jc w:val="center"/>
              <w:rPr>
                <w:kern w:val="0"/>
                <w:szCs w:val="21"/>
              </w:rPr>
            </w:pPr>
            <w:r>
              <w:rPr>
                <w:rFonts w:hint="eastAsia"/>
                <w:kern w:val="0"/>
                <w:szCs w:val="21"/>
              </w:rPr>
              <w:t>20</w:t>
            </w:r>
          </w:p>
        </w:tc>
      </w:tr>
    </w:tbl>
    <w:p w14:paraId="382D252B">
      <w:pPr>
        <w:keepNext w:val="0"/>
        <w:keepLines w:val="0"/>
        <w:pageBreakBefore w:val="0"/>
        <w:widowControl w:val="0"/>
        <w:kinsoku/>
        <w:wordWrap/>
        <w:overflowPunct/>
        <w:topLinePunct w:val="0"/>
        <w:autoSpaceDE w:val="0"/>
        <w:autoSpaceDN w:val="0"/>
        <w:bidi w:val="0"/>
        <w:adjustRightInd/>
        <w:snapToGrid w:val="0"/>
        <w:spacing w:line="480" w:lineRule="exact"/>
        <w:ind w:firstLine="480" w:firstLineChars="200"/>
        <w:textAlignment w:val="auto"/>
        <w:rPr>
          <w:rFonts w:hint="eastAsia" w:ascii="宋体" w:hAnsi="宋体" w:eastAsia="宋体" w:cs="宋体"/>
          <w:kern w:val="0"/>
          <w:sz w:val="24"/>
          <w:szCs w:val="24"/>
          <w:lang w:val="zh-CN" w:bidi="zh-CN"/>
        </w:rPr>
      </w:pPr>
      <w:r>
        <w:rPr>
          <w:kern w:val="0"/>
          <w:sz w:val="24"/>
          <w:szCs w:val="24"/>
          <w:lang w:val="zh-CN" w:bidi="zh-CN"/>
        </w:rPr>
        <w:t>综上所述，运营期废气采用上述治理措施处理后，完全可以保证各污染物的达标排放。</w:t>
      </w:r>
      <w:r>
        <w:rPr>
          <w:rFonts w:hint="eastAsia" w:ascii="宋体" w:hAnsi="宋体" w:eastAsia="宋体" w:cs="宋体"/>
          <w:kern w:val="0"/>
          <w:sz w:val="24"/>
          <w:szCs w:val="24"/>
          <w:lang w:val="zh-CN" w:bidi="zh-CN"/>
        </w:rPr>
        <w:t>因此废气治理措施在经济、技术上均是可行的。</w:t>
      </w:r>
    </w:p>
    <w:p w14:paraId="59C375B8">
      <w:pPr>
        <w:keepNext w:val="0"/>
        <w:keepLines w:val="0"/>
        <w:pageBreakBefore w:val="0"/>
        <w:widowControl w:val="0"/>
        <w:kinsoku/>
        <w:wordWrap/>
        <w:overflowPunct/>
        <w:topLinePunct w:val="0"/>
        <w:autoSpaceDE w:val="0"/>
        <w:autoSpaceDN w:val="0"/>
        <w:bidi w:val="0"/>
        <w:adjustRightInd/>
        <w:snapToGrid w:val="0"/>
        <w:spacing w:line="480" w:lineRule="exact"/>
        <w:ind w:firstLine="480" w:firstLineChars="200"/>
        <w:textAlignment w:val="auto"/>
        <w:rPr>
          <w:rFonts w:hint="eastAsia" w:ascii="宋体" w:hAnsi="宋体" w:eastAsia="宋体" w:cs="宋体"/>
          <w:kern w:val="0"/>
          <w:sz w:val="24"/>
          <w:szCs w:val="24"/>
          <w:lang w:val="en-US" w:eastAsia="zh-CN" w:bidi="zh-CN"/>
        </w:rPr>
      </w:pPr>
      <w:r>
        <w:rPr>
          <w:rFonts w:hint="eastAsia" w:ascii="宋体" w:hAnsi="宋体" w:eastAsia="宋体" w:cs="宋体"/>
          <w:kern w:val="0"/>
          <w:sz w:val="24"/>
          <w:szCs w:val="24"/>
          <w:lang w:val="en-US" w:eastAsia="zh-CN" w:bidi="zh-CN"/>
        </w:rPr>
        <w:t>（4）类比分析挥发性有机物净化系统对污染物去除效率的技术可行性</w:t>
      </w:r>
    </w:p>
    <w:p w14:paraId="741C2662">
      <w:pPr>
        <w:keepNext w:val="0"/>
        <w:keepLines w:val="0"/>
        <w:pageBreakBefore w:val="0"/>
        <w:widowControl w:val="0"/>
        <w:kinsoku/>
        <w:wordWrap/>
        <w:overflowPunct/>
        <w:topLinePunct w:val="0"/>
        <w:autoSpaceDE w:val="0"/>
        <w:autoSpaceDN w:val="0"/>
        <w:bidi w:val="0"/>
        <w:adjustRightInd/>
        <w:snapToGrid/>
        <w:spacing w:line="480" w:lineRule="exact"/>
        <w:ind w:firstLine="480" w:firstLineChars="200"/>
        <w:jc w:val="left"/>
        <w:textAlignment w:val="auto"/>
        <w:rPr>
          <w:rFonts w:hint="eastAsia" w:ascii="宋体" w:hAnsi="宋体" w:eastAsia="宋体" w:cs="宋体"/>
          <w:color w:val="auto"/>
          <w:kern w:val="0"/>
          <w:sz w:val="24"/>
          <w:szCs w:val="24"/>
          <w:lang w:val="zh-CN" w:bidi="zh-CN"/>
        </w:rPr>
      </w:pPr>
      <w:r>
        <w:rPr>
          <w:rFonts w:hint="eastAsia" w:ascii="宋体" w:hAnsi="宋体" w:eastAsia="宋体" w:cs="宋体"/>
          <w:color w:val="auto"/>
          <w:kern w:val="0"/>
          <w:sz w:val="24"/>
          <w:szCs w:val="24"/>
          <w:lang w:val="zh-CN" w:bidi="zh-CN"/>
        </w:rPr>
        <w:t>本次评价选择的类比对象为“新疆中昆环保科技有限公司2.5万t/a天然气乙炔炉尾气净化项目”。该类比项目与本项目具有高度可比性，具体体现在：</w:t>
      </w:r>
    </w:p>
    <w:p w14:paraId="433B4E0E">
      <w:pPr>
        <w:keepNext w:val="0"/>
        <w:keepLines w:val="0"/>
        <w:pageBreakBefore w:val="0"/>
        <w:widowControl w:val="0"/>
        <w:kinsoku/>
        <w:wordWrap/>
        <w:overflowPunct/>
        <w:topLinePunct w:val="0"/>
        <w:autoSpaceDE w:val="0"/>
        <w:autoSpaceDN w:val="0"/>
        <w:bidi w:val="0"/>
        <w:adjustRightInd/>
        <w:snapToGrid/>
        <w:spacing w:line="480" w:lineRule="exact"/>
        <w:ind w:firstLine="480" w:firstLineChars="200"/>
        <w:jc w:val="left"/>
        <w:textAlignment w:val="auto"/>
        <w:rPr>
          <w:rFonts w:hint="eastAsia" w:ascii="宋体" w:hAnsi="宋体" w:eastAsia="宋体" w:cs="宋体"/>
          <w:b w:val="0"/>
          <w:bCs w:val="0"/>
          <w:color w:val="auto"/>
          <w:kern w:val="0"/>
          <w:sz w:val="24"/>
          <w:szCs w:val="24"/>
          <w:lang w:val="zh-CN" w:bidi="zh-CN"/>
        </w:rPr>
      </w:pPr>
      <w:r>
        <w:rPr>
          <w:rFonts w:hint="eastAsia" w:ascii="宋体" w:hAnsi="宋体" w:cs="宋体"/>
          <w:kern w:val="0"/>
          <w:sz w:val="24"/>
          <w:szCs w:val="24"/>
          <w:lang w:val="zh-CN" w:bidi="zh-CN"/>
        </w:rPr>
        <w:t>①</w:t>
      </w:r>
      <w:r>
        <w:rPr>
          <w:rFonts w:hint="eastAsia" w:ascii="宋体" w:hAnsi="宋体" w:eastAsia="宋体" w:cs="宋体"/>
          <w:b w:val="0"/>
          <w:bCs w:val="0"/>
          <w:color w:val="auto"/>
          <w:kern w:val="0"/>
          <w:sz w:val="24"/>
          <w:szCs w:val="24"/>
          <w:lang w:val="zh-CN" w:bidi="zh-CN"/>
        </w:rPr>
        <w:t>处理工艺相同：类比项目同样采用“活性炭吸附浓缩+催化燃烧”工艺对有机废气进行净化处理。</w:t>
      </w:r>
    </w:p>
    <w:p w14:paraId="5A5336FE">
      <w:pPr>
        <w:keepNext w:val="0"/>
        <w:keepLines w:val="0"/>
        <w:pageBreakBefore w:val="0"/>
        <w:widowControl w:val="0"/>
        <w:kinsoku/>
        <w:wordWrap/>
        <w:overflowPunct/>
        <w:topLinePunct w:val="0"/>
        <w:autoSpaceDE w:val="0"/>
        <w:autoSpaceDN w:val="0"/>
        <w:bidi w:val="0"/>
        <w:adjustRightInd/>
        <w:snapToGrid/>
        <w:spacing w:line="480" w:lineRule="exact"/>
        <w:ind w:firstLine="480" w:firstLineChars="200"/>
        <w:jc w:val="left"/>
        <w:textAlignment w:val="auto"/>
        <w:rPr>
          <w:rFonts w:hint="eastAsia" w:ascii="宋体" w:hAnsi="宋体" w:eastAsia="宋体" w:cs="宋体"/>
          <w:b w:val="0"/>
          <w:bCs w:val="0"/>
          <w:color w:val="auto"/>
          <w:kern w:val="0"/>
          <w:sz w:val="24"/>
          <w:szCs w:val="24"/>
          <w:lang w:val="zh-CN" w:bidi="zh-CN"/>
        </w:rPr>
      </w:pPr>
      <w:r>
        <w:rPr>
          <w:rFonts w:hint="eastAsia" w:ascii="宋体" w:hAnsi="宋体" w:cs="宋体"/>
          <w:kern w:val="0"/>
          <w:sz w:val="24"/>
          <w:szCs w:val="24"/>
          <w:lang w:val="zh-CN" w:bidi="zh-CN"/>
        </w:rPr>
        <w:t>②</w:t>
      </w:r>
      <w:r>
        <w:rPr>
          <w:rFonts w:hint="eastAsia" w:ascii="宋体" w:hAnsi="宋体" w:eastAsia="宋体" w:cs="宋体"/>
          <w:b w:val="0"/>
          <w:bCs w:val="0"/>
          <w:color w:val="auto"/>
          <w:kern w:val="0"/>
          <w:sz w:val="24"/>
          <w:szCs w:val="24"/>
          <w:lang w:val="zh-CN" w:bidi="zh-CN"/>
        </w:rPr>
        <w:t>污染物种类相似：类比项目处理的主要污染物同为挥发性有机物（以非甲烷总烃表征）。</w:t>
      </w:r>
    </w:p>
    <w:p w14:paraId="15CEBF0D">
      <w:pPr>
        <w:keepNext w:val="0"/>
        <w:keepLines w:val="0"/>
        <w:pageBreakBefore w:val="0"/>
        <w:widowControl w:val="0"/>
        <w:kinsoku/>
        <w:wordWrap/>
        <w:overflowPunct/>
        <w:topLinePunct w:val="0"/>
        <w:autoSpaceDE w:val="0"/>
        <w:autoSpaceDN w:val="0"/>
        <w:bidi w:val="0"/>
        <w:adjustRightInd/>
        <w:snapToGrid/>
        <w:spacing w:line="480" w:lineRule="exact"/>
        <w:ind w:firstLine="480" w:firstLineChars="200"/>
        <w:jc w:val="left"/>
        <w:textAlignment w:val="auto"/>
        <w:rPr>
          <w:rFonts w:hint="eastAsia" w:ascii="宋体" w:hAnsi="宋体" w:eastAsia="宋体" w:cs="宋体"/>
          <w:b w:val="0"/>
          <w:bCs w:val="0"/>
          <w:color w:val="auto"/>
          <w:kern w:val="0"/>
          <w:sz w:val="24"/>
          <w:szCs w:val="24"/>
          <w:lang w:val="zh-CN" w:bidi="zh-CN"/>
        </w:rPr>
      </w:pPr>
      <w:r>
        <w:rPr>
          <w:rFonts w:hint="eastAsia" w:ascii="宋体" w:hAnsi="宋体" w:cs="宋体"/>
          <w:kern w:val="0"/>
          <w:sz w:val="24"/>
          <w:szCs w:val="24"/>
          <w:lang w:val="zh-CN" w:bidi="zh-CN"/>
        </w:rPr>
        <w:t>③</w:t>
      </w:r>
      <w:r>
        <w:rPr>
          <w:rFonts w:hint="eastAsia" w:ascii="宋体" w:hAnsi="宋体" w:eastAsia="宋体" w:cs="宋体"/>
          <w:b w:val="0"/>
          <w:bCs w:val="0"/>
          <w:color w:val="auto"/>
          <w:kern w:val="0"/>
          <w:sz w:val="24"/>
          <w:szCs w:val="24"/>
          <w:lang w:val="zh-CN" w:bidi="zh-CN"/>
        </w:rPr>
        <w:t>地域与管理要求相近：类比项目同样位于新疆地区，且需满足严格的废气排放标准。</w:t>
      </w:r>
    </w:p>
    <w:p w14:paraId="0B734D1F">
      <w:pPr>
        <w:keepNext w:val="0"/>
        <w:keepLines w:val="0"/>
        <w:pageBreakBefore w:val="0"/>
        <w:widowControl w:val="0"/>
        <w:kinsoku/>
        <w:wordWrap/>
        <w:overflowPunct/>
        <w:topLinePunct w:val="0"/>
        <w:autoSpaceDE w:val="0"/>
        <w:autoSpaceDN w:val="0"/>
        <w:bidi w:val="0"/>
        <w:adjustRightInd/>
        <w:snapToGrid/>
        <w:spacing w:line="480" w:lineRule="exact"/>
        <w:ind w:firstLine="480" w:firstLineChars="200"/>
        <w:jc w:val="left"/>
        <w:textAlignment w:val="auto"/>
        <w:rPr>
          <w:rFonts w:hint="eastAsia" w:ascii="宋体" w:hAnsi="宋体" w:eastAsia="宋体" w:cs="宋体"/>
          <w:b w:val="0"/>
          <w:bCs w:val="0"/>
          <w:color w:val="auto"/>
          <w:kern w:val="0"/>
          <w:sz w:val="24"/>
          <w:szCs w:val="24"/>
          <w:lang w:val="zh-CN" w:bidi="zh-CN"/>
        </w:rPr>
      </w:pPr>
      <w:r>
        <w:rPr>
          <w:rFonts w:hint="eastAsia" w:ascii="宋体" w:hAnsi="宋体" w:eastAsia="宋体" w:cs="宋体"/>
          <w:b w:val="0"/>
          <w:bCs w:val="0"/>
          <w:color w:val="auto"/>
          <w:kern w:val="0"/>
          <w:sz w:val="24"/>
          <w:szCs w:val="24"/>
          <w:lang w:val="en-US" w:eastAsia="zh-CN" w:bidi="zh-CN"/>
        </w:rPr>
        <w:t>4）</w:t>
      </w:r>
      <w:r>
        <w:rPr>
          <w:rFonts w:hint="eastAsia" w:ascii="宋体" w:hAnsi="宋体" w:eastAsia="宋体" w:cs="宋体"/>
          <w:b w:val="0"/>
          <w:bCs w:val="0"/>
          <w:color w:val="auto"/>
          <w:kern w:val="0"/>
          <w:sz w:val="24"/>
          <w:szCs w:val="24"/>
          <w:lang w:val="zh-CN" w:bidi="zh-CN"/>
        </w:rPr>
        <w:t>类比项目监测数据与分析</w:t>
      </w:r>
    </w:p>
    <w:p w14:paraId="7AD47EDA">
      <w:pPr>
        <w:keepNext w:val="0"/>
        <w:keepLines w:val="0"/>
        <w:pageBreakBefore w:val="0"/>
        <w:widowControl w:val="0"/>
        <w:kinsoku/>
        <w:wordWrap/>
        <w:overflowPunct/>
        <w:topLinePunct w:val="0"/>
        <w:autoSpaceDE w:val="0"/>
        <w:autoSpaceDN w:val="0"/>
        <w:bidi w:val="0"/>
        <w:adjustRightInd/>
        <w:spacing w:line="480" w:lineRule="exact"/>
        <w:ind w:firstLine="480" w:firstLineChars="200"/>
        <w:jc w:val="left"/>
        <w:textAlignment w:val="auto"/>
        <w:rPr>
          <w:rFonts w:hint="eastAsia" w:ascii="宋体" w:hAnsi="宋体" w:eastAsia="宋体" w:cs="宋体"/>
          <w:color w:val="auto"/>
          <w:kern w:val="0"/>
          <w:sz w:val="24"/>
          <w:szCs w:val="24"/>
          <w:lang w:val="zh-CN" w:bidi="zh-CN"/>
        </w:rPr>
      </w:pPr>
      <w:r>
        <w:rPr>
          <w:rFonts w:hint="eastAsia" w:ascii="宋体" w:hAnsi="宋体" w:eastAsia="宋体" w:cs="宋体"/>
          <w:color w:val="auto"/>
          <w:kern w:val="0"/>
          <w:sz w:val="24"/>
          <w:szCs w:val="24"/>
          <w:lang w:val="zh-CN" w:bidi="zh-CN"/>
        </w:rPr>
        <w:t>根据类比项目竣工环境保护验收监测报告，在其生产负荷达到75%以上的工况下，对其“浓缩吸附+催化燃烧系统”进出口的非甲烷总烃浓度进行了同步监测，结果见表6</w:t>
      </w:r>
      <w:r>
        <w:rPr>
          <w:rFonts w:hint="eastAsia" w:ascii="宋体" w:hAnsi="宋体" w:eastAsia="宋体" w:cs="宋体"/>
          <w:color w:val="auto"/>
          <w:kern w:val="0"/>
          <w:sz w:val="24"/>
          <w:szCs w:val="24"/>
          <w:lang w:val="en-US" w:eastAsia="zh-CN" w:bidi="zh-CN"/>
        </w:rPr>
        <w:t>.2-2</w:t>
      </w:r>
      <w:r>
        <w:rPr>
          <w:rFonts w:hint="eastAsia" w:ascii="宋体" w:hAnsi="宋体" w:eastAsia="宋体" w:cs="宋体"/>
          <w:color w:val="auto"/>
          <w:kern w:val="0"/>
          <w:sz w:val="24"/>
          <w:szCs w:val="24"/>
          <w:lang w:val="zh-CN" w:bidi="zh-CN"/>
        </w:rPr>
        <w:t>。</w:t>
      </w:r>
    </w:p>
    <w:p w14:paraId="2B0B972E">
      <w:pPr>
        <w:keepNext w:val="0"/>
        <w:keepLines w:val="0"/>
        <w:pageBreakBefore w:val="0"/>
        <w:widowControl/>
        <w:kinsoku/>
        <w:wordWrap/>
        <w:overflowPunct/>
        <w:topLinePunct w:val="0"/>
        <w:autoSpaceDE w:val="0"/>
        <w:autoSpaceDN w:val="0"/>
        <w:bidi w:val="0"/>
        <w:adjustRightInd w:val="0"/>
        <w:snapToGrid w:val="0"/>
        <w:spacing w:line="240" w:lineRule="auto"/>
        <w:ind w:left="-63" w:leftChars="-30" w:right="-63" w:rightChars="-30" w:firstLine="0" w:firstLineChars="0"/>
        <w:jc w:val="center"/>
        <w:textAlignment w:val="baseline"/>
        <w:rPr>
          <w:rFonts w:hint="default" w:ascii="Times New Roman" w:hAnsi="Times New Roman" w:eastAsia="宋体" w:cs="Times New Roman"/>
          <w:b/>
          <w:color w:val="auto"/>
          <w:sz w:val="21"/>
          <w:szCs w:val="21"/>
          <w:lang w:val="zh-CN" w:eastAsia="zh-CN" w:bidi="zh-CN"/>
        </w:rPr>
      </w:pPr>
      <w:r>
        <w:rPr>
          <w:rFonts w:hint="default" w:ascii="Times New Roman" w:hAnsi="Times New Roman" w:eastAsia="宋体" w:cs="Times New Roman"/>
          <w:b/>
          <w:color w:val="auto"/>
          <w:sz w:val="21"/>
          <w:szCs w:val="21"/>
          <w:lang w:val="zh-CN" w:eastAsia="zh-CN" w:bidi="zh-CN"/>
        </w:rPr>
        <w:t>表</w:t>
      </w:r>
      <w:r>
        <w:rPr>
          <w:rFonts w:hint="eastAsia" w:ascii="Times New Roman" w:hAnsi="Times New Roman" w:eastAsia="宋体" w:cs="Times New Roman"/>
          <w:b/>
          <w:color w:val="auto"/>
          <w:sz w:val="21"/>
          <w:szCs w:val="21"/>
          <w:lang w:val="en-US" w:eastAsia="zh-CN" w:bidi="zh-CN"/>
        </w:rPr>
        <w:t xml:space="preserve">6.2-2   </w:t>
      </w:r>
      <w:r>
        <w:rPr>
          <w:rFonts w:hint="default" w:ascii="Times New Roman" w:hAnsi="Times New Roman" w:eastAsia="宋体" w:cs="Times New Roman"/>
          <w:b/>
          <w:color w:val="auto"/>
          <w:sz w:val="21"/>
          <w:szCs w:val="21"/>
          <w:lang w:val="zh-CN" w:eastAsia="zh-CN" w:bidi="zh-CN"/>
        </w:rPr>
        <w:t>有组织废气监测结果</w:t>
      </w:r>
    </w:p>
    <w:tbl>
      <w:tblPr>
        <w:tblStyle w:val="5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00"/>
        <w:gridCol w:w="1488"/>
        <w:gridCol w:w="1844"/>
        <w:gridCol w:w="1844"/>
        <w:gridCol w:w="1642"/>
      </w:tblGrid>
      <w:tr w14:paraId="6BCEFC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trPr>
        <w:tc>
          <w:tcPr>
            <w:tcW w:w="2200" w:type="dxa"/>
            <w:tcBorders>
              <w:tl2br w:val="nil"/>
              <w:tr2bl w:val="nil"/>
            </w:tcBorders>
            <w:vAlign w:val="center"/>
          </w:tcPr>
          <w:p w14:paraId="3CCE59DA">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lang w:val="en-US" w:eastAsia="zh-CN" w:bidi="zh-CN"/>
              </w:rPr>
            </w:pPr>
            <w:r>
              <w:rPr>
                <w:rFonts w:hint="eastAsia" w:ascii="Times New Roman" w:hAnsi="Times New Roman" w:eastAsia="宋体" w:cs="Times New Roman"/>
                <w:color w:val="auto"/>
                <w:kern w:val="0"/>
                <w:sz w:val="21"/>
                <w:szCs w:val="21"/>
                <w:lang w:val="en-US" w:eastAsia="zh-CN" w:bidi="zh-CN"/>
              </w:rPr>
              <w:t>监测点位</w:t>
            </w:r>
          </w:p>
        </w:tc>
        <w:tc>
          <w:tcPr>
            <w:tcW w:w="1488" w:type="dxa"/>
            <w:tcBorders>
              <w:tl2br w:val="nil"/>
              <w:tr2bl w:val="nil"/>
            </w:tcBorders>
            <w:vAlign w:val="center"/>
          </w:tcPr>
          <w:p w14:paraId="3FF47E67">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lang w:val="en-US" w:eastAsia="zh-CN" w:bidi="zh-CN"/>
              </w:rPr>
            </w:pPr>
            <w:r>
              <w:rPr>
                <w:rFonts w:hint="eastAsia" w:ascii="Times New Roman" w:hAnsi="Times New Roman" w:eastAsia="宋体" w:cs="Times New Roman"/>
                <w:color w:val="auto"/>
                <w:kern w:val="0"/>
                <w:sz w:val="21"/>
                <w:szCs w:val="21"/>
                <w:lang w:val="en-US" w:eastAsia="zh-CN" w:bidi="zh-CN"/>
              </w:rPr>
              <w:t>监测频次</w:t>
            </w:r>
          </w:p>
        </w:tc>
        <w:tc>
          <w:tcPr>
            <w:tcW w:w="1844" w:type="dxa"/>
            <w:tcBorders>
              <w:tl2br w:val="nil"/>
              <w:tr2bl w:val="nil"/>
            </w:tcBorders>
            <w:vAlign w:val="center"/>
          </w:tcPr>
          <w:p w14:paraId="58640E6D">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lang w:val="en-US" w:eastAsia="zh-CN" w:bidi="zh-CN"/>
              </w:rPr>
            </w:pPr>
            <w:r>
              <w:rPr>
                <w:rFonts w:hint="eastAsia" w:ascii="Times New Roman" w:hAnsi="Times New Roman" w:eastAsia="宋体" w:cs="Times New Roman"/>
                <w:color w:val="auto"/>
                <w:kern w:val="0"/>
                <w:sz w:val="21"/>
                <w:szCs w:val="21"/>
                <w:lang w:val="en-US" w:eastAsia="zh-CN" w:bidi="zh-CN"/>
              </w:rPr>
              <w:t>进口浓度</w:t>
            </w:r>
          </w:p>
        </w:tc>
        <w:tc>
          <w:tcPr>
            <w:tcW w:w="1844" w:type="dxa"/>
            <w:tcBorders>
              <w:tl2br w:val="nil"/>
              <w:tr2bl w:val="nil"/>
            </w:tcBorders>
            <w:vAlign w:val="center"/>
          </w:tcPr>
          <w:p w14:paraId="4DBA7619">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eastAsia" w:ascii="Times New Roman" w:hAnsi="Times New Roman" w:eastAsia="宋体" w:cs="Times New Roman"/>
                <w:color w:val="auto"/>
                <w:kern w:val="0"/>
                <w:sz w:val="21"/>
                <w:szCs w:val="21"/>
                <w:lang w:val="en-US" w:eastAsia="zh-CN" w:bidi="zh-CN"/>
              </w:rPr>
            </w:pPr>
            <w:r>
              <w:rPr>
                <w:rFonts w:hint="eastAsia" w:ascii="Times New Roman" w:hAnsi="Times New Roman" w:eastAsia="宋体" w:cs="Times New Roman"/>
                <w:color w:val="auto"/>
                <w:kern w:val="0"/>
                <w:sz w:val="21"/>
                <w:szCs w:val="21"/>
                <w:lang w:val="en-US" w:eastAsia="zh-CN" w:bidi="zh-CN"/>
              </w:rPr>
              <w:t>出口浓度</w:t>
            </w:r>
          </w:p>
        </w:tc>
        <w:tc>
          <w:tcPr>
            <w:tcW w:w="1642" w:type="dxa"/>
            <w:tcBorders>
              <w:tl2br w:val="nil"/>
              <w:tr2bl w:val="nil"/>
            </w:tcBorders>
            <w:vAlign w:val="center"/>
          </w:tcPr>
          <w:p w14:paraId="24C71BBE">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lang w:val="en-US" w:eastAsia="zh-CN" w:bidi="zh-CN"/>
              </w:rPr>
            </w:pPr>
            <w:r>
              <w:rPr>
                <w:rFonts w:hint="eastAsia" w:ascii="Times New Roman" w:hAnsi="Times New Roman" w:eastAsia="宋体" w:cs="Times New Roman"/>
                <w:color w:val="auto"/>
                <w:kern w:val="0"/>
                <w:sz w:val="21"/>
                <w:szCs w:val="21"/>
                <w:lang w:val="en-US" w:eastAsia="zh-CN" w:bidi="zh-CN"/>
              </w:rPr>
              <w:t>净化效率</w:t>
            </w:r>
          </w:p>
        </w:tc>
      </w:tr>
      <w:tr w14:paraId="670730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trPr>
        <w:tc>
          <w:tcPr>
            <w:tcW w:w="2200" w:type="dxa"/>
            <w:tcBorders>
              <w:tl2br w:val="nil"/>
              <w:tr2bl w:val="nil"/>
            </w:tcBorders>
            <w:vAlign w:val="center"/>
          </w:tcPr>
          <w:p w14:paraId="3676CF2F">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lang w:val="en-US" w:eastAsia="zh-CN" w:bidi="zh-CN"/>
              </w:rPr>
            </w:pPr>
            <w:r>
              <w:rPr>
                <w:rFonts w:hint="eastAsia" w:ascii="Times New Roman" w:hAnsi="Times New Roman" w:eastAsia="宋体" w:cs="Times New Roman"/>
                <w:color w:val="auto"/>
                <w:kern w:val="0"/>
                <w:sz w:val="21"/>
                <w:szCs w:val="21"/>
                <w:lang w:val="en-US" w:eastAsia="zh-CN" w:bidi="zh-CN"/>
              </w:rPr>
              <w:t>催化燃烧装置进口</w:t>
            </w:r>
          </w:p>
        </w:tc>
        <w:tc>
          <w:tcPr>
            <w:tcW w:w="1488" w:type="dxa"/>
            <w:tcBorders>
              <w:tl2br w:val="nil"/>
              <w:tr2bl w:val="nil"/>
            </w:tcBorders>
            <w:vAlign w:val="center"/>
          </w:tcPr>
          <w:p w14:paraId="2076723C">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eastAsia" w:ascii="Times New Roman" w:hAnsi="Times New Roman" w:eastAsia="宋体" w:cs="Times New Roman"/>
                <w:color w:val="auto"/>
                <w:kern w:val="0"/>
                <w:sz w:val="21"/>
                <w:szCs w:val="21"/>
                <w:lang w:val="en-US" w:eastAsia="zh-CN" w:bidi="zh-CN"/>
              </w:rPr>
            </w:pPr>
            <w:r>
              <w:rPr>
                <w:rFonts w:hint="eastAsia" w:ascii="Times New Roman" w:hAnsi="Times New Roman" w:eastAsia="宋体" w:cs="Times New Roman"/>
                <w:color w:val="auto"/>
                <w:kern w:val="0"/>
                <w:sz w:val="21"/>
                <w:szCs w:val="21"/>
                <w:lang w:val="en-US" w:eastAsia="zh-CN" w:bidi="zh-CN"/>
              </w:rPr>
              <w:t>第1次</w:t>
            </w:r>
          </w:p>
        </w:tc>
        <w:tc>
          <w:tcPr>
            <w:tcW w:w="1844" w:type="dxa"/>
            <w:tcBorders>
              <w:tl2br w:val="nil"/>
              <w:tr2bl w:val="nil"/>
            </w:tcBorders>
            <w:vAlign w:val="center"/>
          </w:tcPr>
          <w:p w14:paraId="511D424F">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lang w:val="en-US" w:eastAsia="zh-CN" w:bidi="zh-CN"/>
              </w:rPr>
            </w:pPr>
            <w:r>
              <w:rPr>
                <w:rFonts w:hint="eastAsia" w:ascii="Times New Roman" w:hAnsi="Times New Roman" w:eastAsia="宋体" w:cs="Times New Roman"/>
                <w:color w:val="auto"/>
                <w:kern w:val="0"/>
                <w:sz w:val="21"/>
                <w:szCs w:val="21"/>
                <w:lang w:val="en-US" w:eastAsia="zh-CN" w:bidi="zh-CN"/>
              </w:rPr>
              <w:t>125.8</w:t>
            </w:r>
          </w:p>
        </w:tc>
        <w:tc>
          <w:tcPr>
            <w:tcW w:w="1844" w:type="dxa"/>
            <w:tcBorders>
              <w:tl2br w:val="nil"/>
              <w:tr2bl w:val="nil"/>
            </w:tcBorders>
            <w:vAlign w:val="center"/>
          </w:tcPr>
          <w:p w14:paraId="1CDDF326">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lang w:val="en-US" w:eastAsia="zh-CN" w:bidi="zh-CN"/>
              </w:rPr>
            </w:pPr>
            <w:r>
              <w:rPr>
                <w:rFonts w:hint="eastAsia" w:ascii="Times New Roman" w:hAnsi="Times New Roman" w:eastAsia="宋体" w:cs="Times New Roman"/>
                <w:color w:val="auto"/>
                <w:kern w:val="0"/>
                <w:sz w:val="21"/>
                <w:szCs w:val="21"/>
                <w:lang w:val="en-US" w:eastAsia="zh-CN" w:bidi="zh-CN"/>
              </w:rPr>
              <w:t>7.6</w:t>
            </w:r>
          </w:p>
        </w:tc>
        <w:tc>
          <w:tcPr>
            <w:tcW w:w="1642" w:type="dxa"/>
            <w:tcBorders>
              <w:tl2br w:val="nil"/>
              <w:tr2bl w:val="nil"/>
            </w:tcBorders>
            <w:vAlign w:val="center"/>
          </w:tcPr>
          <w:p w14:paraId="3CCBB5FA">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lang w:val="en-US" w:eastAsia="zh-CN" w:bidi="zh-CN"/>
              </w:rPr>
            </w:pPr>
            <w:r>
              <w:rPr>
                <w:rFonts w:hint="eastAsia" w:ascii="Times New Roman" w:hAnsi="Times New Roman" w:eastAsia="宋体" w:cs="Times New Roman"/>
                <w:color w:val="auto"/>
                <w:kern w:val="0"/>
                <w:sz w:val="21"/>
                <w:szCs w:val="21"/>
                <w:lang w:val="en-US" w:eastAsia="zh-CN" w:bidi="zh-CN"/>
              </w:rPr>
              <w:t>94.0</w:t>
            </w:r>
          </w:p>
        </w:tc>
      </w:tr>
      <w:tr w14:paraId="699471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trPr>
        <w:tc>
          <w:tcPr>
            <w:tcW w:w="2200" w:type="dxa"/>
            <w:tcBorders>
              <w:tl2br w:val="nil"/>
              <w:tr2bl w:val="nil"/>
            </w:tcBorders>
            <w:vAlign w:val="center"/>
          </w:tcPr>
          <w:p w14:paraId="08FBA925">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lang w:val="zh-CN" w:bidi="zh-CN"/>
              </w:rPr>
            </w:pPr>
            <w:r>
              <w:rPr>
                <w:rFonts w:hint="eastAsia" w:ascii="Times New Roman" w:hAnsi="Times New Roman" w:eastAsia="宋体" w:cs="Times New Roman"/>
                <w:color w:val="auto"/>
                <w:kern w:val="0"/>
                <w:sz w:val="21"/>
                <w:szCs w:val="21"/>
                <w:lang w:val="en-US" w:eastAsia="zh-CN" w:bidi="zh-CN"/>
              </w:rPr>
              <w:t>催化燃烧装置进口</w:t>
            </w:r>
          </w:p>
        </w:tc>
        <w:tc>
          <w:tcPr>
            <w:tcW w:w="1488" w:type="dxa"/>
            <w:tcBorders>
              <w:tl2br w:val="nil"/>
              <w:tr2bl w:val="nil"/>
            </w:tcBorders>
            <w:vAlign w:val="center"/>
          </w:tcPr>
          <w:p w14:paraId="4778C6A2">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lang w:val="en-US" w:eastAsia="zh-CN" w:bidi="zh-CN"/>
              </w:rPr>
            </w:pPr>
            <w:r>
              <w:rPr>
                <w:rFonts w:hint="eastAsia" w:ascii="Times New Roman" w:hAnsi="Times New Roman" w:eastAsia="宋体" w:cs="Times New Roman"/>
                <w:color w:val="auto"/>
                <w:kern w:val="0"/>
                <w:sz w:val="21"/>
                <w:szCs w:val="21"/>
                <w:lang w:val="en-US" w:eastAsia="zh-CN" w:bidi="zh-CN"/>
              </w:rPr>
              <w:t>第2次</w:t>
            </w:r>
          </w:p>
        </w:tc>
        <w:tc>
          <w:tcPr>
            <w:tcW w:w="1844" w:type="dxa"/>
            <w:tcBorders>
              <w:tl2br w:val="nil"/>
              <w:tr2bl w:val="nil"/>
            </w:tcBorders>
            <w:vAlign w:val="center"/>
          </w:tcPr>
          <w:p w14:paraId="4BA21231">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lang w:val="en-US" w:eastAsia="zh-CN" w:bidi="zh-CN"/>
              </w:rPr>
            </w:pPr>
            <w:r>
              <w:rPr>
                <w:rFonts w:hint="eastAsia" w:ascii="Times New Roman" w:hAnsi="Times New Roman" w:eastAsia="宋体" w:cs="Times New Roman"/>
                <w:color w:val="auto"/>
                <w:kern w:val="0"/>
                <w:sz w:val="21"/>
                <w:szCs w:val="21"/>
                <w:lang w:val="en-US" w:eastAsia="zh-CN" w:bidi="zh-CN"/>
              </w:rPr>
              <w:t>138.5</w:t>
            </w:r>
          </w:p>
        </w:tc>
        <w:tc>
          <w:tcPr>
            <w:tcW w:w="1844" w:type="dxa"/>
            <w:tcBorders>
              <w:tl2br w:val="nil"/>
              <w:tr2bl w:val="nil"/>
            </w:tcBorders>
            <w:vAlign w:val="center"/>
          </w:tcPr>
          <w:p w14:paraId="0746FDF6">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lang w:val="en-US" w:eastAsia="zh-CN" w:bidi="zh-CN"/>
              </w:rPr>
            </w:pPr>
            <w:r>
              <w:rPr>
                <w:rFonts w:hint="eastAsia" w:ascii="Times New Roman" w:hAnsi="Times New Roman" w:eastAsia="宋体" w:cs="Times New Roman"/>
                <w:color w:val="auto"/>
                <w:kern w:val="0"/>
                <w:sz w:val="21"/>
                <w:szCs w:val="21"/>
                <w:lang w:val="en-US" w:eastAsia="zh-CN" w:bidi="zh-CN"/>
              </w:rPr>
              <w:t>8.2</w:t>
            </w:r>
          </w:p>
        </w:tc>
        <w:tc>
          <w:tcPr>
            <w:tcW w:w="1642" w:type="dxa"/>
            <w:tcBorders>
              <w:tl2br w:val="nil"/>
              <w:tr2bl w:val="nil"/>
            </w:tcBorders>
            <w:vAlign w:val="center"/>
          </w:tcPr>
          <w:p w14:paraId="44C6929C">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lang w:val="en-US" w:eastAsia="zh-CN" w:bidi="zh-CN"/>
              </w:rPr>
            </w:pPr>
            <w:r>
              <w:rPr>
                <w:rFonts w:hint="eastAsia" w:ascii="Times New Roman" w:hAnsi="Times New Roman" w:eastAsia="宋体" w:cs="Times New Roman"/>
                <w:color w:val="auto"/>
                <w:kern w:val="0"/>
                <w:sz w:val="21"/>
                <w:szCs w:val="21"/>
                <w:lang w:val="en-US" w:eastAsia="zh-CN" w:bidi="zh-CN"/>
              </w:rPr>
              <w:t>94.1</w:t>
            </w:r>
          </w:p>
        </w:tc>
      </w:tr>
      <w:tr w14:paraId="249A67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trPr>
        <w:tc>
          <w:tcPr>
            <w:tcW w:w="2200" w:type="dxa"/>
            <w:tcBorders>
              <w:tl2br w:val="nil"/>
              <w:tr2bl w:val="nil"/>
            </w:tcBorders>
            <w:vAlign w:val="center"/>
          </w:tcPr>
          <w:p w14:paraId="0AF459E1">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lang w:val="zh-CN" w:bidi="zh-CN"/>
              </w:rPr>
            </w:pPr>
            <w:r>
              <w:rPr>
                <w:rFonts w:hint="eastAsia" w:ascii="Times New Roman" w:hAnsi="Times New Roman" w:eastAsia="宋体" w:cs="Times New Roman"/>
                <w:color w:val="auto"/>
                <w:kern w:val="0"/>
                <w:sz w:val="21"/>
                <w:szCs w:val="21"/>
                <w:lang w:val="en-US" w:eastAsia="zh-CN" w:bidi="zh-CN"/>
              </w:rPr>
              <w:t>催化燃烧装置进口</w:t>
            </w:r>
          </w:p>
        </w:tc>
        <w:tc>
          <w:tcPr>
            <w:tcW w:w="1488" w:type="dxa"/>
            <w:tcBorders>
              <w:tl2br w:val="nil"/>
              <w:tr2bl w:val="nil"/>
            </w:tcBorders>
            <w:vAlign w:val="center"/>
          </w:tcPr>
          <w:p w14:paraId="7EA5DFAE">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lang w:val="zh-CN" w:bidi="zh-CN"/>
              </w:rPr>
            </w:pPr>
            <w:r>
              <w:rPr>
                <w:rFonts w:hint="eastAsia" w:ascii="Times New Roman" w:hAnsi="Times New Roman" w:eastAsia="宋体" w:cs="Times New Roman"/>
                <w:color w:val="auto"/>
                <w:kern w:val="0"/>
                <w:sz w:val="21"/>
                <w:szCs w:val="21"/>
                <w:lang w:val="en-US" w:eastAsia="zh-CN" w:bidi="zh-CN"/>
              </w:rPr>
              <w:t>第3次</w:t>
            </w:r>
          </w:p>
        </w:tc>
        <w:tc>
          <w:tcPr>
            <w:tcW w:w="1844" w:type="dxa"/>
            <w:tcBorders>
              <w:tl2br w:val="nil"/>
              <w:tr2bl w:val="nil"/>
            </w:tcBorders>
            <w:vAlign w:val="center"/>
          </w:tcPr>
          <w:p w14:paraId="0373FB44">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lang w:val="en-US" w:eastAsia="zh-CN" w:bidi="zh-CN"/>
              </w:rPr>
            </w:pPr>
            <w:r>
              <w:rPr>
                <w:rFonts w:hint="eastAsia" w:ascii="Times New Roman" w:hAnsi="Times New Roman" w:eastAsia="宋体" w:cs="Times New Roman"/>
                <w:color w:val="auto"/>
                <w:kern w:val="0"/>
                <w:sz w:val="21"/>
                <w:szCs w:val="21"/>
                <w:lang w:val="en-US" w:eastAsia="zh-CN" w:bidi="zh-CN"/>
              </w:rPr>
              <w:t>116.3</w:t>
            </w:r>
          </w:p>
        </w:tc>
        <w:tc>
          <w:tcPr>
            <w:tcW w:w="1844" w:type="dxa"/>
            <w:tcBorders>
              <w:tl2br w:val="nil"/>
              <w:tr2bl w:val="nil"/>
            </w:tcBorders>
            <w:vAlign w:val="center"/>
          </w:tcPr>
          <w:p w14:paraId="4EC512AE">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lang w:val="en-US" w:eastAsia="zh-CN" w:bidi="zh-CN"/>
              </w:rPr>
            </w:pPr>
            <w:r>
              <w:rPr>
                <w:rFonts w:hint="eastAsia" w:ascii="Times New Roman" w:hAnsi="Times New Roman" w:eastAsia="宋体" w:cs="Times New Roman"/>
                <w:color w:val="auto"/>
                <w:kern w:val="0"/>
                <w:sz w:val="21"/>
                <w:szCs w:val="21"/>
                <w:lang w:val="en-US" w:eastAsia="zh-CN" w:bidi="zh-CN"/>
              </w:rPr>
              <w:t>6.9</w:t>
            </w:r>
          </w:p>
        </w:tc>
        <w:tc>
          <w:tcPr>
            <w:tcW w:w="1642" w:type="dxa"/>
            <w:tcBorders>
              <w:tl2br w:val="nil"/>
              <w:tr2bl w:val="nil"/>
            </w:tcBorders>
            <w:vAlign w:val="center"/>
          </w:tcPr>
          <w:p w14:paraId="6DB596AE">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lang w:val="en-US" w:eastAsia="zh-CN" w:bidi="zh-CN"/>
              </w:rPr>
            </w:pPr>
            <w:r>
              <w:rPr>
                <w:rFonts w:hint="eastAsia" w:ascii="Times New Roman" w:hAnsi="Times New Roman" w:eastAsia="宋体" w:cs="Times New Roman"/>
                <w:color w:val="auto"/>
                <w:kern w:val="0"/>
                <w:sz w:val="21"/>
                <w:szCs w:val="21"/>
                <w:lang w:val="en-US" w:eastAsia="zh-CN" w:bidi="zh-CN"/>
              </w:rPr>
              <w:t>94.1</w:t>
            </w:r>
          </w:p>
        </w:tc>
      </w:tr>
      <w:tr w14:paraId="3E3788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2200" w:type="dxa"/>
            <w:tcBorders>
              <w:tl2br w:val="nil"/>
              <w:tr2bl w:val="nil"/>
            </w:tcBorders>
            <w:vAlign w:val="center"/>
          </w:tcPr>
          <w:p w14:paraId="41697991">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lang w:val="en-US" w:eastAsia="zh-CN" w:bidi="zh-CN"/>
              </w:rPr>
            </w:pPr>
            <w:r>
              <w:rPr>
                <w:rFonts w:hint="eastAsia" w:ascii="Times New Roman" w:hAnsi="Times New Roman" w:eastAsia="宋体" w:cs="Times New Roman"/>
                <w:color w:val="auto"/>
                <w:kern w:val="0"/>
                <w:sz w:val="21"/>
                <w:szCs w:val="21"/>
                <w:lang w:val="en-US" w:eastAsia="zh-CN" w:bidi="zh-CN"/>
              </w:rPr>
              <w:t>平均值</w:t>
            </w:r>
          </w:p>
        </w:tc>
        <w:tc>
          <w:tcPr>
            <w:tcW w:w="1488" w:type="dxa"/>
            <w:tcBorders>
              <w:tl2br w:val="nil"/>
              <w:tr2bl w:val="nil"/>
            </w:tcBorders>
            <w:vAlign w:val="center"/>
          </w:tcPr>
          <w:p w14:paraId="04F6F77D">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eastAsia" w:ascii="Times New Roman" w:hAnsi="Times New Roman" w:eastAsia="宋体" w:cs="Times New Roman"/>
                <w:color w:val="auto"/>
                <w:kern w:val="0"/>
                <w:sz w:val="21"/>
                <w:szCs w:val="21"/>
                <w:lang w:val="en-US" w:eastAsia="zh-CN" w:bidi="zh-CN"/>
              </w:rPr>
            </w:pPr>
            <w:r>
              <w:rPr>
                <w:rFonts w:hint="eastAsia" w:ascii="Times New Roman" w:hAnsi="Times New Roman" w:eastAsia="宋体" w:cs="Times New Roman"/>
                <w:color w:val="auto"/>
                <w:kern w:val="0"/>
                <w:sz w:val="21"/>
                <w:szCs w:val="21"/>
                <w:lang w:val="en-US" w:eastAsia="zh-CN" w:bidi="zh-CN"/>
              </w:rPr>
              <w:t>/</w:t>
            </w:r>
          </w:p>
        </w:tc>
        <w:tc>
          <w:tcPr>
            <w:tcW w:w="1844" w:type="dxa"/>
            <w:tcBorders>
              <w:tl2br w:val="nil"/>
              <w:tr2bl w:val="nil"/>
            </w:tcBorders>
            <w:vAlign w:val="center"/>
          </w:tcPr>
          <w:p w14:paraId="6EF29A5C">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lang w:val="en-US" w:eastAsia="zh-CN" w:bidi="zh-CN"/>
              </w:rPr>
            </w:pPr>
            <w:r>
              <w:rPr>
                <w:rFonts w:hint="eastAsia" w:ascii="Times New Roman" w:hAnsi="Times New Roman" w:eastAsia="宋体" w:cs="Times New Roman"/>
                <w:color w:val="auto"/>
                <w:kern w:val="0"/>
                <w:sz w:val="21"/>
                <w:szCs w:val="21"/>
                <w:lang w:val="en-US" w:eastAsia="zh-CN" w:bidi="zh-CN"/>
              </w:rPr>
              <w:t>126.9</w:t>
            </w:r>
          </w:p>
        </w:tc>
        <w:tc>
          <w:tcPr>
            <w:tcW w:w="1844" w:type="dxa"/>
            <w:tcBorders>
              <w:tl2br w:val="nil"/>
              <w:tr2bl w:val="nil"/>
            </w:tcBorders>
            <w:vAlign w:val="center"/>
          </w:tcPr>
          <w:p w14:paraId="31AE83CA">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lang w:val="en-US" w:eastAsia="zh-CN" w:bidi="zh-CN"/>
              </w:rPr>
            </w:pPr>
            <w:r>
              <w:rPr>
                <w:rFonts w:hint="eastAsia" w:ascii="Times New Roman" w:hAnsi="Times New Roman" w:eastAsia="宋体" w:cs="Times New Roman"/>
                <w:color w:val="auto"/>
                <w:kern w:val="0"/>
                <w:sz w:val="21"/>
                <w:szCs w:val="21"/>
                <w:lang w:val="en-US" w:eastAsia="zh-CN" w:bidi="zh-CN"/>
              </w:rPr>
              <w:t>7.6</w:t>
            </w:r>
          </w:p>
        </w:tc>
        <w:tc>
          <w:tcPr>
            <w:tcW w:w="1642" w:type="dxa"/>
            <w:tcBorders>
              <w:tl2br w:val="nil"/>
              <w:tr2bl w:val="nil"/>
            </w:tcBorders>
            <w:vAlign w:val="center"/>
          </w:tcPr>
          <w:p w14:paraId="7A0EB0C4">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lang w:val="en-US" w:eastAsia="zh-CN" w:bidi="zh-CN"/>
              </w:rPr>
            </w:pPr>
            <w:r>
              <w:rPr>
                <w:rFonts w:hint="eastAsia" w:ascii="Times New Roman" w:hAnsi="Times New Roman" w:eastAsia="宋体" w:cs="Times New Roman"/>
                <w:color w:val="auto"/>
                <w:kern w:val="0"/>
                <w:sz w:val="21"/>
                <w:szCs w:val="21"/>
                <w:lang w:val="en-US" w:eastAsia="zh-CN" w:bidi="zh-CN"/>
              </w:rPr>
              <w:t>94.1</w:t>
            </w:r>
          </w:p>
        </w:tc>
      </w:tr>
    </w:tbl>
    <w:p w14:paraId="1C00AA0A">
      <w:pPr>
        <w:keepNext w:val="0"/>
        <w:keepLines w:val="0"/>
        <w:pageBreakBefore w:val="0"/>
        <w:widowControl w:val="0"/>
        <w:kinsoku/>
        <w:wordWrap/>
        <w:overflowPunct/>
        <w:topLinePunct w:val="0"/>
        <w:autoSpaceDE w:val="0"/>
        <w:autoSpaceDN w:val="0"/>
        <w:bidi w:val="0"/>
        <w:adjustRightInd/>
        <w:spacing w:line="480" w:lineRule="exact"/>
        <w:ind w:firstLine="480" w:firstLineChars="200"/>
        <w:jc w:val="left"/>
        <w:textAlignment w:val="auto"/>
        <w:rPr>
          <w:rFonts w:hint="eastAsia" w:ascii="宋体" w:hAnsi="宋体" w:eastAsia="宋体" w:cs="宋体"/>
          <w:color w:val="auto"/>
          <w:kern w:val="0"/>
          <w:sz w:val="24"/>
          <w:szCs w:val="24"/>
          <w:lang w:val="zh-CN" w:bidi="zh-CN"/>
        </w:rPr>
      </w:pPr>
      <w:r>
        <w:rPr>
          <w:rFonts w:hint="eastAsia" w:ascii="宋体" w:hAnsi="宋体" w:eastAsia="宋体" w:cs="宋体"/>
          <w:color w:val="auto"/>
          <w:kern w:val="0"/>
          <w:sz w:val="24"/>
          <w:szCs w:val="24"/>
          <w:lang w:val="zh-CN" w:bidi="zh-CN"/>
        </w:rPr>
        <w:t>综合以上类比分析，本项目选用“浓缩吸附+催化燃烧系统”作为挥发性有机物的末端治理设施，处理效率稳定</w:t>
      </w:r>
      <w:r>
        <w:rPr>
          <w:rFonts w:hint="eastAsia" w:ascii="宋体" w:hAnsi="宋体" w:eastAsia="宋体" w:cs="宋体"/>
          <w:color w:val="auto"/>
          <w:kern w:val="0"/>
          <w:sz w:val="24"/>
          <w:szCs w:val="24"/>
          <w:lang w:val="en-US" w:eastAsia="zh-CN" w:bidi="zh-CN"/>
        </w:rPr>
        <w:t>平均</w:t>
      </w:r>
      <w:r>
        <w:rPr>
          <w:rFonts w:hint="default" w:ascii="宋体" w:hAnsi="宋体" w:eastAsia="宋体" w:cs="宋体"/>
          <w:color w:val="auto"/>
          <w:kern w:val="0"/>
          <w:sz w:val="24"/>
          <w:szCs w:val="24"/>
          <w:lang w:val="zh-CN" w:bidi="zh-CN"/>
        </w:rPr>
        <w:t>达到94.1%，且三次监测结果波动极小，表明该工艺技术成熟，运行稳定，对挥发性有机物的净化效果显著且可靠。</w:t>
      </w:r>
      <w:r>
        <w:rPr>
          <w:rFonts w:hint="eastAsia" w:ascii="宋体" w:hAnsi="宋体" w:eastAsia="宋体" w:cs="宋体"/>
          <w:color w:val="auto"/>
          <w:kern w:val="0"/>
          <w:sz w:val="24"/>
          <w:szCs w:val="24"/>
          <w:lang w:val="zh-CN" w:bidi="zh-CN"/>
        </w:rPr>
        <w:t>在技术上</w:t>
      </w:r>
      <w:r>
        <w:rPr>
          <w:rFonts w:hint="eastAsia" w:ascii="宋体" w:hAnsi="宋体" w:eastAsia="宋体" w:cs="宋体"/>
          <w:color w:val="auto"/>
          <w:kern w:val="0"/>
          <w:sz w:val="24"/>
          <w:szCs w:val="24"/>
          <w:lang w:val="zh-CN" w:eastAsia="zh-CN" w:bidi="zh-CN"/>
        </w:rPr>
        <w:t>是</w:t>
      </w:r>
      <w:r>
        <w:rPr>
          <w:rFonts w:hint="default" w:ascii="宋体" w:hAnsi="宋体" w:eastAsia="宋体" w:cs="宋体"/>
          <w:color w:val="auto"/>
          <w:kern w:val="0"/>
          <w:sz w:val="24"/>
          <w:szCs w:val="24"/>
          <w:lang w:val="zh-CN" w:bidi="zh-CN"/>
        </w:rPr>
        <w:t>可行的、可靠的。该工艺不仅能够确保污染物稳定达标排放，其内置的能量循环系统也符合清洁生产和节能降耗的要求。因此，从环保技术角度论证，该治理方案的选择是科学合理的。</w:t>
      </w:r>
    </w:p>
    <w:p w14:paraId="5EB9A6C2">
      <w:pPr>
        <w:pStyle w:val="4"/>
        <w:autoSpaceDE w:val="0"/>
        <w:autoSpaceDN w:val="0"/>
        <w:spacing w:before="0" w:after="0" w:line="360" w:lineRule="auto"/>
        <w:jc w:val="left"/>
        <w:rPr>
          <w:rFonts w:hint="eastAsia" w:ascii="Times New Roman" w:hAnsi="Times New Roman" w:eastAsia="宋体" w:cs="Times New Roman"/>
          <w:kern w:val="0"/>
          <w:sz w:val="24"/>
          <w:lang w:val="en-US" w:bidi="zh-CN"/>
        </w:rPr>
      </w:pPr>
      <w:r>
        <w:rPr>
          <w:rFonts w:hint="eastAsia" w:ascii="Times New Roman" w:hAnsi="Times New Roman" w:eastAsia="宋体" w:cs="Times New Roman"/>
          <w:kern w:val="0"/>
          <w:sz w:val="24"/>
          <w:lang w:val="en-US" w:bidi="zh-CN"/>
        </w:rPr>
        <w:t>6.2.2</w:t>
      </w:r>
      <w:r>
        <w:rPr>
          <w:rFonts w:hint="eastAsia" w:ascii="Times New Roman" w:hAnsi="Times New Roman" w:eastAsia="宋体" w:cs="Times New Roman"/>
          <w:kern w:val="0"/>
          <w:sz w:val="24"/>
          <w:lang w:val="zh-CN" w:bidi="zh-CN"/>
        </w:rPr>
        <w:t>水污染防治措施及其可行性分析</w:t>
      </w:r>
    </w:p>
    <w:p w14:paraId="133F4A0E">
      <w:pPr>
        <w:pStyle w:val="5"/>
        <w:rPr>
          <w:rFonts w:ascii="Times New Roman" w:hAnsi="Times New Roman"/>
          <w:color w:val="000000"/>
          <w:lang w:val="en-US"/>
        </w:rPr>
      </w:pPr>
      <w:r>
        <w:rPr>
          <w:rFonts w:hint="eastAsia" w:ascii="Times New Roman" w:hAnsi="Times New Roman"/>
          <w:color w:val="000000"/>
          <w:lang w:val="en-US"/>
        </w:rPr>
        <w:t>6.2.2.1水污染防治措施技术可行性分析</w:t>
      </w:r>
    </w:p>
    <w:p w14:paraId="7F568F46">
      <w:pPr>
        <w:keepNext w:val="0"/>
        <w:keepLines w:val="0"/>
        <w:pageBreakBefore w:val="0"/>
        <w:widowControl/>
        <w:tabs>
          <w:tab w:val="left" w:pos="851"/>
        </w:tabs>
        <w:kinsoku/>
        <w:wordWrap/>
        <w:overflowPunct/>
        <w:topLinePunct w:val="0"/>
        <w:autoSpaceDE/>
        <w:autoSpaceDN/>
        <w:bidi w:val="0"/>
        <w:snapToGrid/>
        <w:spacing w:line="360" w:lineRule="auto"/>
        <w:ind w:firstLine="480" w:firstLineChars="200"/>
        <w:rPr>
          <w:rFonts w:hint="eastAsia"/>
          <w:color w:val="000000"/>
          <w:sz w:val="24"/>
        </w:rPr>
      </w:pPr>
      <w:r>
        <w:rPr>
          <w:rFonts w:hint="eastAsia"/>
          <w:color w:val="000000"/>
          <w:sz w:val="24"/>
        </w:rPr>
        <w:t>本项目运营期主要为生活污水，</w:t>
      </w:r>
      <w:r>
        <w:rPr>
          <w:rFonts w:hint="eastAsia" w:ascii="宋体" w:hAnsi="宋体"/>
          <w:sz w:val="24"/>
          <w:szCs w:val="24"/>
        </w:rPr>
        <w:t>生活污水排入</w:t>
      </w:r>
      <w:r>
        <w:rPr>
          <w:rFonts w:hint="eastAsia" w:ascii="宋体" w:hAnsi="宋体"/>
          <w:sz w:val="24"/>
          <w:szCs w:val="24"/>
          <w:lang w:val="en-US" w:eastAsia="zh-CN"/>
        </w:rPr>
        <w:t>10</w:t>
      </w:r>
      <w:r>
        <w:rPr>
          <w:rFonts w:ascii="宋体" w:hAnsi="宋体"/>
          <w:sz w:val="24"/>
          <w:szCs w:val="24"/>
        </w:rPr>
        <w:t>m</w:t>
      </w:r>
      <w:r>
        <w:rPr>
          <w:rFonts w:ascii="宋体" w:hAnsi="宋体"/>
          <w:sz w:val="24"/>
          <w:szCs w:val="24"/>
          <w:vertAlign w:val="superscript"/>
        </w:rPr>
        <w:t>3</w:t>
      </w:r>
      <w:r>
        <w:rPr>
          <w:rFonts w:hint="eastAsia" w:ascii="宋体" w:hAnsi="宋体"/>
          <w:sz w:val="24"/>
          <w:szCs w:val="24"/>
          <w:lang w:val="en-US" w:eastAsia="zh-CN"/>
        </w:rPr>
        <w:t>防渗化粪池</w:t>
      </w:r>
      <w:r>
        <w:rPr>
          <w:rFonts w:hint="eastAsia" w:ascii="宋体" w:hAnsi="宋体"/>
          <w:sz w:val="24"/>
          <w:szCs w:val="24"/>
          <w:lang w:eastAsia="zh-CN"/>
        </w:rPr>
        <w:t>，定期由库尔勒龙润水处理有限公司采用罐车拉运至库尔勒南市区污水处理厂</w:t>
      </w:r>
      <w:r>
        <w:rPr>
          <w:rFonts w:hint="eastAsia"/>
          <w:color w:val="000000"/>
          <w:sz w:val="24"/>
        </w:rPr>
        <w:t>。</w:t>
      </w:r>
    </w:p>
    <w:p w14:paraId="1077CBEC">
      <w:pPr>
        <w:pStyle w:val="13"/>
        <w:keepNext w:val="0"/>
        <w:keepLines w:val="0"/>
        <w:pageBreakBefore w:val="0"/>
        <w:kinsoku/>
        <w:wordWrap/>
        <w:overflowPunct/>
        <w:topLinePunct w:val="0"/>
        <w:autoSpaceDE/>
        <w:autoSpaceDN/>
        <w:bidi w:val="0"/>
        <w:snapToGrid/>
        <w:spacing w:line="360" w:lineRule="auto"/>
        <w:rPr>
          <w:rFonts w:hint="eastAsia" w:eastAsia="宋体"/>
          <w:vertAlign w:val="baseline"/>
          <w:lang w:eastAsia="zh-CN"/>
        </w:rPr>
      </w:pPr>
      <w:r>
        <w:rPr>
          <w:rFonts w:hint="eastAsia"/>
          <w:color w:val="000000"/>
          <w:sz w:val="24"/>
          <w:lang w:eastAsia="zh-CN"/>
        </w:rPr>
        <w:t>本项目人员不在厂区内吃住，租用的宿舍用于倒班人员暂时休息场所，租用的食堂内有</w:t>
      </w:r>
      <w:r>
        <w:rPr>
          <w:rFonts w:hint="eastAsia"/>
          <w:color w:val="000000"/>
          <w:sz w:val="24"/>
          <w:lang w:val="en-US" w:eastAsia="zh-CN"/>
        </w:rPr>
        <w:t>1台微波炉和电热水炉，</w:t>
      </w:r>
      <w:r>
        <w:rPr>
          <w:rFonts w:hint="eastAsia"/>
          <w:color w:val="000000"/>
          <w:sz w:val="24"/>
          <w:lang w:eastAsia="zh-CN"/>
        </w:rPr>
        <w:t>用于倒班人员带的餐食加热和热水饮用，人员产生的废水量</w:t>
      </w:r>
      <w:r>
        <w:rPr>
          <w:rFonts w:hint="eastAsia"/>
          <w:color w:val="000000"/>
          <w:kern w:val="0"/>
          <w:sz w:val="24"/>
          <w:szCs w:val="24"/>
          <w:lang w:val="en-US" w:eastAsia="zh-CN"/>
        </w:rPr>
        <w:t>0.384</w:t>
      </w:r>
      <w:r>
        <w:rPr>
          <w:color w:val="000000"/>
          <w:kern w:val="0"/>
          <w:sz w:val="24"/>
          <w:szCs w:val="24"/>
        </w:rPr>
        <w:t>m</w:t>
      </w:r>
      <w:r>
        <w:rPr>
          <w:color w:val="000000"/>
          <w:kern w:val="0"/>
          <w:sz w:val="24"/>
          <w:szCs w:val="24"/>
          <w:vertAlign w:val="superscript"/>
        </w:rPr>
        <w:t>3</w:t>
      </w:r>
      <w:r>
        <w:rPr>
          <w:color w:val="000000"/>
          <w:kern w:val="0"/>
          <w:sz w:val="24"/>
          <w:szCs w:val="24"/>
        </w:rPr>
        <w:t>/d</w:t>
      </w:r>
      <w:r>
        <w:rPr>
          <w:rFonts w:hint="eastAsia"/>
          <w:color w:val="000000"/>
          <w:kern w:val="0"/>
          <w:sz w:val="24"/>
          <w:szCs w:val="24"/>
        </w:rPr>
        <w:t>（</w:t>
      </w:r>
      <w:r>
        <w:rPr>
          <w:rFonts w:hint="eastAsia"/>
          <w:color w:val="000000"/>
          <w:kern w:val="0"/>
          <w:sz w:val="24"/>
          <w:szCs w:val="24"/>
          <w:lang w:val="en-US" w:eastAsia="zh-CN"/>
        </w:rPr>
        <w:t>92.16</w:t>
      </w:r>
      <w:r>
        <w:rPr>
          <w:color w:val="000000"/>
          <w:kern w:val="0"/>
          <w:sz w:val="24"/>
          <w:szCs w:val="24"/>
        </w:rPr>
        <w:t>m</w:t>
      </w:r>
      <w:r>
        <w:rPr>
          <w:color w:val="000000"/>
          <w:kern w:val="0"/>
          <w:sz w:val="24"/>
          <w:szCs w:val="24"/>
          <w:vertAlign w:val="superscript"/>
        </w:rPr>
        <w:t>3</w:t>
      </w:r>
      <w:r>
        <w:rPr>
          <w:color w:val="000000"/>
          <w:kern w:val="0"/>
          <w:sz w:val="24"/>
          <w:szCs w:val="24"/>
        </w:rPr>
        <w:t>/a</w:t>
      </w:r>
      <w:r>
        <w:rPr>
          <w:rFonts w:hint="eastAsia"/>
          <w:color w:val="000000"/>
          <w:kern w:val="0"/>
          <w:sz w:val="24"/>
          <w:szCs w:val="24"/>
        </w:rPr>
        <w:t>）</w:t>
      </w:r>
      <w:r>
        <w:rPr>
          <w:rFonts w:hint="eastAsia"/>
          <w:color w:val="000000"/>
          <w:sz w:val="24"/>
          <w:lang w:eastAsia="zh-CN"/>
        </w:rPr>
        <w:t>，</w:t>
      </w:r>
      <w:r>
        <w:rPr>
          <w:rFonts w:hint="eastAsia" w:ascii="宋体" w:hAnsi="宋体"/>
          <w:sz w:val="24"/>
          <w:szCs w:val="24"/>
        </w:rPr>
        <w:t>生活污水排入</w:t>
      </w:r>
      <w:r>
        <w:rPr>
          <w:rFonts w:hint="eastAsia" w:ascii="宋体" w:hAnsi="宋体"/>
          <w:sz w:val="24"/>
          <w:szCs w:val="24"/>
          <w:lang w:val="en-US" w:eastAsia="zh-CN"/>
        </w:rPr>
        <w:t>10</w:t>
      </w:r>
      <w:r>
        <w:rPr>
          <w:rFonts w:ascii="宋体" w:hAnsi="宋体"/>
          <w:sz w:val="24"/>
          <w:szCs w:val="24"/>
        </w:rPr>
        <w:t>m</w:t>
      </w:r>
      <w:r>
        <w:rPr>
          <w:rFonts w:ascii="宋体" w:hAnsi="宋体"/>
          <w:sz w:val="24"/>
          <w:szCs w:val="24"/>
          <w:vertAlign w:val="superscript"/>
        </w:rPr>
        <w:t>3</w:t>
      </w:r>
      <w:r>
        <w:rPr>
          <w:rFonts w:hint="eastAsia" w:ascii="宋体" w:hAnsi="宋体"/>
          <w:sz w:val="24"/>
          <w:szCs w:val="24"/>
          <w:lang w:val="en-US" w:eastAsia="zh-CN"/>
        </w:rPr>
        <w:t>防渗化粪池</w:t>
      </w:r>
      <w:r>
        <w:rPr>
          <w:rFonts w:hint="eastAsia" w:ascii="宋体" w:hAnsi="宋体"/>
          <w:sz w:val="24"/>
          <w:szCs w:val="24"/>
          <w:lang w:eastAsia="zh-CN"/>
        </w:rPr>
        <w:t>，定期由库尔勒龙润水处理有限公司采用罐车拉运至库尔勒南市区污水处理厂</w:t>
      </w:r>
      <w:r>
        <w:rPr>
          <w:rFonts w:hint="eastAsia"/>
          <w:color w:val="000000"/>
          <w:kern w:val="0"/>
          <w:sz w:val="24"/>
          <w:szCs w:val="24"/>
          <w:lang w:eastAsia="zh-CN"/>
        </w:rPr>
        <w:t>是可行的。</w:t>
      </w:r>
    </w:p>
    <w:p w14:paraId="36C37F52">
      <w:pPr>
        <w:pStyle w:val="5"/>
        <w:rPr>
          <w:rFonts w:ascii="Times New Roman" w:hAnsi="Times New Roman"/>
          <w:color w:val="000000"/>
          <w:lang w:val="en-US"/>
        </w:rPr>
      </w:pPr>
      <w:bookmarkStart w:id="368" w:name="_Toc25398"/>
      <w:bookmarkStart w:id="369" w:name="_Toc24759"/>
      <w:bookmarkStart w:id="370" w:name="_Toc3635"/>
      <w:bookmarkStart w:id="371" w:name="_Toc471765715"/>
      <w:bookmarkStart w:id="372" w:name="_Toc9185"/>
      <w:bookmarkStart w:id="373" w:name="_Toc11931_WPSOffice_Level3"/>
      <w:bookmarkStart w:id="374" w:name="_Toc456651276"/>
      <w:bookmarkStart w:id="375" w:name="_Toc388801805"/>
      <w:bookmarkStart w:id="376" w:name="_Toc4064"/>
      <w:r>
        <w:rPr>
          <w:rFonts w:hint="eastAsia" w:ascii="Times New Roman" w:hAnsi="Times New Roman"/>
          <w:color w:val="000000"/>
          <w:lang w:val="en-US"/>
        </w:rPr>
        <w:t>6.2.2.2地表水环境保护措施</w:t>
      </w:r>
      <w:bookmarkEnd w:id="368"/>
      <w:bookmarkEnd w:id="369"/>
      <w:bookmarkEnd w:id="370"/>
    </w:p>
    <w:p w14:paraId="04F82F41">
      <w:pPr>
        <w:widowControl/>
        <w:spacing w:line="360" w:lineRule="auto"/>
        <w:ind w:firstLine="480" w:firstLineChars="200"/>
        <w:rPr>
          <w:rStyle w:val="244"/>
          <w:rFonts w:hint="eastAsia" w:ascii="宋体" w:hAnsi="宋体" w:cs="宋体"/>
          <w:color w:val="000000"/>
          <w:sz w:val="24"/>
          <w:szCs w:val="24"/>
        </w:rPr>
      </w:pPr>
      <w:r>
        <w:rPr>
          <w:rFonts w:hint="eastAsia" w:ascii="宋体" w:hAnsi="宋体" w:cs="宋体"/>
          <w:color w:val="000000"/>
          <w:sz w:val="24"/>
          <w:szCs w:val="24"/>
        </w:rPr>
        <w:t>正常情况下，本项目</w:t>
      </w:r>
      <w:r>
        <w:rPr>
          <w:rFonts w:hint="eastAsia" w:ascii="宋体" w:hAnsi="宋体"/>
          <w:sz w:val="24"/>
          <w:szCs w:val="24"/>
        </w:rPr>
        <w:t>生活污水排入</w:t>
      </w:r>
      <w:r>
        <w:rPr>
          <w:rFonts w:hint="eastAsia" w:ascii="宋体" w:hAnsi="宋体"/>
          <w:sz w:val="24"/>
          <w:szCs w:val="24"/>
          <w:lang w:val="en-US" w:eastAsia="zh-CN"/>
        </w:rPr>
        <w:t>10</w:t>
      </w:r>
      <w:r>
        <w:rPr>
          <w:rFonts w:ascii="宋体" w:hAnsi="宋体"/>
          <w:sz w:val="24"/>
          <w:szCs w:val="24"/>
        </w:rPr>
        <w:t>m</w:t>
      </w:r>
      <w:r>
        <w:rPr>
          <w:rFonts w:ascii="宋体" w:hAnsi="宋体"/>
          <w:sz w:val="24"/>
          <w:szCs w:val="24"/>
          <w:vertAlign w:val="superscript"/>
        </w:rPr>
        <w:t>3</w:t>
      </w:r>
      <w:r>
        <w:rPr>
          <w:rFonts w:hint="eastAsia" w:ascii="宋体" w:hAnsi="宋体"/>
          <w:sz w:val="24"/>
          <w:szCs w:val="24"/>
          <w:lang w:val="en-US" w:eastAsia="zh-CN"/>
        </w:rPr>
        <w:t>防渗化粪池</w:t>
      </w:r>
      <w:r>
        <w:rPr>
          <w:rFonts w:hint="eastAsia" w:ascii="宋体" w:hAnsi="宋体"/>
          <w:sz w:val="24"/>
          <w:szCs w:val="24"/>
          <w:lang w:eastAsia="zh-CN"/>
        </w:rPr>
        <w:t>，定期由库尔勒龙润水处理有限公司采用罐车拉运至库尔勒南市区污水处理厂</w:t>
      </w:r>
      <w:r>
        <w:rPr>
          <w:rStyle w:val="244"/>
          <w:rFonts w:hint="eastAsia" w:ascii="宋体" w:hAnsi="宋体" w:cs="宋体"/>
          <w:color w:val="000000"/>
          <w:sz w:val="24"/>
          <w:szCs w:val="24"/>
        </w:rPr>
        <w:t>，</w:t>
      </w:r>
      <w:r>
        <w:rPr>
          <w:rFonts w:hint="eastAsia" w:ascii="宋体" w:hAnsi="宋体" w:cs="宋体"/>
          <w:color w:val="000000"/>
          <w:sz w:val="24"/>
          <w:szCs w:val="24"/>
        </w:rPr>
        <w:t>不排入地表水体，不与地表水体发生直接水力关系。项目建设及运营对地表水环境不产生影响。</w:t>
      </w:r>
    </w:p>
    <w:p w14:paraId="40398883">
      <w:pPr>
        <w:pStyle w:val="5"/>
        <w:rPr>
          <w:rFonts w:ascii="Times New Roman" w:hAnsi="Times New Roman"/>
          <w:color w:val="000000"/>
          <w:lang w:val="en-US"/>
        </w:rPr>
      </w:pPr>
      <w:bookmarkStart w:id="377" w:name="_Toc5467"/>
      <w:bookmarkStart w:id="378" w:name="_Toc21011"/>
      <w:bookmarkStart w:id="379" w:name="_Toc11973"/>
      <w:r>
        <w:rPr>
          <w:rFonts w:hint="eastAsia" w:ascii="Times New Roman" w:hAnsi="Times New Roman"/>
          <w:color w:val="000000"/>
          <w:lang w:val="en-US"/>
        </w:rPr>
        <w:t>6.2.2.3地下水环境保护措施</w:t>
      </w:r>
      <w:bookmarkEnd w:id="371"/>
      <w:bookmarkEnd w:id="372"/>
      <w:bookmarkEnd w:id="373"/>
      <w:bookmarkEnd w:id="374"/>
      <w:bookmarkEnd w:id="375"/>
      <w:bookmarkEnd w:id="376"/>
      <w:bookmarkEnd w:id="377"/>
      <w:bookmarkEnd w:id="378"/>
      <w:bookmarkEnd w:id="379"/>
    </w:p>
    <w:p w14:paraId="7A36D065">
      <w:pPr>
        <w:pStyle w:val="254"/>
        <w:ind w:firstLine="480"/>
      </w:pPr>
      <w:r>
        <w:rPr>
          <w:rFonts w:hint="eastAsia" w:ascii="Times New Roman"/>
        </w:rPr>
        <w:t>根据《环境影响评价技术导则</w:t>
      </w:r>
      <w:r>
        <w:rPr>
          <w:rFonts w:ascii="Times New Roman"/>
        </w:rPr>
        <w:t xml:space="preserve"> </w:t>
      </w:r>
      <w:r>
        <w:rPr>
          <w:rFonts w:hint="eastAsia" w:ascii="Times New Roman"/>
        </w:rPr>
        <w:t xml:space="preserve"> 地下水环境》（</w:t>
      </w:r>
      <w:r>
        <w:rPr>
          <w:rFonts w:ascii="Times New Roman"/>
        </w:rPr>
        <w:t>HJ610-2016</w:t>
      </w:r>
      <w:r>
        <w:rPr>
          <w:rFonts w:hint="eastAsia" w:ascii="Times New Roman"/>
        </w:rPr>
        <w:t>），地下水环境保护措施与对策应符合《中华人民共和国水污染防治法》和《中华人民共和国环境影响评价法》的相关规定，按照“源头控制、分区防控、污染监控、应急响应”的原则确定。</w:t>
      </w:r>
    </w:p>
    <w:p w14:paraId="23E5A57C">
      <w:pPr>
        <w:widowControl/>
        <w:spacing w:line="360" w:lineRule="auto"/>
        <w:ind w:firstLine="480" w:firstLineChars="200"/>
        <w:rPr>
          <w:color w:val="000000"/>
          <w:sz w:val="24"/>
        </w:rPr>
      </w:pPr>
      <w:bookmarkStart w:id="380" w:name="_Toc2882"/>
      <w:bookmarkStart w:id="381" w:name="_Toc5683"/>
      <w:r>
        <w:rPr>
          <w:rFonts w:hint="eastAsia"/>
          <w:color w:val="000000"/>
          <w:sz w:val="24"/>
        </w:rPr>
        <w:t>（</w:t>
      </w:r>
      <w:r>
        <w:rPr>
          <w:color w:val="000000"/>
          <w:sz w:val="24"/>
        </w:rPr>
        <w:t>1</w:t>
      </w:r>
      <w:r>
        <w:rPr>
          <w:rFonts w:hint="eastAsia"/>
          <w:color w:val="000000"/>
          <w:sz w:val="24"/>
        </w:rPr>
        <w:t>）源头控制措施</w:t>
      </w:r>
      <w:bookmarkEnd w:id="380"/>
      <w:bookmarkEnd w:id="381"/>
    </w:p>
    <w:p w14:paraId="70E0093E">
      <w:pPr>
        <w:widowControl/>
        <w:spacing w:line="360" w:lineRule="auto"/>
        <w:ind w:firstLine="480" w:firstLineChars="200"/>
        <w:rPr>
          <w:color w:val="000000"/>
          <w:sz w:val="24"/>
        </w:rPr>
      </w:pPr>
      <w:r>
        <w:rPr>
          <w:rFonts w:hint="eastAsia"/>
          <w:color w:val="000000"/>
          <w:sz w:val="24"/>
        </w:rPr>
        <w:t>①确保生活污水</w:t>
      </w:r>
      <w:r>
        <w:rPr>
          <w:rFonts w:hint="eastAsia"/>
          <w:color w:val="000000"/>
          <w:kern w:val="0"/>
          <w:sz w:val="24"/>
          <w:szCs w:val="24"/>
          <w:lang w:eastAsia="zh-CN"/>
        </w:rPr>
        <w:t>排入</w:t>
      </w:r>
      <w:r>
        <w:rPr>
          <w:rFonts w:hint="eastAsia" w:ascii="宋体" w:hAnsi="宋体"/>
          <w:sz w:val="24"/>
          <w:szCs w:val="24"/>
          <w:lang w:val="en-US" w:eastAsia="zh-CN"/>
        </w:rPr>
        <w:t>10</w:t>
      </w:r>
      <w:r>
        <w:rPr>
          <w:rFonts w:ascii="宋体" w:hAnsi="宋体"/>
          <w:sz w:val="24"/>
          <w:szCs w:val="24"/>
        </w:rPr>
        <w:t>m</w:t>
      </w:r>
      <w:r>
        <w:rPr>
          <w:rFonts w:ascii="宋体" w:hAnsi="宋体"/>
          <w:sz w:val="24"/>
          <w:szCs w:val="24"/>
          <w:vertAlign w:val="superscript"/>
        </w:rPr>
        <w:t>3</w:t>
      </w:r>
      <w:r>
        <w:rPr>
          <w:rFonts w:hint="eastAsia" w:ascii="宋体" w:hAnsi="宋体"/>
          <w:sz w:val="24"/>
          <w:szCs w:val="24"/>
          <w:lang w:val="en-US" w:eastAsia="zh-CN"/>
        </w:rPr>
        <w:t>防渗化粪池</w:t>
      </w:r>
      <w:r>
        <w:rPr>
          <w:rFonts w:hint="eastAsia" w:ascii="宋体" w:hAnsi="宋体"/>
          <w:sz w:val="24"/>
          <w:szCs w:val="24"/>
          <w:lang w:eastAsia="zh-CN"/>
        </w:rPr>
        <w:t>，定期由库尔勒龙润水处理有限公司采用罐车拉运至库尔勒南市区污水处理厂</w:t>
      </w:r>
      <w:r>
        <w:rPr>
          <w:rStyle w:val="244"/>
          <w:rFonts w:hint="eastAsia"/>
          <w:color w:val="000000"/>
          <w:sz w:val="24"/>
        </w:rPr>
        <w:t>。</w:t>
      </w:r>
    </w:p>
    <w:p w14:paraId="5DCF8DC7">
      <w:pPr>
        <w:widowControl/>
        <w:spacing w:line="360" w:lineRule="auto"/>
        <w:ind w:firstLine="480" w:firstLineChars="200"/>
        <w:rPr>
          <w:color w:val="000000"/>
          <w:sz w:val="24"/>
        </w:rPr>
      </w:pPr>
      <w:r>
        <w:rPr>
          <w:rFonts w:hint="eastAsia"/>
          <w:color w:val="000000"/>
          <w:sz w:val="24"/>
        </w:rPr>
        <w:t>②加强管理，杜绝废水乱排、固废随意丢弃的现象，定期由库尔勒龙润水处理有限公司采用罐车拉运至库尔勒南市区污水处理厂</w:t>
      </w:r>
      <w:r>
        <w:rPr>
          <w:rFonts w:hint="eastAsia"/>
          <w:color w:val="000000"/>
          <w:sz w:val="24"/>
          <w:lang w:eastAsia="zh-CN"/>
        </w:rPr>
        <w:t>，</w:t>
      </w:r>
      <w:r>
        <w:rPr>
          <w:rFonts w:hint="eastAsia"/>
          <w:color w:val="000000"/>
          <w:sz w:val="24"/>
        </w:rPr>
        <w:t>系统管网维护，避免跑、冒、滴、漏。</w:t>
      </w:r>
    </w:p>
    <w:p w14:paraId="7E7EE7AD">
      <w:pPr>
        <w:widowControl/>
        <w:spacing w:line="360" w:lineRule="auto"/>
        <w:ind w:firstLine="480" w:firstLineChars="200"/>
        <w:rPr>
          <w:color w:val="000000"/>
          <w:sz w:val="24"/>
        </w:rPr>
      </w:pPr>
      <w:bookmarkStart w:id="382" w:name="_Toc4836"/>
      <w:bookmarkStart w:id="383" w:name="_Toc10899"/>
      <w:r>
        <w:rPr>
          <w:rFonts w:hint="eastAsia"/>
          <w:color w:val="000000"/>
          <w:sz w:val="24"/>
        </w:rPr>
        <w:t>（</w:t>
      </w:r>
      <w:r>
        <w:rPr>
          <w:color w:val="000000"/>
          <w:sz w:val="24"/>
        </w:rPr>
        <w:t>2</w:t>
      </w:r>
      <w:r>
        <w:rPr>
          <w:rFonts w:hint="eastAsia"/>
          <w:color w:val="000000"/>
          <w:sz w:val="24"/>
        </w:rPr>
        <w:t>）分区防渗措施</w:t>
      </w:r>
      <w:bookmarkEnd w:id="382"/>
      <w:bookmarkEnd w:id="383"/>
    </w:p>
    <w:p w14:paraId="7E1940CD">
      <w:pPr>
        <w:spacing w:line="360" w:lineRule="auto"/>
        <w:ind w:firstLine="480" w:firstLineChars="200"/>
        <w:rPr>
          <w:color w:val="000000"/>
          <w:sz w:val="24"/>
        </w:rPr>
      </w:pPr>
      <w:r>
        <w:rPr>
          <w:rFonts w:hint="eastAsia"/>
          <w:color w:val="000000"/>
          <w:sz w:val="24"/>
        </w:rPr>
        <w:t>对照《环境影响技术导则——地下水环境》（HJ610-2016）地下水污染防渗分区参照表，危废贮存点为重点防渗区，</w:t>
      </w:r>
      <w:r>
        <w:rPr>
          <w:rFonts w:hint="eastAsia"/>
          <w:color w:val="000000"/>
          <w:kern w:val="0"/>
          <w:sz w:val="24"/>
          <w:szCs w:val="24"/>
          <w:lang w:eastAsia="zh-CN"/>
        </w:rPr>
        <w:t>防渗</w:t>
      </w:r>
      <w:r>
        <w:rPr>
          <w:rFonts w:hint="eastAsia"/>
          <w:color w:val="000000"/>
          <w:sz w:val="24"/>
          <w:szCs w:val="24"/>
          <w:lang w:val="en-US" w:eastAsia="zh-CN"/>
        </w:rPr>
        <w:t>化粪池</w:t>
      </w:r>
      <w:r>
        <w:rPr>
          <w:rFonts w:hint="eastAsia"/>
          <w:color w:val="000000"/>
          <w:sz w:val="24"/>
        </w:rPr>
        <w:t>为一般防渗区，生产车间、库房及地面为简单防渗区。项目各区采取的地下水防治措施如下：</w:t>
      </w:r>
    </w:p>
    <w:p w14:paraId="29D7E5A5">
      <w:pPr>
        <w:pStyle w:val="232"/>
        <w:numPr>
          <w:ilvl w:val="0"/>
          <w:numId w:val="7"/>
        </w:numPr>
        <w:spacing w:line="360" w:lineRule="auto"/>
        <w:rPr>
          <w:color w:val="000000"/>
          <w:sz w:val="24"/>
        </w:rPr>
      </w:pPr>
      <w:r>
        <w:rPr>
          <w:rFonts w:hint="eastAsia"/>
          <w:color w:val="000000"/>
          <w:sz w:val="24"/>
        </w:rPr>
        <w:t>项目重点防渗区的防腐防渗措施</w:t>
      </w:r>
    </w:p>
    <w:p w14:paraId="5A91B771">
      <w:pPr>
        <w:spacing w:line="360" w:lineRule="auto"/>
        <w:ind w:firstLine="480" w:firstLineChars="200"/>
        <w:rPr>
          <w:color w:val="000000"/>
          <w:sz w:val="24"/>
        </w:rPr>
      </w:pPr>
      <w:r>
        <w:rPr>
          <w:rFonts w:hint="eastAsia"/>
          <w:color w:val="000000"/>
          <w:sz w:val="24"/>
        </w:rPr>
        <w:t>本项目重点防渗区主要为危废贮存点，此危废贮存点在租用厂房边新建，必须进行严格的防渗处理，防渗技术要求为防渗层的防渗性能不低于6.0m厚、渗透系数不大于1.0×10</w:t>
      </w:r>
      <w:r>
        <w:rPr>
          <w:rFonts w:hint="eastAsia"/>
          <w:color w:val="000000"/>
          <w:sz w:val="24"/>
          <w:vertAlign w:val="superscript"/>
        </w:rPr>
        <w:t>-7</w:t>
      </w:r>
      <w:r>
        <w:rPr>
          <w:rFonts w:hint="eastAsia"/>
          <w:color w:val="000000"/>
          <w:sz w:val="24"/>
        </w:rPr>
        <w:t>cm/s的黏土层的防渗性能；项目危废贮存点严格按照《危险废物贮存污染控制标准》（GB18597-2023）中有关规定进行建设和防渗处置。</w:t>
      </w:r>
    </w:p>
    <w:p w14:paraId="2337555A">
      <w:pPr>
        <w:pStyle w:val="232"/>
        <w:numPr>
          <w:ilvl w:val="0"/>
          <w:numId w:val="7"/>
        </w:numPr>
        <w:spacing w:line="360" w:lineRule="auto"/>
        <w:rPr>
          <w:color w:val="000000"/>
          <w:sz w:val="24"/>
        </w:rPr>
      </w:pPr>
      <w:r>
        <w:rPr>
          <w:rFonts w:hint="eastAsia"/>
          <w:color w:val="000000"/>
          <w:sz w:val="24"/>
        </w:rPr>
        <w:t>一般防渗区防腐防渗措施</w:t>
      </w:r>
    </w:p>
    <w:p w14:paraId="1CD2155F">
      <w:pPr>
        <w:spacing w:line="360" w:lineRule="auto"/>
        <w:ind w:firstLine="480" w:firstLineChars="200"/>
        <w:rPr>
          <w:color w:val="000000"/>
          <w:sz w:val="24"/>
        </w:rPr>
      </w:pPr>
      <w:r>
        <w:rPr>
          <w:rFonts w:hint="eastAsia"/>
          <w:color w:val="000000"/>
          <w:kern w:val="0"/>
          <w:sz w:val="24"/>
          <w:szCs w:val="24"/>
          <w:lang w:eastAsia="zh-CN"/>
        </w:rPr>
        <w:t>防渗</w:t>
      </w:r>
      <w:r>
        <w:rPr>
          <w:rFonts w:hint="eastAsia"/>
          <w:color w:val="000000"/>
          <w:sz w:val="24"/>
          <w:szCs w:val="24"/>
          <w:lang w:val="en-US" w:eastAsia="zh-CN"/>
        </w:rPr>
        <w:t>化粪池</w:t>
      </w:r>
      <w:r>
        <w:rPr>
          <w:rFonts w:hint="eastAsia"/>
          <w:color w:val="000000"/>
          <w:sz w:val="24"/>
        </w:rPr>
        <w:t>为一般防渗区，采用一般防渗方式，</w:t>
      </w:r>
      <w:r>
        <w:rPr>
          <w:rFonts w:hint="eastAsia"/>
          <w:color w:val="000000"/>
          <w:sz w:val="24"/>
          <w:lang w:eastAsia="zh-CN"/>
        </w:rPr>
        <w:t>目前经业主方提供的资料可知，</w:t>
      </w:r>
      <w:r>
        <w:rPr>
          <w:rFonts w:hint="eastAsia"/>
          <w:color w:val="000000"/>
          <w:sz w:val="24"/>
        </w:rPr>
        <w:t>防渗性能达到渗透系数＜10</w:t>
      </w:r>
      <w:r>
        <w:rPr>
          <w:rFonts w:hint="eastAsia"/>
          <w:color w:val="000000"/>
          <w:sz w:val="24"/>
          <w:vertAlign w:val="superscript"/>
        </w:rPr>
        <w:t>-7</w:t>
      </w:r>
      <w:r>
        <w:rPr>
          <w:rFonts w:hint="eastAsia"/>
          <w:color w:val="000000"/>
          <w:sz w:val="24"/>
        </w:rPr>
        <w:t>cm/s的防渗性能。</w:t>
      </w:r>
    </w:p>
    <w:p w14:paraId="428A8F6A">
      <w:pPr>
        <w:pStyle w:val="232"/>
        <w:numPr>
          <w:ilvl w:val="0"/>
          <w:numId w:val="7"/>
        </w:numPr>
        <w:spacing w:line="360" w:lineRule="auto"/>
        <w:rPr>
          <w:color w:val="000000"/>
          <w:sz w:val="24"/>
        </w:rPr>
      </w:pPr>
      <w:r>
        <w:rPr>
          <w:rFonts w:hint="eastAsia"/>
          <w:color w:val="000000"/>
          <w:sz w:val="24"/>
        </w:rPr>
        <w:t>简单防渗区</w:t>
      </w:r>
    </w:p>
    <w:p w14:paraId="58ACAE4C">
      <w:pPr>
        <w:spacing w:line="360" w:lineRule="auto"/>
        <w:ind w:firstLine="480" w:firstLineChars="200"/>
        <w:rPr>
          <w:color w:val="000000"/>
          <w:sz w:val="24"/>
        </w:rPr>
      </w:pPr>
      <w:r>
        <w:rPr>
          <w:rFonts w:hint="eastAsia"/>
          <w:color w:val="000000"/>
          <w:sz w:val="24"/>
        </w:rPr>
        <w:t>生产车间、堆棚及地面采用水泥硬化防渗，并用防渗材料进行防渗，防渗系数达到 1×10</w:t>
      </w:r>
      <w:r>
        <w:rPr>
          <w:rFonts w:hint="eastAsia"/>
          <w:color w:val="000000"/>
          <w:sz w:val="24"/>
          <w:vertAlign w:val="superscript"/>
        </w:rPr>
        <w:t>-7</w:t>
      </w:r>
      <w:r>
        <w:rPr>
          <w:rFonts w:hint="eastAsia"/>
          <w:color w:val="000000"/>
          <w:sz w:val="24"/>
        </w:rPr>
        <w:t>cm/s 以下。厂区其他地面除绿化用地、预留空地外采取灰土铺底，再在上层铺 10～15cm的混凝土进行硬化。</w:t>
      </w:r>
    </w:p>
    <w:p w14:paraId="73A77CD0">
      <w:pPr>
        <w:spacing w:line="360" w:lineRule="auto"/>
        <w:ind w:firstLine="480" w:firstLineChars="200"/>
        <w:rPr>
          <w:color w:val="000000"/>
          <w:sz w:val="24"/>
        </w:rPr>
      </w:pPr>
      <w:r>
        <w:rPr>
          <w:rFonts w:hint="eastAsia"/>
          <w:color w:val="000000"/>
          <w:sz w:val="24"/>
        </w:rPr>
        <w:t>（3）其他环节管理方案</w:t>
      </w:r>
    </w:p>
    <w:p w14:paraId="7B6C2448">
      <w:pPr>
        <w:spacing w:line="360" w:lineRule="auto"/>
        <w:ind w:firstLine="480" w:firstLineChars="200"/>
        <w:rPr>
          <w:color w:val="000000"/>
          <w:sz w:val="24"/>
        </w:rPr>
      </w:pPr>
      <w:r>
        <w:rPr>
          <w:rFonts w:hint="eastAsia"/>
          <w:color w:val="000000"/>
          <w:sz w:val="24"/>
        </w:rPr>
        <w:t>加强生产和设备运行管理，从原料产品储存、生产、运输、污染处理设施等全过程控制各种有害材料、产品泄漏，采取行之有效的防渗措施，定期检查污染源地下水保护设施，及时消除污染隐患，杜绝跑冒滴漏现象；发现有污染物泄漏或渗漏，采取清理污染物和修补漏洞（缝）等补救措施。</w:t>
      </w:r>
    </w:p>
    <w:p w14:paraId="7EB8CD92">
      <w:pPr>
        <w:spacing w:line="360" w:lineRule="auto"/>
        <w:ind w:firstLine="480" w:firstLineChars="200"/>
        <w:rPr>
          <w:color w:val="000000"/>
          <w:sz w:val="24"/>
        </w:rPr>
      </w:pPr>
      <w:r>
        <w:rPr>
          <w:rFonts w:hint="eastAsia"/>
          <w:color w:val="000000"/>
          <w:sz w:val="24"/>
        </w:rPr>
        <w:t>综上所述，本项目严格执行上述措施后，杜绝了厂区污水下渗的途径，绝大部分污染物得到有效控制，可有效避免对地下水的影响。生产过程中产生的危险固废均能得到处置，处置途径可行，不会对环境产生二次污染。</w:t>
      </w:r>
    </w:p>
    <w:p w14:paraId="25CBF04D">
      <w:pPr>
        <w:spacing w:line="360" w:lineRule="auto"/>
        <w:ind w:firstLine="480" w:firstLineChars="200"/>
        <w:rPr>
          <w:color w:val="000000"/>
          <w:sz w:val="24"/>
        </w:rPr>
      </w:pPr>
      <w:r>
        <w:rPr>
          <w:rFonts w:hint="eastAsia"/>
          <w:color w:val="000000"/>
          <w:sz w:val="24"/>
        </w:rPr>
        <w:t>本评价认为建设单位采取的地下水污染防治措施在技术上是可行的。本工程防渗分区及防渗措施见表6.2-3及附图6.2-2建设项目分区防渗简图。</w:t>
      </w:r>
    </w:p>
    <w:p w14:paraId="105613F0">
      <w:pPr>
        <w:jc w:val="center"/>
        <w:rPr>
          <w:b/>
          <w:bCs/>
          <w:color w:val="000000"/>
          <w:szCs w:val="21"/>
        </w:rPr>
      </w:pPr>
      <w:r>
        <w:rPr>
          <w:rFonts w:hint="eastAsia"/>
          <w:b/>
          <w:bCs/>
          <w:color w:val="000000"/>
          <w:szCs w:val="21"/>
        </w:rPr>
        <w:t>表6.2-3</w:t>
      </w:r>
      <w:r>
        <w:rPr>
          <w:b/>
          <w:bCs/>
          <w:color w:val="000000"/>
          <w:szCs w:val="21"/>
        </w:rPr>
        <w:t xml:space="preserve">    </w:t>
      </w:r>
      <w:r>
        <w:rPr>
          <w:rFonts w:hint="eastAsia"/>
          <w:b/>
          <w:bCs/>
          <w:color w:val="000000"/>
          <w:szCs w:val="21"/>
        </w:rPr>
        <w:t>厂区主要防渗区及防渗措施表</w:t>
      </w:r>
    </w:p>
    <w:tbl>
      <w:tblPr>
        <w:tblStyle w:val="49"/>
        <w:tblW w:w="4996" w:type="pct"/>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
      <w:tblGrid>
        <w:gridCol w:w="462"/>
        <w:gridCol w:w="888"/>
        <w:gridCol w:w="1557"/>
        <w:gridCol w:w="1162"/>
        <w:gridCol w:w="2958"/>
        <w:gridCol w:w="2254"/>
      </w:tblGrid>
      <w:tr w14:paraId="29468519">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249" w:type="pct"/>
            <w:tcBorders>
              <w:tl2br w:val="nil"/>
              <w:tr2bl w:val="nil"/>
            </w:tcBorders>
            <w:vAlign w:val="center"/>
          </w:tcPr>
          <w:p w14:paraId="51478E71">
            <w:pPr>
              <w:pStyle w:val="240"/>
              <w:rPr>
                <w:rFonts w:hint="default"/>
              </w:rPr>
            </w:pPr>
            <w:r>
              <w:rPr>
                <w:rFonts w:hint="default"/>
              </w:rPr>
              <w:t>序号</w:t>
            </w:r>
          </w:p>
        </w:tc>
        <w:tc>
          <w:tcPr>
            <w:tcW w:w="478" w:type="pct"/>
            <w:tcBorders>
              <w:tl2br w:val="nil"/>
              <w:tr2bl w:val="nil"/>
            </w:tcBorders>
            <w:vAlign w:val="center"/>
          </w:tcPr>
          <w:p w14:paraId="41305DFE">
            <w:pPr>
              <w:pStyle w:val="240"/>
              <w:rPr>
                <w:rFonts w:hint="default"/>
              </w:rPr>
            </w:pPr>
            <w:r>
              <w:rPr>
                <w:rFonts w:hint="default"/>
              </w:rPr>
              <w:t>防渗区类别</w:t>
            </w:r>
          </w:p>
        </w:tc>
        <w:tc>
          <w:tcPr>
            <w:tcW w:w="838" w:type="pct"/>
            <w:tcBorders>
              <w:tl2br w:val="nil"/>
              <w:tr2bl w:val="nil"/>
            </w:tcBorders>
            <w:vAlign w:val="center"/>
          </w:tcPr>
          <w:p w14:paraId="7792A40C">
            <w:pPr>
              <w:pStyle w:val="240"/>
              <w:rPr>
                <w:rFonts w:hint="default"/>
              </w:rPr>
            </w:pPr>
            <w:r>
              <w:rPr>
                <w:rFonts w:hint="default"/>
              </w:rPr>
              <w:t>名称</w:t>
            </w:r>
          </w:p>
        </w:tc>
        <w:tc>
          <w:tcPr>
            <w:tcW w:w="625" w:type="pct"/>
            <w:tcBorders>
              <w:tl2br w:val="nil"/>
              <w:tr2bl w:val="nil"/>
            </w:tcBorders>
            <w:vAlign w:val="center"/>
          </w:tcPr>
          <w:p w14:paraId="4FAC6B33">
            <w:pPr>
              <w:pStyle w:val="240"/>
              <w:rPr>
                <w:rFonts w:hint="default"/>
              </w:rPr>
            </w:pPr>
            <w:r>
              <w:rPr>
                <w:rFonts w:hint="default"/>
              </w:rPr>
              <w:t>防渗区域及部位</w:t>
            </w:r>
          </w:p>
        </w:tc>
        <w:tc>
          <w:tcPr>
            <w:tcW w:w="1593" w:type="pct"/>
            <w:tcBorders>
              <w:tl2br w:val="nil"/>
              <w:tr2bl w:val="nil"/>
            </w:tcBorders>
            <w:vAlign w:val="center"/>
          </w:tcPr>
          <w:p w14:paraId="249973B2">
            <w:pPr>
              <w:pStyle w:val="240"/>
              <w:rPr>
                <w:rFonts w:hint="default"/>
              </w:rPr>
            </w:pPr>
            <w:r>
              <w:rPr>
                <w:rFonts w:hint="default"/>
              </w:rPr>
              <w:t>防渗技术要求</w:t>
            </w:r>
          </w:p>
        </w:tc>
        <w:tc>
          <w:tcPr>
            <w:tcW w:w="1213" w:type="pct"/>
            <w:tcBorders>
              <w:tl2br w:val="nil"/>
              <w:tr2bl w:val="nil"/>
            </w:tcBorders>
            <w:vAlign w:val="center"/>
          </w:tcPr>
          <w:p w14:paraId="2DF84A48">
            <w:pPr>
              <w:pStyle w:val="240"/>
              <w:rPr>
                <w:rFonts w:hint="default"/>
              </w:rPr>
            </w:pPr>
            <w:r>
              <w:t>执行标准</w:t>
            </w:r>
          </w:p>
        </w:tc>
      </w:tr>
      <w:tr w14:paraId="401D2B23">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09" w:hRule="atLeast"/>
          <w:jc w:val="center"/>
        </w:trPr>
        <w:tc>
          <w:tcPr>
            <w:tcW w:w="249" w:type="pct"/>
            <w:tcBorders>
              <w:tl2br w:val="nil"/>
              <w:tr2bl w:val="nil"/>
            </w:tcBorders>
            <w:vAlign w:val="center"/>
          </w:tcPr>
          <w:p w14:paraId="116CDADD">
            <w:pPr>
              <w:pStyle w:val="240"/>
              <w:rPr>
                <w:rFonts w:hint="default"/>
              </w:rPr>
            </w:pPr>
            <w:r>
              <w:rPr>
                <w:rFonts w:hint="default"/>
              </w:rPr>
              <w:t>1</w:t>
            </w:r>
          </w:p>
        </w:tc>
        <w:tc>
          <w:tcPr>
            <w:tcW w:w="478" w:type="pct"/>
            <w:tcBorders>
              <w:tl2br w:val="nil"/>
              <w:tr2bl w:val="nil"/>
            </w:tcBorders>
            <w:vAlign w:val="center"/>
          </w:tcPr>
          <w:p w14:paraId="18150E67">
            <w:pPr>
              <w:pStyle w:val="240"/>
              <w:rPr>
                <w:rFonts w:hint="default"/>
              </w:rPr>
            </w:pPr>
            <w:r>
              <w:rPr>
                <w:rFonts w:hint="default"/>
              </w:rPr>
              <w:t>重点防渗区</w:t>
            </w:r>
          </w:p>
        </w:tc>
        <w:tc>
          <w:tcPr>
            <w:tcW w:w="838" w:type="pct"/>
            <w:tcBorders>
              <w:tl2br w:val="nil"/>
              <w:tr2bl w:val="nil"/>
            </w:tcBorders>
            <w:vAlign w:val="center"/>
          </w:tcPr>
          <w:p w14:paraId="7AD64F25">
            <w:pPr>
              <w:pStyle w:val="240"/>
              <w:rPr>
                <w:rFonts w:hint="default"/>
              </w:rPr>
            </w:pPr>
            <w:r>
              <w:rPr>
                <w:rFonts w:hint="default"/>
              </w:rPr>
              <w:t>危废</w:t>
            </w:r>
            <w:r>
              <w:t>贮存点</w:t>
            </w:r>
          </w:p>
        </w:tc>
        <w:tc>
          <w:tcPr>
            <w:tcW w:w="625" w:type="pct"/>
            <w:tcBorders>
              <w:tl2br w:val="nil"/>
              <w:tr2bl w:val="nil"/>
            </w:tcBorders>
            <w:vAlign w:val="center"/>
          </w:tcPr>
          <w:p w14:paraId="0AA73475">
            <w:pPr>
              <w:pStyle w:val="240"/>
              <w:rPr>
                <w:rFonts w:hint="default"/>
              </w:rPr>
            </w:pPr>
            <w:r>
              <w:t>地面</w:t>
            </w:r>
          </w:p>
        </w:tc>
        <w:tc>
          <w:tcPr>
            <w:tcW w:w="1593" w:type="pct"/>
            <w:tcBorders>
              <w:tl2br w:val="nil"/>
              <w:tr2bl w:val="nil"/>
            </w:tcBorders>
            <w:vAlign w:val="center"/>
          </w:tcPr>
          <w:p w14:paraId="4B942347">
            <w:pPr>
              <w:pStyle w:val="240"/>
              <w:rPr>
                <w:rFonts w:hint="default"/>
              </w:rPr>
            </w:pPr>
            <w:r>
              <w:rPr>
                <w:rFonts w:hint="default"/>
              </w:rPr>
              <w:t>基础防渗层为至少1m厚粘土层（渗透系数≤10-7cm/s），或2mm厚高密度聚乙烯，或至少2mm厚的其他人工材料，渗透系数≤10-10cm/s</w:t>
            </w:r>
          </w:p>
        </w:tc>
        <w:tc>
          <w:tcPr>
            <w:tcW w:w="1213" w:type="pct"/>
            <w:tcBorders>
              <w:tl2br w:val="nil"/>
              <w:tr2bl w:val="nil"/>
            </w:tcBorders>
            <w:vAlign w:val="center"/>
          </w:tcPr>
          <w:p w14:paraId="0D1A2C2B">
            <w:pPr>
              <w:pStyle w:val="240"/>
              <w:rPr>
                <w:rFonts w:hint="default"/>
              </w:rPr>
            </w:pPr>
            <w:r>
              <w:t>《危险废物贮存污染控制标准》（GB18597-2023）</w:t>
            </w:r>
          </w:p>
        </w:tc>
      </w:tr>
      <w:tr w14:paraId="713F1F26">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1197" w:hRule="atLeast"/>
          <w:jc w:val="center"/>
        </w:trPr>
        <w:tc>
          <w:tcPr>
            <w:tcW w:w="249" w:type="pct"/>
            <w:tcBorders>
              <w:tl2br w:val="nil"/>
              <w:tr2bl w:val="nil"/>
            </w:tcBorders>
            <w:vAlign w:val="center"/>
          </w:tcPr>
          <w:p w14:paraId="3A0CBC6D">
            <w:pPr>
              <w:pStyle w:val="240"/>
              <w:rPr>
                <w:rFonts w:hint="default"/>
              </w:rPr>
            </w:pPr>
            <w:r>
              <w:rPr>
                <w:rFonts w:hint="default"/>
              </w:rPr>
              <w:t>2</w:t>
            </w:r>
          </w:p>
        </w:tc>
        <w:tc>
          <w:tcPr>
            <w:tcW w:w="478" w:type="pct"/>
            <w:tcBorders>
              <w:tl2br w:val="nil"/>
              <w:tr2bl w:val="nil"/>
            </w:tcBorders>
            <w:vAlign w:val="center"/>
          </w:tcPr>
          <w:p w14:paraId="15A56BDB">
            <w:pPr>
              <w:pStyle w:val="240"/>
              <w:rPr>
                <w:rFonts w:hint="default"/>
              </w:rPr>
            </w:pPr>
            <w:r>
              <w:rPr>
                <w:rFonts w:hint="default"/>
              </w:rPr>
              <w:t>一般防渗区</w:t>
            </w:r>
          </w:p>
        </w:tc>
        <w:tc>
          <w:tcPr>
            <w:tcW w:w="838" w:type="pct"/>
            <w:tcBorders>
              <w:tl2br w:val="nil"/>
              <w:tr2bl w:val="nil"/>
            </w:tcBorders>
            <w:vAlign w:val="center"/>
          </w:tcPr>
          <w:p w14:paraId="06276443">
            <w:pPr>
              <w:pStyle w:val="240"/>
              <w:rPr>
                <w:rFonts w:hint="default"/>
              </w:rPr>
            </w:pPr>
            <w:r>
              <w:rPr>
                <w:rFonts w:hint="default"/>
              </w:rPr>
              <w:t>防渗化粪池</w:t>
            </w:r>
          </w:p>
        </w:tc>
        <w:tc>
          <w:tcPr>
            <w:tcW w:w="625" w:type="pct"/>
            <w:tcBorders>
              <w:tl2br w:val="nil"/>
              <w:tr2bl w:val="nil"/>
            </w:tcBorders>
            <w:vAlign w:val="center"/>
          </w:tcPr>
          <w:p w14:paraId="303E1E8E">
            <w:pPr>
              <w:pStyle w:val="240"/>
              <w:rPr>
                <w:rFonts w:hint="default"/>
              </w:rPr>
            </w:pPr>
            <w:r>
              <w:rPr>
                <w:rFonts w:hint="default"/>
              </w:rPr>
              <w:t>地面</w:t>
            </w:r>
          </w:p>
        </w:tc>
        <w:tc>
          <w:tcPr>
            <w:tcW w:w="1593" w:type="pct"/>
            <w:tcBorders>
              <w:tl2br w:val="nil"/>
              <w:tr2bl w:val="nil"/>
            </w:tcBorders>
            <w:vAlign w:val="center"/>
          </w:tcPr>
          <w:p w14:paraId="5A26FA9C">
            <w:pPr>
              <w:pStyle w:val="240"/>
              <w:rPr>
                <w:rFonts w:hint="default"/>
              </w:rPr>
            </w:pPr>
            <w:r>
              <w:t>场地内目前为混凝土地面；防渗性为防渗层Mb≥1.5m 、K≤</w:t>
            </w:r>
            <w:r>
              <w:rPr>
                <w:rFonts w:hint="default"/>
              </w:rPr>
              <w:t>1.0×10</w:t>
            </w:r>
            <w:r>
              <w:rPr>
                <w:rFonts w:hint="default"/>
                <w:vertAlign w:val="superscript"/>
              </w:rPr>
              <w:t>-7</w:t>
            </w:r>
            <w:r>
              <w:rPr>
                <w:rFonts w:hint="default"/>
              </w:rPr>
              <w:t>cm/s等</w:t>
            </w:r>
            <w:r>
              <w:t>效</w:t>
            </w:r>
          </w:p>
        </w:tc>
        <w:tc>
          <w:tcPr>
            <w:tcW w:w="1213" w:type="pct"/>
            <w:tcBorders>
              <w:tl2br w:val="nil"/>
              <w:tr2bl w:val="nil"/>
            </w:tcBorders>
            <w:vAlign w:val="center"/>
          </w:tcPr>
          <w:p w14:paraId="24692863">
            <w:pPr>
              <w:pStyle w:val="240"/>
              <w:rPr>
                <w:rFonts w:hint="default"/>
              </w:rPr>
            </w:pPr>
            <w:r>
              <w:rPr>
                <w:rFonts w:hint="default"/>
              </w:rPr>
              <w:t>《地下水污染源防渗技术指南（试行）》</w:t>
            </w:r>
          </w:p>
        </w:tc>
      </w:tr>
      <w:tr w14:paraId="5C995A82">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249" w:type="pct"/>
            <w:tcBorders>
              <w:tl2br w:val="nil"/>
              <w:tr2bl w:val="nil"/>
            </w:tcBorders>
            <w:vAlign w:val="center"/>
          </w:tcPr>
          <w:p w14:paraId="1D9AF60F">
            <w:pPr>
              <w:pStyle w:val="240"/>
              <w:rPr>
                <w:rFonts w:hint="default"/>
              </w:rPr>
            </w:pPr>
            <w:r>
              <w:rPr>
                <w:rFonts w:hint="default"/>
              </w:rPr>
              <w:t>3</w:t>
            </w:r>
          </w:p>
        </w:tc>
        <w:tc>
          <w:tcPr>
            <w:tcW w:w="478" w:type="pct"/>
            <w:tcBorders>
              <w:tl2br w:val="nil"/>
              <w:tr2bl w:val="nil"/>
            </w:tcBorders>
            <w:vAlign w:val="center"/>
          </w:tcPr>
          <w:p w14:paraId="5CDE5DA9">
            <w:pPr>
              <w:pStyle w:val="240"/>
              <w:rPr>
                <w:rFonts w:hint="default"/>
              </w:rPr>
            </w:pPr>
            <w:r>
              <w:rPr>
                <w:rFonts w:hint="default"/>
              </w:rPr>
              <w:t>简单防渗区</w:t>
            </w:r>
          </w:p>
        </w:tc>
        <w:tc>
          <w:tcPr>
            <w:tcW w:w="838" w:type="pct"/>
            <w:tcBorders>
              <w:tl2br w:val="nil"/>
              <w:tr2bl w:val="nil"/>
            </w:tcBorders>
            <w:vAlign w:val="center"/>
          </w:tcPr>
          <w:p w14:paraId="59BC0FC8">
            <w:pPr>
              <w:pStyle w:val="240"/>
              <w:rPr>
                <w:rFonts w:hint="default"/>
              </w:rPr>
            </w:pPr>
            <w:r>
              <w:t>生产车间、堆棚及其他</w:t>
            </w:r>
          </w:p>
        </w:tc>
        <w:tc>
          <w:tcPr>
            <w:tcW w:w="625" w:type="pct"/>
            <w:tcBorders>
              <w:tl2br w:val="nil"/>
              <w:tr2bl w:val="nil"/>
            </w:tcBorders>
            <w:vAlign w:val="center"/>
          </w:tcPr>
          <w:p w14:paraId="1EB6615F">
            <w:pPr>
              <w:pStyle w:val="240"/>
              <w:rPr>
                <w:rFonts w:hint="default"/>
              </w:rPr>
            </w:pPr>
            <w:r>
              <w:rPr>
                <w:rFonts w:hint="default"/>
              </w:rPr>
              <w:t>地面</w:t>
            </w:r>
          </w:p>
        </w:tc>
        <w:tc>
          <w:tcPr>
            <w:tcW w:w="1593" w:type="pct"/>
            <w:tcBorders>
              <w:tl2br w:val="nil"/>
              <w:tr2bl w:val="nil"/>
            </w:tcBorders>
            <w:vAlign w:val="center"/>
          </w:tcPr>
          <w:p w14:paraId="55C23AB3">
            <w:pPr>
              <w:pStyle w:val="240"/>
              <w:rPr>
                <w:rFonts w:hint="default"/>
              </w:rPr>
            </w:pPr>
            <w:r>
              <w:t>目前为</w:t>
            </w:r>
            <w:r>
              <w:rPr>
                <w:rFonts w:hint="default"/>
              </w:rPr>
              <w:t>一般地面硬化</w:t>
            </w:r>
          </w:p>
        </w:tc>
        <w:tc>
          <w:tcPr>
            <w:tcW w:w="1213" w:type="pct"/>
            <w:tcBorders>
              <w:tl2br w:val="nil"/>
              <w:tr2bl w:val="nil"/>
            </w:tcBorders>
            <w:vAlign w:val="center"/>
          </w:tcPr>
          <w:p w14:paraId="1752BFEB">
            <w:pPr>
              <w:pStyle w:val="240"/>
              <w:rPr>
                <w:rFonts w:hint="default"/>
              </w:rPr>
            </w:pPr>
            <w:r>
              <w:rPr>
                <w:rFonts w:hint="default"/>
              </w:rPr>
              <w:t>《地下水污染源防渗技术指南（试行）》</w:t>
            </w:r>
          </w:p>
        </w:tc>
      </w:tr>
    </w:tbl>
    <w:p w14:paraId="023219A7">
      <w:pPr>
        <w:spacing w:line="360" w:lineRule="auto"/>
        <w:ind w:firstLine="480"/>
        <w:rPr>
          <w:color w:val="000000"/>
          <w:sz w:val="24"/>
        </w:rPr>
      </w:pPr>
      <w:r>
        <w:rPr>
          <w:rFonts w:hint="eastAsia"/>
          <w:color w:val="000000"/>
          <w:sz w:val="24"/>
        </w:rPr>
        <w:t>本工程重点防渗区和一般防渗区在采取上述防渗措施后，具有较好的防渗效果，所以从垂向入渗途径分析，本工程对项目区及周围地下水环境质量造成污染的可能性较小。</w:t>
      </w:r>
    </w:p>
    <w:p w14:paraId="570EC8C6">
      <w:pPr>
        <w:pStyle w:val="5"/>
        <w:rPr>
          <w:color w:val="000000"/>
        </w:rPr>
      </w:pPr>
      <w:bookmarkStart w:id="384" w:name="_Toc17358"/>
      <w:bookmarkStart w:id="385" w:name="_Toc14131"/>
      <w:bookmarkStart w:id="386" w:name="_Toc27453"/>
      <w:bookmarkStart w:id="387" w:name="_Toc471765712"/>
      <w:bookmarkStart w:id="388" w:name="_Toc5181"/>
      <w:r>
        <w:rPr>
          <w:rFonts w:hint="eastAsia"/>
          <w:color w:val="000000"/>
          <w:lang w:val="en-US"/>
        </w:rPr>
        <w:t>6</w:t>
      </w:r>
      <w:r>
        <w:rPr>
          <w:color w:val="000000"/>
        </w:rPr>
        <w:t>.</w:t>
      </w:r>
      <w:r>
        <w:rPr>
          <w:rFonts w:hint="eastAsia"/>
          <w:color w:val="000000"/>
          <w:lang w:val="en-US"/>
        </w:rPr>
        <w:t>2</w:t>
      </w:r>
      <w:r>
        <w:rPr>
          <w:color w:val="000000"/>
        </w:rPr>
        <w:t>.2.</w:t>
      </w:r>
      <w:r>
        <w:rPr>
          <w:rFonts w:hint="eastAsia"/>
          <w:color w:val="000000"/>
          <w:lang w:val="en-US"/>
        </w:rPr>
        <w:t>4</w:t>
      </w:r>
      <w:r>
        <w:rPr>
          <w:rFonts w:hint="eastAsia"/>
          <w:color w:val="000000"/>
        </w:rPr>
        <w:t>水污染防治措施经济可行性分析</w:t>
      </w:r>
      <w:bookmarkEnd w:id="384"/>
      <w:bookmarkEnd w:id="385"/>
      <w:bookmarkEnd w:id="386"/>
      <w:bookmarkEnd w:id="387"/>
      <w:bookmarkEnd w:id="388"/>
    </w:p>
    <w:p w14:paraId="6D393B1B">
      <w:pPr>
        <w:spacing w:line="360" w:lineRule="auto"/>
        <w:ind w:firstLine="480" w:firstLineChars="200"/>
        <w:rPr>
          <w:color w:val="000000"/>
          <w:sz w:val="24"/>
        </w:rPr>
      </w:pPr>
      <w:r>
        <w:rPr>
          <w:rFonts w:hint="eastAsia"/>
          <w:color w:val="000000"/>
          <w:sz w:val="24"/>
        </w:rPr>
        <w:t>废水治理措施的投资情况详见表6.2-4。</w:t>
      </w:r>
    </w:p>
    <w:p w14:paraId="479D7039">
      <w:pPr>
        <w:jc w:val="center"/>
        <w:rPr>
          <w:b/>
          <w:bCs/>
          <w:color w:val="000000"/>
          <w:szCs w:val="21"/>
        </w:rPr>
      </w:pPr>
      <w:r>
        <w:rPr>
          <w:rFonts w:hint="eastAsia"/>
          <w:b/>
          <w:bCs/>
          <w:color w:val="000000"/>
          <w:szCs w:val="21"/>
        </w:rPr>
        <w:t>表6.2-4</w:t>
      </w:r>
      <w:r>
        <w:rPr>
          <w:b/>
          <w:bCs/>
          <w:color w:val="000000"/>
          <w:szCs w:val="21"/>
        </w:rPr>
        <w:t xml:space="preserve">    </w:t>
      </w:r>
      <w:r>
        <w:rPr>
          <w:rFonts w:hint="eastAsia"/>
          <w:b/>
          <w:bCs/>
          <w:color w:val="000000"/>
          <w:szCs w:val="21"/>
        </w:rPr>
        <w:t>废水治理措施投资</w:t>
      </w:r>
    </w:p>
    <w:tbl>
      <w:tblPr>
        <w:tblStyle w:val="49"/>
        <w:tblW w:w="4951" w:type="pct"/>
        <w:jc w:val="center"/>
        <w:tblBorders>
          <w:top w:val="single" w:color="auto" w:sz="12" w:space="0"/>
          <w:left w:val="single" w:color="auto" w:sz="12" w:space="0"/>
          <w:bottom w:val="single" w:color="auto" w:sz="12" w:space="0"/>
          <w:right w:val="single" w:color="auto" w:sz="12" w:space="0"/>
          <w:insideH w:val="single" w:color="auto" w:sz="2" w:space="0"/>
          <w:insideV w:val="single" w:color="auto" w:sz="6" w:space="0"/>
        </w:tblBorders>
        <w:tblLayout w:type="fixed"/>
        <w:tblCellMar>
          <w:top w:w="0" w:type="dxa"/>
          <w:left w:w="108" w:type="dxa"/>
          <w:bottom w:w="0" w:type="dxa"/>
          <w:right w:w="108" w:type="dxa"/>
        </w:tblCellMar>
      </w:tblPr>
      <w:tblGrid>
        <w:gridCol w:w="1023"/>
        <w:gridCol w:w="2685"/>
        <w:gridCol w:w="2716"/>
        <w:gridCol w:w="2774"/>
      </w:tblGrid>
      <w:tr w14:paraId="592F1367">
        <w:tblPrEx>
          <w:tblBorders>
            <w:top w:val="single" w:color="auto" w:sz="12" w:space="0"/>
            <w:left w:val="single" w:color="auto" w:sz="12" w:space="0"/>
            <w:bottom w:val="single" w:color="auto" w:sz="12" w:space="0"/>
            <w:right w:val="single" w:color="auto" w:sz="12" w:space="0"/>
            <w:insideH w:val="single" w:color="auto" w:sz="2" w:space="0"/>
            <w:insideV w:val="single" w:color="auto" w:sz="6" w:space="0"/>
          </w:tblBorders>
          <w:tblCellMar>
            <w:top w:w="0" w:type="dxa"/>
            <w:left w:w="108" w:type="dxa"/>
            <w:bottom w:w="0" w:type="dxa"/>
            <w:right w:w="108" w:type="dxa"/>
          </w:tblCellMar>
        </w:tblPrEx>
        <w:trPr>
          <w:trHeight w:val="286" w:hRule="atLeast"/>
          <w:jc w:val="center"/>
        </w:trPr>
        <w:tc>
          <w:tcPr>
            <w:tcW w:w="1023" w:type="dxa"/>
            <w:tcBorders>
              <w:tl2br w:val="nil"/>
              <w:tr2bl w:val="nil"/>
            </w:tcBorders>
            <w:vAlign w:val="center"/>
          </w:tcPr>
          <w:p w14:paraId="7DE70675">
            <w:pPr>
              <w:pStyle w:val="240"/>
              <w:rPr>
                <w:rFonts w:hint="default"/>
              </w:rPr>
            </w:pPr>
            <w:r>
              <w:t>序号</w:t>
            </w:r>
          </w:p>
        </w:tc>
        <w:tc>
          <w:tcPr>
            <w:tcW w:w="2685" w:type="dxa"/>
            <w:tcBorders>
              <w:tl2br w:val="nil"/>
              <w:tr2bl w:val="nil"/>
            </w:tcBorders>
            <w:vAlign w:val="center"/>
          </w:tcPr>
          <w:p w14:paraId="22EFA8D9">
            <w:pPr>
              <w:pStyle w:val="240"/>
              <w:rPr>
                <w:rFonts w:hint="default"/>
              </w:rPr>
            </w:pPr>
            <w:r>
              <w:t>污染源</w:t>
            </w:r>
          </w:p>
        </w:tc>
        <w:tc>
          <w:tcPr>
            <w:tcW w:w="2716" w:type="dxa"/>
            <w:tcBorders>
              <w:tl2br w:val="nil"/>
              <w:tr2bl w:val="nil"/>
            </w:tcBorders>
            <w:vAlign w:val="center"/>
          </w:tcPr>
          <w:p w14:paraId="5F2D4780">
            <w:pPr>
              <w:pStyle w:val="240"/>
              <w:rPr>
                <w:rFonts w:hint="default"/>
              </w:rPr>
            </w:pPr>
            <w:r>
              <w:t>治理措施</w:t>
            </w:r>
          </w:p>
        </w:tc>
        <w:tc>
          <w:tcPr>
            <w:tcW w:w="2774" w:type="dxa"/>
            <w:tcBorders>
              <w:tl2br w:val="nil"/>
              <w:tr2bl w:val="nil"/>
            </w:tcBorders>
            <w:vAlign w:val="center"/>
          </w:tcPr>
          <w:p w14:paraId="671CDBF4">
            <w:pPr>
              <w:pStyle w:val="240"/>
              <w:rPr>
                <w:rFonts w:hint="default"/>
              </w:rPr>
            </w:pPr>
            <w:r>
              <w:t>投资（万元）</w:t>
            </w:r>
          </w:p>
        </w:tc>
      </w:tr>
      <w:tr w14:paraId="0CDDE3A1">
        <w:tblPrEx>
          <w:tblBorders>
            <w:top w:val="single" w:color="auto" w:sz="12" w:space="0"/>
            <w:left w:val="single" w:color="auto" w:sz="12" w:space="0"/>
            <w:bottom w:val="single" w:color="auto" w:sz="12" w:space="0"/>
            <w:right w:val="single" w:color="auto" w:sz="12" w:space="0"/>
            <w:insideH w:val="single" w:color="auto" w:sz="2" w:space="0"/>
            <w:insideV w:val="single" w:color="auto" w:sz="6" w:space="0"/>
          </w:tblBorders>
          <w:tblCellMar>
            <w:top w:w="0" w:type="dxa"/>
            <w:left w:w="108" w:type="dxa"/>
            <w:bottom w:w="0" w:type="dxa"/>
            <w:right w:w="108" w:type="dxa"/>
          </w:tblCellMar>
        </w:tblPrEx>
        <w:trPr>
          <w:trHeight w:val="275" w:hRule="atLeast"/>
          <w:jc w:val="center"/>
        </w:trPr>
        <w:tc>
          <w:tcPr>
            <w:tcW w:w="1023" w:type="dxa"/>
            <w:tcBorders>
              <w:tl2br w:val="nil"/>
              <w:tr2bl w:val="nil"/>
            </w:tcBorders>
            <w:vAlign w:val="center"/>
          </w:tcPr>
          <w:p w14:paraId="0A5C5AE8">
            <w:pPr>
              <w:pStyle w:val="240"/>
              <w:rPr>
                <w:rFonts w:hint="default"/>
              </w:rPr>
            </w:pPr>
            <w:r>
              <w:t>1</w:t>
            </w:r>
          </w:p>
        </w:tc>
        <w:tc>
          <w:tcPr>
            <w:tcW w:w="2685" w:type="dxa"/>
            <w:tcBorders>
              <w:tl2br w:val="nil"/>
              <w:tr2bl w:val="nil"/>
            </w:tcBorders>
            <w:vAlign w:val="center"/>
          </w:tcPr>
          <w:p w14:paraId="14182844">
            <w:pPr>
              <w:pStyle w:val="240"/>
              <w:rPr>
                <w:rFonts w:hint="default"/>
              </w:rPr>
            </w:pPr>
            <w:r>
              <w:t>生活污水</w:t>
            </w:r>
          </w:p>
        </w:tc>
        <w:tc>
          <w:tcPr>
            <w:tcW w:w="2716" w:type="dxa"/>
            <w:tcBorders>
              <w:tl2br w:val="nil"/>
              <w:tr2bl w:val="nil"/>
            </w:tcBorders>
            <w:vAlign w:val="center"/>
          </w:tcPr>
          <w:p w14:paraId="7DCD62BA">
            <w:pPr>
              <w:pStyle w:val="240"/>
              <w:rPr>
                <w:rFonts w:hint="default" w:eastAsia="宋体"/>
                <w:lang w:val="en-US" w:eastAsia="zh-CN"/>
              </w:rPr>
            </w:pPr>
            <w:r>
              <w:rPr>
                <w:rFonts w:hint="eastAsia"/>
                <w:lang w:val="en-US" w:eastAsia="zh-CN"/>
              </w:rPr>
              <w:t>10</w:t>
            </w:r>
            <w:r>
              <w:t>m</w:t>
            </w:r>
            <w:r>
              <w:rPr>
                <w:sz w:val="21"/>
                <w:szCs w:val="21"/>
                <w:vertAlign w:val="superscript"/>
              </w:rPr>
              <w:t>3</w:t>
            </w:r>
            <w:r>
              <w:rPr>
                <w:rFonts w:hint="eastAsia"/>
                <w:sz w:val="21"/>
                <w:szCs w:val="21"/>
                <w:vertAlign w:val="baseline"/>
                <w:lang w:val="en-US" w:eastAsia="zh-CN"/>
              </w:rPr>
              <w:t xml:space="preserve">防渗化粪池 </w:t>
            </w:r>
          </w:p>
        </w:tc>
        <w:tc>
          <w:tcPr>
            <w:tcW w:w="2774" w:type="dxa"/>
            <w:tcBorders>
              <w:tl2br w:val="nil"/>
              <w:tr2bl w:val="nil"/>
            </w:tcBorders>
            <w:vAlign w:val="center"/>
          </w:tcPr>
          <w:p w14:paraId="4B5166B4">
            <w:pPr>
              <w:pStyle w:val="240"/>
              <w:rPr>
                <w:rFonts w:hint="default"/>
              </w:rPr>
            </w:pPr>
            <w:r>
              <w:rPr>
                <w:rFonts w:hint="eastAsia" w:ascii="宋体" w:hAnsi="宋体" w:cs="宋体"/>
                <w:sz w:val="21"/>
                <w:szCs w:val="21"/>
                <w:lang w:eastAsia="zh-CN"/>
              </w:rPr>
              <w:t>定期</w:t>
            </w:r>
            <w:r>
              <w:rPr>
                <w:rFonts w:hint="eastAsia" w:ascii="宋体" w:hAnsi="宋体" w:cs="宋体"/>
                <w:sz w:val="21"/>
                <w:szCs w:val="21"/>
                <w:lang w:val="en-US" w:eastAsia="zh-CN"/>
              </w:rPr>
              <w:t>由库尔勒龙润水处理有限公司采用罐车</w:t>
            </w:r>
            <w:r>
              <w:rPr>
                <w:rFonts w:hint="eastAsia" w:ascii="宋体" w:hAnsi="宋体" w:cs="宋体"/>
                <w:sz w:val="21"/>
                <w:szCs w:val="21"/>
                <w:lang w:eastAsia="zh-CN"/>
              </w:rPr>
              <w:t>拉运至</w:t>
            </w:r>
            <w:r>
              <w:rPr>
                <w:rFonts w:hint="eastAsia" w:ascii="宋体" w:hAnsi="宋体" w:cs="宋体"/>
                <w:sz w:val="21"/>
                <w:szCs w:val="21"/>
                <w:lang w:val="en-US" w:eastAsia="zh-CN"/>
              </w:rPr>
              <w:t>库尔勒南市区</w:t>
            </w:r>
            <w:r>
              <w:rPr>
                <w:rFonts w:hint="eastAsia" w:ascii="宋体" w:hAnsi="宋体" w:cs="宋体"/>
                <w:sz w:val="21"/>
                <w:szCs w:val="21"/>
                <w:lang w:eastAsia="zh-CN"/>
              </w:rPr>
              <w:t>污水处理</w:t>
            </w:r>
            <w:r>
              <w:rPr>
                <w:rFonts w:hint="eastAsia" w:ascii="宋体" w:hAnsi="宋体" w:cs="宋体"/>
                <w:sz w:val="21"/>
                <w:szCs w:val="21"/>
                <w:lang w:val="en-US" w:eastAsia="zh-CN"/>
              </w:rPr>
              <w:t>厂</w:t>
            </w:r>
          </w:p>
        </w:tc>
      </w:tr>
      <w:tr w14:paraId="0812D8AD">
        <w:tblPrEx>
          <w:tblBorders>
            <w:top w:val="single" w:color="auto" w:sz="12" w:space="0"/>
            <w:left w:val="single" w:color="auto" w:sz="12" w:space="0"/>
            <w:bottom w:val="single" w:color="auto" w:sz="12" w:space="0"/>
            <w:right w:val="single" w:color="auto" w:sz="12" w:space="0"/>
            <w:insideH w:val="single" w:color="auto" w:sz="2" w:space="0"/>
            <w:insideV w:val="single" w:color="auto" w:sz="6" w:space="0"/>
          </w:tblBorders>
          <w:tblCellMar>
            <w:top w:w="0" w:type="dxa"/>
            <w:left w:w="108" w:type="dxa"/>
            <w:bottom w:w="0" w:type="dxa"/>
            <w:right w:w="108" w:type="dxa"/>
          </w:tblCellMar>
        </w:tblPrEx>
        <w:trPr>
          <w:trHeight w:val="292" w:hRule="atLeast"/>
          <w:jc w:val="center"/>
        </w:trPr>
        <w:tc>
          <w:tcPr>
            <w:tcW w:w="6424" w:type="dxa"/>
            <w:gridSpan w:val="3"/>
            <w:tcBorders>
              <w:tl2br w:val="nil"/>
              <w:tr2bl w:val="nil"/>
            </w:tcBorders>
            <w:vAlign w:val="center"/>
          </w:tcPr>
          <w:p w14:paraId="3A252FB3">
            <w:pPr>
              <w:pStyle w:val="240"/>
              <w:rPr>
                <w:rFonts w:hint="default"/>
              </w:rPr>
            </w:pPr>
            <w:r>
              <w:t>合计</w:t>
            </w:r>
          </w:p>
        </w:tc>
        <w:tc>
          <w:tcPr>
            <w:tcW w:w="2774" w:type="dxa"/>
            <w:tcBorders>
              <w:tl2br w:val="nil"/>
              <w:tr2bl w:val="nil"/>
            </w:tcBorders>
            <w:vAlign w:val="center"/>
          </w:tcPr>
          <w:p w14:paraId="3FA3C03E">
            <w:pPr>
              <w:pStyle w:val="240"/>
              <w:rPr>
                <w:rFonts w:hint="default" w:eastAsia="宋体"/>
                <w:lang w:val="en-US" w:eastAsia="zh-CN"/>
              </w:rPr>
            </w:pPr>
            <w:r>
              <w:rPr>
                <w:rFonts w:hint="eastAsia"/>
                <w:lang w:val="en-US" w:eastAsia="zh-CN"/>
              </w:rPr>
              <w:t>0.2</w:t>
            </w:r>
          </w:p>
        </w:tc>
      </w:tr>
    </w:tbl>
    <w:p w14:paraId="560F29A1">
      <w:pPr>
        <w:spacing w:line="360" w:lineRule="auto"/>
        <w:ind w:firstLine="480" w:firstLineChars="200"/>
        <w:rPr>
          <w:rFonts w:hint="eastAsia"/>
          <w:sz w:val="24"/>
          <w:szCs w:val="24"/>
        </w:rPr>
      </w:pPr>
      <w:r>
        <w:rPr>
          <w:rFonts w:hint="eastAsia"/>
          <w:sz w:val="24"/>
          <w:szCs w:val="24"/>
        </w:rPr>
        <w:t>本项目废水治理措施投资共计约</w:t>
      </w:r>
      <w:r>
        <w:rPr>
          <w:rFonts w:hint="eastAsia"/>
          <w:sz w:val="24"/>
          <w:szCs w:val="24"/>
          <w:lang w:val="en-US" w:eastAsia="zh-CN"/>
        </w:rPr>
        <w:t>0.2</w:t>
      </w:r>
      <w:r>
        <w:rPr>
          <w:rFonts w:hint="eastAsia"/>
          <w:sz w:val="24"/>
          <w:szCs w:val="24"/>
        </w:rPr>
        <w:t>万元，占整个工程投资的比例较低，约为0.</w:t>
      </w:r>
      <w:r>
        <w:rPr>
          <w:rFonts w:hint="eastAsia"/>
          <w:sz w:val="24"/>
          <w:szCs w:val="24"/>
          <w:lang w:val="en-US" w:eastAsia="zh-CN"/>
        </w:rPr>
        <w:t>04</w:t>
      </w:r>
      <w:r>
        <w:rPr>
          <w:rFonts w:hint="eastAsia"/>
          <w:sz w:val="24"/>
          <w:szCs w:val="24"/>
        </w:rPr>
        <w:t>%。</w:t>
      </w:r>
    </w:p>
    <w:p w14:paraId="637261B8">
      <w:pPr>
        <w:pStyle w:val="5"/>
        <w:rPr>
          <w:rFonts w:hint="eastAsia" w:eastAsia="宋体"/>
          <w:color w:val="000000"/>
          <w:lang w:val="en-US"/>
        </w:rPr>
      </w:pPr>
      <w:r>
        <w:rPr>
          <w:rFonts w:hint="eastAsia" w:eastAsia="宋体"/>
          <w:color w:val="000000"/>
          <w:lang w:val="en-US" w:eastAsia="zh-CN"/>
        </w:rPr>
        <w:t>6.2.2.5</w:t>
      </w:r>
      <w:r>
        <w:rPr>
          <w:rFonts w:hint="eastAsia" w:eastAsia="宋体"/>
          <w:color w:val="000000"/>
          <w:lang w:val="en-US"/>
        </w:rPr>
        <w:t>生活污水处理设施依托可行性</w:t>
      </w:r>
    </w:p>
    <w:p w14:paraId="7C8251F4">
      <w:pPr>
        <w:spacing w:line="360" w:lineRule="auto"/>
        <w:ind w:firstLine="480" w:firstLineChars="200"/>
        <w:rPr>
          <w:rFonts w:hint="default"/>
          <w:sz w:val="24"/>
          <w:szCs w:val="24"/>
          <w:lang w:val="en-US" w:eastAsia="zh-CN"/>
        </w:rPr>
      </w:pPr>
      <w:r>
        <w:rPr>
          <w:rFonts w:hint="default"/>
          <w:sz w:val="24"/>
          <w:szCs w:val="24"/>
          <w:lang w:val="en-US" w:eastAsia="zh-CN"/>
        </w:rPr>
        <w:t>本项目产生的废水为生活污水，</w:t>
      </w:r>
      <w:r>
        <w:rPr>
          <w:rFonts w:hint="eastAsia"/>
          <w:sz w:val="24"/>
          <w:szCs w:val="24"/>
          <w:lang w:val="en-US" w:eastAsia="zh-CN"/>
        </w:rPr>
        <w:t>排入</w:t>
      </w:r>
      <w:r>
        <w:rPr>
          <w:rFonts w:hint="eastAsia" w:ascii="宋体" w:hAnsi="宋体"/>
          <w:sz w:val="24"/>
          <w:szCs w:val="24"/>
          <w:lang w:val="en-US" w:eastAsia="zh-CN"/>
        </w:rPr>
        <w:t>10</w:t>
      </w:r>
      <w:r>
        <w:rPr>
          <w:rFonts w:ascii="宋体" w:hAnsi="宋体"/>
          <w:sz w:val="24"/>
          <w:szCs w:val="24"/>
        </w:rPr>
        <w:t>m</w:t>
      </w:r>
      <w:r>
        <w:rPr>
          <w:rFonts w:ascii="宋体" w:hAnsi="宋体"/>
          <w:sz w:val="24"/>
          <w:szCs w:val="24"/>
          <w:vertAlign w:val="superscript"/>
        </w:rPr>
        <w:t>3</w:t>
      </w:r>
      <w:r>
        <w:rPr>
          <w:rFonts w:hint="eastAsia" w:ascii="宋体" w:hAnsi="宋体"/>
          <w:sz w:val="24"/>
          <w:szCs w:val="24"/>
          <w:lang w:val="en-US" w:eastAsia="zh-CN"/>
        </w:rPr>
        <w:t>防渗化粪池</w:t>
      </w:r>
      <w:r>
        <w:rPr>
          <w:rFonts w:hint="eastAsia" w:ascii="宋体" w:hAnsi="宋体"/>
          <w:sz w:val="24"/>
          <w:szCs w:val="24"/>
          <w:lang w:eastAsia="zh-CN"/>
        </w:rPr>
        <w:t>，定期由库尔勒龙润水处理有限公司采用罐车拉运至库尔勒南市区污水处理厂</w:t>
      </w:r>
      <w:r>
        <w:rPr>
          <w:rFonts w:hint="default"/>
          <w:sz w:val="24"/>
          <w:szCs w:val="24"/>
          <w:lang w:val="en-US" w:eastAsia="zh-CN"/>
        </w:rPr>
        <w:t>。</w:t>
      </w:r>
    </w:p>
    <w:p w14:paraId="54737985">
      <w:pPr>
        <w:spacing w:line="360" w:lineRule="auto"/>
        <w:ind w:firstLine="480" w:firstLineChars="200"/>
        <w:rPr>
          <w:rFonts w:hint="default"/>
          <w:sz w:val="24"/>
          <w:szCs w:val="24"/>
          <w:lang w:val="en-US" w:eastAsia="zh-CN"/>
        </w:rPr>
      </w:pPr>
      <w:r>
        <w:rPr>
          <w:rFonts w:hint="default"/>
          <w:sz w:val="24"/>
          <w:szCs w:val="24"/>
          <w:lang w:val="en-US" w:eastAsia="zh-CN"/>
        </w:rPr>
        <w:t>库尔勒市南市区污水处理厂于2021年3月取得巴州生态环境局出具的批复(巴环评价函</w:t>
      </w:r>
      <w:r>
        <w:rPr>
          <w:rFonts w:hint="eastAsia"/>
          <w:sz w:val="24"/>
          <w:szCs w:val="24"/>
          <w:lang w:val="en-US" w:eastAsia="zh-CN"/>
        </w:rPr>
        <w:t>〔2021〕62号</w:t>
      </w:r>
      <w:r>
        <w:rPr>
          <w:rFonts w:hint="default"/>
          <w:sz w:val="24"/>
          <w:szCs w:val="24"/>
          <w:lang w:val="en-US" w:eastAsia="zh-CN"/>
        </w:rPr>
        <w:t>)，并于2021年10月通过自主验收。</w:t>
      </w:r>
    </w:p>
    <w:p w14:paraId="50911B92">
      <w:pPr>
        <w:spacing w:line="360" w:lineRule="auto"/>
        <w:ind w:firstLine="480" w:firstLineChars="200"/>
        <w:rPr>
          <w:rFonts w:hint="default"/>
          <w:sz w:val="24"/>
          <w:szCs w:val="24"/>
          <w:lang w:val="en-US" w:eastAsia="zh-CN"/>
        </w:rPr>
      </w:pPr>
      <w:r>
        <w:rPr>
          <w:rFonts w:hint="default"/>
          <w:sz w:val="24"/>
          <w:szCs w:val="24"/>
          <w:lang w:val="en-US" w:eastAsia="zh-CN"/>
        </w:rPr>
        <w:t>库尔勒市南市区污水处理厂采用“AAO+传统深度处理工艺+消毒”组合工艺。区域生活污水达到《污水综合排放标准》（GB8978-1996）中要求的三级标准要求后方可排入该污水厂污水管道，处理后的废水达到《城镇污水处理厂污染物排放标准》（GB18918-2002）一级A标准和《城市污水再生利用 绿地灌水质》(GB/T25499-2010)相关标准限值后冬储夏灌。</w:t>
      </w:r>
    </w:p>
    <w:p w14:paraId="538275DA">
      <w:pPr>
        <w:spacing w:line="360" w:lineRule="auto"/>
        <w:ind w:firstLine="480" w:firstLineChars="200"/>
        <w:rPr>
          <w:rFonts w:hint="default"/>
          <w:sz w:val="24"/>
          <w:szCs w:val="24"/>
          <w:lang w:val="en-US" w:eastAsia="zh-CN"/>
        </w:rPr>
      </w:pPr>
      <w:r>
        <w:rPr>
          <w:rFonts w:hint="default"/>
          <w:sz w:val="24"/>
          <w:szCs w:val="24"/>
          <w:lang w:val="en-US" w:eastAsia="zh-CN"/>
        </w:rPr>
        <w:t>库尔勒市南市区污水处理厂处理规模为10万m</w:t>
      </w:r>
      <w:r>
        <w:rPr>
          <w:rFonts w:hint="default"/>
          <w:sz w:val="24"/>
          <w:szCs w:val="24"/>
          <w:vertAlign w:val="superscript"/>
          <w:lang w:val="en-US" w:eastAsia="zh-CN"/>
        </w:rPr>
        <w:t>3</w:t>
      </w:r>
      <w:r>
        <w:rPr>
          <w:rFonts w:hint="default"/>
          <w:sz w:val="24"/>
          <w:szCs w:val="24"/>
          <w:lang w:val="en-US" w:eastAsia="zh-CN"/>
        </w:rPr>
        <w:t>/d，目前该污水厂处理量为6.8</w:t>
      </w:r>
      <w:r>
        <w:rPr>
          <w:rFonts w:hint="eastAsia"/>
          <w:sz w:val="24"/>
          <w:szCs w:val="24"/>
          <w:lang w:val="en-US" w:eastAsia="zh-CN"/>
        </w:rPr>
        <w:t>5</w:t>
      </w:r>
      <w:r>
        <w:rPr>
          <w:rFonts w:hint="default"/>
          <w:sz w:val="24"/>
          <w:szCs w:val="24"/>
          <w:lang w:val="en-US" w:eastAsia="zh-CN"/>
        </w:rPr>
        <w:t>万m</w:t>
      </w:r>
      <w:r>
        <w:rPr>
          <w:rFonts w:hint="default"/>
          <w:sz w:val="24"/>
          <w:szCs w:val="24"/>
          <w:vertAlign w:val="superscript"/>
          <w:lang w:val="en-US" w:eastAsia="zh-CN"/>
        </w:rPr>
        <w:t>3</w:t>
      </w:r>
      <w:r>
        <w:rPr>
          <w:rFonts w:hint="default"/>
          <w:sz w:val="24"/>
          <w:szCs w:val="24"/>
          <w:lang w:val="en-US" w:eastAsia="zh-CN"/>
        </w:rPr>
        <w:t>/d，富余处理能力较大，可满足本工程生活污水处理需求</w:t>
      </w:r>
    </w:p>
    <w:p w14:paraId="1EBCFBF4">
      <w:pPr>
        <w:pStyle w:val="4"/>
        <w:autoSpaceDE w:val="0"/>
        <w:autoSpaceDN w:val="0"/>
        <w:spacing w:before="0" w:after="0" w:line="360" w:lineRule="auto"/>
        <w:jc w:val="left"/>
        <w:rPr>
          <w:kern w:val="0"/>
          <w:sz w:val="24"/>
          <w:lang w:bidi="zh-CN"/>
        </w:rPr>
      </w:pPr>
      <w:r>
        <w:rPr>
          <w:rFonts w:hint="eastAsia"/>
          <w:kern w:val="0"/>
          <w:sz w:val="24"/>
          <w:lang w:val="en-US" w:bidi="zh-CN"/>
        </w:rPr>
        <w:t>6</w:t>
      </w:r>
      <w:r>
        <w:rPr>
          <w:rFonts w:hint="eastAsia"/>
          <w:kern w:val="0"/>
          <w:sz w:val="24"/>
          <w:lang w:bidi="zh-CN"/>
        </w:rPr>
        <w:t>.</w:t>
      </w:r>
      <w:r>
        <w:rPr>
          <w:rFonts w:hint="eastAsia"/>
          <w:kern w:val="0"/>
          <w:sz w:val="24"/>
          <w:lang w:val="en-US" w:bidi="zh-CN"/>
        </w:rPr>
        <w:t>2.</w:t>
      </w:r>
      <w:r>
        <w:rPr>
          <w:rFonts w:hint="eastAsia"/>
          <w:kern w:val="0"/>
          <w:sz w:val="24"/>
          <w:lang w:bidi="zh-CN"/>
        </w:rPr>
        <w:t>3噪声防治措施及其可行性分析</w:t>
      </w:r>
    </w:p>
    <w:p w14:paraId="531A79C9">
      <w:pPr>
        <w:spacing w:line="360" w:lineRule="auto"/>
        <w:ind w:firstLine="480" w:firstLineChars="200"/>
        <w:rPr>
          <w:color w:val="000000"/>
          <w:sz w:val="24"/>
        </w:rPr>
      </w:pPr>
      <w:r>
        <w:rPr>
          <w:rFonts w:hint="eastAsia"/>
          <w:color w:val="000000"/>
          <w:sz w:val="24"/>
        </w:rPr>
        <w:t>本项目采取三种途径控制噪声的传播途径：其一是降低声源噪声；其二是在传播途径中降低噪声；其三是对接受者加强防护。具体防治措施如下：</w:t>
      </w:r>
    </w:p>
    <w:p w14:paraId="39BEEC10">
      <w:pPr>
        <w:numPr>
          <w:ilvl w:val="0"/>
          <w:numId w:val="8"/>
        </w:numPr>
        <w:spacing w:line="360" w:lineRule="auto"/>
        <w:ind w:left="420" w:leftChars="200"/>
        <w:rPr>
          <w:color w:val="000000"/>
          <w:sz w:val="24"/>
        </w:rPr>
      </w:pPr>
      <w:r>
        <w:rPr>
          <w:rFonts w:hint="eastAsia"/>
          <w:color w:val="000000"/>
          <w:sz w:val="24"/>
        </w:rPr>
        <w:t xml:space="preserve">在满足生产要求的前提下，选用低噪声设备，从根本上降低噪声源强； </w:t>
      </w:r>
    </w:p>
    <w:p w14:paraId="6C72E5B2">
      <w:pPr>
        <w:spacing w:line="360" w:lineRule="auto"/>
        <w:ind w:firstLine="480" w:firstLineChars="200"/>
        <w:rPr>
          <w:color w:val="000000"/>
          <w:sz w:val="24"/>
        </w:rPr>
      </w:pPr>
      <w:r>
        <w:rPr>
          <w:rFonts w:hint="eastAsia"/>
          <w:color w:val="000000"/>
          <w:sz w:val="24"/>
        </w:rPr>
        <w:t>（2）生产设备置于室内，利用建筑隔声且考虑减振等措施，有效地控制噪声对环境的影响。提高零部件的装配精度，加强运转部件的润滑，降低</w:t>
      </w:r>
      <w:r>
        <w:rPr>
          <w:rFonts w:hint="eastAsia"/>
          <w:color w:val="000000"/>
          <w:sz w:val="24"/>
          <w:lang w:eastAsia="zh-CN"/>
        </w:rPr>
        <w:t>摩擦力</w:t>
      </w:r>
      <w:r>
        <w:rPr>
          <w:rFonts w:hint="eastAsia"/>
          <w:color w:val="000000"/>
          <w:sz w:val="24"/>
        </w:rPr>
        <w:t>，对各连接部位安装弹性钢垫或橡胶衬垫，以减少传动装置间的振动。</w:t>
      </w:r>
    </w:p>
    <w:p w14:paraId="0EE2CD3C">
      <w:pPr>
        <w:spacing w:line="360" w:lineRule="auto"/>
        <w:ind w:firstLine="480" w:firstLineChars="200"/>
        <w:rPr>
          <w:color w:val="000000"/>
          <w:sz w:val="24"/>
        </w:rPr>
      </w:pPr>
      <w:r>
        <w:rPr>
          <w:rFonts w:hint="eastAsia"/>
          <w:color w:val="000000"/>
          <w:sz w:val="24"/>
        </w:rPr>
        <w:t>（3）为了减小风机噪声和振动对环境的影响，风机前后均采用石棉布软接头连接，在风机安装时采用下垫减振橡胶减振。</w:t>
      </w:r>
    </w:p>
    <w:p w14:paraId="2DE83C1B">
      <w:pPr>
        <w:spacing w:line="360" w:lineRule="auto"/>
        <w:ind w:left="420" w:leftChars="200"/>
        <w:rPr>
          <w:color w:val="000000"/>
          <w:sz w:val="24"/>
        </w:rPr>
      </w:pPr>
      <w:r>
        <w:rPr>
          <w:rFonts w:hint="eastAsia"/>
          <w:color w:val="000000"/>
          <w:sz w:val="24"/>
        </w:rPr>
        <w:t>（4）对个别在超标条件下工作的工人，配备耳塞等劳保用品。</w:t>
      </w:r>
    </w:p>
    <w:p w14:paraId="4156B252">
      <w:pPr>
        <w:spacing w:line="360" w:lineRule="auto"/>
        <w:ind w:left="420" w:leftChars="200"/>
        <w:rPr>
          <w:color w:val="000000"/>
          <w:sz w:val="24"/>
        </w:rPr>
      </w:pPr>
      <w:r>
        <w:rPr>
          <w:rFonts w:hint="eastAsia"/>
          <w:color w:val="000000"/>
          <w:sz w:val="24"/>
        </w:rPr>
        <w:t>（5）货物运输车辆应配备低音喇叭，在厂区门前做到不鸣或少鸣笛，以减</w:t>
      </w:r>
    </w:p>
    <w:p w14:paraId="3603DDD0">
      <w:pPr>
        <w:spacing w:line="360" w:lineRule="auto"/>
        <w:rPr>
          <w:color w:val="000000"/>
          <w:sz w:val="24"/>
        </w:rPr>
      </w:pPr>
      <w:r>
        <w:rPr>
          <w:rFonts w:hint="eastAsia"/>
          <w:color w:val="000000"/>
          <w:sz w:val="24"/>
        </w:rPr>
        <w:t>轻交通噪声对厂区周围地区的影响。</w:t>
      </w:r>
    </w:p>
    <w:p w14:paraId="4D614F3A">
      <w:pPr>
        <w:spacing w:line="360" w:lineRule="auto"/>
        <w:ind w:firstLine="480" w:firstLineChars="200"/>
        <w:rPr>
          <w:color w:val="000000"/>
          <w:sz w:val="24"/>
        </w:rPr>
      </w:pPr>
      <w:r>
        <w:rPr>
          <w:rFonts w:hint="eastAsia"/>
          <w:color w:val="000000"/>
          <w:sz w:val="24"/>
        </w:rPr>
        <w:t>上述噪声控制技术都已经较为成熟，本项目噪声治理措施约投资10万元。通过采取各项减振、隔声、消声等综合治理措施，从技术角度上讲，完全可以满足噪声防治的需要，使厂界噪声满足《工业企业厂界环境噪声排放标准》（</w:t>
      </w:r>
      <w:r>
        <w:rPr>
          <w:color w:val="000000"/>
          <w:sz w:val="24"/>
        </w:rPr>
        <w:t>GB12348-2008</w:t>
      </w:r>
      <w:r>
        <w:rPr>
          <w:rFonts w:hint="eastAsia"/>
          <w:color w:val="000000"/>
          <w:sz w:val="24"/>
        </w:rPr>
        <w:t>）中的2类区标准；从经济角度而言，其投资也较少，在可承受范围内。</w:t>
      </w:r>
    </w:p>
    <w:p w14:paraId="292935AB">
      <w:pPr>
        <w:spacing w:line="360" w:lineRule="auto"/>
        <w:ind w:firstLine="480" w:firstLineChars="200"/>
        <w:rPr>
          <w:color w:val="000000"/>
          <w:sz w:val="24"/>
        </w:rPr>
      </w:pPr>
      <w:r>
        <w:rPr>
          <w:rFonts w:hint="eastAsia"/>
          <w:color w:val="000000"/>
          <w:sz w:val="24"/>
        </w:rPr>
        <w:t>因此，拟采取的噪声防治措施可行。</w:t>
      </w:r>
    </w:p>
    <w:p w14:paraId="2CFCB38B">
      <w:pPr>
        <w:pStyle w:val="4"/>
        <w:autoSpaceDE w:val="0"/>
        <w:autoSpaceDN w:val="0"/>
        <w:spacing w:before="0" w:after="0" w:line="360" w:lineRule="auto"/>
        <w:jc w:val="left"/>
        <w:rPr>
          <w:kern w:val="0"/>
          <w:sz w:val="24"/>
          <w:lang w:bidi="zh-CN"/>
        </w:rPr>
      </w:pPr>
      <w:r>
        <w:rPr>
          <w:rFonts w:hint="eastAsia"/>
          <w:kern w:val="0"/>
          <w:sz w:val="24"/>
          <w:lang w:val="en-US" w:bidi="zh-CN"/>
        </w:rPr>
        <w:t>6</w:t>
      </w:r>
      <w:r>
        <w:rPr>
          <w:rFonts w:hint="eastAsia"/>
          <w:kern w:val="0"/>
          <w:sz w:val="24"/>
          <w:lang w:bidi="zh-CN"/>
        </w:rPr>
        <w:t>.</w:t>
      </w:r>
      <w:r>
        <w:rPr>
          <w:rFonts w:hint="eastAsia"/>
          <w:kern w:val="0"/>
          <w:sz w:val="24"/>
          <w:lang w:val="en-US" w:bidi="zh-CN"/>
        </w:rPr>
        <w:t>2.</w:t>
      </w:r>
      <w:r>
        <w:rPr>
          <w:rFonts w:hint="eastAsia"/>
          <w:kern w:val="0"/>
          <w:sz w:val="24"/>
          <w:lang w:bidi="zh-CN"/>
        </w:rPr>
        <w:t>4固废防治措施及其可行性分析</w:t>
      </w:r>
    </w:p>
    <w:p w14:paraId="2012F1D9">
      <w:pPr>
        <w:autoSpaceDE w:val="0"/>
        <w:autoSpaceDN w:val="0"/>
        <w:spacing w:line="360" w:lineRule="auto"/>
        <w:ind w:firstLine="480" w:firstLineChars="200"/>
        <w:jc w:val="left"/>
        <w:rPr>
          <w:kern w:val="0"/>
          <w:sz w:val="24"/>
          <w:szCs w:val="24"/>
          <w:lang w:bidi="zh-CN"/>
        </w:rPr>
      </w:pPr>
      <w:bookmarkStart w:id="389" w:name="_Toc363049989"/>
      <w:bookmarkStart w:id="390" w:name="_Toc332727851"/>
      <w:r>
        <w:rPr>
          <w:kern w:val="0"/>
          <w:sz w:val="24"/>
          <w:szCs w:val="24"/>
          <w:lang w:bidi="zh-CN"/>
        </w:rPr>
        <w:t>本项目运营期产生的固体废物包括</w:t>
      </w:r>
      <w:r>
        <w:rPr>
          <w:rFonts w:hint="eastAsia"/>
          <w:kern w:val="0"/>
          <w:sz w:val="24"/>
          <w:szCs w:val="24"/>
          <w:lang w:bidi="zh-CN"/>
        </w:rPr>
        <w:t>生产过程中产生的不合格品、</w:t>
      </w:r>
      <w:r>
        <w:rPr>
          <w:kern w:val="0"/>
          <w:sz w:val="24"/>
          <w:szCs w:val="24"/>
          <w:lang w:val="zh-CN" w:bidi="zh-CN"/>
        </w:rPr>
        <w:t>残次品及边角料</w:t>
      </w:r>
      <w:r>
        <w:rPr>
          <w:kern w:val="0"/>
          <w:sz w:val="24"/>
          <w:szCs w:val="24"/>
          <w:lang w:bidi="zh-CN"/>
        </w:rPr>
        <w:t>，熔融挤出工序产生的</w:t>
      </w:r>
      <w:r>
        <w:rPr>
          <w:rFonts w:hint="eastAsia"/>
          <w:kern w:val="0"/>
          <w:sz w:val="24"/>
          <w:szCs w:val="24"/>
          <w:lang w:bidi="zh-CN"/>
        </w:rPr>
        <w:t>废过滤网、废渣、废催化剂、</w:t>
      </w:r>
      <w:r>
        <w:rPr>
          <w:kern w:val="0"/>
          <w:sz w:val="24"/>
          <w:szCs w:val="24"/>
          <w:lang w:bidi="zh-CN"/>
        </w:rPr>
        <w:t>废活性炭</w:t>
      </w:r>
      <w:r>
        <w:rPr>
          <w:rFonts w:hint="eastAsia"/>
          <w:kern w:val="0"/>
          <w:sz w:val="24"/>
          <w:szCs w:val="24"/>
          <w:lang w:bidi="zh-CN"/>
        </w:rPr>
        <w:t>、废润滑油及废润滑油桶</w:t>
      </w:r>
      <w:r>
        <w:rPr>
          <w:kern w:val="0"/>
          <w:sz w:val="24"/>
          <w:szCs w:val="24"/>
          <w:lang w:bidi="zh-CN"/>
        </w:rPr>
        <w:t>以及工作人员产生的生活垃圾等。生产固废中的</w:t>
      </w:r>
      <w:r>
        <w:rPr>
          <w:rFonts w:hint="eastAsia"/>
          <w:kern w:val="0"/>
          <w:sz w:val="24"/>
          <w:szCs w:val="24"/>
          <w:lang w:bidi="zh-CN"/>
        </w:rPr>
        <w:t>不合格品、</w:t>
      </w:r>
      <w:r>
        <w:rPr>
          <w:kern w:val="0"/>
          <w:sz w:val="24"/>
          <w:szCs w:val="24"/>
          <w:lang w:val="zh-CN" w:bidi="zh-CN"/>
        </w:rPr>
        <w:t>残次品及边角料</w:t>
      </w:r>
      <w:r>
        <w:rPr>
          <w:kern w:val="0"/>
          <w:sz w:val="24"/>
          <w:szCs w:val="24"/>
          <w:lang w:bidi="zh-CN"/>
        </w:rPr>
        <w:t>不属于危险废物。</w:t>
      </w:r>
    </w:p>
    <w:p w14:paraId="11D4E335">
      <w:pPr>
        <w:pStyle w:val="5"/>
        <w:rPr>
          <w:rFonts w:ascii="Times New Roman" w:hAnsi="Times New Roman"/>
          <w:color w:val="000000"/>
          <w:lang w:val="en-US"/>
        </w:rPr>
      </w:pPr>
      <w:r>
        <w:rPr>
          <w:rFonts w:ascii="Times New Roman" w:hAnsi="Times New Roman"/>
          <w:color w:val="000000"/>
          <w:lang w:val="en-US"/>
        </w:rPr>
        <w:t>6.2.4.1一般固废</w:t>
      </w:r>
    </w:p>
    <w:p w14:paraId="2F1D25C5">
      <w:pPr>
        <w:pStyle w:val="232"/>
        <w:keepNext w:val="0"/>
        <w:keepLines w:val="0"/>
        <w:pageBreakBefore w:val="0"/>
        <w:widowControl w:val="0"/>
        <w:numPr>
          <w:ilvl w:val="0"/>
          <w:numId w:val="9"/>
        </w:numPr>
        <w:kinsoku/>
        <w:wordWrap/>
        <w:overflowPunct/>
        <w:topLinePunct w:val="0"/>
        <w:autoSpaceDE w:val="0"/>
        <w:autoSpaceDN w:val="0"/>
        <w:bidi w:val="0"/>
        <w:adjustRightInd/>
        <w:snapToGrid w:val="0"/>
        <w:spacing w:line="360" w:lineRule="auto"/>
        <w:textAlignment w:val="auto"/>
        <w:rPr>
          <w:b/>
          <w:kern w:val="0"/>
          <w:sz w:val="24"/>
          <w:szCs w:val="24"/>
          <w:lang w:bidi="zh-CN"/>
        </w:rPr>
      </w:pPr>
      <w:r>
        <w:rPr>
          <w:b/>
          <w:kern w:val="0"/>
          <w:sz w:val="24"/>
          <w:szCs w:val="24"/>
          <w:lang w:bidi="zh-CN"/>
        </w:rPr>
        <w:t>处置措施</w:t>
      </w:r>
    </w:p>
    <w:p w14:paraId="0C3ED547">
      <w:pPr>
        <w:keepNext w:val="0"/>
        <w:keepLines w:val="0"/>
        <w:pageBreakBefore w:val="0"/>
        <w:widowControl w:val="0"/>
        <w:kinsoku/>
        <w:wordWrap/>
        <w:overflowPunct/>
        <w:topLinePunct w:val="0"/>
        <w:autoSpaceDE w:val="0"/>
        <w:autoSpaceDN w:val="0"/>
        <w:bidi w:val="0"/>
        <w:adjustRightInd/>
        <w:spacing w:line="360" w:lineRule="auto"/>
        <w:ind w:left="480"/>
        <w:jc w:val="left"/>
        <w:textAlignment w:val="auto"/>
        <w:rPr>
          <w:kern w:val="0"/>
          <w:sz w:val="24"/>
          <w:szCs w:val="24"/>
          <w:lang w:val="zh-CN" w:bidi="zh-CN"/>
        </w:rPr>
      </w:pPr>
      <w:r>
        <w:rPr>
          <w:rFonts w:hint="eastAsia"/>
          <w:kern w:val="0"/>
          <w:sz w:val="24"/>
          <w:szCs w:val="24"/>
          <w:lang w:bidi="zh-CN"/>
        </w:rPr>
        <w:t>（1）不合格品、</w:t>
      </w:r>
      <w:r>
        <w:rPr>
          <w:kern w:val="0"/>
          <w:sz w:val="24"/>
          <w:szCs w:val="24"/>
          <w:lang w:val="zh-CN" w:bidi="zh-CN"/>
        </w:rPr>
        <w:t>残次品及边角料</w:t>
      </w:r>
    </w:p>
    <w:p w14:paraId="6188CF0C">
      <w:pPr>
        <w:keepNext w:val="0"/>
        <w:keepLines w:val="0"/>
        <w:pageBreakBefore w:val="0"/>
        <w:widowControl w:val="0"/>
        <w:kinsoku/>
        <w:wordWrap/>
        <w:overflowPunct/>
        <w:topLinePunct w:val="0"/>
        <w:autoSpaceDE w:val="0"/>
        <w:autoSpaceDN w:val="0"/>
        <w:bidi w:val="0"/>
        <w:adjustRightInd/>
        <w:spacing w:line="360" w:lineRule="auto"/>
        <w:ind w:firstLine="480" w:firstLineChars="200"/>
        <w:jc w:val="left"/>
        <w:textAlignment w:val="auto"/>
        <w:rPr>
          <w:kern w:val="0"/>
          <w:sz w:val="24"/>
          <w:szCs w:val="24"/>
          <w:lang w:bidi="zh-CN"/>
        </w:rPr>
      </w:pPr>
      <w:r>
        <w:rPr>
          <w:rFonts w:hint="eastAsia"/>
          <w:kern w:val="0"/>
          <w:sz w:val="24"/>
          <w:szCs w:val="24"/>
          <w:lang w:bidi="zh-CN"/>
        </w:rPr>
        <w:t>不合格品、</w:t>
      </w:r>
      <w:r>
        <w:rPr>
          <w:kern w:val="0"/>
          <w:sz w:val="24"/>
          <w:szCs w:val="24"/>
          <w:lang w:val="zh-CN" w:bidi="zh-CN"/>
        </w:rPr>
        <w:t>残次品及边角料</w:t>
      </w:r>
      <w:r>
        <w:rPr>
          <w:rFonts w:hint="eastAsia"/>
          <w:kern w:val="0"/>
          <w:sz w:val="24"/>
          <w:szCs w:val="24"/>
          <w:lang w:bidi="zh-CN"/>
        </w:rPr>
        <w:t>集中收集后全部返回造粒工序</w:t>
      </w:r>
      <w:r>
        <w:rPr>
          <w:kern w:val="0"/>
          <w:sz w:val="24"/>
          <w:szCs w:val="24"/>
          <w:lang w:bidi="zh-CN"/>
        </w:rPr>
        <w:t>。</w:t>
      </w:r>
    </w:p>
    <w:p w14:paraId="587BD96C">
      <w:pPr>
        <w:keepNext w:val="0"/>
        <w:keepLines w:val="0"/>
        <w:pageBreakBefore w:val="0"/>
        <w:widowControl w:val="0"/>
        <w:kinsoku/>
        <w:wordWrap/>
        <w:overflowPunct/>
        <w:topLinePunct w:val="0"/>
        <w:autoSpaceDE w:val="0"/>
        <w:autoSpaceDN w:val="0"/>
        <w:bidi w:val="0"/>
        <w:adjustRightInd/>
        <w:spacing w:line="360" w:lineRule="auto"/>
        <w:ind w:firstLine="480" w:firstLineChars="200"/>
        <w:jc w:val="left"/>
        <w:textAlignment w:val="auto"/>
        <w:rPr>
          <w:kern w:val="0"/>
          <w:sz w:val="24"/>
          <w:szCs w:val="24"/>
          <w:lang w:bidi="zh-CN"/>
        </w:rPr>
      </w:pPr>
      <w:r>
        <w:rPr>
          <w:rFonts w:hint="eastAsia"/>
          <w:kern w:val="0"/>
          <w:sz w:val="24"/>
          <w:szCs w:val="24"/>
          <w:lang w:val="zh-CN" w:bidi="zh-CN"/>
        </w:rPr>
        <w:t>（2）</w:t>
      </w:r>
      <w:r>
        <w:rPr>
          <w:rFonts w:hint="eastAsia"/>
          <w:kern w:val="0"/>
          <w:sz w:val="24"/>
          <w:szCs w:val="24"/>
          <w:lang w:bidi="zh-CN"/>
        </w:rPr>
        <w:t>废过滤网</w:t>
      </w:r>
    </w:p>
    <w:p w14:paraId="2250EAD0">
      <w:pPr>
        <w:keepNext w:val="0"/>
        <w:keepLines w:val="0"/>
        <w:pageBreakBefore w:val="0"/>
        <w:kinsoku/>
        <w:wordWrap/>
        <w:autoSpaceDE w:val="0"/>
        <w:autoSpaceDN w:val="0"/>
        <w:bidi w:val="0"/>
        <w:spacing w:line="500" w:lineRule="exact"/>
        <w:ind w:firstLine="480" w:firstLineChars="200"/>
        <w:jc w:val="left"/>
        <w:rPr>
          <w:kern w:val="0"/>
          <w:sz w:val="24"/>
          <w:szCs w:val="24"/>
          <w:lang w:bidi="zh-CN"/>
        </w:rPr>
      </w:pPr>
      <w:r>
        <w:rPr>
          <w:rFonts w:hint="eastAsia"/>
          <w:kern w:val="0"/>
          <w:sz w:val="24"/>
          <w:szCs w:val="24"/>
          <w:lang w:bidi="zh-CN"/>
        </w:rPr>
        <w:t>造粒生产线在熔融挤出工序中采用60目不锈钢过滤网对熔融状态的塑料进行过滤，使用一段时间后，过滤网将被塑料中的杂质堵塞，需定期更换过滤网，从而产生一定的废过滤网。废过滤网为不锈钢材质，杂质主要为沙粒、木屑等，属于I类一般工业固体废物，采用专用容器妥善贮存，定期出售给废品收购站。</w:t>
      </w:r>
    </w:p>
    <w:p w14:paraId="154CFA97">
      <w:pPr>
        <w:keepNext w:val="0"/>
        <w:keepLines w:val="0"/>
        <w:pageBreakBefore w:val="0"/>
        <w:kinsoku/>
        <w:wordWrap/>
        <w:autoSpaceDE w:val="0"/>
        <w:autoSpaceDN w:val="0"/>
        <w:bidi w:val="0"/>
        <w:spacing w:line="500" w:lineRule="exact"/>
        <w:ind w:left="420" w:leftChars="200"/>
        <w:jc w:val="left"/>
        <w:rPr>
          <w:kern w:val="0"/>
          <w:sz w:val="24"/>
          <w:szCs w:val="24"/>
          <w:lang w:bidi="zh-CN"/>
        </w:rPr>
      </w:pPr>
      <w:r>
        <w:rPr>
          <w:rFonts w:hint="eastAsia"/>
          <w:kern w:val="0"/>
          <w:sz w:val="24"/>
          <w:szCs w:val="24"/>
          <w:lang w:bidi="zh-CN"/>
        </w:rPr>
        <w:t>（3）熔融废渣</w:t>
      </w:r>
    </w:p>
    <w:p w14:paraId="45364234">
      <w:pPr>
        <w:keepNext w:val="0"/>
        <w:keepLines w:val="0"/>
        <w:pageBreakBefore w:val="0"/>
        <w:tabs>
          <w:tab w:val="left" w:pos="794"/>
        </w:tabs>
        <w:kinsoku/>
        <w:wordWrap/>
        <w:autoSpaceDE w:val="0"/>
        <w:autoSpaceDN w:val="0"/>
        <w:bidi w:val="0"/>
        <w:spacing w:line="500" w:lineRule="exact"/>
        <w:ind w:firstLine="480" w:firstLineChars="200"/>
        <w:jc w:val="left"/>
        <w:rPr>
          <w:kern w:val="0"/>
          <w:sz w:val="24"/>
          <w:szCs w:val="24"/>
          <w:lang w:bidi="zh-CN"/>
        </w:rPr>
      </w:pPr>
      <w:r>
        <w:rPr>
          <w:kern w:val="0"/>
          <w:sz w:val="24"/>
          <w:szCs w:val="24"/>
          <w:lang w:bidi="zh-CN"/>
        </w:rPr>
        <w:t>熔融过程在密闭的设备中进行，熔融过程产生的废渣粘附在过滤网上，定期从滤网上清理下来，在厂区暂存，定期外售给注塑厂。</w:t>
      </w:r>
    </w:p>
    <w:p w14:paraId="4D96AC71">
      <w:pPr>
        <w:keepNext w:val="0"/>
        <w:keepLines w:val="0"/>
        <w:pageBreakBefore w:val="0"/>
        <w:widowControl/>
        <w:kinsoku/>
        <w:wordWrap/>
        <w:overflowPunct w:val="0"/>
        <w:topLinePunct/>
        <w:autoSpaceDE w:val="0"/>
        <w:autoSpaceDN w:val="0"/>
        <w:bidi w:val="0"/>
        <w:adjustRightInd w:val="0"/>
        <w:snapToGrid w:val="0"/>
        <w:spacing w:line="500" w:lineRule="exact"/>
        <w:ind w:firstLine="480" w:firstLineChars="200"/>
        <w:jc w:val="left"/>
        <w:textAlignment w:val="baseline"/>
        <w:rPr>
          <w:kern w:val="0"/>
          <w:sz w:val="24"/>
          <w:szCs w:val="24"/>
          <w:lang w:val="zh-CN" w:bidi="zh-CN"/>
        </w:rPr>
      </w:pPr>
      <w:r>
        <w:rPr>
          <w:rFonts w:hint="eastAsia"/>
          <w:kern w:val="0"/>
          <w:sz w:val="24"/>
          <w:szCs w:val="24"/>
          <w:lang w:bidi="zh-CN"/>
        </w:rPr>
        <w:t>（4</w:t>
      </w:r>
      <w:r>
        <w:rPr>
          <w:kern w:val="0"/>
          <w:sz w:val="24"/>
          <w:szCs w:val="24"/>
          <w:lang w:val="zh-CN" w:bidi="zh-CN"/>
        </w:rPr>
        <w:t>）废催化剂</w:t>
      </w:r>
    </w:p>
    <w:p w14:paraId="286245F1">
      <w:pPr>
        <w:keepNext w:val="0"/>
        <w:keepLines w:val="0"/>
        <w:pageBreakBefore w:val="0"/>
        <w:widowControl/>
        <w:kinsoku/>
        <w:wordWrap/>
        <w:bidi w:val="0"/>
        <w:snapToGrid w:val="0"/>
        <w:spacing w:line="500" w:lineRule="exact"/>
        <w:ind w:firstLine="480" w:firstLineChars="200"/>
        <w:rPr>
          <w:rFonts w:ascii="Calibri"/>
          <w:kern w:val="0"/>
          <w:sz w:val="24"/>
        </w:rPr>
      </w:pPr>
      <w:r>
        <w:rPr>
          <w:rFonts w:ascii="Calibri"/>
          <w:kern w:val="0"/>
          <w:sz w:val="24"/>
        </w:rPr>
        <w:t>废气治理过程中会产生一定量的废催化剂，对照《国家危险废物名录》（202</w:t>
      </w:r>
      <w:r>
        <w:rPr>
          <w:rFonts w:hint="eastAsia" w:ascii="Calibri"/>
          <w:kern w:val="0"/>
          <w:sz w:val="24"/>
          <w:lang w:val="en-US" w:eastAsia="zh-CN"/>
        </w:rPr>
        <w:t>5</w:t>
      </w:r>
      <w:r>
        <w:rPr>
          <w:rFonts w:ascii="Calibri"/>
          <w:kern w:val="0"/>
          <w:sz w:val="24"/>
        </w:rPr>
        <w:t>版），属于危险废物的废催化剂对应的行业来源为：HW50废催化剂-环境治理业-烟气脱硝过程中产生的废催化剂，非特定行业-废液体催化剂及机动车和非道路移动机械尾气净化废催化剂，因此产生的废催化剂不属于危险废物，委托设备厂家进行更换，废催化剂由厂家回收后统一处理后再利用。</w:t>
      </w:r>
    </w:p>
    <w:p w14:paraId="0C0316E5">
      <w:pPr>
        <w:keepNext w:val="0"/>
        <w:keepLines w:val="0"/>
        <w:pageBreakBefore w:val="0"/>
        <w:kinsoku/>
        <w:wordWrap/>
        <w:autoSpaceDE w:val="0"/>
        <w:autoSpaceDN w:val="0"/>
        <w:bidi w:val="0"/>
        <w:spacing w:line="500" w:lineRule="exact"/>
        <w:ind w:left="480"/>
        <w:jc w:val="left"/>
        <w:rPr>
          <w:kern w:val="0"/>
          <w:sz w:val="24"/>
          <w:szCs w:val="24"/>
          <w:lang w:bidi="zh-CN"/>
        </w:rPr>
      </w:pPr>
      <w:r>
        <w:rPr>
          <w:rFonts w:hint="eastAsia"/>
          <w:kern w:val="0"/>
          <w:sz w:val="24"/>
          <w:szCs w:val="24"/>
          <w:lang w:bidi="zh-CN"/>
        </w:rPr>
        <w:t>（</w:t>
      </w:r>
      <w:r>
        <w:rPr>
          <w:rFonts w:hint="eastAsia"/>
          <w:kern w:val="0"/>
          <w:sz w:val="24"/>
          <w:szCs w:val="24"/>
          <w:lang w:val="en-US" w:bidi="zh-CN"/>
        </w:rPr>
        <w:t>5</w:t>
      </w:r>
      <w:r>
        <w:rPr>
          <w:rFonts w:hint="eastAsia"/>
          <w:kern w:val="0"/>
          <w:sz w:val="24"/>
          <w:szCs w:val="24"/>
          <w:lang w:bidi="zh-CN"/>
        </w:rPr>
        <w:t>）生活垃圾</w:t>
      </w:r>
    </w:p>
    <w:p w14:paraId="6D921027">
      <w:pPr>
        <w:keepNext w:val="0"/>
        <w:keepLines w:val="0"/>
        <w:pageBreakBefore w:val="0"/>
        <w:kinsoku/>
        <w:wordWrap/>
        <w:autoSpaceDE w:val="0"/>
        <w:autoSpaceDN w:val="0"/>
        <w:bidi w:val="0"/>
        <w:spacing w:line="500" w:lineRule="exact"/>
        <w:ind w:firstLine="480" w:firstLineChars="200"/>
        <w:jc w:val="left"/>
        <w:rPr>
          <w:kern w:val="0"/>
          <w:sz w:val="24"/>
          <w:szCs w:val="24"/>
          <w:lang w:bidi="zh-CN"/>
        </w:rPr>
      </w:pPr>
      <w:r>
        <w:rPr>
          <w:rFonts w:hint="eastAsia"/>
          <w:kern w:val="0"/>
          <w:sz w:val="24"/>
          <w:szCs w:val="24"/>
          <w:lang w:bidi="zh-CN"/>
        </w:rPr>
        <w:t>生活垃圾分类收集后交由环卫部门处置。</w:t>
      </w:r>
    </w:p>
    <w:p w14:paraId="69FFE065">
      <w:pPr>
        <w:autoSpaceDE w:val="0"/>
        <w:autoSpaceDN w:val="0"/>
        <w:snapToGrid w:val="0"/>
        <w:spacing w:line="500" w:lineRule="exact"/>
        <w:ind w:firstLine="482" w:firstLineChars="200"/>
        <w:rPr>
          <w:rFonts w:hint="eastAsia"/>
          <w:b/>
          <w:kern w:val="0"/>
          <w:sz w:val="24"/>
          <w:szCs w:val="24"/>
          <w:lang w:val="zh-CN" w:bidi="zh-CN"/>
        </w:rPr>
      </w:pPr>
      <w:r>
        <w:rPr>
          <w:rFonts w:hint="eastAsia"/>
          <w:b/>
          <w:kern w:val="0"/>
          <w:sz w:val="24"/>
          <w:szCs w:val="24"/>
          <w:lang w:val="en-US" w:bidi="zh-CN"/>
        </w:rPr>
        <w:t>2、</w:t>
      </w:r>
      <w:r>
        <w:rPr>
          <w:rFonts w:hint="eastAsia"/>
          <w:b/>
          <w:kern w:val="0"/>
          <w:sz w:val="24"/>
          <w:szCs w:val="24"/>
          <w:lang w:val="zh-CN" w:bidi="zh-CN"/>
        </w:rPr>
        <w:t>一般固废台账管理要求</w:t>
      </w:r>
    </w:p>
    <w:p w14:paraId="1DD22CF9">
      <w:pPr>
        <w:autoSpaceDE w:val="0"/>
        <w:autoSpaceDN w:val="0"/>
        <w:snapToGrid w:val="0"/>
        <w:spacing w:line="500" w:lineRule="exact"/>
        <w:ind w:firstLine="480" w:firstLineChars="200"/>
        <w:rPr>
          <w:rFonts w:hint="eastAsia"/>
          <w:b w:val="0"/>
          <w:bCs/>
          <w:kern w:val="0"/>
          <w:sz w:val="24"/>
          <w:szCs w:val="24"/>
          <w:lang w:val="zh-CN" w:bidi="zh-CN"/>
        </w:rPr>
      </w:pPr>
      <w:r>
        <w:rPr>
          <w:rFonts w:hint="eastAsia"/>
          <w:b w:val="0"/>
          <w:bCs/>
          <w:kern w:val="0"/>
          <w:sz w:val="24"/>
          <w:szCs w:val="24"/>
          <w:lang w:val="zh-CN" w:bidi="zh-CN"/>
        </w:rPr>
        <w:t>项目一般工业固体废物管理台账必须按照国家《一般工业固体废物管理台账制定指南（试行）》执行。</w:t>
      </w:r>
    </w:p>
    <w:p w14:paraId="664D2204">
      <w:pPr>
        <w:autoSpaceDE w:val="0"/>
        <w:autoSpaceDN w:val="0"/>
        <w:snapToGrid w:val="0"/>
        <w:spacing w:line="500" w:lineRule="exact"/>
        <w:ind w:firstLine="480" w:firstLineChars="200"/>
        <w:rPr>
          <w:rFonts w:hint="eastAsia"/>
          <w:b w:val="0"/>
          <w:bCs/>
          <w:kern w:val="0"/>
          <w:sz w:val="24"/>
          <w:szCs w:val="24"/>
          <w:lang w:val="zh-CN" w:bidi="zh-CN"/>
        </w:rPr>
      </w:pPr>
      <w:r>
        <w:rPr>
          <w:rFonts w:hint="eastAsia"/>
          <w:b w:val="0"/>
          <w:bCs/>
          <w:kern w:val="0"/>
          <w:sz w:val="24"/>
          <w:szCs w:val="24"/>
          <w:lang w:val="zh-CN" w:bidi="zh-CN"/>
        </w:rPr>
        <w:t>（1）一般工业固体废物管理台账实施分级管理。《一般工业固体废物管理台账制定指南（试行）》中附表1至附表3为必填信息，主要用于记录固体废物的基础信息及流向信息，所有产废单位均应当填写。附表1按年填写，应当结合环境影响评价、排污许可等材料，根据实际生产运营情况记录固体废物产生信息，生产工艺发生重大变动等原因导致固体废物产生种类等发生变化的，应当及时另行填写附表1；附表2按月填写，记录固体废物的产生、贮存、利用、处置数量和利用、处置方式等信息；附表3按批次填写，每一批次固体废物的出厂以及转移信息均应当如实记录。</w:t>
      </w:r>
    </w:p>
    <w:p w14:paraId="797124AD">
      <w:pPr>
        <w:autoSpaceDE w:val="0"/>
        <w:autoSpaceDN w:val="0"/>
        <w:snapToGrid w:val="0"/>
        <w:spacing w:line="500" w:lineRule="exact"/>
        <w:ind w:firstLine="480" w:firstLineChars="200"/>
        <w:rPr>
          <w:rFonts w:hint="eastAsia"/>
          <w:b w:val="0"/>
          <w:bCs/>
          <w:kern w:val="0"/>
          <w:sz w:val="24"/>
          <w:szCs w:val="24"/>
          <w:lang w:val="zh-CN" w:bidi="zh-CN"/>
        </w:rPr>
      </w:pPr>
      <w:r>
        <w:rPr>
          <w:rFonts w:hint="eastAsia"/>
          <w:b w:val="0"/>
          <w:bCs/>
          <w:kern w:val="0"/>
          <w:sz w:val="24"/>
          <w:szCs w:val="24"/>
          <w:lang w:val="zh-CN" w:bidi="zh-CN"/>
        </w:rPr>
        <w:t>（2）《一般工业固体废物管理台账制定指南（试行）》中附表4至附表7为选填信息，主要用于记录固体废物在产废单位内部的贮存、利用、处置等信息。附表4至附表7，根据地方及企业管理需要填写，省级生态环境主管部门可根据工作需要另行规定具体适用范围和记录要求。填写时应确保固体废物的来源信息、流向信息完整准确；根据固体废物产生周期，可按日或按班次、批次填写。</w:t>
      </w:r>
    </w:p>
    <w:p w14:paraId="79909980">
      <w:pPr>
        <w:autoSpaceDE w:val="0"/>
        <w:autoSpaceDN w:val="0"/>
        <w:snapToGrid w:val="0"/>
        <w:spacing w:line="500" w:lineRule="exact"/>
        <w:ind w:firstLine="480" w:firstLineChars="200"/>
        <w:rPr>
          <w:rFonts w:hint="eastAsia"/>
          <w:b w:val="0"/>
          <w:bCs/>
          <w:kern w:val="0"/>
          <w:sz w:val="24"/>
          <w:szCs w:val="24"/>
          <w:lang w:val="zh-CN" w:bidi="zh-CN"/>
        </w:rPr>
      </w:pPr>
      <w:r>
        <w:rPr>
          <w:rFonts w:hint="eastAsia"/>
          <w:b w:val="0"/>
          <w:bCs/>
          <w:kern w:val="0"/>
          <w:sz w:val="24"/>
          <w:szCs w:val="24"/>
          <w:lang w:val="zh-CN" w:bidi="zh-CN"/>
        </w:rPr>
        <w:t>（3）产废单位填写台账记录表时，应当根据自身固体废物产生情况，从《一般工业固体废物管理台账制定指南（试行）》中附表8中选择对应的固体废物种类和代码，并根据固体废物种类确定固体废物的具体名称。</w:t>
      </w:r>
    </w:p>
    <w:p w14:paraId="3F7FC503">
      <w:pPr>
        <w:autoSpaceDE w:val="0"/>
        <w:autoSpaceDN w:val="0"/>
        <w:snapToGrid w:val="0"/>
        <w:spacing w:line="500" w:lineRule="exact"/>
        <w:ind w:firstLine="480" w:firstLineChars="200"/>
        <w:rPr>
          <w:rFonts w:hint="eastAsia"/>
          <w:b w:val="0"/>
          <w:bCs/>
          <w:kern w:val="0"/>
          <w:sz w:val="24"/>
          <w:szCs w:val="24"/>
          <w:lang w:val="zh-CN" w:bidi="zh-CN"/>
        </w:rPr>
      </w:pPr>
      <w:r>
        <w:rPr>
          <w:rFonts w:hint="eastAsia"/>
          <w:b w:val="0"/>
          <w:bCs/>
          <w:kern w:val="0"/>
          <w:sz w:val="24"/>
          <w:szCs w:val="24"/>
          <w:lang w:val="zh-CN" w:bidi="zh-CN"/>
        </w:rPr>
        <w:t>（4）鼓励产废单位采用国家建立的一般工业固体废物管理电子台账，简化数据填写、台账管理等工作。地方和企业自行开发的电子台账要实现与国家系统对接。建立电子台账的产废单位，可不再记录纸质台账。</w:t>
      </w:r>
    </w:p>
    <w:p w14:paraId="6B96A7CE">
      <w:pPr>
        <w:autoSpaceDE w:val="0"/>
        <w:autoSpaceDN w:val="0"/>
        <w:snapToGrid w:val="0"/>
        <w:spacing w:line="500" w:lineRule="exact"/>
        <w:ind w:firstLine="480" w:firstLineChars="200"/>
        <w:rPr>
          <w:rFonts w:hint="eastAsia"/>
          <w:b w:val="0"/>
          <w:bCs/>
          <w:kern w:val="0"/>
          <w:sz w:val="24"/>
          <w:szCs w:val="24"/>
          <w:lang w:val="zh-CN" w:bidi="zh-CN"/>
        </w:rPr>
      </w:pPr>
      <w:r>
        <w:rPr>
          <w:rFonts w:hint="eastAsia"/>
          <w:b w:val="0"/>
          <w:bCs/>
          <w:kern w:val="0"/>
          <w:sz w:val="24"/>
          <w:szCs w:val="24"/>
          <w:lang w:val="zh-CN" w:bidi="zh-CN"/>
        </w:rPr>
        <w:t>（5）台账记录表各表单的负责人对记录信息的真实性、完整性和规范性负责。</w:t>
      </w:r>
    </w:p>
    <w:p w14:paraId="3ADA9E7D">
      <w:pPr>
        <w:autoSpaceDE w:val="0"/>
        <w:autoSpaceDN w:val="0"/>
        <w:snapToGrid w:val="0"/>
        <w:spacing w:line="500" w:lineRule="exact"/>
        <w:ind w:firstLine="480" w:firstLineChars="200"/>
        <w:rPr>
          <w:rFonts w:hint="eastAsia"/>
          <w:b w:val="0"/>
          <w:bCs/>
          <w:kern w:val="0"/>
          <w:sz w:val="24"/>
          <w:szCs w:val="24"/>
          <w:lang w:val="zh-CN" w:bidi="zh-CN"/>
        </w:rPr>
      </w:pPr>
      <w:r>
        <w:rPr>
          <w:rFonts w:hint="eastAsia"/>
          <w:b w:val="0"/>
          <w:bCs/>
          <w:kern w:val="0"/>
          <w:sz w:val="24"/>
          <w:szCs w:val="24"/>
          <w:lang w:val="zh-CN" w:bidi="zh-CN"/>
        </w:rPr>
        <w:t>（6）产废单位应当设立专人负责台账的管理与归档，一般工业固体废物管理台账保存期限不少于5年。</w:t>
      </w:r>
    </w:p>
    <w:p w14:paraId="5E5BA442">
      <w:pPr>
        <w:autoSpaceDE w:val="0"/>
        <w:autoSpaceDN w:val="0"/>
        <w:snapToGrid w:val="0"/>
        <w:spacing w:line="500" w:lineRule="exact"/>
        <w:ind w:firstLine="480" w:firstLineChars="200"/>
        <w:rPr>
          <w:rFonts w:hint="eastAsia"/>
          <w:b w:val="0"/>
          <w:bCs/>
          <w:kern w:val="0"/>
          <w:sz w:val="24"/>
          <w:szCs w:val="24"/>
          <w:lang w:val="zh-CN" w:bidi="zh-CN"/>
        </w:rPr>
      </w:pPr>
      <w:r>
        <w:rPr>
          <w:rFonts w:hint="eastAsia"/>
          <w:b w:val="0"/>
          <w:bCs/>
          <w:kern w:val="0"/>
          <w:sz w:val="24"/>
          <w:szCs w:val="24"/>
          <w:lang w:val="zh-CN" w:bidi="zh-CN"/>
        </w:rPr>
        <w:t>（7）鼓励有条件的产废单位在固体废物产生场所、贮存场所及磅秤位置等关键点位设置视频监控，提高台账记录信息的准确性。</w:t>
      </w:r>
    </w:p>
    <w:p w14:paraId="17829484">
      <w:pPr>
        <w:autoSpaceDE w:val="0"/>
        <w:autoSpaceDN w:val="0"/>
        <w:snapToGrid w:val="0"/>
        <w:spacing w:line="500" w:lineRule="exact"/>
        <w:ind w:firstLine="482" w:firstLineChars="200"/>
        <w:rPr>
          <w:b/>
          <w:kern w:val="0"/>
          <w:sz w:val="24"/>
          <w:szCs w:val="24"/>
          <w:lang w:val="zh-CN" w:bidi="zh-CN"/>
        </w:rPr>
      </w:pPr>
      <w:r>
        <w:rPr>
          <w:rFonts w:hint="eastAsia"/>
          <w:b/>
          <w:kern w:val="0"/>
          <w:sz w:val="24"/>
          <w:szCs w:val="24"/>
          <w:lang w:val="en-US" w:bidi="zh-CN"/>
        </w:rPr>
        <w:t>3、</w:t>
      </w:r>
      <w:r>
        <w:rPr>
          <w:b/>
          <w:kern w:val="0"/>
          <w:sz w:val="24"/>
          <w:szCs w:val="24"/>
          <w:lang w:val="zh-CN" w:bidi="zh-CN"/>
        </w:rPr>
        <w:t>一般固废</w:t>
      </w:r>
      <w:r>
        <w:rPr>
          <w:rFonts w:hint="eastAsia"/>
          <w:b/>
          <w:kern w:val="0"/>
          <w:sz w:val="24"/>
          <w:szCs w:val="24"/>
          <w:lang w:val="zh-CN" w:bidi="zh-CN"/>
        </w:rPr>
        <w:t>临时贮存间</w:t>
      </w:r>
      <w:r>
        <w:rPr>
          <w:b/>
          <w:kern w:val="0"/>
          <w:sz w:val="24"/>
          <w:szCs w:val="24"/>
          <w:lang w:val="zh-CN" w:bidi="zh-CN"/>
        </w:rPr>
        <w:t>和管理要求</w:t>
      </w:r>
    </w:p>
    <w:p w14:paraId="52C475CB">
      <w:pPr>
        <w:adjustRightInd w:val="0"/>
        <w:snapToGrid w:val="0"/>
        <w:spacing w:line="440" w:lineRule="exact"/>
        <w:ind w:firstLine="480" w:firstLineChars="200"/>
        <w:rPr>
          <w:rFonts w:hint="eastAsia" w:ascii="Times New Roman" w:hAnsi="Times New Roman" w:eastAsia="宋体" w:cs="Times New Roman"/>
          <w:snapToGrid w:val="0"/>
          <w:color w:val="auto"/>
          <w:sz w:val="24"/>
          <w:szCs w:val="24"/>
          <w:lang w:eastAsia="zh-CN"/>
        </w:rPr>
      </w:pPr>
      <w:r>
        <w:rPr>
          <w:rFonts w:hint="eastAsia" w:ascii="Times New Roman" w:hAnsi="Times New Roman" w:eastAsia="宋体" w:cs="Times New Roman"/>
          <w:snapToGrid w:val="0"/>
          <w:color w:val="auto"/>
          <w:sz w:val="24"/>
          <w:szCs w:val="24"/>
          <w:lang w:val="en-US" w:eastAsia="zh-CN"/>
        </w:rPr>
        <w:t>（1）一般工业固废贮存间污染控制措施</w:t>
      </w:r>
    </w:p>
    <w:p w14:paraId="6C0C3733">
      <w:pPr>
        <w:adjustRightInd w:val="0"/>
        <w:snapToGrid w:val="0"/>
        <w:spacing w:line="440" w:lineRule="exact"/>
        <w:ind w:firstLine="480" w:firstLineChars="200"/>
        <w:rPr>
          <w:rFonts w:hint="eastAsia" w:ascii="Times New Roman" w:hAnsi="Times New Roman" w:eastAsia="宋体" w:cs="Times New Roman"/>
          <w:snapToGrid w:val="0"/>
          <w:color w:val="auto"/>
          <w:sz w:val="24"/>
          <w:szCs w:val="24"/>
          <w:lang w:val="en-US" w:eastAsia="zh-CN"/>
        </w:rPr>
      </w:pPr>
      <w:r>
        <w:rPr>
          <w:rFonts w:hint="eastAsia" w:ascii="Times New Roman" w:hAnsi="Times New Roman" w:eastAsia="宋体" w:cs="Times New Roman"/>
          <w:snapToGrid w:val="0"/>
          <w:color w:val="auto"/>
          <w:sz w:val="24"/>
          <w:szCs w:val="24"/>
          <w:lang w:eastAsia="zh-CN"/>
        </w:rPr>
        <w:t>本项目生产车间南侧有一处一般工业固废暂存间，建筑面积1</w:t>
      </w:r>
      <w:r>
        <w:rPr>
          <w:rFonts w:hint="eastAsia" w:ascii="Times New Roman" w:hAnsi="Times New Roman" w:eastAsia="宋体" w:cs="Times New Roman"/>
          <w:snapToGrid w:val="0"/>
          <w:color w:val="auto"/>
          <w:sz w:val="24"/>
          <w:szCs w:val="24"/>
          <w:lang w:val="en-US" w:eastAsia="zh-CN"/>
        </w:rPr>
        <w:t>0</w:t>
      </w:r>
      <w:r>
        <w:rPr>
          <w:rFonts w:hint="eastAsia" w:ascii="Times New Roman" w:hAnsi="Times New Roman" w:eastAsia="宋体" w:cs="Times New Roman"/>
          <w:snapToGrid w:val="0"/>
          <w:color w:val="auto"/>
          <w:sz w:val="24"/>
          <w:szCs w:val="24"/>
          <w:lang w:eastAsia="zh-CN"/>
        </w:rPr>
        <w:t>m</w:t>
      </w:r>
      <w:r>
        <w:rPr>
          <w:rFonts w:hint="eastAsia" w:ascii="Times New Roman" w:hAnsi="Times New Roman" w:eastAsia="宋体" w:cs="Times New Roman"/>
          <w:snapToGrid w:val="0"/>
          <w:color w:val="auto"/>
          <w:sz w:val="24"/>
          <w:szCs w:val="24"/>
          <w:vertAlign w:val="superscript"/>
          <w:lang w:eastAsia="zh-CN"/>
        </w:rPr>
        <w:t>2</w:t>
      </w:r>
      <w:r>
        <w:rPr>
          <w:rFonts w:hint="eastAsia" w:ascii="Times New Roman" w:hAnsi="Times New Roman" w:eastAsia="宋体" w:cs="Times New Roman"/>
          <w:snapToGrid w:val="0"/>
          <w:color w:val="auto"/>
          <w:sz w:val="24"/>
          <w:szCs w:val="24"/>
          <w:lang w:eastAsia="zh-CN"/>
        </w:rPr>
        <w:t>，用于暂存</w:t>
      </w:r>
      <w:r>
        <w:rPr>
          <w:rFonts w:hint="eastAsia" w:ascii="Times New Roman" w:hAnsi="Times New Roman" w:eastAsia="宋体" w:cs="Times New Roman"/>
          <w:snapToGrid w:val="0"/>
          <w:color w:val="auto"/>
          <w:sz w:val="24"/>
          <w:szCs w:val="24"/>
          <w:lang w:val="en-US" w:eastAsia="zh-CN"/>
        </w:rPr>
        <w:t>一般工业固体废物</w:t>
      </w:r>
      <w:r>
        <w:rPr>
          <w:rFonts w:hint="eastAsia" w:ascii="Times New Roman" w:hAnsi="Times New Roman" w:eastAsia="宋体" w:cs="Times New Roman"/>
          <w:snapToGrid w:val="0"/>
          <w:color w:val="auto"/>
          <w:sz w:val="24"/>
          <w:szCs w:val="24"/>
          <w:lang w:eastAsia="zh-CN"/>
        </w:rPr>
        <w:t>。</w:t>
      </w:r>
      <w:r>
        <w:rPr>
          <w:rFonts w:hint="eastAsia" w:ascii="Times New Roman" w:hAnsi="Times New Roman" w:eastAsia="宋体" w:cs="Times New Roman"/>
          <w:snapToGrid w:val="0"/>
          <w:color w:val="auto"/>
          <w:sz w:val="24"/>
          <w:szCs w:val="24"/>
          <w:lang w:val="en-US" w:eastAsia="zh-CN"/>
        </w:rPr>
        <w:t>本项目根据《中华人民共和国固体废物污染环境防治法</w:t>
      </w:r>
      <w:r>
        <w:rPr>
          <w:rFonts w:hint="eastAsia" w:cs="Times New Roman"/>
          <w:snapToGrid w:val="0"/>
          <w:color w:val="auto"/>
          <w:sz w:val="24"/>
          <w:szCs w:val="24"/>
          <w:lang w:val="en-US" w:eastAsia="zh-CN"/>
        </w:rPr>
        <w:t>》《</w:t>
      </w:r>
      <w:r>
        <w:rPr>
          <w:rFonts w:hint="eastAsia" w:ascii="Times New Roman" w:hAnsi="Times New Roman" w:eastAsia="宋体" w:cs="Times New Roman"/>
          <w:snapToGrid w:val="0"/>
          <w:color w:val="auto"/>
          <w:sz w:val="24"/>
          <w:szCs w:val="24"/>
          <w:lang w:val="en-US" w:eastAsia="zh-CN"/>
        </w:rPr>
        <w:t>一般工业固体废物贮存和填埋污染控制标准》（GB18599-2020）等相关法律法规提出以下要求：</w:t>
      </w:r>
    </w:p>
    <w:p w14:paraId="3C3B8205">
      <w:pPr>
        <w:adjustRightInd w:val="0"/>
        <w:snapToGrid w:val="0"/>
        <w:spacing w:line="440" w:lineRule="exact"/>
        <w:ind w:firstLine="480" w:firstLineChars="200"/>
        <w:rPr>
          <w:rFonts w:hint="eastAsia" w:ascii="Times New Roman" w:hAnsi="Times New Roman" w:eastAsia="宋体" w:cs="Times New Roman"/>
          <w:snapToGrid w:val="0"/>
          <w:color w:val="auto"/>
          <w:sz w:val="24"/>
          <w:szCs w:val="24"/>
          <w:lang w:val="en-US" w:eastAsia="zh-CN"/>
        </w:rPr>
      </w:pPr>
      <w:r>
        <w:rPr>
          <w:rFonts w:hint="eastAsia" w:ascii="Times New Roman" w:hAnsi="Times New Roman" w:eastAsia="宋体" w:cs="Times New Roman"/>
          <w:snapToGrid w:val="0"/>
          <w:color w:val="auto"/>
          <w:sz w:val="24"/>
          <w:szCs w:val="24"/>
          <w:lang w:val="en-US" w:eastAsia="zh-CN"/>
        </w:rPr>
        <w:t>A.一般固废暂存间应采取封闭结构，并采取一般防渗，做到防扬散、防流失、防渗漏。</w:t>
      </w:r>
    </w:p>
    <w:p w14:paraId="026A9706">
      <w:pPr>
        <w:adjustRightInd w:val="0"/>
        <w:snapToGrid w:val="0"/>
        <w:spacing w:line="440" w:lineRule="exact"/>
        <w:ind w:firstLine="480" w:firstLineChars="200"/>
        <w:rPr>
          <w:rFonts w:hint="eastAsia" w:ascii="Times New Roman" w:hAnsi="Times New Roman" w:eastAsia="宋体" w:cs="Times New Roman"/>
          <w:snapToGrid w:val="0"/>
          <w:color w:val="auto"/>
          <w:sz w:val="24"/>
          <w:szCs w:val="24"/>
        </w:rPr>
      </w:pPr>
      <w:r>
        <w:rPr>
          <w:rFonts w:hint="eastAsia" w:ascii="Times New Roman" w:hAnsi="Times New Roman" w:eastAsia="宋体" w:cs="Times New Roman"/>
          <w:snapToGrid w:val="0"/>
          <w:color w:val="auto"/>
          <w:sz w:val="24"/>
          <w:szCs w:val="24"/>
          <w:lang w:val="en-US" w:eastAsia="zh-CN"/>
        </w:rPr>
        <w:t>B.按照《环境保护图形标志 固体废物贮存（处置）场》（GB 15562.2-1995）及其修改单，设置环境保护图形标志牌。</w:t>
      </w:r>
    </w:p>
    <w:p w14:paraId="0B45C1C5">
      <w:pPr>
        <w:adjustRightInd w:val="0"/>
        <w:snapToGrid w:val="0"/>
        <w:spacing w:line="440" w:lineRule="exact"/>
        <w:ind w:firstLine="480" w:firstLineChars="200"/>
        <w:rPr>
          <w:rFonts w:hint="eastAsia" w:ascii="Times New Roman" w:hAnsi="Times New Roman" w:eastAsia="宋体" w:cs="Times New Roman"/>
          <w:snapToGrid w:val="0"/>
          <w:color w:val="auto"/>
          <w:sz w:val="24"/>
          <w:szCs w:val="24"/>
          <w:lang w:val="en-US" w:eastAsia="zh-CN"/>
        </w:rPr>
      </w:pPr>
      <w:r>
        <w:rPr>
          <w:rFonts w:hint="eastAsia" w:ascii="Times New Roman" w:hAnsi="Times New Roman" w:eastAsia="宋体" w:cs="Times New Roman"/>
          <w:snapToGrid w:val="0"/>
          <w:color w:val="auto"/>
          <w:sz w:val="24"/>
          <w:szCs w:val="24"/>
          <w:lang w:val="en-US" w:eastAsia="zh-CN"/>
        </w:rPr>
        <w:t>（2）管理要求</w:t>
      </w:r>
    </w:p>
    <w:p w14:paraId="77848B61">
      <w:pPr>
        <w:adjustRightInd w:val="0"/>
        <w:snapToGrid w:val="0"/>
        <w:spacing w:line="440" w:lineRule="exact"/>
        <w:ind w:firstLine="480" w:firstLineChars="200"/>
        <w:rPr>
          <w:rFonts w:hint="eastAsia" w:ascii="Times New Roman" w:hAnsi="Times New Roman" w:eastAsia="宋体" w:cs="Times New Roman"/>
          <w:snapToGrid w:val="0"/>
          <w:color w:val="auto"/>
          <w:sz w:val="24"/>
          <w:szCs w:val="24"/>
          <w:lang w:val="en-US" w:eastAsia="zh-CN"/>
        </w:rPr>
      </w:pPr>
      <w:r>
        <w:rPr>
          <w:rFonts w:hint="eastAsia" w:ascii="Times New Roman" w:hAnsi="Times New Roman" w:eastAsia="宋体" w:cs="Times New Roman"/>
          <w:snapToGrid w:val="0"/>
          <w:color w:val="auto"/>
          <w:sz w:val="24"/>
          <w:szCs w:val="24"/>
          <w:lang w:val="en-US" w:eastAsia="zh-CN"/>
        </w:rPr>
        <w:t>①产生、收集、贮存、运输、利用、处置固体废物的单位和个人，应当采取措施，防止或者减少固体废物对环境的污染，对所造成的环境污染依法承担责任。</w:t>
      </w:r>
    </w:p>
    <w:p w14:paraId="2826AAEA">
      <w:pPr>
        <w:adjustRightInd w:val="0"/>
        <w:snapToGrid w:val="0"/>
        <w:spacing w:line="440" w:lineRule="exact"/>
        <w:ind w:firstLine="480" w:firstLineChars="200"/>
        <w:rPr>
          <w:rFonts w:hint="eastAsia" w:ascii="Times New Roman" w:hAnsi="Times New Roman" w:eastAsia="宋体" w:cs="Times New Roman"/>
          <w:snapToGrid w:val="0"/>
          <w:color w:val="auto"/>
          <w:sz w:val="24"/>
          <w:szCs w:val="24"/>
          <w:lang w:val="en-US" w:eastAsia="zh-CN"/>
        </w:rPr>
      </w:pPr>
      <w:r>
        <w:rPr>
          <w:rFonts w:hint="eastAsia" w:ascii="Times New Roman" w:hAnsi="Times New Roman" w:eastAsia="宋体" w:cs="Times New Roman"/>
          <w:snapToGrid w:val="0"/>
          <w:color w:val="auto"/>
          <w:sz w:val="24"/>
          <w:szCs w:val="24"/>
          <w:lang w:val="en-US" w:eastAsia="zh-CN"/>
        </w:rPr>
        <w:t>②收集、贮存、运输、利用、处置固体废物的单位和其他生产经营者，应当加强对相关设施、设备和场所的管理和维护，保证其正常运行和使用。</w:t>
      </w:r>
    </w:p>
    <w:p w14:paraId="3E42E8DA">
      <w:pPr>
        <w:adjustRightInd w:val="0"/>
        <w:snapToGrid w:val="0"/>
        <w:spacing w:line="440" w:lineRule="exact"/>
        <w:ind w:firstLine="480" w:firstLineChars="200"/>
        <w:rPr>
          <w:rFonts w:hint="eastAsia" w:ascii="Times New Roman" w:hAnsi="Times New Roman" w:eastAsia="宋体" w:cs="Times New Roman"/>
          <w:snapToGrid w:val="0"/>
          <w:color w:val="auto"/>
          <w:sz w:val="24"/>
          <w:szCs w:val="24"/>
          <w:lang w:val="en-US" w:eastAsia="zh-CN"/>
        </w:rPr>
      </w:pPr>
      <w:r>
        <w:rPr>
          <w:rFonts w:hint="eastAsia" w:ascii="Times New Roman" w:hAnsi="Times New Roman" w:eastAsia="宋体" w:cs="Times New Roman"/>
          <w:snapToGrid w:val="0"/>
          <w:color w:val="auto"/>
          <w:sz w:val="24"/>
          <w:szCs w:val="24"/>
          <w:lang w:val="en-US" w:eastAsia="zh-CN"/>
        </w:rPr>
        <w:t>③产生、收集、贮存、运输、利用、处置固体废物的单位和其他生产经营者，应当采取防扬散、防流失、防渗漏或者其他防止污染环境的措施，不得擅自倾倒、堆放、丢弃、遗撒固体废物。禁止任何单位或者个人向江河、湖泊、运河、渠道、水库及其最高水位线以下的滩地和岸坡以及法律法规规定的其他地点倾倒、堆放、贮存固体废物。</w:t>
      </w:r>
    </w:p>
    <w:p w14:paraId="0E9F3549">
      <w:pPr>
        <w:adjustRightInd w:val="0"/>
        <w:snapToGrid w:val="0"/>
        <w:spacing w:line="440" w:lineRule="exact"/>
        <w:ind w:firstLine="480" w:firstLineChars="200"/>
        <w:rPr>
          <w:rFonts w:hint="eastAsia" w:ascii="Times New Roman" w:hAnsi="Times New Roman" w:eastAsia="宋体" w:cs="Times New Roman"/>
          <w:snapToGrid w:val="0"/>
          <w:color w:val="auto"/>
          <w:sz w:val="24"/>
          <w:szCs w:val="24"/>
          <w:lang w:val="en-US" w:eastAsia="zh-CN"/>
        </w:rPr>
      </w:pPr>
      <w:r>
        <w:rPr>
          <w:rFonts w:hint="eastAsia" w:ascii="Times New Roman" w:hAnsi="Times New Roman" w:eastAsia="宋体" w:cs="Times New Roman"/>
          <w:snapToGrid w:val="0"/>
          <w:color w:val="auto"/>
          <w:sz w:val="24"/>
          <w:szCs w:val="24"/>
          <w:lang w:val="en-US" w:eastAsia="zh-CN"/>
        </w:rPr>
        <w:t>④转移固体废物出省、自治区、直辖市行政区域贮存、处置的，应当向固体废物移出地的省、自治区、直辖市人民政府生态环境主管部门提出申请。移出地的省、自治区、直辖市人民政府生态环境主管部门应当及时商经接受地的省、自治区、直辖市人民政府生态环境主管部门同意后，在规定期限内批准转移该固体废物出省、自治区、直辖市行政区域。未经批准的，不得转移。转移固体废物出省、自治区、直辖市行政区域利用的，应当报固体废物移出地的省、自治区、直辖市人民政府生态环境主管部门备案。移出地的省、自治区、直辖市人民政府生态环境主管部门应当将备案信息通报接受地的省、自治区、直辖市人民政府生态环境主管部门。</w:t>
      </w:r>
    </w:p>
    <w:p w14:paraId="52588F7F">
      <w:pPr>
        <w:adjustRightInd w:val="0"/>
        <w:snapToGrid w:val="0"/>
        <w:spacing w:line="440" w:lineRule="exact"/>
        <w:ind w:firstLine="480" w:firstLineChars="200"/>
        <w:rPr>
          <w:rFonts w:hint="eastAsia" w:ascii="Times New Roman" w:hAnsi="Times New Roman" w:eastAsia="宋体" w:cs="Times New Roman"/>
          <w:snapToGrid w:val="0"/>
          <w:color w:val="auto"/>
          <w:sz w:val="24"/>
          <w:szCs w:val="24"/>
          <w:lang w:val="en-US" w:eastAsia="zh-CN"/>
        </w:rPr>
      </w:pPr>
      <w:r>
        <w:rPr>
          <w:rFonts w:hint="eastAsia" w:ascii="Times New Roman" w:hAnsi="Times New Roman" w:eastAsia="宋体" w:cs="Times New Roman"/>
          <w:snapToGrid w:val="0"/>
          <w:color w:val="auto"/>
          <w:sz w:val="24"/>
          <w:szCs w:val="24"/>
          <w:lang w:val="en-US" w:eastAsia="zh-CN"/>
        </w:rPr>
        <w:t>⑤产生、收集、贮存、运输、利用、处置固体废物的单位，应当依法及时公开固体废物污染环境防治信息，主动接受社会监督。</w:t>
      </w:r>
    </w:p>
    <w:p w14:paraId="4A063E30">
      <w:pPr>
        <w:adjustRightInd w:val="0"/>
        <w:snapToGrid w:val="0"/>
        <w:spacing w:line="440" w:lineRule="exact"/>
        <w:ind w:firstLine="480" w:firstLineChars="200"/>
        <w:rPr>
          <w:rFonts w:hint="eastAsia" w:ascii="Times New Roman" w:hAnsi="Times New Roman" w:eastAsia="宋体" w:cs="Times New Roman"/>
          <w:snapToGrid w:val="0"/>
          <w:color w:val="auto"/>
          <w:sz w:val="24"/>
          <w:szCs w:val="24"/>
          <w:lang w:val="en-US" w:eastAsia="zh-CN"/>
        </w:rPr>
      </w:pPr>
      <w:r>
        <w:rPr>
          <w:rFonts w:hint="eastAsia" w:ascii="Times New Roman" w:hAnsi="Times New Roman" w:eastAsia="宋体" w:cs="Times New Roman"/>
          <w:snapToGrid w:val="0"/>
          <w:color w:val="auto"/>
          <w:sz w:val="24"/>
          <w:szCs w:val="24"/>
          <w:lang w:val="en-US" w:eastAsia="zh-CN"/>
        </w:rPr>
        <w:t>⑥产生工业固体废物的单位应当建立健全工业固体废物产生、收集、贮存、运输、利用、处置全过程的污染环境防治责任制度，建立工业固体废物管理台账，如实记录产生工业固体废物的种类、数量、流向、贮存、利用、处置等信息，实现工业固体废物可追溯、可查询，并采取防治工业固体废物污染环境的措施。禁止向生活垃圾收集设施中投放工业固体废物。</w:t>
      </w:r>
    </w:p>
    <w:p w14:paraId="7ADD14AA">
      <w:pPr>
        <w:adjustRightInd w:val="0"/>
        <w:snapToGrid w:val="0"/>
        <w:spacing w:line="440" w:lineRule="exact"/>
        <w:ind w:firstLine="480" w:firstLineChars="200"/>
        <w:rPr>
          <w:rFonts w:hint="eastAsia" w:ascii="Times New Roman" w:hAnsi="Times New Roman" w:eastAsia="宋体" w:cs="Times New Roman"/>
          <w:snapToGrid w:val="0"/>
          <w:color w:val="auto"/>
          <w:sz w:val="24"/>
          <w:szCs w:val="24"/>
          <w:lang w:val="en-US" w:eastAsia="zh-CN"/>
        </w:rPr>
      </w:pPr>
      <w:r>
        <w:rPr>
          <w:rFonts w:hint="eastAsia" w:ascii="Times New Roman" w:hAnsi="Times New Roman" w:eastAsia="宋体" w:cs="Times New Roman"/>
          <w:snapToGrid w:val="0"/>
          <w:color w:val="auto"/>
          <w:sz w:val="24"/>
          <w:szCs w:val="24"/>
          <w:lang w:val="en-US" w:eastAsia="zh-CN"/>
        </w:rPr>
        <w:t>⑦产生工业固体废物的单位委托他人运输、利用、处置工业固体废物的，应当对受托方的主体资格和技术能力进行核实，依法签订书面合同，在合同中约定污染防治要求。受托方运输、利用、处置工业固体废物，应当依照有关法律法规的规定和合同约定履行污染防治要求，并将运输、利用、处置情况告知产生工业固体废物的单位。</w:t>
      </w:r>
    </w:p>
    <w:p w14:paraId="2F38A428">
      <w:pPr>
        <w:adjustRightInd w:val="0"/>
        <w:snapToGrid w:val="0"/>
        <w:spacing w:line="440" w:lineRule="exact"/>
        <w:ind w:firstLine="480" w:firstLineChars="200"/>
        <w:rPr>
          <w:rFonts w:hint="eastAsia" w:ascii="Times New Roman" w:hAnsi="Times New Roman" w:eastAsia="宋体" w:cs="Times New Roman"/>
          <w:snapToGrid w:val="0"/>
          <w:color w:val="auto"/>
          <w:sz w:val="24"/>
          <w:szCs w:val="24"/>
          <w:lang w:val="en-US" w:eastAsia="zh-CN"/>
        </w:rPr>
      </w:pPr>
      <w:r>
        <w:rPr>
          <w:rFonts w:hint="eastAsia" w:ascii="Times New Roman" w:hAnsi="Times New Roman" w:eastAsia="宋体" w:cs="Times New Roman"/>
          <w:snapToGrid w:val="0"/>
          <w:color w:val="auto"/>
          <w:sz w:val="24"/>
          <w:szCs w:val="24"/>
          <w:lang w:val="en-US" w:eastAsia="zh-CN"/>
        </w:rPr>
        <w:t>⑧产生工业固体废物的单位应当向所在地生态环境主管部门提供工业固体废物的种类、数量、流向、贮存、利用、处置等有关资料，以及减少工业固体废物产生、促进综合利用的具体措施，并执行排污许可管理制度的相关规定。</w:t>
      </w:r>
    </w:p>
    <w:p w14:paraId="7E3D2A78">
      <w:pPr>
        <w:adjustRightInd w:val="0"/>
        <w:snapToGrid w:val="0"/>
        <w:spacing w:line="440" w:lineRule="exact"/>
        <w:ind w:firstLine="480" w:firstLineChars="200"/>
        <w:rPr>
          <w:rFonts w:hint="eastAsia" w:ascii="Times New Roman" w:hAnsi="Times New Roman" w:eastAsia="宋体" w:cs="Times New Roman"/>
          <w:snapToGrid w:val="0"/>
          <w:color w:val="auto"/>
          <w:sz w:val="24"/>
          <w:szCs w:val="24"/>
          <w:lang w:val="en-US" w:eastAsia="zh-CN"/>
        </w:rPr>
      </w:pPr>
      <w:r>
        <w:rPr>
          <w:rFonts w:hint="eastAsia" w:ascii="Times New Roman" w:hAnsi="Times New Roman" w:eastAsia="宋体" w:cs="Times New Roman"/>
          <w:snapToGrid w:val="0"/>
          <w:color w:val="auto"/>
          <w:sz w:val="24"/>
          <w:szCs w:val="24"/>
          <w:lang w:val="en-US" w:eastAsia="zh-CN"/>
        </w:rPr>
        <w:t>⑨建设工业固体废物贮存、处置的设施、场所，应当符合国家环境保护标准。</w:t>
      </w:r>
    </w:p>
    <w:p w14:paraId="1A2FE113">
      <w:pPr>
        <w:adjustRightInd w:val="0"/>
        <w:snapToGrid w:val="0"/>
        <w:spacing w:line="440" w:lineRule="exact"/>
        <w:ind w:firstLine="480" w:firstLineChars="200"/>
        <w:rPr>
          <w:rFonts w:hint="eastAsia" w:ascii="Times New Roman" w:hAnsi="Times New Roman" w:eastAsia="宋体" w:cs="Times New Roman"/>
          <w:snapToGrid w:val="0"/>
          <w:color w:val="auto"/>
          <w:sz w:val="24"/>
          <w:szCs w:val="24"/>
        </w:rPr>
      </w:pPr>
      <w:r>
        <w:rPr>
          <w:rFonts w:hint="eastAsia" w:ascii="Times New Roman" w:hAnsi="Times New Roman" w:eastAsia="宋体" w:cs="Times New Roman"/>
          <w:snapToGrid w:val="0"/>
          <w:color w:val="auto"/>
          <w:sz w:val="24"/>
          <w:szCs w:val="24"/>
          <w:lang w:val="en-US" w:eastAsia="zh-CN"/>
        </w:rPr>
        <w:t>⑩产生工业固体废物的单位终止的，应当在终止前对工业固体废物的贮存、处置的设施、场所采取污染防治措施，并对未处置的工业固体废物作出妥善处置，防止污染环境。产生工业固体废物的单位发生变更的，变更后的单位应当按照国家有关环境保护的规定对未处置的工业固体废物及其贮存、处置的设施、场所进行安全处置或者采取有效措施保证该设施、场所安全运行。变更前当事人对工业固体废物及其贮存、处置的设施、场所的污染防治责任另有约定的，从其约定；但是，不得免除当事人的污染防治义务。</w:t>
      </w:r>
    </w:p>
    <w:p w14:paraId="796DF48B">
      <w:pPr>
        <w:pStyle w:val="5"/>
        <w:rPr>
          <w:rFonts w:ascii="Times New Roman" w:hAnsi="Times New Roman"/>
          <w:color w:val="000000"/>
          <w:lang w:val="en-US"/>
        </w:rPr>
      </w:pPr>
      <w:r>
        <w:rPr>
          <w:rFonts w:ascii="Times New Roman" w:hAnsi="Times New Roman"/>
          <w:color w:val="000000"/>
          <w:lang w:val="en-US"/>
        </w:rPr>
        <w:t>6.2.4.2 危险废物</w:t>
      </w:r>
    </w:p>
    <w:p w14:paraId="0A4B6705">
      <w:pPr>
        <w:keepNext w:val="0"/>
        <w:keepLines w:val="0"/>
        <w:pageBreakBefore w:val="0"/>
        <w:widowControl/>
        <w:kinsoku/>
        <w:wordWrap/>
        <w:overflowPunct w:val="0"/>
        <w:topLinePunct/>
        <w:autoSpaceDE w:val="0"/>
        <w:autoSpaceDN w:val="0"/>
        <w:bidi w:val="0"/>
        <w:adjustRightInd w:val="0"/>
        <w:snapToGrid w:val="0"/>
        <w:spacing w:line="500" w:lineRule="exact"/>
        <w:ind w:firstLine="480" w:firstLineChars="200"/>
        <w:jc w:val="left"/>
        <w:textAlignment w:val="baseline"/>
        <w:rPr>
          <w:kern w:val="0"/>
          <w:sz w:val="24"/>
          <w:szCs w:val="24"/>
          <w:lang w:val="zh-CN" w:bidi="ar"/>
        </w:rPr>
      </w:pPr>
      <w:r>
        <w:rPr>
          <w:rFonts w:hint="eastAsia"/>
          <w:kern w:val="0"/>
          <w:sz w:val="24"/>
          <w:szCs w:val="24"/>
          <w:lang w:val="en-US" w:eastAsia="zh-CN" w:bidi="ar"/>
        </w:rPr>
        <w:t>1、</w:t>
      </w:r>
      <w:r>
        <w:rPr>
          <w:kern w:val="0"/>
          <w:sz w:val="24"/>
          <w:szCs w:val="24"/>
          <w:lang w:val="zh-CN" w:bidi="ar"/>
        </w:rPr>
        <w:t>处置措施</w:t>
      </w:r>
    </w:p>
    <w:p w14:paraId="79655CD5">
      <w:pPr>
        <w:keepNext w:val="0"/>
        <w:keepLines w:val="0"/>
        <w:pageBreakBefore w:val="0"/>
        <w:kinsoku/>
        <w:wordWrap/>
        <w:autoSpaceDE w:val="0"/>
        <w:autoSpaceDN w:val="0"/>
        <w:bidi w:val="0"/>
        <w:spacing w:line="500" w:lineRule="exact"/>
        <w:ind w:left="0" w:leftChars="0" w:firstLine="420" w:firstLineChars="175"/>
        <w:jc w:val="both"/>
        <w:rPr>
          <w:kern w:val="0"/>
          <w:sz w:val="24"/>
          <w:szCs w:val="24"/>
          <w:lang w:bidi="zh-CN"/>
        </w:rPr>
      </w:pPr>
      <w:r>
        <w:rPr>
          <w:kern w:val="0"/>
          <w:sz w:val="24"/>
          <w:szCs w:val="24"/>
          <w:lang w:bidi="zh-CN"/>
        </w:rPr>
        <w:t>废</w:t>
      </w:r>
      <w:r>
        <w:rPr>
          <w:color w:val="000000"/>
          <w:kern w:val="0"/>
          <w:sz w:val="24"/>
          <w:szCs w:val="24"/>
        </w:rPr>
        <w:t>润滑油、废润滑油桶</w:t>
      </w:r>
      <w:r>
        <w:rPr>
          <w:rFonts w:hint="eastAsia"/>
          <w:color w:val="000000"/>
          <w:kern w:val="0"/>
          <w:sz w:val="24"/>
          <w:szCs w:val="24"/>
          <w:lang w:eastAsia="zh-CN"/>
        </w:rPr>
        <w:t>：</w:t>
      </w:r>
      <w:r>
        <w:rPr>
          <w:kern w:val="0"/>
          <w:sz w:val="24"/>
          <w:szCs w:val="24"/>
          <w:lang w:bidi="zh-CN"/>
        </w:rPr>
        <w:t>生产过程设备维修过程中产生的废</w:t>
      </w:r>
      <w:r>
        <w:rPr>
          <w:color w:val="000000"/>
          <w:kern w:val="0"/>
          <w:sz w:val="24"/>
          <w:szCs w:val="24"/>
        </w:rPr>
        <w:t>润滑油、废润滑油桶</w:t>
      </w:r>
      <w:r>
        <w:rPr>
          <w:kern w:val="0"/>
          <w:sz w:val="24"/>
          <w:szCs w:val="24"/>
          <w:lang w:bidi="zh-CN"/>
        </w:rPr>
        <w:t>属于《国家危险废物名录》（202</w:t>
      </w:r>
      <w:r>
        <w:rPr>
          <w:rFonts w:hint="eastAsia"/>
          <w:kern w:val="0"/>
          <w:sz w:val="24"/>
          <w:szCs w:val="24"/>
          <w:lang w:val="en-US" w:bidi="zh-CN"/>
        </w:rPr>
        <w:t>5</w:t>
      </w:r>
      <w:r>
        <w:rPr>
          <w:kern w:val="0"/>
          <w:sz w:val="24"/>
          <w:szCs w:val="24"/>
          <w:lang w:bidi="zh-CN"/>
        </w:rPr>
        <w:t>年）中HW08类危险废物，</w:t>
      </w:r>
      <w:r>
        <w:rPr>
          <w:color w:val="000000"/>
          <w:kern w:val="0"/>
          <w:sz w:val="24"/>
          <w:szCs w:val="24"/>
        </w:rPr>
        <w:t>属于HW08废矿物油与含矿物油废物，废物代码分别为900-217-08、900-249-08</w:t>
      </w:r>
      <w:r>
        <w:rPr>
          <w:rFonts w:hint="eastAsia"/>
          <w:kern w:val="0"/>
          <w:sz w:val="24"/>
          <w:szCs w:val="24"/>
          <w:lang w:bidi="zh-CN"/>
        </w:rPr>
        <w:t>；</w:t>
      </w:r>
      <w:r>
        <w:rPr>
          <w:kern w:val="0"/>
          <w:sz w:val="24"/>
          <w:szCs w:val="24"/>
          <w:lang w:bidi="zh-CN"/>
        </w:rPr>
        <w:t>产生的废机油采用桶装收集储存，暂存于危废贮存点，</w:t>
      </w:r>
      <w:r>
        <w:rPr>
          <w:kern w:val="0"/>
          <w:sz w:val="24"/>
          <w:szCs w:val="24"/>
          <w:lang w:val="zh-CN" w:bidi="ar"/>
        </w:rPr>
        <w:t>委托有危废处理资质的单位安全处置</w:t>
      </w:r>
      <w:r>
        <w:rPr>
          <w:rFonts w:hint="eastAsia"/>
          <w:kern w:val="0"/>
          <w:sz w:val="24"/>
          <w:szCs w:val="24"/>
          <w:lang w:val="zh-CN" w:bidi="ar"/>
        </w:rPr>
        <w:t>。</w:t>
      </w:r>
    </w:p>
    <w:p w14:paraId="3223D365">
      <w:pPr>
        <w:keepNext w:val="0"/>
        <w:keepLines w:val="0"/>
        <w:pageBreakBefore w:val="0"/>
        <w:kinsoku/>
        <w:wordWrap/>
        <w:autoSpaceDE w:val="0"/>
        <w:autoSpaceDN w:val="0"/>
        <w:bidi w:val="0"/>
        <w:spacing w:line="500" w:lineRule="exact"/>
        <w:ind w:left="0" w:leftChars="0" w:firstLine="420" w:firstLineChars="175"/>
        <w:jc w:val="left"/>
        <w:rPr>
          <w:kern w:val="0"/>
          <w:sz w:val="24"/>
          <w:szCs w:val="24"/>
          <w:lang w:bidi="zh-CN"/>
        </w:rPr>
      </w:pPr>
      <w:r>
        <w:rPr>
          <w:rFonts w:hint="eastAsia"/>
          <w:kern w:val="0"/>
          <w:sz w:val="24"/>
          <w:szCs w:val="24"/>
          <w:lang w:bidi="zh-CN"/>
        </w:rPr>
        <w:t>废活性炭：</w:t>
      </w:r>
      <w:r>
        <w:rPr>
          <w:kern w:val="0"/>
          <w:sz w:val="24"/>
          <w:szCs w:val="24"/>
          <w:lang w:bidi="zh-CN"/>
        </w:rPr>
        <w:t>生产过程</w:t>
      </w:r>
      <w:r>
        <w:rPr>
          <w:rFonts w:hint="eastAsia"/>
          <w:kern w:val="0"/>
          <w:sz w:val="24"/>
          <w:szCs w:val="24"/>
          <w:lang w:bidi="zh-CN"/>
        </w:rPr>
        <w:t>废气处理</w:t>
      </w:r>
      <w:r>
        <w:rPr>
          <w:kern w:val="0"/>
          <w:sz w:val="24"/>
          <w:szCs w:val="24"/>
          <w:lang w:val="zh-CN" w:bidi="ar"/>
        </w:rPr>
        <w:t>产生的废活性炭定期更换，根据《国家危险废物名录》，废活性炭属于危险废物，危废编号HW49，废物代码900-039-49</w:t>
      </w:r>
      <w:r>
        <w:rPr>
          <w:rFonts w:hint="eastAsia"/>
          <w:kern w:val="0"/>
          <w:sz w:val="24"/>
          <w:szCs w:val="24"/>
          <w:lang w:val="zh-CN" w:bidi="ar"/>
        </w:rPr>
        <w:t>，</w:t>
      </w:r>
      <w:r>
        <w:rPr>
          <w:kern w:val="0"/>
          <w:sz w:val="24"/>
          <w:szCs w:val="24"/>
          <w:lang w:val="zh-CN" w:bidi="ar"/>
        </w:rPr>
        <w:t>收集暂存后委托有危废处理资质的单位安全处置。</w:t>
      </w:r>
    </w:p>
    <w:p w14:paraId="06D8BA18">
      <w:pPr>
        <w:widowControl/>
        <w:autoSpaceDE w:val="0"/>
        <w:autoSpaceDN w:val="0"/>
        <w:adjustRightInd w:val="0"/>
        <w:snapToGrid w:val="0"/>
        <w:jc w:val="center"/>
        <w:rPr>
          <w:b/>
          <w:bCs/>
          <w:szCs w:val="21"/>
          <w:lang w:val="zh-CN" w:bidi="zh-CN"/>
        </w:rPr>
      </w:pPr>
      <w:r>
        <w:rPr>
          <w:b/>
          <w:bCs/>
          <w:szCs w:val="21"/>
          <w:lang w:val="zh-CN" w:bidi="zh-CN"/>
        </w:rPr>
        <w:t>表6.2-</w:t>
      </w:r>
      <w:r>
        <w:rPr>
          <w:rFonts w:hint="eastAsia"/>
          <w:b/>
          <w:bCs/>
          <w:szCs w:val="21"/>
          <w:lang w:val="zh-CN" w:bidi="zh-CN"/>
        </w:rPr>
        <w:t xml:space="preserve">5    </w:t>
      </w:r>
      <w:r>
        <w:rPr>
          <w:b/>
          <w:bCs/>
          <w:szCs w:val="21"/>
          <w:lang w:val="zh-CN" w:bidi="zh-CN"/>
        </w:rPr>
        <w:t>项目危险废物贮存场所基本情况</w:t>
      </w:r>
    </w:p>
    <w:tbl>
      <w:tblPr>
        <w:tblStyle w:val="49"/>
        <w:tblW w:w="9287" w:type="dxa"/>
        <w:tblInd w:w="0" w:type="dxa"/>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autofit"/>
        <w:tblCellMar>
          <w:top w:w="0" w:type="dxa"/>
          <w:left w:w="108" w:type="dxa"/>
          <w:bottom w:w="0" w:type="dxa"/>
          <w:right w:w="108" w:type="dxa"/>
        </w:tblCellMar>
      </w:tblPr>
      <w:tblGrid>
        <w:gridCol w:w="414"/>
        <w:gridCol w:w="926"/>
        <w:gridCol w:w="894"/>
        <w:gridCol w:w="776"/>
        <w:gridCol w:w="1242"/>
        <w:gridCol w:w="903"/>
        <w:gridCol w:w="854"/>
        <w:gridCol w:w="863"/>
        <w:gridCol w:w="990"/>
        <w:gridCol w:w="703"/>
        <w:gridCol w:w="722"/>
      </w:tblGrid>
      <w:tr w14:paraId="563966E6">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c>
          <w:tcPr>
            <w:tcW w:w="414" w:type="dxa"/>
            <w:vAlign w:val="center"/>
          </w:tcPr>
          <w:p w14:paraId="4367E922">
            <w:pPr>
              <w:autoSpaceDE w:val="0"/>
              <w:autoSpaceDN w:val="0"/>
              <w:adjustRightInd w:val="0"/>
              <w:snapToGrid w:val="0"/>
              <w:jc w:val="center"/>
              <w:rPr>
                <w:spacing w:val="-6"/>
                <w:kern w:val="0"/>
                <w:szCs w:val="21"/>
                <w:lang w:val="zh-CN" w:bidi="zh-CN"/>
              </w:rPr>
            </w:pPr>
            <w:r>
              <w:rPr>
                <w:spacing w:val="-6"/>
                <w:kern w:val="0"/>
                <w:szCs w:val="21"/>
                <w:lang w:val="zh-CN" w:bidi="zh-CN"/>
              </w:rPr>
              <w:t>序号</w:t>
            </w:r>
          </w:p>
        </w:tc>
        <w:tc>
          <w:tcPr>
            <w:tcW w:w="926" w:type="dxa"/>
            <w:vAlign w:val="center"/>
          </w:tcPr>
          <w:p w14:paraId="0467A2F5">
            <w:pPr>
              <w:autoSpaceDE w:val="0"/>
              <w:autoSpaceDN w:val="0"/>
              <w:adjustRightInd w:val="0"/>
              <w:snapToGrid w:val="0"/>
              <w:jc w:val="center"/>
              <w:rPr>
                <w:spacing w:val="-6"/>
                <w:kern w:val="0"/>
                <w:szCs w:val="21"/>
                <w:lang w:val="zh-CN" w:bidi="zh-CN"/>
              </w:rPr>
            </w:pPr>
            <w:r>
              <w:rPr>
                <w:spacing w:val="-6"/>
                <w:kern w:val="0"/>
                <w:szCs w:val="21"/>
                <w:lang w:val="zh-CN" w:bidi="zh-CN"/>
              </w:rPr>
              <w:t>贮存场所名称</w:t>
            </w:r>
          </w:p>
        </w:tc>
        <w:tc>
          <w:tcPr>
            <w:tcW w:w="894" w:type="dxa"/>
            <w:vAlign w:val="center"/>
          </w:tcPr>
          <w:p w14:paraId="16E3502C">
            <w:pPr>
              <w:autoSpaceDE w:val="0"/>
              <w:autoSpaceDN w:val="0"/>
              <w:adjustRightInd w:val="0"/>
              <w:snapToGrid w:val="0"/>
              <w:jc w:val="center"/>
              <w:rPr>
                <w:spacing w:val="-6"/>
                <w:kern w:val="0"/>
                <w:szCs w:val="21"/>
                <w:lang w:val="zh-CN" w:bidi="zh-CN"/>
              </w:rPr>
            </w:pPr>
            <w:r>
              <w:rPr>
                <w:spacing w:val="-6"/>
                <w:kern w:val="0"/>
                <w:szCs w:val="21"/>
                <w:lang w:val="zh-CN" w:bidi="zh-CN"/>
              </w:rPr>
              <w:t>危险名称</w:t>
            </w:r>
          </w:p>
        </w:tc>
        <w:tc>
          <w:tcPr>
            <w:tcW w:w="776" w:type="dxa"/>
            <w:vAlign w:val="center"/>
          </w:tcPr>
          <w:p w14:paraId="2987602F">
            <w:pPr>
              <w:autoSpaceDE w:val="0"/>
              <w:autoSpaceDN w:val="0"/>
              <w:adjustRightInd w:val="0"/>
              <w:snapToGrid w:val="0"/>
              <w:jc w:val="center"/>
              <w:rPr>
                <w:spacing w:val="-6"/>
                <w:kern w:val="0"/>
                <w:szCs w:val="21"/>
                <w:lang w:val="zh-CN" w:bidi="zh-CN"/>
              </w:rPr>
            </w:pPr>
            <w:r>
              <w:rPr>
                <w:spacing w:val="-6"/>
                <w:kern w:val="0"/>
                <w:szCs w:val="21"/>
                <w:lang w:val="zh-CN" w:bidi="zh-CN"/>
              </w:rPr>
              <w:t>类别</w:t>
            </w:r>
          </w:p>
        </w:tc>
        <w:tc>
          <w:tcPr>
            <w:tcW w:w="1242" w:type="dxa"/>
            <w:vAlign w:val="center"/>
          </w:tcPr>
          <w:p w14:paraId="4981A764">
            <w:pPr>
              <w:autoSpaceDE w:val="0"/>
              <w:autoSpaceDN w:val="0"/>
              <w:adjustRightInd w:val="0"/>
              <w:snapToGrid w:val="0"/>
              <w:jc w:val="center"/>
              <w:rPr>
                <w:spacing w:val="-6"/>
                <w:kern w:val="0"/>
                <w:szCs w:val="21"/>
                <w:lang w:val="zh-CN" w:bidi="zh-CN"/>
              </w:rPr>
            </w:pPr>
            <w:r>
              <w:rPr>
                <w:spacing w:val="-6"/>
                <w:kern w:val="0"/>
                <w:szCs w:val="21"/>
                <w:lang w:val="zh-CN" w:bidi="zh-CN"/>
              </w:rPr>
              <w:t>危废代码</w:t>
            </w:r>
          </w:p>
        </w:tc>
        <w:tc>
          <w:tcPr>
            <w:tcW w:w="903" w:type="dxa"/>
            <w:vAlign w:val="center"/>
          </w:tcPr>
          <w:p w14:paraId="0DFF89A3">
            <w:pPr>
              <w:autoSpaceDE w:val="0"/>
              <w:autoSpaceDN w:val="0"/>
              <w:adjustRightInd w:val="0"/>
              <w:snapToGrid w:val="0"/>
              <w:jc w:val="center"/>
              <w:rPr>
                <w:spacing w:val="-6"/>
                <w:kern w:val="0"/>
                <w:szCs w:val="21"/>
                <w:lang w:val="zh-CN" w:bidi="zh-CN"/>
              </w:rPr>
            </w:pPr>
            <w:r>
              <w:rPr>
                <w:spacing w:val="-6"/>
                <w:kern w:val="0"/>
                <w:szCs w:val="21"/>
                <w:lang w:val="zh-CN" w:bidi="zh-CN"/>
              </w:rPr>
              <w:t>产生装置</w:t>
            </w:r>
          </w:p>
        </w:tc>
        <w:tc>
          <w:tcPr>
            <w:tcW w:w="854" w:type="dxa"/>
            <w:vAlign w:val="center"/>
          </w:tcPr>
          <w:p w14:paraId="1F4FF1AE">
            <w:pPr>
              <w:autoSpaceDE w:val="0"/>
              <w:autoSpaceDN w:val="0"/>
              <w:adjustRightInd w:val="0"/>
              <w:snapToGrid w:val="0"/>
              <w:jc w:val="center"/>
              <w:rPr>
                <w:spacing w:val="-6"/>
                <w:kern w:val="0"/>
                <w:szCs w:val="21"/>
                <w:lang w:val="zh-CN" w:bidi="zh-CN"/>
              </w:rPr>
            </w:pPr>
            <w:r>
              <w:rPr>
                <w:spacing w:val="-6"/>
                <w:kern w:val="0"/>
                <w:szCs w:val="21"/>
                <w:lang w:val="zh-CN" w:bidi="zh-CN"/>
              </w:rPr>
              <w:t>储存方式</w:t>
            </w:r>
          </w:p>
        </w:tc>
        <w:tc>
          <w:tcPr>
            <w:tcW w:w="863" w:type="dxa"/>
            <w:vAlign w:val="center"/>
          </w:tcPr>
          <w:p w14:paraId="58F77447">
            <w:pPr>
              <w:autoSpaceDE w:val="0"/>
              <w:autoSpaceDN w:val="0"/>
              <w:adjustRightInd w:val="0"/>
              <w:snapToGrid w:val="0"/>
              <w:jc w:val="center"/>
              <w:rPr>
                <w:spacing w:val="-6"/>
                <w:kern w:val="0"/>
                <w:szCs w:val="21"/>
                <w:lang w:val="zh-CN" w:bidi="zh-CN"/>
              </w:rPr>
            </w:pPr>
            <w:r>
              <w:rPr>
                <w:spacing w:val="-6"/>
                <w:kern w:val="0"/>
                <w:szCs w:val="21"/>
                <w:lang w:val="zh-CN" w:bidi="zh-CN"/>
              </w:rPr>
              <w:t>位置</w:t>
            </w:r>
          </w:p>
        </w:tc>
        <w:tc>
          <w:tcPr>
            <w:tcW w:w="990" w:type="dxa"/>
            <w:vAlign w:val="center"/>
          </w:tcPr>
          <w:p w14:paraId="2834C05B">
            <w:pPr>
              <w:autoSpaceDE w:val="0"/>
              <w:autoSpaceDN w:val="0"/>
              <w:adjustRightInd w:val="0"/>
              <w:snapToGrid w:val="0"/>
              <w:jc w:val="center"/>
              <w:rPr>
                <w:spacing w:val="-6"/>
                <w:kern w:val="0"/>
                <w:szCs w:val="21"/>
                <w:lang w:val="zh-CN" w:bidi="zh-CN"/>
              </w:rPr>
            </w:pPr>
            <w:r>
              <w:rPr>
                <w:spacing w:val="-6"/>
                <w:kern w:val="0"/>
                <w:szCs w:val="21"/>
                <w:lang w:val="zh-CN" w:bidi="zh-CN"/>
              </w:rPr>
              <w:t>占地面积（设施情况）</w:t>
            </w:r>
          </w:p>
        </w:tc>
        <w:tc>
          <w:tcPr>
            <w:tcW w:w="703" w:type="dxa"/>
            <w:vAlign w:val="center"/>
          </w:tcPr>
          <w:p w14:paraId="0AC42081">
            <w:pPr>
              <w:autoSpaceDE w:val="0"/>
              <w:autoSpaceDN w:val="0"/>
              <w:adjustRightInd w:val="0"/>
              <w:snapToGrid w:val="0"/>
              <w:jc w:val="center"/>
              <w:rPr>
                <w:spacing w:val="-6"/>
                <w:kern w:val="0"/>
                <w:szCs w:val="21"/>
                <w:lang w:val="zh-CN" w:bidi="zh-CN"/>
              </w:rPr>
            </w:pPr>
            <w:r>
              <w:rPr>
                <w:spacing w:val="-6"/>
                <w:kern w:val="0"/>
                <w:szCs w:val="21"/>
                <w:lang w:val="zh-CN" w:bidi="zh-CN"/>
              </w:rPr>
              <w:t>贮存能力</w:t>
            </w:r>
          </w:p>
        </w:tc>
        <w:tc>
          <w:tcPr>
            <w:tcW w:w="722" w:type="dxa"/>
            <w:vAlign w:val="center"/>
          </w:tcPr>
          <w:p w14:paraId="211FA63E">
            <w:pPr>
              <w:autoSpaceDE w:val="0"/>
              <w:autoSpaceDN w:val="0"/>
              <w:adjustRightInd w:val="0"/>
              <w:snapToGrid w:val="0"/>
              <w:jc w:val="center"/>
              <w:rPr>
                <w:spacing w:val="-6"/>
                <w:kern w:val="0"/>
                <w:szCs w:val="21"/>
                <w:lang w:val="zh-CN" w:bidi="zh-CN"/>
              </w:rPr>
            </w:pPr>
            <w:r>
              <w:rPr>
                <w:spacing w:val="-6"/>
                <w:kern w:val="0"/>
                <w:szCs w:val="21"/>
                <w:lang w:val="zh-CN" w:bidi="zh-CN"/>
              </w:rPr>
              <w:t>贮存周期</w:t>
            </w:r>
          </w:p>
        </w:tc>
      </w:tr>
      <w:tr w14:paraId="65BA48A3">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c>
          <w:tcPr>
            <w:tcW w:w="414" w:type="dxa"/>
            <w:vAlign w:val="center"/>
          </w:tcPr>
          <w:p w14:paraId="732D5F3E">
            <w:pPr>
              <w:autoSpaceDE w:val="0"/>
              <w:autoSpaceDN w:val="0"/>
              <w:adjustRightInd w:val="0"/>
              <w:snapToGrid w:val="0"/>
              <w:jc w:val="center"/>
              <w:rPr>
                <w:spacing w:val="-6"/>
                <w:kern w:val="0"/>
                <w:szCs w:val="21"/>
                <w:lang w:val="zh-CN" w:bidi="zh-CN"/>
              </w:rPr>
            </w:pPr>
            <w:r>
              <w:rPr>
                <w:spacing w:val="-6"/>
                <w:kern w:val="0"/>
                <w:szCs w:val="21"/>
                <w:lang w:val="zh-CN" w:bidi="zh-CN"/>
              </w:rPr>
              <w:t>1</w:t>
            </w:r>
          </w:p>
        </w:tc>
        <w:tc>
          <w:tcPr>
            <w:tcW w:w="926" w:type="dxa"/>
            <w:vMerge w:val="restart"/>
            <w:vAlign w:val="center"/>
          </w:tcPr>
          <w:p w14:paraId="2EABB7A0">
            <w:pPr>
              <w:autoSpaceDE w:val="0"/>
              <w:autoSpaceDN w:val="0"/>
              <w:adjustRightInd w:val="0"/>
              <w:snapToGrid w:val="0"/>
              <w:jc w:val="center"/>
              <w:rPr>
                <w:spacing w:val="-6"/>
                <w:kern w:val="0"/>
                <w:szCs w:val="21"/>
                <w:lang w:val="zh-CN" w:bidi="zh-CN"/>
              </w:rPr>
            </w:pPr>
            <w:r>
              <w:rPr>
                <w:spacing w:val="-6"/>
                <w:kern w:val="0"/>
                <w:szCs w:val="21"/>
                <w:lang w:val="zh-CN" w:bidi="zh-CN"/>
              </w:rPr>
              <w:t>危废</w:t>
            </w:r>
            <w:r>
              <w:rPr>
                <w:rFonts w:hint="eastAsia"/>
                <w:spacing w:val="-6"/>
                <w:kern w:val="0"/>
                <w:szCs w:val="21"/>
                <w:lang w:val="zh-CN" w:bidi="zh-CN"/>
              </w:rPr>
              <w:t>贮存点</w:t>
            </w:r>
          </w:p>
        </w:tc>
        <w:tc>
          <w:tcPr>
            <w:tcW w:w="894" w:type="dxa"/>
            <w:vAlign w:val="center"/>
          </w:tcPr>
          <w:p w14:paraId="0CB03066">
            <w:pPr>
              <w:autoSpaceDE w:val="0"/>
              <w:autoSpaceDN w:val="0"/>
              <w:adjustRightInd w:val="0"/>
              <w:snapToGrid w:val="0"/>
              <w:jc w:val="center"/>
              <w:rPr>
                <w:spacing w:val="-6"/>
                <w:kern w:val="0"/>
                <w:szCs w:val="21"/>
                <w:lang w:val="zh-CN" w:bidi="zh-CN"/>
              </w:rPr>
            </w:pPr>
            <w:r>
              <w:rPr>
                <w:spacing w:val="-6"/>
                <w:kern w:val="0"/>
                <w:szCs w:val="21"/>
                <w:lang w:val="zh-CN" w:bidi="zh-CN"/>
              </w:rPr>
              <w:t>废机油</w:t>
            </w:r>
          </w:p>
        </w:tc>
        <w:tc>
          <w:tcPr>
            <w:tcW w:w="776" w:type="dxa"/>
            <w:vAlign w:val="center"/>
          </w:tcPr>
          <w:p w14:paraId="5E3D602A">
            <w:pPr>
              <w:autoSpaceDE w:val="0"/>
              <w:autoSpaceDN w:val="0"/>
              <w:adjustRightInd w:val="0"/>
              <w:snapToGrid w:val="0"/>
              <w:jc w:val="center"/>
              <w:rPr>
                <w:spacing w:val="-6"/>
                <w:kern w:val="0"/>
                <w:szCs w:val="21"/>
                <w:lang w:val="zh-CN" w:bidi="zh-CN"/>
              </w:rPr>
            </w:pPr>
            <w:r>
              <w:rPr>
                <w:spacing w:val="-6"/>
                <w:kern w:val="0"/>
                <w:szCs w:val="21"/>
                <w:lang w:val="zh-CN" w:bidi="zh-CN"/>
              </w:rPr>
              <w:t>HW08</w:t>
            </w:r>
          </w:p>
        </w:tc>
        <w:tc>
          <w:tcPr>
            <w:tcW w:w="1242" w:type="dxa"/>
            <w:vAlign w:val="center"/>
          </w:tcPr>
          <w:p w14:paraId="739F246A">
            <w:pPr>
              <w:autoSpaceDE w:val="0"/>
              <w:autoSpaceDN w:val="0"/>
              <w:adjustRightInd w:val="0"/>
              <w:snapToGrid w:val="0"/>
              <w:jc w:val="center"/>
              <w:rPr>
                <w:spacing w:val="-6"/>
                <w:kern w:val="0"/>
                <w:szCs w:val="21"/>
                <w:lang w:val="zh-CN" w:bidi="zh-CN"/>
              </w:rPr>
            </w:pPr>
            <w:r>
              <w:rPr>
                <w:spacing w:val="-6"/>
                <w:kern w:val="0"/>
                <w:szCs w:val="21"/>
                <w:lang w:val="zh-CN" w:bidi="zh-CN"/>
              </w:rPr>
              <w:t>900-21</w:t>
            </w:r>
            <w:r>
              <w:rPr>
                <w:rFonts w:hint="eastAsia"/>
                <w:spacing w:val="-6"/>
                <w:kern w:val="0"/>
                <w:szCs w:val="21"/>
                <w:lang w:val="en-US" w:bidi="zh-CN"/>
              </w:rPr>
              <w:t>7</w:t>
            </w:r>
            <w:r>
              <w:rPr>
                <w:spacing w:val="-6"/>
                <w:kern w:val="0"/>
                <w:szCs w:val="21"/>
                <w:lang w:val="zh-CN" w:bidi="zh-CN"/>
              </w:rPr>
              <w:t>-08</w:t>
            </w:r>
          </w:p>
        </w:tc>
        <w:tc>
          <w:tcPr>
            <w:tcW w:w="903" w:type="dxa"/>
            <w:vMerge w:val="restart"/>
            <w:vAlign w:val="center"/>
          </w:tcPr>
          <w:p w14:paraId="5E12E8CC">
            <w:pPr>
              <w:autoSpaceDE w:val="0"/>
              <w:autoSpaceDN w:val="0"/>
              <w:adjustRightInd w:val="0"/>
              <w:snapToGrid w:val="0"/>
              <w:jc w:val="center"/>
              <w:rPr>
                <w:spacing w:val="-6"/>
                <w:kern w:val="0"/>
                <w:szCs w:val="21"/>
                <w:lang w:val="zh-CN" w:bidi="zh-CN"/>
              </w:rPr>
            </w:pPr>
            <w:r>
              <w:rPr>
                <w:spacing w:val="-6"/>
                <w:kern w:val="0"/>
                <w:szCs w:val="21"/>
                <w:lang w:val="zh-CN" w:bidi="zh-CN"/>
              </w:rPr>
              <w:t>设备检修维护</w:t>
            </w:r>
          </w:p>
        </w:tc>
        <w:tc>
          <w:tcPr>
            <w:tcW w:w="854" w:type="dxa"/>
            <w:vMerge w:val="restart"/>
            <w:vAlign w:val="center"/>
          </w:tcPr>
          <w:p w14:paraId="1679D1D9">
            <w:pPr>
              <w:autoSpaceDE w:val="0"/>
              <w:autoSpaceDN w:val="0"/>
              <w:adjustRightInd w:val="0"/>
              <w:snapToGrid w:val="0"/>
              <w:jc w:val="center"/>
              <w:rPr>
                <w:spacing w:val="-6"/>
                <w:kern w:val="0"/>
                <w:szCs w:val="21"/>
                <w:lang w:val="zh-CN" w:bidi="zh-CN"/>
              </w:rPr>
            </w:pPr>
            <w:r>
              <w:rPr>
                <w:spacing w:val="-6"/>
                <w:kern w:val="0"/>
                <w:szCs w:val="21"/>
                <w:lang w:val="zh-CN" w:bidi="zh-CN"/>
              </w:rPr>
              <w:t>专用桶装</w:t>
            </w:r>
          </w:p>
        </w:tc>
        <w:tc>
          <w:tcPr>
            <w:tcW w:w="863" w:type="dxa"/>
            <w:vMerge w:val="restart"/>
            <w:vAlign w:val="center"/>
          </w:tcPr>
          <w:p w14:paraId="5A742F59">
            <w:pPr>
              <w:autoSpaceDE w:val="0"/>
              <w:autoSpaceDN w:val="0"/>
              <w:adjustRightInd w:val="0"/>
              <w:snapToGrid w:val="0"/>
              <w:jc w:val="center"/>
              <w:rPr>
                <w:spacing w:val="-6"/>
                <w:kern w:val="0"/>
                <w:szCs w:val="21"/>
                <w:lang w:val="zh-CN" w:bidi="zh-CN"/>
              </w:rPr>
            </w:pPr>
            <w:r>
              <w:rPr>
                <w:spacing w:val="-6"/>
                <w:kern w:val="0"/>
                <w:szCs w:val="21"/>
                <w:lang w:val="zh-CN" w:bidi="zh-CN"/>
              </w:rPr>
              <w:t>危废</w:t>
            </w:r>
            <w:r>
              <w:rPr>
                <w:rFonts w:hint="eastAsia"/>
                <w:spacing w:val="-6"/>
                <w:kern w:val="0"/>
                <w:szCs w:val="21"/>
                <w:lang w:val="zh-CN" w:bidi="zh-CN"/>
              </w:rPr>
              <w:t>贮存点</w:t>
            </w:r>
          </w:p>
        </w:tc>
        <w:tc>
          <w:tcPr>
            <w:tcW w:w="990" w:type="dxa"/>
            <w:vMerge w:val="restart"/>
            <w:vAlign w:val="center"/>
          </w:tcPr>
          <w:p w14:paraId="3649480B">
            <w:pPr>
              <w:autoSpaceDE w:val="0"/>
              <w:autoSpaceDN w:val="0"/>
              <w:adjustRightInd w:val="0"/>
              <w:snapToGrid w:val="0"/>
              <w:jc w:val="center"/>
              <w:rPr>
                <w:spacing w:val="-6"/>
                <w:kern w:val="0"/>
                <w:szCs w:val="21"/>
                <w:lang w:val="zh-CN" w:bidi="zh-CN"/>
              </w:rPr>
            </w:pPr>
            <w:r>
              <w:rPr>
                <w:spacing w:val="-6"/>
                <w:kern w:val="0"/>
                <w:szCs w:val="21"/>
                <w:lang w:val="zh-CN" w:bidi="zh-CN"/>
              </w:rPr>
              <w:t>10m</w:t>
            </w:r>
            <w:r>
              <w:rPr>
                <w:spacing w:val="-6"/>
                <w:kern w:val="0"/>
                <w:szCs w:val="21"/>
                <w:vertAlign w:val="superscript"/>
                <w:lang w:val="zh-CN" w:bidi="zh-CN"/>
              </w:rPr>
              <w:t>2</w:t>
            </w:r>
          </w:p>
        </w:tc>
        <w:tc>
          <w:tcPr>
            <w:tcW w:w="703" w:type="dxa"/>
            <w:vAlign w:val="center"/>
          </w:tcPr>
          <w:p w14:paraId="345D9840">
            <w:pPr>
              <w:autoSpaceDE w:val="0"/>
              <w:autoSpaceDN w:val="0"/>
              <w:adjustRightInd w:val="0"/>
              <w:snapToGrid w:val="0"/>
              <w:jc w:val="center"/>
              <w:rPr>
                <w:spacing w:val="-6"/>
                <w:kern w:val="0"/>
                <w:szCs w:val="21"/>
                <w:lang w:val="zh-CN" w:bidi="zh-CN"/>
              </w:rPr>
            </w:pPr>
            <w:r>
              <w:rPr>
                <w:rFonts w:hint="eastAsia"/>
                <w:spacing w:val="-6"/>
                <w:kern w:val="0"/>
                <w:szCs w:val="21"/>
                <w:lang w:val="zh-CN" w:bidi="zh-CN"/>
              </w:rPr>
              <w:t>1.2</w:t>
            </w:r>
            <w:r>
              <w:rPr>
                <w:spacing w:val="-6"/>
                <w:kern w:val="0"/>
                <w:szCs w:val="21"/>
                <w:lang w:val="zh-CN" w:bidi="zh-CN"/>
              </w:rPr>
              <w:t>t</w:t>
            </w:r>
          </w:p>
        </w:tc>
        <w:tc>
          <w:tcPr>
            <w:tcW w:w="722" w:type="dxa"/>
            <w:vMerge w:val="restart"/>
            <w:vAlign w:val="center"/>
          </w:tcPr>
          <w:p w14:paraId="05A6A951">
            <w:pPr>
              <w:autoSpaceDE w:val="0"/>
              <w:autoSpaceDN w:val="0"/>
              <w:adjustRightInd w:val="0"/>
              <w:snapToGrid w:val="0"/>
              <w:jc w:val="center"/>
              <w:rPr>
                <w:spacing w:val="-6"/>
                <w:kern w:val="0"/>
                <w:szCs w:val="21"/>
                <w:lang w:val="zh-CN" w:bidi="zh-CN"/>
              </w:rPr>
            </w:pPr>
            <w:r>
              <w:rPr>
                <w:spacing w:val="-6"/>
                <w:kern w:val="0"/>
                <w:szCs w:val="21"/>
                <w:lang w:val="zh-CN" w:bidi="zh-CN"/>
              </w:rPr>
              <w:t>1年</w:t>
            </w:r>
          </w:p>
        </w:tc>
      </w:tr>
      <w:tr w14:paraId="21F02DD6">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c>
          <w:tcPr>
            <w:tcW w:w="414" w:type="dxa"/>
            <w:vAlign w:val="center"/>
          </w:tcPr>
          <w:p w14:paraId="2431839F">
            <w:pPr>
              <w:autoSpaceDE w:val="0"/>
              <w:autoSpaceDN w:val="0"/>
              <w:adjustRightInd w:val="0"/>
              <w:snapToGrid w:val="0"/>
              <w:jc w:val="center"/>
              <w:rPr>
                <w:spacing w:val="-6"/>
                <w:kern w:val="0"/>
                <w:szCs w:val="21"/>
                <w:lang w:val="zh-CN" w:bidi="zh-CN"/>
              </w:rPr>
            </w:pPr>
            <w:r>
              <w:rPr>
                <w:rFonts w:hint="eastAsia"/>
                <w:spacing w:val="-6"/>
                <w:kern w:val="0"/>
                <w:szCs w:val="21"/>
                <w:lang w:val="zh-CN" w:bidi="zh-CN"/>
              </w:rPr>
              <w:t>2</w:t>
            </w:r>
          </w:p>
        </w:tc>
        <w:tc>
          <w:tcPr>
            <w:tcW w:w="926" w:type="dxa"/>
            <w:vMerge w:val="continue"/>
            <w:vAlign w:val="center"/>
          </w:tcPr>
          <w:p w14:paraId="1A933C36">
            <w:pPr>
              <w:autoSpaceDE w:val="0"/>
              <w:autoSpaceDN w:val="0"/>
              <w:adjustRightInd w:val="0"/>
              <w:snapToGrid w:val="0"/>
              <w:jc w:val="center"/>
              <w:rPr>
                <w:spacing w:val="-6"/>
                <w:kern w:val="0"/>
                <w:szCs w:val="21"/>
                <w:lang w:val="zh-CN" w:bidi="zh-CN"/>
              </w:rPr>
            </w:pPr>
          </w:p>
        </w:tc>
        <w:tc>
          <w:tcPr>
            <w:tcW w:w="894" w:type="dxa"/>
            <w:vAlign w:val="center"/>
          </w:tcPr>
          <w:p w14:paraId="1D79A81B">
            <w:pPr>
              <w:autoSpaceDE w:val="0"/>
              <w:autoSpaceDN w:val="0"/>
              <w:adjustRightInd w:val="0"/>
              <w:snapToGrid w:val="0"/>
              <w:jc w:val="center"/>
              <w:rPr>
                <w:spacing w:val="-6"/>
                <w:kern w:val="0"/>
                <w:szCs w:val="21"/>
                <w:lang w:val="zh-CN" w:bidi="zh-CN"/>
              </w:rPr>
            </w:pPr>
            <w:r>
              <w:rPr>
                <w:rFonts w:hint="eastAsia"/>
                <w:bCs/>
                <w:color w:val="000000"/>
                <w:szCs w:val="21"/>
              </w:rPr>
              <w:t>废润滑油桶</w:t>
            </w:r>
          </w:p>
        </w:tc>
        <w:tc>
          <w:tcPr>
            <w:tcW w:w="776" w:type="dxa"/>
            <w:vAlign w:val="center"/>
          </w:tcPr>
          <w:p w14:paraId="5F32C808">
            <w:pPr>
              <w:autoSpaceDE w:val="0"/>
              <w:autoSpaceDN w:val="0"/>
              <w:adjustRightInd w:val="0"/>
              <w:snapToGrid w:val="0"/>
              <w:jc w:val="center"/>
              <w:rPr>
                <w:spacing w:val="-6"/>
                <w:kern w:val="0"/>
                <w:szCs w:val="21"/>
                <w:lang w:val="zh-CN" w:bidi="zh-CN"/>
              </w:rPr>
            </w:pPr>
            <w:r>
              <w:rPr>
                <w:rFonts w:hint="eastAsia"/>
                <w:szCs w:val="21"/>
              </w:rPr>
              <w:t>HW08</w:t>
            </w:r>
          </w:p>
        </w:tc>
        <w:tc>
          <w:tcPr>
            <w:tcW w:w="1242" w:type="dxa"/>
            <w:vAlign w:val="center"/>
          </w:tcPr>
          <w:p w14:paraId="3A30CBE6">
            <w:pPr>
              <w:autoSpaceDE w:val="0"/>
              <w:autoSpaceDN w:val="0"/>
              <w:adjustRightInd w:val="0"/>
              <w:snapToGrid w:val="0"/>
              <w:jc w:val="center"/>
              <w:rPr>
                <w:spacing w:val="-6"/>
                <w:kern w:val="0"/>
                <w:szCs w:val="21"/>
                <w:lang w:val="zh-CN" w:bidi="zh-CN"/>
              </w:rPr>
            </w:pPr>
            <w:r>
              <w:rPr>
                <w:rFonts w:hint="eastAsia"/>
                <w:szCs w:val="21"/>
              </w:rPr>
              <w:t>900-249-08</w:t>
            </w:r>
          </w:p>
        </w:tc>
        <w:tc>
          <w:tcPr>
            <w:tcW w:w="903" w:type="dxa"/>
            <w:vMerge w:val="continue"/>
            <w:vAlign w:val="center"/>
          </w:tcPr>
          <w:p w14:paraId="7D0B0D18">
            <w:pPr>
              <w:autoSpaceDE w:val="0"/>
              <w:autoSpaceDN w:val="0"/>
              <w:adjustRightInd w:val="0"/>
              <w:snapToGrid w:val="0"/>
              <w:jc w:val="center"/>
              <w:rPr>
                <w:spacing w:val="-6"/>
                <w:kern w:val="0"/>
                <w:szCs w:val="21"/>
                <w:lang w:val="zh-CN" w:bidi="zh-CN"/>
              </w:rPr>
            </w:pPr>
          </w:p>
        </w:tc>
        <w:tc>
          <w:tcPr>
            <w:tcW w:w="854" w:type="dxa"/>
            <w:vMerge w:val="continue"/>
            <w:vAlign w:val="center"/>
          </w:tcPr>
          <w:p w14:paraId="2C024A0E">
            <w:pPr>
              <w:autoSpaceDE w:val="0"/>
              <w:autoSpaceDN w:val="0"/>
              <w:adjustRightInd w:val="0"/>
              <w:snapToGrid w:val="0"/>
              <w:jc w:val="center"/>
              <w:rPr>
                <w:spacing w:val="-6"/>
                <w:kern w:val="0"/>
                <w:szCs w:val="21"/>
                <w:lang w:val="zh-CN" w:bidi="zh-CN"/>
              </w:rPr>
            </w:pPr>
          </w:p>
        </w:tc>
        <w:tc>
          <w:tcPr>
            <w:tcW w:w="863" w:type="dxa"/>
            <w:vMerge w:val="continue"/>
            <w:vAlign w:val="center"/>
          </w:tcPr>
          <w:p w14:paraId="6EDFCA22">
            <w:pPr>
              <w:autoSpaceDE w:val="0"/>
              <w:autoSpaceDN w:val="0"/>
              <w:adjustRightInd w:val="0"/>
              <w:snapToGrid w:val="0"/>
              <w:jc w:val="center"/>
              <w:rPr>
                <w:spacing w:val="-6"/>
                <w:kern w:val="0"/>
                <w:szCs w:val="21"/>
                <w:lang w:val="zh-CN" w:bidi="zh-CN"/>
              </w:rPr>
            </w:pPr>
          </w:p>
        </w:tc>
        <w:tc>
          <w:tcPr>
            <w:tcW w:w="990" w:type="dxa"/>
            <w:vMerge w:val="continue"/>
            <w:vAlign w:val="center"/>
          </w:tcPr>
          <w:p w14:paraId="1A5A6C65">
            <w:pPr>
              <w:autoSpaceDE w:val="0"/>
              <w:autoSpaceDN w:val="0"/>
              <w:adjustRightInd w:val="0"/>
              <w:snapToGrid w:val="0"/>
              <w:jc w:val="center"/>
              <w:rPr>
                <w:spacing w:val="-6"/>
                <w:kern w:val="0"/>
                <w:szCs w:val="21"/>
                <w:lang w:val="zh-CN" w:bidi="zh-CN"/>
              </w:rPr>
            </w:pPr>
          </w:p>
        </w:tc>
        <w:tc>
          <w:tcPr>
            <w:tcW w:w="703" w:type="dxa"/>
            <w:vAlign w:val="center"/>
          </w:tcPr>
          <w:p w14:paraId="19FD23DA">
            <w:pPr>
              <w:autoSpaceDE w:val="0"/>
              <w:autoSpaceDN w:val="0"/>
              <w:adjustRightInd w:val="0"/>
              <w:snapToGrid w:val="0"/>
              <w:jc w:val="center"/>
              <w:rPr>
                <w:spacing w:val="-6"/>
                <w:kern w:val="0"/>
                <w:szCs w:val="21"/>
                <w:lang w:val="zh-CN" w:bidi="zh-CN"/>
              </w:rPr>
            </w:pPr>
            <w:r>
              <w:rPr>
                <w:rFonts w:hint="eastAsia"/>
                <w:spacing w:val="-6"/>
                <w:kern w:val="0"/>
                <w:szCs w:val="21"/>
                <w:lang w:val="zh-CN" w:bidi="zh-CN"/>
              </w:rPr>
              <w:t>0.1</w:t>
            </w:r>
          </w:p>
        </w:tc>
        <w:tc>
          <w:tcPr>
            <w:tcW w:w="722" w:type="dxa"/>
            <w:vMerge w:val="continue"/>
            <w:vAlign w:val="center"/>
          </w:tcPr>
          <w:p w14:paraId="1F552EC6">
            <w:pPr>
              <w:autoSpaceDE w:val="0"/>
              <w:autoSpaceDN w:val="0"/>
              <w:adjustRightInd w:val="0"/>
              <w:snapToGrid w:val="0"/>
              <w:jc w:val="center"/>
              <w:rPr>
                <w:spacing w:val="-6"/>
                <w:kern w:val="0"/>
                <w:szCs w:val="21"/>
                <w:lang w:val="zh-CN" w:bidi="zh-CN"/>
              </w:rPr>
            </w:pPr>
          </w:p>
        </w:tc>
      </w:tr>
      <w:tr w14:paraId="12C35BB1">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c>
          <w:tcPr>
            <w:tcW w:w="414" w:type="dxa"/>
            <w:vAlign w:val="center"/>
          </w:tcPr>
          <w:p w14:paraId="66D4C6AD">
            <w:pPr>
              <w:autoSpaceDE w:val="0"/>
              <w:autoSpaceDN w:val="0"/>
              <w:adjustRightInd w:val="0"/>
              <w:snapToGrid w:val="0"/>
              <w:jc w:val="center"/>
              <w:rPr>
                <w:spacing w:val="-6"/>
                <w:kern w:val="0"/>
                <w:szCs w:val="21"/>
                <w:lang w:val="zh-CN" w:bidi="zh-CN"/>
              </w:rPr>
            </w:pPr>
            <w:r>
              <w:rPr>
                <w:rFonts w:hint="eastAsia"/>
                <w:spacing w:val="-6"/>
                <w:kern w:val="0"/>
                <w:szCs w:val="21"/>
                <w:lang w:val="zh-CN" w:bidi="zh-CN"/>
              </w:rPr>
              <w:t>3</w:t>
            </w:r>
          </w:p>
        </w:tc>
        <w:tc>
          <w:tcPr>
            <w:tcW w:w="926" w:type="dxa"/>
            <w:vMerge w:val="continue"/>
            <w:vAlign w:val="center"/>
          </w:tcPr>
          <w:p w14:paraId="0BD6D536">
            <w:pPr>
              <w:autoSpaceDE w:val="0"/>
              <w:autoSpaceDN w:val="0"/>
              <w:adjustRightInd w:val="0"/>
              <w:snapToGrid w:val="0"/>
              <w:jc w:val="center"/>
              <w:rPr>
                <w:spacing w:val="-6"/>
                <w:kern w:val="0"/>
                <w:szCs w:val="21"/>
                <w:lang w:val="zh-CN" w:bidi="zh-CN"/>
              </w:rPr>
            </w:pPr>
          </w:p>
        </w:tc>
        <w:tc>
          <w:tcPr>
            <w:tcW w:w="894" w:type="dxa"/>
            <w:vAlign w:val="center"/>
          </w:tcPr>
          <w:p w14:paraId="4BBE1D7B">
            <w:pPr>
              <w:autoSpaceDE w:val="0"/>
              <w:autoSpaceDN w:val="0"/>
              <w:adjustRightInd w:val="0"/>
              <w:snapToGrid w:val="0"/>
              <w:jc w:val="center"/>
              <w:rPr>
                <w:spacing w:val="-6"/>
                <w:kern w:val="0"/>
                <w:szCs w:val="21"/>
                <w:lang w:val="zh-CN" w:bidi="zh-CN"/>
              </w:rPr>
            </w:pPr>
            <w:r>
              <w:rPr>
                <w:rFonts w:hint="eastAsia"/>
                <w:bCs/>
                <w:color w:val="000000"/>
                <w:szCs w:val="21"/>
              </w:rPr>
              <w:t>废活性炭</w:t>
            </w:r>
          </w:p>
        </w:tc>
        <w:tc>
          <w:tcPr>
            <w:tcW w:w="776" w:type="dxa"/>
            <w:vAlign w:val="center"/>
          </w:tcPr>
          <w:p w14:paraId="577DDF9C">
            <w:pPr>
              <w:autoSpaceDE w:val="0"/>
              <w:autoSpaceDN w:val="0"/>
              <w:adjustRightInd w:val="0"/>
              <w:snapToGrid w:val="0"/>
              <w:jc w:val="center"/>
              <w:rPr>
                <w:spacing w:val="-6"/>
                <w:kern w:val="0"/>
                <w:szCs w:val="21"/>
                <w:lang w:val="zh-CN" w:bidi="zh-CN"/>
              </w:rPr>
            </w:pPr>
            <w:r>
              <w:rPr>
                <w:rFonts w:hint="eastAsia" w:ascii="Calibri" w:hAnsi="Calibri"/>
                <w:szCs w:val="21"/>
              </w:rPr>
              <w:t>HW49</w:t>
            </w:r>
          </w:p>
        </w:tc>
        <w:tc>
          <w:tcPr>
            <w:tcW w:w="1242" w:type="dxa"/>
            <w:vAlign w:val="center"/>
          </w:tcPr>
          <w:p w14:paraId="12F83B0B">
            <w:pPr>
              <w:autoSpaceDE w:val="0"/>
              <w:autoSpaceDN w:val="0"/>
              <w:adjustRightInd w:val="0"/>
              <w:snapToGrid w:val="0"/>
              <w:jc w:val="center"/>
              <w:rPr>
                <w:spacing w:val="-6"/>
                <w:kern w:val="0"/>
                <w:szCs w:val="21"/>
                <w:lang w:val="zh-CN" w:bidi="zh-CN"/>
              </w:rPr>
            </w:pPr>
            <w:r>
              <w:rPr>
                <w:spacing w:val="-6"/>
                <w:kern w:val="0"/>
                <w:szCs w:val="21"/>
                <w:lang w:val="zh-CN" w:bidi="zh-CN"/>
              </w:rPr>
              <w:t>900-039-49</w:t>
            </w:r>
          </w:p>
        </w:tc>
        <w:tc>
          <w:tcPr>
            <w:tcW w:w="903" w:type="dxa"/>
            <w:vAlign w:val="center"/>
          </w:tcPr>
          <w:p w14:paraId="57FDC087">
            <w:pPr>
              <w:autoSpaceDE w:val="0"/>
              <w:autoSpaceDN w:val="0"/>
              <w:adjustRightInd w:val="0"/>
              <w:snapToGrid w:val="0"/>
              <w:jc w:val="center"/>
              <w:rPr>
                <w:spacing w:val="-6"/>
                <w:kern w:val="0"/>
                <w:szCs w:val="21"/>
                <w:lang w:val="zh-CN" w:bidi="zh-CN"/>
              </w:rPr>
            </w:pPr>
            <w:r>
              <w:rPr>
                <w:rFonts w:hint="eastAsia"/>
                <w:spacing w:val="-6"/>
                <w:kern w:val="0"/>
                <w:szCs w:val="21"/>
                <w:lang w:val="zh-CN" w:bidi="zh-CN"/>
              </w:rPr>
              <w:t>废气处理</w:t>
            </w:r>
          </w:p>
        </w:tc>
        <w:tc>
          <w:tcPr>
            <w:tcW w:w="854" w:type="dxa"/>
            <w:vAlign w:val="center"/>
          </w:tcPr>
          <w:p w14:paraId="3CCFE957">
            <w:pPr>
              <w:autoSpaceDE w:val="0"/>
              <w:autoSpaceDN w:val="0"/>
              <w:adjustRightInd w:val="0"/>
              <w:snapToGrid w:val="0"/>
              <w:jc w:val="center"/>
              <w:rPr>
                <w:spacing w:val="-6"/>
                <w:kern w:val="0"/>
                <w:szCs w:val="21"/>
                <w:lang w:val="zh-CN" w:bidi="zh-CN"/>
              </w:rPr>
            </w:pPr>
            <w:r>
              <w:rPr>
                <w:spacing w:val="-6"/>
                <w:kern w:val="0"/>
                <w:szCs w:val="21"/>
                <w:lang w:val="zh-CN" w:bidi="zh-CN"/>
              </w:rPr>
              <w:t>专用桶装</w:t>
            </w:r>
          </w:p>
        </w:tc>
        <w:tc>
          <w:tcPr>
            <w:tcW w:w="863" w:type="dxa"/>
            <w:vAlign w:val="center"/>
          </w:tcPr>
          <w:p w14:paraId="0F377079">
            <w:pPr>
              <w:autoSpaceDE w:val="0"/>
              <w:autoSpaceDN w:val="0"/>
              <w:adjustRightInd w:val="0"/>
              <w:snapToGrid w:val="0"/>
              <w:jc w:val="center"/>
              <w:rPr>
                <w:spacing w:val="-6"/>
                <w:kern w:val="0"/>
                <w:szCs w:val="21"/>
                <w:lang w:val="zh-CN" w:bidi="zh-CN"/>
              </w:rPr>
            </w:pPr>
            <w:r>
              <w:rPr>
                <w:spacing w:val="-6"/>
                <w:kern w:val="0"/>
                <w:szCs w:val="21"/>
                <w:lang w:val="zh-CN" w:bidi="zh-CN"/>
              </w:rPr>
              <w:t>危废</w:t>
            </w:r>
            <w:r>
              <w:rPr>
                <w:rFonts w:hint="eastAsia"/>
                <w:spacing w:val="-6"/>
                <w:kern w:val="0"/>
                <w:szCs w:val="21"/>
                <w:lang w:val="zh-CN" w:bidi="zh-CN"/>
              </w:rPr>
              <w:t>贮存点</w:t>
            </w:r>
          </w:p>
        </w:tc>
        <w:tc>
          <w:tcPr>
            <w:tcW w:w="990" w:type="dxa"/>
            <w:vMerge w:val="continue"/>
            <w:vAlign w:val="center"/>
          </w:tcPr>
          <w:p w14:paraId="5CE27878">
            <w:pPr>
              <w:autoSpaceDE w:val="0"/>
              <w:autoSpaceDN w:val="0"/>
              <w:adjustRightInd w:val="0"/>
              <w:snapToGrid w:val="0"/>
              <w:jc w:val="center"/>
              <w:rPr>
                <w:spacing w:val="-6"/>
                <w:kern w:val="0"/>
                <w:szCs w:val="21"/>
                <w:lang w:val="zh-CN" w:bidi="zh-CN"/>
              </w:rPr>
            </w:pPr>
          </w:p>
        </w:tc>
        <w:tc>
          <w:tcPr>
            <w:tcW w:w="703" w:type="dxa"/>
            <w:vAlign w:val="center"/>
          </w:tcPr>
          <w:p w14:paraId="77347B5E">
            <w:pPr>
              <w:autoSpaceDE w:val="0"/>
              <w:autoSpaceDN w:val="0"/>
              <w:adjustRightInd w:val="0"/>
              <w:snapToGrid w:val="0"/>
              <w:jc w:val="center"/>
              <w:rPr>
                <w:spacing w:val="-6"/>
                <w:kern w:val="0"/>
                <w:szCs w:val="21"/>
                <w:lang w:val="zh-CN" w:bidi="zh-CN"/>
              </w:rPr>
            </w:pPr>
            <w:r>
              <w:rPr>
                <w:rFonts w:hint="eastAsia"/>
                <w:spacing w:val="-6"/>
                <w:kern w:val="0"/>
                <w:szCs w:val="21"/>
                <w:lang w:val="zh-CN" w:bidi="zh-CN"/>
              </w:rPr>
              <w:t>0.5</w:t>
            </w:r>
          </w:p>
        </w:tc>
        <w:tc>
          <w:tcPr>
            <w:tcW w:w="722" w:type="dxa"/>
            <w:vMerge w:val="continue"/>
            <w:vAlign w:val="center"/>
          </w:tcPr>
          <w:p w14:paraId="336DB4F1">
            <w:pPr>
              <w:autoSpaceDE w:val="0"/>
              <w:autoSpaceDN w:val="0"/>
              <w:adjustRightInd w:val="0"/>
              <w:snapToGrid w:val="0"/>
              <w:jc w:val="center"/>
              <w:rPr>
                <w:spacing w:val="-6"/>
                <w:kern w:val="0"/>
                <w:szCs w:val="21"/>
                <w:lang w:val="zh-CN" w:bidi="zh-CN"/>
              </w:rPr>
            </w:pPr>
          </w:p>
        </w:tc>
      </w:tr>
    </w:tbl>
    <w:p w14:paraId="4242E432">
      <w:pPr>
        <w:widowControl/>
        <w:overflowPunct w:val="0"/>
        <w:topLinePunct/>
        <w:autoSpaceDE w:val="0"/>
        <w:autoSpaceDN w:val="0"/>
        <w:adjustRightInd w:val="0"/>
        <w:snapToGrid w:val="0"/>
        <w:spacing w:line="360" w:lineRule="auto"/>
        <w:ind w:firstLine="480" w:firstLineChars="200"/>
        <w:jc w:val="left"/>
        <w:textAlignment w:val="baseline"/>
        <w:rPr>
          <w:kern w:val="0"/>
          <w:sz w:val="24"/>
          <w:szCs w:val="24"/>
          <w:lang w:bidi="zh-CN"/>
        </w:rPr>
      </w:pPr>
      <w:r>
        <w:rPr>
          <w:rFonts w:hint="eastAsia"/>
          <w:kern w:val="0"/>
          <w:sz w:val="24"/>
          <w:szCs w:val="24"/>
          <w:lang w:val="en-US" w:eastAsia="zh-CN" w:bidi="ar"/>
        </w:rPr>
        <w:t>2、</w:t>
      </w:r>
      <w:r>
        <w:rPr>
          <w:kern w:val="0"/>
          <w:sz w:val="24"/>
          <w:szCs w:val="24"/>
          <w:lang w:bidi="zh-CN"/>
        </w:rPr>
        <w:t>危废贮存点</w:t>
      </w:r>
      <w:r>
        <w:rPr>
          <w:rFonts w:hint="eastAsia"/>
          <w:kern w:val="0"/>
          <w:sz w:val="24"/>
          <w:szCs w:val="24"/>
          <w:lang w:bidi="zh-CN"/>
        </w:rPr>
        <w:t>设置合理性分析</w:t>
      </w:r>
    </w:p>
    <w:p w14:paraId="51DBAE9D">
      <w:pPr>
        <w:pStyle w:val="38"/>
        <w:rPr>
          <w:lang w:bidi="zh-CN"/>
        </w:rPr>
      </w:pPr>
      <w:r>
        <w:rPr>
          <w:rFonts w:hint="eastAsia"/>
          <w:lang w:bidi="zh-CN"/>
        </w:rPr>
        <w:t xml:space="preserve">    为规范管理项目生产过程中产生的危险废物，防止环境污染，保障环境安全，根据</w:t>
      </w:r>
    </w:p>
    <w:p w14:paraId="503CC282">
      <w:pPr>
        <w:pStyle w:val="38"/>
        <w:ind w:left="0" w:firstLine="0"/>
        <w:rPr>
          <w:lang w:bidi="zh-CN"/>
        </w:rPr>
      </w:pPr>
      <w:r>
        <w:rPr>
          <w:rFonts w:hint="eastAsia"/>
          <w:lang w:bidi="zh-CN"/>
        </w:rPr>
        <w:t>《中华人民共和国固体废物污染环境防治法》和《危险废物贮存污染控制标准》（GB18597-</w:t>
      </w:r>
      <w:r>
        <w:rPr>
          <w:kern w:val="0"/>
          <w:lang w:bidi="ar"/>
        </w:rPr>
        <w:t>2023</w:t>
      </w:r>
      <w:r>
        <w:rPr>
          <w:rFonts w:hint="eastAsia"/>
          <w:lang w:bidi="zh-CN"/>
        </w:rPr>
        <w:t>）等相关要求，项目拟设置一座危险废物贮存点，本分析将从选址、规模、设施、管理与风险防范等方面，全面论证其设置的合理性。</w:t>
      </w:r>
    </w:p>
    <w:p w14:paraId="76614316">
      <w:pPr>
        <w:spacing w:line="360" w:lineRule="auto"/>
        <w:ind w:firstLine="480" w:firstLineChars="200"/>
        <w:rPr>
          <w:sz w:val="24"/>
          <w:szCs w:val="24"/>
          <w:lang w:bidi="zh-CN"/>
        </w:rPr>
      </w:pPr>
      <w:r>
        <w:rPr>
          <w:rFonts w:hint="eastAsia"/>
          <w:sz w:val="24"/>
          <w:szCs w:val="24"/>
          <w:lang w:bidi="zh-CN"/>
        </w:rPr>
        <w:t>（</w:t>
      </w:r>
      <w:r>
        <w:rPr>
          <w:rFonts w:hint="eastAsia"/>
          <w:sz w:val="24"/>
          <w:szCs w:val="24"/>
          <w:lang w:val="en-US" w:bidi="zh-CN"/>
        </w:rPr>
        <w:t>1</w:t>
      </w:r>
      <w:r>
        <w:rPr>
          <w:rFonts w:hint="eastAsia"/>
          <w:sz w:val="24"/>
          <w:szCs w:val="24"/>
          <w:lang w:bidi="zh-CN"/>
        </w:rPr>
        <w:t>）选址合理性</w:t>
      </w:r>
    </w:p>
    <w:p w14:paraId="4388F41E">
      <w:pPr>
        <w:pStyle w:val="38"/>
        <w:rPr>
          <w:rFonts w:hint="eastAsia" w:hAnsi="宋体"/>
        </w:rPr>
      </w:pPr>
      <w:r>
        <w:rPr>
          <w:rFonts w:hint="eastAsia"/>
          <w:lang w:bidi="zh-CN"/>
        </w:rPr>
        <w:t xml:space="preserve">    危废贮存点为独立密闭构筑物，位于生产车间的</w:t>
      </w:r>
      <w:r>
        <w:rPr>
          <w:rFonts w:hint="eastAsia" w:hAnsi="宋体"/>
        </w:rPr>
        <w:t>东南角，与生产</w:t>
      </w:r>
      <w:r>
        <w:rPr>
          <w:rFonts w:hint="eastAsia" w:hAnsi="宋体"/>
          <w:lang w:eastAsia="zh-CN"/>
        </w:rPr>
        <w:t>车间</w:t>
      </w:r>
      <w:r>
        <w:rPr>
          <w:rFonts w:hint="eastAsia" w:hAnsi="宋体"/>
        </w:rPr>
        <w:t>、办公宿舍</w:t>
      </w:r>
    </w:p>
    <w:p w14:paraId="6C509741">
      <w:pPr>
        <w:pStyle w:val="38"/>
        <w:ind w:left="0" w:firstLine="0"/>
        <w:rPr>
          <w:rFonts w:hint="eastAsia" w:hAnsi="宋体"/>
        </w:rPr>
      </w:pPr>
      <w:r>
        <w:rPr>
          <w:rFonts w:hint="eastAsia" w:hAnsi="宋体"/>
        </w:rPr>
        <w:t>等人员活动密集区域保持超过50m的安全距离。</w:t>
      </w:r>
    </w:p>
    <w:p w14:paraId="48E0FF6C">
      <w:pPr>
        <w:spacing w:line="360" w:lineRule="auto"/>
        <w:ind w:firstLine="480" w:firstLineChars="200"/>
        <w:rPr>
          <w:sz w:val="24"/>
          <w:szCs w:val="24"/>
          <w:lang w:bidi="zh-CN"/>
        </w:rPr>
      </w:pPr>
      <w:r>
        <w:rPr>
          <w:rFonts w:hint="eastAsia"/>
          <w:sz w:val="24"/>
          <w:szCs w:val="24"/>
          <w:lang w:bidi="zh-CN"/>
        </w:rPr>
        <w:t>该选址有效隔离了危险废物对主要生产活动和人员健康的潜在影响，满足安全防护距离要求，在发生意外泄漏或火灾时，能最大限度降低对人员和主要设施的威胁。</w:t>
      </w:r>
    </w:p>
    <w:p w14:paraId="33AEA3EE">
      <w:pPr>
        <w:spacing w:line="360" w:lineRule="auto"/>
        <w:ind w:firstLine="480" w:firstLineChars="200"/>
        <w:rPr>
          <w:sz w:val="24"/>
          <w:szCs w:val="24"/>
          <w:lang w:bidi="zh-CN"/>
        </w:rPr>
      </w:pPr>
      <w:r>
        <w:rPr>
          <w:rFonts w:hint="eastAsia"/>
          <w:sz w:val="24"/>
          <w:szCs w:val="24"/>
          <w:lang w:bidi="zh-CN"/>
        </w:rPr>
        <w:t>（</w:t>
      </w:r>
      <w:r>
        <w:rPr>
          <w:rFonts w:hint="eastAsia"/>
          <w:sz w:val="24"/>
          <w:szCs w:val="24"/>
          <w:lang w:val="en-US" w:bidi="zh-CN"/>
        </w:rPr>
        <w:t>2</w:t>
      </w:r>
      <w:r>
        <w:rPr>
          <w:rFonts w:hint="eastAsia"/>
          <w:sz w:val="24"/>
          <w:szCs w:val="24"/>
          <w:lang w:bidi="zh-CN"/>
        </w:rPr>
        <w:t>）物流便捷性</w:t>
      </w:r>
    </w:p>
    <w:p w14:paraId="28225B51">
      <w:pPr>
        <w:pStyle w:val="38"/>
        <w:ind w:left="0" w:firstLine="0"/>
        <w:rPr>
          <w:lang w:bidi="zh-CN"/>
        </w:rPr>
      </w:pPr>
      <w:r>
        <w:rPr>
          <w:rFonts w:hint="eastAsia"/>
          <w:lang w:bidi="zh-CN"/>
        </w:rPr>
        <w:t xml:space="preserve">    危废贮存点紧邻厂区物流通道，便于危险废物的日常转运和委托处置单位的定期清运，缩短厂内运输路径，减少二次污染风险，提升管理效率。</w:t>
      </w:r>
    </w:p>
    <w:p w14:paraId="22A9EE76">
      <w:pPr>
        <w:pStyle w:val="232"/>
        <w:numPr>
          <w:ilvl w:val="0"/>
          <w:numId w:val="0"/>
        </w:numPr>
        <w:spacing w:line="360" w:lineRule="auto"/>
        <w:ind w:left="480" w:leftChars="0"/>
        <w:rPr>
          <w:sz w:val="24"/>
          <w:szCs w:val="24"/>
          <w:lang w:bidi="zh-CN"/>
        </w:rPr>
      </w:pPr>
      <w:r>
        <w:rPr>
          <w:rFonts w:hint="eastAsia"/>
          <w:sz w:val="24"/>
          <w:szCs w:val="24"/>
          <w:lang w:bidi="zh-CN"/>
        </w:rPr>
        <w:t>（</w:t>
      </w:r>
      <w:r>
        <w:rPr>
          <w:rFonts w:hint="eastAsia"/>
          <w:sz w:val="24"/>
          <w:szCs w:val="24"/>
          <w:lang w:val="en-US" w:bidi="zh-CN"/>
        </w:rPr>
        <w:t>3</w:t>
      </w:r>
      <w:r>
        <w:rPr>
          <w:rFonts w:hint="eastAsia"/>
          <w:sz w:val="24"/>
          <w:szCs w:val="24"/>
          <w:lang w:bidi="zh-CN"/>
        </w:rPr>
        <w:t>）建设规模与贮存能力合理性分析</w:t>
      </w:r>
    </w:p>
    <w:p w14:paraId="2A69C485">
      <w:pPr>
        <w:spacing w:line="360" w:lineRule="auto"/>
        <w:ind w:firstLine="480" w:firstLineChars="200"/>
        <w:rPr>
          <w:sz w:val="24"/>
          <w:szCs w:val="24"/>
          <w:lang w:bidi="zh-CN"/>
        </w:rPr>
      </w:pPr>
      <w:r>
        <w:rPr>
          <w:rFonts w:hint="eastAsia"/>
          <w:sz w:val="24"/>
          <w:szCs w:val="24"/>
          <w:lang w:bidi="zh-CN"/>
        </w:rPr>
        <w:t>根据项目工艺分析，预计全年产生各类危险废物</w:t>
      </w:r>
      <w:r>
        <w:rPr>
          <w:rFonts w:hint="eastAsia"/>
          <w:sz w:val="24"/>
          <w:szCs w:val="24"/>
          <w:lang w:val="en-US" w:bidi="zh-CN"/>
        </w:rPr>
        <w:t>1.024</w:t>
      </w:r>
      <w:r>
        <w:rPr>
          <w:rFonts w:hint="eastAsia"/>
          <w:sz w:val="24"/>
          <w:szCs w:val="24"/>
          <w:lang w:bidi="zh-CN"/>
        </w:rPr>
        <w:t>t/a，主要包括废活性炭（危险废物HW08类危险废物，废物代码为900-</w:t>
      </w:r>
      <w:r>
        <w:rPr>
          <w:rFonts w:hint="eastAsia"/>
          <w:sz w:val="24"/>
          <w:szCs w:val="24"/>
          <w:lang w:val="en-US" w:bidi="zh-CN"/>
        </w:rPr>
        <w:t>039-49</w:t>
      </w:r>
      <w:r>
        <w:rPr>
          <w:rFonts w:hint="eastAsia"/>
          <w:sz w:val="24"/>
          <w:szCs w:val="24"/>
          <w:lang w:bidi="zh-CN"/>
        </w:rPr>
        <w:t>）、废润滑油（危险废物HW08类危险废物，废物代码为900-217-08）、废润滑油桶（危险废物HW08类危险废物，废物代码为900-249-08）。危废贮存点设计面积为10m</w:t>
      </w:r>
      <w:r>
        <w:rPr>
          <w:rFonts w:hint="eastAsia"/>
          <w:sz w:val="24"/>
          <w:szCs w:val="24"/>
          <w:vertAlign w:val="superscript"/>
          <w:lang w:bidi="zh-CN"/>
        </w:rPr>
        <w:t>2</w:t>
      </w:r>
      <w:r>
        <w:rPr>
          <w:rFonts w:hint="eastAsia"/>
          <w:sz w:val="24"/>
          <w:szCs w:val="24"/>
          <w:lang w:bidi="zh-CN"/>
        </w:rPr>
        <w:t>，最大设计贮存能力约为1.</w:t>
      </w:r>
      <w:r>
        <w:rPr>
          <w:rFonts w:hint="eastAsia"/>
          <w:sz w:val="24"/>
          <w:szCs w:val="24"/>
          <w:lang w:val="en-US" w:bidi="zh-CN"/>
        </w:rPr>
        <w:t>2</w:t>
      </w:r>
      <w:r>
        <w:rPr>
          <w:rFonts w:hint="eastAsia"/>
          <w:sz w:val="24"/>
          <w:szCs w:val="24"/>
          <w:lang w:bidi="zh-CN"/>
        </w:rPr>
        <w:t>t。该贮存能力足以容纳本项目一年产生的危险废物量。此设计既避免了因贮存能力不足导致的“爆库”风险，也确保了能与处置单位协商确定合理、经济的清运频次，完全符合《危险废物贮存污染控制标准》（GB18597-2023）中对贮存期限的要求。</w:t>
      </w:r>
    </w:p>
    <w:p w14:paraId="718A264A">
      <w:pPr>
        <w:pStyle w:val="232"/>
        <w:numPr>
          <w:ilvl w:val="0"/>
          <w:numId w:val="0"/>
        </w:numPr>
        <w:spacing w:line="360" w:lineRule="auto"/>
        <w:ind w:left="480" w:leftChars="0"/>
        <w:rPr>
          <w:sz w:val="24"/>
          <w:szCs w:val="24"/>
          <w:lang w:bidi="zh-CN"/>
        </w:rPr>
      </w:pPr>
      <w:r>
        <w:rPr>
          <w:rFonts w:hint="eastAsia"/>
          <w:sz w:val="24"/>
          <w:szCs w:val="24"/>
          <w:lang w:bidi="zh-CN"/>
        </w:rPr>
        <w:t>（</w:t>
      </w:r>
      <w:r>
        <w:rPr>
          <w:rFonts w:hint="eastAsia"/>
          <w:sz w:val="24"/>
          <w:szCs w:val="24"/>
          <w:lang w:val="en-US" w:bidi="zh-CN"/>
        </w:rPr>
        <w:t>4</w:t>
      </w:r>
      <w:r>
        <w:rPr>
          <w:rFonts w:hint="eastAsia"/>
          <w:sz w:val="24"/>
          <w:szCs w:val="24"/>
          <w:lang w:bidi="zh-CN"/>
        </w:rPr>
        <w:t>）设计与设施合理性分析</w:t>
      </w:r>
    </w:p>
    <w:p w14:paraId="60400674">
      <w:pPr>
        <w:spacing w:line="360" w:lineRule="auto"/>
        <w:ind w:firstLine="480" w:firstLineChars="200"/>
        <w:rPr>
          <w:sz w:val="24"/>
          <w:szCs w:val="24"/>
          <w:lang w:bidi="zh-CN"/>
        </w:rPr>
      </w:pPr>
      <w:r>
        <w:rPr>
          <w:rFonts w:hint="eastAsia"/>
          <w:sz w:val="24"/>
          <w:szCs w:val="24"/>
          <w:lang w:bidi="zh-CN"/>
        </w:rPr>
        <w:t>本拟建的危废贮存点设计了“四防”措施，即防风、防雨、防晒和防渗措施，采用砖混结构，完全封闭，具有坚固的屋顶和墙体，有效防止风雨侵入和日光直射，避免危险废物因外部环境变化发生分解、挥发或产生有毒气体。地面与裙角拟设计采用“表面涂刷水泥基渗透结晶型防渗涂料；地面防渗混凝土强度等级不宜小于C25，抗渗混凝土的抗渗等级不宜小于P8，其厚度不宜小于150mm。确保防渗性能应与黏土防渗层Mb≥6.0m 、K≤1.0×10</w:t>
      </w:r>
      <w:r>
        <w:rPr>
          <w:rFonts w:hint="eastAsia"/>
          <w:sz w:val="24"/>
          <w:szCs w:val="24"/>
          <w:vertAlign w:val="superscript"/>
          <w:lang w:bidi="zh-CN"/>
        </w:rPr>
        <w:t>-7</w:t>
      </w:r>
      <w:r>
        <w:rPr>
          <w:rFonts w:hint="eastAsia"/>
          <w:sz w:val="24"/>
          <w:szCs w:val="24"/>
          <w:lang w:bidi="zh-CN"/>
        </w:rPr>
        <w:t>cm/s等效”作为防渗层，地面四周设置高度不低于15m的堵截泄漏的裙角。该防渗等级为最高标准，能确保任何液态危废或渗滤液被完全阻隔在人工防渗层内，不会渗入地下土壤和地下水。</w:t>
      </w:r>
    </w:p>
    <w:p w14:paraId="4CEE6823">
      <w:pPr>
        <w:pStyle w:val="232"/>
        <w:numPr>
          <w:ilvl w:val="0"/>
          <w:numId w:val="0"/>
        </w:numPr>
        <w:spacing w:line="360" w:lineRule="auto"/>
        <w:ind w:left="480" w:leftChars="0"/>
        <w:rPr>
          <w:sz w:val="24"/>
          <w:szCs w:val="24"/>
          <w:lang w:bidi="zh-CN"/>
        </w:rPr>
      </w:pPr>
      <w:r>
        <w:rPr>
          <w:rFonts w:hint="eastAsia"/>
          <w:sz w:val="24"/>
          <w:szCs w:val="24"/>
          <w:lang w:bidi="zh-CN"/>
        </w:rPr>
        <w:t>（</w:t>
      </w:r>
      <w:r>
        <w:rPr>
          <w:rFonts w:hint="eastAsia"/>
          <w:sz w:val="24"/>
          <w:szCs w:val="24"/>
          <w:lang w:val="en-US" w:bidi="zh-CN"/>
        </w:rPr>
        <w:t>5</w:t>
      </w:r>
      <w:r>
        <w:rPr>
          <w:rFonts w:hint="eastAsia"/>
          <w:sz w:val="24"/>
          <w:szCs w:val="24"/>
          <w:lang w:bidi="zh-CN"/>
        </w:rPr>
        <w:t>）泄漏液体收集装置合理性</w:t>
      </w:r>
    </w:p>
    <w:p w14:paraId="218D2474">
      <w:pPr>
        <w:pStyle w:val="38"/>
        <w:ind w:left="0" w:firstLine="0"/>
        <w:rPr>
          <w:lang w:bidi="zh-CN"/>
        </w:rPr>
      </w:pPr>
      <w:r>
        <w:rPr>
          <w:rFonts w:hint="eastAsia"/>
          <w:lang w:bidi="zh-CN"/>
        </w:rPr>
        <w:t xml:space="preserve">   本危废贮存点形成：“地面+防渗+裙角围堵+导流收集”的三级防护体系，确保泄漏物能被完全收集和处置，杜绝外泄。</w:t>
      </w:r>
    </w:p>
    <w:p w14:paraId="7EC9F5F6">
      <w:pPr>
        <w:pStyle w:val="38"/>
        <w:numPr>
          <w:ilvl w:val="0"/>
          <w:numId w:val="0"/>
        </w:numPr>
        <w:ind w:left="480" w:leftChars="0"/>
        <w:rPr>
          <w:lang w:bidi="zh-CN"/>
        </w:rPr>
      </w:pPr>
      <w:r>
        <w:rPr>
          <w:rFonts w:hint="eastAsia"/>
          <w:lang w:bidi="zh-CN"/>
        </w:rPr>
        <w:t>（</w:t>
      </w:r>
      <w:r>
        <w:rPr>
          <w:rFonts w:hint="eastAsia"/>
          <w:lang w:val="en-US" w:bidi="zh-CN"/>
        </w:rPr>
        <w:t>6</w:t>
      </w:r>
      <w:r>
        <w:rPr>
          <w:rFonts w:hint="eastAsia"/>
          <w:lang w:bidi="zh-CN"/>
        </w:rPr>
        <w:t>）分区与贮存方式合理性分析</w:t>
      </w:r>
    </w:p>
    <w:p w14:paraId="6C2C4500">
      <w:pPr>
        <w:spacing w:line="360" w:lineRule="auto"/>
        <w:ind w:firstLine="420"/>
        <w:rPr>
          <w:rFonts w:hint="eastAsia" w:ascii="Times New Roman" w:hAnsi="Times New Roman" w:eastAsia="宋体" w:cs="Times New Roman"/>
          <w:sz w:val="24"/>
          <w:szCs w:val="24"/>
          <w:lang w:bidi="zh-CN"/>
        </w:rPr>
      </w:pPr>
      <w:r>
        <w:rPr>
          <w:rFonts w:hint="eastAsia"/>
          <w:sz w:val="24"/>
          <w:szCs w:val="24"/>
          <w:lang w:bidi="zh-CN"/>
        </w:rPr>
        <w:t>危废贮存点内根据危废类别和性质进行物理分区，拟设置废液区、废油桶区、废活性炭区等，不同区域间设有隔断。避免了不同性质危废相互接触发生化学反应，引发火灾、爆炸或产生有毒气体。危险废物废润滑油采用密封铁桶盛装，容器材质与危废相容，必须对每个容器张贴规范的危险废物标签。确保危废在暂存期间的稳定性和密闭性，便于识</w:t>
      </w:r>
      <w:r>
        <w:rPr>
          <w:rFonts w:hint="eastAsia" w:ascii="Times New Roman" w:hAnsi="Times New Roman" w:eastAsia="宋体" w:cs="Times New Roman"/>
          <w:sz w:val="24"/>
          <w:szCs w:val="24"/>
          <w:lang w:bidi="zh-CN"/>
        </w:rPr>
        <w:t>别、管理和后续运输。</w:t>
      </w:r>
    </w:p>
    <w:p w14:paraId="25B126E4">
      <w:pPr>
        <w:spacing w:line="360" w:lineRule="auto"/>
        <w:ind w:firstLine="420"/>
        <w:rPr>
          <w:rFonts w:hint="eastAsia" w:ascii="Times New Roman" w:hAnsi="Times New Roman" w:eastAsia="宋体" w:cs="Times New Roman"/>
          <w:sz w:val="24"/>
          <w:szCs w:val="24"/>
          <w:lang w:bidi="zh-CN"/>
        </w:rPr>
      </w:pPr>
      <w:r>
        <w:rPr>
          <w:rFonts w:hint="eastAsia" w:ascii="Times New Roman" w:hAnsi="Times New Roman" w:eastAsia="宋体" w:cs="Times New Roman"/>
          <w:sz w:val="24"/>
          <w:szCs w:val="24"/>
          <w:lang w:bidi="zh-CN"/>
        </w:rPr>
        <w:t>通过上述分析，项目危废贮存点设置是合理的。</w:t>
      </w:r>
    </w:p>
    <w:p w14:paraId="3681889B">
      <w:pPr>
        <w:spacing w:line="360" w:lineRule="auto"/>
        <w:ind w:firstLine="420"/>
        <w:rPr>
          <w:rFonts w:hint="eastAsia" w:ascii="Times New Roman" w:hAnsi="Times New Roman" w:eastAsia="宋体" w:cs="Times New Roman"/>
          <w:sz w:val="24"/>
          <w:szCs w:val="24"/>
          <w:lang w:bidi="zh-CN"/>
        </w:rPr>
      </w:pPr>
      <w:r>
        <w:rPr>
          <w:rFonts w:hint="eastAsia" w:ascii="Times New Roman" w:hAnsi="Times New Roman" w:eastAsia="宋体" w:cs="Times New Roman"/>
          <w:sz w:val="24"/>
          <w:szCs w:val="24"/>
          <w:lang w:val="en-US" w:bidi="zh-CN"/>
        </w:rPr>
        <w:t>3、</w:t>
      </w:r>
      <w:r>
        <w:rPr>
          <w:rFonts w:hint="eastAsia" w:ascii="Times New Roman" w:hAnsi="Times New Roman" w:eastAsia="宋体" w:cs="Times New Roman"/>
          <w:sz w:val="24"/>
          <w:szCs w:val="24"/>
          <w:lang w:val="zh-CN" w:bidi="zh-CN"/>
        </w:rPr>
        <w:t>危险废物收集、贮存和管理要求</w:t>
      </w:r>
    </w:p>
    <w:p w14:paraId="7F7A5DD5">
      <w:pPr>
        <w:spacing w:line="360" w:lineRule="auto"/>
        <w:ind w:firstLine="420"/>
        <w:rPr>
          <w:rFonts w:hint="eastAsia" w:ascii="Times New Roman" w:hAnsi="Times New Roman" w:eastAsia="宋体" w:cs="Times New Roman"/>
          <w:sz w:val="24"/>
          <w:szCs w:val="24"/>
          <w:lang w:bidi="zh-CN"/>
        </w:rPr>
      </w:pPr>
      <w:r>
        <w:rPr>
          <w:rFonts w:hint="eastAsia" w:ascii="Times New Roman" w:hAnsi="Times New Roman" w:eastAsia="宋体" w:cs="Times New Roman"/>
          <w:sz w:val="24"/>
          <w:szCs w:val="24"/>
          <w:lang w:bidi="zh-CN"/>
        </w:rPr>
        <w:t>根据《危险废物贮存污染控制标准》（GB18597-2023）中提出的要求，本项目应采取下述措施和管理要求：</w:t>
      </w:r>
    </w:p>
    <w:p w14:paraId="086113D3">
      <w:pPr>
        <w:spacing w:line="360" w:lineRule="auto"/>
        <w:ind w:firstLine="420"/>
        <w:rPr>
          <w:rFonts w:hint="eastAsia" w:ascii="Times New Roman" w:hAnsi="Times New Roman" w:eastAsia="宋体" w:cs="Times New Roman"/>
          <w:sz w:val="24"/>
          <w:szCs w:val="24"/>
          <w:lang w:bidi="zh-CN"/>
        </w:rPr>
      </w:pPr>
      <w:r>
        <w:rPr>
          <w:rFonts w:hint="eastAsia" w:ascii="Times New Roman" w:hAnsi="Times New Roman" w:eastAsia="宋体" w:cs="Times New Roman"/>
          <w:sz w:val="24"/>
          <w:szCs w:val="24"/>
          <w:lang w:bidi="zh-CN"/>
        </w:rPr>
        <w:t>（</w:t>
      </w:r>
      <w:r>
        <w:rPr>
          <w:rFonts w:hint="eastAsia" w:ascii="Times New Roman" w:hAnsi="Times New Roman" w:eastAsia="宋体" w:cs="Times New Roman"/>
          <w:sz w:val="24"/>
          <w:szCs w:val="24"/>
          <w:lang w:val="en-US" w:bidi="zh-CN"/>
        </w:rPr>
        <w:t>1</w:t>
      </w:r>
      <w:r>
        <w:rPr>
          <w:rFonts w:hint="eastAsia" w:ascii="Times New Roman" w:hAnsi="Times New Roman" w:eastAsia="宋体" w:cs="Times New Roman"/>
          <w:sz w:val="24"/>
          <w:szCs w:val="24"/>
          <w:lang w:bidi="zh-CN"/>
        </w:rPr>
        <w:t>）总体要求</w:t>
      </w:r>
    </w:p>
    <w:p w14:paraId="060BEDEC">
      <w:pPr>
        <w:spacing w:line="360" w:lineRule="auto"/>
        <w:ind w:firstLine="420"/>
        <w:rPr>
          <w:rFonts w:hint="eastAsia" w:ascii="Times New Roman" w:hAnsi="Times New Roman" w:eastAsia="宋体" w:cs="Times New Roman"/>
          <w:sz w:val="24"/>
          <w:szCs w:val="24"/>
          <w:lang w:bidi="zh-CN"/>
        </w:rPr>
      </w:pPr>
      <w:r>
        <w:rPr>
          <w:rFonts w:hint="eastAsia" w:ascii="Times New Roman" w:hAnsi="Times New Roman" w:eastAsia="宋体" w:cs="Times New Roman"/>
          <w:sz w:val="24"/>
          <w:szCs w:val="24"/>
          <w:lang w:bidi="zh-CN"/>
        </w:rPr>
        <w:t>①产生、收集、贮存、利用、处置危险废物的单位应建造危险废物贮存设施或设置贮存场所，并根据需要选择贮存设施类型。</w:t>
      </w:r>
    </w:p>
    <w:p w14:paraId="01C7F5F5">
      <w:pPr>
        <w:spacing w:line="360" w:lineRule="auto"/>
        <w:ind w:firstLine="420"/>
        <w:rPr>
          <w:rFonts w:hint="eastAsia" w:ascii="Times New Roman" w:hAnsi="Times New Roman" w:eastAsia="宋体" w:cs="Times New Roman"/>
          <w:sz w:val="24"/>
          <w:szCs w:val="24"/>
          <w:lang w:bidi="zh-CN"/>
        </w:rPr>
      </w:pPr>
      <w:r>
        <w:rPr>
          <w:rFonts w:hint="eastAsia" w:ascii="Times New Roman" w:hAnsi="Times New Roman" w:eastAsia="宋体" w:cs="Times New Roman"/>
          <w:sz w:val="24"/>
          <w:szCs w:val="24"/>
          <w:lang w:bidi="zh-CN"/>
        </w:rPr>
        <w:t>②贮存危险废物应根据危险废物的类别、数量、形态、物理化学性质和环境风险等因素，确定贮存设施或场所类型和规模。</w:t>
      </w:r>
    </w:p>
    <w:p w14:paraId="2E0DD338">
      <w:pPr>
        <w:spacing w:line="360" w:lineRule="auto"/>
        <w:ind w:firstLine="420"/>
        <w:rPr>
          <w:rFonts w:hint="eastAsia" w:ascii="Times New Roman" w:hAnsi="Times New Roman" w:eastAsia="宋体" w:cs="Times New Roman"/>
          <w:sz w:val="24"/>
          <w:szCs w:val="24"/>
          <w:lang w:bidi="zh-CN"/>
        </w:rPr>
      </w:pPr>
      <w:r>
        <w:rPr>
          <w:rFonts w:hint="eastAsia" w:ascii="Times New Roman" w:hAnsi="Times New Roman" w:eastAsia="宋体" w:cs="Times New Roman"/>
          <w:sz w:val="24"/>
          <w:szCs w:val="24"/>
          <w:lang w:bidi="zh-CN"/>
        </w:rPr>
        <w:t>③贮存危险废物应根据危险废物的类别、形态、物理化学性质和污染防治要求进行分类贮存，且应避免危险废物与不相容的物质或材料接触。</w:t>
      </w:r>
    </w:p>
    <w:p w14:paraId="7C71F89E">
      <w:pPr>
        <w:spacing w:line="360" w:lineRule="auto"/>
        <w:ind w:firstLine="420"/>
        <w:rPr>
          <w:rFonts w:hint="eastAsia" w:ascii="Times New Roman" w:hAnsi="Times New Roman" w:eastAsia="宋体" w:cs="Times New Roman"/>
          <w:sz w:val="24"/>
          <w:szCs w:val="24"/>
          <w:lang w:bidi="zh-CN"/>
        </w:rPr>
      </w:pPr>
      <w:r>
        <w:rPr>
          <w:rFonts w:hint="eastAsia" w:ascii="Times New Roman" w:hAnsi="Times New Roman" w:eastAsia="宋体" w:cs="Times New Roman"/>
          <w:sz w:val="24"/>
          <w:szCs w:val="24"/>
          <w:lang w:bidi="zh-CN"/>
        </w:rPr>
        <w:t>④贮存危险废物应根据危险废物的形态、物理化学性质、包装形式和污染物迁移途径，采取措施减少渗滤液及其衍生废物、渗漏的液态废物（简称渗漏液）、粉尘、VOCs、酸雾、有毒有害大气污染物和刺激性气味气体等污染物的产生，防止其污染环境。</w:t>
      </w:r>
    </w:p>
    <w:p w14:paraId="440A9038">
      <w:pPr>
        <w:spacing w:line="360" w:lineRule="auto"/>
        <w:ind w:firstLine="420"/>
        <w:rPr>
          <w:rFonts w:hint="eastAsia" w:ascii="Times New Roman" w:hAnsi="Times New Roman" w:eastAsia="宋体" w:cs="Times New Roman"/>
          <w:sz w:val="24"/>
          <w:szCs w:val="24"/>
          <w:lang w:bidi="zh-CN"/>
        </w:rPr>
      </w:pPr>
      <w:r>
        <w:rPr>
          <w:rFonts w:hint="eastAsia" w:ascii="Times New Roman" w:hAnsi="Times New Roman" w:eastAsia="宋体" w:cs="Times New Roman"/>
          <w:sz w:val="24"/>
          <w:szCs w:val="24"/>
          <w:lang w:bidi="zh-CN"/>
        </w:rPr>
        <w:t>⑤危险废物贮存过</w:t>
      </w:r>
      <w:r>
        <w:rPr>
          <w:rFonts w:hint="eastAsia" w:cs="Times New Roman"/>
          <w:sz w:val="24"/>
          <w:szCs w:val="24"/>
          <w:lang w:bidi="zh-CN"/>
        </w:rPr>
        <w:t>程中</w:t>
      </w:r>
      <w:r>
        <w:rPr>
          <w:rFonts w:hint="eastAsia" w:ascii="Times New Roman" w:hAnsi="Times New Roman" w:eastAsia="宋体" w:cs="Times New Roman"/>
          <w:sz w:val="24"/>
          <w:szCs w:val="24"/>
          <w:lang w:bidi="zh-CN"/>
        </w:rPr>
        <w:t>产生的液态废物和固态废物应分类收集，</w:t>
      </w:r>
      <w:r>
        <w:rPr>
          <w:rFonts w:hint="eastAsia" w:cs="Times New Roman"/>
          <w:sz w:val="24"/>
          <w:szCs w:val="24"/>
          <w:lang w:bidi="zh-CN"/>
        </w:rPr>
        <w:t>按</w:t>
      </w:r>
      <w:r>
        <w:rPr>
          <w:rFonts w:hint="eastAsia" w:ascii="Times New Roman" w:hAnsi="Times New Roman" w:eastAsia="宋体" w:cs="Times New Roman"/>
          <w:sz w:val="24"/>
          <w:szCs w:val="24"/>
          <w:lang w:bidi="zh-CN"/>
        </w:rPr>
        <w:t>环境管理要求妥善处理。</w:t>
      </w:r>
    </w:p>
    <w:p w14:paraId="79E58636">
      <w:pPr>
        <w:spacing w:line="360" w:lineRule="auto"/>
        <w:ind w:firstLine="420"/>
        <w:rPr>
          <w:rFonts w:hint="eastAsia" w:ascii="Times New Roman" w:hAnsi="Times New Roman" w:eastAsia="宋体" w:cs="Times New Roman"/>
          <w:sz w:val="24"/>
          <w:szCs w:val="24"/>
          <w:lang w:bidi="zh-CN"/>
        </w:rPr>
      </w:pPr>
      <w:r>
        <w:rPr>
          <w:rFonts w:hint="eastAsia" w:ascii="Times New Roman" w:hAnsi="Times New Roman" w:eastAsia="宋体" w:cs="Times New Roman"/>
          <w:sz w:val="24"/>
          <w:szCs w:val="24"/>
          <w:lang w:bidi="zh-CN"/>
        </w:rPr>
        <w:t>⑥贮存设施或场所、容器和包装物应按HJ1276要求设置危险废物贮存设施或场所标志、危险废物贮存分区标志和危险废物标签等危险废物识别标志。</w:t>
      </w:r>
    </w:p>
    <w:p w14:paraId="46EC9C59">
      <w:pPr>
        <w:spacing w:line="360" w:lineRule="auto"/>
        <w:ind w:firstLine="420"/>
        <w:rPr>
          <w:rFonts w:hint="eastAsia" w:ascii="Times New Roman" w:hAnsi="Times New Roman" w:eastAsia="宋体" w:cs="Times New Roman"/>
          <w:sz w:val="24"/>
          <w:szCs w:val="24"/>
          <w:lang w:bidi="zh-CN"/>
        </w:rPr>
      </w:pPr>
      <w:r>
        <w:rPr>
          <w:rFonts w:hint="eastAsia" w:ascii="Times New Roman" w:hAnsi="Times New Roman" w:eastAsia="宋体" w:cs="Times New Roman"/>
          <w:sz w:val="24"/>
          <w:szCs w:val="24"/>
          <w:lang w:bidi="zh-CN"/>
        </w:rPr>
        <w:t>⑦HJ1259规定的危险废物环境重点监管单位，应采用电子地磅、电子标签、电子管理台账等技术手段对危险废物贮存过程进行信息化管理，确保数据完整、真实、准确；采用视频监控的应确保监控画面清晰，视频记录保存时间至少为3个月。</w:t>
      </w:r>
    </w:p>
    <w:p w14:paraId="5073C78D">
      <w:pPr>
        <w:spacing w:line="360" w:lineRule="auto"/>
        <w:ind w:firstLine="420"/>
        <w:rPr>
          <w:rFonts w:hint="eastAsia" w:ascii="Times New Roman" w:hAnsi="Times New Roman" w:eastAsia="宋体" w:cs="Times New Roman"/>
          <w:sz w:val="24"/>
          <w:szCs w:val="24"/>
          <w:lang w:bidi="zh-CN"/>
        </w:rPr>
      </w:pPr>
      <w:r>
        <w:rPr>
          <w:rFonts w:hint="eastAsia" w:ascii="Times New Roman" w:hAnsi="Times New Roman" w:eastAsia="宋体" w:cs="Times New Roman"/>
          <w:sz w:val="24"/>
          <w:szCs w:val="24"/>
          <w:lang w:bidi="zh-CN"/>
        </w:rPr>
        <w:t>⑧贮存设施退役时，所有者或运营者应依法履行环境保护责任，退役前应妥善处理处置贮存设施内剩余的危险废物，并对贮存设施进行清理，消除污染；还应依据土壤污染防治相关法律法规履行场地环境风险防控责任。</w:t>
      </w:r>
    </w:p>
    <w:p w14:paraId="42D70080">
      <w:pPr>
        <w:spacing w:line="360" w:lineRule="auto"/>
        <w:ind w:firstLine="420"/>
        <w:rPr>
          <w:rFonts w:hint="eastAsia" w:ascii="Times New Roman" w:hAnsi="Times New Roman" w:eastAsia="宋体" w:cs="Times New Roman"/>
          <w:sz w:val="24"/>
          <w:szCs w:val="24"/>
          <w:lang w:bidi="zh-CN"/>
        </w:rPr>
      </w:pPr>
      <w:r>
        <w:rPr>
          <w:rFonts w:hint="eastAsia" w:ascii="Times New Roman" w:hAnsi="Times New Roman" w:eastAsia="宋体" w:cs="Times New Roman"/>
          <w:sz w:val="24"/>
          <w:szCs w:val="24"/>
          <w:lang w:bidi="zh-CN"/>
        </w:rPr>
        <w:t>⑨在常温常压下易爆、易燃及排出有毒气体的危险废物应进行预处理，使之稳定后贮存，否则应按易爆、易燃危险品贮存。</w:t>
      </w:r>
    </w:p>
    <w:p w14:paraId="0823E87E">
      <w:pPr>
        <w:spacing w:line="360" w:lineRule="auto"/>
        <w:ind w:firstLine="420"/>
        <w:rPr>
          <w:rFonts w:hint="eastAsia" w:ascii="Times New Roman" w:hAnsi="Times New Roman" w:eastAsia="宋体" w:cs="Times New Roman"/>
          <w:sz w:val="24"/>
          <w:szCs w:val="24"/>
          <w:lang w:bidi="zh-CN"/>
        </w:rPr>
      </w:pPr>
      <w:r>
        <w:rPr>
          <w:rFonts w:hint="eastAsia" w:ascii="Times New Roman" w:hAnsi="Times New Roman" w:eastAsia="宋体" w:cs="Times New Roman"/>
          <w:sz w:val="24"/>
          <w:szCs w:val="24"/>
          <w:lang w:bidi="zh-CN"/>
        </w:rPr>
        <w:t>⑩危险废物贮存除应满足环境保护相关要求外，还应执行国家安全生产、职业健康、交通运输、消防等法律法规和标准的相关要求。</w:t>
      </w:r>
    </w:p>
    <w:p w14:paraId="473E1F12">
      <w:pPr>
        <w:spacing w:line="360" w:lineRule="auto"/>
        <w:ind w:firstLine="420"/>
        <w:rPr>
          <w:rFonts w:hint="eastAsia" w:ascii="Times New Roman" w:hAnsi="Times New Roman" w:eastAsia="宋体" w:cs="Times New Roman"/>
          <w:sz w:val="24"/>
          <w:szCs w:val="24"/>
          <w:lang w:bidi="zh-CN"/>
        </w:rPr>
      </w:pPr>
      <w:r>
        <w:rPr>
          <w:rFonts w:hint="eastAsia" w:ascii="Times New Roman" w:hAnsi="Times New Roman" w:eastAsia="宋体" w:cs="Times New Roman"/>
          <w:sz w:val="24"/>
          <w:szCs w:val="24"/>
          <w:lang w:bidi="zh-CN"/>
        </w:rPr>
        <w:t>（</w:t>
      </w:r>
      <w:r>
        <w:rPr>
          <w:rFonts w:hint="eastAsia" w:ascii="Times New Roman" w:hAnsi="Times New Roman" w:eastAsia="宋体" w:cs="Times New Roman"/>
          <w:sz w:val="24"/>
          <w:szCs w:val="24"/>
          <w:lang w:val="en-US" w:bidi="zh-CN"/>
        </w:rPr>
        <w:t>2</w:t>
      </w:r>
      <w:r>
        <w:rPr>
          <w:rFonts w:hint="eastAsia" w:ascii="Times New Roman" w:hAnsi="Times New Roman" w:eastAsia="宋体" w:cs="Times New Roman"/>
          <w:sz w:val="24"/>
          <w:szCs w:val="24"/>
          <w:lang w:bidi="zh-CN"/>
        </w:rPr>
        <w:t>）贮存设施污染控制要求（一般要求）</w:t>
      </w:r>
    </w:p>
    <w:p w14:paraId="5DDF059B">
      <w:pPr>
        <w:spacing w:line="360" w:lineRule="auto"/>
        <w:ind w:firstLine="420"/>
        <w:rPr>
          <w:rFonts w:hint="eastAsia" w:ascii="Times New Roman" w:hAnsi="Times New Roman" w:eastAsia="宋体" w:cs="Times New Roman"/>
          <w:sz w:val="24"/>
          <w:szCs w:val="24"/>
          <w:lang w:bidi="zh-CN"/>
        </w:rPr>
      </w:pPr>
      <w:r>
        <w:rPr>
          <w:rFonts w:hint="eastAsia" w:ascii="Times New Roman" w:hAnsi="Times New Roman" w:eastAsia="宋体" w:cs="Times New Roman"/>
          <w:sz w:val="24"/>
          <w:szCs w:val="24"/>
          <w:lang w:bidi="zh-CN"/>
        </w:rPr>
        <w:t>①贮存设施应根据危险废物的类别、数量、形态、物理化学性质和污染防治等要求设置必要的贮存分区，避免不相容的危险废物接触、混合。</w:t>
      </w:r>
    </w:p>
    <w:p w14:paraId="561F7C2B">
      <w:pPr>
        <w:spacing w:line="360" w:lineRule="auto"/>
        <w:ind w:firstLine="420"/>
        <w:rPr>
          <w:rFonts w:hint="eastAsia" w:ascii="Times New Roman" w:hAnsi="Times New Roman" w:eastAsia="宋体" w:cs="Times New Roman"/>
          <w:sz w:val="24"/>
          <w:szCs w:val="24"/>
          <w:lang w:bidi="zh-CN"/>
        </w:rPr>
      </w:pPr>
      <w:r>
        <w:rPr>
          <w:rFonts w:hint="eastAsia" w:ascii="Times New Roman" w:hAnsi="Times New Roman" w:eastAsia="宋体" w:cs="Times New Roman"/>
          <w:sz w:val="24"/>
          <w:szCs w:val="24"/>
          <w:lang w:bidi="zh-CN"/>
        </w:rPr>
        <w:t>②贮存设施或贮存分区内地面、墙面</w:t>
      </w:r>
      <w:r>
        <w:rPr>
          <w:rFonts w:hint="eastAsia" w:cs="Times New Roman"/>
          <w:sz w:val="24"/>
          <w:szCs w:val="24"/>
          <w:lang w:bidi="zh-CN"/>
        </w:rPr>
        <w:t>裙角</w:t>
      </w:r>
      <w:r>
        <w:rPr>
          <w:rFonts w:hint="eastAsia" w:ascii="Times New Roman" w:hAnsi="Times New Roman" w:eastAsia="宋体" w:cs="Times New Roman"/>
          <w:sz w:val="24"/>
          <w:szCs w:val="24"/>
          <w:lang w:bidi="zh-CN"/>
        </w:rPr>
        <w:t>、堵截泄漏的围堰、接触危险废物的隔板和墙体等应采用坚固的材料建造，表面无裂缝。</w:t>
      </w:r>
    </w:p>
    <w:p w14:paraId="07155EBD">
      <w:pPr>
        <w:spacing w:line="360" w:lineRule="auto"/>
        <w:ind w:firstLine="420"/>
        <w:rPr>
          <w:rFonts w:hint="eastAsia" w:ascii="Times New Roman" w:hAnsi="Times New Roman" w:eastAsia="宋体" w:cs="Times New Roman"/>
          <w:sz w:val="24"/>
          <w:szCs w:val="24"/>
          <w:lang w:bidi="zh-CN"/>
        </w:rPr>
      </w:pPr>
      <w:r>
        <w:rPr>
          <w:rFonts w:hint="eastAsia" w:ascii="Times New Roman" w:hAnsi="Times New Roman" w:eastAsia="宋体" w:cs="Times New Roman"/>
          <w:sz w:val="24"/>
          <w:szCs w:val="24"/>
          <w:lang w:bidi="zh-CN"/>
        </w:rPr>
        <w:t>③贮存设施地面与裙脚应采取表面防渗措施；表面防渗材料应与所接触的物料或污染物相容，可采用抗渗混凝土、高密度聚乙烯膜、钠基膨润土防水毯或其他防渗性能等效的材料。贮存的危险废物直接接触地面的，还应进行基础防渗，防渗层为至少1m厚黏土层（渗透系数不大于10</w:t>
      </w:r>
      <w:r>
        <w:rPr>
          <w:rFonts w:hint="eastAsia" w:ascii="Times New Roman" w:hAnsi="Times New Roman" w:eastAsia="宋体" w:cs="Times New Roman"/>
          <w:sz w:val="24"/>
          <w:szCs w:val="24"/>
          <w:vertAlign w:val="superscript"/>
          <w:lang w:bidi="zh-CN"/>
        </w:rPr>
        <w:t>-7</w:t>
      </w:r>
      <w:r>
        <w:rPr>
          <w:rFonts w:hint="eastAsia" w:ascii="Times New Roman" w:hAnsi="Times New Roman" w:eastAsia="宋体" w:cs="Times New Roman"/>
          <w:sz w:val="24"/>
          <w:szCs w:val="24"/>
          <w:lang w:bidi="zh-CN"/>
        </w:rPr>
        <w:t>cm/s），或至少2mm厚高密度聚乙烯膜等人工防渗材料（渗透系数不大于10</w:t>
      </w:r>
      <w:r>
        <w:rPr>
          <w:rFonts w:hint="eastAsia" w:ascii="Times New Roman" w:hAnsi="Times New Roman" w:eastAsia="宋体" w:cs="Times New Roman"/>
          <w:sz w:val="24"/>
          <w:szCs w:val="24"/>
          <w:vertAlign w:val="superscript"/>
          <w:lang w:bidi="zh-CN"/>
        </w:rPr>
        <w:t>-10</w:t>
      </w:r>
      <w:r>
        <w:rPr>
          <w:rFonts w:hint="eastAsia" w:ascii="Times New Roman" w:hAnsi="Times New Roman" w:eastAsia="宋体" w:cs="Times New Roman"/>
          <w:sz w:val="24"/>
          <w:szCs w:val="24"/>
          <w:lang w:bidi="zh-CN"/>
        </w:rPr>
        <w:t>cm/s），或其他防渗性能等效的材料。</w:t>
      </w:r>
    </w:p>
    <w:p w14:paraId="702B2EF4">
      <w:pPr>
        <w:spacing w:line="360" w:lineRule="auto"/>
        <w:ind w:firstLine="420"/>
        <w:rPr>
          <w:rFonts w:hint="eastAsia" w:ascii="Times New Roman" w:hAnsi="Times New Roman" w:eastAsia="宋体" w:cs="Times New Roman"/>
          <w:sz w:val="24"/>
          <w:szCs w:val="24"/>
          <w:lang w:bidi="zh-CN"/>
        </w:rPr>
      </w:pPr>
      <w:r>
        <w:rPr>
          <w:rFonts w:hint="eastAsia" w:ascii="Times New Roman" w:hAnsi="Times New Roman" w:eastAsia="宋体" w:cs="Times New Roman"/>
          <w:sz w:val="24"/>
          <w:szCs w:val="24"/>
          <w:lang w:bidi="zh-CN"/>
        </w:rPr>
        <w:t>④同一贮存设施宜采用相同的防渗、防腐工艺（包括防渗、防腐结构或材料），防渗、防腐材料应覆盖所有可能与废物及其渗滤液、渗漏液等接触的构筑物表面；采用不同防渗、防腐工艺应分别建设贮存分区。</w:t>
      </w:r>
    </w:p>
    <w:p w14:paraId="67B29482">
      <w:pPr>
        <w:spacing w:line="360" w:lineRule="auto"/>
        <w:ind w:firstLine="420"/>
        <w:rPr>
          <w:rFonts w:hint="eastAsia" w:ascii="Times New Roman" w:hAnsi="Times New Roman" w:eastAsia="宋体" w:cs="Times New Roman"/>
          <w:sz w:val="24"/>
          <w:szCs w:val="24"/>
          <w:lang w:bidi="zh-CN"/>
        </w:rPr>
      </w:pPr>
      <w:r>
        <w:rPr>
          <w:rFonts w:hint="eastAsia" w:ascii="Times New Roman" w:hAnsi="Times New Roman" w:eastAsia="宋体" w:cs="Times New Roman"/>
          <w:sz w:val="24"/>
          <w:szCs w:val="24"/>
          <w:lang w:bidi="zh-CN"/>
        </w:rPr>
        <w:t>⑤贮存设施应采取技术和管理措施防止无关人员进入。</w:t>
      </w:r>
    </w:p>
    <w:p w14:paraId="7E07AC98">
      <w:pPr>
        <w:keepNext w:val="0"/>
        <w:keepLines w:val="0"/>
        <w:pageBreakBefore w:val="0"/>
        <w:kinsoku/>
        <w:wordWrap/>
        <w:overflowPunct/>
        <w:topLinePunct w:val="0"/>
        <w:bidi w:val="0"/>
        <w:adjustRightInd/>
        <w:spacing w:line="360" w:lineRule="auto"/>
        <w:ind w:firstLine="420"/>
        <w:textAlignment w:val="auto"/>
        <w:rPr>
          <w:rFonts w:hint="eastAsia" w:ascii="Times New Roman" w:hAnsi="Times New Roman" w:eastAsia="宋体" w:cs="Times New Roman"/>
          <w:sz w:val="24"/>
          <w:szCs w:val="24"/>
          <w:lang w:bidi="zh-CN"/>
        </w:rPr>
      </w:pPr>
      <w:r>
        <w:rPr>
          <w:rFonts w:hint="eastAsia" w:ascii="Times New Roman" w:hAnsi="Times New Roman" w:eastAsia="宋体" w:cs="Times New Roman"/>
          <w:sz w:val="24"/>
          <w:szCs w:val="24"/>
          <w:lang w:bidi="zh-CN"/>
        </w:rPr>
        <w:t>（</w:t>
      </w:r>
      <w:r>
        <w:rPr>
          <w:rFonts w:hint="eastAsia" w:ascii="Times New Roman" w:hAnsi="Times New Roman" w:eastAsia="宋体" w:cs="Times New Roman"/>
          <w:sz w:val="24"/>
          <w:szCs w:val="24"/>
          <w:lang w:val="en-US" w:bidi="zh-CN"/>
        </w:rPr>
        <w:t>3</w:t>
      </w:r>
      <w:r>
        <w:rPr>
          <w:rFonts w:hint="eastAsia" w:ascii="Times New Roman" w:hAnsi="Times New Roman" w:eastAsia="宋体" w:cs="Times New Roman"/>
          <w:sz w:val="24"/>
          <w:szCs w:val="24"/>
          <w:lang w:bidi="zh-CN"/>
        </w:rPr>
        <w:t>）贮存过程污染控制要求</w:t>
      </w:r>
    </w:p>
    <w:p w14:paraId="01BD7B52">
      <w:pPr>
        <w:keepNext w:val="0"/>
        <w:keepLines w:val="0"/>
        <w:pageBreakBefore w:val="0"/>
        <w:kinsoku/>
        <w:wordWrap/>
        <w:overflowPunct/>
        <w:topLinePunct w:val="0"/>
        <w:bidi w:val="0"/>
        <w:adjustRightInd/>
        <w:spacing w:line="360" w:lineRule="auto"/>
        <w:ind w:firstLine="420"/>
        <w:textAlignment w:val="auto"/>
        <w:rPr>
          <w:rFonts w:hint="eastAsia" w:ascii="Times New Roman" w:hAnsi="Times New Roman" w:eastAsia="宋体" w:cs="Times New Roman"/>
          <w:sz w:val="24"/>
          <w:szCs w:val="24"/>
          <w:lang w:bidi="zh-CN"/>
        </w:rPr>
      </w:pPr>
      <w:r>
        <w:rPr>
          <w:rFonts w:hint="eastAsia" w:ascii="Times New Roman" w:hAnsi="Times New Roman" w:eastAsia="宋体" w:cs="Times New Roman"/>
          <w:sz w:val="24"/>
          <w:szCs w:val="24"/>
          <w:lang w:bidi="zh-CN"/>
        </w:rPr>
        <w:t>在常温常压下不易水解、不易挥发的固态危险废物可分类堆放贮存，其他固态危险废物应装入容器或包装物内贮存。</w:t>
      </w:r>
    </w:p>
    <w:p w14:paraId="027C482F">
      <w:pPr>
        <w:keepNext w:val="0"/>
        <w:keepLines w:val="0"/>
        <w:pageBreakBefore w:val="0"/>
        <w:kinsoku/>
        <w:wordWrap/>
        <w:overflowPunct/>
        <w:topLinePunct w:val="0"/>
        <w:bidi w:val="0"/>
        <w:adjustRightInd/>
        <w:spacing w:line="360" w:lineRule="auto"/>
        <w:ind w:firstLine="420"/>
        <w:textAlignment w:val="auto"/>
        <w:rPr>
          <w:rFonts w:hint="eastAsia" w:ascii="Times New Roman" w:hAnsi="Times New Roman" w:eastAsia="宋体" w:cs="Times New Roman"/>
          <w:sz w:val="24"/>
          <w:szCs w:val="24"/>
          <w:lang w:bidi="zh-CN"/>
        </w:rPr>
      </w:pPr>
      <w:r>
        <w:rPr>
          <w:rFonts w:hint="eastAsia" w:ascii="Times New Roman" w:hAnsi="Times New Roman" w:eastAsia="宋体" w:cs="Times New Roman"/>
          <w:sz w:val="24"/>
          <w:szCs w:val="24"/>
          <w:lang w:bidi="zh-CN"/>
        </w:rPr>
        <w:t>液态危险废物应装入容器内贮存，或直接采用贮存池、贮存罐区贮存。</w:t>
      </w:r>
    </w:p>
    <w:p w14:paraId="3C2BC2D9">
      <w:pPr>
        <w:keepNext w:val="0"/>
        <w:keepLines w:val="0"/>
        <w:pageBreakBefore w:val="0"/>
        <w:kinsoku/>
        <w:wordWrap/>
        <w:overflowPunct/>
        <w:topLinePunct w:val="0"/>
        <w:bidi w:val="0"/>
        <w:adjustRightInd/>
        <w:spacing w:line="360" w:lineRule="auto"/>
        <w:ind w:firstLine="420"/>
        <w:textAlignment w:val="auto"/>
        <w:rPr>
          <w:rFonts w:hint="eastAsia" w:ascii="Times New Roman" w:hAnsi="Times New Roman" w:eastAsia="宋体" w:cs="Times New Roman"/>
          <w:sz w:val="24"/>
          <w:szCs w:val="24"/>
          <w:lang w:bidi="zh-CN"/>
        </w:rPr>
      </w:pPr>
      <w:r>
        <w:rPr>
          <w:rFonts w:hint="eastAsia" w:ascii="Times New Roman" w:hAnsi="Times New Roman" w:eastAsia="宋体" w:cs="Times New Roman"/>
          <w:sz w:val="24"/>
          <w:szCs w:val="24"/>
          <w:lang w:bidi="zh-CN"/>
        </w:rPr>
        <w:t>（</w:t>
      </w:r>
      <w:r>
        <w:rPr>
          <w:rFonts w:hint="eastAsia" w:ascii="Times New Roman" w:hAnsi="Times New Roman" w:eastAsia="宋体" w:cs="Times New Roman"/>
          <w:sz w:val="24"/>
          <w:szCs w:val="24"/>
          <w:lang w:val="en-US" w:bidi="zh-CN"/>
        </w:rPr>
        <w:t>4</w:t>
      </w:r>
      <w:r>
        <w:rPr>
          <w:rFonts w:hint="eastAsia" w:ascii="Times New Roman" w:hAnsi="Times New Roman" w:eastAsia="宋体" w:cs="Times New Roman"/>
          <w:sz w:val="24"/>
          <w:szCs w:val="24"/>
          <w:lang w:bidi="zh-CN"/>
        </w:rPr>
        <w:t>）贮存点环境管理要求</w:t>
      </w:r>
    </w:p>
    <w:p w14:paraId="08C30B3A">
      <w:pPr>
        <w:keepNext w:val="0"/>
        <w:keepLines w:val="0"/>
        <w:pageBreakBefore w:val="0"/>
        <w:kinsoku/>
        <w:wordWrap/>
        <w:overflowPunct/>
        <w:topLinePunct w:val="0"/>
        <w:bidi w:val="0"/>
        <w:adjustRightInd/>
        <w:spacing w:line="360" w:lineRule="auto"/>
        <w:ind w:firstLine="420"/>
        <w:textAlignment w:val="auto"/>
        <w:rPr>
          <w:rFonts w:hint="default" w:ascii="Times New Roman" w:hAnsi="Times New Roman" w:eastAsia="宋体" w:cs="Times New Roman"/>
          <w:sz w:val="24"/>
          <w:szCs w:val="24"/>
          <w:lang w:val="en-US" w:bidi="zh-CN"/>
        </w:rPr>
      </w:pPr>
      <w:r>
        <w:rPr>
          <w:rFonts w:hint="eastAsia" w:ascii="Times New Roman" w:hAnsi="Times New Roman" w:eastAsia="宋体" w:cs="Times New Roman"/>
          <w:sz w:val="24"/>
          <w:szCs w:val="24"/>
          <w:lang w:bidi="zh-CN"/>
        </w:rPr>
        <w:t>①贮存点应具有固定的区域边界，并应采取与其他区域进行隔离的措施。</w:t>
      </w:r>
    </w:p>
    <w:p w14:paraId="1C7A16E2">
      <w:pPr>
        <w:keepNext w:val="0"/>
        <w:keepLines w:val="0"/>
        <w:pageBreakBefore w:val="0"/>
        <w:kinsoku/>
        <w:wordWrap/>
        <w:overflowPunct/>
        <w:topLinePunct w:val="0"/>
        <w:bidi w:val="0"/>
        <w:adjustRightInd/>
        <w:spacing w:line="360" w:lineRule="auto"/>
        <w:ind w:firstLine="420"/>
        <w:textAlignment w:val="auto"/>
        <w:rPr>
          <w:rFonts w:hint="eastAsia" w:ascii="Times New Roman" w:hAnsi="Times New Roman" w:eastAsia="宋体" w:cs="Times New Roman"/>
          <w:sz w:val="24"/>
          <w:szCs w:val="24"/>
          <w:lang w:bidi="zh-CN"/>
        </w:rPr>
      </w:pPr>
      <w:r>
        <w:rPr>
          <w:rFonts w:hint="eastAsia" w:ascii="Times New Roman" w:hAnsi="Times New Roman" w:eastAsia="宋体" w:cs="Times New Roman"/>
          <w:sz w:val="24"/>
          <w:szCs w:val="24"/>
          <w:lang w:bidi="zh-CN"/>
        </w:rPr>
        <w:t>②贮存点应采取防风、防雨、防晒和防止危险废物流失、扬散等措施。</w:t>
      </w:r>
    </w:p>
    <w:p w14:paraId="4089945F">
      <w:pPr>
        <w:keepNext w:val="0"/>
        <w:keepLines w:val="0"/>
        <w:pageBreakBefore w:val="0"/>
        <w:kinsoku/>
        <w:wordWrap/>
        <w:overflowPunct/>
        <w:topLinePunct w:val="0"/>
        <w:bidi w:val="0"/>
        <w:adjustRightInd/>
        <w:spacing w:line="360" w:lineRule="auto"/>
        <w:ind w:firstLine="420"/>
        <w:textAlignment w:val="auto"/>
        <w:rPr>
          <w:rFonts w:hint="eastAsia" w:ascii="Times New Roman" w:hAnsi="Times New Roman" w:eastAsia="宋体" w:cs="Times New Roman"/>
          <w:sz w:val="24"/>
          <w:szCs w:val="24"/>
          <w:lang w:bidi="zh-CN"/>
        </w:rPr>
      </w:pPr>
      <w:r>
        <w:rPr>
          <w:rFonts w:hint="eastAsia" w:ascii="Times New Roman" w:hAnsi="Times New Roman" w:eastAsia="宋体" w:cs="Times New Roman"/>
          <w:sz w:val="24"/>
          <w:szCs w:val="24"/>
          <w:lang w:bidi="zh-CN"/>
        </w:rPr>
        <w:t>③贮存点贮存的危险废物应置于容器或包装物中，不应直接散堆。</w:t>
      </w:r>
    </w:p>
    <w:p w14:paraId="46D886D7">
      <w:pPr>
        <w:keepNext w:val="0"/>
        <w:keepLines w:val="0"/>
        <w:pageBreakBefore w:val="0"/>
        <w:kinsoku/>
        <w:wordWrap/>
        <w:overflowPunct/>
        <w:topLinePunct w:val="0"/>
        <w:bidi w:val="0"/>
        <w:adjustRightInd/>
        <w:spacing w:line="360" w:lineRule="auto"/>
        <w:ind w:firstLine="420"/>
        <w:textAlignment w:val="auto"/>
        <w:rPr>
          <w:rFonts w:hint="eastAsia" w:ascii="Times New Roman" w:hAnsi="Times New Roman" w:eastAsia="宋体" w:cs="Times New Roman"/>
          <w:sz w:val="24"/>
          <w:szCs w:val="24"/>
          <w:lang w:bidi="zh-CN"/>
        </w:rPr>
      </w:pPr>
      <w:r>
        <w:rPr>
          <w:rFonts w:hint="eastAsia" w:ascii="Times New Roman" w:hAnsi="Times New Roman" w:eastAsia="宋体" w:cs="Times New Roman"/>
          <w:sz w:val="24"/>
          <w:szCs w:val="24"/>
          <w:lang w:bidi="zh-CN"/>
        </w:rPr>
        <w:t>④贮存点应根据危险废物的形态、物理化学性质、包装形式等，采取防渗、防漏等污染防治措施或采用具有相应功能的装置。</w:t>
      </w:r>
    </w:p>
    <w:p w14:paraId="67C0E132">
      <w:pPr>
        <w:keepNext w:val="0"/>
        <w:keepLines w:val="0"/>
        <w:pageBreakBefore w:val="0"/>
        <w:kinsoku/>
        <w:wordWrap/>
        <w:overflowPunct/>
        <w:topLinePunct w:val="0"/>
        <w:bidi w:val="0"/>
        <w:adjustRightInd/>
        <w:spacing w:line="360" w:lineRule="auto"/>
        <w:ind w:left="0" w:leftChars="0" w:firstLine="420" w:firstLineChars="175"/>
        <w:textAlignment w:val="auto"/>
        <w:rPr>
          <w:rFonts w:hint="default"/>
          <w:lang w:val="en-US"/>
        </w:rPr>
      </w:pPr>
      <w:r>
        <w:rPr>
          <w:rFonts w:hint="eastAsia" w:ascii="Times New Roman" w:hAnsi="Times New Roman" w:eastAsia="宋体" w:cs="Times New Roman"/>
          <w:sz w:val="24"/>
          <w:szCs w:val="24"/>
          <w:lang w:bidi="zh-CN"/>
        </w:rPr>
        <w:t>⑤</w:t>
      </w:r>
      <w:r>
        <w:rPr>
          <w:rFonts w:hint="eastAsia" w:cs="Times New Roman"/>
          <w:sz w:val="24"/>
          <w:szCs w:val="24"/>
          <w:lang w:bidi="zh-CN"/>
        </w:rPr>
        <w:t>贮存点应及时清运贮存的危险废物，实时贮存量应</w:t>
      </w:r>
      <w:r>
        <w:rPr>
          <w:rFonts w:hint="eastAsia" w:cs="Times New Roman"/>
          <w:sz w:val="24"/>
          <w:szCs w:val="24"/>
          <w:lang w:val="en-US" w:bidi="zh-CN"/>
        </w:rPr>
        <w:t>不</w:t>
      </w:r>
      <w:r>
        <w:rPr>
          <w:rFonts w:hint="eastAsia" w:cs="Times New Roman"/>
          <w:sz w:val="24"/>
          <w:szCs w:val="24"/>
          <w:lang w:bidi="zh-CN"/>
        </w:rPr>
        <w:t>超过</w:t>
      </w:r>
      <w:r>
        <w:rPr>
          <w:rFonts w:hint="eastAsia" w:cs="Times New Roman"/>
          <w:sz w:val="24"/>
          <w:szCs w:val="24"/>
          <w:lang w:val="en-US" w:bidi="zh-CN"/>
        </w:rPr>
        <w:t>3吨。</w:t>
      </w:r>
    </w:p>
    <w:p w14:paraId="3E5465BB">
      <w:pPr>
        <w:keepNext w:val="0"/>
        <w:keepLines w:val="0"/>
        <w:pageBreakBefore w:val="0"/>
        <w:widowControl/>
        <w:kinsoku/>
        <w:wordWrap/>
        <w:overflowPunct/>
        <w:topLinePunct w:val="0"/>
        <w:autoSpaceDE w:val="0"/>
        <w:autoSpaceDN w:val="0"/>
        <w:bidi w:val="0"/>
        <w:adjustRightInd/>
        <w:snapToGrid w:val="0"/>
        <w:spacing w:line="360" w:lineRule="auto"/>
        <w:ind w:firstLine="480" w:firstLineChars="200"/>
        <w:textAlignment w:val="auto"/>
        <w:rPr>
          <w:kern w:val="0"/>
          <w:sz w:val="24"/>
          <w:lang w:val="en-GB" w:bidi="zh-CN"/>
        </w:rPr>
      </w:pPr>
      <w:r>
        <w:rPr>
          <w:kern w:val="0"/>
          <w:sz w:val="24"/>
          <w:lang w:val="en-GB" w:bidi="zh-CN"/>
        </w:rPr>
        <w:t>按照《危险废物贮存污染控制标准》（GB18597-2023）相关规定要求，危废间及危险废物储存容器上需要张贴标签，应按照《危险废物识别标志设置技术规范》（HJ1276-2022）具体要求进行设置，如下：</w:t>
      </w:r>
    </w:p>
    <w:p w14:paraId="3F9919F5">
      <w:pPr>
        <w:widowControl/>
        <w:autoSpaceDE w:val="0"/>
        <w:autoSpaceDN w:val="0"/>
        <w:snapToGrid w:val="0"/>
        <w:spacing w:line="360" w:lineRule="auto"/>
        <w:ind w:firstLine="480" w:firstLineChars="200"/>
        <w:rPr>
          <w:kern w:val="0"/>
          <w:sz w:val="24"/>
          <w:lang w:val="en-GB" w:bidi="zh-CN"/>
        </w:rPr>
      </w:pPr>
    </w:p>
    <w:p w14:paraId="1F2FBD69">
      <w:pPr>
        <w:tabs>
          <w:tab w:val="center" w:pos="4153"/>
          <w:tab w:val="right" w:pos="8306"/>
        </w:tabs>
        <w:autoSpaceDE w:val="0"/>
        <w:autoSpaceDN w:val="0"/>
        <w:snapToGrid w:val="0"/>
        <w:ind w:firstLine="422" w:firstLineChars="200"/>
        <w:jc w:val="center"/>
        <w:rPr>
          <w:b/>
          <w:bCs/>
          <w:kern w:val="0"/>
          <w:szCs w:val="21"/>
          <w:lang w:bidi="zh-CN"/>
        </w:rPr>
      </w:pPr>
      <w:r>
        <w:rPr>
          <w:b/>
          <w:bCs/>
          <w:kern w:val="0"/>
          <w:szCs w:val="21"/>
          <w:lang w:bidi="zh-CN"/>
        </w:rPr>
        <w:t>表6.2-2    危险废物贮存分区标志</w:t>
      </w:r>
    </w:p>
    <w:tbl>
      <w:tblPr>
        <w:tblStyle w:val="49"/>
        <w:tblW w:w="4999"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276"/>
        <w:gridCol w:w="4195"/>
        <w:gridCol w:w="3314"/>
        <w:gridCol w:w="501"/>
      </w:tblGrid>
      <w:tr w14:paraId="1E757B3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0" w:type="auto"/>
            <w:vMerge w:val="restart"/>
            <w:vAlign w:val="center"/>
          </w:tcPr>
          <w:p w14:paraId="058223CA">
            <w:pPr>
              <w:autoSpaceDE w:val="0"/>
              <w:autoSpaceDN w:val="0"/>
              <w:snapToGrid w:val="0"/>
              <w:contextualSpacing/>
              <w:rPr>
                <w:kern w:val="0"/>
                <w:szCs w:val="21"/>
                <w:lang w:bidi="zh-CN"/>
              </w:rPr>
            </w:pPr>
            <w:r>
              <w:rPr>
                <w:kern w:val="0"/>
                <w:szCs w:val="21"/>
                <w:lang w:bidi="zh-CN"/>
              </w:rPr>
              <w:t>危险废物贮存分区标志的设置要求</w:t>
            </w:r>
          </w:p>
        </w:tc>
        <w:tc>
          <w:tcPr>
            <w:tcW w:w="0" w:type="auto"/>
            <w:vAlign w:val="center"/>
          </w:tcPr>
          <w:p w14:paraId="6CA3AA29">
            <w:pPr>
              <w:autoSpaceDE w:val="0"/>
              <w:autoSpaceDN w:val="0"/>
              <w:snapToGrid w:val="0"/>
              <w:contextualSpacing/>
              <w:rPr>
                <w:kern w:val="0"/>
                <w:szCs w:val="21"/>
                <w:lang w:bidi="zh-CN"/>
              </w:rPr>
            </w:pPr>
            <w:r>
              <w:rPr>
                <w:kern w:val="0"/>
                <w:szCs w:val="21"/>
                <w:lang w:bidi="zh-CN"/>
              </w:rPr>
              <w:t>危险废物贮存分区的划分应满足GB 18597中的有关规定。宜在危险废物贮存设施内的每一个贮存分区处设置危险废物贮存分区标志。</w:t>
            </w:r>
          </w:p>
        </w:tc>
        <w:tc>
          <w:tcPr>
            <w:tcW w:w="0" w:type="auto"/>
            <w:vMerge w:val="restart"/>
            <w:vAlign w:val="center"/>
          </w:tcPr>
          <w:p w14:paraId="5DC3E66C">
            <w:pPr>
              <w:autoSpaceDE w:val="0"/>
              <w:autoSpaceDN w:val="0"/>
              <w:snapToGrid w:val="0"/>
              <w:rPr>
                <w:kern w:val="0"/>
                <w:sz w:val="18"/>
                <w:szCs w:val="18"/>
                <w:lang w:val="zh-CN" w:bidi="zh-CN"/>
              </w:rPr>
            </w:pPr>
            <w:r>
              <w:rPr>
                <w:kern w:val="0"/>
                <w:sz w:val="24"/>
                <w:szCs w:val="24"/>
              </w:rPr>
              <w:drawing>
                <wp:inline distT="0" distB="0" distL="0" distR="0">
                  <wp:extent cx="1900555" cy="1676400"/>
                  <wp:effectExtent l="0" t="0" r="4445" b="0"/>
                  <wp:docPr id="1007912082"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912082" name="图片 11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a:xfrm>
                            <a:off x="0" y="0"/>
                            <a:ext cx="1900555" cy="1676400"/>
                          </a:xfrm>
                          <a:prstGeom prst="rect">
                            <a:avLst/>
                          </a:prstGeom>
                          <a:noFill/>
                          <a:ln>
                            <a:noFill/>
                          </a:ln>
                        </pic:spPr>
                      </pic:pic>
                    </a:graphicData>
                  </a:graphic>
                </wp:inline>
              </w:drawing>
            </w:r>
          </w:p>
        </w:tc>
        <w:tc>
          <w:tcPr>
            <w:tcW w:w="0" w:type="auto"/>
            <w:vMerge w:val="restart"/>
            <w:vAlign w:val="center"/>
          </w:tcPr>
          <w:p w14:paraId="3F6B9D11">
            <w:pPr>
              <w:autoSpaceDE w:val="0"/>
              <w:autoSpaceDN w:val="0"/>
              <w:snapToGrid w:val="0"/>
              <w:rPr>
                <w:kern w:val="0"/>
                <w:sz w:val="18"/>
                <w:szCs w:val="18"/>
                <w:lang w:bidi="zh-CN"/>
              </w:rPr>
            </w:pPr>
            <w:r>
              <w:rPr>
                <w:rFonts w:hint="eastAsia"/>
                <w:kern w:val="0"/>
                <w:sz w:val="18"/>
                <w:szCs w:val="18"/>
                <w:lang w:bidi="zh-CN"/>
              </w:rPr>
              <w:t>附</w:t>
            </w:r>
            <w:r>
              <w:rPr>
                <w:kern w:val="0"/>
                <w:sz w:val="18"/>
                <w:szCs w:val="18"/>
                <w:lang w:bidi="zh-CN"/>
              </w:rPr>
              <w:t>着式</w:t>
            </w:r>
          </w:p>
        </w:tc>
      </w:tr>
      <w:tr w14:paraId="5F6F459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0" w:type="auto"/>
            <w:vMerge w:val="continue"/>
            <w:vAlign w:val="center"/>
          </w:tcPr>
          <w:p w14:paraId="1C05490C">
            <w:pPr>
              <w:autoSpaceDE w:val="0"/>
              <w:autoSpaceDN w:val="0"/>
              <w:snapToGrid w:val="0"/>
              <w:contextualSpacing/>
              <w:rPr>
                <w:kern w:val="0"/>
                <w:szCs w:val="21"/>
                <w:lang w:bidi="zh-CN"/>
              </w:rPr>
            </w:pPr>
          </w:p>
        </w:tc>
        <w:tc>
          <w:tcPr>
            <w:tcW w:w="0" w:type="auto"/>
            <w:vAlign w:val="center"/>
          </w:tcPr>
          <w:p w14:paraId="11D01732">
            <w:pPr>
              <w:autoSpaceDE w:val="0"/>
              <w:autoSpaceDN w:val="0"/>
              <w:snapToGrid w:val="0"/>
              <w:contextualSpacing/>
              <w:rPr>
                <w:kern w:val="0"/>
                <w:szCs w:val="21"/>
                <w:lang w:bidi="zh-CN"/>
              </w:rPr>
            </w:pPr>
            <w:r>
              <w:rPr>
                <w:kern w:val="0"/>
                <w:szCs w:val="21"/>
                <w:lang w:bidi="zh-CN"/>
              </w:rPr>
              <w:t>危险废物贮存分区标志宜设置在该贮存分区前的通道位置或墙壁、栏杆等易于观察的位置。</w:t>
            </w:r>
          </w:p>
        </w:tc>
        <w:tc>
          <w:tcPr>
            <w:tcW w:w="0" w:type="auto"/>
            <w:vMerge w:val="continue"/>
            <w:vAlign w:val="center"/>
          </w:tcPr>
          <w:p w14:paraId="771697BA">
            <w:pPr>
              <w:autoSpaceDE w:val="0"/>
              <w:autoSpaceDN w:val="0"/>
              <w:snapToGrid w:val="0"/>
              <w:rPr>
                <w:kern w:val="0"/>
                <w:sz w:val="24"/>
                <w:szCs w:val="24"/>
                <w:lang w:val="zh-CN" w:bidi="zh-CN"/>
              </w:rPr>
            </w:pPr>
          </w:p>
        </w:tc>
        <w:tc>
          <w:tcPr>
            <w:tcW w:w="0" w:type="auto"/>
            <w:vMerge w:val="continue"/>
            <w:vAlign w:val="center"/>
          </w:tcPr>
          <w:p w14:paraId="38C7AE1C">
            <w:pPr>
              <w:autoSpaceDE w:val="0"/>
              <w:autoSpaceDN w:val="0"/>
              <w:snapToGrid w:val="0"/>
              <w:rPr>
                <w:kern w:val="0"/>
                <w:sz w:val="18"/>
                <w:szCs w:val="18"/>
                <w:lang w:bidi="zh-CN"/>
              </w:rPr>
            </w:pPr>
          </w:p>
        </w:tc>
      </w:tr>
      <w:tr w14:paraId="200CD14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0" w:type="auto"/>
            <w:vMerge w:val="continue"/>
            <w:vAlign w:val="center"/>
          </w:tcPr>
          <w:p w14:paraId="4ACE388E">
            <w:pPr>
              <w:autoSpaceDE w:val="0"/>
              <w:autoSpaceDN w:val="0"/>
              <w:snapToGrid w:val="0"/>
              <w:contextualSpacing/>
              <w:rPr>
                <w:kern w:val="0"/>
                <w:szCs w:val="21"/>
                <w:lang w:bidi="zh-CN"/>
              </w:rPr>
            </w:pPr>
          </w:p>
        </w:tc>
        <w:tc>
          <w:tcPr>
            <w:tcW w:w="0" w:type="auto"/>
            <w:vMerge w:val="restart"/>
            <w:vAlign w:val="center"/>
          </w:tcPr>
          <w:p w14:paraId="645C72FB">
            <w:pPr>
              <w:autoSpaceDE w:val="0"/>
              <w:autoSpaceDN w:val="0"/>
              <w:snapToGrid w:val="0"/>
              <w:contextualSpacing/>
              <w:rPr>
                <w:kern w:val="0"/>
                <w:szCs w:val="21"/>
                <w:lang w:bidi="zh-CN"/>
              </w:rPr>
            </w:pPr>
            <w:r>
              <w:rPr>
                <w:kern w:val="0"/>
                <w:szCs w:val="21"/>
                <w:lang w:bidi="zh-CN"/>
              </w:rPr>
              <w:t>宜根据危险废物贮存分区标志的设置位置和观察距离按照本标准第9.2条中的制作要求设置相应的标志。</w:t>
            </w:r>
          </w:p>
        </w:tc>
        <w:tc>
          <w:tcPr>
            <w:tcW w:w="0" w:type="auto"/>
            <w:vMerge w:val="continue"/>
            <w:vAlign w:val="center"/>
          </w:tcPr>
          <w:p w14:paraId="49B3E764">
            <w:pPr>
              <w:autoSpaceDE w:val="0"/>
              <w:autoSpaceDN w:val="0"/>
              <w:snapToGrid w:val="0"/>
              <w:rPr>
                <w:kern w:val="0"/>
                <w:sz w:val="24"/>
                <w:szCs w:val="24"/>
                <w:lang w:val="zh-CN" w:bidi="zh-CN"/>
              </w:rPr>
            </w:pPr>
          </w:p>
        </w:tc>
        <w:tc>
          <w:tcPr>
            <w:tcW w:w="0" w:type="auto"/>
            <w:vMerge w:val="continue"/>
            <w:vAlign w:val="center"/>
          </w:tcPr>
          <w:p w14:paraId="15C0C9DD">
            <w:pPr>
              <w:autoSpaceDE w:val="0"/>
              <w:autoSpaceDN w:val="0"/>
              <w:snapToGrid w:val="0"/>
              <w:rPr>
                <w:kern w:val="0"/>
                <w:sz w:val="18"/>
                <w:szCs w:val="18"/>
                <w:lang w:bidi="zh-CN"/>
              </w:rPr>
            </w:pPr>
          </w:p>
        </w:tc>
      </w:tr>
      <w:tr w14:paraId="4D56E75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0" w:type="auto"/>
            <w:vMerge w:val="continue"/>
            <w:vAlign w:val="center"/>
          </w:tcPr>
          <w:p w14:paraId="26C5F1F4">
            <w:pPr>
              <w:autoSpaceDE w:val="0"/>
              <w:autoSpaceDN w:val="0"/>
              <w:snapToGrid w:val="0"/>
              <w:contextualSpacing/>
              <w:rPr>
                <w:kern w:val="0"/>
                <w:szCs w:val="21"/>
                <w:lang w:bidi="zh-CN"/>
              </w:rPr>
            </w:pPr>
          </w:p>
        </w:tc>
        <w:tc>
          <w:tcPr>
            <w:tcW w:w="0" w:type="auto"/>
            <w:vMerge w:val="continue"/>
            <w:vAlign w:val="center"/>
          </w:tcPr>
          <w:p w14:paraId="12DFF0F7">
            <w:pPr>
              <w:autoSpaceDE w:val="0"/>
              <w:autoSpaceDN w:val="0"/>
              <w:snapToGrid w:val="0"/>
              <w:contextualSpacing/>
              <w:rPr>
                <w:kern w:val="0"/>
                <w:szCs w:val="21"/>
                <w:lang w:bidi="zh-CN"/>
              </w:rPr>
            </w:pPr>
          </w:p>
        </w:tc>
        <w:tc>
          <w:tcPr>
            <w:tcW w:w="0" w:type="auto"/>
            <w:vMerge w:val="restart"/>
            <w:vAlign w:val="center"/>
          </w:tcPr>
          <w:p w14:paraId="342BE69C">
            <w:pPr>
              <w:autoSpaceDE w:val="0"/>
              <w:autoSpaceDN w:val="0"/>
              <w:snapToGrid w:val="0"/>
              <w:rPr>
                <w:b/>
                <w:bCs/>
                <w:kern w:val="0"/>
                <w:sz w:val="24"/>
                <w:szCs w:val="24"/>
                <w:lang w:val="zh-CN" w:bidi="zh-CN"/>
              </w:rPr>
            </w:pPr>
            <w:r>
              <w:rPr>
                <w:kern w:val="0"/>
                <w:sz w:val="24"/>
                <w:szCs w:val="24"/>
              </w:rPr>
              <w:drawing>
                <wp:inline distT="0" distB="0" distL="0" distR="0">
                  <wp:extent cx="1967230" cy="1857375"/>
                  <wp:effectExtent l="0" t="0" r="0" b="9525"/>
                  <wp:docPr id="1731301368"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1301368" name="图片 11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a:xfrm>
                            <a:off x="0" y="0"/>
                            <a:ext cx="1967230" cy="1857375"/>
                          </a:xfrm>
                          <a:prstGeom prst="rect">
                            <a:avLst/>
                          </a:prstGeom>
                          <a:noFill/>
                          <a:ln>
                            <a:noFill/>
                          </a:ln>
                        </pic:spPr>
                      </pic:pic>
                    </a:graphicData>
                  </a:graphic>
                </wp:inline>
              </w:drawing>
            </w:r>
          </w:p>
        </w:tc>
        <w:tc>
          <w:tcPr>
            <w:tcW w:w="0" w:type="auto"/>
            <w:vMerge w:val="restart"/>
            <w:vAlign w:val="center"/>
          </w:tcPr>
          <w:p w14:paraId="133AAEF7">
            <w:pPr>
              <w:autoSpaceDE w:val="0"/>
              <w:autoSpaceDN w:val="0"/>
              <w:snapToGrid w:val="0"/>
              <w:rPr>
                <w:kern w:val="0"/>
                <w:sz w:val="18"/>
                <w:szCs w:val="18"/>
                <w:lang w:bidi="zh-CN"/>
              </w:rPr>
            </w:pPr>
            <w:r>
              <w:rPr>
                <w:kern w:val="0"/>
                <w:sz w:val="18"/>
                <w:szCs w:val="18"/>
                <w:lang w:bidi="zh-CN"/>
              </w:rPr>
              <w:t>柱立式</w:t>
            </w:r>
          </w:p>
        </w:tc>
      </w:tr>
      <w:tr w14:paraId="6CE6185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0" w:type="auto"/>
            <w:vMerge w:val="continue"/>
            <w:vAlign w:val="center"/>
          </w:tcPr>
          <w:p w14:paraId="19F6A604">
            <w:pPr>
              <w:autoSpaceDE w:val="0"/>
              <w:autoSpaceDN w:val="0"/>
              <w:snapToGrid w:val="0"/>
              <w:contextualSpacing/>
              <w:rPr>
                <w:kern w:val="0"/>
                <w:szCs w:val="21"/>
                <w:lang w:bidi="zh-CN"/>
              </w:rPr>
            </w:pPr>
          </w:p>
        </w:tc>
        <w:tc>
          <w:tcPr>
            <w:tcW w:w="0" w:type="auto"/>
            <w:vAlign w:val="center"/>
          </w:tcPr>
          <w:p w14:paraId="264BA904">
            <w:pPr>
              <w:autoSpaceDE w:val="0"/>
              <w:autoSpaceDN w:val="0"/>
              <w:snapToGrid w:val="0"/>
              <w:contextualSpacing/>
              <w:rPr>
                <w:kern w:val="0"/>
                <w:szCs w:val="21"/>
                <w:lang w:bidi="zh-CN"/>
              </w:rPr>
            </w:pPr>
            <w:r>
              <w:rPr>
                <w:kern w:val="0"/>
                <w:szCs w:val="21"/>
                <w:lang w:bidi="zh-CN"/>
              </w:rPr>
              <w:t>危险废物贮存分区标志可采用附着式(如钉挂、粘贴等）、悬挂式和柱式（固定于标志杆或支架等物体上）等固定形式，见</w:t>
            </w:r>
            <w:r>
              <w:rPr>
                <w:rFonts w:hint="eastAsia"/>
                <w:kern w:val="0"/>
                <w:szCs w:val="21"/>
                <w:lang w:bidi="zh-CN"/>
              </w:rPr>
              <w:t>示意图</w:t>
            </w:r>
            <w:r>
              <w:rPr>
                <w:kern w:val="0"/>
                <w:szCs w:val="21"/>
                <w:lang w:bidi="zh-CN"/>
              </w:rPr>
              <w:t>。</w:t>
            </w:r>
          </w:p>
        </w:tc>
        <w:tc>
          <w:tcPr>
            <w:tcW w:w="0" w:type="auto"/>
            <w:vMerge w:val="continue"/>
            <w:vAlign w:val="center"/>
          </w:tcPr>
          <w:p w14:paraId="3F9FD5D2">
            <w:pPr>
              <w:autoSpaceDE w:val="0"/>
              <w:autoSpaceDN w:val="0"/>
              <w:snapToGrid w:val="0"/>
              <w:rPr>
                <w:kern w:val="0"/>
                <w:sz w:val="24"/>
                <w:szCs w:val="24"/>
                <w:lang w:val="zh-CN" w:bidi="zh-CN"/>
              </w:rPr>
            </w:pPr>
          </w:p>
        </w:tc>
        <w:tc>
          <w:tcPr>
            <w:tcW w:w="0" w:type="auto"/>
            <w:vMerge w:val="continue"/>
            <w:vAlign w:val="center"/>
          </w:tcPr>
          <w:p w14:paraId="71DAAB2F">
            <w:pPr>
              <w:autoSpaceDE w:val="0"/>
              <w:autoSpaceDN w:val="0"/>
              <w:snapToGrid w:val="0"/>
              <w:rPr>
                <w:kern w:val="0"/>
                <w:sz w:val="18"/>
                <w:szCs w:val="18"/>
                <w:lang w:bidi="zh-CN"/>
              </w:rPr>
            </w:pPr>
          </w:p>
        </w:tc>
      </w:tr>
      <w:tr w14:paraId="6493164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0" w:type="auto"/>
            <w:vMerge w:val="continue"/>
            <w:vAlign w:val="center"/>
          </w:tcPr>
          <w:p w14:paraId="5241B65F">
            <w:pPr>
              <w:autoSpaceDE w:val="0"/>
              <w:autoSpaceDN w:val="0"/>
              <w:snapToGrid w:val="0"/>
              <w:contextualSpacing/>
              <w:rPr>
                <w:kern w:val="0"/>
                <w:szCs w:val="21"/>
                <w:lang w:bidi="zh-CN"/>
              </w:rPr>
            </w:pPr>
          </w:p>
        </w:tc>
        <w:tc>
          <w:tcPr>
            <w:tcW w:w="0" w:type="auto"/>
            <w:vAlign w:val="center"/>
          </w:tcPr>
          <w:p w14:paraId="3DFE4DD4">
            <w:pPr>
              <w:autoSpaceDE w:val="0"/>
              <w:autoSpaceDN w:val="0"/>
              <w:snapToGrid w:val="0"/>
              <w:contextualSpacing/>
              <w:rPr>
                <w:kern w:val="0"/>
                <w:szCs w:val="21"/>
                <w:lang w:bidi="zh-CN"/>
              </w:rPr>
            </w:pPr>
            <w:r>
              <w:rPr>
                <w:kern w:val="0"/>
                <w:szCs w:val="21"/>
                <w:lang w:bidi="zh-CN"/>
              </w:rPr>
              <w:t>危险废物贮存分区标志中各贮存分区存放的危险废物种类信息可采用卡槽式或附着式(如钉挂、粘贴等）固定方式。</w:t>
            </w:r>
          </w:p>
        </w:tc>
        <w:tc>
          <w:tcPr>
            <w:tcW w:w="0" w:type="auto"/>
            <w:vMerge w:val="continue"/>
            <w:vAlign w:val="center"/>
          </w:tcPr>
          <w:p w14:paraId="5FFC8665">
            <w:pPr>
              <w:autoSpaceDE w:val="0"/>
              <w:autoSpaceDN w:val="0"/>
              <w:snapToGrid w:val="0"/>
              <w:rPr>
                <w:kern w:val="0"/>
                <w:sz w:val="24"/>
                <w:szCs w:val="24"/>
                <w:lang w:val="zh-CN" w:bidi="zh-CN"/>
              </w:rPr>
            </w:pPr>
          </w:p>
        </w:tc>
        <w:tc>
          <w:tcPr>
            <w:tcW w:w="0" w:type="auto"/>
            <w:vMerge w:val="continue"/>
            <w:vAlign w:val="center"/>
          </w:tcPr>
          <w:p w14:paraId="75BCBC5C">
            <w:pPr>
              <w:autoSpaceDE w:val="0"/>
              <w:autoSpaceDN w:val="0"/>
              <w:snapToGrid w:val="0"/>
              <w:rPr>
                <w:kern w:val="0"/>
                <w:sz w:val="18"/>
                <w:szCs w:val="18"/>
                <w:lang w:bidi="zh-CN"/>
              </w:rPr>
            </w:pPr>
          </w:p>
        </w:tc>
      </w:tr>
    </w:tbl>
    <w:p w14:paraId="53DBC0E5">
      <w:pPr>
        <w:tabs>
          <w:tab w:val="center" w:pos="4153"/>
          <w:tab w:val="right" w:pos="8306"/>
        </w:tabs>
        <w:autoSpaceDE w:val="0"/>
        <w:autoSpaceDN w:val="0"/>
        <w:snapToGrid w:val="0"/>
        <w:ind w:firstLine="361" w:firstLineChars="200"/>
        <w:jc w:val="center"/>
        <w:rPr>
          <w:b/>
          <w:bCs/>
          <w:kern w:val="0"/>
          <w:sz w:val="18"/>
          <w:szCs w:val="21"/>
          <w:lang w:bidi="zh-CN"/>
        </w:rPr>
      </w:pPr>
    </w:p>
    <w:p w14:paraId="79CB4BA1">
      <w:pPr>
        <w:tabs>
          <w:tab w:val="center" w:pos="4153"/>
          <w:tab w:val="right" w:pos="8306"/>
        </w:tabs>
        <w:autoSpaceDE w:val="0"/>
        <w:autoSpaceDN w:val="0"/>
        <w:snapToGrid w:val="0"/>
        <w:ind w:firstLine="422" w:firstLineChars="200"/>
        <w:jc w:val="center"/>
        <w:rPr>
          <w:b/>
          <w:bCs/>
          <w:kern w:val="0"/>
          <w:szCs w:val="21"/>
          <w:lang w:bidi="zh-CN"/>
        </w:rPr>
      </w:pPr>
      <w:r>
        <w:rPr>
          <w:b/>
          <w:bCs/>
          <w:kern w:val="0"/>
          <w:szCs w:val="21"/>
          <w:lang w:bidi="zh-CN"/>
        </w:rPr>
        <w:t>表6.2-3   危险废物标签样式</w:t>
      </w:r>
    </w:p>
    <w:tbl>
      <w:tblPr>
        <w:tblStyle w:val="49"/>
        <w:tblW w:w="4998"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831"/>
        <w:gridCol w:w="4397"/>
        <w:gridCol w:w="4056"/>
      </w:tblGrid>
      <w:tr w14:paraId="384DA81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0" w:type="auto"/>
            <w:vMerge w:val="restart"/>
            <w:vAlign w:val="center"/>
          </w:tcPr>
          <w:p w14:paraId="07216085">
            <w:pPr>
              <w:autoSpaceDE w:val="0"/>
              <w:autoSpaceDN w:val="0"/>
              <w:snapToGrid w:val="0"/>
              <w:spacing w:line="140" w:lineRule="atLeast"/>
              <w:contextualSpacing/>
              <w:rPr>
                <w:kern w:val="0"/>
                <w:szCs w:val="21"/>
                <w:lang w:bidi="zh-CN"/>
              </w:rPr>
            </w:pPr>
            <w:r>
              <w:rPr>
                <w:kern w:val="0"/>
                <w:szCs w:val="21"/>
                <w:lang w:bidi="zh-CN"/>
              </w:rPr>
              <w:t>危险废物标签设置要求</w:t>
            </w:r>
          </w:p>
        </w:tc>
        <w:tc>
          <w:tcPr>
            <w:tcW w:w="0" w:type="auto"/>
            <w:vAlign w:val="center"/>
          </w:tcPr>
          <w:p w14:paraId="268079B4">
            <w:pPr>
              <w:autoSpaceDE w:val="0"/>
              <w:autoSpaceDN w:val="0"/>
              <w:snapToGrid w:val="0"/>
              <w:spacing w:line="140" w:lineRule="atLeast"/>
              <w:contextualSpacing/>
              <w:rPr>
                <w:kern w:val="0"/>
                <w:szCs w:val="21"/>
                <w:lang w:bidi="zh-CN"/>
              </w:rPr>
            </w:pPr>
            <w:r>
              <w:rPr>
                <w:kern w:val="0"/>
                <w:szCs w:val="21"/>
                <w:lang w:bidi="zh-CN"/>
              </w:rPr>
              <w:t>危险废物标签背景色应采用醒目的橘黄色，RGB颜色值为（255,150,0)。标签边框和字体颜色为黑色，RGB颜色值为（0,0,0）。</w:t>
            </w:r>
          </w:p>
        </w:tc>
        <w:tc>
          <w:tcPr>
            <w:tcW w:w="0" w:type="auto"/>
            <w:vMerge w:val="restart"/>
            <w:vAlign w:val="center"/>
          </w:tcPr>
          <w:p w14:paraId="29C9A863">
            <w:pPr>
              <w:autoSpaceDE w:val="0"/>
              <w:autoSpaceDN w:val="0"/>
              <w:snapToGrid w:val="0"/>
              <w:spacing w:line="140" w:lineRule="atLeast"/>
              <w:contextualSpacing/>
              <w:rPr>
                <w:kern w:val="0"/>
                <w:szCs w:val="21"/>
                <w:lang w:eastAsia="en-US" w:bidi="zh-CN"/>
              </w:rPr>
            </w:pPr>
            <w:r>
              <w:rPr>
                <w:kern w:val="0"/>
                <w:sz w:val="24"/>
                <w:szCs w:val="24"/>
              </w:rPr>
              <w:drawing>
                <wp:inline distT="0" distB="0" distL="0" distR="0">
                  <wp:extent cx="2438400" cy="2257425"/>
                  <wp:effectExtent l="0" t="0" r="0" b="9525"/>
                  <wp:docPr id="757069985"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7069985" name="图片 11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a:xfrm>
                            <a:off x="0" y="0"/>
                            <a:ext cx="2438400" cy="2257425"/>
                          </a:xfrm>
                          <a:prstGeom prst="rect">
                            <a:avLst/>
                          </a:prstGeom>
                          <a:noFill/>
                          <a:ln>
                            <a:noFill/>
                          </a:ln>
                        </pic:spPr>
                      </pic:pic>
                    </a:graphicData>
                  </a:graphic>
                </wp:inline>
              </w:drawing>
            </w:r>
          </w:p>
        </w:tc>
      </w:tr>
      <w:tr w14:paraId="1D8A946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0" w:type="auto"/>
            <w:vMerge w:val="continue"/>
            <w:vAlign w:val="center"/>
          </w:tcPr>
          <w:p w14:paraId="163586AB">
            <w:pPr>
              <w:autoSpaceDE w:val="0"/>
              <w:autoSpaceDN w:val="0"/>
              <w:snapToGrid w:val="0"/>
              <w:spacing w:line="140" w:lineRule="atLeast"/>
              <w:contextualSpacing/>
              <w:rPr>
                <w:kern w:val="0"/>
                <w:szCs w:val="21"/>
                <w:lang w:eastAsia="en-US" w:bidi="zh-CN"/>
              </w:rPr>
            </w:pPr>
          </w:p>
        </w:tc>
        <w:tc>
          <w:tcPr>
            <w:tcW w:w="0" w:type="auto"/>
            <w:vAlign w:val="center"/>
          </w:tcPr>
          <w:p w14:paraId="1E7C1694">
            <w:pPr>
              <w:autoSpaceDE w:val="0"/>
              <w:autoSpaceDN w:val="0"/>
              <w:snapToGrid w:val="0"/>
              <w:spacing w:line="140" w:lineRule="atLeast"/>
              <w:contextualSpacing/>
              <w:rPr>
                <w:kern w:val="0"/>
                <w:szCs w:val="21"/>
                <w:lang w:bidi="zh-CN"/>
              </w:rPr>
            </w:pPr>
            <w:r>
              <w:rPr>
                <w:kern w:val="0"/>
                <w:szCs w:val="21"/>
                <w:lang w:bidi="zh-CN"/>
              </w:rPr>
              <w:t>危险废物标签字体宜采用黑体字，其中“危险废物”字样应加粗放大。</w:t>
            </w:r>
          </w:p>
        </w:tc>
        <w:tc>
          <w:tcPr>
            <w:tcW w:w="0" w:type="auto"/>
            <w:vMerge w:val="continue"/>
          </w:tcPr>
          <w:p w14:paraId="197AF80C">
            <w:pPr>
              <w:autoSpaceDE w:val="0"/>
              <w:autoSpaceDN w:val="0"/>
              <w:snapToGrid w:val="0"/>
              <w:spacing w:line="140" w:lineRule="atLeast"/>
              <w:contextualSpacing/>
              <w:rPr>
                <w:kern w:val="0"/>
                <w:szCs w:val="21"/>
                <w:lang w:bidi="zh-CN"/>
              </w:rPr>
            </w:pPr>
          </w:p>
        </w:tc>
      </w:tr>
      <w:tr w14:paraId="466AAB9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0" w:type="auto"/>
            <w:vMerge w:val="continue"/>
            <w:vAlign w:val="center"/>
          </w:tcPr>
          <w:p w14:paraId="686B845C">
            <w:pPr>
              <w:autoSpaceDE w:val="0"/>
              <w:autoSpaceDN w:val="0"/>
              <w:snapToGrid w:val="0"/>
              <w:spacing w:line="140" w:lineRule="atLeast"/>
              <w:contextualSpacing/>
              <w:rPr>
                <w:kern w:val="0"/>
                <w:szCs w:val="21"/>
                <w:lang w:bidi="zh-CN"/>
              </w:rPr>
            </w:pPr>
          </w:p>
        </w:tc>
        <w:tc>
          <w:tcPr>
            <w:tcW w:w="0" w:type="auto"/>
            <w:vAlign w:val="center"/>
          </w:tcPr>
          <w:p w14:paraId="7FC1BAEC">
            <w:pPr>
              <w:autoSpaceDE w:val="0"/>
              <w:autoSpaceDN w:val="0"/>
              <w:snapToGrid w:val="0"/>
              <w:spacing w:line="140" w:lineRule="atLeast"/>
              <w:contextualSpacing/>
              <w:rPr>
                <w:kern w:val="0"/>
                <w:szCs w:val="21"/>
                <w:lang w:bidi="zh-CN"/>
              </w:rPr>
            </w:pPr>
            <w:r>
              <w:rPr>
                <w:kern w:val="0"/>
                <w:szCs w:val="21"/>
                <w:lang w:bidi="zh-CN"/>
              </w:rPr>
              <w:t>危险废物标签所选用的材质宜具有一定的耐用性和防水性。标签可采用不干胶印刷品，或印刷品外加防水塑料袋或塑封等。</w:t>
            </w:r>
          </w:p>
        </w:tc>
        <w:tc>
          <w:tcPr>
            <w:tcW w:w="0" w:type="auto"/>
            <w:vMerge w:val="continue"/>
          </w:tcPr>
          <w:p w14:paraId="462CF974">
            <w:pPr>
              <w:autoSpaceDE w:val="0"/>
              <w:autoSpaceDN w:val="0"/>
              <w:snapToGrid w:val="0"/>
              <w:spacing w:line="140" w:lineRule="atLeast"/>
              <w:contextualSpacing/>
              <w:rPr>
                <w:kern w:val="0"/>
                <w:szCs w:val="21"/>
                <w:lang w:bidi="zh-CN"/>
              </w:rPr>
            </w:pPr>
          </w:p>
        </w:tc>
      </w:tr>
      <w:tr w14:paraId="5247360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0" w:type="auto"/>
            <w:vMerge w:val="continue"/>
            <w:vAlign w:val="center"/>
          </w:tcPr>
          <w:p w14:paraId="0545682C">
            <w:pPr>
              <w:autoSpaceDE w:val="0"/>
              <w:autoSpaceDN w:val="0"/>
              <w:snapToGrid w:val="0"/>
              <w:spacing w:line="140" w:lineRule="atLeast"/>
              <w:contextualSpacing/>
              <w:rPr>
                <w:kern w:val="0"/>
                <w:szCs w:val="21"/>
                <w:lang w:bidi="zh-CN"/>
              </w:rPr>
            </w:pPr>
          </w:p>
        </w:tc>
        <w:tc>
          <w:tcPr>
            <w:tcW w:w="0" w:type="auto"/>
            <w:vAlign w:val="center"/>
          </w:tcPr>
          <w:p w14:paraId="52BA08D2">
            <w:pPr>
              <w:autoSpaceDE w:val="0"/>
              <w:autoSpaceDN w:val="0"/>
              <w:snapToGrid w:val="0"/>
              <w:spacing w:line="140" w:lineRule="atLeast"/>
              <w:contextualSpacing/>
              <w:rPr>
                <w:kern w:val="0"/>
                <w:szCs w:val="21"/>
                <w:lang w:bidi="zh-CN"/>
              </w:rPr>
            </w:pPr>
            <w:r>
              <w:rPr>
                <w:kern w:val="0"/>
                <w:szCs w:val="21"/>
                <w:lang w:bidi="zh-CN"/>
              </w:rPr>
              <w:t>危险废物标签印刷的油墨应均匀，图案和文字应清晰、完整。危险废物标签的文字边缘宜加黑色边框，边框宽度不小于1 mm，边框外宜留不小于3 mm的空白。</w:t>
            </w:r>
          </w:p>
        </w:tc>
        <w:tc>
          <w:tcPr>
            <w:tcW w:w="0" w:type="auto"/>
            <w:vMerge w:val="continue"/>
          </w:tcPr>
          <w:p w14:paraId="45F139E7">
            <w:pPr>
              <w:autoSpaceDE w:val="0"/>
              <w:autoSpaceDN w:val="0"/>
              <w:snapToGrid w:val="0"/>
              <w:spacing w:line="140" w:lineRule="atLeast"/>
              <w:contextualSpacing/>
              <w:rPr>
                <w:kern w:val="0"/>
                <w:szCs w:val="21"/>
                <w:lang w:bidi="zh-CN"/>
              </w:rPr>
            </w:pPr>
          </w:p>
        </w:tc>
      </w:tr>
    </w:tbl>
    <w:p w14:paraId="49D1C631">
      <w:pPr>
        <w:tabs>
          <w:tab w:val="center" w:pos="4153"/>
          <w:tab w:val="right" w:pos="8306"/>
        </w:tabs>
        <w:autoSpaceDE w:val="0"/>
        <w:autoSpaceDN w:val="0"/>
        <w:snapToGrid w:val="0"/>
        <w:ind w:firstLine="361" w:firstLineChars="200"/>
        <w:jc w:val="center"/>
        <w:rPr>
          <w:b/>
          <w:bCs/>
          <w:kern w:val="0"/>
          <w:sz w:val="18"/>
          <w:szCs w:val="21"/>
          <w:lang w:bidi="zh-CN"/>
        </w:rPr>
      </w:pPr>
    </w:p>
    <w:p w14:paraId="10F1501D">
      <w:pPr>
        <w:tabs>
          <w:tab w:val="center" w:pos="4153"/>
          <w:tab w:val="right" w:pos="8306"/>
        </w:tabs>
        <w:autoSpaceDE w:val="0"/>
        <w:autoSpaceDN w:val="0"/>
        <w:snapToGrid w:val="0"/>
        <w:ind w:firstLine="422" w:firstLineChars="200"/>
        <w:jc w:val="center"/>
        <w:rPr>
          <w:b/>
          <w:bCs/>
          <w:kern w:val="0"/>
          <w:szCs w:val="21"/>
          <w:lang w:bidi="zh-CN"/>
        </w:rPr>
      </w:pPr>
      <w:r>
        <w:rPr>
          <w:b/>
          <w:bCs/>
          <w:kern w:val="0"/>
          <w:szCs w:val="21"/>
          <w:lang w:bidi="zh-CN"/>
        </w:rPr>
        <w:t>表6.2-4    危险废物标签的尺寸要求</w:t>
      </w:r>
    </w:p>
    <w:tbl>
      <w:tblPr>
        <w:tblStyle w:val="49"/>
        <w:tblW w:w="4999"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739"/>
        <w:gridCol w:w="2848"/>
        <w:gridCol w:w="3108"/>
        <w:gridCol w:w="2591"/>
      </w:tblGrid>
      <w:tr w14:paraId="7FFB1A5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c>
          <w:tcPr>
            <w:tcW w:w="398" w:type="pct"/>
            <w:vAlign w:val="center"/>
          </w:tcPr>
          <w:p w14:paraId="149B35A4">
            <w:pPr>
              <w:autoSpaceDE w:val="0"/>
              <w:autoSpaceDN w:val="0"/>
              <w:snapToGrid w:val="0"/>
              <w:spacing w:line="140" w:lineRule="atLeast"/>
              <w:contextualSpacing/>
              <w:jc w:val="center"/>
              <w:rPr>
                <w:kern w:val="0"/>
                <w:szCs w:val="21"/>
                <w:lang w:eastAsia="en-US" w:bidi="zh-CN"/>
              </w:rPr>
            </w:pPr>
            <w:r>
              <w:rPr>
                <w:kern w:val="0"/>
                <w:szCs w:val="21"/>
                <w:lang w:eastAsia="en-US" w:bidi="zh-CN"/>
              </w:rPr>
              <w:t>序号</w:t>
            </w:r>
          </w:p>
        </w:tc>
        <w:tc>
          <w:tcPr>
            <w:tcW w:w="1533" w:type="pct"/>
            <w:vAlign w:val="center"/>
          </w:tcPr>
          <w:p w14:paraId="21658489">
            <w:pPr>
              <w:autoSpaceDE w:val="0"/>
              <w:autoSpaceDN w:val="0"/>
              <w:snapToGrid w:val="0"/>
              <w:spacing w:line="140" w:lineRule="atLeast"/>
              <w:contextualSpacing/>
              <w:jc w:val="center"/>
              <w:rPr>
                <w:kern w:val="0"/>
                <w:szCs w:val="21"/>
                <w:lang w:bidi="zh-CN"/>
              </w:rPr>
            </w:pPr>
            <w:r>
              <w:rPr>
                <w:kern w:val="0"/>
                <w:szCs w:val="21"/>
                <w:lang w:bidi="zh-CN"/>
              </w:rPr>
              <w:t>融期货包装物容积（L）</w:t>
            </w:r>
          </w:p>
        </w:tc>
        <w:tc>
          <w:tcPr>
            <w:tcW w:w="1673" w:type="pct"/>
            <w:vAlign w:val="center"/>
          </w:tcPr>
          <w:p w14:paraId="4E9A38D6">
            <w:pPr>
              <w:autoSpaceDE w:val="0"/>
              <w:autoSpaceDN w:val="0"/>
              <w:snapToGrid w:val="0"/>
              <w:spacing w:line="140" w:lineRule="atLeast"/>
              <w:contextualSpacing/>
              <w:jc w:val="center"/>
              <w:rPr>
                <w:kern w:val="0"/>
                <w:szCs w:val="21"/>
                <w:lang w:bidi="zh-CN"/>
              </w:rPr>
            </w:pPr>
            <w:r>
              <w:rPr>
                <w:kern w:val="0"/>
                <w:szCs w:val="21"/>
                <w:lang w:bidi="zh-CN"/>
              </w:rPr>
              <w:t>标签最小尺寸（mm×mm）</w:t>
            </w:r>
          </w:p>
        </w:tc>
        <w:tc>
          <w:tcPr>
            <w:tcW w:w="1394" w:type="pct"/>
            <w:vAlign w:val="center"/>
          </w:tcPr>
          <w:p w14:paraId="0D834502">
            <w:pPr>
              <w:autoSpaceDE w:val="0"/>
              <w:autoSpaceDN w:val="0"/>
              <w:snapToGrid w:val="0"/>
              <w:spacing w:line="140" w:lineRule="atLeast"/>
              <w:contextualSpacing/>
              <w:jc w:val="center"/>
              <w:rPr>
                <w:kern w:val="0"/>
                <w:szCs w:val="21"/>
                <w:lang w:eastAsia="en-US" w:bidi="zh-CN"/>
              </w:rPr>
            </w:pPr>
            <w:r>
              <w:rPr>
                <w:kern w:val="0"/>
                <w:szCs w:val="21"/>
                <w:lang w:eastAsia="en-US" w:bidi="zh-CN"/>
              </w:rPr>
              <w:t>最低文字高度（mm）</w:t>
            </w:r>
          </w:p>
        </w:tc>
      </w:tr>
      <w:tr w14:paraId="1F80F4B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98" w:type="pct"/>
            <w:vAlign w:val="center"/>
          </w:tcPr>
          <w:p w14:paraId="5F2E79C8">
            <w:pPr>
              <w:autoSpaceDE w:val="0"/>
              <w:autoSpaceDN w:val="0"/>
              <w:snapToGrid w:val="0"/>
              <w:spacing w:line="140" w:lineRule="atLeast"/>
              <w:contextualSpacing/>
              <w:jc w:val="center"/>
              <w:rPr>
                <w:kern w:val="0"/>
                <w:szCs w:val="21"/>
                <w:lang w:eastAsia="en-US" w:bidi="zh-CN"/>
              </w:rPr>
            </w:pPr>
            <w:r>
              <w:rPr>
                <w:kern w:val="0"/>
                <w:szCs w:val="21"/>
                <w:lang w:eastAsia="en-US" w:bidi="zh-CN"/>
              </w:rPr>
              <w:t>1</w:t>
            </w:r>
          </w:p>
        </w:tc>
        <w:tc>
          <w:tcPr>
            <w:tcW w:w="1533" w:type="pct"/>
            <w:vAlign w:val="center"/>
          </w:tcPr>
          <w:p w14:paraId="1502E95E">
            <w:pPr>
              <w:autoSpaceDE w:val="0"/>
              <w:autoSpaceDN w:val="0"/>
              <w:snapToGrid w:val="0"/>
              <w:spacing w:line="140" w:lineRule="atLeast"/>
              <w:contextualSpacing/>
              <w:jc w:val="center"/>
              <w:rPr>
                <w:kern w:val="0"/>
                <w:szCs w:val="21"/>
                <w:lang w:eastAsia="en-US" w:bidi="zh-CN"/>
              </w:rPr>
            </w:pPr>
            <w:r>
              <w:rPr>
                <w:kern w:val="0"/>
                <w:szCs w:val="21"/>
                <w:lang w:eastAsia="en-US" w:bidi="zh-CN"/>
              </w:rPr>
              <w:t>≤50</w:t>
            </w:r>
          </w:p>
        </w:tc>
        <w:tc>
          <w:tcPr>
            <w:tcW w:w="1673" w:type="pct"/>
            <w:vAlign w:val="center"/>
          </w:tcPr>
          <w:p w14:paraId="2BBF6A5B">
            <w:pPr>
              <w:autoSpaceDE w:val="0"/>
              <w:autoSpaceDN w:val="0"/>
              <w:snapToGrid w:val="0"/>
              <w:spacing w:line="140" w:lineRule="atLeast"/>
              <w:contextualSpacing/>
              <w:jc w:val="center"/>
              <w:rPr>
                <w:kern w:val="0"/>
                <w:szCs w:val="21"/>
                <w:lang w:eastAsia="en-US" w:bidi="zh-CN"/>
              </w:rPr>
            </w:pPr>
            <w:r>
              <w:rPr>
                <w:kern w:val="0"/>
                <w:szCs w:val="21"/>
                <w:lang w:eastAsia="en-US" w:bidi="zh-CN"/>
              </w:rPr>
              <w:t>100×100</w:t>
            </w:r>
          </w:p>
        </w:tc>
        <w:tc>
          <w:tcPr>
            <w:tcW w:w="1394" w:type="pct"/>
            <w:vAlign w:val="center"/>
          </w:tcPr>
          <w:p w14:paraId="695FE92B">
            <w:pPr>
              <w:autoSpaceDE w:val="0"/>
              <w:autoSpaceDN w:val="0"/>
              <w:snapToGrid w:val="0"/>
              <w:spacing w:line="140" w:lineRule="atLeast"/>
              <w:contextualSpacing/>
              <w:jc w:val="center"/>
              <w:rPr>
                <w:kern w:val="0"/>
                <w:szCs w:val="21"/>
                <w:lang w:eastAsia="en-US" w:bidi="zh-CN"/>
              </w:rPr>
            </w:pPr>
            <w:r>
              <w:rPr>
                <w:kern w:val="0"/>
                <w:szCs w:val="21"/>
                <w:lang w:eastAsia="en-US" w:bidi="zh-CN"/>
              </w:rPr>
              <w:t>3</w:t>
            </w:r>
          </w:p>
        </w:tc>
      </w:tr>
      <w:tr w14:paraId="3D4A1FE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98" w:type="pct"/>
            <w:vAlign w:val="center"/>
          </w:tcPr>
          <w:p w14:paraId="3139892B">
            <w:pPr>
              <w:autoSpaceDE w:val="0"/>
              <w:autoSpaceDN w:val="0"/>
              <w:snapToGrid w:val="0"/>
              <w:spacing w:line="140" w:lineRule="atLeast"/>
              <w:contextualSpacing/>
              <w:jc w:val="center"/>
              <w:rPr>
                <w:kern w:val="0"/>
                <w:szCs w:val="21"/>
                <w:lang w:eastAsia="en-US" w:bidi="zh-CN"/>
              </w:rPr>
            </w:pPr>
            <w:r>
              <w:rPr>
                <w:kern w:val="0"/>
                <w:szCs w:val="21"/>
                <w:lang w:eastAsia="en-US" w:bidi="zh-CN"/>
              </w:rPr>
              <w:t>2</w:t>
            </w:r>
          </w:p>
        </w:tc>
        <w:tc>
          <w:tcPr>
            <w:tcW w:w="1533" w:type="pct"/>
            <w:vAlign w:val="center"/>
          </w:tcPr>
          <w:p w14:paraId="07500B4B">
            <w:pPr>
              <w:autoSpaceDE w:val="0"/>
              <w:autoSpaceDN w:val="0"/>
              <w:snapToGrid w:val="0"/>
              <w:spacing w:line="140" w:lineRule="atLeast"/>
              <w:contextualSpacing/>
              <w:jc w:val="center"/>
              <w:rPr>
                <w:kern w:val="0"/>
                <w:szCs w:val="21"/>
                <w:lang w:eastAsia="en-US" w:bidi="zh-CN"/>
              </w:rPr>
            </w:pPr>
            <w:r>
              <w:rPr>
                <w:kern w:val="0"/>
                <w:szCs w:val="21"/>
                <w:lang w:eastAsia="en-US" w:bidi="zh-CN"/>
              </w:rPr>
              <w:t>＞50~≤450</w:t>
            </w:r>
          </w:p>
        </w:tc>
        <w:tc>
          <w:tcPr>
            <w:tcW w:w="1673" w:type="pct"/>
            <w:vAlign w:val="center"/>
          </w:tcPr>
          <w:p w14:paraId="24CDF977">
            <w:pPr>
              <w:autoSpaceDE w:val="0"/>
              <w:autoSpaceDN w:val="0"/>
              <w:snapToGrid w:val="0"/>
              <w:spacing w:line="140" w:lineRule="atLeast"/>
              <w:contextualSpacing/>
              <w:jc w:val="center"/>
              <w:rPr>
                <w:kern w:val="0"/>
                <w:szCs w:val="21"/>
                <w:lang w:eastAsia="en-US" w:bidi="zh-CN"/>
              </w:rPr>
            </w:pPr>
            <w:r>
              <w:rPr>
                <w:kern w:val="0"/>
                <w:szCs w:val="21"/>
                <w:lang w:eastAsia="en-US" w:bidi="zh-CN"/>
              </w:rPr>
              <w:t>150×150</w:t>
            </w:r>
          </w:p>
        </w:tc>
        <w:tc>
          <w:tcPr>
            <w:tcW w:w="1394" w:type="pct"/>
            <w:vAlign w:val="center"/>
          </w:tcPr>
          <w:p w14:paraId="0CE80D12">
            <w:pPr>
              <w:autoSpaceDE w:val="0"/>
              <w:autoSpaceDN w:val="0"/>
              <w:snapToGrid w:val="0"/>
              <w:spacing w:line="140" w:lineRule="atLeast"/>
              <w:contextualSpacing/>
              <w:jc w:val="center"/>
              <w:rPr>
                <w:kern w:val="0"/>
                <w:szCs w:val="21"/>
                <w:lang w:eastAsia="en-US" w:bidi="zh-CN"/>
              </w:rPr>
            </w:pPr>
            <w:r>
              <w:rPr>
                <w:kern w:val="0"/>
                <w:szCs w:val="21"/>
                <w:lang w:eastAsia="en-US" w:bidi="zh-CN"/>
              </w:rPr>
              <w:t>5</w:t>
            </w:r>
          </w:p>
        </w:tc>
      </w:tr>
      <w:tr w14:paraId="0744BE9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98" w:type="pct"/>
            <w:vAlign w:val="center"/>
          </w:tcPr>
          <w:p w14:paraId="5FB72C92">
            <w:pPr>
              <w:autoSpaceDE w:val="0"/>
              <w:autoSpaceDN w:val="0"/>
              <w:snapToGrid w:val="0"/>
              <w:spacing w:line="140" w:lineRule="atLeast"/>
              <w:contextualSpacing/>
              <w:jc w:val="center"/>
              <w:rPr>
                <w:kern w:val="0"/>
                <w:szCs w:val="21"/>
                <w:lang w:eastAsia="en-US" w:bidi="zh-CN"/>
              </w:rPr>
            </w:pPr>
            <w:r>
              <w:rPr>
                <w:kern w:val="0"/>
                <w:szCs w:val="21"/>
                <w:lang w:eastAsia="en-US" w:bidi="zh-CN"/>
              </w:rPr>
              <w:t>3</w:t>
            </w:r>
          </w:p>
        </w:tc>
        <w:tc>
          <w:tcPr>
            <w:tcW w:w="1533" w:type="pct"/>
            <w:vAlign w:val="center"/>
          </w:tcPr>
          <w:p w14:paraId="1135D1B5">
            <w:pPr>
              <w:autoSpaceDE w:val="0"/>
              <w:autoSpaceDN w:val="0"/>
              <w:snapToGrid w:val="0"/>
              <w:spacing w:line="140" w:lineRule="atLeast"/>
              <w:contextualSpacing/>
              <w:jc w:val="center"/>
              <w:rPr>
                <w:kern w:val="0"/>
                <w:szCs w:val="21"/>
                <w:lang w:eastAsia="en-US" w:bidi="zh-CN"/>
              </w:rPr>
            </w:pPr>
            <w:r>
              <w:rPr>
                <w:kern w:val="0"/>
                <w:szCs w:val="21"/>
                <w:lang w:eastAsia="en-US" w:bidi="zh-CN"/>
              </w:rPr>
              <w:t>＞450</w:t>
            </w:r>
          </w:p>
        </w:tc>
        <w:tc>
          <w:tcPr>
            <w:tcW w:w="1673" w:type="pct"/>
            <w:vAlign w:val="center"/>
          </w:tcPr>
          <w:p w14:paraId="58BAB91C">
            <w:pPr>
              <w:autoSpaceDE w:val="0"/>
              <w:autoSpaceDN w:val="0"/>
              <w:snapToGrid w:val="0"/>
              <w:spacing w:line="140" w:lineRule="atLeast"/>
              <w:contextualSpacing/>
              <w:jc w:val="center"/>
              <w:rPr>
                <w:kern w:val="0"/>
                <w:szCs w:val="21"/>
                <w:lang w:eastAsia="en-US" w:bidi="zh-CN"/>
              </w:rPr>
            </w:pPr>
            <w:r>
              <w:rPr>
                <w:kern w:val="0"/>
                <w:szCs w:val="21"/>
                <w:lang w:eastAsia="en-US" w:bidi="zh-CN"/>
              </w:rPr>
              <w:t>200×200</w:t>
            </w:r>
          </w:p>
        </w:tc>
        <w:tc>
          <w:tcPr>
            <w:tcW w:w="1394" w:type="pct"/>
            <w:vAlign w:val="center"/>
          </w:tcPr>
          <w:p w14:paraId="0E5C5565">
            <w:pPr>
              <w:autoSpaceDE w:val="0"/>
              <w:autoSpaceDN w:val="0"/>
              <w:snapToGrid w:val="0"/>
              <w:spacing w:line="140" w:lineRule="atLeast"/>
              <w:contextualSpacing/>
              <w:jc w:val="center"/>
              <w:rPr>
                <w:kern w:val="0"/>
                <w:szCs w:val="21"/>
                <w:lang w:eastAsia="en-US" w:bidi="zh-CN"/>
              </w:rPr>
            </w:pPr>
            <w:r>
              <w:rPr>
                <w:kern w:val="0"/>
                <w:szCs w:val="21"/>
                <w:lang w:eastAsia="en-US" w:bidi="zh-CN"/>
              </w:rPr>
              <w:t>6</w:t>
            </w:r>
          </w:p>
        </w:tc>
      </w:tr>
    </w:tbl>
    <w:p w14:paraId="65996D2D">
      <w:pPr>
        <w:tabs>
          <w:tab w:val="center" w:pos="4153"/>
          <w:tab w:val="right" w:pos="8306"/>
        </w:tabs>
        <w:autoSpaceDE w:val="0"/>
        <w:autoSpaceDN w:val="0"/>
        <w:snapToGrid w:val="0"/>
        <w:ind w:firstLine="422" w:firstLineChars="200"/>
        <w:jc w:val="center"/>
        <w:rPr>
          <w:b/>
          <w:bCs/>
          <w:kern w:val="0"/>
          <w:szCs w:val="21"/>
          <w:lang w:bidi="zh-CN"/>
        </w:rPr>
      </w:pPr>
    </w:p>
    <w:p w14:paraId="7350517D">
      <w:pPr>
        <w:tabs>
          <w:tab w:val="center" w:pos="4153"/>
          <w:tab w:val="right" w:pos="8306"/>
        </w:tabs>
        <w:autoSpaceDE w:val="0"/>
        <w:autoSpaceDN w:val="0"/>
        <w:snapToGrid w:val="0"/>
        <w:ind w:firstLine="422" w:firstLineChars="200"/>
        <w:jc w:val="center"/>
        <w:rPr>
          <w:b/>
          <w:bCs/>
          <w:kern w:val="0"/>
          <w:szCs w:val="21"/>
          <w:lang w:bidi="zh-CN"/>
        </w:rPr>
      </w:pPr>
      <w:r>
        <w:rPr>
          <w:b/>
          <w:bCs/>
          <w:kern w:val="0"/>
          <w:szCs w:val="21"/>
          <w:lang w:bidi="zh-CN"/>
        </w:rPr>
        <w:t>表6.2-5     危险特性警示图形</w:t>
      </w:r>
    </w:p>
    <w:tbl>
      <w:tblPr>
        <w:tblStyle w:val="49"/>
        <w:tblW w:w="4998"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2350"/>
        <w:gridCol w:w="2389"/>
        <w:gridCol w:w="2272"/>
        <w:gridCol w:w="2273"/>
      </w:tblGrid>
      <w:tr w14:paraId="2B02748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6B530FCF">
            <w:pPr>
              <w:autoSpaceDE w:val="0"/>
              <w:autoSpaceDN w:val="0"/>
              <w:adjustRightInd w:val="0"/>
              <w:snapToGrid w:val="0"/>
              <w:jc w:val="center"/>
              <w:rPr>
                <w:kern w:val="0"/>
                <w:szCs w:val="21"/>
                <w:lang w:eastAsia="en-US" w:bidi="zh-CN"/>
              </w:rPr>
            </w:pPr>
            <w:r>
              <w:rPr>
                <w:kern w:val="0"/>
                <w:szCs w:val="21"/>
                <w:lang w:eastAsia="en-US" w:bidi="zh-CN"/>
              </w:rPr>
              <w:t>腐蚀性</w:t>
            </w:r>
          </w:p>
        </w:tc>
        <w:tc>
          <w:tcPr>
            <w:tcW w:w="0" w:type="auto"/>
            <w:vAlign w:val="center"/>
          </w:tcPr>
          <w:p w14:paraId="6C926B83">
            <w:pPr>
              <w:autoSpaceDE w:val="0"/>
              <w:autoSpaceDN w:val="0"/>
              <w:adjustRightInd w:val="0"/>
              <w:snapToGrid w:val="0"/>
              <w:jc w:val="center"/>
              <w:rPr>
                <w:kern w:val="0"/>
                <w:szCs w:val="21"/>
                <w:lang w:eastAsia="en-US" w:bidi="zh-CN"/>
              </w:rPr>
            </w:pPr>
            <w:r>
              <w:rPr>
                <w:kern w:val="0"/>
                <w:szCs w:val="21"/>
                <w:lang w:eastAsia="en-US" w:bidi="zh-CN"/>
              </w:rPr>
              <w:t>毒性</w:t>
            </w:r>
          </w:p>
        </w:tc>
        <w:tc>
          <w:tcPr>
            <w:tcW w:w="0" w:type="auto"/>
            <w:vAlign w:val="center"/>
          </w:tcPr>
          <w:p w14:paraId="48336F69">
            <w:pPr>
              <w:autoSpaceDE w:val="0"/>
              <w:autoSpaceDN w:val="0"/>
              <w:adjustRightInd w:val="0"/>
              <w:snapToGrid w:val="0"/>
              <w:jc w:val="center"/>
              <w:rPr>
                <w:kern w:val="0"/>
                <w:szCs w:val="21"/>
                <w:lang w:eastAsia="en-US" w:bidi="zh-CN"/>
              </w:rPr>
            </w:pPr>
            <w:r>
              <w:rPr>
                <w:kern w:val="0"/>
                <w:szCs w:val="21"/>
                <w:lang w:eastAsia="en-US" w:bidi="zh-CN"/>
              </w:rPr>
              <w:t>易燃性</w:t>
            </w:r>
          </w:p>
        </w:tc>
        <w:tc>
          <w:tcPr>
            <w:tcW w:w="0" w:type="auto"/>
            <w:vAlign w:val="center"/>
          </w:tcPr>
          <w:p w14:paraId="7845DB7E">
            <w:pPr>
              <w:autoSpaceDE w:val="0"/>
              <w:autoSpaceDN w:val="0"/>
              <w:adjustRightInd w:val="0"/>
              <w:snapToGrid w:val="0"/>
              <w:jc w:val="center"/>
              <w:rPr>
                <w:kern w:val="0"/>
                <w:szCs w:val="21"/>
                <w:lang w:eastAsia="en-US" w:bidi="zh-CN"/>
              </w:rPr>
            </w:pPr>
            <w:r>
              <w:rPr>
                <w:kern w:val="0"/>
                <w:szCs w:val="21"/>
                <w:lang w:eastAsia="en-US" w:bidi="zh-CN"/>
              </w:rPr>
              <w:t>反应性</w:t>
            </w:r>
          </w:p>
        </w:tc>
      </w:tr>
      <w:tr w14:paraId="158A1BC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183C1291">
            <w:pPr>
              <w:autoSpaceDE w:val="0"/>
              <w:autoSpaceDN w:val="0"/>
              <w:adjustRightInd w:val="0"/>
              <w:snapToGrid w:val="0"/>
              <w:jc w:val="center"/>
              <w:rPr>
                <w:kern w:val="0"/>
                <w:szCs w:val="21"/>
                <w:lang w:eastAsia="en-US" w:bidi="zh-CN"/>
              </w:rPr>
            </w:pPr>
            <w:r>
              <w:rPr>
                <w:kern w:val="0"/>
                <w:szCs w:val="21"/>
              </w:rPr>
              <w:drawing>
                <wp:inline distT="0" distB="0" distL="0" distR="0">
                  <wp:extent cx="1000125" cy="986155"/>
                  <wp:effectExtent l="0" t="0" r="9525" b="4445"/>
                  <wp:docPr id="922491438"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491438" name="图片 11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a:xfrm>
                            <a:off x="0" y="0"/>
                            <a:ext cx="1000125" cy="986155"/>
                          </a:xfrm>
                          <a:prstGeom prst="rect">
                            <a:avLst/>
                          </a:prstGeom>
                          <a:noFill/>
                          <a:ln>
                            <a:noFill/>
                          </a:ln>
                        </pic:spPr>
                      </pic:pic>
                    </a:graphicData>
                  </a:graphic>
                </wp:inline>
              </w:drawing>
            </w:r>
          </w:p>
        </w:tc>
        <w:tc>
          <w:tcPr>
            <w:tcW w:w="0" w:type="auto"/>
            <w:vAlign w:val="center"/>
          </w:tcPr>
          <w:p w14:paraId="53A103C4">
            <w:pPr>
              <w:autoSpaceDE w:val="0"/>
              <w:autoSpaceDN w:val="0"/>
              <w:adjustRightInd w:val="0"/>
              <w:snapToGrid w:val="0"/>
              <w:jc w:val="center"/>
              <w:rPr>
                <w:kern w:val="0"/>
                <w:szCs w:val="21"/>
                <w:lang w:eastAsia="en-US" w:bidi="zh-CN"/>
              </w:rPr>
            </w:pPr>
            <w:r>
              <w:rPr>
                <w:kern w:val="0"/>
                <w:szCs w:val="21"/>
              </w:rPr>
              <w:drawing>
                <wp:inline distT="0" distB="0" distL="0" distR="0">
                  <wp:extent cx="1019175" cy="967105"/>
                  <wp:effectExtent l="0" t="0" r="9525" b="4445"/>
                  <wp:docPr id="503198565"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198565" name="图片 11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a:xfrm>
                            <a:off x="0" y="0"/>
                            <a:ext cx="1019175" cy="967105"/>
                          </a:xfrm>
                          <a:prstGeom prst="rect">
                            <a:avLst/>
                          </a:prstGeom>
                          <a:noFill/>
                          <a:ln>
                            <a:noFill/>
                          </a:ln>
                        </pic:spPr>
                      </pic:pic>
                    </a:graphicData>
                  </a:graphic>
                </wp:inline>
              </w:drawing>
            </w:r>
          </w:p>
        </w:tc>
        <w:tc>
          <w:tcPr>
            <w:tcW w:w="0" w:type="auto"/>
            <w:vAlign w:val="center"/>
          </w:tcPr>
          <w:p w14:paraId="631A4DCB">
            <w:pPr>
              <w:autoSpaceDE w:val="0"/>
              <w:autoSpaceDN w:val="0"/>
              <w:adjustRightInd w:val="0"/>
              <w:snapToGrid w:val="0"/>
              <w:jc w:val="center"/>
              <w:rPr>
                <w:kern w:val="0"/>
                <w:szCs w:val="21"/>
                <w:lang w:eastAsia="en-US" w:bidi="zh-CN"/>
              </w:rPr>
            </w:pPr>
            <w:r>
              <w:rPr>
                <w:kern w:val="0"/>
                <w:szCs w:val="21"/>
              </w:rPr>
              <w:drawing>
                <wp:inline distT="0" distB="0" distL="0" distR="0">
                  <wp:extent cx="971550" cy="1000125"/>
                  <wp:effectExtent l="0" t="0" r="0" b="9525"/>
                  <wp:docPr id="62285957"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285957" name="图片 11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a:xfrm>
                            <a:off x="0" y="0"/>
                            <a:ext cx="971550" cy="1000125"/>
                          </a:xfrm>
                          <a:prstGeom prst="rect">
                            <a:avLst/>
                          </a:prstGeom>
                          <a:noFill/>
                          <a:ln>
                            <a:noFill/>
                          </a:ln>
                        </pic:spPr>
                      </pic:pic>
                    </a:graphicData>
                  </a:graphic>
                </wp:inline>
              </w:drawing>
            </w:r>
          </w:p>
        </w:tc>
        <w:tc>
          <w:tcPr>
            <w:tcW w:w="0" w:type="auto"/>
            <w:vAlign w:val="center"/>
          </w:tcPr>
          <w:p w14:paraId="03274B8D">
            <w:pPr>
              <w:autoSpaceDE w:val="0"/>
              <w:autoSpaceDN w:val="0"/>
              <w:adjustRightInd w:val="0"/>
              <w:snapToGrid w:val="0"/>
              <w:jc w:val="center"/>
              <w:rPr>
                <w:kern w:val="0"/>
                <w:szCs w:val="21"/>
                <w:lang w:eastAsia="en-US" w:bidi="zh-CN"/>
              </w:rPr>
            </w:pPr>
            <w:r>
              <w:rPr>
                <w:kern w:val="0"/>
                <w:szCs w:val="21"/>
              </w:rPr>
              <w:drawing>
                <wp:inline distT="0" distB="0" distL="0" distR="0">
                  <wp:extent cx="971550" cy="957580"/>
                  <wp:effectExtent l="0" t="0" r="0" b="0"/>
                  <wp:docPr id="1373277077"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3277077" name="图片 11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a:xfrm>
                            <a:off x="0" y="0"/>
                            <a:ext cx="971550" cy="957580"/>
                          </a:xfrm>
                          <a:prstGeom prst="rect">
                            <a:avLst/>
                          </a:prstGeom>
                          <a:noFill/>
                          <a:ln>
                            <a:noFill/>
                          </a:ln>
                        </pic:spPr>
                      </pic:pic>
                    </a:graphicData>
                  </a:graphic>
                </wp:inline>
              </w:drawing>
            </w:r>
          </w:p>
        </w:tc>
      </w:tr>
    </w:tbl>
    <w:p w14:paraId="6E58FDBB">
      <w:pPr>
        <w:autoSpaceDE w:val="0"/>
        <w:autoSpaceDN w:val="0"/>
        <w:snapToGrid w:val="0"/>
        <w:spacing w:line="360" w:lineRule="auto"/>
        <w:ind w:firstLine="480" w:firstLineChars="200"/>
        <w:rPr>
          <w:kern w:val="0"/>
          <w:sz w:val="24"/>
          <w:szCs w:val="24"/>
          <w:lang w:bidi="ar"/>
        </w:rPr>
      </w:pPr>
      <w:r>
        <w:rPr>
          <w:kern w:val="0"/>
          <w:sz w:val="24"/>
          <w:szCs w:val="24"/>
          <w:lang w:val="zh-CN" w:bidi="zh-CN"/>
        </w:rPr>
        <w:t>经采取上述措施后，项目危废暂存满足《危险废物贮存污染控制标准》（GB18597-20</w:t>
      </w:r>
      <w:r>
        <w:rPr>
          <w:kern w:val="0"/>
          <w:sz w:val="24"/>
          <w:szCs w:val="24"/>
          <w:lang w:bidi="zh-CN"/>
        </w:rPr>
        <w:t>23</w:t>
      </w:r>
      <w:r>
        <w:rPr>
          <w:kern w:val="0"/>
          <w:sz w:val="24"/>
          <w:szCs w:val="24"/>
          <w:lang w:val="zh-CN" w:bidi="zh-CN"/>
        </w:rPr>
        <w:t>）。不会对周围环境造成污染和影响。</w:t>
      </w:r>
    </w:p>
    <w:p w14:paraId="670AEE9C">
      <w:pPr>
        <w:autoSpaceDE w:val="0"/>
        <w:autoSpaceDN w:val="0"/>
        <w:snapToGrid w:val="0"/>
        <w:spacing w:line="360" w:lineRule="auto"/>
        <w:ind w:firstLine="480" w:firstLineChars="200"/>
        <w:rPr>
          <w:kern w:val="0"/>
          <w:sz w:val="24"/>
          <w:szCs w:val="24"/>
          <w:lang w:val="zh-CN" w:bidi="zh-CN"/>
        </w:rPr>
      </w:pPr>
      <w:r>
        <w:rPr>
          <w:rFonts w:hint="eastAsia"/>
          <w:kern w:val="0"/>
          <w:sz w:val="24"/>
          <w:szCs w:val="24"/>
          <w:lang w:val="en-US" w:eastAsia="zh-CN" w:bidi="ar"/>
        </w:rPr>
        <w:t>4、</w:t>
      </w:r>
      <w:r>
        <w:rPr>
          <w:kern w:val="0"/>
          <w:sz w:val="24"/>
          <w:szCs w:val="24"/>
          <w:lang w:bidi="ar"/>
        </w:rPr>
        <w:t>危废转移控制</w:t>
      </w:r>
    </w:p>
    <w:p w14:paraId="2970C44B">
      <w:pPr>
        <w:autoSpaceDE w:val="0"/>
        <w:autoSpaceDN w:val="0"/>
        <w:snapToGrid w:val="0"/>
        <w:spacing w:line="360" w:lineRule="auto"/>
        <w:ind w:firstLine="480" w:firstLineChars="200"/>
        <w:rPr>
          <w:kern w:val="0"/>
          <w:sz w:val="24"/>
          <w:szCs w:val="24"/>
          <w:lang w:val="zh-CN" w:bidi="zh-CN"/>
        </w:rPr>
      </w:pPr>
      <w:r>
        <w:rPr>
          <w:kern w:val="0"/>
          <w:sz w:val="24"/>
          <w:szCs w:val="24"/>
          <w:lang w:bidi="ar"/>
        </w:rPr>
        <w:t>根据《危险废物贮存污染控制标准》（GB18597-2023）和有关危险废物转移的管理办法，每转移一车（船或者其他运输工具）次同类危险废物，应当填写、运行一份危险废物转移联单；每车（船或者其他运输工具）次转移多类危险废物的，可以填写、运行一份危险废物转移联单，也可以每一类危险废物填写、运行一份危险废物转移联单。使用同一车（船或者其他运输工具）一次为多个移出人转移危险废物的，每个移出人应当分别填写、运行危险废物转移联单：</w:t>
      </w:r>
    </w:p>
    <w:p w14:paraId="6627411E">
      <w:pPr>
        <w:pStyle w:val="232"/>
        <w:numPr>
          <w:ilvl w:val="0"/>
          <w:numId w:val="0"/>
        </w:numPr>
        <w:autoSpaceDE w:val="0"/>
        <w:autoSpaceDN w:val="0"/>
        <w:snapToGrid w:val="0"/>
        <w:spacing w:line="360" w:lineRule="auto"/>
        <w:ind w:left="480" w:leftChars="0"/>
        <w:jc w:val="left"/>
        <w:rPr>
          <w:kern w:val="0"/>
          <w:sz w:val="24"/>
          <w:szCs w:val="24"/>
          <w:lang w:val="zh-CN" w:bidi="zh-CN"/>
        </w:rPr>
      </w:pPr>
      <w:r>
        <w:rPr>
          <w:rFonts w:hint="eastAsia"/>
          <w:kern w:val="0"/>
          <w:sz w:val="24"/>
          <w:szCs w:val="24"/>
          <w:lang w:eastAsia="zh-CN" w:bidi="ar"/>
        </w:rPr>
        <w:t>（</w:t>
      </w:r>
      <w:r>
        <w:rPr>
          <w:rFonts w:hint="eastAsia"/>
          <w:kern w:val="0"/>
          <w:sz w:val="24"/>
          <w:szCs w:val="24"/>
          <w:lang w:val="en-US" w:eastAsia="zh-CN" w:bidi="ar"/>
        </w:rPr>
        <w:t>1</w:t>
      </w:r>
      <w:r>
        <w:rPr>
          <w:rFonts w:hint="eastAsia"/>
          <w:kern w:val="0"/>
          <w:sz w:val="24"/>
          <w:szCs w:val="24"/>
          <w:lang w:eastAsia="zh-CN" w:bidi="ar"/>
        </w:rPr>
        <w:t>）</w:t>
      </w:r>
      <w:r>
        <w:rPr>
          <w:kern w:val="0"/>
          <w:sz w:val="24"/>
          <w:szCs w:val="24"/>
          <w:lang w:bidi="ar"/>
        </w:rPr>
        <w:t>所有废物按类在专用密闭容器中储存，没有混装；</w:t>
      </w:r>
    </w:p>
    <w:p w14:paraId="0AFA0DDE">
      <w:pPr>
        <w:pStyle w:val="232"/>
        <w:numPr>
          <w:ilvl w:val="0"/>
          <w:numId w:val="0"/>
        </w:numPr>
        <w:autoSpaceDE w:val="0"/>
        <w:autoSpaceDN w:val="0"/>
        <w:snapToGrid w:val="0"/>
        <w:spacing w:line="360" w:lineRule="auto"/>
        <w:ind w:left="480" w:leftChars="0"/>
        <w:jc w:val="left"/>
        <w:rPr>
          <w:kern w:val="0"/>
          <w:sz w:val="24"/>
          <w:szCs w:val="24"/>
          <w:lang w:val="zh-CN" w:bidi="zh-CN"/>
        </w:rPr>
      </w:pPr>
      <w:r>
        <w:rPr>
          <w:rFonts w:hint="eastAsia"/>
          <w:kern w:val="0"/>
          <w:sz w:val="24"/>
          <w:szCs w:val="24"/>
          <w:lang w:eastAsia="zh-CN" w:bidi="ar"/>
        </w:rPr>
        <w:t>（</w:t>
      </w:r>
      <w:r>
        <w:rPr>
          <w:rFonts w:hint="eastAsia"/>
          <w:kern w:val="0"/>
          <w:sz w:val="24"/>
          <w:szCs w:val="24"/>
          <w:lang w:val="en-US" w:eastAsia="zh-CN" w:bidi="ar"/>
        </w:rPr>
        <w:t>2</w:t>
      </w:r>
      <w:r>
        <w:rPr>
          <w:rFonts w:hint="eastAsia"/>
          <w:kern w:val="0"/>
          <w:sz w:val="24"/>
          <w:szCs w:val="24"/>
          <w:lang w:eastAsia="zh-CN" w:bidi="ar"/>
        </w:rPr>
        <w:t>）</w:t>
      </w:r>
      <w:r>
        <w:rPr>
          <w:kern w:val="0"/>
          <w:sz w:val="24"/>
          <w:szCs w:val="24"/>
          <w:lang w:bidi="ar"/>
        </w:rPr>
        <w:t>危险废物接收企业有相应的危险废物经营资质；</w:t>
      </w:r>
    </w:p>
    <w:p w14:paraId="35F2BBB1">
      <w:pPr>
        <w:pStyle w:val="232"/>
        <w:numPr>
          <w:ilvl w:val="0"/>
          <w:numId w:val="0"/>
        </w:numPr>
        <w:autoSpaceDE w:val="0"/>
        <w:autoSpaceDN w:val="0"/>
        <w:snapToGrid w:val="0"/>
        <w:spacing w:line="360" w:lineRule="auto"/>
        <w:ind w:left="480" w:leftChars="0"/>
        <w:jc w:val="left"/>
        <w:rPr>
          <w:kern w:val="0"/>
          <w:sz w:val="24"/>
          <w:szCs w:val="24"/>
          <w:lang w:val="zh-CN" w:bidi="zh-CN"/>
        </w:rPr>
      </w:pPr>
      <w:r>
        <w:rPr>
          <w:rFonts w:hint="eastAsia"/>
          <w:kern w:val="0"/>
          <w:sz w:val="24"/>
          <w:szCs w:val="24"/>
          <w:lang w:eastAsia="zh-CN" w:bidi="ar"/>
        </w:rPr>
        <w:t>（</w:t>
      </w:r>
      <w:r>
        <w:rPr>
          <w:rFonts w:hint="eastAsia"/>
          <w:kern w:val="0"/>
          <w:sz w:val="24"/>
          <w:szCs w:val="24"/>
          <w:lang w:val="en-US" w:eastAsia="zh-CN" w:bidi="ar"/>
        </w:rPr>
        <w:t>3</w:t>
      </w:r>
      <w:r>
        <w:rPr>
          <w:rFonts w:hint="eastAsia"/>
          <w:kern w:val="0"/>
          <w:sz w:val="24"/>
          <w:szCs w:val="24"/>
          <w:lang w:eastAsia="zh-CN" w:bidi="ar"/>
        </w:rPr>
        <w:t>）</w:t>
      </w:r>
      <w:r>
        <w:rPr>
          <w:kern w:val="0"/>
          <w:sz w:val="24"/>
          <w:szCs w:val="24"/>
          <w:lang w:bidi="ar"/>
        </w:rPr>
        <w:t>废物收集和封装容器得到接收企业和监管部门的认可；</w:t>
      </w:r>
    </w:p>
    <w:p w14:paraId="3C173810">
      <w:pPr>
        <w:pStyle w:val="232"/>
        <w:numPr>
          <w:ilvl w:val="0"/>
          <w:numId w:val="0"/>
        </w:numPr>
        <w:autoSpaceDE w:val="0"/>
        <w:autoSpaceDN w:val="0"/>
        <w:snapToGrid w:val="0"/>
        <w:spacing w:line="360" w:lineRule="auto"/>
        <w:ind w:left="480" w:leftChars="0"/>
        <w:rPr>
          <w:kern w:val="0"/>
          <w:sz w:val="24"/>
          <w:szCs w:val="24"/>
          <w:lang w:val="zh-CN" w:bidi="zh-CN"/>
        </w:rPr>
      </w:pPr>
      <w:r>
        <w:rPr>
          <w:rFonts w:hint="eastAsia"/>
          <w:kern w:val="0"/>
          <w:sz w:val="24"/>
          <w:szCs w:val="24"/>
          <w:lang w:eastAsia="zh-CN" w:bidi="ar"/>
        </w:rPr>
        <w:t>（</w:t>
      </w:r>
      <w:r>
        <w:rPr>
          <w:rFonts w:hint="eastAsia"/>
          <w:kern w:val="0"/>
          <w:sz w:val="24"/>
          <w:szCs w:val="24"/>
          <w:lang w:val="en-US" w:eastAsia="zh-CN" w:bidi="ar"/>
        </w:rPr>
        <w:t>4</w:t>
      </w:r>
      <w:r>
        <w:rPr>
          <w:rFonts w:hint="eastAsia"/>
          <w:kern w:val="0"/>
          <w:sz w:val="24"/>
          <w:szCs w:val="24"/>
          <w:lang w:eastAsia="zh-CN" w:bidi="ar"/>
        </w:rPr>
        <w:t>）</w:t>
      </w:r>
      <w:r>
        <w:rPr>
          <w:kern w:val="0"/>
          <w:sz w:val="24"/>
          <w:szCs w:val="24"/>
          <w:lang w:bidi="ar"/>
        </w:rPr>
        <w:t>收集的固废详细列出数量和成分，并填写有关材料；</w:t>
      </w:r>
    </w:p>
    <w:p w14:paraId="61CE9195">
      <w:pPr>
        <w:pStyle w:val="232"/>
        <w:numPr>
          <w:ilvl w:val="0"/>
          <w:numId w:val="0"/>
        </w:numPr>
        <w:autoSpaceDE w:val="0"/>
        <w:autoSpaceDN w:val="0"/>
        <w:snapToGrid w:val="0"/>
        <w:spacing w:line="360" w:lineRule="auto"/>
        <w:ind w:left="480" w:leftChars="0"/>
        <w:rPr>
          <w:kern w:val="0"/>
          <w:sz w:val="24"/>
          <w:szCs w:val="24"/>
          <w:lang w:val="zh-CN" w:bidi="zh-CN"/>
        </w:rPr>
      </w:pPr>
      <w:r>
        <w:rPr>
          <w:rFonts w:hint="eastAsia"/>
          <w:kern w:val="0"/>
          <w:sz w:val="24"/>
          <w:szCs w:val="24"/>
          <w:lang w:eastAsia="zh-CN" w:bidi="ar"/>
        </w:rPr>
        <w:t>（</w:t>
      </w:r>
      <w:r>
        <w:rPr>
          <w:rFonts w:hint="eastAsia"/>
          <w:kern w:val="0"/>
          <w:sz w:val="24"/>
          <w:szCs w:val="24"/>
          <w:lang w:val="en-US" w:eastAsia="zh-CN" w:bidi="ar"/>
        </w:rPr>
        <w:t>5</w:t>
      </w:r>
      <w:r>
        <w:rPr>
          <w:rFonts w:hint="eastAsia"/>
          <w:kern w:val="0"/>
          <w:sz w:val="24"/>
          <w:szCs w:val="24"/>
          <w:lang w:eastAsia="zh-CN" w:bidi="ar"/>
        </w:rPr>
        <w:t>）</w:t>
      </w:r>
      <w:r>
        <w:rPr>
          <w:kern w:val="0"/>
          <w:sz w:val="24"/>
          <w:szCs w:val="24"/>
          <w:lang w:bidi="ar"/>
        </w:rPr>
        <w:t>专人负责危险废物的收集、贮运管理工作；</w:t>
      </w:r>
    </w:p>
    <w:p w14:paraId="4CB3DDD1">
      <w:pPr>
        <w:pStyle w:val="232"/>
        <w:keepNext w:val="0"/>
        <w:keepLines w:val="0"/>
        <w:pageBreakBefore w:val="0"/>
        <w:numPr>
          <w:ilvl w:val="0"/>
          <w:numId w:val="0"/>
        </w:numPr>
        <w:kinsoku/>
        <w:wordWrap/>
        <w:overflowPunct/>
        <w:topLinePunct w:val="0"/>
        <w:autoSpaceDE w:val="0"/>
        <w:autoSpaceDN w:val="0"/>
        <w:bidi w:val="0"/>
        <w:adjustRightInd/>
        <w:snapToGrid w:val="0"/>
        <w:spacing w:line="360" w:lineRule="auto"/>
        <w:ind w:left="480" w:leftChars="0"/>
        <w:textAlignment w:val="auto"/>
        <w:rPr>
          <w:kern w:val="0"/>
          <w:sz w:val="24"/>
          <w:szCs w:val="24"/>
          <w:lang w:val="zh-CN" w:bidi="zh-CN"/>
        </w:rPr>
      </w:pPr>
      <w:r>
        <w:rPr>
          <w:rFonts w:hint="eastAsia"/>
          <w:kern w:val="0"/>
          <w:sz w:val="24"/>
          <w:szCs w:val="24"/>
          <w:lang w:eastAsia="zh-CN" w:bidi="ar"/>
        </w:rPr>
        <w:t>（</w:t>
      </w:r>
      <w:r>
        <w:rPr>
          <w:rFonts w:hint="eastAsia"/>
          <w:kern w:val="0"/>
          <w:sz w:val="24"/>
          <w:szCs w:val="24"/>
          <w:lang w:val="en-US" w:eastAsia="zh-CN" w:bidi="ar"/>
        </w:rPr>
        <w:t>6</w:t>
      </w:r>
      <w:r>
        <w:rPr>
          <w:rFonts w:hint="eastAsia"/>
          <w:kern w:val="0"/>
          <w:sz w:val="24"/>
          <w:szCs w:val="24"/>
          <w:lang w:eastAsia="zh-CN" w:bidi="ar"/>
        </w:rPr>
        <w:t>）</w:t>
      </w:r>
      <w:r>
        <w:rPr>
          <w:kern w:val="0"/>
          <w:sz w:val="24"/>
          <w:szCs w:val="24"/>
          <w:lang w:bidi="ar"/>
        </w:rPr>
        <w:t>所有运输车辆的司机和押运人员经专业培训持证上岗。</w:t>
      </w:r>
    </w:p>
    <w:p w14:paraId="2B5168DA">
      <w:pPr>
        <w:keepNext w:val="0"/>
        <w:keepLines w:val="0"/>
        <w:pageBreakBefore w:val="0"/>
        <w:kinsoku/>
        <w:wordWrap/>
        <w:overflowPunct/>
        <w:topLinePunct w:val="0"/>
        <w:autoSpaceDE w:val="0"/>
        <w:autoSpaceDN w:val="0"/>
        <w:bidi w:val="0"/>
        <w:adjustRightInd/>
        <w:snapToGrid w:val="0"/>
        <w:spacing w:line="360" w:lineRule="auto"/>
        <w:ind w:firstLine="480" w:firstLineChars="200"/>
        <w:textAlignment w:val="auto"/>
        <w:rPr>
          <w:kern w:val="0"/>
          <w:sz w:val="24"/>
          <w:szCs w:val="24"/>
          <w:lang w:bidi="ar"/>
        </w:rPr>
      </w:pPr>
      <w:r>
        <w:rPr>
          <w:kern w:val="0"/>
          <w:sz w:val="24"/>
          <w:szCs w:val="24"/>
          <w:lang w:bidi="ar"/>
        </w:rPr>
        <w:t>综上所述，运营期产生的废机油采用专用密封桶承装，暂存于厂区内的危废</w:t>
      </w:r>
      <w:r>
        <w:rPr>
          <w:rFonts w:hint="eastAsia"/>
          <w:kern w:val="0"/>
          <w:sz w:val="24"/>
          <w:szCs w:val="24"/>
          <w:lang w:bidi="ar"/>
        </w:rPr>
        <w:t>贮存点</w:t>
      </w:r>
      <w:r>
        <w:rPr>
          <w:kern w:val="0"/>
          <w:sz w:val="24"/>
          <w:szCs w:val="24"/>
          <w:lang w:bidi="ar"/>
        </w:rPr>
        <w:t>内，定期交由具有危险废物处置资质的单位清运处置。</w:t>
      </w:r>
    </w:p>
    <w:p w14:paraId="6D30496F">
      <w:pPr>
        <w:keepNext w:val="0"/>
        <w:keepLines w:val="0"/>
        <w:pageBreakBefore w:val="0"/>
        <w:kinsoku/>
        <w:wordWrap/>
        <w:overflowPunct/>
        <w:topLinePunct w:val="0"/>
        <w:autoSpaceDE w:val="0"/>
        <w:autoSpaceDN w:val="0"/>
        <w:bidi w:val="0"/>
        <w:adjustRightInd/>
        <w:snapToGrid w:val="0"/>
        <w:spacing w:line="360" w:lineRule="auto"/>
        <w:ind w:firstLine="480" w:firstLineChars="200"/>
        <w:textAlignment w:val="auto"/>
        <w:rPr>
          <w:rFonts w:hint="eastAsia" w:ascii="Times New Roman" w:hAnsi="Times New Roman" w:eastAsia="宋体" w:cs="Times New Roman"/>
          <w:kern w:val="0"/>
          <w:sz w:val="24"/>
          <w:szCs w:val="24"/>
          <w:lang w:val="en-US" w:eastAsia="zh-CN" w:bidi="ar"/>
        </w:rPr>
      </w:pPr>
      <w:r>
        <w:rPr>
          <w:rFonts w:hint="eastAsia" w:ascii="Times New Roman" w:hAnsi="Times New Roman" w:eastAsia="宋体" w:cs="Times New Roman"/>
          <w:kern w:val="0"/>
          <w:sz w:val="24"/>
          <w:szCs w:val="24"/>
          <w:lang w:val="en-US" w:eastAsia="zh-CN" w:bidi="ar"/>
        </w:rPr>
        <w:t xml:space="preserve">5、危险废物的转运要求 </w:t>
      </w:r>
    </w:p>
    <w:p w14:paraId="707E2A25">
      <w:pPr>
        <w:keepNext w:val="0"/>
        <w:keepLines w:val="0"/>
        <w:pageBreakBefore w:val="0"/>
        <w:widowControl/>
        <w:kinsoku/>
        <w:wordWrap/>
        <w:overflowPunct/>
        <w:topLinePunct w:val="0"/>
        <w:bidi w:val="0"/>
        <w:adjustRightInd/>
        <w:spacing w:line="360" w:lineRule="auto"/>
        <w:ind w:firstLine="480" w:firstLineChars="200"/>
        <w:jc w:val="left"/>
        <w:textAlignment w:val="auto"/>
        <w:rPr>
          <w:rFonts w:ascii="Calibri"/>
          <w:kern w:val="0"/>
          <w:sz w:val="24"/>
          <w:lang w:bidi="ar"/>
        </w:rPr>
      </w:pPr>
      <w:r>
        <w:rPr>
          <w:rFonts w:ascii="Calibri"/>
          <w:kern w:val="0"/>
          <w:sz w:val="24"/>
          <w:lang w:bidi="ar"/>
        </w:rPr>
        <w:t>危险废物应按照国家有关规定向当地环境保护行政主管部门申报登记，</w:t>
      </w:r>
      <w:r>
        <w:rPr>
          <w:rFonts w:hint="eastAsia" w:ascii="Calibri"/>
          <w:kern w:val="0"/>
          <w:sz w:val="24"/>
          <w:lang w:eastAsia="zh-CN" w:bidi="ar"/>
        </w:rPr>
        <w:t>接受</w:t>
      </w:r>
      <w:r>
        <w:rPr>
          <w:rFonts w:ascii="Calibri"/>
          <w:kern w:val="0"/>
          <w:sz w:val="24"/>
          <w:lang w:bidi="ar"/>
        </w:rPr>
        <w:t>当地环境保护行政主管部门监督管理。同时，根据《危险废物转移管理办法》（部令第23号）、《危险废物收集贮存运输技术规范》（HJ2025-2012）的有关规定，在危险废物外运至处置单位时必须严格遵守以下要求：</w:t>
      </w:r>
    </w:p>
    <w:p w14:paraId="3323D357">
      <w:pPr>
        <w:keepNext w:val="0"/>
        <w:keepLines w:val="0"/>
        <w:pageBreakBefore w:val="0"/>
        <w:tabs>
          <w:tab w:val="left" w:pos="358"/>
        </w:tabs>
        <w:kinsoku/>
        <w:wordWrap/>
        <w:overflowPunct/>
        <w:topLinePunct w:val="0"/>
        <w:autoSpaceDE w:val="0"/>
        <w:autoSpaceDN w:val="0"/>
        <w:bidi w:val="0"/>
        <w:adjustRightInd/>
        <w:spacing w:line="500" w:lineRule="exact"/>
        <w:ind w:firstLine="480" w:firstLineChars="200"/>
        <w:jc w:val="left"/>
        <w:textAlignment w:val="auto"/>
        <w:rPr>
          <w:kern w:val="0"/>
          <w:sz w:val="24"/>
          <w:szCs w:val="24"/>
          <w:lang w:val="zh-CN" w:bidi="zh-CN"/>
        </w:rPr>
      </w:pPr>
      <w:r>
        <w:rPr>
          <w:rFonts w:hint="eastAsia" w:ascii="宋体" w:cs="宋体"/>
          <w:kern w:val="0"/>
          <w:sz w:val="24"/>
          <w:szCs w:val="24"/>
          <w:lang w:eastAsia="zh-CN" w:bidi="ar"/>
        </w:rPr>
        <w:t>（</w:t>
      </w:r>
      <w:r>
        <w:rPr>
          <w:rFonts w:hint="eastAsia" w:ascii="宋体" w:cs="宋体"/>
          <w:kern w:val="0"/>
          <w:sz w:val="24"/>
          <w:szCs w:val="24"/>
          <w:lang w:val="en-US" w:eastAsia="zh-CN" w:bidi="ar"/>
        </w:rPr>
        <w:t>1</w:t>
      </w:r>
      <w:r>
        <w:rPr>
          <w:rFonts w:hint="eastAsia" w:ascii="宋体" w:cs="宋体"/>
          <w:kern w:val="0"/>
          <w:sz w:val="24"/>
          <w:szCs w:val="24"/>
          <w:lang w:eastAsia="zh-CN" w:bidi="ar"/>
        </w:rPr>
        <w:t>）</w:t>
      </w:r>
      <w:r>
        <w:rPr>
          <w:kern w:val="0"/>
          <w:sz w:val="24"/>
          <w:szCs w:val="24"/>
          <w:lang w:bidi="ar"/>
        </w:rPr>
        <w:t>危险废物在转移前，建设单位须按照国家有关规定报批危险废物转移计划；经批准后，建设单位应当向当地环境保护局申请领取联单。转移前三日内报告移出地环境保护行政主管部门，并同时将预期到达时间报告接收地环境保护行政主管部门。</w:t>
      </w:r>
    </w:p>
    <w:p w14:paraId="006F7ADD">
      <w:pPr>
        <w:keepNext w:val="0"/>
        <w:keepLines w:val="0"/>
        <w:pageBreakBefore w:val="0"/>
        <w:kinsoku/>
        <w:wordWrap/>
        <w:overflowPunct/>
        <w:topLinePunct w:val="0"/>
        <w:autoSpaceDE w:val="0"/>
        <w:autoSpaceDN w:val="0"/>
        <w:bidi w:val="0"/>
        <w:adjustRightInd/>
        <w:snapToGrid w:val="0"/>
        <w:spacing w:line="500" w:lineRule="exact"/>
        <w:ind w:firstLine="480" w:firstLineChars="200"/>
        <w:textAlignment w:val="auto"/>
        <w:rPr>
          <w:kern w:val="0"/>
          <w:sz w:val="24"/>
          <w:szCs w:val="24"/>
          <w:lang w:bidi="ar"/>
        </w:rPr>
      </w:pPr>
      <w:r>
        <w:rPr>
          <w:rFonts w:hint="eastAsia" w:ascii="宋体" w:hAnsi="宋体" w:cs="宋体"/>
          <w:kern w:val="0"/>
          <w:sz w:val="24"/>
          <w:szCs w:val="24"/>
          <w:lang w:eastAsia="zh-CN" w:bidi="ar"/>
        </w:rPr>
        <w:t>（</w:t>
      </w:r>
      <w:r>
        <w:rPr>
          <w:rFonts w:hint="eastAsia" w:ascii="宋体" w:hAnsi="宋体" w:cs="宋体"/>
          <w:kern w:val="0"/>
          <w:sz w:val="24"/>
          <w:szCs w:val="24"/>
          <w:lang w:val="en-US" w:eastAsia="zh-CN" w:bidi="ar"/>
        </w:rPr>
        <w:t>2</w:t>
      </w:r>
      <w:r>
        <w:rPr>
          <w:rFonts w:hint="eastAsia" w:ascii="宋体" w:hAnsi="宋体" w:cs="宋体"/>
          <w:kern w:val="0"/>
          <w:sz w:val="24"/>
          <w:szCs w:val="24"/>
          <w:lang w:eastAsia="zh-CN" w:bidi="ar"/>
        </w:rPr>
        <w:t>）</w:t>
      </w:r>
      <w:r>
        <w:rPr>
          <w:kern w:val="0"/>
          <w:sz w:val="24"/>
          <w:szCs w:val="24"/>
          <w:lang w:bidi="ar"/>
        </w:rPr>
        <w:t>每转移一车（船或者其他运输工具）次同类危险废物，应当填写、运行一份危险废物转移联单；每车（船或者其他运输工具）次转移多类危险废物的，可以填写、运行一份危险废物转移联单，也可以每一类危险废物填写、运行一份废物转移联单。使用同一车（船或者其他运输工具）一次为多个移出人转移危险废物的，每个移出人应当分别填写、运行危险废物转移联单。</w:t>
      </w:r>
    </w:p>
    <w:p w14:paraId="4FC923FC">
      <w:pPr>
        <w:autoSpaceDE w:val="0"/>
        <w:autoSpaceDN w:val="0"/>
        <w:snapToGrid w:val="0"/>
        <w:spacing w:line="500" w:lineRule="exact"/>
        <w:ind w:firstLine="480" w:firstLineChars="200"/>
        <w:rPr>
          <w:kern w:val="0"/>
          <w:sz w:val="24"/>
          <w:szCs w:val="24"/>
          <w:lang w:bidi="ar"/>
        </w:rPr>
      </w:pPr>
      <w:r>
        <w:rPr>
          <w:rFonts w:hint="eastAsia" w:ascii="宋体" w:hAnsi="宋体" w:cs="宋体"/>
          <w:kern w:val="0"/>
          <w:sz w:val="24"/>
          <w:szCs w:val="24"/>
          <w:lang w:eastAsia="zh-CN" w:bidi="ar"/>
        </w:rPr>
        <w:t>（</w:t>
      </w:r>
      <w:r>
        <w:rPr>
          <w:rFonts w:hint="eastAsia" w:ascii="宋体" w:hAnsi="宋体" w:cs="宋体"/>
          <w:kern w:val="0"/>
          <w:sz w:val="24"/>
          <w:szCs w:val="24"/>
          <w:lang w:val="en-US" w:eastAsia="zh-CN" w:bidi="ar"/>
        </w:rPr>
        <w:t>3</w:t>
      </w:r>
      <w:r>
        <w:rPr>
          <w:rFonts w:hint="eastAsia" w:ascii="宋体" w:hAnsi="宋体" w:cs="宋体"/>
          <w:kern w:val="0"/>
          <w:sz w:val="24"/>
          <w:szCs w:val="24"/>
          <w:lang w:eastAsia="zh-CN" w:bidi="ar"/>
        </w:rPr>
        <w:t>）</w:t>
      </w:r>
      <w:r>
        <w:rPr>
          <w:kern w:val="0"/>
          <w:sz w:val="24"/>
          <w:szCs w:val="24"/>
          <w:lang w:bidi="ar"/>
        </w:rPr>
        <w:t>险废物转移联单实行全国统一编号，编号由十四位阿拉伯数字组成。第一至四位数字为年份代码；第五、六位数字为移出地省级行政区划代码；第七、八位数字为移出地设区的市级行政区划代码；其余六位数字以移出地设区的市级行政区域为单位进行流水编号。</w:t>
      </w:r>
    </w:p>
    <w:p w14:paraId="7276611F">
      <w:pPr>
        <w:autoSpaceDE w:val="0"/>
        <w:autoSpaceDN w:val="0"/>
        <w:snapToGrid w:val="0"/>
        <w:spacing w:line="500" w:lineRule="exact"/>
        <w:ind w:firstLine="480" w:firstLineChars="200"/>
        <w:rPr>
          <w:kern w:val="0"/>
          <w:sz w:val="24"/>
          <w:szCs w:val="24"/>
          <w:lang w:val="zh-CN" w:bidi="zh-CN"/>
        </w:rPr>
      </w:pPr>
      <w:r>
        <w:rPr>
          <w:rFonts w:hint="eastAsia" w:ascii="宋体" w:hAnsi="宋体" w:cs="宋体"/>
          <w:kern w:val="0"/>
          <w:sz w:val="24"/>
          <w:szCs w:val="24"/>
          <w:lang w:eastAsia="zh-CN" w:bidi="ar"/>
        </w:rPr>
        <w:t>（</w:t>
      </w:r>
      <w:r>
        <w:rPr>
          <w:rFonts w:hint="eastAsia" w:ascii="宋体" w:hAnsi="宋体" w:cs="宋体"/>
          <w:kern w:val="0"/>
          <w:sz w:val="24"/>
          <w:szCs w:val="24"/>
          <w:lang w:val="en-US" w:eastAsia="zh-CN" w:bidi="ar"/>
        </w:rPr>
        <w:t>4</w:t>
      </w:r>
      <w:r>
        <w:rPr>
          <w:rFonts w:hint="eastAsia" w:ascii="宋体" w:hAnsi="宋体" w:cs="宋体"/>
          <w:kern w:val="0"/>
          <w:sz w:val="24"/>
          <w:szCs w:val="24"/>
          <w:lang w:eastAsia="zh-CN" w:bidi="ar"/>
        </w:rPr>
        <w:t>）</w:t>
      </w:r>
      <w:r>
        <w:rPr>
          <w:kern w:val="0"/>
          <w:sz w:val="24"/>
          <w:szCs w:val="24"/>
          <w:lang w:bidi="ar"/>
        </w:rPr>
        <w:t>采用联运方式转移危险废物的，前一承运人和后一承运人应当明确运输交接的时间和地点。后一承运人应当核实危险废物转移联单确定的移出人信息、前一承运人信息及危险废物相关信息。</w:t>
      </w:r>
    </w:p>
    <w:p w14:paraId="4278E11E">
      <w:pPr>
        <w:autoSpaceDE w:val="0"/>
        <w:autoSpaceDN w:val="0"/>
        <w:snapToGrid w:val="0"/>
        <w:spacing w:line="500" w:lineRule="exact"/>
        <w:ind w:firstLine="480" w:firstLineChars="200"/>
        <w:rPr>
          <w:kern w:val="0"/>
          <w:sz w:val="24"/>
          <w:szCs w:val="24"/>
          <w:lang w:val="zh-CN" w:bidi="zh-CN"/>
        </w:rPr>
      </w:pPr>
      <w:r>
        <w:rPr>
          <w:rFonts w:hint="eastAsia" w:ascii="宋体" w:hAnsi="宋体" w:cs="宋体"/>
          <w:kern w:val="0"/>
          <w:sz w:val="24"/>
          <w:szCs w:val="24"/>
          <w:lang w:eastAsia="zh-CN" w:bidi="ar"/>
        </w:rPr>
        <w:t>（</w:t>
      </w:r>
      <w:r>
        <w:rPr>
          <w:rFonts w:hint="eastAsia" w:ascii="宋体" w:hAnsi="宋体" w:cs="宋体"/>
          <w:kern w:val="0"/>
          <w:sz w:val="24"/>
          <w:szCs w:val="24"/>
          <w:lang w:val="en-US" w:eastAsia="zh-CN" w:bidi="ar"/>
        </w:rPr>
        <w:t>5</w:t>
      </w:r>
      <w:r>
        <w:rPr>
          <w:rFonts w:hint="eastAsia" w:ascii="宋体" w:hAnsi="宋体" w:cs="宋体"/>
          <w:kern w:val="0"/>
          <w:sz w:val="24"/>
          <w:szCs w:val="24"/>
          <w:lang w:eastAsia="zh-CN" w:bidi="ar"/>
        </w:rPr>
        <w:t>）</w:t>
      </w:r>
      <w:r>
        <w:rPr>
          <w:kern w:val="0"/>
          <w:sz w:val="24"/>
          <w:szCs w:val="24"/>
          <w:lang w:bidi="ar"/>
        </w:rPr>
        <w:t>危险废物电子转移联单数据应当在信息系统中至少保存十年。</w:t>
      </w:r>
    </w:p>
    <w:p w14:paraId="3261034E">
      <w:pPr>
        <w:autoSpaceDE w:val="0"/>
        <w:autoSpaceDN w:val="0"/>
        <w:snapToGrid w:val="0"/>
        <w:spacing w:line="500" w:lineRule="exact"/>
        <w:ind w:firstLine="480" w:firstLineChars="200"/>
        <w:rPr>
          <w:kern w:val="0"/>
          <w:sz w:val="24"/>
          <w:szCs w:val="24"/>
          <w:lang w:val="zh-CN" w:bidi="zh-CN"/>
        </w:rPr>
      </w:pPr>
      <w:r>
        <w:rPr>
          <w:rFonts w:hint="eastAsia" w:ascii="宋体" w:hAnsi="宋体" w:cs="宋体"/>
          <w:kern w:val="0"/>
          <w:sz w:val="24"/>
          <w:szCs w:val="24"/>
          <w:lang w:eastAsia="zh-CN" w:bidi="ar"/>
        </w:rPr>
        <w:t>（</w:t>
      </w:r>
      <w:r>
        <w:rPr>
          <w:rFonts w:hint="eastAsia" w:ascii="宋体" w:hAnsi="宋体" w:cs="宋体"/>
          <w:kern w:val="0"/>
          <w:sz w:val="24"/>
          <w:szCs w:val="24"/>
          <w:lang w:val="en-US" w:eastAsia="zh-CN" w:bidi="ar"/>
        </w:rPr>
        <w:t>6</w:t>
      </w:r>
      <w:r>
        <w:rPr>
          <w:rFonts w:hint="eastAsia" w:ascii="宋体" w:hAnsi="宋体" w:cs="宋体"/>
          <w:kern w:val="0"/>
          <w:sz w:val="24"/>
          <w:szCs w:val="24"/>
          <w:lang w:eastAsia="zh-CN" w:bidi="ar"/>
        </w:rPr>
        <w:t>）</w:t>
      </w:r>
      <w:r>
        <w:rPr>
          <w:kern w:val="0"/>
          <w:sz w:val="24"/>
          <w:szCs w:val="24"/>
          <w:lang w:bidi="ar"/>
        </w:rPr>
        <w:t>处置单位的运输人员必须掌握危险化学品运输的安全知识，了解所运载的危险化学品的性质、危害特性、包装容器的使用特性和发生意外时的应急措施。运输车辆必须具有车辆危险货物运输许可证。驾驶人员必须由取得驾驶执照的熟练人员担任。</w:t>
      </w:r>
    </w:p>
    <w:p w14:paraId="4EC8A525">
      <w:pPr>
        <w:autoSpaceDE w:val="0"/>
        <w:autoSpaceDN w:val="0"/>
        <w:snapToGrid w:val="0"/>
        <w:spacing w:line="500" w:lineRule="exact"/>
        <w:ind w:firstLine="480" w:firstLineChars="200"/>
        <w:rPr>
          <w:kern w:val="0"/>
          <w:sz w:val="24"/>
          <w:szCs w:val="24"/>
          <w:lang w:val="zh-CN" w:bidi="zh-CN"/>
        </w:rPr>
      </w:pPr>
      <w:r>
        <w:rPr>
          <w:rFonts w:hint="eastAsia" w:ascii="宋体" w:hAnsi="宋体" w:cs="宋体"/>
          <w:kern w:val="0"/>
          <w:sz w:val="24"/>
          <w:szCs w:val="24"/>
          <w:lang w:eastAsia="zh-CN" w:bidi="ar"/>
        </w:rPr>
        <w:t>（</w:t>
      </w:r>
      <w:r>
        <w:rPr>
          <w:rFonts w:hint="eastAsia" w:ascii="宋体" w:hAnsi="宋体" w:cs="宋体"/>
          <w:kern w:val="0"/>
          <w:sz w:val="24"/>
          <w:szCs w:val="24"/>
          <w:lang w:val="en-US" w:eastAsia="zh-CN" w:bidi="ar"/>
        </w:rPr>
        <w:t>7</w:t>
      </w:r>
      <w:r>
        <w:rPr>
          <w:rFonts w:hint="eastAsia" w:ascii="宋体" w:hAnsi="宋体" w:cs="宋体"/>
          <w:kern w:val="0"/>
          <w:sz w:val="24"/>
          <w:szCs w:val="24"/>
          <w:lang w:eastAsia="zh-CN" w:bidi="ar"/>
        </w:rPr>
        <w:t>）</w:t>
      </w:r>
      <w:r>
        <w:rPr>
          <w:kern w:val="0"/>
          <w:sz w:val="24"/>
          <w:szCs w:val="24"/>
          <w:lang w:bidi="ar"/>
        </w:rPr>
        <w:t>处置单位在运输危险废物时必须配备押运人员，并随时处于押运人员的监管之下，不得超装、超载，严格按照所在城市规定的行车时间和行车路线行驶，不得进入危险化学品运输车辆禁止通行的区域。</w:t>
      </w:r>
    </w:p>
    <w:p w14:paraId="0274662B">
      <w:pPr>
        <w:autoSpaceDE w:val="0"/>
        <w:autoSpaceDN w:val="0"/>
        <w:snapToGrid w:val="0"/>
        <w:spacing w:line="500" w:lineRule="exact"/>
        <w:ind w:firstLine="480" w:firstLineChars="200"/>
        <w:rPr>
          <w:kern w:val="0"/>
          <w:sz w:val="24"/>
          <w:szCs w:val="24"/>
          <w:lang w:bidi="ar"/>
        </w:rPr>
      </w:pPr>
      <w:r>
        <w:rPr>
          <w:rFonts w:hint="eastAsia" w:ascii="宋体" w:hAnsi="宋体" w:cs="宋体"/>
          <w:kern w:val="0"/>
          <w:sz w:val="24"/>
          <w:szCs w:val="24"/>
          <w:lang w:eastAsia="zh-CN" w:bidi="ar"/>
        </w:rPr>
        <w:t>（</w:t>
      </w:r>
      <w:r>
        <w:rPr>
          <w:rFonts w:hint="eastAsia" w:ascii="宋体" w:hAnsi="宋体" w:cs="宋体"/>
          <w:kern w:val="0"/>
          <w:sz w:val="24"/>
          <w:szCs w:val="24"/>
          <w:lang w:val="en-US" w:eastAsia="zh-CN" w:bidi="ar"/>
        </w:rPr>
        <w:t>8</w:t>
      </w:r>
      <w:r>
        <w:rPr>
          <w:rFonts w:hint="eastAsia" w:ascii="宋体" w:hAnsi="宋体" w:cs="宋体"/>
          <w:kern w:val="0"/>
          <w:sz w:val="24"/>
          <w:szCs w:val="24"/>
          <w:lang w:eastAsia="zh-CN" w:bidi="ar"/>
        </w:rPr>
        <w:t>）</w:t>
      </w:r>
      <w:r>
        <w:rPr>
          <w:kern w:val="0"/>
          <w:sz w:val="24"/>
          <w:szCs w:val="24"/>
          <w:lang w:bidi="ar"/>
        </w:rPr>
        <w:t>危险废物在运输途中若发生被盗、丢失、流散、泄漏等情况时，公司及押运人员必须立即向当地公安部门报告，并采取一切可能的警示措施。</w:t>
      </w:r>
    </w:p>
    <w:p w14:paraId="46803E69">
      <w:pPr>
        <w:autoSpaceDE w:val="0"/>
        <w:autoSpaceDN w:val="0"/>
        <w:snapToGrid w:val="0"/>
        <w:spacing w:line="500" w:lineRule="exact"/>
        <w:ind w:firstLine="480" w:firstLineChars="200"/>
        <w:rPr>
          <w:kern w:val="0"/>
          <w:sz w:val="24"/>
          <w:szCs w:val="24"/>
          <w:lang w:bidi="zh-CN"/>
        </w:rPr>
      </w:pPr>
      <w:r>
        <w:rPr>
          <w:rFonts w:hint="eastAsia" w:ascii="宋体" w:hAnsi="宋体" w:cs="宋体"/>
          <w:kern w:val="0"/>
          <w:sz w:val="24"/>
          <w:szCs w:val="24"/>
          <w:lang w:eastAsia="zh-CN" w:bidi="ar"/>
        </w:rPr>
        <w:t>（</w:t>
      </w:r>
      <w:r>
        <w:rPr>
          <w:rFonts w:hint="eastAsia" w:ascii="宋体" w:hAnsi="宋体" w:cs="宋体"/>
          <w:kern w:val="0"/>
          <w:sz w:val="24"/>
          <w:szCs w:val="24"/>
          <w:lang w:val="en-US" w:eastAsia="zh-CN" w:bidi="ar"/>
        </w:rPr>
        <w:t>9</w:t>
      </w:r>
      <w:r>
        <w:rPr>
          <w:rFonts w:hint="eastAsia" w:ascii="宋体" w:hAnsi="宋体" w:cs="宋体"/>
          <w:kern w:val="0"/>
          <w:sz w:val="24"/>
          <w:szCs w:val="24"/>
          <w:lang w:eastAsia="zh-CN" w:bidi="ar"/>
        </w:rPr>
        <w:t>）</w:t>
      </w:r>
      <w:r>
        <w:rPr>
          <w:kern w:val="0"/>
          <w:sz w:val="24"/>
          <w:szCs w:val="24"/>
          <w:lang w:bidi="ar"/>
        </w:rPr>
        <w:t>一旦发生危险废物泄漏事故，建设单位和处置单位都应积极协助有关部门采取必要的安全措施，减少事故损失，防止事故蔓延、扩大；针对事故对人体、植物、土壤、水源、空气造成的现实危害和可能产生的危害，应迅速采取封闭、撤离、洗消等措施，并对事故造成的危害进行监测、处置，直至符合国家环境 保护标准。</w:t>
      </w:r>
    </w:p>
    <w:p w14:paraId="40E7243A">
      <w:pPr>
        <w:autoSpaceDE w:val="0"/>
        <w:autoSpaceDN w:val="0"/>
        <w:snapToGrid w:val="0"/>
        <w:spacing w:line="500" w:lineRule="exact"/>
        <w:ind w:firstLine="480" w:firstLineChars="200"/>
        <w:rPr>
          <w:kern w:val="0"/>
          <w:sz w:val="24"/>
          <w:szCs w:val="24"/>
          <w:lang w:val="zh-CN" w:bidi="zh-CN"/>
        </w:rPr>
      </w:pPr>
      <w:r>
        <w:rPr>
          <w:kern w:val="0"/>
          <w:sz w:val="24"/>
          <w:szCs w:val="24"/>
          <w:lang w:bidi="zh-CN"/>
        </w:rPr>
        <w:t>综上，</w:t>
      </w:r>
      <w:r>
        <w:rPr>
          <w:kern w:val="0"/>
          <w:sz w:val="24"/>
          <w:szCs w:val="24"/>
          <w:lang w:val="zh-CN" w:bidi="zh-CN"/>
        </w:rPr>
        <w:t>运营期拟采取的固体废物处置措施合理可行，</w:t>
      </w:r>
      <w:r>
        <w:rPr>
          <w:kern w:val="0"/>
          <w:sz w:val="24"/>
          <w:szCs w:val="24"/>
          <w:lang w:bidi="zh-CN"/>
        </w:rPr>
        <w:t>固体废物</w:t>
      </w:r>
      <w:r>
        <w:rPr>
          <w:kern w:val="0"/>
          <w:sz w:val="24"/>
          <w:szCs w:val="24"/>
          <w:lang w:val="zh-CN" w:bidi="zh-CN"/>
        </w:rPr>
        <w:t>处置率可达100%，处置费用约为</w:t>
      </w:r>
      <w:r>
        <w:rPr>
          <w:rFonts w:hint="eastAsia"/>
          <w:kern w:val="0"/>
          <w:sz w:val="24"/>
          <w:szCs w:val="24"/>
          <w:lang w:bidi="zh-CN"/>
        </w:rPr>
        <w:t>2.5</w:t>
      </w:r>
      <w:r>
        <w:rPr>
          <w:kern w:val="0"/>
          <w:sz w:val="24"/>
          <w:szCs w:val="24"/>
          <w:lang w:val="zh-CN" w:bidi="zh-CN"/>
        </w:rPr>
        <w:t>万元，占总投资比例较低，因此固废处置措施从技术、经济上来讲是可行的。</w:t>
      </w:r>
    </w:p>
    <w:p w14:paraId="3FC70E12">
      <w:pPr>
        <w:pStyle w:val="4"/>
        <w:autoSpaceDE w:val="0"/>
        <w:autoSpaceDN w:val="0"/>
        <w:spacing w:before="0" w:after="0" w:line="360" w:lineRule="auto"/>
        <w:jc w:val="left"/>
        <w:rPr>
          <w:kern w:val="0"/>
          <w:sz w:val="24"/>
          <w:lang w:val="en-US" w:bidi="zh-CN"/>
        </w:rPr>
      </w:pPr>
      <w:r>
        <w:rPr>
          <w:rFonts w:hint="eastAsia"/>
          <w:kern w:val="0"/>
          <w:sz w:val="24"/>
          <w:lang w:val="en-US" w:bidi="zh-CN"/>
        </w:rPr>
        <w:t>6.2.5土壤环境保护措施</w:t>
      </w:r>
    </w:p>
    <w:p w14:paraId="5273AFB7">
      <w:pPr>
        <w:widowControl/>
        <w:spacing w:line="360" w:lineRule="auto"/>
        <w:ind w:firstLine="480" w:firstLineChars="200"/>
        <w:jc w:val="left"/>
        <w:rPr>
          <w:color w:val="000000"/>
          <w:kern w:val="0"/>
          <w:sz w:val="24"/>
          <w:szCs w:val="24"/>
        </w:rPr>
      </w:pPr>
      <w:r>
        <w:rPr>
          <w:color w:val="000000"/>
          <w:kern w:val="0"/>
          <w:sz w:val="24"/>
          <w:szCs w:val="24"/>
        </w:rPr>
        <w:t>本项目占地范围内的土壤环境质量无超标点位。可能产生影响的途径为</w:t>
      </w:r>
      <w:r>
        <w:rPr>
          <w:rFonts w:hint="eastAsia"/>
          <w:bCs/>
          <w:color w:val="000000"/>
          <w:kern w:val="0"/>
          <w:sz w:val="24"/>
          <w:szCs w:val="24"/>
        </w:rPr>
        <w:t>生产废水、废润滑油通过垂直下渗的形式渗入项目区土壤</w:t>
      </w:r>
      <w:r>
        <w:rPr>
          <w:rFonts w:hint="eastAsia"/>
          <w:color w:val="000000"/>
          <w:kern w:val="0"/>
          <w:sz w:val="24"/>
          <w:szCs w:val="24"/>
        </w:rPr>
        <w:t>。</w:t>
      </w:r>
      <w:r>
        <w:rPr>
          <w:color w:val="000000"/>
          <w:kern w:val="0"/>
          <w:sz w:val="24"/>
          <w:szCs w:val="24"/>
        </w:rPr>
        <w:t>需要做防渗的区域均应按相关标准进行设计、施工并做好防渗措施，能有效降低对土壤的污染影响。</w:t>
      </w:r>
    </w:p>
    <w:p w14:paraId="3B28DDE4">
      <w:pPr>
        <w:widowControl/>
        <w:spacing w:line="360" w:lineRule="auto"/>
        <w:ind w:firstLine="480" w:firstLineChars="200"/>
        <w:jc w:val="left"/>
        <w:rPr>
          <w:color w:val="000000"/>
          <w:kern w:val="0"/>
          <w:sz w:val="24"/>
          <w:szCs w:val="24"/>
        </w:rPr>
      </w:pPr>
      <w:r>
        <w:rPr>
          <w:color w:val="000000"/>
          <w:kern w:val="0"/>
          <w:sz w:val="24"/>
          <w:szCs w:val="24"/>
        </w:rPr>
        <w:t>此外，建设单位在项目运行期还应充分重视其自身环保行为，从源头控制、过程防控方面进一步加强对土壤环境的保护措施。</w:t>
      </w:r>
    </w:p>
    <w:p w14:paraId="29D54893">
      <w:pPr>
        <w:widowControl/>
        <w:spacing w:line="360" w:lineRule="auto"/>
        <w:ind w:firstLine="480" w:firstLineChars="200"/>
        <w:jc w:val="left"/>
        <w:rPr>
          <w:color w:val="000000"/>
          <w:kern w:val="0"/>
          <w:sz w:val="24"/>
          <w:szCs w:val="24"/>
        </w:rPr>
      </w:pPr>
      <w:r>
        <w:rPr>
          <w:color w:val="000000"/>
          <w:kern w:val="0"/>
          <w:sz w:val="24"/>
          <w:szCs w:val="24"/>
        </w:rPr>
        <w:t>源头控制：</w:t>
      </w:r>
      <w:r>
        <w:rPr>
          <w:rStyle w:val="244"/>
          <w:color w:val="000000"/>
          <w:kern w:val="0"/>
          <w:sz w:val="24"/>
        </w:rPr>
        <w:t>建设单位应建立环境管理制度，对</w:t>
      </w:r>
      <w:r>
        <w:rPr>
          <w:rStyle w:val="244"/>
          <w:rFonts w:hint="eastAsia"/>
          <w:color w:val="000000"/>
          <w:kern w:val="0"/>
          <w:sz w:val="24"/>
        </w:rPr>
        <w:t>危险废物贮存</w:t>
      </w:r>
      <w:r>
        <w:rPr>
          <w:rStyle w:val="244"/>
          <w:color w:val="000000"/>
          <w:kern w:val="0"/>
          <w:sz w:val="24"/>
        </w:rPr>
        <w:t>严格管理</w:t>
      </w:r>
      <w:r>
        <w:rPr>
          <w:rStyle w:val="244"/>
          <w:rFonts w:hint="eastAsia"/>
          <w:color w:val="000000"/>
          <w:kern w:val="0"/>
          <w:sz w:val="24"/>
        </w:rPr>
        <w:t>，</w:t>
      </w:r>
      <w:r>
        <w:rPr>
          <w:rStyle w:val="244"/>
          <w:color w:val="000000"/>
          <w:kern w:val="0"/>
          <w:sz w:val="24"/>
        </w:rPr>
        <w:t>定期巡检，以及时</w:t>
      </w:r>
      <w:r>
        <w:rPr>
          <w:rStyle w:val="244"/>
          <w:rFonts w:hint="eastAsia"/>
          <w:color w:val="000000"/>
          <w:kern w:val="0"/>
          <w:sz w:val="24"/>
        </w:rPr>
        <w:t>发现</w:t>
      </w:r>
      <w:r>
        <w:rPr>
          <w:rStyle w:val="244"/>
          <w:rFonts w:hint="eastAsia"/>
          <w:color w:val="000000"/>
          <w:kern w:val="0"/>
          <w:sz w:val="24"/>
          <w:lang w:eastAsia="zh-CN"/>
        </w:rPr>
        <w:t>防渗</w:t>
      </w:r>
      <w:r>
        <w:rPr>
          <w:rFonts w:hint="eastAsia"/>
          <w:color w:val="000000"/>
          <w:sz w:val="24"/>
          <w:szCs w:val="24"/>
          <w:lang w:val="en-US" w:eastAsia="zh-CN"/>
        </w:rPr>
        <w:t>化粪池</w:t>
      </w:r>
      <w:r>
        <w:rPr>
          <w:rStyle w:val="244"/>
          <w:color w:val="000000"/>
          <w:kern w:val="0"/>
          <w:sz w:val="24"/>
        </w:rPr>
        <w:t>、排水管网</w:t>
      </w:r>
      <w:r>
        <w:rPr>
          <w:rStyle w:val="244"/>
          <w:rFonts w:hint="eastAsia"/>
          <w:color w:val="000000"/>
          <w:kern w:val="0"/>
          <w:sz w:val="24"/>
        </w:rPr>
        <w:t>、危废贮存点的</w:t>
      </w:r>
      <w:r>
        <w:rPr>
          <w:rStyle w:val="244"/>
          <w:color w:val="000000"/>
          <w:kern w:val="0"/>
          <w:sz w:val="24"/>
        </w:rPr>
        <w:t>跑、冒、滴漏现象</w:t>
      </w:r>
      <w:r>
        <w:rPr>
          <w:rStyle w:val="244"/>
          <w:rFonts w:hint="eastAsia"/>
          <w:color w:val="000000"/>
          <w:kern w:val="0"/>
          <w:sz w:val="24"/>
        </w:rPr>
        <w:t>并</w:t>
      </w:r>
      <w:r>
        <w:rPr>
          <w:rStyle w:val="244"/>
          <w:color w:val="000000"/>
          <w:kern w:val="0"/>
          <w:sz w:val="24"/>
        </w:rPr>
        <w:t>采取防治措施</w:t>
      </w:r>
      <w:r>
        <w:rPr>
          <w:rStyle w:val="244"/>
          <w:rFonts w:hint="eastAsia"/>
          <w:color w:val="000000"/>
          <w:kern w:val="0"/>
          <w:sz w:val="24"/>
        </w:rPr>
        <w:t>，</w:t>
      </w:r>
      <w:r>
        <w:rPr>
          <w:rStyle w:val="244"/>
          <w:color w:val="000000"/>
          <w:kern w:val="0"/>
          <w:sz w:val="24"/>
        </w:rPr>
        <w:t>定期对</w:t>
      </w:r>
      <w:r>
        <w:rPr>
          <w:rStyle w:val="244"/>
          <w:rFonts w:hint="eastAsia"/>
          <w:color w:val="000000"/>
          <w:kern w:val="0"/>
          <w:sz w:val="24"/>
          <w:lang w:eastAsia="zh-CN"/>
        </w:rPr>
        <w:t>防渗</w:t>
      </w:r>
      <w:r>
        <w:rPr>
          <w:rFonts w:hint="eastAsia"/>
          <w:color w:val="000000"/>
          <w:sz w:val="24"/>
          <w:szCs w:val="24"/>
          <w:lang w:val="en-US" w:eastAsia="zh-CN"/>
        </w:rPr>
        <w:t>化粪池</w:t>
      </w:r>
      <w:r>
        <w:rPr>
          <w:rStyle w:val="244"/>
          <w:color w:val="000000"/>
          <w:kern w:val="0"/>
          <w:sz w:val="24"/>
        </w:rPr>
        <w:t>进行维护</w:t>
      </w:r>
      <w:r>
        <w:rPr>
          <w:rStyle w:val="244"/>
          <w:rFonts w:hint="eastAsia"/>
          <w:color w:val="000000"/>
          <w:kern w:val="0"/>
          <w:sz w:val="24"/>
        </w:rPr>
        <w:t>。以此</w:t>
      </w:r>
      <w:r>
        <w:rPr>
          <w:color w:val="000000"/>
          <w:kern w:val="0"/>
          <w:sz w:val="24"/>
          <w:szCs w:val="24"/>
        </w:rPr>
        <w:t>降低物质泄漏和污染土壤环境的隐患。</w:t>
      </w:r>
    </w:p>
    <w:p w14:paraId="764DF396">
      <w:pPr>
        <w:widowControl/>
        <w:spacing w:line="360" w:lineRule="auto"/>
        <w:ind w:firstLine="480" w:firstLineChars="200"/>
        <w:jc w:val="left"/>
        <w:rPr>
          <w:color w:val="000000"/>
          <w:kern w:val="0"/>
          <w:sz w:val="24"/>
          <w:szCs w:val="24"/>
        </w:rPr>
      </w:pPr>
      <w:r>
        <w:rPr>
          <w:color w:val="000000"/>
          <w:kern w:val="0"/>
          <w:sz w:val="24"/>
          <w:szCs w:val="24"/>
        </w:rPr>
        <w:t>过程防控：根据分区防渗原则，厂区内</w:t>
      </w:r>
      <w:r>
        <w:rPr>
          <w:rFonts w:hint="eastAsia"/>
          <w:color w:val="000000"/>
          <w:kern w:val="0"/>
          <w:sz w:val="24"/>
          <w:szCs w:val="24"/>
        </w:rPr>
        <w:t>地</w:t>
      </w:r>
      <w:r>
        <w:rPr>
          <w:color w:val="000000"/>
          <w:kern w:val="0"/>
          <w:sz w:val="24"/>
          <w:szCs w:val="24"/>
        </w:rPr>
        <w:t>面通过分区防渗和严格管理，</w:t>
      </w:r>
      <w:r>
        <w:rPr>
          <w:rStyle w:val="244"/>
          <w:color w:val="000000"/>
          <w:kern w:val="0"/>
          <w:sz w:val="24"/>
        </w:rPr>
        <w:t>严格按照相关要求对简单防渗区、一般防渗区、重点防渗区采取防渗措施</w:t>
      </w:r>
      <w:r>
        <w:rPr>
          <w:rStyle w:val="244"/>
          <w:rFonts w:hint="eastAsia"/>
          <w:color w:val="000000"/>
          <w:kern w:val="0"/>
          <w:sz w:val="24"/>
        </w:rPr>
        <w:t>。</w:t>
      </w:r>
      <w:r>
        <w:rPr>
          <w:color w:val="000000"/>
          <w:kern w:val="0"/>
          <w:sz w:val="24"/>
          <w:szCs w:val="24"/>
        </w:rPr>
        <w:t>地面防渗措施</w:t>
      </w:r>
      <w:r>
        <w:rPr>
          <w:rFonts w:hint="eastAsia"/>
          <w:color w:val="000000"/>
          <w:kern w:val="0"/>
          <w:sz w:val="24"/>
          <w:szCs w:val="24"/>
        </w:rPr>
        <w:t>应</w:t>
      </w:r>
      <w:r>
        <w:rPr>
          <w:color w:val="000000"/>
          <w:kern w:val="0"/>
          <w:sz w:val="24"/>
          <w:szCs w:val="24"/>
        </w:rPr>
        <w:t>满足《环境影响评价技术导则</w:t>
      </w:r>
      <w:r>
        <w:rPr>
          <w:rFonts w:hint="eastAsia"/>
          <w:color w:val="000000"/>
          <w:kern w:val="0"/>
          <w:sz w:val="24"/>
          <w:szCs w:val="24"/>
        </w:rPr>
        <w:t xml:space="preserve">  </w:t>
      </w:r>
      <w:r>
        <w:rPr>
          <w:color w:val="000000"/>
          <w:kern w:val="0"/>
          <w:sz w:val="24"/>
          <w:szCs w:val="24"/>
        </w:rPr>
        <w:t>地下水环境》（HJ610-2016</w:t>
      </w:r>
      <w:r>
        <w:rPr>
          <w:rFonts w:hint="eastAsia"/>
          <w:color w:val="000000"/>
          <w:kern w:val="0"/>
          <w:sz w:val="24"/>
          <w:szCs w:val="24"/>
        </w:rPr>
        <w:t>）、</w:t>
      </w:r>
      <w:r>
        <w:rPr>
          <w:color w:val="000000"/>
          <w:kern w:val="0"/>
          <w:sz w:val="24"/>
          <w:szCs w:val="24"/>
        </w:rPr>
        <w:t>《危险废物贮存污染控制标准》（GB18597—2023）</w:t>
      </w:r>
      <w:r>
        <w:rPr>
          <w:rFonts w:hint="eastAsia"/>
          <w:color w:val="000000"/>
          <w:kern w:val="0"/>
          <w:sz w:val="24"/>
          <w:szCs w:val="24"/>
        </w:rPr>
        <w:t>、《地下水污染源防渗技术指南（试行）</w:t>
      </w:r>
      <w:r>
        <w:rPr>
          <w:rFonts w:hint="eastAsia"/>
          <w:color w:val="000000"/>
          <w:kern w:val="0"/>
          <w:sz w:val="24"/>
          <w:szCs w:val="24"/>
          <w:lang w:eastAsia="zh-CN"/>
        </w:rPr>
        <w:t>》《</w:t>
      </w:r>
      <w:r>
        <w:rPr>
          <w:rFonts w:hint="eastAsia"/>
          <w:color w:val="000000"/>
          <w:kern w:val="0"/>
          <w:sz w:val="24"/>
          <w:szCs w:val="24"/>
        </w:rPr>
        <w:t>一般工业固体废物贮存和填埋污染控制标准》（GB18599-2020）等</w:t>
      </w:r>
      <w:r>
        <w:rPr>
          <w:color w:val="000000"/>
          <w:kern w:val="0"/>
          <w:sz w:val="24"/>
          <w:szCs w:val="24"/>
        </w:rPr>
        <w:t>规定的防渗要求。</w:t>
      </w:r>
    </w:p>
    <w:p w14:paraId="2786A693">
      <w:pPr>
        <w:widowControl/>
        <w:spacing w:line="360" w:lineRule="auto"/>
        <w:ind w:firstLine="480" w:firstLineChars="200"/>
        <w:jc w:val="left"/>
        <w:rPr>
          <w:rFonts w:hint="eastAsia"/>
          <w:color w:val="000000"/>
          <w:kern w:val="0"/>
          <w:sz w:val="24"/>
          <w:szCs w:val="24"/>
        </w:rPr>
      </w:pPr>
      <w:r>
        <w:rPr>
          <w:rFonts w:hint="eastAsia"/>
          <w:color w:val="000000"/>
          <w:kern w:val="0"/>
          <w:sz w:val="24"/>
          <w:szCs w:val="24"/>
        </w:rPr>
        <w:t>项目严格按照本环评提出的土壤环境污染防治措施后，对厂区及周围土壤环境影响较小。</w:t>
      </w:r>
    </w:p>
    <w:p w14:paraId="19348CEC">
      <w:pPr>
        <w:pStyle w:val="13"/>
        <w:rPr>
          <w:rFonts w:hint="eastAsia"/>
          <w:color w:val="000000"/>
          <w:kern w:val="0"/>
          <w:sz w:val="24"/>
          <w:szCs w:val="24"/>
        </w:rPr>
      </w:pPr>
    </w:p>
    <w:p w14:paraId="3EC54971">
      <w:pPr>
        <w:pStyle w:val="14"/>
        <w:rPr>
          <w:rFonts w:hint="eastAsia"/>
          <w:color w:val="000000"/>
          <w:kern w:val="0"/>
          <w:sz w:val="24"/>
          <w:szCs w:val="24"/>
        </w:rPr>
      </w:pPr>
    </w:p>
    <w:p w14:paraId="2E7F12A0">
      <w:pPr>
        <w:pStyle w:val="15"/>
        <w:rPr>
          <w:rFonts w:hint="eastAsia"/>
          <w:color w:val="000000"/>
          <w:kern w:val="0"/>
          <w:sz w:val="24"/>
          <w:szCs w:val="24"/>
        </w:rPr>
      </w:pPr>
    </w:p>
    <w:p w14:paraId="15CD2E4B">
      <w:pPr>
        <w:rPr>
          <w:rFonts w:hint="eastAsia"/>
          <w:color w:val="000000"/>
          <w:kern w:val="0"/>
          <w:sz w:val="24"/>
          <w:szCs w:val="24"/>
        </w:rPr>
      </w:pPr>
    </w:p>
    <w:p w14:paraId="4DE390A4">
      <w:pPr>
        <w:pStyle w:val="13"/>
        <w:rPr>
          <w:rFonts w:hint="eastAsia"/>
          <w:color w:val="000000"/>
          <w:kern w:val="0"/>
          <w:sz w:val="24"/>
          <w:szCs w:val="24"/>
        </w:rPr>
      </w:pPr>
    </w:p>
    <w:p w14:paraId="1D26F393">
      <w:pPr>
        <w:pStyle w:val="14"/>
        <w:rPr>
          <w:rFonts w:hint="eastAsia"/>
          <w:color w:val="000000"/>
          <w:kern w:val="0"/>
          <w:sz w:val="24"/>
          <w:szCs w:val="24"/>
        </w:rPr>
      </w:pPr>
    </w:p>
    <w:p w14:paraId="7541C55C">
      <w:pPr>
        <w:pStyle w:val="15"/>
        <w:rPr>
          <w:rFonts w:hint="eastAsia"/>
          <w:color w:val="000000"/>
          <w:kern w:val="0"/>
          <w:sz w:val="24"/>
          <w:szCs w:val="24"/>
        </w:rPr>
      </w:pPr>
    </w:p>
    <w:p w14:paraId="75E1CF55">
      <w:pPr>
        <w:rPr>
          <w:rFonts w:hint="eastAsia"/>
          <w:color w:val="000000"/>
          <w:kern w:val="0"/>
          <w:sz w:val="24"/>
          <w:szCs w:val="24"/>
        </w:rPr>
      </w:pPr>
    </w:p>
    <w:p w14:paraId="00B95A18">
      <w:pPr>
        <w:pStyle w:val="13"/>
        <w:rPr>
          <w:rFonts w:hint="eastAsia"/>
          <w:color w:val="000000"/>
          <w:kern w:val="0"/>
          <w:sz w:val="24"/>
          <w:szCs w:val="24"/>
        </w:rPr>
      </w:pPr>
    </w:p>
    <w:p w14:paraId="4F9D1C1A">
      <w:pPr>
        <w:pStyle w:val="14"/>
        <w:rPr>
          <w:rFonts w:hint="eastAsia"/>
          <w:color w:val="000000"/>
          <w:kern w:val="0"/>
          <w:sz w:val="24"/>
          <w:szCs w:val="24"/>
        </w:rPr>
      </w:pPr>
    </w:p>
    <w:p w14:paraId="41878744">
      <w:pPr>
        <w:pStyle w:val="15"/>
        <w:rPr>
          <w:rFonts w:hint="eastAsia"/>
          <w:color w:val="000000"/>
          <w:kern w:val="0"/>
          <w:sz w:val="24"/>
          <w:szCs w:val="24"/>
        </w:rPr>
      </w:pPr>
    </w:p>
    <w:p w14:paraId="368D9B86">
      <w:pPr>
        <w:rPr>
          <w:rFonts w:hint="eastAsia"/>
          <w:color w:val="000000"/>
          <w:kern w:val="0"/>
          <w:sz w:val="24"/>
          <w:szCs w:val="24"/>
        </w:rPr>
      </w:pPr>
    </w:p>
    <w:p w14:paraId="7EBE3B14">
      <w:pPr>
        <w:pStyle w:val="13"/>
      </w:pPr>
    </w:p>
    <w:bookmarkEnd w:id="389"/>
    <w:bookmarkEnd w:id="390"/>
    <w:p w14:paraId="676C8D9C">
      <w:pPr>
        <w:pStyle w:val="2"/>
        <w:spacing w:before="0" w:beforeAutospacing="0" w:after="0" w:afterAutospacing="0" w:line="360" w:lineRule="auto"/>
        <w:rPr>
          <w:kern w:val="0"/>
          <w:sz w:val="28"/>
          <w:szCs w:val="28"/>
          <w:lang w:val="en-US" w:bidi="zh-CN"/>
        </w:rPr>
      </w:pPr>
      <w:bookmarkStart w:id="391" w:name="_Toc19514"/>
      <w:r>
        <w:fldChar w:fldCharType="begin"/>
      </w:r>
      <w:r>
        <w:instrText xml:space="preserve"> HYPERLINK \l "_Toc203819476" </w:instrText>
      </w:r>
      <w:r>
        <w:fldChar w:fldCharType="separate"/>
      </w:r>
      <w:bookmarkStart w:id="392" w:name="_Toc363049993"/>
      <w:bookmarkStart w:id="393" w:name="_Toc313458908"/>
      <w:bookmarkStart w:id="394" w:name="_Toc327921217"/>
      <w:bookmarkStart w:id="395" w:name="_Toc332727855"/>
      <w:bookmarkStart w:id="396" w:name="_Toc313964742"/>
      <w:r>
        <w:rPr>
          <w:rFonts w:hint="eastAsia"/>
          <w:kern w:val="0"/>
          <w:sz w:val="28"/>
          <w:szCs w:val="28"/>
          <w:lang w:val="en-US" w:bidi="zh-CN"/>
        </w:rPr>
        <w:t>7</w:t>
      </w:r>
      <w:bookmarkStart w:id="397" w:name="_Toc27472"/>
      <w:bookmarkStart w:id="398" w:name="_Toc12426"/>
      <w:bookmarkStart w:id="399" w:name="_Toc12693"/>
      <w:r>
        <w:rPr>
          <w:rFonts w:hint="eastAsia"/>
          <w:kern w:val="0"/>
          <w:sz w:val="28"/>
          <w:szCs w:val="28"/>
          <w:lang w:val="en-US" w:bidi="zh-CN"/>
        </w:rPr>
        <w:t>碳排放影响评价</w:t>
      </w:r>
      <w:bookmarkEnd w:id="391"/>
      <w:bookmarkEnd w:id="397"/>
      <w:bookmarkEnd w:id="398"/>
      <w:bookmarkEnd w:id="399"/>
    </w:p>
    <w:p w14:paraId="4A818678">
      <w:pPr>
        <w:pStyle w:val="255"/>
        <w:spacing w:line="360" w:lineRule="auto"/>
        <w:rPr>
          <w:rFonts w:hint="eastAsia" w:hAnsi="宋体" w:cs="宋体"/>
        </w:rPr>
      </w:pPr>
      <w:r>
        <w:rPr>
          <w:rFonts w:hint="eastAsia"/>
          <w:kern w:val="0"/>
        </w:rPr>
        <w:t>根据生态环境部《关于统筹和加强应对气候变化与生态保护相关工作的指导意见》（环综合〔2021〕4号）要求，将气候变化纳入环境影响评价。根据《</w:t>
      </w:r>
      <w:r>
        <w:rPr>
          <w:rFonts w:hint="eastAsia"/>
          <w:kern w:val="0"/>
          <w:lang w:eastAsia="zh-CN"/>
        </w:rPr>
        <w:t>中共中央、国务院</w:t>
      </w:r>
      <w:r>
        <w:rPr>
          <w:rFonts w:hint="eastAsia"/>
          <w:kern w:val="0"/>
        </w:rPr>
        <w:t>关于完整准确全面贯彻新发展理念做好碳达峰碳中和工作的意见</w:t>
      </w:r>
      <w:r>
        <w:rPr>
          <w:rFonts w:hint="eastAsia"/>
          <w:kern w:val="0"/>
          <w:lang w:eastAsia="zh-CN"/>
        </w:rPr>
        <w:t>》《</w:t>
      </w:r>
      <w:r>
        <w:rPr>
          <w:rFonts w:hint="eastAsia"/>
          <w:kern w:val="0"/>
        </w:rPr>
        <w:t>关于加快建立健全绿色低碳循环发展经济体系的指导意见</w:t>
      </w:r>
      <w:r>
        <w:rPr>
          <w:rFonts w:hint="eastAsia"/>
          <w:kern w:val="0"/>
          <w:lang w:eastAsia="zh-CN"/>
        </w:rPr>
        <w:t>》《</w:t>
      </w:r>
      <w:r>
        <w:rPr>
          <w:rFonts w:hint="eastAsia"/>
          <w:kern w:val="0"/>
        </w:rPr>
        <w:t>中国化工生产企业温室气体排放核算方法与报告指南（试行）</w:t>
      </w:r>
      <w:r>
        <w:rPr>
          <w:rFonts w:hint="eastAsia"/>
          <w:kern w:val="0"/>
          <w:lang w:eastAsia="zh-CN"/>
        </w:rPr>
        <w:t>》《</w:t>
      </w:r>
      <w:r>
        <w:rPr>
          <w:rFonts w:hint="eastAsia"/>
          <w:kern w:val="0"/>
        </w:rPr>
        <w:t>重点行业建设项目碳排放环境影响评价试点技术指南（试行）》，本项目不属于火电、钢铁、石化、化工、有色金属冶炼、建材、化纤、造纸、印染等重点行业，涉及碳排放核算环节主要为能源——电的消耗，因此参考重点行业中能源电消耗碳排放核算方法计算本项目实施后全厂碳排放量及碳排放强度，提出整合项目碳减排建议，并分析整合项目减污降碳措施可行性及碳排放水平。</w:t>
      </w:r>
    </w:p>
    <w:p w14:paraId="6610798A">
      <w:pPr>
        <w:pStyle w:val="3"/>
        <w:keepNext w:val="0"/>
        <w:keepLines w:val="0"/>
        <w:autoSpaceDE w:val="0"/>
        <w:autoSpaceDN w:val="0"/>
        <w:spacing w:before="0" w:after="0" w:line="360" w:lineRule="auto"/>
        <w:jc w:val="left"/>
        <w:rPr>
          <w:rFonts w:ascii="Times New Roman" w:hAnsi="Times New Roman" w:eastAsia="宋体"/>
          <w:kern w:val="0"/>
          <w:sz w:val="24"/>
          <w:szCs w:val="30"/>
          <w:lang w:val="en-US" w:bidi="zh-CN"/>
        </w:rPr>
      </w:pPr>
      <w:bookmarkStart w:id="400" w:name="_Toc18604"/>
      <w:bookmarkStart w:id="401" w:name="_Toc24901"/>
      <w:bookmarkStart w:id="402" w:name="_Toc4173"/>
      <w:bookmarkStart w:id="403" w:name="_Toc16170"/>
      <w:bookmarkStart w:id="404" w:name="_Toc96333524"/>
      <w:r>
        <w:rPr>
          <w:rFonts w:hint="eastAsia" w:ascii="Times New Roman" w:hAnsi="Times New Roman" w:eastAsia="宋体"/>
          <w:kern w:val="0"/>
          <w:sz w:val="24"/>
          <w:szCs w:val="30"/>
          <w:lang w:val="en-US" w:bidi="zh-CN"/>
        </w:rPr>
        <w:t>7.1碳排放分析</w:t>
      </w:r>
      <w:bookmarkEnd w:id="400"/>
      <w:bookmarkEnd w:id="401"/>
      <w:bookmarkEnd w:id="402"/>
      <w:bookmarkEnd w:id="403"/>
      <w:bookmarkEnd w:id="404"/>
    </w:p>
    <w:p w14:paraId="21139C12">
      <w:pPr>
        <w:pStyle w:val="4"/>
        <w:autoSpaceDE w:val="0"/>
        <w:autoSpaceDN w:val="0"/>
        <w:spacing w:before="0" w:after="0" w:line="360" w:lineRule="auto"/>
        <w:jc w:val="left"/>
        <w:rPr>
          <w:kern w:val="0"/>
          <w:sz w:val="24"/>
          <w:lang w:val="en-US" w:bidi="zh-CN"/>
        </w:rPr>
      </w:pPr>
      <w:bookmarkStart w:id="405" w:name="_Toc16487"/>
      <w:r>
        <w:rPr>
          <w:rFonts w:hint="eastAsia"/>
          <w:kern w:val="0"/>
          <w:sz w:val="24"/>
          <w:lang w:val="en-US" w:bidi="zh-CN"/>
        </w:rPr>
        <w:t>7.1.1编制依据</w:t>
      </w:r>
      <w:bookmarkEnd w:id="405"/>
    </w:p>
    <w:p w14:paraId="08571876">
      <w:pPr>
        <w:pStyle w:val="5"/>
        <w:rPr>
          <w:rFonts w:ascii="Times New Roman" w:hAnsi="Times New Roman"/>
          <w:color w:val="000000"/>
          <w:lang w:val="en-US"/>
        </w:rPr>
      </w:pPr>
      <w:r>
        <w:rPr>
          <w:rFonts w:hint="eastAsia" w:ascii="Times New Roman" w:hAnsi="Times New Roman"/>
          <w:color w:val="000000"/>
          <w:lang w:val="en-US"/>
        </w:rPr>
        <w:t>7.1.1.1政策文件</w:t>
      </w:r>
    </w:p>
    <w:p w14:paraId="10522A02">
      <w:pPr>
        <w:spacing w:line="360" w:lineRule="auto"/>
        <w:ind w:firstLine="480" w:firstLineChars="200"/>
        <w:rPr>
          <w:color w:val="000000"/>
          <w:sz w:val="24"/>
        </w:rPr>
      </w:pPr>
      <w:r>
        <w:rPr>
          <w:rFonts w:hint="eastAsia"/>
          <w:color w:val="000000"/>
          <w:sz w:val="24"/>
        </w:rPr>
        <w:t>（1）《中共中央 国务院关于完整准确全面贯彻新发展理念做好碳达峰碳中和工作的意见》，2021年9月22日；</w:t>
      </w:r>
    </w:p>
    <w:p w14:paraId="3B22389D">
      <w:pPr>
        <w:spacing w:line="360" w:lineRule="auto"/>
        <w:ind w:firstLine="480" w:firstLineChars="200"/>
        <w:rPr>
          <w:color w:val="000000"/>
          <w:sz w:val="24"/>
        </w:rPr>
      </w:pPr>
      <w:r>
        <w:rPr>
          <w:rFonts w:hint="eastAsia"/>
          <w:color w:val="000000"/>
          <w:sz w:val="24"/>
        </w:rPr>
        <w:t>（2）《2030年前碳达峰行动方案》国务院国发〔2021〕23号，2021年10月24日；</w:t>
      </w:r>
    </w:p>
    <w:p w14:paraId="2AE2A71E">
      <w:pPr>
        <w:spacing w:line="360" w:lineRule="auto"/>
        <w:ind w:firstLine="480" w:firstLineChars="200"/>
        <w:rPr>
          <w:color w:val="000000"/>
          <w:sz w:val="24"/>
        </w:rPr>
      </w:pPr>
      <w:r>
        <w:rPr>
          <w:rFonts w:hint="eastAsia"/>
          <w:color w:val="000000"/>
          <w:sz w:val="24"/>
        </w:rPr>
        <w:t>（3）《关于严格能效约束推动重点领域节能降碳的若干意见》，</w:t>
      </w:r>
      <w:r>
        <w:rPr>
          <w:rFonts w:hint="eastAsia"/>
          <w:color w:val="000000"/>
          <w:sz w:val="24"/>
          <w:lang w:eastAsia="zh-CN"/>
        </w:rPr>
        <w:t>国家发展改革委</w:t>
      </w:r>
      <w:r>
        <w:rPr>
          <w:rFonts w:hint="eastAsia"/>
          <w:color w:val="000000"/>
          <w:sz w:val="24"/>
        </w:rPr>
        <w:t>等五部门，发改产业〔2021〕1464号，2021年10月18日；</w:t>
      </w:r>
    </w:p>
    <w:p w14:paraId="5431F9B2">
      <w:pPr>
        <w:spacing w:line="360" w:lineRule="auto"/>
        <w:ind w:firstLine="480" w:firstLineChars="200"/>
        <w:rPr>
          <w:color w:val="000000"/>
          <w:sz w:val="24"/>
        </w:rPr>
      </w:pPr>
      <w:r>
        <w:rPr>
          <w:rFonts w:hint="eastAsia"/>
          <w:color w:val="000000"/>
          <w:sz w:val="24"/>
        </w:rPr>
        <w:t>（4）国务院《“十三五”控制温室气体排放工作方案》，国发〔2016〕61号，2016年10月27日；</w:t>
      </w:r>
    </w:p>
    <w:p w14:paraId="1C450CAA">
      <w:pPr>
        <w:spacing w:line="360" w:lineRule="auto"/>
        <w:ind w:firstLine="480" w:firstLineChars="200"/>
        <w:rPr>
          <w:color w:val="000000"/>
          <w:sz w:val="24"/>
        </w:rPr>
      </w:pPr>
      <w:r>
        <w:rPr>
          <w:rFonts w:hint="eastAsia"/>
          <w:color w:val="000000"/>
          <w:sz w:val="24"/>
        </w:rPr>
        <w:t>（5）《碳排放权交易管理办法（试行）》，生态环境部令第19号，2020年12月31日；</w:t>
      </w:r>
    </w:p>
    <w:p w14:paraId="200397EC">
      <w:pPr>
        <w:spacing w:line="360" w:lineRule="auto"/>
        <w:ind w:firstLine="480" w:firstLineChars="200"/>
        <w:rPr>
          <w:color w:val="000000"/>
          <w:sz w:val="24"/>
        </w:rPr>
      </w:pPr>
      <w:r>
        <w:rPr>
          <w:rFonts w:hint="eastAsia"/>
          <w:color w:val="000000"/>
          <w:sz w:val="24"/>
        </w:rPr>
        <w:t>（6）国务院《关于加快建立健全绿色低碳循环发展经济体系的指导意见》，国发〔2021〕4号，</w:t>
      </w:r>
      <w:r>
        <w:rPr>
          <w:rFonts w:hint="eastAsia"/>
          <w:color w:val="000000"/>
          <w:sz w:val="24"/>
          <w:lang w:eastAsia="zh-CN"/>
        </w:rPr>
        <w:t>2021年2月22日</w:t>
      </w:r>
      <w:r>
        <w:rPr>
          <w:rFonts w:hint="eastAsia"/>
          <w:color w:val="000000"/>
          <w:sz w:val="24"/>
        </w:rPr>
        <w:t>；</w:t>
      </w:r>
    </w:p>
    <w:p w14:paraId="44E7FB1F">
      <w:pPr>
        <w:spacing w:line="360" w:lineRule="auto"/>
        <w:ind w:firstLine="480" w:firstLineChars="200"/>
        <w:rPr>
          <w:color w:val="000000"/>
          <w:sz w:val="24"/>
        </w:rPr>
      </w:pPr>
      <w:r>
        <w:rPr>
          <w:rFonts w:hint="eastAsia"/>
          <w:color w:val="000000"/>
          <w:sz w:val="24"/>
        </w:rPr>
        <w:t>（7）生态环境部《关于开展重点行业建设项目碳排放环境影响评价试点的通知》，环办环评函〔2021〕346号，2021年7月27日；</w:t>
      </w:r>
    </w:p>
    <w:p w14:paraId="1299AB8E">
      <w:pPr>
        <w:spacing w:line="360" w:lineRule="auto"/>
        <w:ind w:firstLine="480" w:firstLineChars="200"/>
        <w:rPr>
          <w:color w:val="000000"/>
          <w:sz w:val="24"/>
        </w:rPr>
      </w:pPr>
      <w:r>
        <w:rPr>
          <w:rFonts w:hint="eastAsia"/>
          <w:color w:val="000000"/>
          <w:sz w:val="24"/>
        </w:rPr>
        <w:t>（8）生态环境部《环境影响评价与排污许可领域协同推进碳减排工作方案》。</w:t>
      </w:r>
    </w:p>
    <w:p w14:paraId="2C573184">
      <w:pPr>
        <w:pStyle w:val="5"/>
        <w:rPr>
          <w:rFonts w:ascii="Times New Roman" w:hAnsi="Times New Roman"/>
          <w:color w:val="000000"/>
          <w:lang w:val="en-US"/>
        </w:rPr>
      </w:pPr>
      <w:r>
        <w:rPr>
          <w:rFonts w:hint="eastAsia" w:ascii="Times New Roman" w:hAnsi="Times New Roman"/>
          <w:color w:val="000000"/>
          <w:lang w:val="en-US"/>
        </w:rPr>
        <w:t>7.1.1.2编制标准及指南</w:t>
      </w:r>
    </w:p>
    <w:p w14:paraId="28136102">
      <w:pPr>
        <w:pStyle w:val="256"/>
        <w:spacing w:line="360" w:lineRule="auto"/>
        <w:rPr>
          <w:color w:val="000000"/>
          <w:sz w:val="24"/>
          <w:szCs w:val="24"/>
        </w:rPr>
      </w:pPr>
      <w:r>
        <w:rPr>
          <w:color w:val="000000"/>
          <w:sz w:val="24"/>
          <w:szCs w:val="24"/>
        </w:rPr>
        <w:t>（1）环境保护部办公厅《工业企业污染治理设施污染物去除协同控制温室气体核算技术指南（试行）》，环办科技〔2017〕73号，2017年9月4日；</w:t>
      </w:r>
    </w:p>
    <w:p w14:paraId="0A7D4B38">
      <w:pPr>
        <w:pStyle w:val="256"/>
        <w:spacing w:line="360" w:lineRule="auto"/>
        <w:rPr>
          <w:color w:val="000000"/>
          <w:sz w:val="24"/>
          <w:szCs w:val="24"/>
        </w:rPr>
      </w:pPr>
      <w:r>
        <w:rPr>
          <w:color w:val="000000"/>
          <w:sz w:val="24"/>
          <w:szCs w:val="24"/>
        </w:rPr>
        <w:t>（2）生态环境部办公厅《企业温室气体排放报告核查指南（试行）》，环办气候函〔2021〕130号，2021年3月26日；</w:t>
      </w:r>
    </w:p>
    <w:p w14:paraId="03BB4D62">
      <w:pPr>
        <w:pStyle w:val="256"/>
        <w:spacing w:line="360" w:lineRule="auto"/>
        <w:rPr>
          <w:color w:val="000000"/>
          <w:sz w:val="24"/>
          <w:szCs w:val="24"/>
        </w:rPr>
      </w:pPr>
      <w:r>
        <w:rPr>
          <w:color w:val="000000"/>
          <w:sz w:val="24"/>
          <w:szCs w:val="24"/>
        </w:rPr>
        <w:t>（3）《工业企业温室气体排放核算和报告 通则》（GB/T32150-2015）；</w:t>
      </w:r>
    </w:p>
    <w:p w14:paraId="43945842">
      <w:pPr>
        <w:pStyle w:val="256"/>
        <w:spacing w:line="360" w:lineRule="auto"/>
        <w:rPr>
          <w:color w:val="000000"/>
          <w:sz w:val="24"/>
          <w:szCs w:val="24"/>
        </w:rPr>
      </w:pPr>
      <w:r>
        <w:rPr>
          <w:color w:val="000000"/>
          <w:sz w:val="24"/>
          <w:szCs w:val="24"/>
        </w:rPr>
        <w:t>（4）</w:t>
      </w:r>
      <w:r>
        <w:rPr>
          <w:color w:val="000000"/>
          <w:kern w:val="0"/>
          <w:sz w:val="24"/>
          <w:szCs w:val="24"/>
          <w:lang w:bidi="ar"/>
        </w:rPr>
        <w:t>《关于做好2022年企业温室气体排放报告管理相关重点工作的通知》（环办气候函〔2022〕111号）</w:t>
      </w:r>
      <w:r>
        <w:rPr>
          <w:color w:val="000000"/>
          <w:sz w:val="24"/>
          <w:szCs w:val="24"/>
        </w:rPr>
        <w:t>。</w:t>
      </w:r>
    </w:p>
    <w:p w14:paraId="2D0AA389">
      <w:pPr>
        <w:pStyle w:val="4"/>
        <w:autoSpaceDE w:val="0"/>
        <w:autoSpaceDN w:val="0"/>
        <w:spacing w:before="0" w:after="0" w:line="360" w:lineRule="auto"/>
        <w:jc w:val="left"/>
        <w:rPr>
          <w:kern w:val="0"/>
          <w:sz w:val="24"/>
          <w:szCs w:val="30"/>
          <w:lang w:val="en-US" w:bidi="zh-CN"/>
        </w:rPr>
      </w:pPr>
      <w:bookmarkStart w:id="406" w:name="_Toc9629"/>
      <w:bookmarkStart w:id="407" w:name="_Toc273"/>
      <w:r>
        <w:rPr>
          <w:rFonts w:hint="eastAsia"/>
          <w:kern w:val="0"/>
          <w:sz w:val="24"/>
          <w:szCs w:val="30"/>
          <w:lang w:val="en-US" w:bidi="zh-CN"/>
        </w:rPr>
        <w:t>7.1.2评价工作程序</w:t>
      </w:r>
      <w:bookmarkEnd w:id="406"/>
      <w:bookmarkEnd w:id="407"/>
    </w:p>
    <w:p w14:paraId="0C308428">
      <w:pPr>
        <w:pStyle w:val="256"/>
        <w:spacing w:line="360" w:lineRule="auto"/>
        <w:rPr>
          <w:color w:val="000000"/>
          <w:sz w:val="24"/>
          <w:szCs w:val="24"/>
        </w:rPr>
      </w:pPr>
      <w:r>
        <w:rPr>
          <w:color w:val="000000"/>
          <w:sz w:val="24"/>
          <w:szCs w:val="24"/>
        </w:rPr>
        <w:t>根据《关于加强高耗能、高排放建设项目生态环境源头防控的指导意见》（环环评〔2021〕45号）第（七）条要求，在环评工作中，统筹开展污染物和碳排放的源项识别、源强核算、减污降碳措施可行性论证及方案比选，提出协同控制最优方案。鼓励有条件的地区、企业探索实施减污降碳协同治理和碳捕集、封存、综合利用工程试点、示范。</w:t>
      </w:r>
    </w:p>
    <w:p w14:paraId="3C4AADA6">
      <w:pPr>
        <w:pStyle w:val="256"/>
        <w:spacing w:line="360" w:lineRule="auto"/>
        <w:rPr>
          <w:color w:val="000000"/>
          <w:sz w:val="24"/>
          <w:szCs w:val="24"/>
        </w:rPr>
      </w:pPr>
      <w:r>
        <w:rPr>
          <w:rFonts w:hint="eastAsia"/>
          <w:color w:val="000000"/>
          <w:sz w:val="24"/>
          <w:szCs w:val="24"/>
        </w:rPr>
        <w:t>参考</w:t>
      </w:r>
      <w:r>
        <w:rPr>
          <w:color w:val="000000"/>
          <w:sz w:val="24"/>
          <w:szCs w:val="24"/>
        </w:rPr>
        <w:t>《重点行业建设项目碳排放环境影响评价试点技术指南（试行）》</w:t>
      </w:r>
      <w:r>
        <w:rPr>
          <w:rFonts w:hint="eastAsia"/>
          <w:color w:val="000000"/>
          <w:sz w:val="24"/>
          <w:szCs w:val="24"/>
        </w:rPr>
        <w:t>，</w:t>
      </w:r>
      <w:r>
        <w:rPr>
          <w:color w:val="000000"/>
          <w:sz w:val="24"/>
          <w:szCs w:val="24"/>
        </w:rPr>
        <w:t>按照45号文要求，碳排放的工作程序具体见图</w:t>
      </w:r>
      <w:r>
        <w:rPr>
          <w:rFonts w:hint="eastAsia"/>
          <w:color w:val="000000"/>
          <w:sz w:val="24"/>
          <w:szCs w:val="24"/>
        </w:rPr>
        <w:t>7.1-1</w:t>
      </w:r>
      <w:r>
        <w:rPr>
          <w:color w:val="000000"/>
          <w:sz w:val="24"/>
          <w:szCs w:val="24"/>
        </w:rPr>
        <w:t>。</w:t>
      </w:r>
    </w:p>
    <w:p w14:paraId="17F49F36">
      <w:pPr>
        <w:pStyle w:val="256"/>
        <w:ind w:firstLine="400"/>
        <w:rPr>
          <w:rFonts w:hint="eastAsia" w:ascii="宋体" w:hAnsi="宋体"/>
          <w:color w:val="000000"/>
        </w:rPr>
      </w:pPr>
      <w:r>
        <w:rPr>
          <w:rFonts w:ascii="宋体" w:hAnsi="宋体"/>
          <w:color w:val="000000"/>
          <w:lang w:bidi="ar-SA"/>
        </w:rPr>
        <w:drawing>
          <wp:inline distT="0" distB="0" distL="114300" distR="114300">
            <wp:extent cx="4166235" cy="4060190"/>
            <wp:effectExtent l="0" t="0" r="0" b="0"/>
            <wp:docPr id="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8"/>
                    <pic:cNvPicPr>
                      <a:picLocks noChangeAspect="1"/>
                    </pic:cNvPicPr>
                  </pic:nvPicPr>
                  <pic:blipFill>
                    <a:blip r:embed="rId60"/>
                    <a:stretch>
                      <a:fillRect/>
                    </a:stretch>
                  </pic:blipFill>
                  <pic:spPr>
                    <a:xfrm>
                      <a:off x="0" y="0"/>
                      <a:ext cx="4168287" cy="4062629"/>
                    </a:xfrm>
                    <a:prstGeom prst="rect">
                      <a:avLst/>
                    </a:prstGeom>
                    <a:noFill/>
                    <a:ln>
                      <a:noFill/>
                    </a:ln>
                  </pic:spPr>
                </pic:pic>
              </a:graphicData>
            </a:graphic>
          </wp:inline>
        </w:drawing>
      </w:r>
    </w:p>
    <w:p w14:paraId="1E8C8F4B">
      <w:pPr>
        <w:pStyle w:val="257"/>
        <w:rPr>
          <w:rFonts w:ascii="Times New Roman" w:hAnsi="Times New Roman" w:eastAsia="宋体"/>
          <w:color w:val="000000"/>
        </w:rPr>
      </w:pPr>
      <w:bookmarkStart w:id="408" w:name="_Ref88123997"/>
      <w:r>
        <w:rPr>
          <w:rFonts w:ascii="Times New Roman" w:hAnsi="Times New Roman" w:eastAsia="宋体"/>
          <w:color w:val="000000"/>
        </w:rPr>
        <w:t>图</w:t>
      </w:r>
      <w:r>
        <w:rPr>
          <w:rFonts w:hint="eastAsia" w:ascii="Times New Roman" w:hAnsi="Times New Roman" w:eastAsia="宋体"/>
          <w:color w:val="000000"/>
        </w:rPr>
        <w:t>7</w:t>
      </w:r>
      <w:r>
        <w:rPr>
          <w:rFonts w:ascii="Times New Roman" w:hAnsi="Times New Roman" w:eastAsia="宋体"/>
          <w:color w:val="000000"/>
        </w:rPr>
        <w:t>.1</w:t>
      </w:r>
      <w:r>
        <w:rPr>
          <w:rFonts w:ascii="Times New Roman" w:hAnsi="Times New Roman" w:eastAsia="宋体"/>
          <w:color w:val="000000"/>
        </w:rPr>
        <w:noBreakHyphen/>
      </w:r>
      <w:bookmarkEnd w:id="408"/>
      <w:r>
        <w:rPr>
          <w:rFonts w:ascii="Times New Roman" w:hAnsi="Times New Roman" w:eastAsia="宋体"/>
          <w:color w:val="000000"/>
        </w:rPr>
        <w:t>1   建设项目碳排放环境影响评价工作程序图</w:t>
      </w:r>
    </w:p>
    <w:p w14:paraId="1161FE53">
      <w:pPr>
        <w:spacing w:line="360" w:lineRule="auto"/>
        <w:ind w:firstLine="480"/>
        <w:rPr>
          <w:rFonts w:hint="eastAsia" w:ascii="宋体" w:hAnsi="宋体"/>
          <w:color w:val="000000"/>
          <w:sz w:val="24"/>
          <w:szCs w:val="24"/>
        </w:rPr>
      </w:pPr>
      <w:r>
        <w:rPr>
          <w:rFonts w:hint="eastAsia" w:ascii="宋体" w:hAnsi="宋体"/>
          <w:color w:val="000000"/>
          <w:sz w:val="24"/>
          <w:szCs w:val="24"/>
        </w:rPr>
        <w:t>具体工作内容包括：分析建设项目碳排放是否满足相关政策要求，明确建设项目二氧化碳产生节点，开展碳减排及二氧化碳与污染物协同控制措施可行性论证，核算二氧化碳产生和排放量，分析建设项目二氧化碳排放水平，提出建设项目碳排放环境影响评价结论。</w:t>
      </w:r>
    </w:p>
    <w:p w14:paraId="776673F7">
      <w:pPr>
        <w:pStyle w:val="3"/>
        <w:keepNext w:val="0"/>
        <w:keepLines w:val="0"/>
        <w:autoSpaceDE w:val="0"/>
        <w:autoSpaceDN w:val="0"/>
        <w:spacing w:before="0" w:after="0" w:line="360" w:lineRule="auto"/>
        <w:jc w:val="left"/>
        <w:rPr>
          <w:rFonts w:ascii="Times New Roman" w:hAnsi="Times New Roman" w:eastAsia="宋体"/>
          <w:kern w:val="0"/>
          <w:sz w:val="24"/>
          <w:szCs w:val="30"/>
          <w:lang w:val="en-US" w:bidi="zh-CN"/>
        </w:rPr>
      </w:pPr>
      <w:bookmarkStart w:id="409" w:name="_Toc31103"/>
      <w:bookmarkStart w:id="410" w:name="_Toc96333525"/>
      <w:bookmarkStart w:id="411" w:name="_Toc13744"/>
      <w:bookmarkStart w:id="412" w:name="_Toc18073"/>
      <w:bookmarkStart w:id="413" w:name="_Toc22529"/>
      <w:r>
        <w:rPr>
          <w:rFonts w:hint="eastAsia" w:ascii="Times New Roman" w:hAnsi="Times New Roman" w:eastAsia="宋体"/>
          <w:kern w:val="0"/>
          <w:sz w:val="24"/>
          <w:szCs w:val="30"/>
          <w:lang w:val="en-US" w:bidi="zh-CN"/>
        </w:rPr>
        <w:t>7.2碳排放政策符合性分析</w:t>
      </w:r>
      <w:bookmarkEnd w:id="409"/>
      <w:bookmarkEnd w:id="410"/>
      <w:bookmarkEnd w:id="411"/>
      <w:bookmarkEnd w:id="412"/>
      <w:bookmarkEnd w:id="413"/>
    </w:p>
    <w:p w14:paraId="307BC550">
      <w:pPr>
        <w:spacing w:line="360" w:lineRule="auto"/>
        <w:ind w:firstLine="480" w:firstLineChars="200"/>
        <w:rPr>
          <w:color w:val="000000"/>
          <w:sz w:val="24"/>
          <w:szCs w:val="24"/>
        </w:rPr>
      </w:pPr>
      <w:r>
        <w:rPr>
          <w:rFonts w:hint="eastAsia"/>
          <w:color w:val="000000"/>
          <w:sz w:val="24"/>
          <w:szCs w:val="24"/>
        </w:rPr>
        <w:t>根据目前已发布的碳减排相关文件要求，对比结果见表7.2-1。</w:t>
      </w:r>
    </w:p>
    <w:p w14:paraId="174D6E33">
      <w:pPr>
        <w:jc w:val="center"/>
        <w:rPr>
          <w:b/>
          <w:bCs/>
          <w:color w:val="000000"/>
          <w:szCs w:val="21"/>
        </w:rPr>
      </w:pPr>
      <w:r>
        <w:rPr>
          <w:b/>
          <w:bCs/>
          <w:color w:val="000000"/>
          <w:szCs w:val="21"/>
        </w:rPr>
        <w:t>表</w:t>
      </w:r>
      <w:r>
        <w:rPr>
          <w:rFonts w:hint="eastAsia"/>
          <w:b/>
          <w:bCs/>
          <w:color w:val="000000"/>
          <w:szCs w:val="21"/>
        </w:rPr>
        <w:t>7</w:t>
      </w:r>
      <w:r>
        <w:rPr>
          <w:b/>
          <w:bCs/>
          <w:color w:val="000000"/>
          <w:szCs w:val="21"/>
        </w:rPr>
        <w:t>.2-1  与碳排放相关政策符合性对比结果一览表</w:t>
      </w:r>
    </w:p>
    <w:tbl>
      <w:tblPr>
        <w:tblStyle w:val="49"/>
        <w:tblW w:w="5056" w:type="pct"/>
        <w:jc w:val="center"/>
        <w:tblBorders>
          <w:top w:val="single" w:color="auto" w:sz="12" w:space="0"/>
          <w:left w:val="single" w:color="auto" w:sz="12" w:space="0"/>
          <w:bottom w:val="single" w:color="auto" w:sz="12" w:space="0"/>
          <w:right w:val="single" w:color="auto" w:sz="12" w:space="0"/>
          <w:insideH w:val="single" w:color="auto" w:sz="2" w:space="0"/>
          <w:insideV w:val="single" w:color="auto" w:sz="4" w:space="0"/>
        </w:tblBorders>
        <w:tblLayout w:type="autofit"/>
        <w:tblCellMar>
          <w:top w:w="0" w:type="dxa"/>
          <w:left w:w="0" w:type="dxa"/>
          <w:bottom w:w="0" w:type="dxa"/>
          <w:right w:w="0" w:type="dxa"/>
        </w:tblCellMar>
      </w:tblPr>
      <w:tblGrid>
        <w:gridCol w:w="1600"/>
        <w:gridCol w:w="4879"/>
        <w:gridCol w:w="1976"/>
        <w:gridCol w:w="749"/>
      </w:tblGrid>
      <w:tr w14:paraId="4FE2BE00">
        <w:tblPrEx>
          <w:tblBorders>
            <w:top w:val="single" w:color="auto" w:sz="12" w:space="0"/>
            <w:left w:val="single" w:color="auto" w:sz="12" w:space="0"/>
            <w:bottom w:val="single" w:color="auto" w:sz="12" w:space="0"/>
            <w:right w:val="single" w:color="auto" w:sz="12" w:space="0"/>
            <w:insideH w:val="single" w:color="auto" w:sz="2" w:space="0"/>
            <w:insideV w:val="single" w:color="auto" w:sz="4" w:space="0"/>
          </w:tblBorders>
          <w:tblCellMar>
            <w:top w:w="0" w:type="dxa"/>
            <w:left w:w="0" w:type="dxa"/>
            <w:bottom w:w="0" w:type="dxa"/>
            <w:right w:w="0" w:type="dxa"/>
          </w:tblCellMar>
        </w:tblPrEx>
        <w:trPr>
          <w:trHeight w:val="507" w:hRule="atLeast"/>
          <w:tblHeader/>
          <w:jc w:val="center"/>
        </w:trPr>
        <w:tc>
          <w:tcPr>
            <w:tcW w:w="869" w:type="pct"/>
            <w:tcBorders>
              <w:tl2br w:val="nil"/>
              <w:tr2bl w:val="nil"/>
            </w:tcBorders>
            <w:vAlign w:val="center"/>
          </w:tcPr>
          <w:p w14:paraId="10894FBB">
            <w:pPr>
              <w:pStyle w:val="240"/>
              <w:rPr>
                <w:rFonts w:hint="default"/>
              </w:rPr>
            </w:pPr>
            <w:r>
              <w:t>文件名称</w:t>
            </w:r>
          </w:p>
        </w:tc>
        <w:tc>
          <w:tcPr>
            <w:tcW w:w="2650" w:type="pct"/>
            <w:tcBorders>
              <w:tl2br w:val="nil"/>
              <w:tr2bl w:val="nil"/>
            </w:tcBorders>
            <w:vAlign w:val="center"/>
          </w:tcPr>
          <w:p w14:paraId="7EC46B0F">
            <w:pPr>
              <w:pStyle w:val="240"/>
              <w:rPr>
                <w:rFonts w:hint="default"/>
              </w:rPr>
            </w:pPr>
            <w:r>
              <w:t>具体要求</w:t>
            </w:r>
          </w:p>
        </w:tc>
        <w:tc>
          <w:tcPr>
            <w:tcW w:w="1073" w:type="pct"/>
            <w:tcBorders>
              <w:tl2br w:val="nil"/>
              <w:tr2bl w:val="nil"/>
            </w:tcBorders>
            <w:vAlign w:val="center"/>
          </w:tcPr>
          <w:p w14:paraId="504C0C25">
            <w:pPr>
              <w:pStyle w:val="240"/>
              <w:rPr>
                <w:rFonts w:hint="default"/>
              </w:rPr>
            </w:pPr>
            <w:r>
              <w:t>项目相关内容</w:t>
            </w:r>
          </w:p>
        </w:tc>
        <w:tc>
          <w:tcPr>
            <w:tcW w:w="407" w:type="pct"/>
            <w:tcBorders>
              <w:tl2br w:val="nil"/>
              <w:tr2bl w:val="nil"/>
            </w:tcBorders>
            <w:vAlign w:val="center"/>
          </w:tcPr>
          <w:p w14:paraId="107ABE49">
            <w:pPr>
              <w:pStyle w:val="240"/>
              <w:rPr>
                <w:rFonts w:hint="default"/>
              </w:rPr>
            </w:pPr>
            <w:r>
              <w:t>符合性</w:t>
            </w:r>
          </w:p>
        </w:tc>
      </w:tr>
      <w:tr w14:paraId="14046240">
        <w:tblPrEx>
          <w:tblBorders>
            <w:top w:val="single" w:color="auto" w:sz="12" w:space="0"/>
            <w:left w:val="single" w:color="auto" w:sz="12" w:space="0"/>
            <w:bottom w:val="single" w:color="auto" w:sz="12" w:space="0"/>
            <w:right w:val="single" w:color="auto" w:sz="12" w:space="0"/>
            <w:insideH w:val="single" w:color="auto" w:sz="2" w:space="0"/>
            <w:insideV w:val="single" w:color="auto" w:sz="4" w:space="0"/>
          </w:tblBorders>
          <w:tblCellMar>
            <w:top w:w="0" w:type="dxa"/>
            <w:left w:w="0" w:type="dxa"/>
            <w:bottom w:w="0" w:type="dxa"/>
            <w:right w:w="0" w:type="dxa"/>
          </w:tblCellMar>
        </w:tblPrEx>
        <w:trPr>
          <w:trHeight w:val="283" w:hRule="atLeast"/>
          <w:jc w:val="center"/>
        </w:trPr>
        <w:tc>
          <w:tcPr>
            <w:tcW w:w="869" w:type="pct"/>
            <w:tcBorders>
              <w:tl2br w:val="nil"/>
              <w:tr2bl w:val="nil"/>
            </w:tcBorders>
            <w:vAlign w:val="center"/>
          </w:tcPr>
          <w:p w14:paraId="489FEAC7">
            <w:pPr>
              <w:pStyle w:val="240"/>
              <w:rPr>
                <w:rFonts w:hint="default"/>
              </w:rPr>
            </w:pPr>
            <w:r>
              <w:t>《关于统筹和加强应对气候变化与生态环境保护相关工作的指导意见》（环综合〔2021〕4号</w:t>
            </w:r>
          </w:p>
        </w:tc>
        <w:tc>
          <w:tcPr>
            <w:tcW w:w="2650" w:type="pct"/>
            <w:tcBorders>
              <w:tl2br w:val="nil"/>
              <w:tr2bl w:val="nil"/>
            </w:tcBorders>
            <w:vAlign w:val="center"/>
          </w:tcPr>
          <w:p w14:paraId="39FEB9E5">
            <w:pPr>
              <w:pStyle w:val="240"/>
              <w:rPr>
                <w:rFonts w:hint="default"/>
              </w:rPr>
            </w:pPr>
            <w:r>
              <w:t>推动实现减污降碳协同效应。优先选择化石能源替代、原料工艺优化、产业结构升级等源头治理措施，严格控制高耗能、高排放项目建设。加大交通运输结构优化调整力度，推动“公转铁”“公转水”和多式联运，推广节能和新能源车辆。鼓励各地积极探索协同控制温室气体和污染物排放的创新举措和有效机制。</w:t>
            </w:r>
          </w:p>
        </w:tc>
        <w:tc>
          <w:tcPr>
            <w:tcW w:w="1073" w:type="pct"/>
            <w:tcBorders>
              <w:tl2br w:val="nil"/>
              <w:tr2bl w:val="nil"/>
            </w:tcBorders>
            <w:vAlign w:val="center"/>
          </w:tcPr>
          <w:p w14:paraId="7C2E6BB7">
            <w:pPr>
              <w:pStyle w:val="240"/>
              <w:rPr>
                <w:rFonts w:hint="default"/>
              </w:rPr>
            </w:pPr>
            <w:r>
              <w:t>不属于高耗能、高排放企业，能源消耗主要为电。</w:t>
            </w:r>
          </w:p>
        </w:tc>
        <w:tc>
          <w:tcPr>
            <w:tcW w:w="407" w:type="pct"/>
            <w:tcBorders>
              <w:tl2br w:val="nil"/>
              <w:tr2bl w:val="nil"/>
            </w:tcBorders>
            <w:vAlign w:val="center"/>
          </w:tcPr>
          <w:p w14:paraId="1BE75068">
            <w:pPr>
              <w:pStyle w:val="240"/>
              <w:rPr>
                <w:rFonts w:hint="default"/>
              </w:rPr>
            </w:pPr>
            <w:r>
              <w:t>符合</w:t>
            </w:r>
          </w:p>
        </w:tc>
      </w:tr>
      <w:tr w14:paraId="73BA6BE0">
        <w:tblPrEx>
          <w:tblBorders>
            <w:top w:val="single" w:color="auto" w:sz="12" w:space="0"/>
            <w:left w:val="single" w:color="auto" w:sz="12" w:space="0"/>
            <w:bottom w:val="single" w:color="auto" w:sz="12" w:space="0"/>
            <w:right w:val="single" w:color="auto" w:sz="12" w:space="0"/>
            <w:insideH w:val="single" w:color="auto" w:sz="2" w:space="0"/>
            <w:insideV w:val="single" w:color="auto" w:sz="4" w:space="0"/>
          </w:tblBorders>
          <w:tblCellMar>
            <w:top w:w="0" w:type="dxa"/>
            <w:left w:w="0" w:type="dxa"/>
            <w:bottom w:w="0" w:type="dxa"/>
            <w:right w:w="0" w:type="dxa"/>
          </w:tblCellMar>
        </w:tblPrEx>
        <w:trPr>
          <w:trHeight w:val="283" w:hRule="atLeast"/>
          <w:jc w:val="center"/>
        </w:trPr>
        <w:tc>
          <w:tcPr>
            <w:tcW w:w="869" w:type="pct"/>
            <w:tcBorders>
              <w:tl2br w:val="nil"/>
              <w:tr2bl w:val="nil"/>
            </w:tcBorders>
            <w:vAlign w:val="center"/>
          </w:tcPr>
          <w:p w14:paraId="0739FB22">
            <w:pPr>
              <w:pStyle w:val="240"/>
              <w:rPr>
                <w:rFonts w:hint="default"/>
              </w:rPr>
            </w:pPr>
            <w:r>
              <w:t>《关于加强高耗能、高排放建设项目生态环境源头防控的指导意见》的通知（环环评〔2021〕45号）</w:t>
            </w:r>
          </w:p>
        </w:tc>
        <w:tc>
          <w:tcPr>
            <w:tcW w:w="2650" w:type="pct"/>
            <w:tcBorders>
              <w:tl2br w:val="nil"/>
              <w:tr2bl w:val="nil"/>
            </w:tcBorders>
            <w:vAlign w:val="center"/>
          </w:tcPr>
          <w:p w14:paraId="5663FE93">
            <w:pPr>
              <w:pStyle w:val="240"/>
              <w:rPr>
                <w:rFonts w:hint="default"/>
              </w:rPr>
            </w:pPr>
            <w:r>
              <w:t>（七）将碳排放影响评价纳入环境影响评价体系。在环评工作中，统筹开展污染物和碳排放的源项识别、源强核算、减污降碳措施可行性论证及方案比选，提出协同控制最优方案。鼓励有条件的地区、企业探索实施减污降碳协同治理和碳捕集、封存、综合利用工程试点、示范。</w:t>
            </w:r>
          </w:p>
        </w:tc>
        <w:tc>
          <w:tcPr>
            <w:tcW w:w="1073" w:type="pct"/>
            <w:tcBorders>
              <w:tl2br w:val="nil"/>
              <w:tr2bl w:val="nil"/>
            </w:tcBorders>
            <w:vAlign w:val="center"/>
          </w:tcPr>
          <w:p w14:paraId="552A2238">
            <w:pPr>
              <w:pStyle w:val="240"/>
              <w:rPr>
                <w:rFonts w:hint="default"/>
              </w:rPr>
            </w:pPr>
            <w:r>
              <w:t>本次评价已将碳排放纳入环境影响评价体系，并按照文件要求进行源项识别、源强核算、减污降碳措施可行性论证，并提出了碳减排建议。</w:t>
            </w:r>
          </w:p>
        </w:tc>
        <w:tc>
          <w:tcPr>
            <w:tcW w:w="407" w:type="pct"/>
            <w:tcBorders>
              <w:tl2br w:val="nil"/>
              <w:tr2bl w:val="nil"/>
            </w:tcBorders>
            <w:vAlign w:val="center"/>
          </w:tcPr>
          <w:p w14:paraId="4C6FAFDC">
            <w:pPr>
              <w:pStyle w:val="240"/>
              <w:rPr>
                <w:rFonts w:hint="default"/>
              </w:rPr>
            </w:pPr>
            <w:r>
              <w:t>符合</w:t>
            </w:r>
          </w:p>
        </w:tc>
      </w:tr>
      <w:tr w14:paraId="5B887554">
        <w:tblPrEx>
          <w:tblBorders>
            <w:top w:val="single" w:color="auto" w:sz="12" w:space="0"/>
            <w:left w:val="single" w:color="auto" w:sz="12" w:space="0"/>
            <w:bottom w:val="single" w:color="auto" w:sz="12" w:space="0"/>
            <w:right w:val="single" w:color="auto" w:sz="12" w:space="0"/>
            <w:insideH w:val="single" w:color="auto" w:sz="2" w:space="0"/>
            <w:insideV w:val="single" w:color="auto" w:sz="4" w:space="0"/>
          </w:tblBorders>
          <w:tblCellMar>
            <w:top w:w="0" w:type="dxa"/>
            <w:left w:w="0" w:type="dxa"/>
            <w:bottom w:w="0" w:type="dxa"/>
            <w:right w:w="0" w:type="dxa"/>
          </w:tblCellMar>
        </w:tblPrEx>
        <w:trPr>
          <w:trHeight w:val="283" w:hRule="atLeast"/>
          <w:jc w:val="center"/>
        </w:trPr>
        <w:tc>
          <w:tcPr>
            <w:tcW w:w="869" w:type="pct"/>
            <w:tcBorders>
              <w:tl2br w:val="nil"/>
              <w:tr2bl w:val="nil"/>
            </w:tcBorders>
            <w:vAlign w:val="center"/>
          </w:tcPr>
          <w:p w14:paraId="51C9723A">
            <w:pPr>
              <w:pStyle w:val="240"/>
              <w:rPr>
                <w:rFonts w:hint="default"/>
              </w:rPr>
            </w:pPr>
            <w:r>
              <w:t>关于印发《自治区生态环境厅落实高耗能高排放项目生态环境源头防控的措施》的通知（新环环评发〔2021〕179号）</w:t>
            </w:r>
          </w:p>
        </w:tc>
        <w:tc>
          <w:tcPr>
            <w:tcW w:w="2650" w:type="pct"/>
            <w:tcBorders>
              <w:tl2br w:val="nil"/>
              <w:tr2bl w:val="nil"/>
            </w:tcBorders>
            <w:vAlign w:val="center"/>
          </w:tcPr>
          <w:p w14:paraId="382FECAB">
            <w:pPr>
              <w:pStyle w:val="240"/>
              <w:jc w:val="left"/>
              <w:rPr>
                <w:rFonts w:hint="default"/>
              </w:rPr>
            </w:pPr>
            <w:r>
              <w:t>三、推进行业减污降碳、协同控制</w:t>
            </w:r>
          </w:p>
          <w:p w14:paraId="21972E8B">
            <w:pPr>
              <w:pStyle w:val="240"/>
              <w:jc w:val="left"/>
              <w:rPr>
                <w:rFonts w:hint="default"/>
              </w:rPr>
            </w:pPr>
            <w:r>
              <w:t>在审批“两高”项目时，不仅要确保企业满足基本审批条件，还要督促企业提升项目清洁生产和污染防治、环境风险防控措施。在工程分析时，对能源消耗进行分析。有条件的要尽量采用铁路、管道运输，短途接驳采取公路运输的要尽量采用新能源车辆。要密切关注行业、产业政策变动，走绿色发展道路，采取措施控制“碳排放”。街接落实有关区域和行业碳达峰行动方案、清洁能源替代、清洁运输、煤炭消费总量控制等政策要求，通过环评工作协同推进减污降碳。</w:t>
            </w:r>
          </w:p>
        </w:tc>
        <w:tc>
          <w:tcPr>
            <w:tcW w:w="1073" w:type="pct"/>
            <w:tcBorders>
              <w:tl2br w:val="nil"/>
              <w:tr2bl w:val="nil"/>
            </w:tcBorders>
            <w:vAlign w:val="center"/>
          </w:tcPr>
          <w:p w14:paraId="3FE15CD8">
            <w:pPr>
              <w:pStyle w:val="240"/>
              <w:rPr>
                <w:rFonts w:hint="default"/>
              </w:rPr>
            </w:pPr>
            <w:r>
              <w:t>不属于高耗能、高排放企业，能源消耗主要为电。本次评价已将碳排放纳入环境影响评价体系，工程分析时对能源消耗进行分析。</w:t>
            </w:r>
          </w:p>
        </w:tc>
        <w:tc>
          <w:tcPr>
            <w:tcW w:w="407" w:type="pct"/>
            <w:tcBorders>
              <w:tl2br w:val="nil"/>
              <w:tr2bl w:val="nil"/>
            </w:tcBorders>
            <w:vAlign w:val="center"/>
          </w:tcPr>
          <w:p w14:paraId="43B395D9">
            <w:pPr>
              <w:pStyle w:val="240"/>
              <w:rPr>
                <w:rFonts w:hint="default"/>
              </w:rPr>
            </w:pPr>
            <w:r>
              <w:t>符合</w:t>
            </w:r>
          </w:p>
        </w:tc>
      </w:tr>
      <w:tr w14:paraId="0F0FAABB">
        <w:tblPrEx>
          <w:tblBorders>
            <w:top w:val="single" w:color="auto" w:sz="12" w:space="0"/>
            <w:left w:val="single" w:color="auto" w:sz="12" w:space="0"/>
            <w:bottom w:val="single" w:color="auto" w:sz="12" w:space="0"/>
            <w:right w:val="single" w:color="auto" w:sz="12" w:space="0"/>
            <w:insideH w:val="single" w:color="auto" w:sz="2" w:space="0"/>
            <w:insideV w:val="single" w:color="auto" w:sz="4" w:space="0"/>
          </w:tblBorders>
          <w:tblCellMar>
            <w:top w:w="0" w:type="dxa"/>
            <w:left w:w="0" w:type="dxa"/>
            <w:bottom w:w="0" w:type="dxa"/>
            <w:right w:w="0" w:type="dxa"/>
          </w:tblCellMar>
        </w:tblPrEx>
        <w:trPr>
          <w:trHeight w:val="283" w:hRule="atLeast"/>
          <w:jc w:val="center"/>
        </w:trPr>
        <w:tc>
          <w:tcPr>
            <w:tcW w:w="869" w:type="pct"/>
            <w:vMerge w:val="restart"/>
            <w:tcBorders>
              <w:tl2br w:val="nil"/>
              <w:tr2bl w:val="nil"/>
            </w:tcBorders>
            <w:vAlign w:val="center"/>
          </w:tcPr>
          <w:p w14:paraId="1D0A0D01">
            <w:pPr>
              <w:pStyle w:val="240"/>
              <w:rPr>
                <w:rFonts w:hint="default"/>
              </w:rPr>
            </w:pPr>
            <w:r>
              <w:t>《国务院关于加快建立健全绿色低碳循环发展经济体系的指导意见》（国发〔2021〕4号）</w:t>
            </w:r>
          </w:p>
        </w:tc>
        <w:tc>
          <w:tcPr>
            <w:tcW w:w="2650" w:type="pct"/>
            <w:tcBorders>
              <w:tl2br w:val="nil"/>
              <w:tr2bl w:val="nil"/>
            </w:tcBorders>
            <w:vAlign w:val="center"/>
          </w:tcPr>
          <w:p w14:paraId="25A1B203">
            <w:pPr>
              <w:pStyle w:val="240"/>
              <w:jc w:val="left"/>
              <w:rPr>
                <w:rFonts w:hint="default"/>
              </w:rPr>
            </w:pPr>
            <w:r>
              <w:t>二、健全绿色低碳循环发展的生产体系</w:t>
            </w:r>
          </w:p>
          <w:p w14:paraId="4736DDFA">
            <w:pPr>
              <w:pStyle w:val="240"/>
              <w:jc w:val="left"/>
              <w:rPr>
                <w:rFonts w:hint="default"/>
              </w:rPr>
            </w:pPr>
            <w:r>
              <w:t>（四）推进工业绿色升级。加快实施钢铁、石化、化工、有色、建材、纺织、造纸、皮革等行业绿色化改造。推行产品绿色设计，建设绿色制造体系。大力发展再制造产业，加强再制造产品认证与推广应用。建设资源综合利用基地，促进工业固体废物综合利用。全面推行清洁生产，依法在“双超双有高耗能”行业实施强制性清洁生产审核。完善“散乱污”企业认定办法，分类实施关停取缔、整合搬迁、整改提升等措施。加快实施排污许可制度。加强工业生产过程中危险废物管理。</w:t>
            </w:r>
          </w:p>
        </w:tc>
        <w:tc>
          <w:tcPr>
            <w:tcW w:w="1073" w:type="pct"/>
            <w:tcBorders>
              <w:tl2br w:val="nil"/>
              <w:tr2bl w:val="nil"/>
            </w:tcBorders>
            <w:vAlign w:val="center"/>
          </w:tcPr>
          <w:p w14:paraId="1EEEA533">
            <w:pPr>
              <w:pStyle w:val="240"/>
              <w:rPr>
                <w:rFonts w:hint="default"/>
              </w:rPr>
            </w:pPr>
            <w:r>
              <w:t>为塑料制品行业，原料为废旧地膜。项目生产过程产生的危险废物暂存至危废贮存点，定期交由有资质单位处理。项目将在取得环评批复后按要求申领排污许可证。</w:t>
            </w:r>
          </w:p>
        </w:tc>
        <w:tc>
          <w:tcPr>
            <w:tcW w:w="0" w:type="auto"/>
            <w:tcBorders>
              <w:tl2br w:val="nil"/>
              <w:tr2bl w:val="nil"/>
            </w:tcBorders>
            <w:vAlign w:val="center"/>
          </w:tcPr>
          <w:p w14:paraId="44446626">
            <w:pPr>
              <w:pStyle w:val="240"/>
              <w:rPr>
                <w:rFonts w:hint="default"/>
              </w:rPr>
            </w:pPr>
            <w:r>
              <w:t>符合</w:t>
            </w:r>
          </w:p>
        </w:tc>
      </w:tr>
      <w:tr w14:paraId="11DBF56E">
        <w:tblPrEx>
          <w:tblBorders>
            <w:top w:val="single" w:color="auto" w:sz="12" w:space="0"/>
            <w:left w:val="single" w:color="auto" w:sz="12" w:space="0"/>
            <w:bottom w:val="single" w:color="auto" w:sz="12" w:space="0"/>
            <w:right w:val="single" w:color="auto" w:sz="12" w:space="0"/>
            <w:insideH w:val="single" w:color="auto" w:sz="2" w:space="0"/>
            <w:insideV w:val="single" w:color="auto" w:sz="4" w:space="0"/>
          </w:tblBorders>
          <w:tblCellMar>
            <w:top w:w="0" w:type="dxa"/>
            <w:left w:w="0" w:type="dxa"/>
            <w:bottom w:w="0" w:type="dxa"/>
            <w:right w:w="0" w:type="dxa"/>
          </w:tblCellMar>
        </w:tblPrEx>
        <w:trPr>
          <w:trHeight w:val="283" w:hRule="atLeast"/>
          <w:jc w:val="center"/>
        </w:trPr>
        <w:tc>
          <w:tcPr>
            <w:tcW w:w="869" w:type="pct"/>
            <w:vMerge w:val="continue"/>
            <w:tcBorders>
              <w:tl2br w:val="nil"/>
              <w:tr2bl w:val="nil"/>
            </w:tcBorders>
            <w:vAlign w:val="center"/>
          </w:tcPr>
          <w:p w14:paraId="67158320">
            <w:pPr>
              <w:pStyle w:val="240"/>
              <w:rPr>
                <w:rFonts w:hint="default"/>
              </w:rPr>
            </w:pPr>
          </w:p>
        </w:tc>
        <w:tc>
          <w:tcPr>
            <w:tcW w:w="2650" w:type="pct"/>
            <w:tcBorders>
              <w:tl2br w:val="nil"/>
              <w:tr2bl w:val="nil"/>
            </w:tcBorders>
            <w:vAlign w:val="center"/>
          </w:tcPr>
          <w:p w14:paraId="3F544F7F">
            <w:pPr>
              <w:pStyle w:val="240"/>
              <w:jc w:val="left"/>
              <w:rPr>
                <w:rFonts w:hint="default"/>
              </w:rPr>
            </w:pPr>
            <w:r>
              <w:t>(十一)加强再生资源回收利用。推进垃圾分类回收与再生资源回收“两网融合”，鼓励地方建立再生资源区域交易中心。加快落实生产者责任延伸制度，引导生产企业建立逆向物流回收体系。鼓励企业采用现代信息技术实现废物回收线上与线下有机结合，培育新型商业模式，打造龙头企业，提升行业整体竞争力。完善废旧家电回收处理体系，推广典型回收模式和经验做法。加快构建废旧物资循环利用体系，加强废纸、废塑料、废旧轮胎、废金属、废玻璃等再生资源回收利用，提升资源产出率和回收利用率。</w:t>
            </w:r>
          </w:p>
        </w:tc>
        <w:tc>
          <w:tcPr>
            <w:tcW w:w="1073" w:type="pct"/>
            <w:tcBorders>
              <w:tl2br w:val="nil"/>
              <w:tr2bl w:val="nil"/>
            </w:tcBorders>
            <w:vAlign w:val="center"/>
          </w:tcPr>
          <w:p w14:paraId="207A920E">
            <w:pPr>
              <w:pStyle w:val="240"/>
              <w:rPr>
                <w:rFonts w:hint="default"/>
              </w:rPr>
            </w:pPr>
            <w:r>
              <w:t>为塑料制品行业，原料为</w:t>
            </w:r>
            <w:r>
              <w:rPr>
                <w:rFonts w:hint="eastAsia"/>
                <w:lang w:eastAsia="zh-CN"/>
              </w:rPr>
              <w:t>废旧</w:t>
            </w:r>
            <w:r>
              <w:t>地膜。</w:t>
            </w:r>
          </w:p>
        </w:tc>
        <w:tc>
          <w:tcPr>
            <w:tcW w:w="0" w:type="auto"/>
            <w:tcBorders>
              <w:tl2br w:val="nil"/>
              <w:tr2bl w:val="nil"/>
            </w:tcBorders>
            <w:vAlign w:val="center"/>
          </w:tcPr>
          <w:p w14:paraId="1941F18A">
            <w:pPr>
              <w:pStyle w:val="240"/>
              <w:rPr>
                <w:rFonts w:hint="default"/>
              </w:rPr>
            </w:pPr>
            <w:r>
              <w:t>符合</w:t>
            </w:r>
          </w:p>
        </w:tc>
      </w:tr>
    </w:tbl>
    <w:p w14:paraId="3E633C93">
      <w:pPr>
        <w:spacing w:line="360" w:lineRule="auto"/>
        <w:ind w:firstLine="480" w:firstLineChars="200"/>
        <w:rPr>
          <w:color w:val="000000"/>
        </w:rPr>
      </w:pPr>
      <w:r>
        <w:rPr>
          <w:color w:val="000000"/>
          <w:sz w:val="24"/>
          <w:szCs w:val="24"/>
        </w:rPr>
        <w:t>由表</w:t>
      </w:r>
      <w:r>
        <w:rPr>
          <w:rFonts w:hint="eastAsia"/>
          <w:color w:val="000000"/>
          <w:sz w:val="24"/>
          <w:szCs w:val="24"/>
        </w:rPr>
        <w:t>7.</w:t>
      </w:r>
      <w:r>
        <w:rPr>
          <w:color w:val="000000"/>
          <w:sz w:val="24"/>
          <w:szCs w:val="24"/>
        </w:rPr>
        <w:t>2-1分析可知，相关内容符合目前发布的碳减排相关文件要求。</w:t>
      </w:r>
    </w:p>
    <w:p w14:paraId="0017B56A">
      <w:pPr>
        <w:pStyle w:val="3"/>
        <w:keepNext w:val="0"/>
        <w:keepLines w:val="0"/>
        <w:autoSpaceDE w:val="0"/>
        <w:autoSpaceDN w:val="0"/>
        <w:spacing w:before="0" w:after="0" w:line="360" w:lineRule="auto"/>
        <w:jc w:val="left"/>
        <w:rPr>
          <w:rFonts w:ascii="Times New Roman" w:hAnsi="Times New Roman" w:eastAsia="宋体"/>
          <w:kern w:val="0"/>
          <w:sz w:val="24"/>
          <w:szCs w:val="30"/>
          <w:lang w:val="en-US" w:bidi="zh-CN"/>
        </w:rPr>
      </w:pPr>
      <w:bookmarkStart w:id="414" w:name="_Toc7830"/>
      <w:bookmarkStart w:id="415" w:name="_Toc10605"/>
      <w:bookmarkStart w:id="416" w:name="_Toc96333526"/>
      <w:bookmarkStart w:id="417" w:name="_Toc10362"/>
      <w:bookmarkStart w:id="418" w:name="_Toc17997"/>
      <w:r>
        <w:rPr>
          <w:rFonts w:hint="eastAsia" w:ascii="Times New Roman" w:hAnsi="Times New Roman" w:eastAsia="宋体"/>
          <w:kern w:val="0"/>
          <w:sz w:val="24"/>
          <w:szCs w:val="30"/>
          <w:lang w:val="en-US" w:bidi="zh-CN"/>
        </w:rPr>
        <w:t>7.3碳排放分析</w:t>
      </w:r>
      <w:bookmarkEnd w:id="414"/>
      <w:bookmarkEnd w:id="415"/>
      <w:bookmarkEnd w:id="416"/>
      <w:bookmarkEnd w:id="417"/>
      <w:bookmarkEnd w:id="418"/>
    </w:p>
    <w:p w14:paraId="2897471A">
      <w:pPr>
        <w:pStyle w:val="4"/>
        <w:autoSpaceDE w:val="0"/>
        <w:autoSpaceDN w:val="0"/>
        <w:spacing w:before="0" w:after="0" w:line="360" w:lineRule="auto"/>
        <w:jc w:val="left"/>
        <w:rPr>
          <w:kern w:val="0"/>
          <w:sz w:val="24"/>
          <w:szCs w:val="30"/>
          <w:lang w:val="en-US" w:bidi="zh-CN"/>
        </w:rPr>
      </w:pPr>
      <w:bookmarkStart w:id="419" w:name="_Toc11034"/>
      <w:bookmarkStart w:id="420" w:name="_Toc20549"/>
      <w:r>
        <w:rPr>
          <w:rFonts w:hint="eastAsia"/>
          <w:kern w:val="0"/>
          <w:sz w:val="24"/>
          <w:szCs w:val="30"/>
          <w:lang w:val="en-US" w:bidi="zh-CN"/>
        </w:rPr>
        <w:t>7.3.1碳排放源分析</w:t>
      </w:r>
      <w:bookmarkEnd w:id="419"/>
      <w:bookmarkEnd w:id="420"/>
    </w:p>
    <w:p w14:paraId="4E8F6EA3">
      <w:pPr>
        <w:spacing w:line="360" w:lineRule="auto"/>
        <w:ind w:firstLine="480" w:firstLineChars="200"/>
        <w:rPr>
          <w:color w:val="000000"/>
          <w:sz w:val="24"/>
          <w:szCs w:val="24"/>
        </w:rPr>
      </w:pPr>
      <w:r>
        <w:rPr>
          <w:rFonts w:hint="eastAsia"/>
          <w:color w:val="000000"/>
          <w:sz w:val="24"/>
          <w:szCs w:val="24"/>
        </w:rPr>
        <w:t>根据</w:t>
      </w:r>
      <w:r>
        <w:rPr>
          <w:color w:val="000000"/>
          <w:sz w:val="24"/>
          <w:szCs w:val="24"/>
        </w:rPr>
        <w:t>《工业企业温室气体排放核算和报告 通则》（GB/T32150-2015）</w:t>
      </w:r>
      <w:r>
        <w:rPr>
          <w:rFonts w:hint="eastAsia"/>
          <w:color w:val="000000"/>
          <w:sz w:val="24"/>
          <w:szCs w:val="24"/>
        </w:rPr>
        <w:t>，本项目温室气体排放源不涉及燃料燃烧排放、过程排放，温室气体排放源为净购入电力引起的排放。</w:t>
      </w:r>
      <w:r>
        <w:rPr>
          <w:rFonts w:hint="eastAsia"/>
          <w:color w:val="000000"/>
          <w:sz w:val="24"/>
          <w:szCs w:val="24"/>
          <w:lang w:val="en-GB"/>
        </w:rPr>
        <w:t>核算的温室气体</w:t>
      </w:r>
      <w:r>
        <w:rPr>
          <w:rFonts w:hint="eastAsia"/>
          <w:color w:val="000000"/>
          <w:sz w:val="24"/>
          <w:szCs w:val="24"/>
        </w:rPr>
        <w:t>为</w:t>
      </w:r>
      <w:r>
        <w:rPr>
          <w:rFonts w:hint="eastAsia"/>
          <w:color w:val="000000"/>
          <w:sz w:val="24"/>
          <w:szCs w:val="24"/>
          <w:lang w:val="en-GB"/>
        </w:rPr>
        <w:t>二氧化碳（CO</w:t>
      </w:r>
      <w:r>
        <w:rPr>
          <w:rFonts w:hint="eastAsia"/>
          <w:color w:val="000000"/>
          <w:sz w:val="24"/>
          <w:szCs w:val="24"/>
          <w:vertAlign w:val="subscript"/>
          <w:lang w:val="en-GB"/>
        </w:rPr>
        <w:t>2</w:t>
      </w:r>
      <w:r>
        <w:rPr>
          <w:rFonts w:hint="eastAsia"/>
          <w:color w:val="000000"/>
          <w:sz w:val="24"/>
          <w:szCs w:val="24"/>
          <w:lang w:val="en-GB"/>
        </w:rPr>
        <w:t>）。</w:t>
      </w:r>
    </w:p>
    <w:p w14:paraId="6F94418C">
      <w:pPr>
        <w:pStyle w:val="4"/>
        <w:autoSpaceDE w:val="0"/>
        <w:autoSpaceDN w:val="0"/>
        <w:spacing w:before="0" w:after="0" w:line="360" w:lineRule="auto"/>
        <w:jc w:val="left"/>
        <w:rPr>
          <w:kern w:val="0"/>
          <w:sz w:val="24"/>
          <w:szCs w:val="30"/>
          <w:lang w:val="en-US" w:bidi="zh-CN"/>
        </w:rPr>
      </w:pPr>
      <w:bookmarkStart w:id="421" w:name="_Toc6737"/>
      <w:bookmarkStart w:id="422" w:name="_Toc23758"/>
      <w:r>
        <w:rPr>
          <w:rFonts w:hint="eastAsia"/>
          <w:kern w:val="0"/>
          <w:sz w:val="24"/>
          <w:szCs w:val="30"/>
          <w:lang w:val="en-US" w:bidi="zh-CN"/>
        </w:rPr>
        <w:t>7.3.2净购入电力和热力的碳排放</w:t>
      </w:r>
      <w:bookmarkEnd w:id="421"/>
      <w:bookmarkEnd w:id="422"/>
    </w:p>
    <w:p w14:paraId="25A38C00">
      <w:pPr>
        <w:spacing w:line="360" w:lineRule="auto"/>
        <w:ind w:firstLine="480" w:firstLineChars="200"/>
        <w:rPr>
          <w:color w:val="000000"/>
          <w:sz w:val="24"/>
          <w:szCs w:val="24"/>
        </w:rPr>
      </w:pPr>
      <w:r>
        <w:rPr>
          <w:rFonts w:hint="eastAsia"/>
          <w:color w:val="000000"/>
          <w:sz w:val="24"/>
          <w:szCs w:val="24"/>
        </w:rPr>
        <w:t>净购入热力和电力消费引起的CO</w:t>
      </w:r>
      <w:r>
        <w:rPr>
          <w:rFonts w:hint="eastAsia"/>
          <w:color w:val="000000"/>
          <w:sz w:val="24"/>
          <w:szCs w:val="24"/>
          <w:vertAlign w:val="subscript"/>
        </w:rPr>
        <w:t>2</w:t>
      </w:r>
      <w:r>
        <w:rPr>
          <w:rFonts w:hint="eastAsia"/>
          <w:color w:val="000000"/>
          <w:sz w:val="24"/>
          <w:szCs w:val="24"/>
        </w:rPr>
        <w:t>排放。该部分排放实际上发生在生产这些电力或热力的企业，但由本项目的活动引发，此处依照规定计入排放总量中。</w:t>
      </w:r>
    </w:p>
    <w:p w14:paraId="0E3EA476">
      <w:pPr>
        <w:spacing w:line="360" w:lineRule="auto"/>
        <w:ind w:firstLine="480" w:firstLineChars="200"/>
        <w:rPr>
          <w:color w:val="000000"/>
          <w:sz w:val="24"/>
          <w:szCs w:val="24"/>
        </w:rPr>
      </w:pPr>
      <w:r>
        <w:rPr>
          <w:rFonts w:hint="eastAsia"/>
          <w:color w:val="000000"/>
          <w:sz w:val="24"/>
          <w:szCs w:val="24"/>
        </w:rPr>
        <w:t>根据《工业其他行业企业温室气体排放核算方法与报告指南（试行）》，净购入电力和热力的碳排放量按照下式进行计算：</w:t>
      </w:r>
    </w:p>
    <w:p w14:paraId="1437E8C9">
      <w:pPr>
        <w:pStyle w:val="249"/>
        <w:spacing w:line="360" w:lineRule="auto"/>
        <w:rPr>
          <w:color w:val="000000"/>
        </w:rPr>
      </w:pPr>
      <w:r>
        <w:rPr>
          <w:rFonts w:hint="eastAsia"/>
          <w:color w:val="000000"/>
          <w:position w:val="-14"/>
        </w:rPr>
        <w:object>
          <v:shape id="_x0000_i1033" o:spt="75" type="#_x0000_t75" style="height:19.1pt;width:150.8pt;" o:ole="t" filled="f" o:preferrelative="t" stroked="f" coordsize="21600,21600">
            <v:path/>
            <v:fill on="f" focussize="0,0"/>
            <v:stroke on="f" joinstyle="miter"/>
            <v:imagedata r:id="rId62" o:title=""/>
            <o:lock v:ext="edit" aspectratio="t"/>
            <w10:wrap type="none"/>
            <w10:anchorlock/>
          </v:shape>
          <o:OLEObject Type="Embed" ProgID="Equation.KSEE3" ShapeID="_x0000_i1033" DrawAspect="Content" ObjectID="_1468075735" r:id="rId61">
            <o:LockedField>false</o:LockedField>
          </o:OLEObject>
        </w:object>
      </w:r>
    </w:p>
    <w:p w14:paraId="3FEA170D">
      <w:pPr>
        <w:spacing w:line="360" w:lineRule="auto"/>
        <w:ind w:firstLine="480" w:firstLineChars="200"/>
        <w:rPr>
          <w:color w:val="000000"/>
          <w:sz w:val="24"/>
          <w:szCs w:val="24"/>
        </w:rPr>
      </w:pPr>
      <w:r>
        <w:rPr>
          <w:rFonts w:hint="eastAsia"/>
          <w:color w:val="000000"/>
          <w:sz w:val="24"/>
          <w:szCs w:val="24"/>
        </w:rPr>
        <w:t>其中：</w:t>
      </w:r>
    </w:p>
    <w:p w14:paraId="128311C3">
      <w:pPr>
        <w:spacing w:line="360" w:lineRule="auto"/>
        <w:ind w:firstLine="960" w:firstLineChars="400"/>
        <w:rPr>
          <w:color w:val="000000"/>
          <w:sz w:val="24"/>
          <w:szCs w:val="24"/>
        </w:rPr>
      </w:pPr>
      <w:r>
        <w:rPr>
          <w:rFonts w:hint="eastAsia"/>
          <w:color w:val="000000"/>
          <w:sz w:val="24"/>
          <w:szCs w:val="24"/>
        </w:rPr>
        <w:t>E</w:t>
      </w:r>
      <w:r>
        <w:rPr>
          <w:rFonts w:hint="eastAsia"/>
          <w:color w:val="000000"/>
          <w:sz w:val="24"/>
          <w:szCs w:val="24"/>
          <w:vertAlign w:val="subscript"/>
        </w:rPr>
        <w:t>购入电</w:t>
      </w:r>
      <w:r>
        <w:rPr>
          <w:rFonts w:hint="eastAsia"/>
          <w:color w:val="000000"/>
          <w:sz w:val="24"/>
          <w:szCs w:val="24"/>
        </w:rPr>
        <w:t>——购入的电力所产生的二氧化碳排放，单位为吨二氧化碳（tCO</w:t>
      </w:r>
      <w:r>
        <w:rPr>
          <w:rFonts w:hint="eastAsia"/>
          <w:color w:val="000000"/>
          <w:sz w:val="24"/>
          <w:szCs w:val="24"/>
          <w:vertAlign w:val="subscript"/>
        </w:rPr>
        <w:t>2</w:t>
      </w:r>
      <w:r>
        <w:rPr>
          <w:rFonts w:hint="eastAsia"/>
          <w:color w:val="000000"/>
          <w:sz w:val="24"/>
          <w:szCs w:val="24"/>
        </w:rPr>
        <w:t>）；</w:t>
      </w:r>
    </w:p>
    <w:p w14:paraId="494D169E">
      <w:pPr>
        <w:spacing w:line="360" w:lineRule="auto"/>
        <w:ind w:firstLine="960" w:firstLineChars="400"/>
        <w:rPr>
          <w:color w:val="000000"/>
          <w:sz w:val="24"/>
          <w:szCs w:val="24"/>
        </w:rPr>
      </w:pPr>
      <w:r>
        <w:rPr>
          <w:rFonts w:hint="eastAsia"/>
          <w:color w:val="000000"/>
          <w:sz w:val="24"/>
          <w:szCs w:val="24"/>
        </w:rPr>
        <w:t>AD</w:t>
      </w:r>
      <w:r>
        <w:rPr>
          <w:rFonts w:hint="eastAsia"/>
          <w:color w:val="000000"/>
          <w:sz w:val="24"/>
          <w:szCs w:val="24"/>
          <w:vertAlign w:val="subscript"/>
        </w:rPr>
        <w:t>购入电</w:t>
      </w:r>
      <w:r>
        <w:rPr>
          <w:rFonts w:hint="eastAsia"/>
          <w:color w:val="000000"/>
          <w:sz w:val="24"/>
          <w:szCs w:val="24"/>
        </w:rPr>
        <w:t>——购入的电力量，单位为兆瓦时（MWh）；D电力=650MWh/a。</w:t>
      </w:r>
    </w:p>
    <w:p w14:paraId="2D698EC1">
      <w:pPr>
        <w:spacing w:line="360" w:lineRule="auto"/>
        <w:ind w:firstLine="960" w:firstLineChars="400"/>
        <w:rPr>
          <w:color w:val="000000"/>
          <w:sz w:val="24"/>
          <w:szCs w:val="24"/>
        </w:rPr>
      </w:pPr>
      <w:r>
        <w:rPr>
          <w:rFonts w:hint="eastAsia"/>
          <w:color w:val="000000"/>
          <w:sz w:val="24"/>
          <w:szCs w:val="24"/>
        </w:rPr>
        <w:t>EF</w:t>
      </w:r>
      <w:r>
        <w:rPr>
          <w:rFonts w:hint="eastAsia"/>
          <w:color w:val="000000"/>
          <w:sz w:val="24"/>
          <w:szCs w:val="24"/>
          <w:vertAlign w:val="subscript"/>
        </w:rPr>
        <w:t>电</w:t>
      </w:r>
      <w:r>
        <w:rPr>
          <w:rFonts w:hint="eastAsia"/>
          <w:color w:val="000000"/>
          <w:sz w:val="24"/>
          <w:szCs w:val="24"/>
        </w:rPr>
        <w:t>——电力生产排放因子，单位为吨二氧化碳每兆瓦时（tCO</w:t>
      </w:r>
      <w:r>
        <w:rPr>
          <w:rFonts w:hint="eastAsia"/>
          <w:color w:val="000000"/>
          <w:sz w:val="24"/>
          <w:szCs w:val="24"/>
          <w:vertAlign w:val="subscript"/>
        </w:rPr>
        <w:t>2</w:t>
      </w:r>
      <w:r>
        <w:rPr>
          <w:rFonts w:hint="eastAsia"/>
          <w:color w:val="000000"/>
          <w:sz w:val="24"/>
          <w:szCs w:val="24"/>
        </w:rPr>
        <w:t>/MWh）。按照《关于做好2022年企业温室气体排放报告管理相关重点工作的通知》（环办气候函〔2022〕111号）中电网电力排放因子0.5810tCO</w:t>
      </w:r>
      <w:r>
        <w:rPr>
          <w:rFonts w:hint="eastAsia"/>
          <w:color w:val="000000"/>
          <w:sz w:val="24"/>
          <w:szCs w:val="24"/>
          <w:vertAlign w:val="subscript"/>
        </w:rPr>
        <w:t>2</w:t>
      </w:r>
      <w:r>
        <w:rPr>
          <w:rFonts w:hint="eastAsia"/>
          <w:color w:val="000000"/>
          <w:sz w:val="24"/>
          <w:szCs w:val="24"/>
        </w:rPr>
        <w:t>/MWh。</w:t>
      </w:r>
    </w:p>
    <w:p w14:paraId="45965668">
      <w:pPr>
        <w:spacing w:line="360" w:lineRule="auto"/>
        <w:rPr>
          <w:color w:val="000000"/>
          <w:sz w:val="24"/>
          <w:szCs w:val="24"/>
        </w:rPr>
      </w:pPr>
      <w:r>
        <w:rPr>
          <w:rFonts w:hint="eastAsia"/>
          <w:color w:val="000000"/>
          <w:sz w:val="24"/>
          <w:szCs w:val="24"/>
        </w:rPr>
        <w:t xml:space="preserve">        GWP——全球变暖潜势，数值可参考政府间气候变化专门委员会（IPCC）提供的数据，二氧化碳全球变暖潜值为1。</w:t>
      </w:r>
    </w:p>
    <w:p w14:paraId="337DBAE2">
      <w:pPr>
        <w:spacing w:line="360" w:lineRule="auto"/>
        <w:ind w:firstLine="480" w:firstLineChars="200"/>
        <w:rPr>
          <w:color w:val="000000"/>
          <w:sz w:val="24"/>
          <w:szCs w:val="24"/>
        </w:rPr>
      </w:pPr>
      <w:r>
        <w:rPr>
          <w:rFonts w:hint="eastAsia"/>
          <w:color w:val="000000"/>
          <w:sz w:val="24"/>
          <w:szCs w:val="24"/>
        </w:rPr>
        <w:t>②活动水平数据的获取</w:t>
      </w:r>
    </w:p>
    <w:p w14:paraId="7977478A">
      <w:pPr>
        <w:spacing w:line="360" w:lineRule="auto"/>
        <w:ind w:firstLine="480" w:firstLineChars="200"/>
        <w:rPr>
          <w:color w:val="000000"/>
          <w:sz w:val="24"/>
          <w:szCs w:val="24"/>
        </w:rPr>
      </w:pPr>
      <w:r>
        <w:rPr>
          <w:rFonts w:hint="eastAsia"/>
          <w:color w:val="000000"/>
          <w:sz w:val="24"/>
          <w:szCs w:val="24"/>
        </w:rPr>
        <w:t>项目用电量650MWh。</w:t>
      </w:r>
    </w:p>
    <w:p w14:paraId="7000785C">
      <w:pPr>
        <w:spacing w:line="360" w:lineRule="auto"/>
        <w:ind w:firstLine="480" w:firstLineChars="200"/>
        <w:rPr>
          <w:color w:val="000000"/>
          <w:sz w:val="24"/>
          <w:szCs w:val="24"/>
        </w:rPr>
      </w:pPr>
      <w:r>
        <w:rPr>
          <w:rFonts w:hint="eastAsia"/>
          <w:color w:val="000000"/>
          <w:sz w:val="24"/>
          <w:szCs w:val="24"/>
        </w:rPr>
        <w:t>③排放因子数据的获取</w:t>
      </w:r>
    </w:p>
    <w:p w14:paraId="5D164BBE">
      <w:pPr>
        <w:spacing w:line="360" w:lineRule="auto"/>
        <w:ind w:firstLine="480" w:firstLineChars="200"/>
        <w:rPr>
          <w:color w:val="000000"/>
          <w:sz w:val="24"/>
          <w:szCs w:val="24"/>
        </w:rPr>
      </w:pPr>
      <w:r>
        <w:rPr>
          <w:rFonts w:hint="eastAsia"/>
          <w:color w:val="000000"/>
          <w:sz w:val="24"/>
          <w:szCs w:val="24"/>
        </w:rPr>
        <w:t>项目采用国家最新发布值，取值来源于《关于做好2022年企业温室气体排放报告管理相关重点工作的通知》（环办气候函〔2022〕111号）中电网排放因子0.5810tCO</w:t>
      </w:r>
      <w:r>
        <w:rPr>
          <w:rFonts w:hint="eastAsia"/>
          <w:color w:val="000000"/>
          <w:sz w:val="24"/>
          <w:szCs w:val="24"/>
          <w:vertAlign w:val="subscript"/>
        </w:rPr>
        <w:t>2</w:t>
      </w:r>
      <w:r>
        <w:rPr>
          <w:rFonts w:hint="eastAsia"/>
          <w:color w:val="000000"/>
          <w:sz w:val="24"/>
          <w:szCs w:val="24"/>
        </w:rPr>
        <w:t>/MWh。</w:t>
      </w:r>
    </w:p>
    <w:p w14:paraId="3B64AEA3">
      <w:pPr>
        <w:spacing w:line="360" w:lineRule="auto"/>
        <w:ind w:firstLine="480" w:firstLineChars="200"/>
        <w:rPr>
          <w:color w:val="000000"/>
          <w:sz w:val="24"/>
          <w:szCs w:val="24"/>
        </w:rPr>
      </w:pPr>
      <w:r>
        <w:rPr>
          <w:rFonts w:hint="eastAsia"/>
          <w:color w:val="000000"/>
          <w:sz w:val="24"/>
          <w:szCs w:val="24"/>
        </w:rPr>
        <w:t>④计算结果</w:t>
      </w:r>
    </w:p>
    <w:p w14:paraId="208C6B4C">
      <w:pPr>
        <w:spacing w:line="360" w:lineRule="auto"/>
        <w:ind w:firstLine="480" w:firstLineChars="200"/>
        <w:rPr>
          <w:color w:val="000000"/>
          <w:sz w:val="24"/>
          <w:szCs w:val="24"/>
        </w:rPr>
      </w:pPr>
      <w:r>
        <w:rPr>
          <w:rFonts w:hint="eastAsia"/>
          <w:color w:val="000000"/>
          <w:sz w:val="24"/>
          <w:szCs w:val="24"/>
        </w:rPr>
        <w:t>本项目净购入电力排放的CO</w:t>
      </w:r>
      <w:r>
        <w:rPr>
          <w:rFonts w:hint="eastAsia"/>
          <w:color w:val="000000"/>
          <w:sz w:val="24"/>
          <w:szCs w:val="24"/>
          <w:vertAlign w:val="subscript"/>
        </w:rPr>
        <w:t>2</w:t>
      </w:r>
      <w:r>
        <w:rPr>
          <w:rFonts w:hint="eastAsia"/>
          <w:color w:val="000000"/>
          <w:sz w:val="24"/>
          <w:szCs w:val="24"/>
        </w:rPr>
        <w:t>排放计算如下：</w:t>
      </w:r>
    </w:p>
    <w:p w14:paraId="45FD1268">
      <w:pPr>
        <w:widowControl/>
        <w:spacing w:line="360" w:lineRule="auto"/>
        <w:ind w:firstLine="480" w:firstLineChars="200"/>
        <w:jc w:val="center"/>
        <w:rPr>
          <w:color w:val="000000"/>
          <w:kern w:val="0"/>
          <w:sz w:val="24"/>
          <w:szCs w:val="24"/>
          <w:lang w:bidi="ar"/>
        </w:rPr>
      </w:pPr>
      <w:r>
        <w:rPr>
          <w:color w:val="000000"/>
          <w:kern w:val="0"/>
          <w:sz w:val="24"/>
          <w:szCs w:val="24"/>
          <w:lang w:bidi="ar"/>
        </w:rPr>
        <w:t>E</w:t>
      </w:r>
      <w:r>
        <w:rPr>
          <w:color w:val="000000"/>
          <w:kern w:val="0"/>
          <w:sz w:val="24"/>
          <w:szCs w:val="24"/>
          <w:vertAlign w:val="subscript"/>
          <w:lang w:bidi="ar"/>
        </w:rPr>
        <w:t>购入电</w:t>
      </w:r>
      <w:r>
        <w:rPr>
          <w:color w:val="000000"/>
          <w:kern w:val="0"/>
          <w:sz w:val="24"/>
          <w:szCs w:val="24"/>
          <w:lang w:bidi="ar"/>
        </w:rPr>
        <w:t>=</w:t>
      </w:r>
      <w:r>
        <w:rPr>
          <w:rFonts w:hint="eastAsia"/>
          <w:color w:val="000000"/>
          <w:sz w:val="24"/>
          <w:szCs w:val="24"/>
        </w:rPr>
        <w:t>650</w:t>
      </w:r>
      <w:r>
        <w:rPr>
          <w:color w:val="000000"/>
          <w:kern w:val="0"/>
          <w:sz w:val="24"/>
          <w:szCs w:val="24"/>
          <w:lang w:bidi="ar"/>
        </w:rPr>
        <w:t>×0.5810×</w:t>
      </w:r>
      <w:r>
        <w:rPr>
          <w:rFonts w:hint="eastAsia"/>
          <w:color w:val="000000"/>
          <w:kern w:val="0"/>
          <w:sz w:val="24"/>
          <w:szCs w:val="24"/>
          <w:lang w:bidi="ar"/>
        </w:rPr>
        <w:t>1</w:t>
      </w:r>
      <w:r>
        <w:rPr>
          <w:color w:val="000000"/>
          <w:kern w:val="0"/>
          <w:sz w:val="24"/>
          <w:szCs w:val="24"/>
          <w:lang w:bidi="ar"/>
        </w:rPr>
        <w:t>=</w:t>
      </w:r>
      <w:r>
        <w:rPr>
          <w:rFonts w:hint="eastAsia"/>
          <w:color w:val="000000"/>
          <w:sz w:val="24"/>
          <w:szCs w:val="24"/>
        </w:rPr>
        <w:t>377.65</w:t>
      </w:r>
      <w:r>
        <w:rPr>
          <w:color w:val="000000"/>
          <w:kern w:val="0"/>
          <w:sz w:val="24"/>
          <w:szCs w:val="24"/>
          <w:lang w:bidi="ar"/>
        </w:rPr>
        <w:t>tCO</w:t>
      </w:r>
      <w:r>
        <w:rPr>
          <w:color w:val="000000"/>
          <w:kern w:val="0"/>
          <w:sz w:val="24"/>
          <w:szCs w:val="24"/>
          <w:vertAlign w:val="subscript"/>
          <w:lang w:bidi="ar"/>
        </w:rPr>
        <w:t>2</w:t>
      </w:r>
    </w:p>
    <w:p w14:paraId="18B80AC8">
      <w:pPr>
        <w:pStyle w:val="4"/>
        <w:autoSpaceDE w:val="0"/>
        <w:autoSpaceDN w:val="0"/>
        <w:spacing w:before="0" w:after="0" w:line="360" w:lineRule="auto"/>
        <w:jc w:val="left"/>
        <w:rPr>
          <w:kern w:val="0"/>
          <w:sz w:val="24"/>
          <w:lang w:val="en-US" w:bidi="zh-CN"/>
        </w:rPr>
      </w:pPr>
      <w:bookmarkStart w:id="423" w:name="_Toc9962"/>
      <w:bookmarkStart w:id="424" w:name="_Toc3874"/>
      <w:r>
        <w:rPr>
          <w:rFonts w:hint="eastAsia"/>
          <w:kern w:val="0"/>
          <w:sz w:val="24"/>
          <w:lang w:val="en-US" w:bidi="zh-CN"/>
        </w:rPr>
        <w:t>7.3.3碳排放量汇总</w:t>
      </w:r>
      <w:bookmarkEnd w:id="423"/>
      <w:bookmarkEnd w:id="424"/>
    </w:p>
    <w:p w14:paraId="67825CD1">
      <w:pPr>
        <w:spacing w:line="360" w:lineRule="auto"/>
        <w:ind w:firstLine="480" w:firstLineChars="200"/>
        <w:jc w:val="center"/>
        <w:rPr>
          <w:color w:val="000000"/>
          <w:sz w:val="24"/>
          <w:szCs w:val="24"/>
        </w:rPr>
      </w:pPr>
      <w:r>
        <w:rPr>
          <w:color w:val="000000"/>
          <w:sz w:val="24"/>
          <w:szCs w:val="24"/>
        </w:rPr>
        <w:t>E=E</w:t>
      </w:r>
      <w:r>
        <w:rPr>
          <w:color w:val="000000"/>
          <w:sz w:val="24"/>
          <w:szCs w:val="24"/>
          <w:vertAlign w:val="subscript"/>
        </w:rPr>
        <w:t>燃烧</w:t>
      </w:r>
      <w:r>
        <w:rPr>
          <w:color w:val="000000"/>
          <w:sz w:val="24"/>
          <w:szCs w:val="24"/>
        </w:rPr>
        <w:t>+E</w:t>
      </w:r>
      <w:r>
        <w:rPr>
          <w:color w:val="000000"/>
          <w:sz w:val="24"/>
          <w:szCs w:val="24"/>
          <w:vertAlign w:val="subscript"/>
        </w:rPr>
        <w:t>过程</w:t>
      </w:r>
      <w:r>
        <w:rPr>
          <w:color w:val="000000"/>
          <w:sz w:val="24"/>
          <w:szCs w:val="24"/>
        </w:rPr>
        <w:t>+E</w:t>
      </w:r>
      <w:r>
        <w:rPr>
          <w:color w:val="000000"/>
          <w:sz w:val="24"/>
          <w:szCs w:val="24"/>
          <w:vertAlign w:val="subscript"/>
        </w:rPr>
        <w:t>购入电</w:t>
      </w:r>
      <w:r>
        <w:rPr>
          <w:color w:val="000000"/>
          <w:sz w:val="24"/>
          <w:szCs w:val="24"/>
        </w:rPr>
        <w:t>-E</w:t>
      </w:r>
      <w:r>
        <w:rPr>
          <w:color w:val="000000"/>
          <w:sz w:val="24"/>
          <w:szCs w:val="24"/>
          <w:vertAlign w:val="subscript"/>
        </w:rPr>
        <w:t>输出电</w:t>
      </w:r>
      <w:r>
        <w:rPr>
          <w:color w:val="000000"/>
          <w:sz w:val="24"/>
          <w:szCs w:val="24"/>
        </w:rPr>
        <w:t>+E</w:t>
      </w:r>
      <w:r>
        <w:rPr>
          <w:color w:val="000000"/>
          <w:sz w:val="24"/>
          <w:szCs w:val="24"/>
          <w:vertAlign w:val="subscript"/>
        </w:rPr>
        <w:t>购入热</w:t>
      </w:r>
      <w:r>
        <w:rPr>
          <w:color w:val="000000"/>
          <w:sz w:val="24"/>
          <w:szCs w:val="24"/>
        </w:rPr>
        <w:t>-E</w:t>
      </w:r>
      <w:r>
        <w:rPr>
          <w:color w:val="000000"/>
          <w:sz w:val="24"/>
          <w:szCs w:val="24"/>
          <w:vertAlign w:val="subscript"/>
        </w:rPr>
        <w:t>输出热</w:t>
      </w:r>
      <w:r>
        <w:rPr>
          <w:color w:val="000000"/>
          <w:sz w:val="24"/>
          <w:szCs w:val="24"/>
        </w:rPr>
        <w:t>-E</w:t>
      </w:r>
      <w:r>
        <w:rPr>
          <w:color w:val="000000"/>
          <w:sz w:val="24"/>
          <w:szCs w:val="24"/>
          <w:vertAlign w:val="subscript"/>
        </w:rPr>
        <w:t>回收利用</w:t>
      </w:r>
    </w:p>
    <w:p w14:paraId="0F2FA6AE">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式中：</w:t>
      </w:r>
    </w:p>
    <w:p w14:paraId="321A1224">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E--企业温室气体排放总量，单位为吨二氧化碳当量（tCO</w:t>
      </w:r>
      <w:r>
        <w:rPr>
          <w:rFonts w:hint="eastAsia" w:ascii="宋体" w:hAnsi="宋体" w:cs="宋体"/>
          <w:color w:val="000000"/>
          <w:sz w:val="24"/>
          <w:szCs w:val="24"/>
          <w:vertAlign w:val="subscript"/>
        </w:rPr>
        <w:t>2e</w:t>
      </w:r>
      <w:r>
        <w:rPr>
          <w:rFonts w:hint="eastAsia" w:ascii="宋体" w:hAnsi="宋体" w:cs="宋体"/>
          <w:color w:val="000000"/>
          <w:sz w:val="24"/>
          <w:szCs w:val="24"/>
        </w:rPr>
        <w:t>）；</w:t>
      </w:r>
    </w:p>
    <w:p w14:paraId="2D36BA02">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E</w:t>
      </w:r>
      <w:r>
        <w:rPr>
          <w:rFonts w:hint="eastAsia" w:ascii="宋体" w:hAnsi="宋体" w:cs="宋体"/>
          <w:color w:val="000000"/>
          <w:sz w:val="24"/>
          <w:szCs w:val="24"/>
          <w:vertAlign w:val="subscript"/>
        </w:rPr>
        <w:t>燃烧</w:t>
      </w:r>
      <w:r>
        <w:rPr>
          <w:rFonts w:hint="eastAsia" w:ascii="宋体" w:hAnsi="宋体" w:cs="宋体"/>
          <w:color w:val="000000"/>
          <w:sz w:val="24"/>
          <w:szCs w:val="24"/>
        </w:rPr>
        <w:t>--企业的燃料燃烧排放量，单位为吨二氧化碳当量（tCO</w:t>
      </w:r>
      <w:r>
        <w:rPr>
          <w:rFonts w:hint="eastAsia" w:ascii="宋体" w:hAnsi="宋体" w:cs="宋体"/>
          <w:color w:val="000000"/>
          <w:sz w:val="24"/>
          <w:szCs w:val="24"/>
          <w:vertAlign w:val="subscript"/>
        </w:rPr>
        <w:t>2e</w:t>
      </w:r>
      <w:r>
        <w:rPr>
          <w:rFonts w:hint="eastAsia" w:ascii="宋体" w:hAnsi="宋体" w:cs="宋体"/>
          <w:color w:val="000000"/>
          <w:sz w:val="24"/>
          <w:szCs w:val="24"/>
        </w:rPr>
        <w:t>）；</w:t>
      </w:r>
    </w:p>
    <w:p w14:paraId="278AAAC8">
      <w:pPr>
        <w:pStyle w:val="32"/>
        <w:spacing w:after="0" w:line="360" w:lineRule="auto"/>
        <w:rPr>
          <w:rFonts w:hint="eastAsia" w:ascii="宋体" w:hAnsi="宋体" w:cs="宋体"/>
          <w:color w:val="000000"/>
          <w:sz w:val="24"/>
        </w:rPr>
      </w:pPr>
      <w:r>
        <w:rPr>
          <w:rFonts w:hint="eastAsia" w:ascii="宋体" w:hAnsi="宋体" w:cs="宋体"/>
          <w:color w:val="000000"/>
          <w:sz w:val="24"/>
        </w:rPr>
        <w:t>E</w:t>
      </w:r>
      <w:r>
        <w:rPr>
          <w:rFonts w:hint="eastAsia" w:ascii="宋体" w:hAnsi="宋体" w:cs="宋体"/>
          <w:color w:val="000000"/>
          <w:sz w:val="24"/>
          <w:vertAlign w:val="subscript"/>
        </w:rPr>
        <w:t>过程</w:t>
      </w:r>
      <w:r>
        <w:rPr>
          <w:rFonts w:hint="eastAsia" w:ascii="宋体" w:hAnsi="宋体" w:cs="宋体"/>
          <w:color w:val="000000"/>
          <w:sz w:val="24"/>
        </w:rPr>
        <w:t>--过程温室气体排放量，单位为吨二氧化碳当量（tCO</w:t>
      </w:r>
      <w:r>
        <w:rPr>
          <w:rFonts w:hint="eastAsia" w:ascii="宋体" w:hAnsi="宋体" w:cs="宋体"/>
          <w:color w:val="000000"/>
          <w:sz w:val="24"/>
          <w:vertAlign w:val="subscript"/>
        </w:rPr>
        <w:t>2e</w:t>
      </w:r>
      <w:r>
        <w:rPr>
          <w:rFonts w:hint="eastAsia" w:ascii="宋体" w:hAnsi="宋体" w:cs="宋体"/>
          <w:color w:val="000000"/>
          <w:sz w:val="24"/>
        </w:rPr>
        <w:t>）；</w:t>
      </w:r>
    </w:p>
    <w:p w14:paraId="0DC67C26">
      <w:pPr>
        <w:pStyle w:val="32"/>
        <w:spacing w:after="0" w:line="360" w:lineRule="auto"/>
        <w:rPr>
          <w:rFonts w:hint="eastAsia" w:ascii="宋体" w:hAnsi="宋体" w:cs="宋体"/>
          <w:color w:val="000000"/>
          <w:sz w:val="24"/>
        </w:rPr>
      </w:pPr>
      <w:r>
        <w:rPr>
          <w:rFonts w:hint="eastAsia" w:ascii="宋体" w:hAnsi="宋体" w:cs="宋体"/>
          <w:color w:val="000000"/>
          <w:sz w:val="24"/>
        </w:rPr>
        <w:t>E</w:t>
      </w:r>
      <w:r>
        <w:rPr>
          <w:rFonts w:hint="eastAsia" w:ascii="宋体" w:hAnsi="宋体" w:cs="宋体"/>
          <w:color w:val="000000"/>
          <w:sz w:val="24"/>
          <w:vertAlign w:val="subscript"/>
        </w:rPr>
        <w:t>购入电</w:t>
      </w:r>
      <w:r>
        <w:rPr>
          <w:rFonts w:hint="eastAsia" w:ascii="宋体" w:hAnsi="宋体" w:cs="宋体"/>
          <w:color w:val="000000"/>
          <w:sz w:val="24"/>
        </w:rPr>
        <w:t>--企业购入的电力产生的二氧化碳排放量，单位为吨二氧化碳当量（tCO</w:t>
      </w:r>
      <w:r>
        <w:rPr>
          <w:rFonts w:hint="eastAsia" w:ascii="宋体" w:hAnsi="宋体" w:cs="宋体"/>
          <w:color w:val="000000"/>
          <w:sz w:val="24"/>
          <w:vertAlign w:val="subscript"/>
        </w:rPr>
        <w:t>2e</w:t>
      </w:r>
      <w:r>
        <w:rPr>
          <w:rFonts w:hint="eastAsia" w:ascii="宋体" w:hAnsi="宋体" w:cs="宋体"/>
          <w:color w:val="000000"/>
          <w:sz w:val="24"/>
        </w:rPr>
        <w:t>）；</w:t>
      </w:r>
    </w:p>
    <w:p w14:paraId="129567D8">
      <w:pPr>
        <w:pStyle w:val="32"/>
        <w:spacing w:after="0" w:line="360" w:lineRule="auto"/>
        <w:rPr>
          <w:rFonts w:hint="eastAsia" w:ascii="宋体" w:hAnsi="宋体" w:cs="宋体"/>
          <w:color w:val="000000"/>
          <w:sz w:val="24"/>
        </w:rPr>
      </w:pPr>
      <w:r>
        <w:rPr>
          <w:rFonts w:hint="eastAsia" w:ascii="宋体" w:hAnsi="宋体" w:cs="宋体"/>
          <w:color w:val="000000"/>
          <w:sz w:val="24"/>
        </w:rPr>
        <w:t>E</w:t>
      </w:r>
      <w:r>
        <w:rPr>
          <w:rFonts w:hint="eastAsia" w:ascii="宋体" w:hAnsi="宋体" w:cs="宋体"/>
          <w:color w:val="000000"/>
          <w:sz w:val="24"/>
          <w:vertAlign w:val="subscript"/>
        </w:rPr>
        <w:t>输出电</w:t>
      </w:r>
      <w:r>
        <w:rPr>
          <w:rFonts w:hint="eastAsia" w:ascii="宋体" w:hAnsi="宋体" w:cs="宋体"/>
          <w:color w:val="000000"/>
          <w:sz w:val="24"/>
        </w:rPr>
        <w:t>--输出的电力产生的二氧化碳排放量，单位为吨二氧化碳当量（tCO</w:t>
      </w:r>
      <w:r>
        <w:rPr>
          <w:rFonts w:hint="eastAsia" w:ascii="宋体" w:hAnsi="宋体" w:cs="宋体"/>
          <w:color w:val="000000"/>
          <w:sz w:val="24"/>
          <w:vertAlign w:val="subscript"/>
        </w:rPr>
        <w:t>2e</w:t>
      </w:r>
      <w:r>
        <w:rPr>
          <w:rFonts w:hint="eastAsia" w:ascii="宋体" w:hAnsi="宋体" w:cs="宋体"/>
          <w:color w:val="000000"/>
          <w:sz w:val="24"/>
        </w:rPr>
        <w:t>）；</w:t>
      </w:r>
    </w:p>
    <w:p w14:paraId="08BD7920">
      <w:pPr>
        <w:pStyle w:val="32"/>
        <w:spacing w:after="0" w:line="360" w:lineRule="auto"/>
        <w:rPr>
          <w:rFonts w:hint="eastAsia" w:ascii="宋体" w:hAnsi="宋体" w:cs="宋体"/>
          <w:color w:val="000000"/>
          <w:sz w:val="24"/>
        </w:rPr>
      </w:pPr>
      <w:r>
        <w:rPr>
          <w:rFonts w:hint="eastAsia" w:ascii="宋体" w:hAnsi="宋体" w:cs="宋体"/>
          <w:color w:val="000000"/>
          <w:sz w:val="24"/>
        </w:rPr>
        <w:t>E</w:t>
      </w:r>
      <w:r>
        <w:rPr>
          <w:rFonts w:hint="eastAsia" w:ascii="宋体" w:hAnsi="宋体" w:cs="宋体"/>
          <w:color w:val="000000"/>
          <w:sz w:val="24"/>
          <w:vertAlign w:val="subscript"/>
        </w:rPr>
        <w:t>购入热</w:t>
      </w:r>
      <w:r>
        <w:rPr>
          <w:rFonts w:hint="eastAsia" w:ascii="宋体" w:hAnsi="宋体" w:cs="宋体"/>
          <w:color w:val="000000"/>
          <w:sz w:val="24"/>
        </w:rPr>
        <w:t>--购入的热力产生的二氧化碳排放量，单位为吨二氧化碳当量（tCO</w:t>
      </w:r>
      <w:r>
        <w:rPr>
          <w:rFonts w:hint="eastAsia" w:ascii="宋体" w:hAnsi="宋体" w:cs="宋体"/>
          <w:color w:val="000000"/>
          <w:sz w:val="24"/>
          <w:vertAlign w:val="subscript"/>
        </w:rPr>
        <w:t>2e</w:t>
      </w:r>
      <w:r>
        <w:rPr>
          <w:rFonts w:hint="eastAsia" w:ascii="宋体" w:hAnsi="宋体" w:cs="宋体"/>
          <w:color w:val="000000"/>
          <w:sz w:val="24"/>
        </w:rPr>
        <w:t>）；</w:t>
      </w:r>
    </w:p>
    <w:p w14:paraId="67DC882E">
      <w:pPr>
        <w:pStyle w:val="32"/>
        <w:spacing w:after="0" w:line="360" w:lineRule="auto"/>
        <w:rPr>
          <w:rFonts w:hint="eastAsia" w:ascii="宋体" w:hAnsi="宋体" w:cs="宋体"/>
          <w:color w:val="000000"/>
          <w:sz w:val="24"/>
        </w:rPr>
      </w:pPr>
      <w:r>
        <w:rPr>
          <w:rFonts w:hint="eastAsia" w:ascii="宋体" w:hAnsi="宋体" w:cs="宋体"/>
          <w:color w:val="000000"/>
          <w:sz w:val="24"/>
        </w:rPr>
        <w:t>E</w:t>
      </w:r>
      <w:r>
        <w:rPr>
          <w:rFonts w:hint="eastAsia" w:ascii="宋体" w:hAnsi="宋体" w:cs="宋体"/>
          <w:color w:val="000000"/>
          <w:sz w:val="24"/>
          <w:vertAlign w:val="subscript"/>
        </w:rPr>
        <w:t>输出热</w:t>
      </w:r>
      <w:r>
        <w:rPr>
          <w:rFonts w:hint="eastAsia" w:ascii="宋体" w:hAnsi="宋体" w:cs="宋体"/>
          <w:color w:val="000000"/>
          <w:sz w:val="24"/>
        </w:rPr>
        <w:t>--输出的热力产生的二氧化碳排放量，单位为吨二氧化碳当量（tCO</w:t>
      </w:r>
      <w:r>
        <w:rPr>
          <w:rFonts w:hint="eastAsia" w:ascii="宋体" w:hAnsi="宋体" w:cs="宋体"/>
          <w:color w:val="000000"/>
          <w:sz w:val="24"/>
          <w:vertAlign w:val="subscript"/>
        </w:rPr>
        <w:t>2e</w:t>
      </w:r>
      <w:r>
        <w:rPr>
          <w:rFonts w:hint="eastAsia" w:ascii="宋体" w:hAnsi="宋体" w:cs="宋体"/>
          <w:color w:val="000000"/>
          <w:sz w:val="24"/>
        </w:rPr>
        <w:t>）；</w:t>
      </w:r>
    </w:p>
    <w:p w14:paraId="12613876">
      <w:pPr>
        <w:pStyle w:val="32"/>
        <w:spacing w:after="0" w:line="360" w:lineRule="auto"/>
        <w:rPr>
          <w:rFonts w:hint="eastAsia" w:ascii="宋体" w:hAnsi="宋体" w:cs="宋体"/>
          <w:color w:val="000000"/>
          <w:sz w:val="24"/>
        </w:rPr>
      </w:pPr>
      <w:r>
        <w:rPr>
          <w:rFonts w:hint="eastAsia" w:ascii="宋体" w:hAnsi="宋体" w:cs="宋体"/>
          <w:color w:val="000000"/>
          <w:sz w:val="24"/>
        </w:rPr>
        <w:t>E</w:t>
      </w:r>
      <w:r>
        <w:rPr>
          <w:rFonts w:hint="eastAsia" w:ascii="宋体" w:hAnsi="宋体" w:cs="宋体"/>
          <w:color w:val="000000"/>
          <w:sz w:val="24"/>
          <w:vertAlign w:val="subscript"/>
        </w:rPr>
        <w:t>购入热</w:t>
      </w:r>
      <w:r>
        <w:rPr>
          <w:rFonts w:hint="eastAsia" w:ascii="宋体" w:hAnsi="宋体" w:cs="宋体"/>
          <w:color w:val="000000"/>
          <w:sz w:val="24"/>
        </w:rPr>
        <w:t>--购入的热力产生的二氧化碳排放量，单位为吨二氧化碳当量（tCO</w:t>
      </w:r>
      <w:r>
        <w:rPr>
          <w:rFonts w:hint="eastAsia" w:ascii="宋体" w:hAnsi="宋体" w:cs="宋体"/>
          <w:color w:val="000000"/>
          <w:sz w:val="24"/>
          <w:vertAlign w:val="subscript"/>
        </w:rPr>
        <w:t>2e</w:t>
      </w:r>
      <w:r>
        <w:rPr>
          <w:rFonts w:hint="eastAsia" w:ascii="宋体" w:hAnsi="宋体" w:cs="宋体"/>
          <w:color w:val="000000"/>
          <w:sz w:val="24"/>
        </w:rPr>
        <w:t>）；</w:t>
      </w:r>
    </w:p>
    <w:p w14:paraId="36BFC1FD">
      <w:pPr>
        <w:pStyle w:val="32"/>
        <w:spacing w:after="0" w:line="360" w:lineRule="auto"/>
        <w:rPr>
          <w:rFonts w:hint="eastAsia" w:ascii="宋体" w:hAnsi="宋体" w:cs="宋体"/>
          <w:color w:val="000000"/>
          <w:sz w:val="24"/>
        </w:rPr>
      </w:pPr>
      <w:r>
        <w:rPr>
          <w:rFonts w:hint="eastAsia" w:ascii="宋体" w:hAnsi="宋体" w:cs="宋体"/>
          <w:color w:val="000000"/>
          <w:sz w:val="24"/>
        </w:rPr>
        <w:t>E</w:t>
      </w:r>
      <w:r>
        <w:rPr>
          <w:rFonts w:hint="eastAsia" w:ascii="宋体" w:hAnsi="宋体" w:cs="宋体"/>
          <w:color w:val="000000"/>
          <w:sz w:val="24"/>
          <w:vertAlign w:val="subscript"/>
        </w:rPr>
        <w:t>回收利用</w:t>
      </w:r>
      <w:r>
        <w:rPr>
          <w:rFonts w:hint="eastAsia" w:ascii="宋体" w:hAnsi="宋体" w:cs="宋体"/>
          <w:color w:val="000000"/>
          <w:sz w:val="24"/>
        </w:rPr>
        <w:t>--燃料燃烧、工艺过程产生温室气体经回收作为生产原料自用或作为产品外</w:t>
      </w:r>
    </w:p>
    <w:p w14:paraId="7581C672">
      <w:pPr>
        <w:pStyle w:val="32"/>
        <w:spacing w:after="0" w:line="360" w:lineRule="auto"/>
        <w:ind w:left="0" w:leftChars="0"/>
        <w:rPr>
          <w:rFonts w:hint="eastAsia" w:ascii="宋体" w:hAnsi="宋体" w:cs="宋体"/>
          <w:color w:val="000000"/>
          <w:sz w:val="24"/>
        </w:rPr>
      </w:pPr>
      <w:r>
        <w:rPr>
          <w:rFonts w:hint="eastAsia" w:ascii="宋体" w:hAnsi="宋体" w:cs="宋体"/>
          <w:color w:val="000000"/>
          <w:sz w:val="24"/>
        </w:rPr>
        <w:t>供所对应的温室气体排放量，单位为吨二氧化碳当量（tCO</w:t>
      </w:r>
      <w:r>
        <w:rPr>
          <w:rFonts w:hint="eastAsia" w:ascii="宋体" w:hAnsi="宋体" w:cs="宋体"/>
          <w:color w:val="000000"/>
          <w:sz w:val="24"/>
          <w:vertAlign w:val="subscript"/>
        </w:rPr>
        <w:t>2e</w:t>
      </w:r>
      <w:r>
        <w:rPr>
          <w:rFonts w:hint="eastAsia" w:ascii="宋体" w:hAnsi="宋体" w:cs="宋体"/>
          <w:color w:val="000000"/>
          <w:sz w:val="24"/>
        </w:rPr>
        <w:t>）；</w:t>
      </w:r>
    </w:p>
    <w:p w14:paraId="0EA704D2">
      <w:pPr>
        <w:jc w:val="center"/>
        <w:rPr>
          <w:b/>
          <w:bCs/>
          <w:color w:val="000000"/>
          <w:szCs w:val="21"/>
        </w:rPr>
      </w:pPr>
      <w:r>
        <w:rPr>
          <w:rFonts w:hint="eastAsia"/>
          <w:b/>
          <w:bCs/>
          <w:color w:val="000000"/>
          <w:szCs w:val="21"/>
        </w:rPr>
        <w:t>表7.3-1  碳排放量汇总表</w:t>
      </w:r>
    </w:p>
    <w:tbl>
      <w:tblPr>
        <w:tblStyle w:val="49"/>
        <w:tblW w:w="4844" w:type="pct"/>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autofit"/>
        <w:tblCellMar>
          <w:top w:w="0" w:type="dxa"/>
          <w:left w:w="108" w:type="dxa"/>
          <w:bottom w:w="0" w:type="dxa"/>
          <w:right w:w="108" w:type="dxa"/>
        </w:tblCellMar>
      </w:tblPr>
      <w:tblGrid>
        <w:gridCol w:w="4712"/>
        <w:gridCol w:w="4286"/>
      </w:tblGrid>
      <w:tr w14:paraId="20892AD3">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89" w:hRule="atLeast"/>
          <w:jc w:val="center"/>
        </w:trPr>
        <w:tc>
          <w:tcPr>
            <w:tcW w:w="2618" w:type="pct"/>
            <w:tcBorders>
              <w:tl2br w:val="nil"/>
              <w:tr2bl w:val="nil"/>
            </w:tcBorders>
            <w:vAlign w:val="center"/>
          </w:tcPr>
          <w:p w14:paraId="38709414">
            <w:pPr>
              <w:jc w:val="center"/>
              <w:rPr>
                <w:b/>
                <w:bCs/>
                <w:color w:val="000000"/>
                <w:szCs w:val="21"/>
              </w:rPr>
            </w:pPr>
            <w:r>
              <w:rPr>
                <w:b/>
                <w:bCs/>
                <w:color w:val="000000"/>
                <w:szCs w:val="21"/>
              </w:rPr>
              <w:t>类别</w:t>
            </w:r>
          </w:p>
        </w:tc>
        <w:tc>
          <w:tcPr>
            <w:tcW w:w="2381" w:type="pct"/>
            <w:tcBorders>
              <w:tl2br w:val="nil"/>
              <w:tr2bl w:val="nil"/>
            </w:tcBorders>
            <w:vAlign w:val="center"/>
          </w:tcPr>
          <w:p w14:paraId="51ED880D">
            <w:pPr>
              <w:jc w:val="center"/>
              <w:rPr>
                <w:b/>
                <w:bCs/>
                <w:color w:val="000000"/>
                <w:szCs w:val="21"/>
              </w:rPr>
            </w:pPr>
            <w:r>
              <w:rPr>
                <w:b/>
                <w:bCs/>
                <w:color w:val="000000"/>
                <w:szCs w:val="21"/>
              </w:rPr>
              <w:t>CO</w:t>
            </w:r>
            <w:r>
              <w:rPr>
                <w:b/>
                <w:bCs/>
                <w:color w:val="000000"/>
                <w:szCs w:val="21"/>
                <w:vertAlign w:val="subscript"/>
              </w:rPr>
              <w:t>2</w:t>
            </w:r>
            <w:r>
              <w:rPr>
                <w:b/>
                <w:bCs/>
                <w:color w:val="000000"/>
                <w:szCs w:val="21"/>
              </w:rPr>
              <w:t>当量（单位：吨CO</w:t>
            </w:r>
            <w:r>
              <w:rPr>
                <w:b/>
                <w:bCs/>
                <w:color w:val="000000"/>
                <w:szCs w:val="21"/>
                <w:vertAlign w:val="subscript"/>
              </w:rPr>
              <w:t>2</w:t>
            </w:r>
            <w:r>
              <w:rPr>
                <w:b/>
                <w:bCs/>
                <w:color w:val="000000"/>
                <w:szCs w:val="21"/>
              </w:rPr>
              <w:t>当量）</w:t>
            </w:r>
          </w:p>
        </w:tc>
      </w:tr>
      <w:tr w14:paraId="0FDB080E">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54" w:hRule="atLeast"/>
          <w:jc w:val="center"/>
        </w:trPr>
        <w:tc>
          <w:tcPr>
            <w:tcW w:w="2618" w:type="pct"/>
            <w:tcBorders>
              <w:tl2br w:val="nil"/>
              <w:tr2bl w:val="nil"/>
            </w:tcBorders>
            <w:vAlign w:val="center"/>
          </w:tcPr>
          <w:p w14:paraId="493C9ACC">
            <w:pPr>
              <w:jc w:val="center"/>
              <w:rPr>
                <w:color w:val="000000"/>
                <w:szCs w:val="21"/>
              </w:rPr>
            </w:pPr>
            <w:r>
              <w:rPr>
                <w:rFonts w:hint="eastAsia"/>
                <w:color w:val="000000"/>
                <w:szCs w:val="21"/>
              </w:rPr>
              <w:t>燃料燃烧</w:t>
            </w:r>
            <w:r>
              <w:rPr>
                <w:color w:val="000000"/>
                <w:szCs w:val="21"/>
              </w:rPr>
              <w:t>CO</w:t>
            </w:r>
            <w:r>
              <w:rPr>
                <w:color w:val="000000"/>
                <w:szCs w:val="21"/>
                <w:vertAlign w:val="subscript"/>
              </w:rPr>
              <w:t>2</w:t>
            </w:r>
            <w:r>
              <w:rPr>
                <w:color w:val="000000"/>
                <w:szCs w:val="21"/>
              </w:rPr>
              <w:t>排放</w:t>
            </w:r>
          </w:p>
        </w:tc>
        <w:tc>
          <w:tcPr>
            <w:tcW w:w="2381" w:type="pct"/>
            <w:tcBorders>
              <w:tl2br w:val="nil"/>
              <w:tr2bl w:val="nil"/>
            </w:tcBorders>
            <w:vAlign w:val="center"/>
          </w:tcPr>
          <w:p w14:paraId="350B5C27">
            <w:pPr>
              <w:jc w:val="center"/>
              <w:rPr>
                <w:color w:val="000000"/>
                <w:kern w:val="0"/>
                <w:szCs w:val="21"/>
                <w:lang w:bidi="ar"/>
              </w:rPr>
            </w:pPr>
            <w:r>
              <w:rPr>
                <w:rFonts w:hint="eastAsia"/>
                <w:color w:val="000000"/>
                <w:kern w:val="0"/>
                <w:szCs w:val="21"/>
                <w:lang w:bidi="ar"/>
              </w:rPr>
              <w:t>0</w:t>
            </w:r>
          </w:p>
        </w:tc>
      </w:tr>
      <w:tr w14:paraId="6234963A">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54" w:hRule="atLeast"/>
          <w:jc w:val="center"/>
        </w:trPr>
        <w:tc>
          <w:tcPr>
            <w:tcW w:w="2618" w:type="pct"/>
            <w:tcBorders>
              <w:tl2br w:val="nil"/>
              <w:tr2bl w:val="nil"/>
            </w:tcBorders>
            <w:vAlign w:val="center"/>
          </w:tcPr>
          <w:p w14:paraId="60D0CA4A">
            <w:pPr>
              <w:jc w:val="center"/>
              <w:rPr>
                <w:color w:val="000000"/>
                <w:szCs w:val="21"/>
              </w:rPr>
            </w:pPr>
            <w:r>
              <w:rPr>
                <w:color w:val="000000"/>
                <w:szCs w:val="21"/>
              </w:rPr>
              <w:t>工业生产过程CO</w:t>
            </w:r>
            <w:r>
              <w:rPr>
                <w:color w:val="000000"/>
                <w:szCs w:val="21"/>
                <w:vertAlign w:val="subscript"/>
              </w:rPr>
              <w:t>2</w:t>
            </w:r>
            <w:r>
              <w:rPr>
                <w:color w:val="000000"/>
                <w:szCs w:val="21"/>
              </w:rPr>
              <w:t>排放</w:t>
            </w:r>
          </w:p>
        </w:tc>
        <w:tc>
          <w:tcPr>
            <w:tcW w:w="2381" w:type="pct"/>
            <w:tcBorders>
              <w:tl2br w:val="nil"/>
              <w:tr2bl w:val="nil"/>
            </w:tcBorders>
            <w:vAlign w:val="center"/>
          </w:tcPr>
          <w:p w14:paraId="44ED647B">
            <w:pPr>
              <w:jc w:val="center"/>
              <w:rPr>
                <w:color w:val="000000"/>
                <w:szCs w:val="21"/>
              </w:rPr>
            </w:pPr>
            <w:r>
              <w:rPr>
                <w:color w:val="000000"/>
                <w:kern w:val="0"/>
                <w:szCs w:val="21"/>
                <w:lang w:bidi="ar"/>
              </w:rPr>
              <w:t>0</w:t>
            </w:r>
          </w:p>
        </w:tc>
      </w:tr>
      <w:tr w14:paraId="10E4A930">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54" w:hRule="atLeast"/>
          <w:jc w:val="center"/>
        </w:trPr>
        <w:tc>
          <w:tcPr>
            <w:tcW w:w="2618" w:type="pct"/>
            <w:tcBorders>
              <w:tl2br w:val="nil"/>
              <w:tr2bl w:val="nil"/>
            </w:tcBorders>
            <w:vAlign w:val="center"/>
          </w:tcPr>
          <w:p w14:paraId="16741D38">
            <w:pPr>
              <w:jc w:val="center"/>
              <w:rPr>
                <w:color w:val="000000"/>
                <w:szCs w:val="21"/>
              </w:rPr>
            </w:pPr>
            <w:r>
              <w:rPr>
                <w:color w:val="000000"/>
                <w:szCs w:val="21"/>
              </w:rPr>
              <w:t>工业生产过程N</w:t>
            </w:r>
            <w:r>
              <w:rPr>
                <w:color w:val="000000"/>
                <w:szCs w:val="21"/>
                <w:vertAlign w:val="subscript"/>
              </w:rPr>
              <w:t>2</w:t>
            </w:r>
            <w:r>
              <w:rPr>
                <w:color w:val="000000"/>
                <w:szCs w:val="21"/>
              </w:rPr>
              <w:t>O排放</w:t>
            </w:r>
          </w:p>
        </w:tc>
        <w:tc>
          <w:tcPr>
            <w:tcW w:w="2381" w:type="pct"/>
            <w:tcBorders>
              <w:tl2br w:val="nil"/>
              <w:tr2bl w:val="nil"/>
            </w:tcBorders>
            <w:vAlign w:val="center"/>
          </w:tcPr>
          <w:p w14:paraId="7F91A144">
            <w:pPr>
              <w:jc w:val="center"/>
              <w:rPr>
                <w:color w:val="000000"/>
                <w:szCs w:val="21"/>
              </w:rPr>
            </w:pPr>
            <w:r>
              <w:rPr>
                <w:color w:val="000000"/>
                <w:szCs w:val="21"/>
              </w:rPr>
              <w:t>0</w:t>
            </w:r>
          </w:p>
        </w:tc>
      </w:tr>
      <w:tr w14:paraId="38F2245C">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54" w:hRule="atLeast"/>
          <w:jc w:val="center"/>
        </w:trPr>
        <w:tc>
          <w:tcPr>
            <w:tcW w:w="2618" w:type="pct"/>
            <w:tcBorders>
              <w:tl2br w:val="nil"/>
              <w:tr2bl w:val="nil"/>
            </w:tcBorders>
            <w:vAlign w:val="center"/>
          </w:tcPr>
          <w:p w14:paraId="2F3B571A">
            <w:pPr>
              <w:jc w:val="center"/>
              <w:rPr>
                <w:color w:val="000000"/>
                <w:szCs w:val="21"/>
              </w:rPr>
            </w:pPr>
            <w:r>
              <w:rPr>
                <w:color w:val="000000"/>
                <w:szCs w:val="21"/>
              </w:rPr>
              <w:t>CO</w:t>
            </w:r>
            <w:r>
              <w:rPr>
                <w:color w:val="000000"/>
                <w:szCs w:val="21"/>
                <w:vertAlign w:val="subscript"/>
              </w:rPr>
              <w:t>2</w:t>
            </w:r>
            <w:r>
              <w:rPr>
                <w:color w:val="000000"/>
                <w:szCs w:val="21"/>
              </w:rPr>
              <w:t>回收利用量</w:t>
            </w:r>
          </w:p>
        </w:tc>
        <w:tc>
          <w:tcPr>
            <w:tcW w:w="2381" w:type="pct"/>
            <w:tcBorders>
              <w:tl2br w:val="nil"/>
              <w:tr2bl w:val="nil"/>
            </w:tcBorders>
            <w:vAlign w:val="center"/>
          </w:tcPr>
          <w:p w14:paraId="128950EC">
            <w:pPr>
              <w:jc w:val="center"/>
              <w:rPr>
                <w:color w:val="000000"/>
                <w:szCs w:val="21"/>
              </w:rPr>
            </w:pPr>
            <w:r>
              <w:rPr>
                <w:color w:val="000000"/>
                <w:szCs w:val="21"/>
              </w:rPr>
              <w:t>0</w:t>
            </w:r>
          </w:p>
        </w:tc>
      </w:tr>
      <w:tr w14:paraId="0EE13A2D">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54" w:hRule="atLeast"/>
          <w:jc w:val="center"/>
        </w:trPr>
        <w:tc>
          <w:tcPr>
            <w:tcW w:w="2618" w:type="pct"/>
            <w:tcBorders>
              <w:tl2br w:val="nil"/>
              <w:tr2bl w:val="nil"/>
            </w:tcBorders>
            <w:vAlign w:val="center"/>
          </w:tcPr>
          <w:p w14:paraId="3C69A0DC">
            <w:pPr>
              <w:jc w:val="center"/>
              <w:rPr>
                <w:color w:val="000000"/>
                <w:szCs w:val="21"/>
              </w:rPr>
            </w:pPr>
            <w:r>
              <w:rPr>
                <w:color w:val="000000"/>
                <w:szCs w:val="21"/>
              </w:rPr>
              <w:t>企业净购入的电力和热力消费引起的CO</w:t>
            </w:r>
            <w:r>
              <w:rPr>
                <w:color w:val="000000"/>
                <w:szCs w:val="21"/>
                <w:vertAlign w:val="subscript"/>
              </w:rPr>
              <w:t>2</w:t>
            </w:r>
            <w:r>
              <w:rPr>
                <w:color w:val="000000"/>
                <w:szCs w:val="21"/>
              </w:rPr>
              <w:t>排放</w:t>
            </w:r>
          </w:p>
        </w:tc>
        <w:tc>
          <w:tcPr>
            <w:tcW w:w="2381" w:type="pct"/>
            <w:tcBorders>
              <w:tl2br w:val="nil"/>
              <w:tr2bl w:val="nil"/>
            </w:tcBorders>
            <w:vAlign w:val="center"/>
          </w:tcPr>
          <w:p w14:paraId="3B4CDDAE">
            <w:pPr>
              <w:jc w:val="center"/>
              <w:rPr>
                <w:color w:val="000000"/>
                <w:szCs w:val="21"/>
              </w:rPr>
            </w:pPr>
            <w:r>
              <w:rPr>
                <w:rFonts w:hint="eastAsia"/>
                <w:color w:val="000000"/>
                <w:szCs w:val="21"/>
              </w:rPr>
              <w:t>377.6</w:t>
            </w:r>
            <w:r>
              <w:rPr>
                <w:color w:val="000000"/>
                <w:szCs w:val="21"/>
              </w:rPr>
              <w:t>+0=</w:t>
            </w:r>
            <w:r>
              <w:rPr>
                <w:rFonts w:hint="eastAsia"/>
                <w:color w:val="000000"/>
                <w:szCs w:val="21"/>
              </w:rPr>
              <w:t>377.6</w:t>
            </w:r>
          </w:p>
        </w:tc>
      </w:tr>
      <w:tr w14:paraId="70E9AD01">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97" w:hRule="atLeast"/>
          <w:jc w:val="center"/>
        </w:trPr>
        <w:tc>
          <w:tcPr>
            <w:tcW w:w="2618" w:type="pct"/>
            <w:tcBorders>
              <w:tl2br w:val="nil"/>
              <w:tr2bl w:val="nil"/>
            </w:tcBorders>
            <w:vAlign w:val="center"/>
          </w:tcPr>
          <w:p w14:paraId="71817B47">
            <w:pPr>
              <w:jc w:val="center"/>
              <w:rPr>
                <w:color w:val="000000"/>
                <w:szCs w:val="21"/>
              </w:rPr>
            </w:pPr>
            <w:r>
              <w:rPr>
                <w:color w:val="000000"/>
                <w:szCs w:val="21"/>
              </w:rPr>
              <w:t>企业温室气体排放总量（吨CO</w:t>
            </w:r>
            <w:r>
              <w:rPr>
                <w:color w:val="000000"/>
                <w:szCs w:val="21"/>
                <w:vertAlign w:val="subscript"/>
              </w:rPr>
              <w:t>2</w:t>
            </w:r>
            <w:r>
              <w:rPr>
                <w:color w:val="000000"/>
                <w:szCs w:val="21"/>
              </w:rPr>
              <w:t>当量）</w:t>
            </w:r>
          </w:p>
        </w:tc>
        <w:tc>
          <w:tcPr>
            <w:tcW w:w="2381" w:type="pct"/>
            <w:tcBorders>
              <w:tl2br w:val="nil"/>
              <w:tr2bl w:val="nil"/>
            </w:tcBorders>
            <w:vAlign w:val="center"/>
          </w:tcPr>
          <w:p w14:paraId="0F635612">
            <w:pPr>
              <w:widowControl/>
              <w:jc w:val="center"/>
              <w:textAlignment w:val="center"/>
              <w:rPr>
                <w:color w:val="000000"/>
                <w:szCs w:val="21"/>
              </w:rPr>
            </w:pPr>
            <w:r>
              <w:rPr>
                <w:rFonts w:hint="eastAsia"/>
                <w:color w:val="000000"/>
                <w:kern w:val="0"/>
                <w:szCs w:val="21"/>
                <w:lang w:bidi="ar"/>
              </w:rPr>
              <w:t>377.6</w:t>
            </w:r>
          </w:p>
        </w:tc>
      </w:tr>
    </w:tbl>
    <w:p w14:paraId="4F9EEF9B">
      <w:pPr>
        <w:pStyle w:val="32"/>
        <w:spacing w:line="360" w:lineRule="auto"/>
        <w:ind w:left="0" w:leftChars="0" w:firstLine="660" w:firstLineChars="275"/>
        <w:rPr>
          <w:rFonts w:hint="eastAsia" w:ascii="黑体" w:hAnsi="黑体" w:eastAsia="黑体" w:cs="黑体"/>
          <w:b/>
          <w:bCs/>
          <w:color w:val="000000"/>
          <w:sz w:val="24"/>
          <w:lang w:bidi="ar"/>
        </w:rPr>
      </w:pPr>
      <w:r>
        <w:rPr>
          <w:color w:val="000000"/>
          <w:sz w:val="24"/>
          <w:lang w:bidi="ar"/>
        </w:rPr>
        <w:t>综上所述</w:t>
      </w:r>
      <w:r>
        <w:rPr>
          <w:rFonts w:hint="eastAsia"/>
          <w:color w:val="000000"/>
          <w:sz w:val="24"/>
          <w:lang w:bidi="ar"/>
        </w:rPr>
        <w:t>，</w:t>
      </w:r>
      <w:r>
        <w:rPr>
          <w:color w:val="000000"/>
          <w:sz w:val="24"/>
        </w:rPr>
        <w:t>二氧化碳年排放总量为</w:t>
      </w:r>
      <w:r>
        <w:rPr>
          <w:rFonts w:hint="eastAsia"/>
          <w:color w:val="000000"/>
          <w:sz w:val="24"/>
          <w:lang w:val="en-US"/>
        </w:rPr>
        <w:t>377.6</w:t>
      </w:r>
      <w:r>
        <w:rPr>
          <w:color w:val="000000"/>
          <w:sz w:val="24"/>
        </w:rPr>
        <w:t>tCO</w:t>
      </w:r>
      <w:r>
        <w:rPr>
          <w:color w:val="000000"/>
          <w:sz w:val="24"/>
          <w:vertAlign w:val="subscript"/>
          <w:lang w:bidi="ar"/>
        </w:rPr>
        <w:t>2e</w:t>
      </w:r>
      <w:r>
        <w:rPr>
          <w:color w:val="000000"/>
          <w:sz w:val="24"/>
          <w:lang w:bidi="ar"/>
        </w:rPr>
        <w:t>，吨产品二氧化碳排放量为</w:t>
      </w:r>
      <w:r>
        <w:rPr>
          <w:rFonts w:hint="eastAsia" w:cs="宋体"/>
          <w:color w:val="000000"/>
          <w:sz w:val="24"/>
          <w:lang w:val="en-US" w:bidi="ar"/>
        </w:rPr>
        <w:t>0.022</w:t>
      </w:r>
      <w:r>
        <w:rPr>
          <w:rFonts w:hint="eastAsia" w:cs="宋体"/>
          <w:color w:val="000000"/>
          <w:sz w:val="24"/>
          <w:lang w:bidi="ar"/>
        </w:rPr>
        <w:t>t，排放水平较低。</w:t>
      </w:r>
    </w:p>
    <w:p w14:paraId="1F5AEB0C">
      <w:pPr>
        <w:pStyle w:val="3"/>
        <w:keepNext w:val="0"/>
        <w:keepLines w:val="0"/>
        <w:autoSpaceDE w:val="0"/>
        <w:autoSpaceDN w:val="0"/>
        <w:spacing w:before="0" w:after="0" w:line="360" w:lineRule="auto"/>
        <w:jc w:val="left"/>
        <w:rPr>
          <w:rFonts w:ascii="Times New Roman" w:hAnsi="Times New Roman" w:eastAsia="宋体"/>
          <w:kern w:val="0"/>
          <w:sz w:val="24"/>
          <w:szCs w:val="30"/>
          <w:lang w:val="en-US" w:bidi="zh-CN"/>
        </w:rPr>
      </w:pPr>
      <w:bookmarkStart w:id="425" w:name="_Toc19066"/>
      <w:bookmarkStart w:id="426" w:name="_Toc31782"/>
      <w:bookmarkStart w:id="427" w:name="_Toc19390"/>
      <w:bookmarkStart w:id="428" w:name="_Toc18208"/>
      <w:bookmarkStart w:id="429" w:name="_Toc96333527"/>
      <w:r>
        <w:rPr>
          <w:rFonts w:hint="eastAsia" w:ascii="Times New Roman" w:hAnsi="Times New Roman" w:eastAsia="宋体"/>
          <w:kern w:val="0"/>
          <w:sz w:val="24"/>
          <w:szCs w:val="30"/>
          <w:lang w:val="en-US" w:bidi="zh-CN"/>
        </w:rPr>
        <w:t>7.4减污降碳措施可行性论证</w:t>
      </w:r>
      <w:bookmarkEnd w:id="425"/>
      <w:bookmarkEnd w:id="426"/>
      <w:bookmarkEnd w:id="427"/>
      <w:bookmarkEnd w:id="428"/>
      <w:bookmarkEnd w:id="429"/>
    </w:p>
    <w:p w14:paraId="7DF7E7C0">
      <w:pPr>
        <w:pStyle w:val="4"/>
        <w:autoSpaceDE w:val="0"/>
        <w:autoSpaceDN w:val="0"/>
        <w:spacing w:before="0" w:after="0" w:line="360" w:lineRule="auto"/>
        <w:jc w:val="left"/>
        <w:rPr>
          <w:kern w:val="0"/>
          <w:sz w:val="24"/>
          <w:lang w:val="en-US" w:bidi="zh-CN"/>
        </w:rPr>
      </w:pPr>
      <w:bookmarkStart w:id="430" w:name="_Toc23918"/>
      <w:bookmarkStart w:id="431" w:name="_Toc16851"/>
      <w:r>
        <w:rPr>
          <w:rFonts w:hint="eastAsia"/>
          <w:kern w:val="0"/>
          <w:sz w:val="24"/>
          <w:lang w:val="en-US" w:bidi="zh-CN"/>
        </w:rPr>
        <w:t>7.4.1优化设备选型和采购方案</w:t>
      </w:r>
      <w:bookmarkEnd w:id="430"/>
      <w:bookmarkEnd w:id="431"/>
    </w:p>
    <w:p w14:paraId="2A829A07">
      <w:pPr>
        <w:spacing w:line="360" w:lineRule="auto"/>
        <w:ind w:firstLine="480" w:firstLineChars="200"/>
        <w:rPr>
          <w:color w:val="000000"/>
          <w:sz w:val="24"/>
          <w:szCs w:val="24"/>
        </w:rPr>
      </w:pPr>
      <w:r>
        <w:rPr>
          <w:rFonts w:hint="eastAsia"/>
          <w:color w:val="000000"/>
          <w:sz w:val="24"/>
          <w:szCs w:val="24"/>
        </w:rPr>
        <w:t>（1）通过购入效率高、能耗少、成本低的先进设备，使全厂单位生产总值温室气体排放量及单位产品温室气体排放量下降。</w:t>
      </w:r>
    </w:p>
    <w:p w14:paraId="6F5BB9F5">
      <w:pPr>
        <w:spacing w:line="360" w:lineRule="auto"/>
        <w:ind w:firstLine="480" w:firstLineChars="200"/>
        <w:rPr>
          <w:color w:val="000000"/>
          <w:sz w:val="24"/>
          <w:szCs w:val="24"/>
        </w:rPr>
      </w:pPr>
      <w:r>
        <w:rPr>
          <w:rFonts w:hint="eastAsia"/>
          <w:color w:val="000000"/>
          <w:sz w:val="24"/>
          <w:szCs w:val="24"/>
        </w:rPr>
        <w:t>（2）建议企业尽可能安排集中连续生产，应杜绝大功率设备频繁启动,必要时安装</w:t>
      </w:r>
      <w:r>
        <w:rPr>
          <w:rFonts w:hint="eastAsia"/>
          <w:color w:val="000000"/>
          <w:sz w:val="24"/>
          <w:szCs w:val="24"/>
          <w:lang w:eastAsia="zh-CN"/>
        </w:rPr>
        <w:t>软起动装置</w:t>
      </w:r>
      <w:r>
        <w:rPr>
          <w:rFonts w:hint="eastAsia"/>
          <w:color w:val="000000"/>
          <w:sz w:val="24"/>
          <w:szCs w:val="24"/>
        </w:rPr>
        <w:t>，减少设备启停对电网的影响。</w:t>
      </w:r>
    </w:p>
    <w:p w14:paraId="2CF9EDC8">
      <w:pPr>
        <w:pStyle w:val="4"/>
        <w:autoSpaceDE w:val="0"/>
        <w:autoSpaceDN w:val="0"/>
        <w:spacing w:before="0" w:after="0" w:line="360" w:lineRule="auto"/>
        <w:jc w:val="left"/>
        <w:rPr>
          <w:kern w:val="0"/>
          <w:sz w:val="24"/>
          <w:lang w:val="en-US" w:bidi="zh-CN"/>
        </w:rPr>
      </w:pPr>
      <w:bookmarkStart w:id="432" w:name="_Toc18368"/>
      <w:bookmarkStart w:id="433" w:name="_Toc31465"/>
      <w:r>
        <w:rPr>
          <w:rFonts w:hint="eastAsia"/>
          <w:kern w:val="0"/>
          <w:sz w:val="24"/>
          <w:lang w:val="en-US" w:bidi="zh-CN"/>
        </w:rPr>
        <w:t>7.4.2采用绿色能源的交通运输体系</w:t>
      </w:r>
      <w:bookmarkEnd w:id="432"/>
      <w:bookmarkEnd w:id="433"/>
    </w:p>
    <w:p w14:paraId="0B23DC37">
      <w:pPr>
        <w:pStyle w:val="256"/>
        <w:spacing w:line="360" w:lineRule="auto"/>
        <w:rPr>
          <w:rFonts w:hint="eastAsia" w:ascii="宋体" w:hAnsi="宋体"/>
          <w:color w:val="000000"/>
          <w:sz w:val="24"/>
          <w:szCs w:val="24"/>
        </w:rPr>
      </w:pPr>
      <w:r>
        <w:rPr>
          <w:rFonts w:hint="eastAsia" w:ascii="宋体" w:hAnsi="宋体"/>
          <w:color w:val="000000"/>
          <w:sz w:val="24"/>
          <w:szCs w:val="24"/>
        </w:rPr>
        <w:t>厂内的物料车辆、叉车、员工上下班的班车以及输送廊道运输皮带可考虑配制一定比例的新能源动力，采用电动等清洁零排放汽车。</w:t>
      </w:r>
    </w:p>
    <w:p w14:paraId="79C3D330">
      <w:pPr>
        <w:pStyle w:val="4"/>
        <w:autoSpaceDE w:val="0"/>
        <w:autoSpaceDN w:val="0"/>
        <w:spacing w:before="0" w:after="0" w:line="360" w:lineRule="auto"/>
        <w:jc w:val="left"/>
        <w:rPr>
          <w:kern w:val="0"/>
          <w:sz w:val="24"/>
          <w:lang w:val="en-US" w:bidi="zh-CN"/>
        </w:rPr>
      </w:pPr>
      <w:bookmarkStart w:id="434" w:name="_Toc2261"/>
      <w:bookmarkStart w:id="435" w:name="_Toc25220"/>
      <w:r>
        <w:rPr>
          <w:rFonts w:hint="eastAsia"/>
          <w:kern w:val="0"/>
          <w:sz w:val="24"/>
          <w:lang w:val="en-US" w:bidi="zh-CN"/>
        </w:rPr>
        <w:t>7.4.3厂内外运输减污降碳措施</w:t>
      </w:r>
      <w:bookmarkEnd w:id="434"/>
      <w:bookmarkEnd w:id="435"/>
    </w:p>
    <w:p w14:paraId="6889D4E4">
      <w:pPr>
        <w:spacing w:line="360" w:lineRule="auto"/>
        <w:ind w:firstLine="480" w:firstLineChars="200"/>
        <w:rPr>
          <w:rFonts w:hint="eastAsia" w:ascii="宋体" w:hAnsi="宋体"/>
          <w:color w:val="000000"/>
          <w:kern w:val="24"/>
          <w:sz w:val="24"/>
          <w:szCs w:val="24"/>
          <w:lang w:bidi="en-US"/>
        </w:rPr>
      </w:pPr>
      <w:r>
        <w:rPr>
          <w:rFonts w:hint="eastAsia" w:ascii="宋体" w:hAnsi="宋体"/>
          <w:color w:val="000000"/>
          <w:kern w:val="24"/>
          <w:sz w:val="24"/>
          <w:szCs w:val="24"/>
          <w:lang w:bidi="en-US"/>
        </w:rPr>
        <w:t>（1）项目在总图布置时，根据工艺生产的需要，按照工艺流向布置，物料顺行，合理分配运输量，减少物流，减少折返、迂回以及货物的重复装卸和搬运，减少厂内运输货物周转量，缩短运输距离，从而减少厂区内运输车辆、非道路移动机械等移动设备燃烧产生的CO</w:t>
      </w:r>
      <w:r>
        <w:rPr>
          <w:rFonts w:hint="eastAsia" w:ascii="宋体" w:hAnsi="宋体"/>
          <w:color w:val="000000"/>
          <w:kern w:val="24"/>
          <w:sz w:val="24"/>
          <w:szCs w:val="24"/>
          <w:vertAlign w:val="subscript"/>
          <w:lang w:bidi="en-US"/>
        </w:rPr>
        <w:t>2</w:t>
      </w:r>
      <w:r>
        <w:rPr>
          <w:rFonts w:hint="eastAsia" w:ascii="宋体" w:hAnsi="宋体"/>
          <w:color w:val="000000"/>
          <w:kern w:val="24"/>
          <w:sz w:val="24"/>
          <w:szCs w:val="24"/>
          <w:lang w:bidi="en-US"/>
        </w:rPr>
        <w:t>排放量。</w:t>
      </w:r>
    </w:p>
    <w:p w14:paraId="0AB923CB">
      <w:pPr>
        <w:spacing w:line="360" w:lineRule="auto"/>
        <w:ind w:firstLine="480" w:firstLineChars="200"/>
        <w:rPr>
          <w:rFonts w:hint="eastAsia" w:ascii="宋体" w:hAnsi="宋体"/>
          <w:color w:val="000000"/>
          <w:kern w:val="24"/>
          <w:sz w:val="24"/>
          <w:szCs w:val="24"/>
          <w:lang w:bidi="en-US"/>
        </w:rPr>
      </w:pPr>
      <w:r>
        <w:rPr>
          <w:rFonts w:hint="eastAsia" w:ascii="宋体" w:hAnsi="宋体"/>
          <w:color w:val="000000"/>
          <w:kern w:val="24"/>
          <w:sz w:val="24"/>
          <w:szCs w:val="24"/>
          <w:lang w:bidi="en-US"/>
        </w:rPr>
        <w:t>（2）项目大宗物料主要采用国六标准汽车运输，可减少公路汽车运输CO</w:t>
      </w:r>
      <w:r>
        <w:rPr>
          <w:rFonts w:hint="eastAsia" w:ascii="宋体" w:hAnsi="宋体"/>
          <w:color w:val="000000"/>
          <w:kern w:val="24"/>
          <w:sz w:val="24"/>
          <w:szCs w:val="24"/>
          <w:vertAlign w:val="subscript"/>
          <w:lang w:bidi="en-US"/>
        </w:rPr>
        <w:t>2</w:t>
      </w:r>
      <w:r>
        <w:rPr>
          <w:rFonts w:hint="eastAsia" w:ascii="宋体" w:hAnsi="宋体"/>
          <w:color w:val="000000"/>
          <w:kern w:val="24"/>
          <w:sz w:val="24"/>
          <w:szCs w:val="24"/>
          <w:lang w:bidi="en-US"/>
        </w:rPr>
        <w:t>排放量。</w:t>
      </w:r>
    </w:p>
    <w:p w14:paraId="7B9EEAF9">
      <w:pPr>
        <w:pStyle w:val="4"/>
        <w:autoSpaceDE w:val="0"/>
        <w:autoSpaceDN w:val="0"/>
        <w:spacing w:before="0" w:after="0" w:line="360" w:lineRule="auto"/>
        <w:jc w:val="left"/>
        <w:rPr>
          <w:kern w:val="0"/>
          <w:sz w:val="24"/>
          <w:lang w:val="en-US" w:bidi="zh-CN"/>
        </w:rPr>
      </w:pPr>
      <w:bookmarkStart w:id="436" w:name="_Toc27367"/>
      <w:bookmarkStart w:id="437" w:name="_Toc1997"/>
      <w:r>
        <w:rPr>
          <w:rFonts w:hint="eastAsia"/>
          <w:kern w:val="0"/>
          <w:sz w:val="24"/>
          <w:lang w:val="en-US" w:bidi="zh-CN"/>
        </w:rPr>
        <w:t>7.4.4电气设施减污降碳措施</w:t>
      </w:r>
      <w:bookmarkEnd w:id="436"/>
      <w:bookmarkEnd w:id="437"/>
    </w:p>
    <w:p w14:paraId="1AA9568F">
      <w:pPr>
        <w:spacing w:line="360" w:lineRule="auto"/>
        <w:ind w:firstLine="480" w:firstLineChars="200"/>
        <w:rPr>
          <w:color w:val="000000"/>
          <w:sz w:val="24"/>
          <w:szCs w:val="24"/>
        </w:rPr>
      </w:pPr>
      <w:r>
        <w:rPr>
          <w:color w:val="000000"/>
          <w:sz w:val="24"/>
          <w:szCs w:val="24"/>
        </w:rPr>
        <w:t>项目在电气设备设施上采用了多种节能措施，从而间接减少了电力隐含的CO</w:t>
      </w:r>
      <w:r>
        <w:rPr>
          <w:color w:val="000000"/>
          <w:sz w:val="24"/>
          <w:szCs w:val="24"/>
          <w:vertAlign w:val="subscript"/>
        </w:rPr>
        <w:t>2</w:t>
      </w:r>
      <w:r>
        <w:rPr>
          <w:color w:val="000000"/>
          <w:sz w:val="24"/>
          <w:szCs w:val="24"/>
        </w:rPr>
        <w:t>排放量。具体措施主要有：</w:t>
      </w:r>
    </w:p>
    <w:p w14:paraId="6D6A686A">
      <w:pPr>
        <w:spacing w:line="360" w:lineRule="auto"/>
        <w:ind w:firstLine="480" w:firstLineChars="200"/>
        <w:rPr>
          <w:color w:val="000000"/>
          <w:sz w:val="24"/>
          <w:szCs w:val="24"/>
        </w:rPr>
      </w:pPr>
      <w:r>
        <w:rPr>
          <w:color w:val="000000"/>
          <w:sz w:val="24"/>
          <w:szCs w:val="24"/>
        </w:rPr>
        <w:t>（1）根据项目用电性质、用电容量等选择合理的供电电压和供电方式，有效减少电能损耗。</w:t>
      </w:r>
    </w:p>
    <w:p w14:paraId="26349AC1">
      <w:pPr>
        <w:spacing w:line="360" w:lineRule="auto"/>
        <w:ind w:firstLine="480" w:firstLineChars="200"/>
        <w:rPr>
          <w:color w:val="000000"/>
          <w:sz w:val="24"/>
          <w:szCs w:val="24"/>
        </w:rPr>
      </w:pPr>
      <w:r>
        <w:rPr>
          <w:color w:val="000000"/>
          <w:sz w:val="24"/>
          <w:szCs w:val="24"/>
        </w:rPr>
        <w:t>（2）选用节能型干式变压器，能效等级为1级，具有低损耗（空载和负载损耗相对较低）、维护方便等显著特点。</w:t>
      </w:r>
    </w:p>
    <w:p w14:paraId="4B21957C">
      <w:pPr>
        <w:spacing w:line="360" w:lineRule="auto"/>
        <w:ind w:firstLine="480" w:firstLineChars="200"/>
        <w:rPr>
          <w:color w:val="000000"/>
          <w:sz w:val="24"/>
          <w:szCs w:val="24"/>
        </w:rPr>
      </w:pPr>
      <w:r>
        <w:rPr>
          <w:color w:val="000000"/>
          <w:sz w:val="24"/>
          <w:szCs w:val="24"/>
        </w:rPr>
        <w:t>（3）负载变化较大的风机、泵类采用变频器调速控制，进一步降低能耗。</w:t>
      </w:r>
    </w:p>
    <w:p w14:paraId="627098CD">
      <w:pPr>
        <w:pStyle w:val="4"/>
        <w:autoSpaceDE w:val="0"/>
        <w:autoSpaceDN w:val="0"/>
        <w:spacing w:before="0" w:after="0" w:line="360" w:lineRule="auto"/>
        <w:jc w:val="left"/>
        <w:rPr>
          <w:kern w:val="0"/>
          <w:sz w:val="24"/>
          <w:lang w:val="en-US" w:bidi="zh-CN"/>
        </w:rPr>
      </w:pPr>
      <w:bookmarkStart w:id="438" w:name="_Toc9329"/>
      <w:bookmarkStart w:id="439" w:name="_Toc1435"/>
      <w:r>
        <w:rPr>
          <w:rFonts w:hint="eastAsia"/>
          <w:kern w:val="0"/>
          <w:sz w:val="24"/>
          <w:lang w:val="en-US" w:bidi="zh-CN"/>
        </w:rPr>
        <w:t>7.4.5减污降碳措施小结</w:t>
      </w:r>
      <w:bookmarkEnd w:id="438"/>
      <w:bookmarkEnd w:id="439"/>
    </w:p>
    <w:p w14:paraId="14A2D9C0">
      <w:pPr>
        <w:spacing w:line="360" w:lineRule="auto"/>
        <w:ind w:firstLine="480" w:firstLineChars="200"/>
        <w:rPr>
          <w:color w:val="000000"/>
          <w:sz w:val="24"/>
          <w:szCs w:val="24"/>
        </w:rPr>
      </w:pPr>
      <w:r>
        <w:rPr>
          <w:color w:val="000000"/>
          <w:sz w:val="24"/>
          <w:szCs w:val="24"/>
        </w:rPr>
        <w:t>本项目在厂内外运输、工艺技术、节能设备和管理等方面均采用了当前国内较成熟、先进的减污降碳措施。此外，根据工程分析章节清洁生产水平分析，能耗达到了国内先进水平。</w:t>
      </w:r>
    </w:p>
    <w:p w14:paraId="46885618">
      <w:pPr>
        <w:spacing w:line="360" w:lineRule="auto"/>
        <w:ind w:firstLine="480" w:firstLineChars="200"/>
        <w:rPr>
          <w:color w:val="000000"/>
          <w:sz w:val="24"/>
          <w:szCs w:val="24"/>
        </w:rPr>
      </w:pPr>
      <w:r>
        <w:rPr>
          <w:color w:val="000000"/>
          <w:sz w:val="24"/>
          <w:szCs w:val="24"/>
        </w:rPr>
        <w:t>综上分析，减污降碳措施整体可行。</w:t>
      </w:r>
      <w:bookmarkStart w:id="440" w:name="_Toc10627"/>
      <w:bookmarkStart w:id="441" w:name="_Toc32102"/>
      <w:bookmarkStart w:id="442" w:name="_Toc96333528"/>
      <w:bookmarkStart w:id="443" w:name="_Toc5844"/>
    </w:p>
    <w:p w14:paraId="775BAB29">
      <w:pPr>
        <w:pStyle w:val="3"/>
        <w:keepNext w:val="0"/>
        <w:keepLines w:val="0"/>
        <w:autoSpaceDE w:val="0"/>
        <w:autoSpaceDN w:val="0"/>
        <w:spacing w:before="0" w:after="0" w:line="360" w:lineRule="auto"/>
        <w:jc w:val="left"/>
        <w:rPr>
          <w:rFonts w:ascii="Times New Roman" w:hAnsi="Times New Roman" w:eastAsia="宋体"/>
          <w:kern w:val="0"/>
          <w:sz w:val="24"/>
          <w:szCs w:val="30"/>
          <w:lang w:val="en-US" w:bidi="zh-CN"/>
        </w:rPr>
      </w:pPr>
      <w:bookmarkStart w:id="444" w:name="_Toc26014"/>
      <w:r>
        <w:rPr>
          <w:rFonts w:hint="eastAsia" w:ascii="Times New Roman" w:hAnsi="Times New Roman" w:eastAsia="宋体"/>
          <w:kern w:val="0"/>
          <w:sz w:val="24"/>
          <w:szCs w:val="30"/>
          <w:lang w:val="en-US" w:bidi="zh-CN"/>
        </w:rPr>
        <w:t>7.5碳排放水平评价</w:t>
      </w:r>
      <w:bookmarkEnd w:id="440"/>
      <w:bookmarkEnd w:id="441"/>
      <w:bookmarkEnd w:id="442"/>
      <w:bookmarkEnd w:id="443"/>
      <w:bookmarkEnd w:id="444"/>
    </w:p>
    <w:p w14:paraId="12C238F0">
      <w:pPr>
        <w:pStyle w:val="256"/>
        <w:spacing w:line="360" w:lineRule="auto"/>
        <w:rPr>
          <w:color w:val="000000"/>
          <w:sz w:val="24"/>
          <w:szCs w:val="24"/>
        </w:rPr>
      </w:pPr>
      <w:r>
        <w:rPr>
          <w:color w:val="000000"/>
          <w:sz w:val="24"/>
          <w:szCs w:val="24"/>
        </w:rPr>
        <w:t>本项目二氧化碳年排放总量为</w:t>
      </w:r>
      <w:r>
        <w:rPr>
          <w:rFonts w:hint="eastAsia"/>
          <w:color w:val="000000"/>
          <w:sz w:val="24"/>
          <w:szCs w:val="24"/>
        </w:rPr>
        <w:t>377.6</w:t>
      </w:r>
      <w:r>
        <w:rPr>
          <w:color w:val="000000"/>
          <w:sz w:val="24"/>
          <w:szCs w:val="24"/>
        </w:rPr>
        <w:t>CO</w:t>
      </w:r>
      <w:r>
        <w:rPr>
          <w:color w:val="000000"/>
          <w:sz w:val="24"/>
          <w:szCs w:val="24"/>
          <w:vertAlign w:val="subscript"/>
        </w:rPr>
        <w:t>2e</w:t>
      </w:r>
      <w:r>
        <w:rPr>
          <w:rFonts w:hint="eastAsia"/>
          <w:color w:val="000000"/>
          <w:sz w:val="24"/>
          <w:szCs w:val="24"/>
        </w:rPr>
        <w:t>，</w:t>
      </w:r>
      <w:r>
        <w:rPr>
          <w:color w:val="000000"/>
          <w:sz w:val="24"/>
          <w:szCs w:val="24"/>
        </w:rPr>
        <w:t>CO</w:t>
      </w:r>
      <w:r>
        <w:rPr>
          <w:color w:val="000000"/>
          <w:sz w:val="24"/>
          <w:szCs w:val="24"/>
          <w:vertAlign w:val="subscript"/>
        </w:rPr>
        <w:t>2</w:t>
      </w:r>
      <w:r>
        <w:rPr>
          <w:color w:val="000000"/>
          <w:sz w:val="24"/>
          <w:szCs w:val="24"/>
        </w:rPr>
        <w:t>排放绩效情况见表</w:t>
      </w:r>
      <w:r>
        <w:rPr>
          <w:rFonts w:hint="eastAsia"/>
          <w:color w:val="000000"/>
          <w:sz w:val="24"/>
          <w:szCs w:val="24"/>
        </w:rPr>
        <w:t>7</w:t>
      </w:r>
      <w:r>
        <w:rPr>
          <w:color w:val="000000"/>
          <w:sz w:val="24"/>
          <w:szCs w:val="24"/>
        </w:rPr>
        <w:t>.5-1。</w:t>
      </w:r>
    </w:p>
    <w:p w14:paraId="06D1D2DC">
      <w:pPr>
        <w:jc w:val="center"/>
        <w:rPr>
          <w:rFonts w:hint="eastAsia"/>
          <w:b/>
          <w:bCs/>
          <w:color w:val="000000"/>
          <w:szCs w:val="21"/>
        </w:rPr>
      </w:pPr>
    </w:p>
    <w:p w14:paraId="400EF82C">
      <w:pPr>
        <w:jc w:val="center"/>
        <w:rPr>
          <w:b/>
          <w:bCs/>
          <w:color w:val="000000"/>
          <w:szCs w:val="21"/>
        </w:rPr>
      </w:pPr>
      <w:r>
        <w:rPr>
          <w:rFonts w:hint="eastAsia"/>
          <w:b/>
          <w:bCs/>
          <w:color w:val="000000"/>
          <w:szCs w:val="21"/>
        </w:rPr>
        <w:t>表7.5-1  CO</w:t>
      </w:r>
      <w:r>
        <w:rPr>
          <w:rFonts w:hint="eastAsia"/>
          <w:b/>
          <w:bCs/>
          <w:color w:val="000000"/>
          <w:szCs w:val="21"/>
          <w:vertAlign w:val="subscript"/>
        </w:rPr>
        <w:t>2</w:t>
      </w:r>
      <w:r>
        <w:rPr>
          <w:rFonts w:hint="eastAsia"/>
          <w:b/>
          <w:bCs/>
          <w:color w:val="000000"/>
          <w:szCs w:val="21"/>
        </w:rPr>
        <w:t>排放绩效情况汇总表</w:t>
      </w:r>
    </w:p>
    <w:tbl>
      <w:tblPr>
        <w:tblStyle w:val="49"/>
        <w:tblW w:w="4981" w:type="pct"/>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autofit"/>
        <w:tblCellMar>
          <w:top w:w="0" w:type="dxa"/>
          <w:left w:w="0" w:type="dxa"/>
          <w:bottom w:w="0" w:type="dxa"/>
          <w:right w:w="0" w:type="dxa"/>
        </w:tblCellMar>
      </w:tblPr>
      <w:tblGrid>
        <w:gridCol w:w="5260"/>
        <w:gridCol w:w="3807"/>
      </w:tblGrid>
      <w:tr w14:paraId="2CEF3C89">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284" w:hRule="atLeast"/>
          <w:tblHeader/>
          <w:jc w:val="center"/>
        </w:trPr>
        <w:tc>
          <w:tcPr>
            <w:tcW w:w="2900" w:type="pct"/>
            <w:tcBorders>
              <w:tl2br w:val="nil"/>
              <w:tr2bl w:val="nil"/>
            </w:tcBorders>
            <w:vAlign w:val="center"/>
          </w:tcPr>
          <w:p w14:paraId="1953978A">
            <w:pPr>
              <w:pStyle w:val="258"/>
              <w:spacing w:line="240" w:lineRule="auto"/>
              <w:rPr>
                <w:color w:val="000000"/>
              </w:rPr>
            </w:pPr>
            <w:r>
              <w:rPr>
                <w:color w:val="000000"/>
              </w:rPr>
              <w:t>CO</w:t>
            </w:r>
            <w:r>
              <w:rPr>
                <w:color w:val="000000"/>
                <w:vertAlign w:val="subscript"/>
              </w:rPr>
              <w:t>2</w:t>
            </w:r>
            <w:r>
              <w:rPr>
                <w:color w:val="000000"/>
              </w:rPr>
              <w:t>排放量</w:t>
            </w:r>
            <w:r>
              <w:rPr>
                <w:color w:val="000000"/>
                <w:szCs w:val="21"/>
              </w:rPr>
              <w:t>（</w:t>
            </w:r>
            <w:r>
              <w:rPr>
                <w:color w:val="000000"/>
                <w:sz w:val="24"/>
                <w:szCs w:val="24"/>
              </w:rPr>
              <w:t>tCO</w:t>
            </w:r>
            <w:r>
              <w:rPr>
                <w:color w:val="000000"/>
                <w:sz w:val="24"/>
                <w:szCs w:val="24"/>
                <w:vertAlign w:val="subscript"/>
              </w:rPr>
              <w:t>2e</w:t>
            </w:r>
            <w:r>
              <w:rPr>
                <w:color w:val="000000"/>
                <w:szCs w:val="21"/>
              </w:rPr>
              <w:t>）</w:t>
            </w:r>
          </w:p>
        </w:tc>
        <w:tc>
          <w:tcPr>
            <w:tcW w:w="2099" w:type="pct"/>
            <w:tcBorders>
              <w:tl2br w:val="nil"/>
              <w:tr2bl w:val="nil"/>
            </w:tcBorders>
            <w:vAlign w:val="center"/>
          </w:tcPr>
          <w:p w14:paraId="36E93DA9">
            <w:pPr>
              <w:pStyle w:val="258"/>
              <w:spacing w:line="240" w:lineRule="auto"/>
              <w:rPr>
                <w:color w:val="000000"/>
                <w:szCs w:val="21"/>
              </w:rPr>
            </w:pPr>
            <w:r>
              <w:rPr>
                <w:color w:val="000000"/>
                <w:szCs w:val="21"/>
              </w:rPr>
              <w:t>碳排放绩效（t/万元工业产值）</w:t>
            </w:r>
          </w:p>
        </w:tc>
      </w:tr>
      <w:tr w14:paraId="2A6D5560">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316" w:hRule="atLeast"/>
          <w:jc w:val="center"/>
        </w:trPr>
        <w:tc>
          <w:tcPr>
            <w:tcW w:w="2900" w:type="pct"/>
            <w:tcBorders>
              <w:tl2br w:val="nil"/>
              <w:tr2bl w:val="nil"/>
            </w:tcBorders>
            <w:vAlign w:val="center"/>
          </w:tcPr>
          <w:p w14:paraId="70F219D3">
            <w:pPr>
              <w:pStyle w:val="258"/>
              <w:spacing w:line="240" w:lineRule="auto"/>
              <w:rPr>
                <w:color w:val="000000"/>
                <w:szCs w:val="21"/>
              </w:rPr>
            </w:pPr>
            <w:r>
              <w:rPr>
                <w:rFonts w:hint="eastAsia"/>
                <w:color w:val="000000"/>
                <w:szCs w:val="21"/>
              </w:rPr>
              <w:t>377.6</w:t>
            </w:r>
          </w:p>
        </w:tc>
        <w:tc>
          <w:tcPr>
            <w:tcW w:w="2099" w:type="pct"/>
            <w:tcBorders>
              <w:tl2br w:val="nil"/>
              <w:tr2bl w:val="nil"/>
            </w:tcBorders>
            <w:vAlign w:val="center"/>
          </w:tcPr>
          <w:p w14:paraId="12D5AD7D">
            <w:pPr>
              <w:pStyle w:val="258"/>
              <w:spacing w:line="240" w:lineRule="auto"/>
              <w:rPr>
                <w:color w:val="000000"/>
                <w:szCs w:val="21"/>
              </w:rPr>
            </w:pPr>
            <w:r>
              <w:rPr>
                <w:color w:val="000000"/>
                <w:szCs w:val="21"/>
              </w:rPr>
              <w:t>0.</w:t>
            </w:r>
            <w:r>
              <w:rPr>
                <w:rFonts w:hint="eastAsia"/>
                <w:color w:val="000000"/>
                <w:szCs w:val="21"/>
              </w:rPr>
              <w:t>252</w:t>
            </w:r>
          </w:p>
        </w:tc>
      </w:tr>
    </w:tbl>
    <w:p w14:paraId="3F7109DC">
      <w:pPr>
        <w:pStyle w:val="3"/>
        <w:keepNext w:val="0"/>
        <w:keepLines w:val="0"/>
        <w:autoSpaceDE w:val="0"/>
        <w:autoSpaceDN w:val="0"/>
        <w:spacing w:before="0" w:after="0" w:line="360" w:lineRule="auto"/>
        <w:jc w:val="left"/>
        <w:rPr>
          <w:rFonts w:ascii="Times New Roman" w:hAnsi="Times New Roman" w:eastAsia="宋体"/>
          <w:kern w:val="0"/>
          <w:sz w:val="24"/>
          <w:szCs w:val="30"/>
          <w:lang w:val="en-US" w:bidi="zh-CN"/>
        </w:rPr>
      </w:pPr>
      <w:bookmarkStart w:id="445" w:name="_Toc29893"/>
      <w:bookmarkStart w:id="446" w:name="_Toc22727"/>
      <w:bookmarkStart w:id="447" w:name="_Toc96333530"/>
      <w:bookmarkStart w:id="448" w:name="_Toc21460"/>
      <w:bookmarkStart w:id="449" w:name="_Toc9339"/>
      <w:r>
        <w:rPr>
          <w:rFonts w:hint="eastAsia" w:ascii="Times New Roman" w:hAnsi="Times New Roman" w:eastAsia="宋体"/>
          <w:kern w:val="0"/>
          <w:sz w:val="24"/>
          <w:szCs w:val="30"/>
          <w:lang w:val="en-US" w:bidi="zh-CN"/>
        </w:rPr>
        <w:t>7.6碳排放评价结论及建议</w:t>
      </w:r>
      <w:bookmarkEnd w:id="445"/>
      <w:bookmarkEnd w:id="446"/>
      <w:bookmarkEnd w:id="447"/>
      <w:bookmarkEnd w:id="448"/>
      <w:bookmarkEnd w:id="449"/>
    </w:p>
    <w:p w14:paraId="6E94096C">
      <w:pPr>
        <w:pStyle w:val="4"/>
        <w:autoSpaceDE w:val="0"/>
        <w:autoSpaceDN w:val="0"/>
        <w:spacing w:before="0" w:after="0" w:line="360" w:lineRule="auto"/>
        <w:jc w:val="left"/>
        <w:rPr>
          <w:kern w:val="0"/>
          <w:sz w:val="24"/>
          <w:lang w:val="en-US" w:bidi="zh-CN"/>
        </w:rPr>
      </w:pPr>
      <w:bookmarkStart w:id="450" w:name="_Toc21068"/>
      <w:bookmarkStart w:id="451" w:name="_Toc8908"/>
      <w:r>
        <w:rPr>
          <w:rFonts w:hint="eastAsia"/>
          <w:kern w:val="0"/>
          <w:sz w:val="24"/>
          <w:lang w:val="en-US" w:bidi="zh-CN"/>
        </w:rPr>
        <w:t>7.6.1碳排放评价结论</w:t>
      </w:r>
      <w:bookmarkEnd w:id="450"/>
      <w:bookmarkEnd w:id="451"/>
    </w:p>
    <w:p w14:paraId="403A5F88">
      <w:pPr>
        <w:pStyle w:val="256"/>
        <w:spacing w:line="360" w:lineRule="auto"/>
        <w:rPr>
          <w:rFonts w:hint="eastAsia" w:ascii="宋体" w:hAnsi="宋体"/>
          <w:color w:val="000000"/>
          <w:sz w:val="24"/>
          <w:szCs w:val="24"/>
        </w:rPr>
      </w:pPr>
      <w:r>
        <w:rPr>
          <w:rFonts w:ascii="宋体" w:hAnsi="宋体"/>
          <w:color w:val="000000"/>
          <w:sz w:val="24"/>
          <w:szCs w:val="24"/>
        </w:rPr>
        <w:t>本项目建设符合碳排放相关政策要求，在厂内外运输、工艺技术、节能设备等方面均采取了较完善的减污降碳措施，有利于减少二氧化碳排放。综上分析，碳排放水平可接受。</w:t>
      </w:r>
    </w:p>
    <w:p w14:paraId="1A6FC272">
      <w:pPr>
        <w:pStyle w:val="4"/>
        <w:autoSpaceDE w:val="0"/>
        <w:autoSpaceDN w:val="0"/>
        <w:spacing w:before="0" w:after="0" w:line="360" w:lineRule="auto"/>
        <w:jc w:val="left"/>
        <w:rPr>
          <w:kern w:val="0"/>
          <w:sz w:val="24"/>
          <w:lang w:val="en-US" w:bidi="zh-CN"/>
        </w:rPr>
      </w:pPr>
      <w:bookmarkStart w:id="452" w:name="_Toc28688"/>
      <w:bookmarkStart w:id="453" w:name="_Toc9982"/>
      <w:r>
        <w:rPr>
          <w:rFonts w:hint="eastAsia"/>
          <w:kern w:val="0"/>
          <w:sz w:val="24"/>
          <w:lang w:val="en-US" w:bidi="zh-CN"/>
        </w:rPr>
        <w:t>7.6.2碳排放建议</w:t>
      </w:r>
      <w:bookmarkEnd w:id="452"/>
      <w:bookmarkEnd w:id="453"/>
    </w:p>
    <w:p w14:paraId="4C834151">
      <w:pPr>
        <w:pStyle w:val="256"/>
        <w:spacing w:line="360" w:lineRule="auto"/>
        <w:rPr>
          <w:rFonts w:hint="eastAsia" w:ascii="宋体" w:hAnsi="宋体"/>
          <w:color w:val="000000"/>
          <w:sz w:val="24"/>
          <w:szCs w:val="24"/>
        </w:rPr>
      </w:pPr>
      <w:r>
        <w:rPr>
          <w:rFonts w:ascii="宋体" w:hAnsi="宋体"/>
          <w:color w:val="000000"/>
          <w:sz w:val="24"/>
          <w:szCs w:val="24"/>
        </w:rPr>
        <w:t>（1）积极开展源头控制，优先选择绿色节能工艺、产品和技术；</w:t>
      </w:r>
    </w:p>
    <w:p w14:paraId="626D9937">
      <w:pPr>
        <w:pStyle w:val="256"/>
        <w:spacing w:line="360" w:lineRule="auto"/>
        <w:rPr>
          <w:rFonts w:hint="eastAsia" w:ascii="宋体" w:hAnsi="宋体"/>
          <w:color w:val="000000"/>
          <w:sz w:val="24"/>
          <w:szCs w:val="24"/>
        </w:rPr>
        <w:sectPr>
          <w:pgSz w:w="11906" w:h="16838"/>
          <w:pgMar w:top="1440" w:right="1417" w:bottom="1440" w:left="1417" w:header="851" w:footer="992" w:gutter="0"/>
          <w:pgBorders>
            <w:top w:val="none" w:sz="0" w:space="0"/>
            <w:left w:val="none" w:sz="0" w:space="0"/>
            <w:bottom w:val="none" w:sz="0" w:space="0"/>
            <w:right w:val="none" w:sz="0" w:space="0"/>
          </w:pgBorders>
          <w:cols w:space="720" w:num="1"/>
          <w:docGrid w:type="lines" w:linePitch="312" w:charSpace="0"/>
        </w:sectPr>
      </w:pPr>
      <w:r>
        <w:rPr>
          <w:rFonts w:ascii="宋体" w:hAnsi="宋体"/>
          <w:color w:val="000000"/>
          <w:sz w:val="24"/>
          <w:szCs w:val="24"/>
        </w:rPr>
        <w:t>（</w:t>
      </w:r>
      <w:r>
        <w:rPr>
          <w:rFonts w:hint="eastAsia" w:ascii="宋体" w:hAnsi="宋体"/>
          <w:color w:val="000000"/>
          <w:sz w:val="24"/>
          <w:szCs w:val="24"/>
        </w:rPr>
        <w:t>2</w:t>
      </w:r>
      <w:r>
        <w:rPr>
          <w:rFonts w:ascii="宋体" w:hAnsi="宋体"/>
          <w:color w:val="000000"/>
          <w:sz w:val="24"/>
          <w:szCs w:val="24"/>
        </w:rPr>
        <w:t>）</w:t>
      </w:r>
      <w:r>
        <w:rPr>
          <w:rFonts w:hint="eastAsia" w:ascii="宋体" w:hAnsi="宋体"/>
          <w:color w:val="000000"/>
          <w:sz w:val="24"/>
          <w:szCs w:val="24"/>
        </w:rPr>
        <w:t>加强员工节能用电理念，定期对操作工进行技能培训，减少因操作不当导致耗电量过大情况发生</w:t>
      </w:r>
      <w:r>
        <w:rPr>
          <w:rFonts w:ascii="宋体" w:hAnsi="宋体"/>
          <w:color w:val="000000"/>
          <w:sz w:val="24"/>
          <w:szCs w:val="24"/>
        </w:rPr>
        <w:t>。</w:t>
      </w:r>
    </w:p>
    <w:p w14:paraId="219BB630">
      <w:pPr>
        <w:pStyle w:val="2"/>
        <w:spacing w:before="0" w:beforeAutospacing="0" w:after="0" w:afterAutospacing="0" w:line="360" w:lineRule="auto"/>
        <w:rPr>
          <w:kern w:val="0"/>
          <w:sz w:val="28"/>
          <w:szCs w:val="28"/>
          <w:lang w:val="en-US" w:bidi="zh-CN"/>
        </w:rPr>
      </w:pPr>
      <w:bookmarkStart w:id="454" w:name="_Toc317507625"/>
      <w:bookmarkStart w:id="455" w:name="_Toc20357"/>
      <w:bookmarkStart w:id="456" w:name="_Toc3325"/>
      <w:bookmarkStart w:id="457" w:name="_Toc149680588"/>
      <w:bookmarkStart w:id="458" w:name="_Toc16196"/>
      <w:bookmarkStart w:id="459" w:name="_Toc26235"/>
      <w:bookmarkStart w:id="460" w:name="_Toc164774404"/>
      <w:bookmarkStart w:id="461" w:name="_Toc417640250"/>
      <w:bookmarkStart w:id="462" w:name="_Toc149680825"/>
      <w:bookmarkStart w:id="463" w:name="_Toc229243349"/>
      <w:bookmarkStart w:id="464" w:name="_Toc168317231"/>
      <w:bookmarkStart w:id="465" w:name="_Toc30841"/>
      <w:bookmarkStart w:id="466" w:name="_Toc153689577"/>
      <w:bookmarkStart w:id="467" w:name="_Toc275162456"/>
      <w:bookmarkStart w:id="468" w:name="_Toc24713"/>
      <w:bookmarkStart w:id="469" w:name="_Toc275162283"/>
      <w:bookmarkStart w:id="470" w:name="_Toc27942"/>
      <w:bookmarkStart w:id="471" w:name="_Toc275249340"/>
      <w:bookmarkStart w:id="472" w:name="_Toc211051553"/>
      <w:r>
        <w:rPr>
          <w:rFonts w:hint="eastAsia"/>
          <w:kern w:val="0"/>
          <w:sz w:val="28"/>
          <w:szCs w:val="28"/>
          <w:lang w:val="en-US" w:bidi="zh-CN"/>
        </w:rPr>
        <w:t>8环境影响经济损益分析</w:t>
      </w:r>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p>
    <w:bookmarkEnd w:id="392"/>
    <w:bookmarkEnd w:id="393"/>
    <w:bookmarkEnd w:id="394"/>
    <w:bookmarkEnd w:id="395"/>
    <w:bookmarkEnd w:id="396"/>
    <w:p w14:paraId="6DA915CB">
      <w:pPr>
        <w:spacing w:line="360" w:lineRule="auto"/>
        <w:ind w:firstLine="420" w:firstLineChars="200"/>
        <w:rPr>
          <w:rFonts w:hint="eastAsia" w:ascii="宋体" w:hAnsi="宋体"/>
          <w:sz w:val="24"/>
        </w:rPr>
      </w:pPr>
      <w:r>
        <w:fldChar w:fldCharType="end"/>
      </w:r>
      <w:r>
        <w:rPr>
          <w:rFonts w:hint="eastAsia"/>
        </w:rPr>
        <w:t xml:space="preserve"> </w:t>
      </w:r>
      <w:r>
        <w:rPr>
          <w:rFonts w:hAnsi="宋体"/>
          <w:color w:val="000000"/>
          <w:sz w:val="24"/>
          <w:szCs w:val="24"/>
        </w:rPr>
        <w:t>进行环境影响经济损益分析，主要是对工程的经济、社会、环境三方面的效益进行分析比较，得出工程环境保护与经济之间相互促进、相互制约、相辅相成的关系，从而评价建设项目环境保护投资的合理性以及环境保护投资的效益，促进项目建设所产生社会、经济和环境效益的协调统一和可持续性发展。</w:t>
      </w:r>
    </w:p>
    <w:p w14:paraId="78CAA40F">
      <w:pPr>
        <w:pStyle w:val="3"/>
        <w:keepNext w:val="0"/>
        <w:keepLines w:val="0"/>
        <w:autoSpaceDE w:val="0"/>
        <w:autoSpaceDN w:val="0"/>
        <w:spacing w:before="0" w:after="0" w:line="360" w:lineRule="auto"/>
        <w:jc w:val="left"/>
        <w:rPr>
          <w:rFonts w:ascii="Times New Roman" w:hAnsi="Times New Roman" w:eastAsia="宋体"/>
          <w:kern w:val="0"/>
          <w:sz w:val="24"/>
          <w:szCs w:val="30"/>
          <w:lang w:val="en-US" w:bidi="zh-CN"/>
        </w:rPr>
      </w:pPr>
      <w:bookmarkStart w:id="473" w:name="_Toc21273"/>
      <w:bookmarkStart w:id="474" w:name="_Toc346091475"/>
      <w:bookmarkStart w:id="475" w:name="_Toc9179"/>
      <w:bookmarkStart w:id="476" w:name="_Toc31181"/>
      <w:bookmarkStart w:id="477" w:name="_Toc257196915"/>
      <w:bookmarkStart w:id="478" w:name="_Toc3752"/>
      <w:bookmarkStart w:id="479" w:name="_Toc317507626"/>
      <w:bookmarkStart w:id="480" w:name="_Toc7825"/>
      <w:bookmarkStart w:id="481" w:name="_Toc29004"/>
      <w:bookmarkStart w:id="482" w:name="_Toc417640251"/>
      <w:bookmarkStart w:id="483" w:name="_Toc21018"/>
      <w:r>
        <w:rPr>
          <w:rFonts w:hint="eastAsia" w:ascii="Times New Roman" w:hAnsi="Times New Roman" w:eastAsia="宋体"/>
          <w:kern w:val="0"/>
          <w:sz w:val="24"/>
          <w:szCs w:val="30"/>
          <w:lang w:val="en-US" w:bidi="zh-CN"/>
        </w:rPr>
        <w:t>8.1</w:t>
      </w:r>
      <w:bookmarkEnd w:id="473"/>
      <w:bookmarkEnd w:id="474"/>
      <w:bookmarkEnd w:id="475"/>
      <w:bookmarkEnd w:id="476"/>
      <w:bookmarkEnd w:id="477"/>
      <w:bookmarkEnd w:id="478"/>
      <w:bookmarkEnd w:id="479"/>
      <w:bookmarkEnd w:id="480"/>
      <w:bookmarkEnd w:id="481"/>
      <w:bookmarkEnd w:id="482"/>
      <w:bookmarkStart w:id="484" w:name="_Toc23399"/>
      <w:bookmarkStart w:id="485" w:name="_Toc16798"/>
      <w:bookmarkStart w:id="486" w:name="_Toc20461"/>
      <w:bookmarkStart w:id="487" w:name="_Toc18467"/>
      <w:bookmarkStart w:id="488" w:name="_Toc29787"/>
      <w:bookmarkStart w:id="489" w:name="_Toc32462"/>
      <w:bookmarkStart w:id="490" w:name="_Toc524431475"/>
      <w:bookmarkStart w:id="491" w:name="_Toc5271"/>
      <w:bookmarkStart w:id="492" w:name="_Toc21132"/>
      <w:bookmarkStart w:id="493" w:name="_Toc27894_WPSOffice_Level2"/>
      <w:bookmarkStart w:id="494" w:name="_Toc23374"/>
      <w:bookmarkStart w:id="495" w:name="_Toc29291"/>
      <w:bookmarkStart w:id="496" w:name="_Toc317507627"/>
      <w:bookmarkStart w:id="497" w:name="_Toc346091476"/>
      <w:r>
        <w:rPr>
          <w:rFonts w:ascii="Times New Roman" w:hAnsi="Times New Roman" w:eastAsia="宋体"/>
          <w:kern w:val="0"/>
          <w:sz w:val="24"/>
          <w:szCs w:val="30"/>
          <w:lang w:val="en-US" w:bidi="zh-CN"/>
        </w:rPr>
        <w:t>社会效益分析</w:t>
      </w:r>
      <w:bookmarkEnd w:id="483"/>
      <w:bookmarkEnd w:id="484"/>
      <w:bookmarkEnd w:id="485"/>
      <w:bookmarkEnd w:id="486"/>
    </w:p>
    <w:p w14:paraId="1104D6F4">
      <w:pPr>
        <w:autoSpaceDE w:val="0"/>
        <w:autoSpaceDN w:val="0"/>
        <w:spacing w:line="360" w:lineRule="auto"/>
        <w:ind w:firstLine="480" w:firstLineChars="200"/>
        <w:jc w:val="left"/>
        <w:rPr>
          <w:kern w:val="0"/>
          <w:sz w:val="24"/>
          <w:szCs w:val="24"/>
          <w:lang w:bidi="zh-CN"/>
        </w:rPr>
      </w:pPr>
      <w:bookmarkStart w:id="498" w:name="_Toc21106"/>
      <w:r>
        <w:rPr>
          <w:kern w:val="0"/>
          <w:sz w:val="24"/>
          <w:szCs w:val="24"/>
          <w:lang w:bidi="zh-CN"/>
        </w:rPr>
        <w:t>本项目实施后的社会效益主要体现在以下几方面：</w:t>
      </w:r>
    </w:p>
    <w:p w14:paraId="01B6F9BB">
      <w:pPr>
        <w:autoSpaceDE w:val="0"/>
        <w:autoSpaceDN w:val="0"/>
        <w:spacing w:line="360" w:lineRule="auto"/>
        <w:ind w:firstLine="480" w:firstLineChars="200"/>
        <w:jc w:val="left"/>
        <w:rPr>
          <w:kern w:val="0"/>
          <w:sz w:val="24"/>
          <w:szCs w:val="24"/>
          <w:lang w:bidi="zh-CN"/>
        </w:rPr>
      </w:pPr>
      <w:r>
        <w:rPr>
          <w:kern w:val="0"/>
          <w:sz w:val="24"/>
          <w:szCs w:val="24"/>
          <w:lang w:bidi="zh-CN"/>
        </w:rPr>
        <w:t>（1）项目建成后正常年份可</w:t>
      </w:r>
      <w:r>
        <w:rPr>
          <w:rFonts w:hint="eastAsia"/>
          <w:kern w:val="0"/>
          <w:sz w:val="24"/>
          <w:szCs w:val="24"/>
          <w:lang w:bidi="zh-CN"/>
        </w:rPr>
        <w:t>上缴税款</w:t>
      </w:r>
      <w:r>
        <w:rPr>
          <w:kern w:val="0"/>
          <w:sz w:val="24"/>
          <w:szCs w:val="24"/>
          <w:lang w:bidi="zh-CN"/>
        </w:rPr>
        <w:t>，带动当地经济发展。</w:t>
      </w:r>
    </w:p>
    <w:p w14:paraId="6397190E">
      <w:pPr>
        <w:autoSpaceDE w:val="0"/>
        <w:autoSpaceDN w:val="0"/>
        <w:spacing w:line="360" w:lineRule="auto"/>
        <w:ind w:firstLine="480" w:firstLineChars="200"/>
        <w:jc w:val="left"/>
        <w:rPr>
          <w:kern w:val="0"/>
          <w:sz w:val="24"/>
          <w:szCs w:val="24"/>
          <w:lang w:bidi="zh-CN"/>
        </w:rPr>
      </w:pPr>
      <w:r>
        <w:rPr>
          <w:kern w:val="0"/>
          <w:sz w:val="24"/>
          <w:szCs w:val="24"/>
          <w:lang w:bidi="zh-CN"/>
        </w:rPr>
        <w:t>（2）项目生产过程中采用国内外高新技术，从而减少原材料、动力及燃料的消耗，减少三废的排放，</w:t>
      </w:r>
      <w:r>
        <w:rPr>
          <w:rFonts w:hint="eastAsia"/>
          <w:kern w:val="0"/>
          <w:sz w:val="24"/>
          <w:szCs w:val="24"/>
          <w:lang w:bidi="zh-CN"/>
        </w:rPr>
        <w:t>更好地满足</w:t>
      </w:r>
      <w:r>
        <w:rPr>
          <w:kern w:val="0"/>
          <w:sz w:val="24"/>
          <w:szCs w:val="24"/>
          <w:lang w:bidi="zh-CN"/>
        </w:rPr>
        <w:t>广大消费者的需求。同时通过建立</w:t>
      </w:r>
      <w:r>
        <w:rPr>
          <w:rFonts w:hint="eastAsia"/>
          <w:kern w:val="0"/>
          <w:sz w:val="24"/>
          <w:szCs w:val="24"/>
          <w:lang w:bidi="zh-CN"/>
        </w:rPr>
        <w:t>与</w:t>
      </w:r>
      <w:r>
        <w:rPr>
          <w:kern w:val="0"/>
          <w:sz w:val="24"/>
          <w:szCs w:val="24"/>
          <w:lang w:bidi="zh-CN"/>
        </w:rPr>
        <w:t>废旧塑料</w:t>
      </w:r>
      <w:r>
        <w:rPr>
          <w:rFonts w:hint="eastAsia"/>
          <w:kern w:val="0"/>
          <w:sz w:val="24"/>
          <w:szCs w:val="24"/>
          <w:lang w:bidi="zh-CN"/>
        </w:rPr>
        <w:t>回收企业联合，收购塑料再生颗粒</w:t>
      </w:r>
      <w:r>
        <w:rPr>
          <w:kern w:val="0"/>
          <w:sz w:val="24"/>
          <w:szCs w:val="24"/>
          <w:lang w:bidi="zh-CN"/>
        </w:rPr>
        <w:t>，有利于带动当地现代产业的发展，促进产业结构调整和广大农民群众的增收。</w:t>
      </w:r>
    </w:p>
    <w:p w14:paraId="36A908AD">
      <w:pPr>
        <w:autoSpaceDE w:val="0"/>
        <w:autoSpaceDN w:val="0"/>
        <w:spacing w:line="360" w:lineRule="auto"/>
        <w:ind w:firstLine="480" w:firstLineChars="200"/>
        <w:jc w:val="left"/>
        <w:rPr>
          <w:kern w:val="0"/>
          <w:sz w:val="24"/>
          <w:szCs w:val="24"/>
          <w:lang w:bidi="zh-CN"/>
        </w:rPr>
      </w:pPr>
      <w:r>
        <w:rPr>
          <w:kern w:val="0"/>
          <w:sz w:val="24"/>
          <w:szCs w:val="24"/>
          <w:lang w:bidi="zh-CN"/>
        </w:rPr>
        <w:t>（3）本项目员工将在当地及周边地区招聘，与项目相关的物流、储运等也会在一定程度繁荣当地经济，同时也将间接地促进厂区及周边地区的工业、服务业、运输业等相关产业的发展，提高居民的整体收入水平。可解决部分闲置劳动力，有利于缓解当地社会就业压力，保持社会稳定。</w:t>
      </w:r>
    </w:p>
    <w:p w14:paraId="0DBEB67C">
      <w:pPr>
        <w:autoSpaceDE w:val="0"/>
        <w:autoSpaceDN w:val="0"/>
        <w:spacing w:line="360" w:lineRule="auto"/>
        <w:jc w:val="left"/>
        <w:outlineLvl w:val="1"/>
        <w:rPr>
          <w:b/>
          <w:bCs/>
          <w:kern w:val="0"/>
          <w:sz w:val="24"/>
          <w:szCs w:val="30"/>
          <w:lang w:val="zh-CN" w:bidi="zh-CN"/>
        </w:rPr>
      </w:pPr>
      <w:bookmarkStart w:id="499" w:name="_Toc20367"/>
      <w:bookmarkStart w:id="500" w:name="_Toc15326"/>
      <w:bookmarkStart w:id="501" w:name="_Toc2608"/>
      <w:r>
        <w:rPr>
          <w:rFonts w:hint="eastAsia"/>
          <w:b/>
          <w:bCs/>
          <w:kern w:val="0"/>
          <w:sz w:val="24"/>
          <w:szCs w:val="30"/>
          <w:lang w:bidi="zh-CN"/>
        </w:rPr>
        <w:t>8.2</w:t>
      </w:r>
      <w:r>
        <w:rPr>
          <w:b/>
          <w:bCs/>
          <w:kern w:val="0"/>
          <w:sz w:val="24"/>
          <w:szCs w:val="30"/>
          <w:lang w:val="zh-CN" w:bidi="zh-CN"/>
        </w:rPr>
        <w:t>经济效益分析</w:t>
      </w:r>
      <w:bookmarkEnd w:id="498"/>
      <w:bookmarkEnd w:id="499"/>
      <w:bookmarkEnd w:id="500"/>
      <w:bookmarkEnd w:id="501"/>
    </w:p>
    <w:p w14:paraId="686B5A28">
      <w:pPr>
        <w:kinsoku w:val="0"/>
        <w:overflowPunct w:val="0"/>
        <w:autoSpaceDE w:val="0"/>
        <w:autoSpaceDN w:val="0"/>
        <w:spacing w:line="360" w:lineRule="auto"/>
        <w:ind w:firstLine="480" w:firstLineChars="200"/>
        <w:rPr>
          <w:kern w:val="0"/>
          <w:sz w:val="24"/>
          <w:szCs w:val="24"/>
          <w:lang w:val="zh-CN" w:bidi="zh-CN"/>
        </w:rPr>
      </w:pPr>
      <w:r>
        <w:rPr>
          <w:kern w:val="0"/>
          <w:sz w:val="24"/>
          <w:szCs w:val="24"/>
          <w:lang w:val="zh-CN" w:bidi="zh-CN"/>
        </w:rPr>
        <w:t>由于能源的紧缺和不可</w:t>
      </w:r>
      <w:r>
        <w:rPr>
          <w:rFonts w:hint="eastAsia"/>
          <w:kern w:val="0"/>
          <w:sz w:val="24"/>
          <w:szCs w:val="24"/>
          <w:lang w:val="zh-CN" w:bidi="zh-CN"/>
        </w:rPr>
        <w:t>再生</w:t>
      </w:r>
      <w:r>
        <w:rPr>
          <w:kern w:val="0"/>
          <w:sz w:val="24"/>
          <w:szCs w:val="24"/>
          <w:lang w:val="zh-CN" w:bidi="zh-CN"/>
        </w:rPr>
        <w:t>，国家对物资回收利用也越来越重视，物资生产对废旧物资的依赖越来越高，使废旧物资行业得到健康发展。具有一定的经济效益，主要体现在如下</w:t>
      </w:r>
      <w:r>
        <w:rPr>
          <w:rFonts w:hint="eastAsia"/>
          <w:kern w:val="0"/>
          <w:sz w:val="24"/>
          <w:szCs w:val="24"/>
          <w:lang w:val="zh-CN" w:bidi="zh-CN"/>
        </w:rPr>
        <w:t>几个</w:t>
      </w:r>
      <w:r>
        <w:rPr>
          <w:kern w:val="0"/>
          <w:sz w:val="24"/>
          <w:szCs w:val="24"/>
          <w:lang w:val="zh-CN" w:bidi="zh-CN"/>
        </w:rPr>
        <w:t>方面：</w:t>
      </w:r>
    </w:p>
    <w:p w14:paraId="796EA9B0">
      <w:pPr>
        <w:kinsoku w:val="0"/>
        <w:overflowPunct w:val="0"/>
        <w:autoSpaceDE w:val="0"/>
        <w:autoSpaceDN w:val="0"/>
        <w:spacing w:line="360" w:lineRule="auto"/>
        <w:ind w:firstLine="480" w:firstLineChars="200"/>
        <w:rPr>
          <w:kern w:val="0"/>
          <w:sz w:val="24"/>
          <w:szCs w:val="24"/>
          <w:lang w:val="zh-CN" w:bidi="zh-CN"/>
        </w:rPr>
      </w:pPr>
      <w:r>
        <w:rPr>
          <w:kern w:val="0"/>
          <w:sz w:val="24"/>
          <w:szCs w:val="24"/>
          <w:lang w:val="zh-CN" w:bidi="zh-CN"/>
        </w:rPr>
        <w:t>（1）增加地方税收。加工建设不仅可满足市场需求，而且可以带动当地相关产业的发展，具有很好的经济效益。</w:t>
      </w:r>
    </w:p>
    <w:p w14:paraId="2570BA21">
      <w:pPr>
        <w:kinsoku w:val="0"/>
        <w:overflowPunct w:val="0"/>
        <w:autoSpaceDE w:val="0"/>
        <w:autoSpaceDN w:val="0"/>
        <w:spacing w:line="360" w:lineRule="auto"/>
        <w:ind w:firstLine="480" w:firstLineChars="200"/>
        <w:rPr>
          <w:kern w:val="0"/>
          <w:sz w:val="24"/>
          <w:szCs w:val="24"/>
          <w:lang w:val="zh-CN" w:bidi="zh-CN"/>
        </w:rPr>
      </w:pPr>
      <w:r>
        <w:rPr>
          <w:kern w:val="0"/>
          <w:sz w:val="24"/>
          <w:szCs w:val="24"/>
          <w:lang w:val="zh-CN" w:bidi="zh-CN"/>
        </w:rPr>
        <w:t>（2）就地消费，带旺地方经济企业的员工就地消费，增加地方的经济消费，由于区域的消费能力增加，将带动一系列相关行业的发展，从而更进一步地促进地方经济的发展。</w:t>
      </w:r>
    </w:p>
    <w:p w14:paraId="70A13AC2">
      <w:pPr>
        <w:kinsoku w:val="0"/>
        <w:overflowPunct w:val="0"/>
        <w:autoSpaceDE w:val="0"/>
        <w:autoSpaceDN w:val="0"/>
        <w:spacing w:line="360" w:lineRule="auto"/>
        <w:ind w:firstLine="480" w:firstLineChars="200"/>
        <w:rPr>
          <w:kern w:val="0"/>
          <w:sz w:val="24"/>
          <w:szCs w:val="24"/>
          <w:lang w:val="zh-CN" w:bidi="zh-CN"/>
        </w:rPr>
      </w:pPr>
      <w:r>
        <w:rPr>
          <w:kern w:val="0"/>
          <w:sz w:val="24"/>
          <w:szCs w:val="24"/>
          <w:lang w:val="zh-CN" w:bidi="zh-CN"/>
        </w:rPr>
        <w:t>（3）产业带动，完善产业配套。本项目的建设，将会带动相关产业的相应发展，完善了城镇的产业配套，更促进了相关镇区的经济总量以及税收。从以上分析可知，项目具有一定的经济效益，对于促进当地的经济发展起到</w:t>
      </w:r>
      <w:r>
        <w:rPr>
          <w:rFonts w:hint="eastAsia"/>
          <w:kern w:val="0"/>
          <w:sz w:val="24"/>
          <w:szCs w:val="24"/>
          <w:lang w:val="zh-CN" w:bidi="zh-CN"/>
        </w:rPr>
        <w:t>有力地推动</w:t>
      </w:r>
      <w:r>
        <w:rPr>
          <w:kern w:val="0"/>
          <w:sz w:val="24"/>
          <w:szCs w:val="24"/>
          <w:lang w:val="zh-CN" w:bidi="zh-CN"/>
        </w:rPr>
        <w:t>作用。</w:t>
      </w:r>
    </w:p>
    <w:p w14:paraId="302E8BD0">
      <w:pPr>
        <w:pStyle w:val="3"/>
        <w:keepNext w:val="0"/>
        <w:keepLines w:val="0"/>
        <w:autoSpaceDE w:val="0"/>
        <w:autoSpaceDN w:val="0"/>
        <w:spacing w:before="0" w:after="0" w:line="360" w:lineRule="auto"/>
        <w:jc w:val="left"/>
        <w:rPr>
          <w:rFonts w:ascii="Times New Roman" w:hAnsi="Times New Roman" w:eastAsia="宋体"/>
          <w:kern w:val="0"/>
          <w:sz w:val="24"/>
          <w:szCs w:val="30"/>
          <w:lang w:val="en-US" w:bidi="zh-CN"/>
        </w:rPr>
      </w:pPr>
      <w:bookmarkStart w:id="502" w:name="_Toc20098"/>
      <w:r>
        <w:rPr>
          <w:rFonts w:hint="eastAsia" w:ascii="Times New Roman" w:hAnsi="Times New Roman" w:eastAsia="宋体"/>
          <w:kern w:val="0"/>
          <w:sz w:val="24"/>
          <w:szCs w:val="30"/>
          <w:lang w:val="en-US" w:bidi="zh-CN"/>
        </w:rPr>
        <w:t>8.3环境经济损益分析</w:t>
      </w:r>
      <w:bookmarkEnd w:id="487"/>
      <w:bookmarkEnd w:id="488"/>
      <w:bookmarkEnd w:id="489"/>
      <w:bookmarkEnd w:id="490"/>
      <w:bookmarkEnd w:id="491"/>
      <w:bookmarkEnd w:id="492"/>
      <w:bookmarkEnd w:id="493"/>
      <w:bookmarkEnd w:id="494"/>
      <w:bookmarkEnd w:id="495"/>
      <w:bookmarkEnd w:id="502"/>
    </w:p>
    <w:p w14:paraId="52576CCE">
      <w:pPr>
        <w:pStyle w:val="4"/>
        <w:autoSpaceDE w:val="0"/>
        <w:autoSpaceDN w:val="0"/>
        <w:spacing w:before="0" w:after="0" w:line="360" w:lineRule="auto"/>
        <w:jc w:val="left"/>
        <w:rPr>
          <w:kern w:val="0"/>
          <w:sz w:val="24"/>
          <w:lang w:val="en-US" w:bidi="zh-CN"/>
        </w:rPr>
      </w:pPr>
      <w:r>
        <w:rPr>
          <w:rFonts w:hint="eastAsia"/>
          <w:kern w:val="0"/>
          <w:sz w:val="24"/>
          <w:lang w:val="en-US" w:bidi="zh-CN"/>
        </w:rPr>
        <w:t>8.3.1环境保护投资</w:t>
      </w:r>
    </w:p>
    <w:p w14:paraId="7EF60681">
      <w:pPr>
        <w:widowControl/>
        <w:spacing w:line="360" w:lineRule="auto"/>
        <w:ind w:firstLine="480" w:firstLineChars="200"/>
        <w:rPr>
          <w:color w:val="000000"/>
          <w:sz w:val="24"/>
        </w:rPr>
      </w:pPr>
      <w:r>
        <w:rPr>
          <w:rFonts w:hint="eastAsia"/>
          <w:color w:val="000000"/>
          <w:sz w:val="24"/>
        </w:rPr>
        <w:t>本项目总投资约500万元，用于环境保护的投资约为</w:t>
      </w:r>
      <w:bookmarkStart w:id="503" w:name="OLE_LINK53"/>
      <w:r>
        <w:rPr>
          <w:rFonts w:hint="eastAsia"/>
          <w:color w:val="000000"/>
          <w:sz w:val="24"/>
          <w:lang w:val="en-US" w:eastAsia="zh-CN"/>
        </w:rPr>
        <w:t>37.92</w:t>
      </w:r>
      <w:r>
        <w:rPr>
          <w:rFonts w:hint="eastAsia"/>
          <w:color w:val="000000"/>
          <w:sz w:val="24"/>
        </w:rPr>
        <w:t>元，约占项目总投资的</w:t>
      </w:r>
      <w:r>
        <w:rPr>
          <w:rFonts w:hint="eastAsia"/>
          <w:color w:val="000000"/>
          <w:sz w:val="24"/>
          <w:lang w:val="en-US" w:eastAsia="zh-CN"/>
        </w:rPr>
        <w:t>7.58</w:t>
      </w:r>
      <w:r>
        <w:rPr>
          <w:color w:val="000000"/>
          <w:sz w:val="24"/>
        </w:rPr>
        <w:t>%</w:t>
      </w:r>
      <w:bookmarkEnd w:id="503"/>
      <w:r>
        <w:rPr>
          <w:rFonts w:hint="eastAsia"/>
          <w:color w:val="000000"/>
          <w:sz w:val="24"/>
        </w:rPr>
        <w:t>，具体环保投资明细详见表8</w:t>
      </w:r>
      <w:r>
        <w:rPr>
          <w:color w:val="000000"/>
          <w:sz w:val="24"/>
        </w:rPr>
        <w:t>.1-1</w:t>
      </w:r>
      <w:r>
        <w:rPr>
          <w:rFonts w:hint="eastAsia"/>
          <w:color w:val="000000"/>
          <w:sz w:val="24"/>
        </w:rPr>
        <w:t>。</w:t>
      </w:r>
    </w:p>
    <w:p w14:paraId="3F6483BE">
      <w:pPr>
        <w:jc w:val="center"/>
        <w:rPr>
          <w:b/>
          <w:bCs/>
          <w:color w:val="000000"/>
          <w:szCs w:val="21"/>
        </w:rPr>
      </w:pPr>
      <w:r>
        <w:rPr>
          <w:rFonts w:hint="eastAsia"/>
          <w:b/>
          <w:bCs/>
          <w:color w:val="000000"/>
          <w:szCs w:val="21"/>
        </w:rPr>
        <w:t>表8</w:t>
      </w:r>
      <w:r>
        <w:rPr>
          <w:b/>
          <w:bCs/>
          <w:color w:val="000000"/>
          <w:szCs w:val="21"/>
        </w:rPr>
        <w:t xml:space="preserve">.1-1    </w:t>
      </w:r>
      <w:r>
        <w:rPr>
          <w:rFonts w:hint="eastAsia"/>
          <w:b/>
          <w:bCs/>
          <w:color w:val="000000"/>
          <w:szCs w:val="21"/>
        </w:rPr>
        <w:t>环保投资一览表</w:t>
      </w:r>
    </w:p>
    <w:tbl>
      <w:tblPr>
        <w:tblStyle w:val="49"/>
        <w:tblW w:w="5026" w:type="pct"/>
        <w:jc w:val="center"/>
        <w:tblBorders>
          <w:top w:val="single" w:color="auto" w:sz="12" w:space="0"/>
          <w:left w:val="single" w:color="auto" w:sz="12" w:space="0"/>
          <w:bottom w:val="single" w:color="auto" w:sz="12" w:space="0"/>
          <w:right w:val="single" w:color="auto" w:sz="12" w:space="0"/>
          <w:insideH w:val="single" w:color="auto" w:sz="2" w:space="0"/>
          <w:insideV w:val="single" w:color="auto" w:sz="6" w:space="0"/>
        </w:tblBorders>
        <w:tblLayout w:type="autofit"/>
        <w:tblCellMar>
          <w:top w:w="0" w:type="dxa"/>
          <w:left w:w="108" w:type="dxa"/>
          <w:bottom w:w="0" w:type="dxa"/>
          <w:right w:w="108" w:type="dxa"/>
        </w:tblCellMar>
      </w:tblPr>
      <w:tblGrid>
        <w:gridCol w:w="728"/>
        <w:gridCol w:w="1386"/>
        <w:gridCol w:w="5685"/>
        <w:gridCol w:w="1537"/>
      </w:tblGrid>
      <w:tr w14:paraId="4FD021E6">
        <w:tblPrEx>
          <w:tblBorders>
            <w:top w:val="single" w:color="auto" w:sz="12" w:space="0"/>
            <w:left w:val="single" w:color="auto" w:sz="12" w:space="0"/>
            <w:bottom w:val="single" w:color="auto" w:sz="12" w:space="0"/>
            <w:right w:val="single" w:color="auto" w:sz="12" w:space="0"/>
            <w:insideH w:val="single" w:color="auto" w:sz="2" w:space="0"/>
            <w:insideV w:val="single" w:color="auto" w:sz="6" w:space="0"/>
          </w:tblBorders>
          <w:tblCellMar>
            <w:top w:w="0" w:type="dxa"/>
            <w:left w:w="108" w:type="dxa"/>
            <w:bottom w:w="0" w:type="dxa"/>
            <w:right w:w="108" w:type="dxa"/>
          </w:tblCellMar>
        </w:tblPrEx>
        <w:trPr>
          <w:trHeight w:val="265" w:hRule="atLeast"/>
          <w:jc w:val="center"/>
        </w:trPr>
        <w:tc>
          <w:tcPr>
            <w:tcW w:w="390" w:type="pct"/>
            <w:tcBorders>
              <w:tl2br w:val="nil"/>
              <w:tr2bl w:val="nil"/>
            </w:tcBorders>
            <w:vAlign w:val="center"/>
          </w:tcPr>
          <w:p w14:paraId="0E1ED3B0">
            <w:pPr>
              <w:pStyle w:val="240"/>
              <w:rPr>
                <w:rFonts w:hint="default"/>
              </w:rPr>
            </w:pPr>
            <w:r>
              <w:t>时段</w:t>
            </w:r>
          </w:p>
        </w:tc>
        <w:tc>
          <w:tcPr>
            <w:tcW w:w="742" w:type="pct"/>
            <w:tcBorders>
              <w:tl2br w:val="nil"/>
              <w:tr2bl w:val="nil"/>
            </w:tcBorders>
            <w:vAlign w:val="center"/>
          </w:tcPr>
          <w:p w14:paraId="4FABBB3D">
            <w:pPr>
              <w:pStyle w:val="240"/>
              <w:rPr>
                <w:rFonts w:hint="default"/>
              </w:rPr>
            </w:pPr>
            <w:r>
              <w:t>项目</w:t>
            </w:r>
          </w:p>
        </w:tc>
        <w:tc>
          <w:tcPr>
            <w:tcW w:w="3043" w:type="pct"/>
            <w:tcBorders>
              <w:tl2br w:val="nil"/>
              <w:tr2bl w:val="nil"/>
            </w:tcBorders>
            <w:vAlign w:val="center"/>
          </w:tcPr>
          <w:p w14:paraId="0A3AE4C3">
            <w:pPr>
              <w:pStyle w:val="240"/>
              <w:rPr>
                <w:rFonts w:hint="default"/>
              </w:rPr>
            </w:pPr>
            <w:r>
              <w:t>主要环保措施</w:t>
            </w:r>
          </w:p>
        </w:tc>
        <w:tc>
          <w:tcPr>
            <w:tcW w:w="823" w:type="pct"/>
            <w:tcBorders>
              <w:tl2br w:val="nil"/>
              <w:tr2bl w:val="nil"/>
            </w:tcBorders>
            <w:vAlign w:val="center"/>
          </w:tcPr>
          <w:p w14:paraId="1066B8E7">
            <w:pPr>
              <w:pStyle w:val="240"/>
              <w:rPr>
                <w:rFonts w:hint="default"/>
              </w:rPr>
            </w:pPr>
            <w:r>
              <w:t>投资（万元）</w:t>
            </w:r>
          </w:p>
        </w:tc>
      </w:tr>
      <w:tr w14:paraId="3A1758F4">
        <w:tblPrEx>
          <w:tblBorders>
            <w:top w:val="single" w:color="auto" w:sz="12" w:space="0"/>
            <w:left w:val="single" w:color="auto" w:sz="12" w:space="0"/>
            <w:bottom w:val="single" w:color="auto" w:sz="12" w:space="0"/>
            <w:right w:val="single" w:color="auto" w:sz="12" w:space="0"/>
            <w:insideH w:val="single" w:color="auto" w:sz="2" w:space="0"/>
            <w:insideV w:val="single" w:color="auto" w:sz="6" w:space="0"/>
          </w:tblBorders>
          <w:tblCellMar>
            <w:top w:w="0" w:type="dxa"/>
            <w:left w:w="108" w:type="dxa"/>
            <w:bottom w:w="0" w:type="dxa"/>
            <w:right w:w="108" w:type="dxa"/>
          </w:tblCellMar>
        </w:tblPrEx>
        <w:trPr>
          <w:trHeight w:val="332" w:hRule="atLeast"/>
          <w:jc w:val="center"/>
        </w:trPr>
        <w:tc>
          <w:tcPr>
            <w:tcW w:w="390" w:type="pct"/>
            <w:vMerge w:val="restart"/>
            <w:tcBorders>
              <w:tl2br w:val="nil"/>
              <w:tr2bl w:val="nil"/>
            </w:tcBorders>
            <w:vAlign w:val="center"/>
          </w:tcPr>
          <w:p w14:paraId="7EB1664B">
            <w:pPr>
              <w:pStyle w:val="240"/>
              <w:rPr>
                <w:rFonts w:hint="default"/>
              </w:rPr>
            </w:pPr>
            <w:r>
              <w:t>施</w:t>
            </w:r>
          </w:p>
          <w:p w14:paraId="76AE411B">
            <w:pPr>
              <w:pStyle w:val="240"/>
              <w:rPr>
                <w:rFonts w:hint="default"/>
              </w:rPr>
            </w:pPr>
            <w:r>
              <w:t>工</w:t>
            </w:r>
          </w:p>
          <w:p w14:paraId="16049E60">
            <w:pPr>
              <w:pStyle w:val="240"/>
              <w:rPr>
                <w:rFonts w:hint="default"/>
              </w:rPr>
            </w:pPr>
            <w:r>
              <w:t>期</w:t>
            </w:r>
          </w:p>
        </w:tc>
        <w:tc>
          <w:tcPr>
            <w:tcW w:w="742" w:type="pct"/>
            <w:tcBorders>
              <w:tl2br w:val="nil"/>
              <w:tr2bl w:val="nil"/>
            </w:tcBorders>
            <w:vAlign w:val="center"/>
          </w:tcPr>
          <w:p w14:paraId="4A3C7C33">
            <w:pPr>
              <w:pStyle w:val="240"/>
              <w:rPr>
                <w:rFonts w:hint="default"/>
              </w:rPr>
            </w:pPr>
            <w:r>
              <w:t>废气治理</w:t>
            </w:r>
          </w:p>
        </w:tc>
        <w:tc>
          <w:tcPr>
            <w:tcW w:w="3043" w:type="pct"/>
            <w:tcBorders>
              <w:tl2br w:val="nil"/>
              <w:tr2bl w:val="nil"/>
            </w:tcBorders>
            <w:vAlign w:val="center"/>
          </w:tcPr>
          <w:p w14:paraId="0D759AA1">
            <w:pPr>
              <w:pStyle w:val="240"/>
              <w:rPr>
                <w:rFonts w:hint="default"/>
              </w:rPr>
            </w:pPr>
            <w:r>
              <w:t>设置施工围挡、洒水等措施</w:t>
            </w:r>
          </w:p>
        </w:tc>
        <w:tc>
          <w:tcPr>
            <w:tcW w:w="823" w:type="pct"/>
            <w:tcBorders>
              <w:tl2br w:val="nil"/>
              <w:tr2bl w:val="nil"/>
            </w:tcBorders>
            <w:vAlign w:val="center"/>
          </w:tcPr>
          <w:p w14:paraId="73B9CDC1">
            <w:pPr>
              <w:pStyle w:val="240"/>
              <w:rPr>
                <w:rFonts w:hint="default"/>
              </w:rPr>
            </w:pPr>
            <w:r>
              <w:t>0.1</w:t>
            </w:r>
          </w:p>
        </w:tc>
      </w:tr>
      <w:tr w14:paraId="24D2CC2C">
        <w:tblPrEx>
          <w:tblBorders>
            <w:top w:val="single" w:color="auto" w:sz="12" w:space="0"/>
            <w:left w:val="single" w:color="auto" w:sz="12" w:space="0"/>
            <w:bottom w:val="single" w:color="auto" w:sz="12" w:space="0"/>
            <w:right w:val="single" w:color="auto" w:sz="12" w:space="0"/>
            <w:insideH w:val="single" w:color="auto" w:sz="2" w:space="0"/>
            <w:insideV w:val="single" w:color="auto" w:sz="6" w:space="0"/>
          </w:tblBorders>
          <w:tblCellMar>
            <w:top w:w="0" w:type="dxa"/>
            <w:left w:w="108" w:type="dxa"/>
            <w:bottom w:w="0" w:type="dxa"/>
            <w:right w:w="108" w:type="dxa"/>
          </w:tblCellMar>
        </w:tblPrEx>
        <w:trPr>
          <w:trHeight w:val="551" w:hRule="atLeast"/>
          <w:jc w:val="center"/>
        </w:trPr>
        <w:tc>
          <w:tcPr>
            <w:tcW w:w="390" w:type="pct"/>
            <w:vMerge w:val="continue"/>
            <w:tcBorders>
              <w:tl2br w:val="nil"/>
              <w:tr2bl w:val="nil"/>
            </w:tcBorders>
            <w:vAlign w:val="center"/>
          </w:tcPr>
          <w:p w14:paraId="2CBC5B96">
            <w:pPr>
              <w:pStyle w:val="240"/>
              <w:rPr>
                <w:rFonts w:hint="default"/>
              </w:rPr>
            </w:pPr>
          </w:p>
        </w:tc>
        <w:tc>
          <w:tcPr>
            <w:tcW w:w="742" w:type="pct"/>
            <w:tcBorders>
              <w:tl2br w:val="nil"/>
              <w:tr2bl w:val="nil"/>
            </w:tcBorders>
            <w:vAlign w:val="center"/>
          </w:tcPr>
          <w:p w14:paraId="51126641">
            <w:pPr>
              <w:pStyle w:val="240"/>
              <w:rPr>
                <w:rFonts w:hint="default"/>
              </w:rPr>
            </w:pPr>
            <w:r>
              <w:t>废水治理</w:t>
            </w:r>
          </w:p>
        </w:tc>
        <w:tc>
          <w:tcPr>
            <w:tcW w:w="3043" w:type="pct"/>
            <w:tcBorders>
              <w:tl2br w:val="nil"/>
              <w:tr2bl w:val="nil"/>
            </w:tcBorders>
            <w:vAlign w:val="center"/>
          </w:tcPr>
          <w:p w14:paraId="49E9A082">
            <w:pPr>
              <w:pStyle w:val="240"/>
              <w:rPr>
                <w:rFonts w:hint="default"/>
              </w:rPr>
            </w:pPr>
            <w:r>
              <w:rPr>
                <w:rFonts w:hint="eastAsia"/>
                <w:lang w:val="en-US" w:eastAsia="zh-CN"/>
              </w:rPr>
              <w:t>1</w:t>
            </w:r>
            <w:r>
              <w:rPr>
                <w:rFonts w:hint="eastAsia"/>
              </w:rPr>
              <w:t>0m</w:t>
            </w:r>
            <w:r>
              <w:rPr>
                <w:rFonts w:hint="eastAsia"/>
                <w:vertAlign w:val="superscript"/>
              </w:rPr>
              <w:t>3</w:t>
            </w:r>
            <w:r>
              <w:rPr>
                <w:rFonts w:hint="eastAsia"/>
                <w:lang w:eastAsia="zh-CN"/>
              </w:rPr>
              <w:t>防渗化粪池</w:t>
            </w:r>
            <w:r>
              <w:rPr>
                <w:rFonts w:hint="eastAsia"/>
              </w:rPr>
              <w:t>，定期由库尔勒龙润水处理有限公司采用罐车拉运至库尔勒南市区污水处理厂</w:t>
            </w:r>
            <w:r>
              <w:t>。</w:t>
            </w:r>
          </w:p>
        </w:tc>
        <w:tc>
          <w:tcPr>
            <w:tcW w:w="823" w:type="pct"/>
            <w:tcBorders>
              <w:tl2br w:val="nil"/>
              <w:tr2bl w:val="nil"/>
            </w:tcBorders>
            <w:vAlign w:val="center"/>
          </w:tcPr>
          <w:p w14:paraId="22BF6D5A">
            <w:pPr>
              <w:pStyle w:val="240"/>
              <w:rPr>
                <w:rFonts w:hint="default" w:eastAsia="宋体"/>
                <w:lang w:val="en-US" w:eastAsia="zh-CN"/>
              </w:rPr>
            </w:pPr>
            <w:r>
              <w:rPr>
                <w:rFonts w:hint="eastAsia"/>
                <w:lang w:val="en-US" w:eastAsia="zh-CN"/>
              </w:rPr>
              <w:t>0.2</w:t>
            </w:r>
          </w:p>
        </w:tc>
      </w:tr>
      <w:tr w14:paraId="781EF6FE">
        <w:tblPrEx>
          <w:tblBorders>
            <w:top w:val="single" w:color="auto" w:sz="12" w:space="0"/>
            <w:left w:val="single" w:color="auto" w:sz="12" w:space="0"/>
            <w:bottom w:val="single" w:color="auto" w:sz="12" w:space="0"/>
            <w:right w:val="single" w:color="auto" w:sz="12" w:space="0"/>
            <w:insideH w:val="single" w:color="auto" w:sz="2" w:space="0"/>
            <w:insideV w:val="single" w:color="auto" w:sz="6" w:space="0"/>
          </w:tblBorders>
          <w:tblCellMar>
            <w:top w:w="0" w:type="dxa"/>
            <w:left w:w="108" w:type="dxa"/>
            <w:bottom w:w="0" w:type="dxa"/>
            <w:right w:w="108" w:type="dxa"/>
          </w:tblCellMar>
        </w:tblPrEx>
        <w:trPr>
          <w:trHeight w:val="823" w:hRule="atLeast"/>
          <w:jc w:val="center"/>
        </w:trPr>
        <w:tc>
          <w:tcPr>
            <w:tcW w:w="390" w:type="pct"/>
            <w:vMerge w:val="continue"/>
            <w:tcBorders>
              <w:tl2br w:val="nil"/>
              <w:tr2bl w:val="nil"/>
            </w:tcBorders>
            <w:vAlign w:val="center"/>
          </w:tcPr>
          <w:p w14:paraId="45EF697C">
            <w:pPr>
              <w:pStyle w:val="240"/>
              <w:rPr>
                <w:rFonts w:hint="default"/>
              </w:rPr>
            </w:pPr>
          </w:p>
        </w:tc>
        <w:tc>
          <w:tcPr>
            <w:tcW w:w="742" w:type="pct"/>
            <w:tcBorders>
              <w:tl2br w:val="nil"/>
              <w:tr2bl w:val="nil"/>
            </w:tcBorders>
            <w:vAlign w:val="center"/>
          </w:tcPr>
          <w:p w14:paraId="0CAE880D">
            <w:pPr>
              <w:pStyle w:val="240"/>
              <w:rPr>
                <w:rFonts w:hint="default"/>
              </w:rPr>
            </w:pPr>
            <w:r>
              <w:t>固废治理</w:t>
            </w:r>
          </w:p>
        </w:tc>
        <w:tc>
          <w:tcPr>
            <w:tcW w:w="3043" w:type="pct"/>
            <w:tcBorders>
              <w:tl2br w:val="nil"/>
              <w:tr2bl w:val="nil"/>
            </w:tcBorders>
            <w:vAlign w:val="center"/>
          </w:tcPr>
          <w:p w14:paraId="1EA61193">
            <w:pPr>
              <w:pStyle w:val="240"/>
              <w:rPr>
                <w:rFonts w:hint="default"/>
              </w:rPr>
            </w:pPr>
            <w:r>
              <w:t>建筑垃圾按照《城市建筑垃圾管理规定》，向城市市容卫生管理部门申报，妥善弃置消纳；生活垃圾集中收集后由环卫部门统一清运处置</w:t>
            </w:r>
          </w:p>
        </w:tc>
        <w:tc>
          <w:tcPr>
            <w:tcW w:w="823" w:type="pct"/>
            <w:tcBorders>
              <w:tl2br w:val="nil"/>
              <w:tr2bl w:val="nil"/>
            </w:tcBorders>
            <w:vAlign w:val="center"/>
          </w:tcPr>
          <w:p w14:paraId="63FCE661">
            <w:pPr>
              <w:pStyle w:val="240"/>
              <w:rPr>
                <w:rFonts w:hint="default"/>
              </w:rPr>
            </w:pPr>
            <w:r>
              <w:t>0.02</w:t>
            </w:r>
          </w:p>
        </w:tc>
      </w:tr>
      <w:tr w14:paraId="2AFF0C12">
        <w:tblPrEx>
          <w:tblBorders>
            <w:top w:val="single" w:color="auto" w:sz="12" w:space="0"/>
            <w:left w:val="single" w:color="auto" w:sz="12" w:space="0"/>
            <w:bottom w:val="single" w:color="auto" w:sz="12" w:space="0"/>
            <w:right w:val="single" w:color="auto" w:sz="12" w:space="0"/>
            <w:insideH w:val="single" w:color="auto" w:sz="2" w:space="0"/>
            <w:insideV w:val="single" w:color="auto" w:sz="6" w:space="0"/>
          </w:tblBorders>
          <w:tblCellMar>
            <w:top w:w="0" w:type="dxa"/>
            <w:left w:w="108" w:type="dxa"/>
            <w:bottom w:w="0" w:type="dxa"/>
            <w:right w:w="108" w:type="dxa"/>
          </w:tblCellMar>
        </w:tblPrEx>
        <w:trPr>
          <w:trHeight w:val="261" w:hRule="atLeast"/>
          <w:jc w:val="center"/>
        </w:trPr>
        <w:tc>
          <w:tcPr>
            <w:tcW w:w="390" w:type="pct"/>
            <w:vMerge w:val="continue"/>
            <w:tcBorders>
              <w:tl2br w:val="nil"/>
              <w:tr2bl w:val="nil"/>
            </w:tcBorders>
            <w:vAlign w:val="center"/>
          </w:tcPr>
          <w:p w14:paraId="56F673B8">
            <w:pPr>
              <w:pStyle w:val="240"/>
              <w:rPr>
                <w:rFonts w:hint="default"/>
              </w:rPr>
            </w:pPr>
          </w:p>
        </w:tc>
        <w:tc>
          <w:tcPr>
            <w:tcW w:w="3786" w:type="pct"/>
            <w:gridSpan w:val="2"/>
            <w:tcBorders>
              <w:tl2br w:val="nil"/>
              <w:tr2bl w:val="nil"/>
            </w:tcBorders>
            <w:vAlign w:val="center"/>
          </w:tcPr>
          <w:p w14:paraId="47C24704">
            <w:pPr>
              <w:pStyle w:val="240"/>
              <w:rPr>
                <w:rFonts w:hint="default"/>
              </w:rPr>
            </w:pPr>
            <w:r>
              <w:t>小计</w:t>
            </w:r>
          </w:p>
        </w:tc>
        <w:tc>
          <w:tcPr>
            <w:tcW w:w="823" w:type="pct"/>
            <w:tcBorders>
              <w:tl2br w:val="nil"/>
              <w:tr2bl w:val="nil"/>
            </w:tcBorders>
            <w:vAlign w:val="center"/>
          </w:tcPr>
          <w:p w14:paraId="032B30E2">
            <w:pPr>
              <w:pStyle w:val="240"/>
              <w:rPr>
                <w:rFonts w:hint="default"/>
              </w:rPr>
            </w:pPr>
            <w:r>
              <w:t>0.</w:t>
            </w:r>
            <w:r>
              <w:rPr>
                <w:rFonts w:hint="eastAsia"/>
                <w:lang w:val="en-US" w:eastAsia="zh-CN"/>
              </w:rPr>
              <w:t>3</w:t>
            </w:r>
            <w:r>
              <w:t>2</w:t>
            </w:r>
          </w:p>
        </w:tc>
      </w:tr>
      <w:tr w14:paraId="4C199BD7">
        <w:tblPrEx>
          <w:tblBorders>
            <w:top w:val="single" w:color="auto" w:sz="12" w:space="0"/>
            <w:left w:val="single" w:color="auto" w:sz="12" w:space="0"/>
            <w:bottom w:val="single" w:color="auto" w:sz="12" w:space="0"/>
            <w:right w:val="single" w:color="auto" w:sz="12" w:space="0"/>
            <w:insideH w:val="single" w:color="auto" w:sz="2" w:space="0"/>
            <w:insideV w:val="single" w:color="auto" w:sz="6" w:space="0"/>
          </w:tblBorders>
          <w:tblCellMar>
            <w:top w:w="0" w:type="dxa"/>
            <w:left w:w="108" w:type="dxa"/>
            <w:bottom w:w="0" w:type="dxa"/>
            <w:right w:w="108" w:type="dxa"/>
          </w:tblCellMar>
        </w:tblPrEx>
        <w:trPr>
          <w:trHeight w:val="551" w:hRule="atLeast"/>
          <w:jc w:val="center"/>
        </w:trPr>
        <w:tc>
          <w:tcPr>
            <w:tcW w:w="390" w:type="pct"/>
            <w:vMerge w:val="restart"/>
            <w:tcBorders>
              <w:tl2br w:val="nil"/>
              <w:tr2bl w:val="nil"/>
            </w:tcBorders>
            <w:vAlign w:val="center"/>
          </w:tcPr>
          <w:p w14:paraId="157ECA56">
            <w:pPr>
              <w:pStyle w:val="240"/>
              <w:rPr>
                <w:rFonts w:hint="default"/>
              </w:rPr>
            </w:pPr>
            <w:r>
              <w:t>运</w:t>
            </w:r>
          </w:p>
          <w:p w14:paraId="3C250DC6">
            <w:pPr>
              <w:pStyle w:val="240"/>
              <w:rPr>
                <w:rFonts w:hint="default"/>
              </w:rPr>
            </w:pPr>
            <w:r>
              <w:t>营</w:t>
            </w:r>
          </w:p>
          <w:p w14:paraId="748E382C">
            <w:pPr>
              <w:pStyle w:val="240"/>
              <w:rPr>
                <w:rFonts w:hint="default"/>
              </w:rPr>
            </w:pPr>
            <w:r>
              <w:t>期</w:t>
            </w:r>
          </w:p>
        </w:tc>
        <w:tc>
          <w:tcPr>
            <w:tcW w:w="742" w:type="pct"/>
            <w:vMerge w:val="restart"/>
            <w:tcBorders>
              <w:tl2br w:val="nil"/>
              <w:tr2bl w:val="nil"/>
            </w:tcBorders>
            <w:vAlign w:val="center"/>
          </w:tcPr>
          <w:p w14:paraId="0F0DE89F">
            <w:pPr>
              <w:pStyle w:val="240"/>
              <w:rPr>
                <w:rFonts w:hint="default"/>
              </w:rPr>
            </w:pPr>
            <w:r>
              <w:t>废气治理</w:t>
            </w:r>
          </w:p>
        </w:tc>
        <w:tc>
          <w:tcPr>
            <w:tcW w:w="3043" w:type="pct"/>
            <w:tcBorders>
              <w:tl2br w:val="nil"/>
              <w:tr2bl w:val="nil"/>
            </w:tcBorders>
            <w:vAlign w:val="center"/>
          </w:tcPr>
          <w:p w14:paraId="23A1E053">
            <w:pPr>
              <w:pStyle w:val="240"/>
              <w:rPr>
                <w:rFonts w:hint="default"/>
              </w:rPr>
            </w:pPr>
            <w:r>
              <w:t>集气罩（2个）+</w:t>
            </w:r>
            <w:r>
              <w:rPr>
                <w:rFonts w:hint="eastAsia"/>
                <w:lang w:eastAsia="zh-CN"/>
              </w:rPr>
              <w:t>活性炭浓缩吸附+催化燃烧</w:t>
            </w:r>
            <w:r>
              <w:t>系统+15m高排气筒（1套）</w:t>
            </w:r>
          </w:p>
        </w:tc>
        <w:tc>
          <w:tcPr>
            <w:tcW w:w="823" w:type="pct"/>
            <w:tcBorders>
              <w:tl2br w:val="nil"/>
              <w:tr2bl w:val="nil"/>
            </w:tcBorders>
            <w:vAlign w:val="center"/>
          </w:tcPr>
          <w:p w14:paraId="14278B59">
            <w:pPr>
              <w:pStyle w:val="240"/>
              <w:rPr>
                <w:rFonts w:hint="default"/>
              </w:rPr>
            </w:pPr>
            <w:r>
              <w:t>20</w:t>
            </w:r>
          </w:p>
        </w:tc>
      </w:tr>
      <w:tr w14:paraId="72A5C29E">
        <w:tblPrEx>
          <w:tblBorders>
            <w:top w:val="single" w:color="auto" w:sz="12" w:space="0"/>
            <w:left w:val="single" w:color="auto" w:sz="12" w:space="0"/>
            <w:bottom w:val="single" w:color="auto" w:sz="12" w:space="0"/>
            <w:right w:val="single" w:color="auto" w:sz="12" w:space="0"/>
            <w:insideH w:val="single" w:color="auto" w:sz="2" w:space="0"/>
            <w:insideV w:val="single" w:color="auto" w:sz="6" w:space="0"/>
          </w:tblBorders>
          <w:tblCellMar>
            <w:top w:w="0" w:type="dxa"/>
            <w:left w:w="108" w:type="dxa"/>
            <w:bottom w:w="0" w:type="dxa"/>
            <w:right w:w="108" w:type="dxa"/>
          </w:tblCellMar>
        </w:tblPrEx>
        <w:trPr>
          <w:trHeight w:val="314" w:hRule="atLeast"/>
          <w:jc w:val="center"/>
        </w:trPr>
        <w:tc>
          <w:tcPr>
            <w:tcW w:w="390" w:type="pct"/>
            <w:vMerge w:val="continue"/>
            <w:tcBorders>
              <w:tl2br w:val="nil"/>
              <w:tr2bl w:val="nil"/>
            </w:tcBorders>
            <w:vAlign w:val="center"/>
          </w:tcPr>
          <w:p w14:paraId="0D7C5E07">
            <w:pPr>
              <w:pStyle w:val="240"/>
              <w:rPr>
                <w:rFonts w:hint="default"/>
              </w:rPr>
            </w:pPr>
          </w:p>
        </w:tc>
        <w:tc>
          <w:tcPr>
            <w:tcW w:w="742" w:type="pct"/>
            <w:vMerge w:val="continue"/>
            <w:tcBorders>
              <w:tl2br w:val="nil"/>
              <w:tr2bl w:val="nil"/>
            </w:tcBorders>
            <w:vAlign w:val="center"/>
          </w:tcPr>
          <w:p w14:paraId="772FDAA0">
            <w:pPr>
              <w:pStyle w:val="240"/>
              <w:rPr>
                <w:rFonts w:hint="default"/>
              </w:rPr>
            </w:pPr>
          </w:p>
        </w:tc>
        <w:tc>
          <w:tcPr>
            <w:tcW w:w="3043" w:type="pct"/>
            <w:tcBorders>
              <w:tl2br w:val="nil"/>
              <w:tr2bl w:val="nil"/>
            </w:tcBorders>
            <w:vAlign w:val="center"/>
          </w:tcPr>
          <w:p w14:paraId="01E33326">
            <w:pPr>
              <w:pStyle w:val="240"/>
              <w:rPr>
                <w:rFonts w:hint="default"/>
              </w:rPr>
            </w:pPr>
            <w:r>
              <w:t>排风扇</w:t>
            </w:r>
            <w:r>
              <w:rPr>
                <w:rFonts w:hint="eastAsia"/>
                <w:lang w:val="en-US" w:eastAsia="zh-CN"/>
              </w:rPr>
              <w:t>2</w:t>
            </w:r>
            <w:r>
              <w:t>个</w:t>
            </w:r>
          </w:p>
        </w:tc>
        <w:tc>
          <w:tcPr>
            <w:tcW w:w="823" w:type="pct"/>
            <w:tcBorders>
              <w:tl2br w:val="nil"/>
              <w:tr2bl w:val="nil"/>
            </w:tcBorders>
            <w:vAlign w:val="center"/>
          </w:tcPr>
          <w:p w14:paraId="042DF893">
            <w:pPr>
              <w:pStyle w:val="240"/>
              <w:rPr>
                <w:rFonts w:hint="default"/>
              </w:rPr>
            </w:pPr>
            <w:r>
              <w:t>0.1</w:t>
            </w:r>
          </w:p>
        </w:tc>
      </w:tr>
      <w:tr w14:paraId="6F959BC0">
        <w:tblPrEx>
          <w:tblBorders>
            <w:top w:val="single" w:color="auto" w:sz="12" w:space="0"/>
            <w:left w:val="single" w:color="auto" w:sz="12" w:space="0"/>
            <w:bottom w:val="single" w:color="auto" w:sz="12" w:space="0"/>
            <w:right w:val="single" w:color="auto" w:sz="12" w:space="0"/>
            <w:insideH w:val="single" w:color="auto" w:sz="2" w:space="0"/>
            <w:insideV w:val="single" w:color="auto" w:sz="6" w:space="0"/>
          </w:tblBorders>
          <w:tblCellMar>
            <w:top w:w="0" w:type="dxa"/>
            <w:left w:w="108" w:type="dxa"/>
            <w:bottom w:w="0" w:type="dxa"/>
            <w:right w:w="108" w:type="dxa"/>
          </w:tblCellMar>
        </w:tblPrEx>
        <w:trPr>
          <w:trHeight w:val="330" w:hRule="atLeast"/>
          <w:jc w:val="center"/>
        </w:trPr>
        <w:tc>
          <w:tcPr>
            <w:tcW w:w="390" w:type="pct"/>
            <w:vMerge w:val="continue"/>
            <w:tcBorders>
              <w:tl2br w:val="nil"/>
              <w:tr2bl w:val="nil"/>
            </w:tcBorders>
            <w:vAlign w:val="center"/>
          </w:tcPr>
          <w:p w14:paraId="34046097">
            <w:pPr>
              <w:pStyle w:val="240"/>
              <w:rPr>
                <w:rFonts w:hint="default"/>
              </w:rPr>
            </w:pPr>
          </w:p>
        </w:tc>
        <w:tc>
          <w:tcPr>
            <w:tcW w:w="742" w:type="pct"/>
            <w:vMerge w:val="continue"/>
            <w:tcBorders>
              <w:tl2br w:val="nil"/>
              <w:tr2bl w:val="nil"/>
            </w:tcBorders>
            <w:vAlign w:val="center"/>
          </w:tcPr>
          <w:p w14:paraId="26FA58AC">
            <w:pPr>
              <w:pStyle w:val="240"/>
              <w:rPr>
                <w:rFonts w:hint="default"/>
              </w:rPr>
            </w:pPr>
          </w:p>
        </w:tc>
        <w:tc>
          <w:tcPr>
            <w:tcW w:w="3043" w:type="pct"/>
            <w:tcBorders>
              <w:tl2br w:val="nil"/>
              <w:tr2bl w:val="nil"/>
            </w:tcBorders>
            <w:vAlign w:val="center"/>
          </w:tcPr>
          <w:p w14:paraId="6D2893D3">
            <w:pPr>
              <w:pStyle w:val="240"/>
              <w:rPr>
                <w:rFonts w:hint="default"/>
              </w:rPr>
            </w:pPr>
            <w:r>
              <w:t>运行维护费用</w:t>
            </w:r>
          </w:p>
        </w:tc>
        <w:tc>
          <w:tcPr>
            <w:tcW w:w="823" w:type="pct"/>
            <w:tcBorders>
              <w:tl2br w:val="nil"/>
              <w:tr2bl w:val="nil"/>
            </w:tcBorders>
            <w:vAlign w:val="center"/>
          </w:tcPr>
          <w:p w14:paraId="48BC0195">
            <w:pPr>
              <w:pStyle w:val="240"/>
              <w:rPr>
                <w:rFonts w:hint="default"/>
              </w:rPr>
            </w:pPr>
            <w:r>
              <w:t>0.5</w:t>
            </w:r>
          </w:p>
        </w:tc>
      </w:tr>
      <w:tr w14:paraId="497EE80C">
        <w:tblPrEx>
          <w:tblBorders>
            <w:top w:val="single" w:color="auto" w:sz="12" w:space="0"/>
            <w:left w:val="single" w:color="auto" w:sz="12" w:space="0"/>
            <w:bottom w:val="single" w:color="auto" w:sz="12" w:space="0"/>
            <w:right w:val="single" w:color="auto" w:sz="12" w:space="0"/>
            <w:insideH w:val="single" w:color="auto" w:sz="2" w:space="0"/>
            <w:insideV w:val="single" w:color="auto" w:sz="6" w:space="0"/>
          </w:tblBorders>
          <w:tblCellMar>
            <w:top w:w="0" w:type="dxa"/>
            <w:left w:w="108" w:type="dxa"/>
            <w:bottom w:w="0" w:type="dxa"/>
            <w:right w:w="108" w:type="dxa"/>
          </w:tblCellMar>
        </w:tblPrEx>
        <w:trPr>
          <w:trHeight w:val="551" w:hRule="atLeast"/>
          <w:jc w:val="center"/>
        </w:trPr>
        <w:tc>
          <w:tcPr>
            <w:tcW w:w="390" w:type="pct"/>
            <w:vMerge w:val="continue"/>
            <w:tcBorders>
              <w:tl2br w:val="nil"/>
              <w:tr2bl w:val="nil"/>
            </w:tcBorders>
            <w:vAlign w:val="center"/>
          </w:tcPr>
          <w:p w14:paraId="598500CC">
            <w:pPr>
              <w:pStyle w:val="240"/>
              <w:rPr>
                <w:rFonts w:hint="default"/>
              </w:rPr>
            </w:pPr>
          </w:p>
        </w:tc>
        <w:tc>
          <w:tcPr>
            <w:tcW w:w="742" w:type="pct"/>
            <w:tcBorders>
              <w:tl2br w:val="nil"/>
              <w:tr2bl w:val="nil"/>
            </w:tcBorders>
            <w:vAlign w:val="center"/>
          </w:tcPr>
          <w:p w14:paraId="5E7C6940">
            <w:pPr>
              <w:pStyle w:val="240"/>
              <w:rPr>
                <w:rFonts w:hint="default"/>
              </w:rPr>
            </w:pPr>
            <w:r>
              <w:t>废水治理</w:t>
            </w:r>
          </w:p>
        </w:tc>
        <w:tc>
          <w:tcPr>
            <w:tcW w:w="3043" w:type="pct"/>
            <w:tcBorders>
              <w:tl2br w:val="nil"/>
              <w:tr2bl w:val="nil"/>
            </w:tcBorders>
            <w:vAlign w:val="center"/>
          </w:tcPr>
          <w:p w14:paraId="65DE9F9A">
            <w:pPr>
              <w:pStyle w:val="240"/>
              <w:rPr>
                <w:rFonts w:hint="eastAsia" w:eastAsia="宋体"/>
                <w:lang w:eastAsia="zh-CN"/>
              </w:rPr>
            </w:pPr>
            <w:r>
              <w:rPr>
                <w:rFonts w:hint="eastAsia"/>
                <w:lang w:eastAsia="zh-CN"/>
              </w:rPr>
              <w:t>无生产废水，人员不在项目区吃住，生活废水很少，排入</w:t>
            </w:r>
            <w:r>
              <w:rPr>
                <w:rFonts w:hint="eastAsia"/>
                <w:lang w:val="en-US" w:eastAsia="zh-CN"/>
              </w:rPr>
              <w:t>1</w:t>
            </w:r>
            <w:r>
              <w:rPr>
                <w:rFonts w:hint="eastAsia"/>
              </w:rPr>
              <w:t>0m</w:t>
            </w:r>
            <w:r>
              <w:rPr>
                <w:rFonts w:hint="eastAsia"/>
                <w:vertAlign w:val="superscript"/>
              </w:rPr>
              <w:t>3</w:t>
            </w:r>
            <w:r>
              <w:rPr>
                <w:rFonts w:hint="eastAsia"/>
                <w:lang w:eastAsia="zh-CN"/>
              </w:rPr>
              <w:t>防渗化粪池</w:t>
            </w:r>
          </w:p>
        </w:tc>
        <w:tc>
          <w:tcPr>
            <w:tcW w:w="823" w:type="pct"/>
            <w:tcBorders>
              <w:tl2br w:val="nil"/>
              <w:tr2bl w:val="nil"/>
            </w:tcBorders>
            <w:vAlign w:val="center"/>
          </w:tcPr>
          <w:p w14:paraId="289DD19B">
            <w:pPr>
              <w:pStyle w:val="240"/>
              <w:rPr>
                <w:rFonts w:hint="default" w:eastAsia="宋体"/>
                <w:lang w:val="en-US" w:eastAsia="zh-CN"/>
              </w:rPr>
            </w:pPr>
            <w:r>
              <w:rPr>
                <w:rFonts w:hint="eastAsia"/>
                <w:lang w:val="en-US" w:eastAsia="zh-CN"/>
              </w:rPr>
              <w:t>0.2</w:t>
            </w:r>
          </w:p>
        </w:tc>
      </w:tr>
      <w:tr w14:paraId="5CCA5F86">
        <w:tblPrEx>
          <w:tblBorders>
            <w:top w:val="single" w:color="auto" w:sz="12" w:space="0"/>
            <w:left w:val="single" w:color="auto" w:sz="12" w:space="0"/>
            <w:bottom w:val="single" w:color="auto" w:sz="12" w:space="0"/>
            <w:right w:val="single" w:color="auto" w:sz="12" w:space="0"/>
            <w:insideH w:val="single" w:color="auto" w:sz="2" w:space="0"/>
            <w:insideV w:val="single" w:color="auto" w:sz="6" w:space="0"/>
          </w:tblBorders>
          <w:tblCellMar>
            <w:top w:w="0" w:type="dxa"/>
            <w:left w:w="108" w:type="dxa"/>
            <w:bottom w:w="0" w:type="dxa"/>
            <w:right w:w="108" w:type="dxa"/>
          </w:tblCellMar>
        </w:tblPrEx>
        <w:trPr>
          <w:trHeight w:val="347" w:hRule="atLeast"/>
          <w:jc w:val="center"/>
        </w:trPr>
        <w:tc>
          <w:tcPr>
            <w:tcW w:w="390" w:type="pct"/>
            <w:vMerge w:val="continue"/>
            <w:tcBorders>
              <w:tl2br w:val="nil"/>
              <w:tr2bl w:val="nil"/>
            </w:tcBorders>
            <w:vAlign w:val="center"/>
          </w:tcPr>
          <w:p w14:paraId="2498EBCD">
            <w:pPr>
              <w:pStyle w:val="240"/>
              <w:rPr>
                <w:rFonts w:hint="default"/>
              </w:rPr>
            </w:pPr>
          </w:p>
        </w:tc>
        <w:tc>
          <w:tcPr>
            <w:tcW w:w="742" w:type="pct"/>
            <w:tcBorders>
              <w:tl2br w:val="nil"/>
              <w:tr2bl w:val="nil"/>
            </w:tcBorders>
            <w:vAlign w:val="center"/>
          </w:tcPr>
          <w:p w14:paraId="199AF057">
            <w:pPr>
              <w:pStyle w:val="240"/>
              <w:rPr>
                <w:rFonts w:hint="default"/>
              </w:rPr>
            </w:pPr>
            <w:r>
              <w:t>噪声治理</w:t>
            </w:r>
          </w:p>
        </w:tc>
        <w:tc>
          <w:tcPr>
            <w:tcW w:w="3043" w:type="pct"/>
            <w:tcBorders>
              <w:tl2br w:val="nil"/>
              <w:tr2bl w:val="nil"/>
            </w:tcBorders>
            <w:vAlign w:val="center"/>
          </w:tcPr>
          <w:p w14:paraId="6802FD6A">
            <w:pPr>
              <w:pStyle w:val="240"/>
              <w:rPr>
                <w:rFonts w:hint="default"/>
              </w:rPr>
            </w:pPr>
            <w:r>
              <w:t>安装减振基础、减振垫、消声器等</w:t>
            </w:r>
          </w:p>
        </w:tc>
        <w:tc>
          <w:tcPr>
            <w:tcW w:w="823" w:type="pct"/>
            <w:tcBorders>
              <w:tl2br w:val="nil"/>
              <w:tr2bl w:val="nil"/>
            </w:tcBorders>
            <w:vAlign w:val="center"/>
          </w:tcPr>
          <w:p w14:paraId="55C0B41B">
            <w:pPr>
              <w:pStyle w:val="240"/>
              <w:rPr>
                <w:rFonts w:hint="default"/>
              </w:rPr>
            </w:pPr>
            <w:r>
              <w:t>2.6</w:t>
            </w:r>
          </w:p>
        </w:tc>
      </w:tr>
      <w:tr w14:paraId="1C30735F">
        <w:tblPrEx>
          <w:tblBorders>
            <w:top w:val="single" w:color="auto" w:sz="12" w:space="0"/>
            <w:left w:val="single" w:color="auto" w:sz="12" w:space="0"/>
            <w:bottom w:val="single" w:color="auto" w:sz="12" w:space="0"/>
            <w:right w:val="single" w:color="auto" w:sz="12" w:space="0"/>
            <w:insideH w:val="single" w:color="auto" w:sz="2" w:space="0"/>
            <w:insideV w:val="single" w:color="auto" w:sz="6" w:space="0"/>
          </w:tblBorders>
          <w:tblCellMar>
            <w:top w:w="0" w:type="dxa"/>
            <w:left w:w="108" w:type="dxa"/>
            <w:bottom w:w="0" w:type="dxa"/>
            <w:right w:w="108" w:type="dxa"/>
          </w:tblCellMar>
        </w:tblPrEx>
        <w:trPr>
          <w:trHeight w:val="263" w:hRule="atLeast"/>
          <w:jc w:val="center"/>
        </w:trPr>
        <w:tc>
          <w:tcPr>
            <w:tcW w:w="390" w:type="pct"/>
            <w:vMerge w:val="continue"/>
            <w:tcBorders>
              <w:tl2br w:val="nil"/>
              <w:tr2bl w:val="nil"/>
            </w:tcBorders>
            <w:vAlign w:val="center"/>
          </w:tcPr>
          <w:p w14:paraId="5ABF9136">
            <w:pPr>
              <w:pStyle w:val="240"/>
              <w:rPr>
                <w:rFonts w:hint="default"/>
              </w:rPr>
            </w:pPr>
          </w:p>
        </w:tc>
        <w:tc>
          <w:tcPr>
            <w:tcW w:w="742" w:type="pct"/>
            <w:vMerge w:val="restart"/>
            <w:tcBorders>
              <w:tl2br w:val="nil"/>
              <w:tr2bl w:val="nil"/>
            </w:tcBorders>
            <w:vAlign w:val="center"/>
          </w:tcPr>
          <w:p w14:paraId="0232B64A">
            <w:pPr>
              <w:pStyle w:val="240"/>
              <w:rPr>
                <w:rFonts w:hint="default"/>
              </w:rPr>
            </w:pPr>
            <w:r>
              <w:t>固废治理</w:t>
            </w:r>
          </w:p>
        </w:tc>
        <w:tc>
          <w:tcPr>
            <w:tcW w:w="3043" w:type="pct"/>
            <w:tcBorders>
              <w:tl2br w:val="nil"/>
              <w:tr2bl w:val="nil"/>
            </w:tcBorders>
            <w:vAlign w:val="center"/>
          </w:tcPr>
          <w:p w14:paraId="6E87D70C">
            <w:pPr>
              <w:pStyle w:val="240"/>
              <w:rPr>
                <w:rFonts w:hint="default"/>
              </w:rPr>
            </w:pPr>
            <w:r>
              <w:t>垃圾桶、垃圾箱（租用</w:t>
            </w:r>
            <w:r>
              <w:rPr>
                <w:rFonts w:hint="eastAsia"/>
                <w:lang w:eastAsia="zh-CN"/>
              </w:rPr>
              <w:t>宿舍</w:t>
            </w:r>
            <w:r>
              <w:t>已配置）</w:t>
            </w:r>
          </w:p>
        </w:tc>
        <w:tc>
          <w:tcPr>
            <w:tcW w:w="823" w:type="pct"/>
            <w:tcBorders>
              <w:tl2br w:val="nil"/>
              <w:tr2bl w:val="nil"/>
            </w:tcBorders>
            <w:vAlign w:val="center"/>
          </w:tcPr>
          <w:p w14:paraId="6C51E0F8">
            <w:pPr>
              <w:pStyle w:val="240"/>
              <w:rPr>
                <w:rFonts w:hint="default"/>
              </w:rPr>
            </w:pPr>
            <w:r>
              <w:t>/</w:t>
            </w:r>
          </w:p>
        </w:tc>
      </w:tr>
      <w:tr w14:paraId="63E8AB5C">
        <w:tblPrEx>
          <w:tblBorders>
            <w:top w:val="single" w:color="auto" w:sz="12" w:space="0"/>
            <w:left w:val="single" w:color="auto" w:sz="12" w:space="0"/>
            <w:bottom w:val="single" w:color="auto" w:sz="12" w:space="0"/>
            <w:right w:val="single" w:color="auto" w:sz="12" w:space="0"/>
            <w:insideH w:val="single" w:color="auto" w:sz="2" w:space="0"/>
            <w:insideV w:val="single" w:color="auto" w:sz="6" w:space="0"/>
          </w:tblBorders>
          <w:tblCellMar>
            <w:top w:w="0" w:type="dxa"/>
            <w:left w:w="108" w:type="dxa"/>
            <w:bottom w:w="0" w:type="dxa"/>
            <w:right w:w="108" w:type="dxa"/>
          </w:tblCellMar>
        </w:tblPrEx>
        <w:trPr>
          <w:trHeight w:val="1096" w:hRule="atLeast"/>
          <w:jc w:val="center"/>
        </w:trPr>
        <w:tc>
          <w:tcPr>
            <w:tcW w:w="390" w:type="pct"/>
            <w:vMerge w:val="continue"/>
            <w:tcBorders>
              <w:tl2br w:val="nil"/>
              <w:tr2bl w:val="nil"/>
            </w:tcBorders>
            <w:vAlign w:val="center"/>
          </w:tcPr>
          <w:p w14:paraId="09C6BEEF">
            <w:pPr>
              <w:pStyle w:val="240"/>
              <w:rPr>
                <w:rFonts w:hint="default"/>
              </w:rPr>
            </w:pPr>
          </w:p>
        </w:tc>
        <w:tc>
          <w:tcPr>
            <w:tcW w:w="742" w:type="pct"/>
            <w:vMerge w:val="continue"/>
            <w:tcBorders>
              <w:tl2br w:val="nil"/>
              <w:tr2bl w:val="nil"/>
            </w:tcBorders>
            <w:vAlign w:val="center"/>
          </w:tcPr>
          <w:p w14:paraId="28978BE0">
            <w:pPr>
              <w:pStyle w:val="240"/>
              <w:rPr>
                <w:rFonts w:hint="default"/>
              </w:rPr>
            </w:pPr>
          </w:p>
        </w:tc>
        <w:tc>
          <w:tcPr>
            <w:tcW w:w="3043" w:type="pct"/>
            <w:tcBorders>
              <w:tl2br w:val="nil"/>
              <w:tr2bl w:val="nil"/>
            </w:tcBorders>
            <w:vAlign w:val="center"/>
          </w:tcPr>
          <w:p w14:paraId="58DDDAED">
            <w:pPr>
              <w:pStyle w:val="240"/>
              <w:rPr>
                <w:rFonts w:hint="eastAsia" w:eastAsia="宋体"/>
                <w:lang w:eastAsia="zh-CN"/>
              </w:rPr>
            </w:pPr>
            <w:r>
              <w:t>危险废物在厂区危废贮存点内暂存，废润滑油及桶委托有资质单位定期进行处置</w:t>
            </w:r>
            <w:r>
              <w:rPr>
                <w:rFonts w:hint="eastAsia"/>
                <w:lang w:eastAsia="zh-CN"/>
              </w:rPr>
              <w:t>（</w:t>
            </w:r>
            <w:r>
              <w:rPr>
                <w:rFonts w:hint="default" w:ascii="Times New Roman" w:hAnsi="Times New Roman" w:eastAsia="宋体" w:cs="Times New Roman"/>
                <w:color w:val="auto"/>
                <w:kern w:val="0"/>
                <w:sz w:val="21"/>
                <w:szCs w:val="21"/>
              </w:rPr>
              <w:t>按照《危险废物贮存污染控制标准》（GB18957-20</w:t>
            </w:r>
            <w:r>
              <w:rPr>
                <w:rFonts w:hint="eastAsia" w:ascii="Times New Roman" w:hAnsi="Times New Roman" w:cs="Times New Roman"/>
                <w:color w:val="auto"/>
                <w:kern w:val="0"/>
                <w:sz w:val="21"/>
                <w:szCs w:val="21"/>
                <w:lang w:val="en-US" w:eastAsia="zh-CN"/>
              </w:rPr>
              <w:t>23</w:t>
            </w:r>
            <w:r>
              <w:rPr>
                <w:rFonts w:hint="default" w:ascii="Times New Roman" w:hAnsi="Times New Roman" w:eastAsia="宋体" w:cs="Times New Roman"/>
                <w:color w:val="auto"/>
                <w:kern w:val="0"/>
                <w:sz w:val="21"/>
                <w:szCs w:val="21"/>
              </w:rPr>
              <w:t>）中有关规定设置1间</w:t>
            </w:r>
            <w:r>
              <w:rPr>
                <w:rFonts w:hint="eastAsia" w:ascii="Times New Roman" w:hAnsi="Times New Roman" w:eastAsia="宋体" w:cs="Times New Roman"/>
                <w:color w:val="auto"/>
                <w:kern w:val="0"/>
                <w:sz w:val="21"/>
                <w:szCs w:val="21"/>
                <w:lang w:eastAsia="zh-CN"/>
              </w:rPr>
              <w:t>危险废物贮存点，</w:t>
            </w:r>
            <w:r>
              <w:rPr>
                <w:rFonts w:hint="eastAsia" w:ascii="Times New Roman" w:hAnsi="Times New Roman" w:eastAsia="宋体" w:cs="Times New Roman"/>
                <w:color w:val="auto"/>
                <w:kern w:val="0"/>
                <w:sz w:val="21"/>
                <w:szCs w:val="21"/>
                <w:lang w:val="en-US" w:eastAsia="zh-CN"/>
              </w:rPr>
              <w:t>危废委托处置费用</w:t>
            </w:r>
            <w:r>
              <w:rPr>
                <w:rFonts w:hint="eastAsia"/>
                <w:lang w:eastAsia="zh-CN"/>
              </w:rPr>
              <w:t>）</w:t>
            </w:r>
          </w:p>
        </w:tc>
        <w:tc>
          <w:tcPr>
            <w:tcW w:w="823" w:type="pct"/>
            <w:tcBorders>
              <w:tl2br w:val="nil"/>
              <w:tr2bl w:val="nil"/>
            </w:tcBorders>
            <w:vAlign w:val="center"/>
          </w:tcPr>
          <w:p w14:paraId="5224AC09">
            <w:pPr>
              <w:pStyle w:val="240"/>
              <w:rPr>
                <w:rFonts w:hint="default"/>
              </w:rPr>
            </w:pPr>
            <w:r>
              <w:t>2.5</w:t>
            </w:r>
          </w:p>
        </w:tc>
      </w:tr>
      <w:tr w14:paraId="4DD8885B">
        <w:tblPrEx>
          <w:tblBorders>
            <w:top w:val="single" w:color="auto" w:sz="12" w:space="0"/>
            <w:left w:val="single" w:color="auto" w:sz="12" w:space="0"/>
            <w:bottom w:val="single" w:color="auto" w:sz="12" w:space="0"/>
            <w:right w:val="single" w:color="auto" w:sz="12" w:space="0"/>
            <w:insideH w:val="single" w:color="auto" w:sz="2" w:space="0"/>
            <w:insideV w:val="single" w:color="auto" w:sz="6" w:space="0"/>
          </w:tblBorders>
          <w:tblCellMar>
            <w:top w:w="0" w:type="dxa"/>
            <w:left w:w="108" w:type="dxa"/>
            <w:bottom w:w="0" w:type="dxa"/>
            <w:right w:w="108" w:type="dxa"/>
          </w:tblCellMar>
        </w:tblPrEx>
        <w:trPr>
          <w:trHeight w:val="314" w:hRule="atLeast"/>
          <w:jc w:val="center"/>
        </w:trPr>
        <w:tc>
          <w:tcPr>
            <w:tcW w:w="390" w:type="pct"/>
            <w:vMerge w:val="continue"/>
            <w:tcBorders>
              <w:tl2br w:val="nil"/>
              <w:tr2bl w:val="nil"/>
            </w:tcBorders>
            <w:vAlign w:val="center"/>
          </w:tcPr>
          <w:p w14:paraId="71257E3F">
            <w:pPr>
              <w:pStyle w:val="240"/>
              <w:rPr>
                <w:rFonts w:hint="default"/>
              </w:rPr>
            </w:pPr>
          </w:p>
        </w:tc>
        <w:tc>
          <w:tcPr>
            <w:tcW w:w="742" w:type="pct"/>
            <w:vMerge w:val="continue"/>
            <w:tcBorders>
              <w:tl2br w:val="nil"/>
              <w:tr2bl w:val="nil"/>
            </w:tcBorders>
            <w:vAlign w:val="center"/>
          </w:tcPr>
          <w:p w14:paraId="70922D15">
            <w:pPr>
              <w:pStyle w:val="240"/>
              <w:rPr>
                <w:rFonts w:hint="default"/>
              </w:rPr>
            </w:pPr>
          </w:p>
        </w:tc>
        <w:tc>
          <w:tcPr>
            <w:tcW w:w="3043" w:type="pct"/>
            <w:tcBorders>
              <w:tl2br w:val="nil"/>
              <w:tr2bl w:val="nil"/>
            </w:tcBorders>
            <w:vAlign w:val="center"/>
          </w:tcPr>
          <w:p w14:paraId="04EDA847">
            <w:pPr>
              <w:pStyle w:val="240"/>
            </w:pPr>
            <w:r>
              <w:rPr>
                <w:rFonts w:hint="eastAsia" w:ascii="Times New Roman" w:hAnsi="Times New Roman" w:eastAsia="宋体" w:cs="Times New Roman"/>
                <w:color w:val="auto"/>
                <w:sz w:val="21"/>
                <w:szCs w:val="21"/>
                <w:lang w:val="en-US" w:eastAsia="zh-CN"/>
              </w:rPr>
              <w:t>一般固废暂存间</w:t>
            </w:r>
          </w:p>
        </w:tc>
        <w:tc>
          <w:tcPr>
            <w:tcW w:w="823" w:type="pct"/>
            <w:tcBorders>
              <w:tl2br w:val="nil"/>
              <w:tr2bl w:val="nil"/>
            </w:tcBorders>
            <w:vAlign w:val="center"/>
          </w:tcPr>
          <w:p w14:paraId="5C3D46C9">
            <w:pPr>
              <w:pStyle w:val="240"/>
              <w:rPr>
                <w:rFonts w:hint="default" w:eastAsia="宋体"/>
                <w:lang w:val="en-US" w:eastAsia="zh-CN"/>
              </w:rPr>
            </w:pPr>
            <w:r>
              <w:rPr>
                <w:rFonts w:hint="eastAsia"/>
                <w:lang w:val="en-US" w:eastAsia="zh-CN"/>
              </w:rPr>
              <w:t>1.5</w:t>
            </w:r>
          </w:p>
        </w:tc>
      </w:tr>
      <w:tr w14:paraId="27B3FA7F">
        <w:tblPrEx>
          <w:tblBorders>
            <w:top w:val="single" w:color="auto" w:sz="12" w:space="0"/>
            <w:left w:val="single" w:color="auto" w:sz="12" w:space="0"/>
            <w:bottom w:val="single" w:color="auto" w:sz="12" w:space="0"/>
            <w:right w:val="single" w:color="auto" w:sz="12" w:space="0"/>
            <w:insideH w:val="single" w:color="auto" w:sz="2" w:space="0"/>
            <w:insideV w:val="single" w:color="auto" w:sz="6" w:space="0"/>
          </w:tblBorders>
          <w:tblCellMar>
            <w:top w:w="0" w:type="dxa"/>
            <w:left w:w="108" w:type="dxa"/>
            <w:bottom w:w="0" w:type="dxa"/>
            <w:right w:w="108" w:type="dxa"/>
          </w:tblCellMar>
        </w:tblPrEx>
        <w:trPr>
          <w:trHeight w:val="823" w:hRule="atLeast"/>
          <w:jc w:val="center"/>
        </w:trPr>
        <w:tc>
          <w:tcPr>
            <w:tcW w:w="390" w:type="pct"/>
            <w:vMerge w:val="continue"/>
            <w:tcBorders>
              <w:tl2br w:val="nil"/>
              <w:tr2bl w:val="nil"/>
            </w:tcBorders>
            <w:vAlign w:val="center"/>
          </w:tcPr>
          <w:p w14:paraId="7AD00A17">
            <w:pPr>
              <w:pStyle w:val="240"/>
              <w:rPr>
                <w:rFonts w:hint="default"/>
              </w:rPr>
            </w:pPr>
          </w:p>
        </w:tc>
        <w:tc>
          <w:tcPr>
            <w:tcW w:w="742" w:type="pct"/>
            <w:tcBorders>
              <w:tl2br w:val="nil"/>
              <w:tr2bl w:val="nil"/>
            </w:tcBorders>
            <w:vAlign w:val="center"/>
          </w:tcPr>
          <w:p w14:paraId="38F10753">
            <w:pPr>
              <w:pStyle w:val="240"/>
              <w:rPr>
                <w:rFonts w:hint="default"/>
              </w:rPr>
            </w:pPr>
            <w:r>
              <w:t>地下水</w:t>
            </w:r>
            <w:r>
              <w:rPr>
                <w:rFonts w:hint="eastAsia"/>
                <w:lang w:eastAsia="zh-CN"/>
              </w:rPr>
              <w:t>、土壤和环境风险防范措施</w:t>
            </w:r>
          </w:p>
        </w:tc>
        <w:tc>
          <w:tcPr>
            <w:tcW w:w="3043" w:type="pct"/>
            <w:tcBorders>
              <w:tl2br w:val="nil"/>
              <w:tr2bl w:val="nil"/>
            </w:tcBorders>
            <w:vAlign w:val="center"/>
          </w:tcPr>
          <w:p w14:paraId="11B2DD16">
            <w:pPr>
              <w:pStyle w:val="240"/>
              <w:rPr>
                <w:rFonts w:hint="eastAsia" w:eastAsia="宋体"/>
                <w:lang w:eastAsia="zh-CN"/>
              </w:rPr>
            </w:pPr>
            <w:r>
              <w:t>厂区分区防渗（生产车间、</w:t>
            </w:r>
            <w:r>
              <w:rPr>
                <w:rFonts w:hint="eastAsia"/>
              </w:rPr>
              <w:t>化粪池</w:t>
            </w:r>
            <w:r>
              <w:t>已做了防渗处理</w:t>
            </w:r>
            <w:r>
              <w:rPr>
                <w:rFonts w:hint="eastAsia"/>
                <w:lang w:eastAsia="zh-CN"/>
              </w:rPr>
              <w:t>，</w:t>
            </w:r>
            <w:r>
              <w:t>主要为危废贮存点</w:t>
            </w:r>
            <w:r>
              <w:rPr>
                <w:rFonts w:hint="eastAsia"/>
                <w:lang w:eastAsia="zh-CN"/>
              </w:rPr>
              <w:t>）、加强管理、编制应急预案等</w:t>
            </w:r>
          </w:p>
        </w:tc>
        <w:tc>
          <w:tcPr>
            <w:tcW w:w="823" w:type="pct"/>
            <w:tcBorders>
              <w:tl2br w:val="nil"/>
              <w:tr2bl w:val="nil"/>
            </w:tcBorders>
            <w:vAlign w:val="center"/>
          </w:tcPr>
          <w:p w14:paraId="15D857FB">
            <w:pPr>
              <w:pStyle w:val="240"/>
              <w:rPr>
                <w:rFonts w:hint="default" w:eastAsia="宋体"/>
                <w:lang w:val="en-US" w:eastAsia="zh-CN"/>
              </w:rPr>
            </w:pPr>
            <w:r>
              <w:rPr>
                <w:rFonts w:hint="eastAsia"/>
                <w:lang w:val="en-US" w:eastAsia="zh-CN"/>
              </w:rPr>
              <w:t>7</w:t>
            </w:r>
          </w:p>
        </w:tc>
      </w:tr>
      <w:tr w14:paraId="54F2FBF0">
        <w:tblPrEx>
          <w:tblBorders>
            <w:top w:val="single" w:color="auto" w:sz="12" w:space="0"/>
            <w:left w:val="single" w:color="auto" w:sz="12" w:space="0"/>
            <w:bottom w:val="single" w:color="auto" w:sz="12" w:space="0"/>
            <w:right w:val="single" w:color="auto" w:sz="12" w:space="0"/>
            <w:insideH w:val="single" w:color="auto" w:sz="2" w:space="0"/>
            <w:insideV w:val="single" w:color="auto" w:sz="6" w:space="0"/>
          </w:tblBorders>
          <w:tblCellMar>
            <w:top w:w="0" w:type="dxa"/>
            <w:left w:w="108" w:type="dxa"/>
            <w:bottom w:w="0" w:type="dxa"/>
            <w:right w:w="108" w:type="dxa"/>
          </w:tblCellMar>
        </w:tblPrEx>
        <w:trPr>
          <w:trHeight w:val="551" w:hRule="atLeast"/>
          <w:jc w:val="center"/>
        </w:trPr>
        <w:tc>
          <w:tcPr>
            <w:tcW w:w="390" w:type="pct"/>
            <w:vMerge w:val="continue"/>
            <w:tcBorders>
              <w:tl2br w:val="nil"/>
              <w:tr2bl w:val="nil"/>
            </w:tcBorders>
            <w:vAlign w:val="center"/>
          </w:tcPr>
          <w:p w14:paraId="3E9DAA76">
            <w:pPr>
              <w:pStyle w:val="240"/>
              <w:rPr>
                <w:rFonts w:hint="default"/>
              </w:rPr>
            </w:pPr>
          </w:p>
        </w:tc>
        <w:tc>
          <w:tcPr>
            <w:tcW w:w="742" w:type="pct"/>
            <w:tcBorders>
              <w:tl2br w:val="nil"/>
              <w:tr2bl w:val="nil"/>
            </w:tcBorders>
            <w:vAlign w:val="center"/>
          </w:tcPr>
          <w:p w14:paraId="41A13FEB">
            <w:pPr>
              <w:pStyle w:val="240"/>
              <w:rPr>
                <w:rFonts w:hint="default"/>
              </w:rPr>
            </w:pPr>
            <w:r>
              <w:t>环境监测与管理</w:t>
            </w:r>
          </w:p>
        </w:tc>
        <w:tc>
          <w:tcPr>
            <w:tcW w:w="3043" w:type="pct"/>
            <w:tcBorders>
              <w:tl2br w:val="nil"/>
              <w:tr2bl w:val="nil"/>
            </w:tcBorders>
            <w:vAlign w:val="center"/>
          </w:tcPr>
          <w:p w14:paraId="621DE60C">
            <w:pPr>
              <w:pStyle w:val="240"/>
              <w:rPr>
                <w:rFonts w:hint="default"/>
              </w:rPr>
            </w:pPr>
            <w:r>
              <w:t>/</w:t>
            </w:r>
          </w:p>
        </w:tc>
        <w:tc>
          <w:tcPr>
            <w:tcW w:w="823" w:type="pct"/>
            <w:tcBorders>
              <w:tl2br w:val="nil"/>
              <w:tr2bl w:val="nil"/>
            </w:tcBorders>
            <w:vAlign w:val="center"/>
          </w:tcPr>
          <w:p w14:paraId="300F45BC">
            <w:pPr>
              <w:pStyle w:val="240"/>
              <w:rPr>
                <w:rFonts w:hint="default"/>
              </w:rPr>
            </w:pPr>
            <w:r>
              <w:t>2.8</w:t>
            </w:r>
          </w:p>
        </w:tc>
      </w:tr>
      <w:tr w14:paraId="20E7E454">
        <w:tblPrEx>
          <w:tblBorders>
            <w:top w:val="single" w:color="auto" w:sz="12" w:space="0"/>
            <w:left w:val="single" w:color="auto" w:sz="12" w:space="0"/>
            <w:bottom w:val="single" w:color="auto" w:sz="12" w:space="0"/>
            <w:right w:val="single" w:color="auto" w:sz="12" w:space="0"/>
            <w:insideH w:val="single" w:color="auto" w:sz="2" w:space="0"/>
            <w:insideV w:val="single" w:color="auto" w:sz="6" w:space="0"/>
          </w:tblBorders>
          <w:tblCellMar>
            <w:top w:w="0" w:type="dxa"/>
            <w:left w:w="108" w:type="dxa"/>
            <w:bottom w:w="0" w:type="dxa"/>
            <w:right w:w="108" w:type="dxa"/>
          </w:tblCellMar>
        </w:tblPrEx>
        <w:trPr>
          <w:trHeight w:val="297" w:hRule="atLeast"/>
          <w:jc w:val="center"/>
        </w:trPr>
        <w:tc>
          <w:tcPr>
            <w:tcW w:w="390" w:type="pct"/>
            <w:vMerge w:val="continue"/>
            <w:tcBorders>
              <w:tl2br w:val="nil"/>
              <w:tr2bl w:val="nil"/>
            </w:tcBorders>
            <w:vAlign w:val="center"/>
          </w:tcPr>
          <w:p w14:paraId="08B7FA56">
            <w:pPr>
              <w:pStyle w:val="240"/>
              <w:rPr>
                <w:rFonts w:hint="default"/>
              </w:rPr>
            </w:pPr>
          </w:p>
        </w:tc>
        <w:tc>
          <w:tcPr>
            <w:tcW w:w="3786" w:type="pct"/>
            <w:gridSpan w:val="2"/>
            <w:tcBorders>
              <w:tl2br w:val="nil"/>
              <w:tr2bl w:val="nil"/>
            </w:tcBorders>
            <w:vAlign w:val="center"/>
          </w:tcPr>
          <w:p w14:paraId="150B680C">
            <w:pPr>
              <w:pStyle w:val="240"/>
              <w:rPr>
                <w:rFonts w:hint="default"/>
              </w:rPr>
            </w:pPr>
            <w:r>
              <w:t>小计</w:t>
            </w:r>
          </w:p>
        </w:tc>
        <w:tc>
          <w:tcPr>
            <w:tcW w:w="823" w:type="pct"/>
            <w:tcBorders>
              <w:tl2br w:val="nil"/>
              <w:tr2bl w:val="nil"/>
            </w:tcBorders>
            <w:vAlign w:val="center"/>
          </w:tcPr>
          <w:p w14:paraId="71A34DAD">
            <w:pPr>
              <w:pStyle w:val="240"/>
              <w:rPr>
                <w:rFonts w:hint="default" w:eastAsia="宋体"/>
                <w:lang w:val="en-US" w:eastAsia="zh-CN"/>
              </w:rPr>
            </w:pPr>
            <w:r>
              <w:rPr>
                <w:rFonts w:hint="eastAsia"/>
                <w:lang w:val="en-US" w:eastAsia="zh-CN"/>
              </w:rPr>
              <w:t>37.6</w:t>
            </w:r>
          </w:p>
        </w:tc>
      </w:tr>
      <w:tr w14:paraId="134AAD58">
        <w:tblPrEx>
          <w:tblBorders>
            <w:top w:val="single" w:color="auto" w:sz="12" w:space="0"/>
            <w:left w:val="single" w:color="auto" w:sz="12" w:space="0"/>
            <w:bottom w:val="single" w:color="auto" w:sz="12" w:space="0"/>
            <w:right w:val="single" w:color="auto" w:sz="12" w:space="0"/>
            <w:insideH w:val="single" w:color="auto" w:sz="2" w:space="0"/>
            <w:insideV w:val="single" w:color="auto" w:sz="6" w:space="0"/>
          </w:tblBorders>
          <w:tblCellMar>
            <w:top w:w="0" w:type="dxa"/>
            <w:left w:w="108" w:type="dxa"/>
            <w:bottom w:w="0" w:type="dxa"/>
            <w:right w:w="108" w:type="dxa"/>
          </w:tblCellMar>
        </w:tblPrEx>
        <w:trPr>
          <w:trHeight w:val="294" w:hRule="atLeast"/>
          <w:jc w:val="center"/>
        </w:trPr>
        <w:tc>
          <w:tcPr>
            <w:tcW w:w="4176" w:type="pct"/>
            <w:gridSpan w:val="3"/>
            <w:tcBorders>
              <w:tl2br w:val="nil"/>
              <w:tr2bl w:val="nil"/>
            </w:tcBorders>
            <w:vAlign w:val="center"/>
          </w:tcPr>
          <w:p w14:paraId="7B2F355E">
            <w:pPr>
              <w:pStyle w:val="240"/>
              <w:rPr>
                <w:rFonts w:hint="default"/>
              </w:rPr>
            </w:pPr>
            <w:r>
              <w:t>总计</w:t>
            </w:r>
          </w:p>
        </w:tc>
        <w:tc>
          <w:tcPr>
            <w:tcW w:w="823" w:type="pct"/>
            <w:tcBorders>
              <w:tl2br w:val="nil"/>
              <w:tr2bl w:val="nil"/>
            </w:tcBorders>
            <w:vAlign w:val="center"/>
          </w:tcPr>
          <w:p w14:paraId="5D1F4298">
            <w:pPr>
              <w:pStyle w:val="240"/>
              <w:rPr>
                <w:rFonts w:hint="default" w:eastAsia="宋体"/>
                <w:lang w:val="en-US" w:eastAsia="zh-CN"/>
              </w:rPr>
            </w:pPr>
            <w:r>
              <w:rPr>
                <w:rFonts w:hint="eastAsia"/>
                <w:lang w:val="en-US" w:eastAsia="zh-CN"/>
              </w:rPr>
              <w:t>37.92</w:t>
            </w:r>
          </w:p>
        </w:tc>
      </w:tr>
    </w:tbl>
    <w:p w14:paraId="13A64F2E">
      <w:pPr>
        <w:pStyle w:val="4"/>
        <w:autoSpaceDE w:val="0"/>
        <w:autoSpaceDN w:val="0"/>
        <w:spacing w:before="0" w:after="0" w:line="360" w:lineRule="auto"/>
        <w:jc w:val="left"/>
        <w:rPr>
          <w:kern w:val="0"/>
          <w:sz w:val="24"/>
          <w:lang w:val="en-US" w:bidi="zh-CN"/>
        </w:rPr>
      </w:pPr>
      <w:r>
        <w:rPr>
          <w:rFonts w:hint="eastAsia"/>
          <w:kern w:val="0"/>
          <w:sz w:val="24"/>
          <w:lang w:val="en-US" w:bidi="zh-CN"/>
        </w:rPr>
        <w:t>8.3.2</w:t>
      </w:r>
      <w:r>
        <w:rPr>
          <w:kern w:val="0"/>
          <w:sz w:val="24"/>
          <w:lang w:val="en-US" w:bidi="zh-CN"/>
        </w:rPr>
        <w:t>环境效益分析</w:t>
      </w:r>
    </w:p>
    <w:p w14:paraId="6E38432B">
      <w:pPr>
        <w:autoSpaceDE w:val="0"/>
        <w:autoSpaceDN w:val="0"/>
        <w:spacing w:line="360" w:lineRule="auto"/>
        <w:ind w:firstLine="480" w:firstLineChars="200"/>
        <w:rPr>
          <w:kern w:val="0"/>
          <w:sz w:val="24"/>
          <w:szCs w:val="24"/>
          <w:lang w:val="zh-CN" w:bidi="zh-CN"/>
        </w:rPr>
      </w:pPr>
      <w:bookmarkStart w:id="504" w:name="_Hlk209905208"/>
      <w:r>
        <w:rPr>
          <w:kern w:val="0"/>
          <w:sz w:val="24"/>
          <w:szCs w:val="24"/>
          <w:lang w:val="zh-CN" w:bidi="zh-CN"/>
        </w:rPr>
        <w:t>根据工程分析，采取各项治理措施后，拟建工程的各污染物的排放浓度均能达到相关标准的要求，有效地削减了污染物的排放量。所以拟建工程的环保投资是合理的，在实现经济效益的同时，也保护了环境。</w:t>
      </w:r>
    </w:p>
    <w:p w14:paraId="7F75AFF2">
      <w:pPr>
        <w:autoSpaceDE w:val="0"/>
        <w:autoSpaceDN w:val="0"/>
        <w:spacing w:line="360" w:lineRule="auto"/>
        <w:ind w:firstLine="480" w:firstLineChars="200"/>
        <w:rPr>
          <w:kern w:val="0"/>
          <w:sz w:val="24"/>
          <w:szCs w:val="24"/>
          <w:lang w:val="zh-CN" w:bidi="zh-CN"/>
        </w:rPr>
      </w:pPr>
      <w:r>
        <w:rPr>
          <w:kern w:val="0"/>
          <w:sz w:val="24"/>
          <w:szCs w:val="24"/>
          <w:lang w:val="zh-CN" w:bidi="zh-CN"/>
        </w:rPr>
        <w:t>（1）本工程</w:t>
      </w:r>
      <w:r>
        <w:rPr>
          <w:rFonts w:hint="eastAsia"/>
          <w:kern w:val="0"/>
          <w:sz w:val="24"/>
          <w:szCs w:val="24"/>
          <w:lang w:val="zh-CN" w:bidi="zh-CN"/>
        </w:rPr>
        <w:t>利用废旧地膜进行造粒，生产</w:t>
      </w:r>
      <w:r>
        <w:rPr>
          <w:kern w:val="0"/>
          <w:sz w:val="24"/>
          <w:szCs w:val="24"/>
          <w:lang w:val="zh-CN" w:bidi="zh-CN"/>
        </w:rPr>
        <w:t>滴灌带，减少了农业固废对环境的影响，将固废重新利用，变废为宝。</w:t>
      </w:r>
    </w:p>
    <w:p w14:paraId="60EBC355">
      <w:pPr>
        <w:autoSpaceDE w:val="0"/>
        <w:autoSpaceDN w:val="0"/>
        <w:spacing w:line="360" w:lineRule="auto"/>
        <w:ind w:firstLine="480" w:firstLineChars="200"/>
        <w:jc w:val="left"/>
        <w:rPr>
          <w:kern w:val="0"/>
          <w:sz w:val="24"/>
          <w:szCs w:val="24"/>
          <w:lang w:val="zh-CN" w:bidi="zh-CN"/>
        </w:rPr>
      </w:pPr>
      <w:r>
        <w:rPr>
          <w:kern w:val="0"/>
          <w:sz w:val="24"/>
          <w:szCs w:val="24"/>
          <w:lang w:val="zh-CN" w:bidi="zh-CN"/>
        </w:rPr>
        <w:t>（2）本工程非甲烷总烃废气经过集气罩收集+</w:t>
      </w:r>
      <w:r>
        <w:rPr>
          <w:rFonts w:hint="eastAsia"/>
          <w:kern w:val="0"/>
          <w:sz w:val="24"/>
          <w:szCs w:val="24"/>
          <w:lang w:val="zh-CN" w:bidi="zh-CN"/>
        </w:rPr>
        <w:t>活性炭浓缩吸附+催化燃烧系统</w:t>
      </w:r>
      <w:r>
        <w:rPr>
          <w:kern w:val="0"/>
          <w:sz w:val="24"/>
          <w:szCs w:val="24"/>
          <w:lang w:val="zh-CN" w:bidi="zh-CN"/>
        </w:rPr>
        <w:t>+15m高排气筒排放，采取以上措施后本项目的运营对周围环境影响较小。</w:t>
      </w:r>
    </w:p>
    <w:p w14:paraId="4FB18DC9">
      <w:pPr>
        <w:autoSpaceDE w:val="0"/>
        <w:autoSpaceDN w:val="0"/>
        <w:spacing w:line="360" w:lineRule="auto"/>
        <w:ind w:firstLine="480" w:firstLineChars="200"/>
        <w:jc w:val="left"/>
        <w:rPr>
          <w:kern w:val="0"/>
          <w:sz w:val="24"/>
          <w:szCs w:val="24"/>
          <w:lang w:val="zh-CN" w:bidi="zh-CN"/>
        </w:rPr>
      </w:pPr>
      <w:r>
        <w:rPr>
          <w:kern w:val="0"/>
          <w:sz w:val="24"/>
          <w:szCs w:val="24"/>
          <w:lang w:val="zh-CN" w:bidi="zh-CN"/>
        </w:rPr>
        <w:t>（3）项目</w:t>
      </w:r>
      <w:r>
        <w:rPr>
          <w:rFonts w:hint="eastAsia"/>
          <w:kern w:val="0"/>
          <w:sz w:val="24"/>
          <w:szCs w:val="24"/>
          <w:lang w:val="zh-CN" w:bidi="zh-CN"/>
        </w:rPr>
        <w:t>采用风环冷</w:t>
      </w:r>
      <w:r>
        <w:rPr>
          <w:kern w:val="0"/>
          <w:sz w:val="24"/>
          <w:szCs w:val="24"/>
          <w:lang w:val="zh-CN" w:bidi="zh-CN"/>
        </w:rPr>
        <w:t>，</w:t>
      </w:r>
      <w:r>
        <w:rPr>
          <w:rFonts w:hint="eastAsia"/>
          <w:kern w:val="0"/>
          <w:sz w:val="24"/>
          <w:szCs w:val="24"/>
          <w:lang w:val="zh-CN" w:bidi="zh-CN"/>
        </w:rPr>
        <w:t>不使用水冷，</w:t>
      </w:r>
      <w:r>
        <w:rPr>
          <w:kern w:val="0"/>
          <w:sz w:val="24"/>
          <w:szCs w:val="24"/>
          <w:lang w:val="zh-CN" w:bidi="zh-CN"/>
        </w:rPr>
        <w:t>无生产废水产生，既节约了水资源，又减轻了对环境的污染，具有比较明显的环境效益。</w:t>
      </w:r>
    </w:p>
    <w:p w14:paraId="69994629">
      <w:pPr>
        <w:autoSpaceDE w:val="0"/>
        <w:autoSpaceDN w:val="0"/>
        <w:spacing w:line="360" w:lineRule="auto"/>
        <w:ind w:firstLine="480" w:firstLineChars="200"/>
        <w:jc w:val="left"/>
        <w:rPr>
          <w:kern w:val="0"/>
          <w:sz w:val="24"/>
          <w:szCs w:val="24"/>
          <w:lang w:val="zh-CN" w:bidi="zh-CN"/>
        </w:rPr>
      </w:pPr>
      <w:r>
        <w:rPr>
          <w:kern w:val="0"/>
          <w:sz w:val="24"/>
          <w:szCs w:val="24"/>
          <w:lang w:val="zh-CN" w:bidi="zh-CN"/>
        </w:rPr>
        <w:t>（4）固体废物均得到有效的处置，对环境的影响较小，在可接受范围内。</w:t>
      </w:r>
    </w:p>
    <w:p w14:paraId="3825938C">
      <w:pPr>
        <w:autoSpaceDE w:val="0"/>
        <w:autoSpaceDN w:val="0"/>
        <w:spacing w:line="360" w:lineRule="auto"/>
        <w:ind w:firstLine="480" w:firstLineChars="200"/>
        <w:jc w:val="left"/>
        <w:rPr>
          <w:kern w:val="0"/>
          <w:sz w:val="24"/>
          <w:szCs w:val="24"/>
          <w:lang w:val="zh-CN" w:bidi="zh-CN"/>
        </w:rPr>
      </w:pPr>
      <w:r>
        <w:rPr>
          <w:kern w:val="0"/>
          <w:sz w:val="24"/>
          <w:szCs w:val="24"/>
          <w:lang w:val="zh-CN" w:bidi="zh-CN"/>
        </w:rPr>
        <w:t>（5）工程噪声源经采取隔声减振等消声、降噪处理措施后，对厂界噪声贡献值能达到相关的标准要求，生产噪声对外环境的影响将减轻。</w:t>
      </w:r>
    </w:p>
    <w:p w14:paraId="149A36FB">
      <w:pPr>
        <w:autoSpaceDE w:val="0"/>
        <w:autoSpaceDN w:val="0"/>
        <w:spacing w:line="360" w:lineRule="auto"/>
        <w:ind w:firstLine="480" w:firstLineChars="200"/>
        <w:jc w:val="left"/>
        <w:rPr>
          <w:kern w:val="0"/>
          <w:sz w:val="24"/>
          <w:szCs w:val="24"/>
          <w:lang w:val="zh-CN" w:bidi="zh-CN"/>
        </w:rPr>
      </w:pPr>
      <w:r>
        <w:rPr>
          <w:kern w:val="0"/>
          <w:sz w:val="24"/>
          <w:szCs w:val="24"/>
          <w:lang w:val="zh-CN" w:bidi="zh-CN"/>
        </w:rPr>
        <w:t>综上分析，拟建工程通过采用一系列技术上可行、经济上合理的环保措施，对其生产过程中产生的废气、废水、固废及设备噪声等进行综合治理，基本实现了废物的综合利用，即增加了经济效益，又减少了工程对环境造成的污染，达到了削减污染物排放量，保护环境的目的。由此可见，拟建项目环保措施实施后，减少了排污，环境效益和经济效益明显。</w:t>
      </w:r>
    </w:p>
    <w:bookmarkEnd w:id="504"/>
    <w:p w14:paraId="592CA61D">
      <w:pPr>
        <w:pStyle w:val="3"/>
        <w:keepNext w:val="0"/>
        <w:keepLines w:val="0"/>
        <w:autoSpaceDE w:val="0"/>
        <w:autoSpaceDN w:val="0"/>
        <w:spacing w:before="0" w:after="0" w:line="360" w:lineRule="auto"/>
        <w:jc w:val="left"/>
        <w:rPr>
          <w:rFonts w:ascii="Times New Roman" w:hAnsi="Times New Roman" w:eastAsia="宋体"/>
          <w:kern w:val="0"/>
          <w:sz w:val="24"/>
          <w:szCs w:val="30"/>
          <w:lang w:val="en-US" w:bidi="zh-CN"/>
        </w:rPr>
      </w:pPr>
      <w:bookmarkStart w:id="505" w:name="_Toc524431476"/>
      <w:bookmarkStart w:id="506" w:name="_Toc22264"/>
      <w:bookmarkStart w:id="507" w:name="_Toc9070"/>
      <w:bookmarkStart w:id="508" w:name="_Toc2187"/>
      <w:bookmarkStart w:id="509" w:name="_Toc26080_WPSOffice_Level2"/>
      <w:bookmarkStart w:id="510" w:name="_Toc14117"/>
      <w:bookmarkStart w:id="511" w:name="_Toc13987"/>
      <w:bookmarkStart w:id="512" w:name="_Toc29645"/>
      <w:bookmarkStart w:id="513" w:name="_Toc29658"/>
      <w:bookmarkStart w:id="514" w:name="_Toc5862"/>
      <w:r>
        <w:rPr>
          <w:rFonts w:hint="eastAsia" w:ascii="Times New Roman" w:hAnsi="Times New Roman" w:eastAsia="宋体"/>
          <w:kern w:val="0"/>
          <w:sz w:val="24"/>
          <w:szCs w:val="30"/>
          <w:lang w:val="en-US" w:bidi="zh-CN"/>
        </w:rPr>
        <w:t>8.</w:t>
      </w:r>
      <w:bookmarkEnd w:id="496"/>
      <w:bookmarkEnd w:id="497"/>
      <w:bookmarkEnd w:id="505"/>
      <w:bookmarkEnd w:id="506"/>
      <w:bookmarkEnd w:id="507"/>
      <w:bookmarkEnd w:id="508"/>
      <w:bookmarkEnd w:id="509"/>
      <w:bookmarkEnd w:id="510"/>
      <w:bookmarkEnd w:id="511"/>
      <w:bookmarkEnd w:id="512"/>
      <w:bookmarkEnd w:id="513"/>
      <w:r>
        <w:rPr>
          <w:rFonts w:hint="eastAsia" w:ascii="Times New Roman" w:hAnsi="Times New Roman" w:eastAsia="宋体"/>
          <w:kern w:val="0"/>
          <w:sz w:val="24"/>
          <w:szCs w:val="30"/>
          <w:lang w:val="en-US" w:bidi="zh-CN"/>
        </w:rPr>
        <w:t>4</w:t>
      </w:r>
      <w:r>
        <w:rPr>
          <w:rFonts w:ascii="Times New Roman" w:hAnsi="Times New Roman" w:eastAsia="宋体"/>
          <w:kern w:val="0"/>
          <w:sz w:val="24"/>
          <w:szCs w:val="30"/>
          <w:lang w:val="en-US" w:bidi="zh-CN"/>
        </w:rPr>
        <w:t>环境经济损益分析结论</w:t>
      </w:r>
      <w:bookmarkEnd w:id="514"/>
    </w:p>
    <w:p w14:paraId="20ED8971">
      <w:pPr>
        <w:kinsoku w:val="0"/>
        <w:overflowPunct w:val="0"/>
        <w:autoSpaceDE w:val="0"/>
        <w:autoSpaceDN w:val="0"/>
        <w:spacing w:line="360" w:lineRule="auto"/>
        <w:ind w:firstLine="480" w:firstLineChars="200"/>
        <w:rPr>
          <w:kern w:val="0"/>
          <w:sz w:val="24"/>
          <w:szCs w:val="24"/>
          <w:lang w:val="zh-CN" w:bidi="zh-CN"/>
        </w:rPr>
      </w:pPr>
      <w:r>
        <w:rPr>
          <w:kern w:val="0"/>
          <w:sz w:val="24"/>
          <w:szCs w:val="24"/>
          <w:lang w:val="zh-CN" w:bidi="zh-CN"/>
        </w:rPr>
        <w:t>综上所述，通过对本项目的经济、社会和环境效益分析可知，在完善项目区内各类环保措施，落实本评价提出的各项污染防治措施的前提下，建设能够达到经济效益、社会效益和环境效益的统一，既为地方经济发展</w:t>
      </w:r>
      <w:r>
        <w:rPr>
          <w:rFonts w:hint="eastAsia"/>
          <w:kern w:val="0"/>
          <w:sz w:val="24"/>
          <w:szCs w:val="24"/>
          <w:lang w:val="zh-CN" w:bidi="zh-CN"/>
        </w:rPr>
        <w:t>作出贡献</w:t>
      </w:r>
      <w:r>
        <w:rPr>
          <w:kern w:val="0"/>
          <w:sz w:val="24"/>
          <w:szCs w:val="24"/>
          <w:lang w:val="zh-CN" w:bidi="zh-CN"/>
        </w:rPr>
        <w:t>，又使污染物排放量在环境容量容许的范围内降低到最低。</w:t>
      </w:r>
    </w:p>
    <w:p w14:paraId="53BE84E6">
      <w:pPr>
        <w:kinsoku w:val="0"/>
        <w:overflowPunct w:val="0"/>
        <w:autoSpaceDE w:val="0"/>
        <w:autoSpaceDN w:val="0"/>
        <w:spacing w:line="360" w:lineRule="auto"/>
        <w:ind w:firstLine="480" w:firstLineChars="200"/>
        <w:rPr>
          <w:kern w:val="0"/>
          <w:sz w:val="24"/>
          <w:szCs w:val="24"/>
          <w:lang w:val="zh-CN" w:bidi="zh-CN"/>
        </w:rPr>
      </w:pPr>
      <w:r>
        <w:rPr>
          <w:kern w:val="0"/>
          <w:sz w:val="24"/>
          <w:szCs w:val="24"/>
          <w:lang w:val="zh-CN" w:bidi="zh-CN"/>
        </w:rPr>
        <w:t>因此</w:t>
      </w:r>
      <w:r>
        <w:rPr>
          <w:rFonts w:hint="eastAsia"/>
          <w:kern w:val="0"/>
          <w:sz w:val="24"/>
          <w:szCs w:val="24"/>
          <w:lang w:val="zh-CN" w:bidi="zh-CN"/>
        </w:rPr>
        <w:t>，</w:t>
      </w:r>
      <w:r>
        <w:rPr>
          <w:kern w:val="0"/>
          <w:sz w:val="24"/>
          <w:szCs w:val="24"/>
          <w:lang w:val="zh-CN" w:bidi="zh-CN"/>
        </w:rPr>
        <w:t>从环境经济损益的角度分析是可行的。</w:t>
      </w:r>
    </w:p>
    <w:p w14:paraId="1A0BEBC6">
      <w:pPr>
        <w:spacing w:line="360" w:lineRule="auto"/>
        <w:ind w:firstLine="480" w:firstLineChars="200"/>
        <w:rPr>
          <w:rFonts w:hint="eastAsia" w:ascii="宋体" w:hAnsi="宋体"/>
          <w:sz w:val="24"/>
        </w:rPr>
      </w:pPr>
    </w:p>
    <w:p w14:paraId="6DD674B6">
      <w:pPr>
        <w:pStyle w:val="38"/>
      </w:pPr>
    </w:p>
    <w:p w14:paraId="0DEA7725"/>
    <w:p w14:paraId="787DC0F1">
      <w:pPr>
        <w:pStyle w:val="38"/>
      </w:pPr>
    </w:p>
    <w:p w14:paraId="76C292C1"/>
    <w:p w14:paraId="0537EFC2">
      <w:pPr>
        <w:pStyle w:val="38"/>
      </w:pPr>
    </w:p>
    <w:p w14:paraId="64919C70"/>
    <w:p w14:paraId="36703735">
      <w:pPr>
        <w:pStyle w:val="38"/>
      </w:pPr>
    </w:p>
    <w:p w14:paraId="242C1E49"/>
    <w:p w14:paraId="526E0EA8">
      <w:pPr>
        <w:pStyle w:val="38"/>
      </w:pPr>
    </w:p>
    <w:p w14:paraId="5F9FD886"/>
    <w:p w14:paraId="62AF1928">
      <w:pPr>
        <w:pStyle w:val="13"/>
      </w:pPr>
    </w:p>
    <w:p w14:paraId="0AAC65A4"/>
    <w:p w14:paraId="5AFC305A">
      <w:pPr>
        <w:pStyle w:val="2"/>
        <w:spacing w:before="0" w:beforeAutospacing="0" w:after="0" w:afterAutospacing="0" w:line="360" w:lineRule="auto"/>
        <w:rPr>
          <w:kern w:val="0"/>
          <w:sz w:val="28"/>
          <w:szCs w:val="28"/>
          <w:lang w:val="en-US" w:bidi="zh-CN"/>
        </w:rPr>
      </w:pPr>
      <w:bookmarkStart w:id="515" w:name="_Toc11380"/>
      <w:bookmarkStart w:id="516" w:name="_Toc332727861"/>
      <w:bookmarkStart w:id="517" w:name="_Toc363049999"/>
      <w:r>
        <w:rPr>
          <w:rFonts w:hint="eastAsia"/>
          <w:kern w:val="0"/>
          <w:sz w:val="28"/>
          <w:szCs w:val="28"/>
          <w:lang w:val="en-US" w:bidi="zh-CN"/>
        </w:rPr>
        <w:t>9环境管理与监测计划</w:t>
      </w:r>
      <w:bookmarkEnd w:id="515"/>
      <w:bookmarkEnd w:id="516"/>
      <w:bookmarkEnd w:id="517"/>
    </w:p>
    <w:p w14:paraId="17D7E5EF">
      <w:pPr>
        <w:widowControl/>
        <w:spacing w:line="360" w:lineRule="auto"/>
        <w:ind w:firstLine="480" w:firstLineChars="200"/>
        <w:rPr>
          <w:color w:val="000000"/>
          <w:kern w:val="0"/>
          <w:sz w:val="24"/>
          <w:szCs w:val="24"/>
        </w:rPr>
      </w:pPr>
      <w:r>
        <w:rPr>
          <w:rFonts w:hint="eastAsia"/>
          <w:color w:val="000000"/>
          <w:kern w:val="0"/>
          <w:sz w:val="24"/>
          <w:szCs w:val="24"/>
        </w:rPr>
        <w:t>对于建设项目来说，环境问题的解决除了依靠科技手段、环保措施外，还需要辅以合理的管理制度。从保护环境出发，根据建设项目的特点，以一定的管理机构、制度，制定确保环保措施实施的环境管理和监测计划，监督各项环保措施的实施，监测各项环保设施的运行效果，更好地为环境管理提供科学依据，从而实现保护环境的目的。</w:t>
      </w:r>
    </w:p>
    <w:p w14:paraId="509CB141">
      <w:pPr>
        <w:pStyle w:val="3"/>
        <w:keepNext w:val="0"/>
        <w:keepLines w:val="0"/>
        <w:autoSpaceDE w:val="0"/>
        <w:autoSpaceDN w:val="0"/>
        <w:spacing w:before="0" w:after="0" w:line="360" w:lineRule="auto"/>
        <w:jc w:val="left"/>
        <w:rPr>
          <w:rFonts w:ascii="Times New Roman" w:hAnsi="Times New Roman" w:eastAsia="宋体"/>
          <w:kern w:val="0"/>
          <w:sz w:val="24"/>
          <w:szCs w:val="30"/>
          <w:lang w:val="en-US" w:bidi="zh-CN"/>
        </w:rPr>
      </w:pPr>
      <w:bookmarkStart w:id="518" w:name="_Toc504"/>
      <w:bookmarkStart w:id="519" w:name="_Toc524431479"/>
      <w:bookmarkStart w:id="520" w:name="_Toc18095"/>
      <w:bookmarkStart w:id="521" w:name="_Toc31173"/>
      <w:bookmarkStart w:id="522" w:name="_Toc24336"/>
      <w:bookmarkStart w:id="523" w:name="_Toc18522"/>
      <w:bookmarkStart w:id="524" w:name="_Toc856"/>
      <w:bookmarkStart w:id="525" w:name="_Toc4581"/>
      <w:bookmarkStart w:id="526" w:name="_Toc20895_WPSOffice_Level2"/>
      <w:bookmarkStart w:id="527" w:name="_Toc9292"/>
      <w:bookmarkStart w:id="528" w:name="_Toc234137774"/>
      <w:bookmarkStart w:id="529" w:name="_Toc417640256"/>
      <w:bookmarkStart w:id="530" w:name="_Toc317507631"/>
      <w:bookmarkStart w:id="531" w:name="_Toc234137693"/>
      <w:bookmarkStart w:id="532" w:name="_Toc243480371"/>
      <w:bookmarkStart w:id="533" w:name="_Toc250317860"/>
      <w:bookmarkStart w:id="534" w:name="_Toc83354809"/>
      <w:bookmarkStart w:id="535" w:name="_Toc85206424"/>
      <w:bookmarkStart w:id="536" w:name="_Toc83396568"/>
      <w:bookmarkStart w:id="537" w:name="_Toc257196921"/>
      <w:r>
        <w:rPr>
          <w:rFonts w:hint="eastAsia" w:ascii="Times New Roman" w:hAnsi="Times New Roman" w:eastAsia="宋体"/>
          <w:kern w:val="0"/>
          <w:sz w:val="24"/>
          <w:szCs w:val="30"/>
          <w:lang w:val="en-US" w:bidi="zh-CN"/>
        </w:rPr>
        <w:t>9.1环境管理</w:t>
      </w:r>
      <w:bookmarkEnd w:id="518"/>
      <w:bookmarkEnd w:id="519"/>
      <w:bookmarkEnd w:id="520"/>
      <w:bookmarkEnd w:id="521"/>
      <w:bookmarkEnd w:id="522"/>
      <w:bookmarkEnd w:id="523"/>
      <w:bookmarkEnd w:id="524"/>
      <w:bookmarkEnd w:id="525"/>
      <w:bookmarkEnd w:id="526"/>
      <w:bookmarkEnd w:id="527"/>
    </w:p>
    <w:p w14:paraId="2648E3A1">
      <w:pPr>
        <w:widowControl/>
        <w:spacing w:line="360" w:lineRule="auto"/>
        <w:ind w:firstLine="480" w:firstLineChars="200"/>
        <w:jc w:val="left"/>
        <w:rPr>
          <w:color w:val="000000"/>
          <w:kern w:val="0"/>
          <w:sz w:val="24"/>
          <w:szCs w:val="24"/>
        </w:rPr>
      </w:pPr>
      <w:r>
        <w:rPr>
          <w:rFonts w:hint="eastAsia"/>
          <w:color w:val="000000"/>
          <w:kern w:val="0"/>
          <w:sz w:val="24"/>
          <w:szCs w:val="24"/>
        </w:rPr>
        <w:t>环境管理是以环境科学理论为基础，运用经济、法律、技术、行政、教育等手段对经济、社会发展过程中施加给环境的污染和破坏影响进行调节控制，实现经济、社会和环境效益的和谐统一。</w:t>
      </w:r>
    </w:p>
    <w:p w14:paraId="5551693C">
      <w:pPr>
        <w:widowControl/>
        <w:spacing w:line="360" w:lineRule="auto"/>
        <w:ind w:firstLine="480" w:firstLineChars="200"/>
        <w:jc w:val="left"/>
        <w:rPr>
          <w:color w:val="000000"/>
          <w:kern w:val="0"/>
          <w:sz w:val="24"/>
          <w:szCs w:val="24"/>
        </w:rPr>
      </w:pPr>
      <w:r>
        <w:rPr>
          <w:rFonts w:hint="eastAsia"/>
          <w:color w:val="000000"/>
          <w:kern w:val="0"/>
          <w:sz w:val="24"/>
          <w:szCs w:val="24"/>
        </w:rPr>
        <w:t>为全面贯彻和落实国家以及地方环保法律、法规，加强企业内部污染物排放监督控制，企业内部必须建立行之有效的环境管理机构。</w:t>
      </w:r>
    </w:p>
    <w:p w14:paraId="2F3F0328">
      <w:pPr>
        <w:widowControl/>
        <w:spacing w:line="360" w:lineRule="auto"/>
        <w:ind w:firstLine="480" w:firstLineChars="200"/>
        <w:jc w:val="left"/>
        <w:rPr>
          <w:color w:val="000000"/>
          <w:kern w:val="0"/>
          <w:sz w:val="24"/>
          <w:szCs w:val="24"/>
        </w:rPr>
      </w:pPr>
      <w:r>
        <w:rPr>
          <w:rFonts w:hint="eastAsia"/>
          <w:color w:val="000000"/>
          <w:kern w:val="0"/>
          <w:sz w:val="24"/>
          <w:szCs w:val="24"/>
        </w:rPr>
        <w:t>本环境管理与监测计划将依据环评提出的主要环境问题、工程采取的环保措施，对工程提出合理的环境管理和监测计划。</w:t>
      </w:r>
    </w:p>
    <w:p w14:paraId="1F68DFA3">
      <w:pPr>
        <w:pStyle w:val="4"/>
        <w:autoSpaceDE w:val="0"/>
        <w:autoSpaceDN w:val="0"/>
        <w:spacing w:before="0" w:after="0" w:line="360" w:lineRule="auto"/>
        <w:jc w:val="left"/>
        <w:rPr>
          <w:kern w:val="0"/>
          <w:sz w:val="24"/>
          <w:lang w:val="en-US" w:bidi="zh-CN"/>
        </w:rPr>
      </w:pPr>
      <w:bookmarkStart w:id="538" w:name="_Toc32200"/>
      <w:bookmarkStart w:id="539" w:name="_Toc7746"/>
      <w:bookmarkStart w:id="540" w:name="_Toc15977"/>
      <w:bookmarkStart w:id="541" w:name="_Toc31964"/>
      <w:bookmarkStart w:id="542" w:name="_Toc23960_WPSOffice_Level3"/>
      <w:bookmarkStart w:id="543" w:name="_Toc13523"/>
      <w:bookmarkStart w:id="544" w:name="_Toc27335"/>
      <w:r>
        <w:rPr>
          <w:rFonts w:hint="eastAsia"/>
          <w:kern w:val="0"/>
          <w:sz w:val="24"/>
          <w:lang w:val="en-US" w:bidi="zh-CN"/>
        </w:rPr>
        <w:t>9.1.1环境管理机构</w:t>
      </w:r>
      <w:bookmarkEnd w:id="538"/>
      <w:bookmarkEnd w:id="539"/>
      <w:bookmarkEnd w:id="540"/>
      <w:bookmarkEnd w:id="541"/>
      <w:bookmarkEnd w:id="542"/>
      <w:bookmarkEnd w:id="543"/>
      <w:bookmarkEnd w:id="544"/>
    </w:p>
    <w:p w14:paraId="15583C58">
      <w:pPr>
        <w:widowControl/>
        <w:spacing w:line="360" w:lineRule="auto"/>
        <w:ind w:firstLine="480" w:firstLineChars="200"/>
        <w:jc w:val="left"/>
        <w:rPr>
          <w:color w:val="000000"/>
          <w:kern w:val="0"/>
          <w:sz w:val="24"/>
          <w:szCs w:val="24"/>
        </w:rPr>
      </w:pPr>
      <w:r>
        <w:rPr>
          <w:rFonts w:hint="eastAsia"/>
          <w:color w:val="000000"/>
          <w:kern w:val="0"/>
          <w:sz w:val="24"/>
          <w:szCs w:val="24"/>
        </w:rPr>
        <w:t>环境管理是环境保护工作的重要内容之一，也是企业管理的主要组成部分。环境管理的核心是把环境保护融于企业经营管理的过程之中，使环境保护成为工业企业的重要决策因素，重视研究本企业的环境对策，采用新技术、新工艺，减少有害废物的排放，对废旧产品进行回收处理及循环利用，变普通产品</w:t>
      </w:r>
      <w:r>
        <w:rPr>
          <w:rFonts w:hint="eastAsia" w:ascii="宋体" w:hAnsi="宋体" w:cs="宋体"/>
          <w:color w:val="000000"/>
          <w:kern w:val="0"/>
          <w:sz w:val="24"/>
          <w:szCs w:val="24"/>
        </w:rPr>
        <w:t>为“绿色”</w:t>
      </w:r>
      <w:r>
        <w:rPr>
          <w:rFonts w:hint="eastAsia"/>
          <w:color w:val="000000"/>
          <w:kern w:val="0"/>
          <w:sz w:val="24"/>
          <w:szCs w:val="24"/>
        </w:rPr>
        <w:t>产品，努力通过环境认证，积极参与社会环境整治，推动员工和公众的环保宣传和引导，树立</w:t>
      </w:r>
      <w:r>
        <w:rPr>
          <w:rFonts w:hint="eastAsia" w:ascii="宋体" w:hAnsi="宋体" w:cs="宋体"/>
          <w:color w:val="000000"/>
          <w:kern w:val="0"/>
          <w:sz w:val="24"/>
          <w:szCs w:val="24"/>
        </w:rPr>
        <w:t>“绿色企业”的良</w:t>
      </w:r>
      <w:r>
        <w:rPr>
          <w:rFonts w:hint="eastAsia"/>
          <w:color w:val="000000"/>
          <w:kern w:val="0"/>
          <w:sz w:val="24"/>
          <w:szCs w:val="24"/>
        </w:rPr>
        <w:t>好形象。</w:t>
      </w:r>
    </w:p>
    <w:p w14:paraId="750FC46C">
      <w:pPr>
        <w:widowControl/>
        <w:spacing w:line="360" w:lineRule="auto"/>
        <w:ind w:firstLine="480" w:firstLineChars="200"/>
        <w:jc w:val="left"/>
        <w:rPr>
          <w:color w:val="000000"/>
          <w:kern w:val="0"/>
          <w:sz w:val="24"/>
          <w:szCs w:val="24"/>
        </w:rPr>
      </w:pPr>
      <w:r>
        <w:rPr>
          <w:rFonts w:hint="eastAsia"/>
          <w:color w:val="000000"/>
          <w:kern w:val="0"/>
          <w:sz w:val="24"/>
          <w:szCs w:val="24"/>
        </w:rPr>
        <w:t>本项目按照现代企业制度组建运行，环保工作实行总经理负责制，建立企业内部的环境保护管理机构。针对企业内部的环境管理除总经理负总责外，建议公司指定相关部门作为公司的环境管理部门，并设专职管理人员，另外，在生产车间和主要污染源均设置环境管理责任人，组成公司、车间、污染源三级环境管理体系，明确分工，各负其责。</w:t>
      </w:r>
    </w:p>
    <w:p w14:paraId="78EF55DF">
      <w:pPr>
        <w:pStyle w:val="4"/>
        <w:autoSpaceDE w:val="0"/>
        <w:autoSpaceDN w:val="0"/>
        <w:spacing w:before="0" w:after="0" w:line="360" w:lineRule="auto"/>
        <w:jc w:val="left"/>
        <w:rPr>
          <w:kern w:val="0"/>
          <w:sz w:val="24"/>
          <w:lang w:val="en-US" w:bidi="zh-CN"/>
        </w:rPr>
      </w:pPr>
      <w:bookmarkStart w:id="545" w:name="_Toc3011"/>
      <w:bookmarkStart w:id="546" w:name="_Toc1460"/>
      <w:bookmarkStart w:id="547" w:name="_Toc20867"/>
      <w:bookmarkStart w:id="548" w:name="_Toc29396"/>
      <w:bookmarkStart w:id="549" w:name="_Toc12563"/>
      <w:bookmarkStart w:id="550" w:name="_Toc30198"/>
      <w:bookmarkStart w:id="551" w:name="_Toc30035_WPSOffice_Level3"/>
      <w:r>
        <w:rPr>
          <w:rFonts w:hint="eastAsia"/>
          <w:kern w:val="0"/>
          <w:sz w:val="24"/>
          <w:lang w:val="en-US" w:bidi="zh-CN"/>
        </w:rPr>
        <w:t>9.1.2环境管理部门职责</w:t>
      </w:r>
      <w:bookmarkEnd w:id="545"/>
      <w:bookmarkEnd w:id="546"/>
      <w:bookmarkEnd w:id="547"/>
      <w:bookmarkEnd w:id="548"/>
      <w:bookmarkEnd w:id="549"/>
      <w:bookmarkEnd w:id="550"/>
      <w:bookmarkEnd w:id="551"/>
    </w:p>
    <w:p w14:paraId="10BE48EC">
      <w:pPr>
        <w:spacing w:line="360" w:lineRule="auto"/>
        <w:ind w:firstLine="480" w:firstLineChars="200"/>
        <w:rPr>
          <w:color w:val="000000"/>
          <w:sz w:val="24"/>
          <w:szCs w:val="24"/>
        </w:rPr>
      </w:pPr>
      <w:r>
        <w:rPr>
          <w:rFonts w:hint="eastAsia"/>
          <w:color w:val="000000"/>
          <w:sz w:val="24"/>
          <w:szCs w:val="24"/>
        </w:rPr>
        <w:t>环保处设置专职管理人员1～2名，负责与各单项污染治理设施的沟通、协调与日常管理。对工作人员实行培训后持证上岗，制定工作人员岗位责任制，增强操作人员的环境保护意识。部门具体职责为：</w:t>
      </w:r>
    </w:p>
    <w:p w14:paraId="6F00316A">
      <w:pPr>
        <w:spacing w:line="360" w:lineRule="auto"/>
        <w:ind w:firstLine="480" w:firstLineChars="200"/>
        <w:rPr>
          <w:color w:val="000000"/>
          <w:sz w:val="24"/>
          <w:szCs w:val="24"/>
        </w:rPr>
      </w:pPr>
      <w:r>
        <w:rPr>
          <w:color w:val="000000"/>
          <w:sz w:val="24"/>
          <w:szCs w:val="24"/>
        </w:rPr>
        <w:t>（1）</w:t>
      </w:r>
      <w:r>
        <w:rPr>
          <w:rFonts w:hint="eastAsia"/>
          <w:color w:val="000000"/>
          <w:sz w:val="24"/>
          <w:szCs w:val="24"/>
        </w:rPr>
        <w:t>贯彻执行国家、地方和上级部门制定的各项环境保护方针、政策、法律和法规；</w:t>
      </w:r>
      <w:r>
        <w:rPr>
          <w:color w:val="000000"/>
          <w:sz w:val="24"/>
          <w:szCs w:val="24"/>
        </w:rPr>
        <w:t>全面贯彻落实</w:t>
      </w:r>
      <w:r>
        <w:rPr>
          <w:rFonts w:hint="eastAsia"/>
          <w:color w:val="000000"/>
          <w:sz w:val="24"/>
          <w:szCs w:val="24"/>
        </w:rPr>
        <w:t>“</w:t>
      </w:r>
      <w:r>
        <w:rPr>
          <w:color w:val="000000"/>
          <w:sz w:val="24"/>
          <w:szCs w:val="24"/>
        </w:rPr>
        <w:t>保护和改善生产环境与生态环境，防治污染和其它公害</w:t>
      </w:r>
      <w:r>
        <w:rPr>
          <w:rFonts w:hint="eastAsia"/>
          <w:color w:val="000000"/>
          <w:sz w:val="24"/>
          <w:szCs w:val="24"/>
        </w:rPr>
        <w:t>”</w:t>
      </w:r>
      <w:r>
        <w:rPr>
          <w:color w:val="000000"/>
          <w:sz w:val="24"/>
          <w:szCs w:val="24"/>
        </w:rPr>
        <w:t>等环境保护基本国策的要求，做好工程项目环境污染防治和生态环境保护工作。</w:t>
      </w:r>
    </w:p>
    <w:p w14:paraId="7574ABBC">
      <w:pPr>
        <w:spacing w:line="360" w:lineRule="auto"/>
        <w:ind w:firstLine="480" w:firstLineChars="200"/>
        <w:rPr>
          <w:color w:val="000000"/>
          <w:sz w:val="24"/>
          <w:szCs w:val="24"/>
        </w:rPr>
      </w:pPr>
      <w:r>
        <w:rPr>
          <w:color w:val="000000"/>
          <w:sz w:val="24"/>
          <w:szCs w:val="24"/>
        </w:rPr>
        <w:t>（2）</w:t>
      </w:r>
      <w:r>
        <w:rPr>
          <w:rFonts w:hint="eastAsia"/>
          <w:color w:val="000000"/>
          <w:sz w:val="24"/>
          <w:szCs w:val="24"/>
        </w:rPr>
        <w:t>负责全厂环境保护规划、环境管理与行动计划的制定和落实；</w:t>
      </w:r>
      <w:r>
        <w:rPr>
          <w:color w:val="000000"/>
          <w:sz w:val="24"/>
          <w:szCs w:val="24"/>
        </w:rPr>
        <w:t>按照环境保护部门给本企业下达的环境保护目标责任书，结合企业实际情况，制定出本企业的环境保护目标和实施措施，落实到企业年度计划，并作为评定企业指标完成情况的依据之一。</w:t>
      </w:r>
    </w:p>
    <w:p w14:paraId="17ED51CC">
      <w:pPr>
        <w:spacing w:line="360" w:lineRule="auto"/>
        <w:ind w:firstLine="480" w:firstLineChars="200"/>
        <w:rPr>
          <w:color w:val="000000"/>
          <w:sz w:val="24"/>
          <w:szCs w:val="24"/>
        </w:rPr>
      </w:pPr>
      <w:r>
        <w:rPr>
          <w:color w:val="000000"/>
          <w:sz w:val="24"/>
          <w:szCs w:val="24"/>
        </w:rPr>
        <w:t>（3）</w:t>
      </w:r>
      <w:r>
        <w:rPr>
          <w:rFonts w:hint="eastAsia"/>
          <w:color w:val="000000"/>
          <w:sz w:val="24"/>
          <w:szCs w:val="24"/>
        </w:rPr>
        <w:t>监督环保设施的运行，</w:t>
      </w:r>
      <w:r>
        <w:rPr>
          <w:color w:val="000000"/>
          <w:sz w:val="24"/>
          <w:szCs w:val="24"/>
        </w:rPr>
        <w:t>做好环保设施运行管理和维修工作，保证各项环保设施正常运行，确保治理效果。建立并管理好环保设施的档案资料。</w:t>
      </w:r>
    </w:p>
    <w:p w14:paraId="0667B463">
      <w:pPr>
        <w:spacing w:line="360" w:lineRule="auto"/>
        <w:ind w:firstLine="480" w:firstLineChars="200"/>
        <w:rPr>
          <w:color w:val="000000"/>
          <w:sz w:val="24"/>
          <w:szCs w:val="24"/>
        </w:rPr>
      </w:pPr>
      <w:r>
        <w:rPr>
          <w:color w:val="000000"/>
          <w:sz w:val="24"/>
          <w:szCs w:val="24"/>
        </w:rPr>
        <w:t>（4）</w:t>
      </w:r>
      <w:r>
        <w:rPr>
          <w:rFonts w:hint="eastAsia"/>
          <w:color w:val="000000"/>
          <w:sz w:val="24"/>
          <w:szCs w:val="24"/>
        </w:rPr>
        <w:t>在企业推行实施清洁生产，</w:t>
      </w:r>
      <w:r>
        <w:rPr>
          <w:color w:val="000000"/>
          <w:sz w:val="24"/>
          <w:szCs w:val="24"/>
        </w:rPr>
        <w:t>负责建立和健全企业内部环境保护目标责任制度和考核制度，严格考核各环保处理设施的处理效果，要有相应的奖惩制度。</w:t>
      </w:r>
    </w:p>
    <w:p w14:paraId="537FF30F">
      <w:pPr>
        <w:spacing w:line="360" w:lineRule="auto"/>
        <w:ind w:firstLine="480" w:firstLineChars="200"/>
        <w:rPr>
          <w:color w:val="000000"/>
          <w:sz w:val="24"/>
          <w:szCs w:val="24"/>
        </w:rPr>
      </w:pPr>
      <w:r>
        <w:rPr>
          <w:color w:val="000000"/>
          <w:sz w:val="24"/>
          <w:szCs w:val="24"/>
        </w:rPr>
        <w:t>（5）做好废水、废气、噪声污染治理和危险固体废物的综合利用工作。</w:t>
      </w:r>
    </w:p>
    <w:p w14:paraId="6E9C7005">
      <w:pPr>
        <w:spacing w:line="360" w:lineRule="auto"/>
        <w:ind w:firstLine="480" w:firstLineChars="200"/>
        <w:rPr>
          <w:color w:val="000000"/>
          <w:sz w:val="24"/>
          <w:szCs w:val="24"/>
        </w:rPr>
      </w:pPr>
      <w:r>
        <w:rPr>
          <w:color w:val="000000"/>
          <w:sz w:val="24"/>
          <w:szCs w:val="24"/>
        </w:rPr>
        <w:t>（6）定期委托当地环境监测部门</w:t>
      </w:r>
      <w:r>
        <w:rPr>
          <w:rFonts w:hint="eastAsia"/>
          <w:color w:val="000000"/>
          <w:sz w:val="24"/>
          <w:szCs w:val="24"/>
        </w:rPr>
        <w:t>或有资质第三方机构</w:t>
      </w:r>
      <w:r>
        <w:rPr>
          <w:color w:val="000000"/>
          <w:sz w:val="24"/>
          <w:szCs w:val="24"/>
        </w:rPr>
        <w:t>开展厂区环境监测；对环境监测结果进行统计分析，了解掌握污染动态，发现异常要及时查找原因，并反馈给生产部门，防止污染事故发生。</w:t>
      </w:r>
    </w:p>
    <w:p w14:paraId="02826D66">
      <w:pPr>
        <w:spacing w:line="360" w:lineRule="auto"/>
        <w:ind w:firstLine="480" w:firstLineChars="200"/>
        <w:rPr>
          <w:color w:val="000000"/>
          <w:sz w:val="24"/>
          <w:szCs w:val="24"/>
        </w:rPr>
      </w:pPr>
      <w:r>
        <w:rPr>
          <w:color w:val="000000"/>
          <w:sz w:val="24"/>
          <w:szCs w:val="24"/>
        </w:rPr>
        <w:t>（7）加强企业所属区域的绿化工作，认真贯彻</w:t>
      </w:r>
      <w:r>
        <w:rPr>
          <w:rFonts w:hint="eastAsia"/>
          <w:color w:val="000000"/>
          <w:sz w:val="24"/>
          <w:szCs w:val="24"/>
        </w:rPr>
        <w:t>“</w:t>
      </w:r>
      <w:r>
        <w:rPr>
          <w:color w:val="000000"/>
          <w:sz w:val="24"/>
          <w:szCs w:val="24"/>
        </w:rPr>
        <w:t>谁开发谁保护，谁破坏谁恢复，谁利用推补偿</w:t>
      </w:r>
      <w:r>
        <w:rPr>
          <w:rFonts w:hint="eastAsia"/>
          <w:color w:val="000000"/>
          <w:sz w:val="24"/>
          <w:szCs w:val="24"/>
        </w:rPr>
        <w:t>”</w:t>
      </w:r>
      <w:r>
        <w:rPr>
          <w:color w:val="000000"/>
          <w:sz w:val="24"/>
          <w:szCs w:val="24"/>
        </w:rPr>
        <w:t>和</w:t>
      </w:r>
      <w:r>
        <w:rPr>
          <w:rFonts w:hint="eastAsia"/>
          <w:color w:val="000000"/>
          <w:sz w:val="24"/>
          <w:szCs w:val="24"/>
        </w:rPr>
        <w:t>“</w:t>
      </w:r>
      <w:r>
        <w:rPr>
          <w:color w:val="000000"/>
          <w:sz w:val="24"/>
          <w:szCs w:val="24"/>
        </w:rPr>
        <w:t>开发利用与保护并重</w:t>
      </w:r>
      <w:r>
        <w:rPr>
          <w:rFonts w:hint="eastAsia"/>
          <w:color w:val="000000"/>
          <w:sz w:val="24"/>
          <w:szCs w:val="24"/>
        </w:rPr>
        <w:t>”</w:t>
      </w:r>
      <w:r>
        <w:rPr>
          <w:color w:val="000000"/>
          <w:sz w:val="24"/>
          <w:szCs w:val="24"/>
        </w:rPr>
        <w:t>的环境保护方针。</w:t>
      </w:r>
    </w:p>
    <w:p w14:paraId="60ABA603">
      <w:pPr>
        <w:spacing w:line="360" w:lineRule="auto"/>
        <w:ind w:firstLine="480" w:firstLineChars="200"/>
        <w:rPr>
          <w:color w:val="000000"/>
          <w:sz w:val="24"/>
          <w:szCs w:val="24"/>
        </w:rPr>
      </w:pPr>
      <w:r>
        <w:rPr>
          <w:color w:val="000000"/>
          <w:sz w:val="24"/>
          <w:szCs w:val="24"/>
        </w:rPr>
        <w:t>（8）企业领导应在环保经费上给予一定保证，每年有计划地拨出专项环保经费用于环保管理，业务培训。</w:t>
      </w:r>
    </w:p>
    <w:p w14:paraId="340CB7A1">
      <w:pPr>
        <w:spacing w:line="360" w:lineRule="auto"/>
        <w:ind w:firstLine="480" w:firstLineChars="200"/>
        <w:rPr>
          <w:color w:val="000000"/>
          <w:sz w:val="24"/>
          <w:szCs w:val="24"/>
        </w:rPr>
      </w:pPr>
      <w:r>
        <w:rPr>
          <w:color w:val="000000"/>
          <w:sz w:val="24"/>
          <w:szCs w:val="24"/>
        </w:rPr>
        <w:t>（9）有计划地做好普及环境保护基本知识和环境法律知识的宣传教育工作，组织企业内各类人员进行环保的培训和环保知识竞赛，提高企业职工，特别是厂级干部的环保意识和环保法制的观念。</w:t>
      </w:r>
    </w:p>
    <w:p w14:paraId="66ED739A">
      <w:pPr>
        <w:widowControl/>
        <w:spacing w:line="360" w:lineRule="auto"/>
        <w:ind w:firstLine="480" w:firstLineChars="200"/>
        <w:jc w:val="left"/>
        <w:rPr>
          <w:color w:val="000000"/>
          <w:kern w:val="0"/>
          <w:sz w:val="24"/>
          <w:szCs w:val="24"/>
        </w:rPr>
      </w:pPr>
      <w:r>
        <w:rPr>
          <w:color w:val="000000"/>
          <w:kern w:val="0"/>
          <w:sz w:val="24"/>
          <w:szCs w:val="24"/>
        </w:rPr>
        <w:t>（10）全面负责做好岗位职工职业病的防治工作。</w:t>
      </w:r>
    </w:p>
    <w:p w14:paraId="3E78CC2A">
      <w:pPr>
        <w:widowControl/>
        <w:spacing w:line="360" w:lineRule="auto"/>
        <w:ind w:firstLine="480" w:firstLineChars="200"/>
        <w:jc w:val="left"/>
        <w:rPr>
          <w:color w:val="000000"/>
          <w:kern w:val="0"/>
          <w:sz w:val="24"/>
          <w:szCs w:val="24"/>
        </w:rPr>
      </w:pPr>
      <w:r>
        <w:rPr>
          <w:rFonts w:hint="eastAsia"/>
          <w:color w:val="000000"/>
          <w:kern w:val="0"/>
          <w:sz w:val="24"/>
          <w:szCs w:val="24"/>
        </w:rPr>
        <w:t>（11）制定风险防范措施并监督实施，编制事故应急预案，一旦发生环境污染事故，协助公司领导按照预定方案及时采取补救措施。</w:t>
      </w:r>
    </w:p>
    <w:p w14:paraId="3B3D2C58">
      <w:pPr>
        <w:widowControl/>
        <w:spacing w:line="360" w:lineRule="auto"/>
        <w:ind w:firstLine="480" w:firstLineChars="200"/>
        <w:jc w:val="left"/>
        <w:rPr>
          <w:color w:val="000000"/>
          <w:kern w:val="0"/>
          <w:sz w:val="24"/>
          <w:szCs w:val="24"/>
        </w:rPr>
      </w:pPr>
      <w:r>
        <w:rPr>
          <w:rFonts w:hint="eastAsia"/>
          <w:color w:val="000000"/>
          <w:kern w:val="0"/>
          <w:sz w:val="24"/>
          <w:szCs w:val="24"/>
        </w:rPr>
        <w:t>（12）做好企业环境管理信息公开工作。</w:t>
      </w:r>
    </w:p>
    <w:p w14:paraId="34DAF194">
      <w:pPr>
        <w:pStyle w:val="4"/>
        <w:autoSpaceDE w:val="0"/>
        <w:autoSpaceDN w:val="0"/>
        <w:spacing w:before="0" w:after="0" w:line="360" w:lineRule="auto"/>
        <w:jc w:val="left"/>
        <w:rPr>
          <w:kern w:val="0"/>
          <w:sz w:val="24"/>
          <w:lang w:val="en-US" w:bidi="zh-CN"/>
        </w:rPr>
      </w:pPr>
      <w:bookmarkStart w:id="552" w:name="_Toc12993"/>
      <w:bookmarkStart w:id="553" w:name="_Toc15121_WPSOffice_Level3"/>
      <w:bookmarkStart w:id="554" w:name="_Toc2181"/>
      <w:bookmarkStart w:id="555" w:name="_Toc31439"/>
      <w:bookmarkStart w:id="556" w:name="_Toc1079"/>
      <w:bookmarkStart w:id="557" w:name="_Toc3471"/>
      <w:bookmarkStart w:id="558" w:name="_Toc25392"/>
      <w:r>
        <w:rPr>
          <w:rFonts w:hint="eastAsia"/>
          <w:kern w:val="0"/>
          <w:sz w:val="24"/>
          <w:lang w:val="en-US" w:bidi="zh-CN"/>
        </w:rPr>
        <w:t>9.1.3环境</w:t>
      </w:r>
      <w:bookmarkEnd w:id="552"/>
      <w:bookmarkEnd w:id="553"/>
      <w:bookmarkEnd w:id="554"/>
      <w:bookmarkEnd w:id="555"/>
      <w:bookmarkEnd w:id="556"/>
      <w:bookmarkEnd w:id="557"/>
      <w:r>
        <w:rPr>
          <w:rFonts w:hint="eastAsia"/>
          <w:kern w:val="0"/>
          <w:sz w:val="24"/>
          <w:lang w:val="en-US" w:bidi="zh-CN"/>
        </w:rPr>
        <w:t>管理要求</w:t>
      </w:r>
      <w:bookmarkEnd w:id="558"/>
    </w:p>
    <w:p w14:paraId="4E728ACA">
      <w:pPr>
        <w:widowControl/>
        <w:spacing w:line="360" w:lineRule="auto"/>
        <w:ind w:firstLine="480" w:firstLineChars="200"/>
        <w:jc w:val="left"/>
        <w:rPr>
          <w:color w:val="000000"/>
          <w:kern w:val="0"/>
          <w:sz w:val="24"/>
          <w:szCs w:val="24"/>
        </w:rPr>
      </w:pPr>
      <w:r>
        <w:rPr>
          <w:rFonts w:hint="eastAsia"/>
          <w:color w:val="000000"/>
          <w:kern w:val="0"/>
          <w:sz w:val="24"/>
          <w:szCs w:val="24"/>
        </w:rPr>
        <w:t>加强项目运营期的环境管理，根据本报告提出的污染防治措施及对策，制定出切实可行的环境污染防治办法和具体操作规程，做好环境教育和宣传工作，提高各级管理人员和工作人员的环境保护意识和技术水平，加强员工对环境污染防治的责任心，自觉遵守和执行各项环境保护规章制度；定期对环境保护设施进行维护和保养，确保环境保护设施的正常运行，防止污染事故的发生。要大力推广清洁生产，努力提高清洁生产水平，实现环境保护与经济建设的可持续协调发展。</w:t>
      </w:r>
    </w:p>
    <w:bookmarkEnd w:id="528"/>
    <w:bookmarkEnd w:id="529"/>
    <w:bookmarkEnd w:id="530"/>
    <w:bookmarkEnd w:id="531"/>
    <w:bookmarkEnd w:id="532"/>
    <w:bookmarkEnd w:id="533"/>
    <w:p w14:paraId="1B4340ED">
      <w:pPr>
        <w:pStyle w:val="4"/>
        <w:autoSpaceDE w:val="0"/>
        <w:autoSpaceDN w:val="0"/>
        <w:spacing w:before="0" w:after="0" w:line="360" w:lineRule="auto"/>
        <w:jc w:val="left"/>
        <w:rPr>
          <w:kern w:val="0"/>
          <w:sz w:val="24"/>
          <w:lang w:val="en-US" w:bidi="zh-CN"/>
        </w:rPr>
      </w:pPr>
      <w:bookmarkStart w:id="559" w:name="_Toc31972"/>
      <w:bookmarkStart w:id="560" w:name="_Toc3260"/>
      <w:bookmarkStart w:id="561" w:name="_Toc24924"/>
      <w:bookmarkStart w:id="562" w:name="_Toc11716"/>
      <w:bookmarkStart w:id="563" w:name="_Toc26039"/>
      <w:bookmarkStart w:id="564" w:name="_Toc28381"/>
      <w:r>
        <w:rPr>
          <w:rFonts w:hint="eastAsia"/>
          <w:kern w:val="0"/>
          <w:sz w:val="24"/>
          <w:lang w:val="en-US" w:bidi="zh-CN"/>
        </w:rPr>
        <w:t>9.1.4环境管理计划</w:t>
      </w:r>
      <w:bookmarkEnd w:id="559"/>
      <w:bookmarkEnd w:id="560"/>
      <w:bookmarkEnd w:id="561"/>
      <w:bookmarkEnd w:id="562"/>
      <w:bookmarkEnd w:id="563"/>
      <w:bookmarkEnd w:id="564"/>
    </w:p>
    <w:p w14:paraId="7E1E79E5">
      <w:pPr>
        <w:spacing w:line="360" w:lineRule="auto"/>
        <w:ind w:firstLine="480" w:firstLineChars="200"/>
        <w:rPr>
          <w:color w:val="000000"/>
          <w:sz w:val="24"/>
          <w:szCs w:val="24"/>
        </w:rPr>
      </w:pPr>
      <w:r>
        <w:rPr>
          <w:color w:val="000000"/>
          <w:sz w:val="24"/>
          <w:szCs w:val="24"/>
        </w:rPr>
        <w:t>环境管理计划要从项目建设全过程进行，如施工阶段污染防治、运营后环保设施环境管理、信息反馈和群众监督各方面形成网络管理，使环境管理工作贯穿于生产的全过程中。</w:t>
      </w:r>
    </w:p>
    <w:p w14:paraId="72373010">
      <w:pPr>
        <w:spacing w:line="360" w:lineRule="auto"/>
        <w:ind w:firstLine="480" w:firstLineChars="200"/>
        <w:rPr>
          <w:color w:val="000000"/>
          <w:sz w:val="24"/>
          <w:szCs w:val="24"/>
        </w:rPr>
      </w:pPr>
      <w:r>
        <w:rPr>
          <w:rFonts w:hint="eastAsia"/>
          <w:color w:val="000000"/>
          <w:sz w:val="24"/>
          <w:szCs w:val="24"/>
        </w:rPr>
        <w:t>本项目</w:t>
      </w:r>
      <w:r>
        <w:rPr>
          <w:color w:val="000000"/>
          <w:sz w:val="24"/>
          <w:szCs w:val="24"/>
        </w:rPr>
        <w:t>环境管理工作计划见表</w:t>
      </w:r>
      <w:r>
        <w:rPr>
          <w:rFonts w:hint="eastAsia"/>
          <w:color w:val="000000"/>
          <w:sz w:val="24"/>
          <w:szCs w:val="24"/>
        </w:rPr>
        <w:t>9.1-1</w:t>
      </w:r>
      <w:r>
        <w:rPr>
          <w:color w:val="000000"/>
          <w:sz w:val="24"/>
          <w:szCs w:val="24"/>
        </w:rPr>
        <w:t>。在表</w:t>
      </w:r>
      <w:r>
        <w:rPr>
          <w:rFonts w:hint="eastAsia"/>
          <w:color w:val="000000"/>
          <w:sz w:val="24"/>
          <w:szCs w:val="24"/>
        </w:rPr>
        <w:t>9.1-1</w:t>
      </w:r>
      <w:r>
        <w:rPr>
          <w:color w:val="000000"/>
          <w:sz w:val="24"/>
          <w:szCs w:val="24"/>
        </w:rPr>
        <w:t>所列的环境管理目标下，环境管理工作重点应从减少污染物排放，降低对地</w:t>
      </w:r>
      <w:r>
        <w:rPr>
          <w:rFonts w:hint="eastAsia"/>
          <w:color w:val="000000"/>
          <w:sz w:val="24"/>
          <w:szCs w:val="24"/>
        </w:rPr>
        <w:t>下</w:t>
      </w:r>
      <w:r>
        <w:rPr>
          <w:color w:val="000000"/>
          <w:sz w:val="24"/>
          <w:szCs w:val="24"/>
        </w:rPr>
        <w:t>水环境、大气环境影响和噪声影响等方面进行分项控制。</w:t>
      </w:r>
    </w:p>
    <w:p w14:paraId="4A3BC8FA">
      <w:pPr>
        <w:widowControl/>
        <w:spacing w:line="440" w:lineRule="exact"/>
        <w:ind w:firstLine="422" w:firstLineChars="200"/>
        <w:jc w:val="center"/>
        <w:rPr>
          <w:b/>
          <w:color w:val="000000"/>
          <w:kern w:val="0"/>
          <w:szCs w:val="21"/>
        </w:rPr>
      </w:pPr>
      <w:r>
        <w:rPr>
          <w:b/>
          <w:color w:val="000000"/>
          <w:kern w:val="0"/>
          <w:szCs w:val="21"/>
        </w:rPr>
        <w:t>表</w:t>
      </w:r>
      <w:r>
        <w:rPr>
          <w:rFonts w:hint="eastAsia"/>
          <w:b/>
          <w:color w:val="000000"/>
          <w:kern w:val="0"/>
          <w:szCs w:val="21"/>
        </w:rPr>
        <w:t>9.1</w:t>
      </w:r>
      <w:r>
        <w:rPr>
          <w:b/>
          <w:color w:val="000000"/>
          <w:kern w:val="0"/>
          <w:szCs w:val="21"/>
        </w:rPr>
        <w:t>-1   环境管理工作计划一览表</w:t>
      </w:r>
    </w:p>
    <w:tbl>
      <w:tblPr>
        <w:tblStyle w:val="49"/>
        <w:tblW w:w="4998" w:type="pct"/>
        <w:jc w:val="center"/>
        <w:tblBorders>
          <w:top w:val="single" w:color="auto" w:sz="12" w:space="0"/>
          <w:left w:val="single" w:color="auto" w:sz="12" w:space="0"/>
          <w:bottom w:val="single" w:color="auto" w:sz="12" w:space="0"/>
          <w:right w:val="single" w:color="auto" w:sz="12" w:space="0"/>
          <w:insideH w:val="single" w:color="auto" w:sz="2" w:space="0"/>
          <w:insideV w:val="single" w:color="auto" w:sz="6" w:space="0"/>
        </w:tblBorders>
        <w:tblLayout w:type="autofit"/>
        <w:tblCellMar>
          <w:top w:w="0" w:type="dxa"/>
          <w:left w:w="57" w:type="dxa"/>
          <w:bottom w:w="0" w:type="dxa"/>
          <w:right w:w="57" w:type="dxa"/>
        </w:tblCellMar>
      </w:tblPr>
      <w:tblGrid>
        <w:gridCol w:w="378"/>
        <w:gridCol w:w="970"/>
        <w:gridCol w:w="7834"/>
      </w:tblGrid>
      <w:tr w14:paraId="4E3F7049">
        <w:tblPrEx>
          <w:tblBorders>
            <w:top w:val="single" w:color="auto" w:sz="12" w:space="0"/>
            <w:left w:val="single" w:color="auto" w:sz="12" w:space="0"/>
            <w:bottom w:val="single" w:color="auto" w:sz="12" w:space="0"/>
            <w:right w:val="single" w:color="auto" w:sz="12" w:space="0"/>
            <w:insideH w:val="single" w:color="auto" w:sz="2" w:space="0"/>
            <w:insideV w:val="single" w:color="auto" w:sz="6" w:space="0"/>
          </w:tblBorders>
          <w:tblCellMar>
            <w:top w:w="0" w:type="dxa"/>
            <w:left w:w="57" w:type="dxa"/>
            <w:bottom w:w="0" w:type="dxa"/>
            <w:right w:w="57" w:type="dxa"/>
          </w:tblCellMar>
        </w:tblPrEx>
        <w:trPr>
          <w:trHeight w:val="170" w:hRule="atLeast"/>
          <w:jc w:val="center"/>
        </w:trPr>
        <w:tc>
          <w:tcPr>
            <w:tcW w:w="734" w:type="pct"/>
            <w:gridSpan w:val="2"/>
            <w:tcBorders>
              <w:tl2br w:val="nil"/>
              <w:tr2bl w:val="nil"/>
            </w:tcBorders>
            <w:vAlign w:val="center"/>
          </w:tcPr>
          <w:p w14:paraId="7299FFB3">
            <w:pPr>
              <w:jc w:val="center"/>
              <w:rPr>
                <w:bCs/>
                <w:color w:val="000000"/>
                <w:szCs w:val="21"/>
              </w:rPr>
            </w:pPr>
            <w:r>
              <w:rPr>
                <w:rFonts w:hint="eastAsia"/>
                <w:bCs/>
                <w:color w:val="000000"/>
                <w:szCs w:val="21"/>
              </w:rPr>
              <w:t>情 况</w:t>
            </w:r>
          </w:p>
        </w:tc>
        <w:tc>
          <w:tcPr>
            <w:tcW w:w="4265" w:type="pct"/>
            <w:tcBorders>
              <w:tl2br w:val="nil"/>
              <w:tr2bl w:val="nil"/>
            </w:tcBorders>
            <w:vAlign w:val="center"/>
          </w:tcPr>
          <w:p w14:paraId="18F370EA">
            <w:pPr>
              <w:jc w:val="center"/>
              <w:rPr>
                <w:bCs/>
                <w:color w:val="000000"/>
                <w:szCs w:val="21"/>
              </w:rPr>
            </w:pPr>
            <w:r>
              <w:rPr>
                <w:rFonts w:hint="eastAsia"/>
                <w:bCs/>
                <w:color w:val="000000"/>
                <w:szCs w:val="21"/>
              </w:rPr>
              <w:t>环 境 管 理 工 作 内 容</w:t>
            </w:r>
          </w:p>
        </w:tc>
      </w:tr>
      <w:tr w14:paraId="256BA4A3">
        <w:tblPrEx>
          <w:tblBorders>
            <w:top w:val="single" w:color="auto" w:sz="12" w:space="0"/>
            <w:left w:val="single" w:color="auto" w:sz="12" w:space="0"/>
            <w:bottom w:val="single" w:color="auto" w:sz="12" w:space="0"/>
            <w:right w:val="single" w:color="auto" w:sz="12" w:space="0"/>
            <w:insideH w:val="single" w:color="auto" w:sz="2" w:space="0"/>
            <w:insideV w:val="single" w:color="auto" w:sz="6" w:space="0"/>
          </w:tblBorders>
          <w:tblCellMar>
            <w:top w:w="0" w:type="dxa"/>
            <w:left w:w="57" w:type="dxa"/>
            <w:bottom w:w="0" w:type="dxa"/>
            <w:right w:w="57" w:type="dxa"/>
          </w:tblCellMar>
        </w:tblPrEx>
        <w:trPr>
          <w:trHeight w:val="170" w:hRule="atLeast"/>
          <w:jc w:val="center"/>
        </w:trPr>
        <w:tc>
          <w:tcPr>
            <w:tcW w:w="734" w:type="pct"/>
            <w:gridSpan w:val="2"/>
            <w:tcBorders>
              <w:tl2br w:val="nil"/>
              <w:tr2bl w:val="nil"/>
            </w:tcBorders>
            <w:vAlign w:val="center"/>
          </w:tcPr>
          <w:p w14:paraId="72C391F5">
            <w:pPr>
              <w:jc w:val="center"/>
              <w:rPr>
                <w:bCs/>
                <w:color w:val="000000"/>
                <w:szCs w:val="21"/>
              </w:rPr>
            </w:pPr>
            <w:r>
              <w:rPr>
                <w:rFonts w:hint="eastAsia"/>
                <w:bCs/>
                <w:color w:val="000000"/>
                <w:szCs w:val="21"/>
              </w:rPr>
              <w:t>企业环境管理总要求</w:t>
            </w:r>
          </w:p>
        </w:tc>
        <w:tc>
          <w:tcPr>
            <w:tcW w:w="4265" w:type="pct"/>
            <w:tcBorders>
              <w:tl2br w:val="nil"/>
              <w:tr2bl w:val="nil"/>
            </w:tcBorders>
          </w:tcPr>
          <w:p w14:paraId="53C3645B">
            <w:pPr>
              <w:jc w:val="left"/>
              <w:rPr>
                <w:bCs/>
                <w:color w:val="000000"/>
                <w:szCs w:val="21"/>
              </w:rPr>
            </w:pPr>
            <w:r>
              <w:rPr>
                <w:rFonts w:hint="eastAsia"/>
                <w:bCs/>
                <w:color w:val="000000"/>
                <w:szCs w:val="21"/>
              </w:rPr>
              <w:t>①可研阶段，委托评价单位进行环境影响评价；</w:t>
            </w:r>
          </w:p>
          <w:p w14:paraId="09EDD6BF">
            <w:pPr>
              <w:jc w:val="left"/>
              <w:rPr>
                <w:bCs/>
                <w:color w:val="000000"/>
                <w:szCs w:val="21"/>
              </w:rPr>
            </w:pPr>
            <w:r>
              <w:rPr>
                <w:rFonts w:hint="eastAsia"/>
                <w:bCs/>
                <w:color w:val="000000"/>
                <w:szCs w:val="21"/>
              </w:rPr>
              <w:t>②开工前，履行“三同时”手续；</w:t>
            </w:r>
          </w:p>
          <w:p w14:paraId="04540F25">
            <w:pPr>
              <w:jc w:val="left"/>
              <w:rPr>
                <w:bCs/>
                <w:color w:val="000000"/>
                <w:szCs w:val="21"/>
              </w:rPr>
            </w:pPr>
            <w:r>
              <w:rPr>
                <w:rFonts w:hint="eastAsia"/>
                <w:bCs/>
                <w:color w:val="000000"/>
                <w:szCs w:val="21"/>
              </w:rPr>
              <w:t>③项目准备投产阶段，申请领取排污许可证；</w:t>
            </w:r>
          </w:p>
          <w:p w14:paraId="27D5A2EF">
            <w:pPr>
              <w:jc w:val="left"/>
              <w:rPr>
                <w:bCs/>
                <w:color w:val="000000"/>
                <w:szCs w:val="21"/>
              </w:rPr>
            </w:pPr>
            <w:r>
              <w:rPr>
                <w:rFonts w:hint="eastAsia"/>
                <w:bCs/>
                <w:color w:val="000000"/>
                <w:szCs w:val="21"/>
              </w:rPr>
              <w:t>④项目建成后及时申报排污许可证，及时进行环保设施竣工验收；</w:t>
            </w:r>
          </w:p>
          <w:p w14:paraId="49D86FE8">
            <w:pPr>
              <w:jc w:val="left"/>
              <w:rPr>
                <w:bCs/>
                <w:color w:val="000000"/>
                <w:szCs w:val="21"/>
              </w:rPr>
            </w:pPr>
            <w:r>
              <w:rPr>
                <w:rFonts w:hint="eastAsia"/>
                <w:bCs/>
                <w:color w:val="000000"/>
                <w:szCs w:val="21"/>
              </w:rPr>
              <w:t>⑤生产运行阶段，定期请当地环保部门监督、检查，协助作好环境管理工作，对不达标装置及时整改；</w:t>
            </w:r>
          </w:p>
          <w:p w14:paraId="0F4A0342">
            <w:pPr>
              <w:jc w:val="left"/>
              <w:rPr>
                <w:bCs/>
                <w:color w:val="000000"/>
                <w:szCs w:val="21"/>
              </w:rPr>
            </w:pPr>
            <w:r>
              <w:rPr>
                <w:rFonts w:hint="eastAsia"/>
                <w:bCs/>
                <w:color w:val="000000"/>
                <w:szCs w:val="21"/>
              </w:rPr>
              <w:t>⑥依据自行监测方案搞好自行监测工作，及时交纳环境保护税。</w:t>
            </w:r>
          </w:p>
        </w:tc>
      </w:tr>
      <w:tr w14:paraId="10AD69A8">
        <w:tblPrEx>
          <w:tblBorders>
            <w:top w:val="single" w:color="auto" w:sz="12" w:space="0"/>
            <w:left w:val="single" w:color="auto" w:sz="12" w:space="0"/>
            <w:bottom w:val="single" w:color="auto" w:sz="12" w:space="0"/>
            <w:right w:val="single" w:color="auto" w:sz="12" w:space="0"/>
            <w:insideH w:val="single" w:color="auto" w:sz="2" w:space="0"/>
            <w:insideV w:val="single" w:color="auto" w:sz="6" w:space="0"/>
          </w:tblBorders>
          <w:tblCellMar>
            <w:top w:w="0" w:type="dxa"/>
            <w:left w:w="57" w:type="dxa"/>
            <w:bottom w:w="0" w:type="dxa"/>
            <w:right w:w="57" w:type="dxa"/>
          </w:tblCellMar>
        </w:tblPrEx>
        <w:trPr>
          <w:trHeight w:val="170" w:hRule="atLeast"/>
          <w:jc w:val="center"/>
        </w:trPr>
        <w:tc>
          <w:tcPr>
            <w:tcW w:w="734" w:type="pct"/>
            <w:gridSpan w:val="2"/>
            <w:tcBorders>
              <w:tl2br w:val="nil"/>
              <w:tr2bl w:val="nil"/>
            </w:tcBorders>
            <w:vAlign w:val="center"/>
          </w:tcPr>
          <w:p w14:paraId="2D97DAC1">
            <w:pPr>
              <w:jc w:val="center"/>
              <w:rPr>
                <w:bCs/>
                <w:color w:val="000000"/>
                <w:szCs w:val="21"/>
              </w:rPr>
            </w:pPr>
            <w:r>
              <w:rPr>
                <w:rFonts w:hint="eastAsia"/>
                <w:bCs/>
                <w:color w:val="000000"/>
                <w:szCs w:val="21"/>
              </w:rPr>
              <w:t>设计阶段</w:t>
            </w:r>
          </w:p>
        </w:tc>
        <w:tc>
          <w:tcPr>
            <w:tcW w:w="4265" w:type="pct"/>
            <w:tcBorders>
              <w:tl2br w:val="nil"/>
              <w:tr2bl w:val="nil"/>
            </w:tcBorders>
          </w:tcPr>
          <w:p w14:paraId="35AFFA47">
            <w:pPr>
              <w:jc w:val="left"/>
              <w:rPr>
                <w:bCs/>
                <w:color w:val="000000"/>
                <w:szCs w:val="21"/>
              </w:rPr>
            </w:pPr>
            <w:r>
              <w:rPr>
                <w:rFonts w:hint="eastAsia"/>
                <w:bCs/>
                <w:color w:val="000000"/>
                <w:szCs w:val="21"/>
              </w:rPr>
              <w:t>①总平合理布局，避免互相影响和污染，具体按照评价的要求实施；</w:t>
            </w:r>
          </w:p>
          <w:p w14:paraId="3B21394E">
            <w:pPr>
              <w:jc w:val="left"/>
              <w:rPr>
                <w:bCs/>
                <w:color w:val="000000"/>
                <w:szCs w:val="21"/>
              </w:rPr>
            </w:pPr>
            <w:r>
              <w:rPr>
                <w:rFonts w:hint="eastAsia"/>
                <w:bCs/>
                <w:color w:val="000000"/>
                <w:szCs w:val="21"/>
              </w:rPr>
              <w:t>②设计中须对产生恶臭污染及污水处理系统应与居民区保留必要的卫生防护距离，并采取绿化隔声防护措施；</w:t>
            </w:r>
          </w:p>
          <w:p w14:paraId="04A03211">
            <w:pPr>
              <w:jc w:val="left"/>
              <w:rPr>
                <w:bCs/>
                <w:color w:val="000000"/>
                <w:szCs w:val="21"/>
              </w:rPr>
            </w:pPr>
            <w:r>
              <w:rPr>
                <w:rFonts w:hint="eastAsia"/>
                <w:bCs/>
                <w:color w:val="000000"/>
                <w:szCs w:val="21"/>
              </w:rPr>
              <w:t>③完善工艺方案。设计应尽量采用新技术工艺、新设备，采用节约资源、能源的生产工艺和设备，选用低噪声设备，使生产过程中污染物的产生减少到最低限度。</w:t>
            </w:r>
          </w:p>
        </w:tc>
      </w:tr>
      <w:tr w14:paraId="4E44611B">
        <w:tblPrEx>
          <w:tblBorders>
            <w:top w:val="single" w:color="auto" w:sz="12" w:space="0"/>
            <w:left w:val="single" w:color="auto" w:sz="12" w:space="0"/>
            <w:bottom w:val="single" w:color="auto" w:sz="12" w:space="0"/>
            <w:right w:val="single" w:color="auto" w:sz="12" w:space="0"/>
            <w:insideH w:val="single" w:color="auto" w:sz="2" w:space="0"/>
            <w:insideV w:val="single" w:color="auto" w:sz="6" w:space="0"/>
          </w:tblBorders>
          <w:tblCellMar>
            <w:top w:w="0" w:type="dxa"/>
            <w:left w:w="57" w:type="dxa"/>
            <w:bottom w:w="0" w:type="dxa"/>
            <w:right w:w="57" w:type="dxa"/>
          </w:tblCellMar>
        </w:tblPrEx>
        <w:trPr>
          <w:trHeight w:val="170" w:hRule="atLeast"/>
          <w:jc w:val="center"/>
        </w:trPr>
        <w:tc>
          <w:tcPr>
            <w:tcW w:w="734" w:type="pct"/>
            <w:gridSpan w:val="2"/>
            <w:tcBorders>
              <w:tl2br w:val="nil"/>
              <w:tr2bl w:val="nil"/>
            </w:tcBorders>
            <w:vAlign w:val="center"/>
          </w:tcPr>
          <w:p w14:paraId="67BAFD56">
            <w:pPr>
              <w:jc w:val="center"/>
              <w:rPr>
                <w:bCs/>
                <w:color w:val="000000"/>
                <w:szCs w:val="21"/>
              </w:rPr>
            </w:pPr>
            <w:r>
              <w:rPr>
                <w:rFonts w:hint="eastAsia"/>
                <w:bCs/>
                <w:color w:val="000000"/>
                <w:szCs w:val="21"/>
              </w:rPr>
              <w:t>施工阶段</w:t>
            </w:r>
          </w:p>
        </w:tc>
        <w:tc>
          <w:tcPr>
            <w:tcW w:w="4265" w:type="pct"/>
            <w:tcBorders>
              <w:tl2br w:val="nil"/>
              <w:tr2bl w:val="nil"/>
            </w:tcBorders>
          </w:tcPr>
          <w:p w14:paraId="0B95CC00">
            <w:pPr>
              <w:jc w:val="left"/>
              <w:rPr>
                <w:bCs/>
                <w:color w:val="000000"/>
                <w:szCs w:val="21"/>
              </w:rPr>
            </w:pPr>
            <w:r>
              <w:rPr>
                <w:rFonts w:hint="eastAsia"/>
                <w:bCs/>
                <w:color w:val="000000"/>
                <w:szCs w:val="21"/>
              </w:rPr>
              <w:t>①督促施工单位按审查批准的设计文件要求落实环保工程的施工计划与进度，保证工程质量，以确保建设项目的环保工程与主体工程同时投产或使用；</w:t>
            </w:r>
          </w:p>
          <w:p w14:paraId="0CBFC3DE">
            <w:pPr>
              <w:jc w:val="left"/>
              <w:rPr>
                <w:bCs/>
                <w:color w:val="000000"/>
                <w:szCs w:val="21"/>
              </w:rPr>
            </w:pPr>
            <w:r>
              <w:rPr>
                <w:rFonts w:hint="eastAsia"/>
                <w:bCs/>
                <w:color w:val="000000"/>
                <w:szCs w:val="21"/>
              </w:rPr>
              <w:t>②与施工单位签定有关环保合同，监督施工单位的施工活动是否按有关要求进行，防止其对环境造成污染和破坏；</w:t>
            </w:r>
          </w:p>
          <w:p w14:paraId="33C9C10A">
            <w:pPr>
              <w:jc w:val="left"/>
              <w:rPr>
                <w:bCs/>
                <w:color w:val="000000"/>
                <w:szCs w:val="21"/>
              </w:rPr>
            </w:pPr>
            <w:r>
              <w:rPr>
                <w:rFonts w:hint="eastAsia"/>
                <w:bCs/>
                <w:color w:val="000000"/>
                <w:szCs w:val="21"/>
              </w:rPr>
              <w:t>③施工活动总平面布置要合理；</w:t>
            </w:r>
          </w:p>
          <w:p w14:paraId="5DFF689C">
            <w:pPr>
              <w:jc w:val="left"/>
              <w:rPr>
                <w:bCs/>
                <w:color w:val="000000"/>
                <w:szCs w:val="21"/>
              </w:rPr>
            </w:pPr>
            <w:r>
              <w:rPr>
                <w:rFonts w:hint="eastAsia"/>
                <w:bCs/>
                <w:color w:val="000000"/>
                <w:szCs w:val="21"/>
              </w:rPr>
              <w:t>④对施工临时占地造成的地表破坏、土地、植被毁坏应在施工结束后及时恢复；</w:t>
            </w:r>
          </w:p>
          <w:p w14:paraId="2A5D098E">
            <w:pPr>
              <w:jc w:val="left"/>
              <w:rPr>
                <w:bCs/>
                <w:color w:val="000000"/>
                <w:szCs w:val="21"/>
              </w:rPr>
            </w:pPr>
            <w:r>
              <w:rPr>
                <w:rFonts w:hint="eastAsia"/>
                <w:bCs/>
                <w:color w:val="000000"/>
                <w:szCs w:val="21"/>
              </w:rPr>
              <w:t>⑤按照设计和评价的有关要求，积极开展场区、堆场及道路等的绿化工作。</w:t>
            </w:r>
          </w:p>
        </w:tc>
      </w:tr>
      <w:tr w14:paraId="111AAA5A">
        <w:tblPrEx>
          <w:tblBorders>
            <w:top w:val="single" w:color="auto" w:sz="12" w:space="0"/>
            <w:left w:val="single" w:color="auto" w:sz="12" w:space="0"/>
            <w:bottom w:val="single" w:color="auto" w:sz="12" w:space="0"/>
            <w:right w:val="single" w:color="auto" w:sz="12" w:space="0"/>
            <w:insideH w:val="single" w:color="auto" w:sz="2" w:space="0"/>
            <w:insideV w:val="single" w:color="auto" w:sz="6" w:space="0"/>
          </w:tblBorders>
          <w:tblCellMar>
            <w:top w:w="0" w:type="dxa"/>
            <w:left w:w="57" w:type="dxa"/>
            <w:bottom w:w="0" w:type="dxa"/>
            <w:right w:w="57" w:type="dxa"/>
          </w:tblCellMar>
        </w:tblPrEx>
        <w:trPr>
          <w:trHeight w:val="170" w:hRule="atLeast"/>
          <w:jc w:val="center"/>
        </w:trPr>
        <w:tc>
          <w:tcPr>
            <w:tcW w:w="206" w:type="pct"/>
            <w:vMerge w:val="restart"/>
            <w:tcBorders>
              <w:tl2br w:val="nil"/>
              <w:tr2bl w:val="nil"/>
            </w:tcBorders>
            <w:vAlign w:val="center"/>
          </w:tcPr>
          <w:p w14:paraId="304E1E74">
            <w:pPr>
              <w:jc w:val="center"/>
              <w:rPr>
                <w:bCs/>
                <w:color w:val="000000"/>
                <w:szCs w:val="21"/>
              </w:rPr>
            </w:pPr>
            <w:r>
              <w:rPr>
                <w:rFonts w:hint="eastAsia"/>
                <w:bCs/>
                <w:color w:val="000000"/>
                <w:szCs w:val="21"/>
              </w:rPr>
              <w:t>竣工验收阶段</w:t>
            </w:r>
          </w:p>
        </w:tc>
        <w:tc>
          <w:tcPr>
            <w:tcW w:w="528" w:type="pct"/>
            <w:tcBorders>
              <w:tl2br w:val="nil"/>
              <w:tr2bl w:val="nil"/>
            </w:tcBorders>
            <w:vAlign w:val="center"/>
          </w:tcPr>
          <w:p w14:paraId="3FF31338">
            <w:pPr>
              <w:jc w:val="center"/>
              <w:rPr>
                <w:bCs/>
                <w:color w:val="000000"/>
                <w:szCs w:val="21"/>
              </w:rPr>
            </w:pPr>
            <w:r>
              <w:rPr>
                <w:rFonts w:hint="eastAsia"/>
                <w:bCs/>
                <w:color w:val="000000"/>
                <w:szCs w:val="21"/>
              </w:rPr>
              <w:t>自查准备阶段</w:t>
            </w:r>
          </w:p>
        </w:tc>
        <w:tc>
          <w:tcPr>
            <w:tcW w:w="4265" w:type="pct"/>
            <w:tcBorders>
              <w:tl2br w:val="nil"/>
              <w:tr2bl w:val="nil"/>
            </w:tcBorders>
          </w:tcPr>
          <w:p w14:paraId="6B352555">
            <w:pPr>
              <w:jc w:val="left"/>
              <w:rPr>
                <w:bCs/>
                <w:color w:val="000000"/>
                <w:szCs w:val="21"/>
              </w:rPr>
            </w:pPr>
            <w:r>
              <w:rPr>
                <w:rFonts w:hint="eastAsia"/>
                <w:bCs/>
                <w:color w:val="000000"/>
                <w:szCs w:val="21"/>
              </w:rPr>
              <w:t>①检查施工项目是否按设计规定全部完工；</w:t>
            </w:r>
          </w:p>
          <w:p w14:paraId="70E60D7C">
            <w:pPr>
              <w:jc w:val="left"/>
              <w:rPr>
                <w:bCs/>
                <w:color w:val="000000"/>
                <w:szCs w:val="21"/>
              </w:rPr>
            </w:pPr>
            <w:r>
              <w:rPr>
                <w:rFonts w:hint="eastAsia"/>
                <w:bCs/>
                <w:color w:val="000000"/>
                <w:szCs w:val="21"/>
              </w:rPr>
              <w:t>|②自行申报排污许可证；</w:t>
            </w:r>
          </w:p>
          <w:p w14:paraId="44A0458F">
            <w:pPr>
              <w:jc w:val="left"/>
              <w:rPr>
                <w:bCs/>
                <w:color w:val="000000"/>
                <w:szCs w:val="21"/>
              </w:rPr>
            </w:pPr>
            <w:r>
              <w:rPr>
                <w:rFonts w:hint="eastAsia"/>
                <w:bCs/>
                <w:color w:val="000000"/>
                <w:szCs w:val="21"/>
              </w:rPr>
              <w:t>③组织检查试车前的各项准备工作；</w:t>
            </w:r>
          </w:p>
          <w:p w14:paraId="53994DFF">
            <w:pPr>
              <w:jc w:val="left"/>
              <w:rPr>
                <w:bCs/>
                <w:color w:val="000000"/>
                <w:szCs w:val="21"/>
              </w:rPr>
            </w:pPr>
            <w:r>
              <w:rPr>
                <w:rFonts w:hint="eastAsia"/>
                <w:bCs/>
                <w:color w:val="000000"/>
                <w:szCs w:val="21"/>
              </w:rPr>
              <w:t>|④检查操作技术文件和管理制度是否健全；</w:t>
            </w:r>
          </w:p>
          <w:p w14:paraId="3B5221AE">
            <w:pPr>
              <w:jc w:val="left"/>
              <w:rPr>
                <w:bCs/>
                <w:color w:val="000000"/>
                <w:szCs w:val="21"/>
              </w:rPr>
            </w:pPr>
            <w:r>
              <w:rPr>
                <w:rFonts w:hint="eastAsia"/>
                <w:bCs/>
                <w:color w:val="000000"/>
                <w:szCs w:val="21"/>
              </w:rPr>
              <w:t>⑤整理技术文件资料档案；</w:t>
            </w:r>
          </w:p>
          <w:p w14:paraId="58E2D538">
            <w:pPr>
              <w:jc w:val="left"/>
              <w:rPr>
                <w:bCs/>
                <w:color w:val="000000"/>
                <w:szCs w:val="21"/>
              </w:rPr>
            </w:pPr>
            <w:r>
              <w:rPr>
                <w:rFonts w:hint="eastAsia"/>
                <w:bCs/>
                <w:color w:val="000000"/>
                <w:szCs w:val="21"/>
              </w:rPr>
              <w:t>⑥建立环保档案。</w:t>
            </w:r>
          </w:p>
        </w:tc>
      </w:tr>
      <w:tr w14:paraId="43419ADA">
        <w:tblPrEx>
          <w:tblBorders>
            <w:top w:val="single" w:color="auto" w:sz="12" w:space="0"/>
            <w:left w:val="single" w:color="auto" w:sz="12" w:space="0"/>
            <w:bottom w:val="single" w:color="auto" w:sz="12" w:space="0"/>
            <w:right w:val="single" w:color="auto" w:sz="12" w:space="0"/>
            <w:insideH w:val="single" w:color="auto" w:sz="2" w:space="0"/>
            <w:insideV w:val="single" w:color="auto" w:sz="6" w:space="0"/>
          </w:tblBorders>
          <w:tblCellMar>
            <w:top w:w="0" w:type="dxa"/>
            <w:left w:w="57" w:type="dxa"/>
            <w:bottom w:w="0" w:type="dxa"/>
            <w:right w:w="57" w:type="dxa"/>
          </w:tblCellMar>
        </w:tblPrEx>
        <w:trPr>
          <w:trHeight w:val="170" w:hRule="atLeast"/>
          <w:jc w:val="center"/>
        </w:trPr>
        <w:tc>
          <w:tcPr>
            <w:tcW w:w="206" w:type="pct"/>
            <w:vMerge w:val="continue"/>
            <w:tcBorders>
              <w:tl2br w:val="nil"/>
              <w:tr2bl w:val="nil"/>
            </w:tcBorders>
            <w:vAlign w:val="center"/>
          </w:tcPr>
          <w:p w14:paraId="4705EC7A">
            <w:pPr>
              <w:jc w:val="center"/>
              <w:rPr>
                <w:bCs/>
                <w:color w:val="000000"/>
                <w:szCs w:val="21"/>
              </w:rPr>
            </w:pPr>
          </w:p>
        </w:tc>
        <w:tc>
          <w:tcPr>
            <w:tcW w:w="528" w:type="pct"/>
            <w:tcBorders>
              <w:tl2br w:val="nil"/>
              <w:tr2bl w:val="nil"/>
            </w:tcBorders>
            <w:vAlign w:val="center"/>
          </w:tcPr>
          <w:p w14:paraId="494DDD7C">
            <w:pPr>
              <w:jc w:val="center"/>
              <w:rPr>
                <w:bCs/>
                <w:color w:val="000000"/>
                <w:szCs w:val="21"/>
              </w:rPr>
            </w:pPr>
            <w:r>
              <w:rPr>
                <w:rFonts w:hint="eastAsia"/>
                <w:bCs/>
                <w:color w:val="000000"/>
                <w:szCs w:val="21"/>
              </w:rPr>
              <w:t>预验收阶段</w:t>
            </w:r>
          </w:p>
        </w:tc>
        <w:tc>
          <w:tcPr>
            <w:tcW w:w="4265" w:type="pct"/>
            <w:tcBorders>
              <w:tl2br w:val="nil"/>
              <w:tr2bl w:val="nil"/>
            </w:tcBorders>
          </w:tcPr>
          <w:p w14:paraId="4B36BDBB">
            <w:pPr>
              <w:jc w:val="left"/>
              <w:rPr>
                <w:bCs/>
                <w:color w:val="000000"/>
                <w:szCs w:val="21"/>
              </w:rPr>
            </w:pPr>
            <w:r>
              <w:rPr>
                <w:rFonts w:hint="eastAsia"/>
                <w:bCs/>
                <w:color w:val="000000"/>
                <w:szCs w:val="21"/>
              </w:rPr>
              <w:t>①检查污染治理效果和各污染源污染物排放情况；</w:t>
            </w:r>
          </w:p>
          <w:p w14:paraId="0E19870D">
            <w:pPr>
              <w:jc w:val="left"/>
              <w:rPr>
                <w:bCs/>
                <w:color w:val="000000"/>
                <w:szCs w:val="21"/>
              </w:rPr>
            </w:pPr>
            <w:r>
              <w:rPr>
                <w:rFonts w:hint="eastAsia"/>
                <w:bCs/>
                <w:color w:val="000000"/>
                <w:szCs w:val="21"/>
              </w:rPr>
              <w:t>②对检查出来的问题，要提出解决或补救措施，落实投资，确保完成期限；</w:t>
            </w:r>
          </w:p>
          <w:p w14:paraId="045EC894">
            <w:pPr>
              <w:jc w:val="left"/>
              <w:rPr>
                <w:bCs/>
                <w:color w:val="000000"/>
                <w:szCs w:val="21"/>
              </w:rPr>
            </w:pPr>
            <w:r>
              <w:rPr>
                <w:rFonts w:hint="eastAsia"/>
                <w:bCs/>
                <w:color w:val="000000"/>
                <w:szCs w:val="21"/>
              </w:rPr>
              <w:t>③自行或委托有技术能力单位编制并提交《建设项目环境保护竣工验收报告》。</w:t>
            </w:r>
          </w:p>
        </w:tc>
      </w:tr>
      <w:tr w14:paraId="13730008">
        <w:tblPrEx>
          <w:tblBorders>
            <w:top w:val="single" w:color="auto" w:sz="12" w:space="0"/>
            <w:left w:val="single" w:color="auto" w:sz="12" w:space="0"/>
            <w:bottom w:val="single" w:color="auto" w:sz="12" w:space="0"/>
            <w:right w:val="single" w:color="auto" w:sz="12" w:space="0"/>
            <w:insideH w:val="single" w:color="auto" w:sz="2" w:space="0"/>
            <w:insideV w:val="single" w:color="auto" w:sz="6" w:space="0"/>
          </w:tblBorders>
          <w:tblCellMar>
            <w:top w:w="0" w:type="dxa"/>
            <w:left w:w="57" w:type="dxa"/>
            <w:bottom w:w="0" w:type="dxa"/>
            <w:right w:w="57" w:type="dxa"/>
          </w:tblCellMar>
        </w:tblPrEx>
        <w:trPr>
          <w:trHeight w:val="170" w:hRule="atLeast"/>
          <w:jc w:val="center"/>
        </w:trPr>
        <w:tc>
          <w:tcPr>
            <w:tcW w:w="206" w:type="pct"/>
            <w:vMerge w:val="continue"/>
            <w:tcBorders>
              <w:tl2br w:val="nil"/>
              <w:tr2bl w:val="nil"/>
            </w:tcBorders>
            <w:vAlign w:val="center"/>
          </w:tcPr>
          <w:p w14:paraId="46DE62CE">
            <w:pPr>
              <w:jc w:val="center"/>
              <w:rPr>
                <w:bCs/>
                <w:color w:val="000000"/>
                <w:szCs w:val="21"/>
              </w:rPr>
            </w:pPr>
          </w:p>
        </w:tc>
        <w:tc>
          <w:tcPr>
            <w:tcW w:w="528" w:type="pct"/>
            <w:tcBorders>
              <w:tl2br w:val="nil"/>
              <w:tr2bl w:val="nil"/>
            </w:tcBorders>
            <w:vAlign w:val="center"/>
          </w:tcPr>
          <w:p w14:paraId="5C8148DC">
            <w:pPr>
              <w:jc w:val="center"/>
              <w:rPr>
                <w:bCs/>
                <w:color w:val="000000"/>
                <w:szCs w:val="21"/>
              </w:rPr>
            </w:pPr>
            <w:r>
              <w:rPr>
                <w:rFonts w:hint="eastAsia"/>
                <w:bCs/>
                <w:color w:val="000000"/>
                <w:szCs w:val="21"/>
              </w:rPr>
              <w:t>正式验收阶段</w:t>
            </w:r>
          </w:p>
        </w:tc>
        <w:tc>
          <w:tcPr>
            <w:tcW w:w="4265" w:type="pct"/>
            <w:tcBorders>
              <w:tl2br w:val="nil"/>
              <w:tr2bl w:val="nil"/>
            </w:tcBorders>
            <w:vAlign w:val="center"/>
          </w:tcPr>
          <w:p w14:paraId="66D4F976">
            <w:pPr>
              <w:jc w:val="left"/>
              <w:rPr>
                <w:bCs/>
                <w:color w:val="000000"/>
                <w:szCs w:val="21"/>
              </w:rPr>
            </w:pPr>
            <w:r>
              <w:rPr>
                <w:rFonts w:hint="eastAsia"/>
                <w:bCs/>
                <w:color w:val="000000"/>
                <w:szCs w:val="21"/>
              </w:rPr>
              <w:t>完成竣工验收备案</w:t>
            </w:r>
          </w:p>
        </w:tc>
      </w:tr>
      <w:tr w14:paraId="470F50AA">
        <w:tblPrEx>
          <w:tblBorders>
            <w:top w:val="single" w:color="auto" w:sz="12" w:space="0"/>
            <w:left w:val="single" w:color="auto" w:sz="12" w:space="0"/>
            <w:bottom w:val="single" w:color="auto" w:sz="12" w:space="0"/>
            <w:right w:val="single" w:color="auto" w:sz="12" w:space="0"/>
            <w:insideH w:val="single" w:color="auto" w:sz="2" w:space="0"/>
            <w:insideV w:val="single" w:color="auto" w:sz="6" w:space="0"/>
          </w:tblBorders>
          <w:tblCellMar>
            <w:top w:w="0" w:type="dxa"/>
            <w:left w:w="57" w:type="dxa"/>
            <w:bottom w:w="0" w:type="dxa"/>
            <w:right w:w="57" w:type="dxa"/>
          </w:tblCellMar>
        </w:tblPrEx>
        <w:trPr>
          <w:trHeight w:val="170" w:hRule="atLeast"/>
          <w:jc w:val="center"/>
        </w:trPr>
        <w:tc>
          <w:tcPr>
            <w:tcW w:w="734" w:type="pct"/>
            <w:gridSpan w:val="2"/>
            <w:tcBorders>
              <w:tl2br w:val="nil"/>
              <w:tr2bl w:val="nil"/>
            </w:tcBorders>
            <w:vAlign w:val="center"/>
          </w:tcPr>
          <w:p w14:paraId="3DD4F66B">
            <w:pPr>
              <w:jc w:val="center"/>
              <w:rPr>
                <w:bCs/>
                <w:color w:val="000000"/>
                <w:szCs w:val="21"/>
              </w:rPr>
            </w:pPr>
            <w:r>
              <w:rPr>
                <w:rFonts w:hint="eastAsia"/>
                <w:bCs/>
                <w:color w:val="000000"/>
                <w:szCs w:val="21"/>
              </w:rPr>
              <w:t>生产运营</w:t>
            </w:r>
          </w:p>
          <w:p w14:paraId="2DFE3399">
            <w:pPr>
              <w:jc w:val="center"/>
              <w:rPr>
                <w:bCs/>
                <w:color w:val="000000"/>
                <w:szCs w:val="21"/>
              </w:rPr>
            </w:pPr>
            <w:r>
              <w:rPr>
                <w:rFonts w:hint="eastAsia"/>
                <w:bCs/>
                <w:color w:val="000000"/>
                <w:szCs w:val="21"/>
              </w:rPr>
              <w:t>阶段</w:t>
            </w:r>
          </w:p>
        </w:tc>
        <w:tc>
          <w:tcPr>
            <w:tcW w:w="4265" w:type="pct"/>
            <w:tcBorders>
              <w:tl2br w:val="nil"/>
              <w:tr2bl w:val="nil"/>
            </w:tcBorders>
            <w:vAlign w:val="center"/>
          </w:tcPr>
          <w:p w14:paraId="0C0E4E6D">
            <w:pPr>
              <w:jc w:val="left"/>
              <w:rPr>
                <w:bCs/>
                <w:color w:val="000000"/>
                <w:szCs w:val="21"/>
              </w:rPr>
            </w:pPr>
            <w:r>
              <w:rPr>
                <w:rFonts w:hint="eastAsia"/>
                <w:bCs/>
                <w:color w:val="000000"/>
                <w:szCs w:val="21"/>
              </w:rPr>
              <w:t>①把污染防治和环境管理纳入企业日常经营管理活动，从计划管理、生产管理、技术管理、设备管理到经济成本核算都要有控制污染的内容和指标，并要落实到岗位；</w:t>
            </w:r>
          </w:p>
          <w:p w14:paraId="1BE356E9">
            <w:pPr>
              <w:jc w:val="left"/>
              <w:rPr>
                <w:bCs/>
                <w:color w:val="000000"/>
                <w:szCs w:val="21"/>
              </w:rPr>
            </w:pPr>
            <w:r>
              <w:rPr>
                <w:rFonts w:hint="eastAsia"/>
                <w:bCs/>
                <w:color w:val="000000"/>
                <w:szCs w:val="21"/>
              </w:rPr>
              <w:t>②企业主要领导负责实行环保责任制，指标逐级分解，做到奖罚分明；</w:t>
            </w:r>
          </w:p>
          <w:p w14:paraId="7B89DBAB">
            <w:pPr>
              <w:jc w:val="left"/>
              <w:rPr>
                <w:bCs/>
                <w:color w:val="000000"/>
                <w:szCs w:val="21"/>
              </w:rPr>
            </w:pPr>
            <w:r>
              <w:rPr>
                <w:rFonts w:hint="eastAsia"/>
                <w:bCs/>
                <w:color w:val="000000"/>
                <w:szCs w:val="21"/>
              </w:rPr>
              <w:t>③建立健全企业的污染监测系统，为企业环境管理提供依据；</w:t>
            </w:r>
          </w:p>
          <w:p w14:paraId="72BD23B5">
            <w:pPr>
              <w:jc w:val="left"/>
              <w:rPr>
                <w:bCs/>
                <w:color w:val="000000"/>
                <w:szCs w:val="21"/>
              </w:rPr>
            </w:pPr>
            <w:r>
              <w:rPr>
                <w:rFonts w:hint="eastAsia"/>
                <w:bCs/>
                <w:color w:val="000000"/>
                <w:szCs w:val="21"/>
              </w:rPr>
              <w:t>④建立环境保护信息反馈和群众监督制度，监察企业生产和管理活动违背环保法规和制度的行为；</w:t>
            </w:r>
          </w:p>
          <w:p w14:paraId="5D0FC8DE">
            <w:pPr>
              <w:jc w:val="left"/>
              <w:rPr>
                <w:bCs/>
                <w:color w:val="000000"/>
                <w:szCs w:val="21"/>
              </w:rPr>
            </w:pPr>
            <w:r>
              <w:rPr>
                <w:rFonts w:hint="eastAsia"/>
                <w:bCs/>
                <w:color w:val="000000"/>
                <w:szCs w:val="21"/>
              </w:rPr>
              <w:t>⑤建立健全各环保设施的运行操作规则，有效监督实施，严防跑、冒、滴、漏；</w:t>
            </w:r>
          </w:p>
          <w:p w14:paraId="4199DF10">
            <w:pPr>
              <w:jc w:val="left"/>
              <w:rPr>
                <w:bCs/>
                <w:color w:val="000000"/>
                <w:szCs w:val="21"/>
              </w:rPr>
            </w:pPr>
            <w:r>
              <w:rPr>
                <w:rFonts w:hint="eastAsia"/>
                <w:bCs/>
                <w:color w:val="000000"/>
                <w:szCs w:val="21"/>
              </w:rPr>
              <w:t>⑥定期向环保部门汇报情</w:t>
            </w:r>
            <w:r>
              <w:rPr>
                <w:rFonts w:hint="eastAsia"/>
                <w:bCs/>
                <w:color w:val="000000"/>
                <w:szCs w:val="21"/>
                <w:lang w:eastAsia="zh-CN"/>
              </w:rPr>
              <w:t>况并</w:t>
            </w:r>
            <w:r>
              <w:rPr>
                <w:rFonts w:hint="eastAsia"/>
                <w:bCs/>
                <w:color w:val="000000"/>
                <w:szCs w:val="21"/>
              </w:rPr>
              <w:t>配合环保部门的监督、检查。</w:t>
            </w:r>
          </w:p>
        </w:tc>
      </w:tr>
      <w:tr w14:paraId="12FBFEAB">
        <w:tblPrEx>
          <w:tblBorders>
            <w:top w:val="single" w:color="auto" w:sz="12" w:space="0"/>
            <w:left w:val="single" w:color="auto" w:sz="12" w:space="0"/>
            <w:bottom w:val="single" w:color="auto" w:sz="12" w:space="0"/>
            <w:right w:val="single" w:color="auto" w:sz="12" w:space="0"/>
            <w:insideH w:val="single" w:color="auto" w:sz="2" w:space="0"/>
            <w:insideV w:val="single" w:color="auto" w:sz="6" w:space="0"/>
          </w:tblBorders>
          <w:tblCellMar>
            <w:top w:w="0" w:type="dxa"/>
            <w:left w:w="57" w:type="dxa"/>
            <w:bottom w:w="0" w:type="dxa"/>
            <w:right w:w="57" w:type="dxa"/>
          </w:tblCellMar>
        </w:tblPrEx>
        <w:trPr>
          <w:trHeight w:val="170" w:hRule="atLeast"/>
          <w:jc w:val="center"/>
        </w:trPr>
        <w:tc>
          <w:tcPr>
            <w:tcW w:w="734" w:type="pct"/>
            <w:gridSpan w:val="2"/>
            <w:tcBorders>
              <w:tl2br w:val="nil"/>
              <w:tr2bl w:val="nil"/>
            </w:tcBorders>
            <w:vAlign w:val="center"/>
          </w:tcPr>
          <w:p w14:paraId="31965A28">
            <w:pPr>
              <w:jc w:val="center"/>
              <w:rPr>
                <w:bCs/>
                <w:color w:val="000000"/>
                <w:szCs w:val="21"/>
              </w:rPr>
            </w:pPr>
            <w:r>
              <w:rPr>
                <w:rFonts w:hint="eastAsia"/>
                <w:bCs/>
                <w:color w:val="000000"/>
                <w:szCs w:val="21"/>
              </w:rPr>
              <w:t>信息反馈和</w:t>
            </w:r>
          </w:p>
          <w:p w14:paraId="700D868C">
            <w:pPr>
              <w:jc w:val="center"/>
              <w:rPr>
                <w:bCs/>
                <w:color w:val="000000"/>
                <w:szCs w:val="21"/>
              </w:rPr>
            </w:pPr>
            <w:r>
              <w:rPr>
                <w:rFonts w:hint="eastAsia"/>
                <w:bCs/>
                <w:color w:val="000000"/>
                <w:szCs w:val="21"/>
              </w:rPr>
              <w:t>群众监督</w:t>
            </w:r>
          </w:p>
        </w:tc>
        <w:tc>
          <w:tcPr>
            <w:tcW w:w="4265" w:type="pct"/>
            <w:tcBorders>
              <w:tl2br w:val="nil"/>
              <w:tr2bl w:val="nil"/>
            </w:tcBorders>
            <w:vAlign w:val="center"/>
          </w:tcPr>
          <w:p w14:paraId="51EF96C7">
            <w:pPr>
              <w:jc w:val="left"/>
              <w:rPr>
                <w:bCs/>
                <w:color w:val="000000"/>
                <w:szCs w:val="21"/>
              </w:rPr>
            </w:pPr>
            <w:r>
              <w:rPr>
                <w:rFonts w:hint="eastAsia"/>
                <w:bCs/>
                <w:color w:val="000000"/>
                <w:szCs w:val="21"/>
              </w:rPr>
              <w:t>反馈监测数据，加强群众监督，改进污染治理工作：</w:t>
            </w:r>
          </w:p>
          <w:p w14:paraId="6F783C1D">
            <w:pPr>
              <w:jc w:val="left"/>
              <w:rPr>
                <w:bCs/>
                <w:color w:val="000000"/>
                <w:szCs w:val="21"/>
              </w:rPr>
            </w:pPr>
            <w:r>
              <w:rPr>
                <w:rFonts w:hint="eastAsia"/>
                <w:bCs/>
                <w:color w:val="000000"/>
                <w:szCs w:val="21"/>
              </w:rPr>
              <w:t>①建立奖惩制度，保证环保设施正常运转；</w:t>
            </w:r>
          </w:p>
          <w:p w14:paraId="72A70CFC">
            <w:pPr>
              <w:jc w:val="left"/>
              <w:rPr>
                <w:bCs/>
                <w:color w:val="000000"/>
                <w:szCs w:val="21"/>
              </w:rPr>
            </w:pPr>
            <w:r>
              <w:rPr>
                <w:rFonts w:hint="eastAsia"/>
                <w:bCs/>
                <w:color w:val="000000"/>
                <w:szCs w:val="21"/>
              </w:rPr>
              <w:t>②归纳整理监测数据，技术部门配合进行工艺改进；</w:t>
            </w:r>
          </w:p>
          <w:p w14:paraId="0DAA017B">
            <w:pPr>
              <w:jc w:val="left"/>
              <w:rPr>
                <w:bCs/>
                <w:color w:val="000000"/>
                <w:szCs w:val="21"/>
              </w:rPr>
            </w:pPr>
            <w:r>
              <w:rPr>
                <w:rFonts w:hint="eastAsia"/>
                <w:bCs/>
                <w:color w:val="000000"/>
                <w:szCs w:val="21"/>
              </w:rPr>
              <w:t>③与附近企业合作互为监督员，收集附近企业意见；</w:t>
            </w:r>
          </w:p>
          <w:p w14:paraId="4E078EBE">
            <w:pPr>
              <w:jc w:val="left"/>
              <w:rPr>
                <w:bCs/>
                <w:color w:val="000000"/>
                <w:szCs w:val="21"/>
              </w:rPr>
            </w:pPr>
            <w:r>
              <w:rPr>
                <w:rFonts w:hint="eastAsia"/>
                <w:bCs/>
                <w:color w:val="000000"/>
                <w:szCs w:val="21"/>
              </w:rPr>
              <w:t>④配合环保部门的检查验收。</w:t>
            </w:r>
          </w:p>
        </w:tc>
      </w:tr>
    </w:tbl>
    <w:p w14:paraId="6865B252">
      <w:pPr>
        <w:pStyle w:val="4"/>
        <w:autoSpaceDE w:val="0"/>
        <w:autoSpaceDN w:val="0"/>
        <w:spacing w:before="0" w:after="0" w:line="360" w:lineRule="auto"/>
        <w:jc w:val="left"/>
        <w:rPr>
          <w:kern w:val="0"/>
          <w:sz w:val="24"/>
          <w:lang w:val="en-US" w:bidi="zh-CN"/>
        </w:rPr>
      </w:pPr>
      <w:bookmarkStart w:id="565" w:name="_Toc15345"/>
      <w:bookmarkStart w:id="566" w:name="_Toc24951"/>
      <w:bookmarkStart w:id="567" w:name="_Toc18893"/>
      <w:bookmarkStart w:id="568" w:name="_Toc9427"/>
      <w:bookmarkStart w:id="569" w:name="_Toc29194"/>
      <w:bookmarkStart w:id="570" w:name="_Toc6930"/>
      <w:r>
        <w:rPr>
          <w:rFonts w:hint="eastAsia"/>
          <w:kern w:val="0"/>
          <w:sz w:val="24"/>
          <w:lang w:val="en-US" w:bidi="zh-CN"/>
        </w:rPr>
        <w:t>9.1.5环境管理制度</w:t>
      </w:r>
      <w:bookmarkEnd w:id="565"/>
      <w:bookmarkEnd w:id="566"/>
      <w:bookmarkEnd w:id="567"/>
      <w:bookmarkEnd w:id="568"/>
      <w:bookmarkEnd w:id="569"/>
      <w:bookmarkEnd w:id="570"/>
    </w:p>
    <w:p w14:paraId="2076E994">
      <w:pPr>
        <w:spacing w:line="360" w:lineRule="auto"/>
        <w:ind w:firstLine="480" w:firstLineChars="200"/>
        <w:rPr>
          <w:color w:val="000000"/>
          <w:sz w:val="24"/>
          <w:szCs w:val="24"/>
        </w:rPr>
      </w:pPr>
      <w:r>
        <w:rPr>
          <w:rFonts w:hint="eastAsia"/>
          <w:color w:val="000000"/>
          <w:sz w:val="24"/>
          <w:szCs w:val="24"/>
        </w:rPr>
        <w:t>企业应进一步建立健全环境管理制度体系，将环保工作纳入考核体系，确保在日常运行中将环保目标</w:t>
      </w:r>
      <w:r>
        <w:rPr>
          <w:rFonts w:hint="eastAsia"/>
          <w:color w:val="000000"/>
          <w:sz w:val="24"/>
          <w:szCs w:val="24"/>
          <w:lang w:eastAsia="zh-CN"/>
        </w:rPr>
        <w:t>落到实处</w:t>
      </w:r>
      <w:r>
        <w:rPr>
          <w:rFonts w:hint="eastAsia"/>
          <w:color w:val="000000"/>
          <w:sz w:val="24"/>
          <w:szCs w:val="24"/>
        </w:rPr>
        <w:t>。</w:t>
      </w:r>
    </w:p>
    <w:p w14:paraId="0CEB9AED">
      <w:pPr>
        <w:spacing w:line="360" w:lineRule="auto"/>
        <w:ind w:firstLine="480" w:firstLineChars="200"/>
        <w:rPr>
          <w:color w:val="000000"/>
          <w:sz w:val="24"/>
          <w:szCs w:val="24"/>
        </w:rPr>
      </w:pPr>
      <w:r>
        <w:rPr>
          <w:rFonts w:hint="eastAsia"/>
          <w:color w:val="000000"/>
          <w:sz w:val="24"/>
          <w:szCs w:val="24"/>
        </w:rPr>
        <w:t>（1）“三同时”制度</w:t>
      </w:r>
    </w:p>
    <w:p w14:paraId="45A32680">
      <w:pPr>
        <w:spacing w:line="360" w:lineRule="auto"/>
        <w:ind w:firstLine="480" w:firstLineChars="200"/>
        <w:rPr>
          <w:color w:val="000000"/>
          <w:sz w:val="24"/>
          <w:szCs w:val="24"/>
        </w:rPr>
      </w:pPr>
      <w:r>
        <w:rPr>
          <w:rFonts w:hint="eastAsia"/>
          <w:color w:val="000000"/>
          <w:sz w:val="24"/>
          <w:szCs w:val="24"/>
        </w:rPr>
        <w:t>根据《建设项目环境保护管理条例》，建设项目需要配套建设的环境保护设施，必须与主体工程同时设计、同时施工、同时投产使用。建设单位应当按照国务院环境保护行政主管部门规定的标准和程序，对配套建设的环境保护设施进行验收，编制验收报告。建设单位在环境保护设施验收过程中，应当如实查验、监测、记载建设项目环境保护设施的建设和调试情况，不得弄虚作假，验收报告应依法向社会公开。本项目配套建设的环境保护设施经验收合格，方可再次投入生产或者使用。</w:t>
      </w:r>
    </w:p>
    <w:p w14:paraId="1F08E361">
      <w:pPr>
        <w:spacing w:line="360" w:lineRule="auto"/>
        <w:ind w:firstLine="480" w:firstLineChars="200"/>
        <w:rPr>
          <w:color w:val="000000"/>
          <w:sz w:val="24"/>
          <w:szCs w:val="24"/>
        </w:rPr>
      </w:pPr>
      <w:r>
        <w:rPr>
          <w:rFonts w:hint="eastAsia"/>
          <w:color w:val="000000"/>
          <w:sz w:val="24"/>
          <w:szCs w:val="24"/>
        </w:rPr>
        <w:t>（2）排污许可证制度</w:t>
      </w:r>
    </w:p>
    <w:p w14:paraId="3307C2C7">
      <w:pPr>
        <w:spacing w:line="360" w:lineRule="auto"/>
        <w:ind w:firstLine="480" w:firstLineChars="200"/>
        <w:rPr>
          <w:color w:val="000000"/>
          <w:sz w:val="24"/>
          <w:szCs w:val="24"/>
        </w:rPr>
      </w:pPr>
      <w:r>
        <w:rPr>
          <w:rFonts w:hint="eastAsia"/>
          <w:color w:val="000000"/>
          <w:sz w:val="24"/>
          <w:szCs w:val="24"/>
        </w:rPr>
        <w:t>建设单位应当在项目投入生产或使用并产生实际排污行为之前申请领取排污许可证。依法按照排污许可证申请与核发技术规范提交排污许可申请，申报排放污染物种类、排放浓度等，测算并申报污染物排放量。建设单位应当严格执行排污许可证的规定，禁止无证排污或不按证排污。</w:t>
      </w:r>
    </w:p>
    <w:p w14:paraId="4BC80B28">
      <w:pPr>
        <w:spacing w:line="360" w:lineRule="auto"/>
        <w:ind w:firstLine="480" w:firstLineChars="200"/>
        <w:rPr>
          <w:color w:val="000000"/>
          <w:sz w:val="24"/>
          <w:szCs w:val="24"/>
        </w:rPr>
      </w:pPr>
      <w:r>
        <w:rPr>
          <w:rFonts w:hint="eastAsia"/>
          <w:color w:val="000000"/>
          <w:sz w:val="24"/>
          <w:szCs w:val="24"/>
        </w:rPr>
        <w:t>（3）环保台账制度</w:t>
      </w:r>
    </w:p>
    <w:p w14:paraId="5460E694">
      <w:pPr>
        <w:spacing w:line="360" w:lineRule="auto"/>
        <w:ind w:firstLine="480" w:firstLineChars="200"/>
        <w:rPr>
          <w:color w:val="000000"/>
          <w:sz w:val="24"/>
          <w:szCs w:val="24"/>
        </w:rPr>
      </w:pPr>
      <w:r>
        <w:rPr>
          <w:rFonts w:hint="eastAsia"/>
          <w:color w:val="000000"/>
          <w:sz w:val="24"/>
          <w:szCs w:val="24"/>
        </w:rPr>
        <w:t>厂内需完善记录制度和档案保存制度，有利于环境管理质量的追踪和持续改进；记录和台帐包括设施运行和维护记录、危险废物进出</w:t>
      </w:r>
      <w:r>
        <w:rPr>
          <w:rFonts w:hint="eastAsia"/>
          <w:color w:val="000000"/>
          <w:sz w:val="24"/>
          <w:szCs w:val="24"/>
          <w:lang w:eastAsia="zh-CN"/>
        </w:rPr>
        <w:t>台账</w:t>
      </w:r>
      <w:r>
        <w:rPr>
          <w:rFonts w:hint="eastAsia"/>
          <w:color w:val="000000"/>
          <w:sz w:val="24"/>
          <w:szCs w:val="24"/>
        </w:rPr>
        <w:t>、废水、废气污染物监测</w:t>
      </w:r>
      <w:r>
        <w:rPr>
          <w:rFonts w:hint="eastAsia"/>
          <w:color w:val="000000"/>
          <w:sz w:val="24"/>
          <w:szCs w:val="24"/>
          <w:lang w:eastAsia="zh-CN"/>
        </w:rPr>
        <w:t>台账</w:t>
      </w:r>
      <w:r>
        <w:rPr>
          <w:rFonts w:hint="eastAsia"/>
          <w:color w:val="000000"/>
          <w:sz w:val="24"/>
          <w:szCs w:val="24"/>
        </w:rPr>
        <w:t>、所有化学品</w:t>
      </w:r>
      <w:r>
        <w:rPr>
          <w:rFonts w:hint="eastAsia"/>
          <w:color w:val="000000"/>
          <w:sz w:val="24"/>
          <w:szCs w:val="24"/>
          <w:lang w:eastAsia="zh-CN"/>
        </w:rPr>
        <w:t>使用台账</w:t>
      </w:r>
      <w:r>
        <w:rPr>
          <w:rFonts w:hint="eastAsia"/>
          <w:color w:val="000000"/>
          <w:sz w:val="24"/>
          <w:szCs w:val="24"/>
        </w:rPr>
        <w:t>、突发性事件的处理、调查记录等，妥善保存所有记录、台帐及污染物排放监测资料、环境管理档案资料等。</w:t>
      </w:r>
    </w:p>
    <w:p w14:paraId="247AAEEF">
      <w:pPr>
        <w:spacing w:line="360" w:lineRule="auto"/>
        <w:ind w:firstLine="480" w:firstLineChars="200"/>
        <w:rPr>
          <w:color w:val="000000"/>
          <w:sz w:val="24"/>
          <w:szCs w:val="24"/>
        </w:rPr>
      </w:pPr>
      <w:r>
        <w:rPr>
          <w:rFonts w:hint="eastAsia"/>
          <w:color w:val="000000"/>
          <w:sz w:val="24"/>
          <w:szCs w:val="24"/>
        </w:rPr>
        <w:t>（4）污染治理设施管理制度</w:t>
      </w:r>
    </w:p>
    <w:p w14:paraId="1195C145">
      <w:pPr>
        <w:spacing w:line="360" w:lineRule="auto"/>
        <w:ind w:firstLine="480" w:firstLineChars="200"/>
        <w:rPr>
          <w:color w:val="000000"/>
          <w:sz w:val="24"/>
          <w:szCs w:val="24"/>
        </w:rPr>
      </w:pPr>
      <w:r>
        <w:rPr>
          <w:rFonts w:hint="eastAsia"/>
          <w:color w:val="000000"/>
          <w:sz w:val="24"/>
          <w:szCs w:val="24"/>
        </w:rPr>
        <w:t>厂内必须确保污染处理设施长期、稳定、有效地运行，不得擅自拆除或者闲置污染处理设施，不得故意不正常使用污染处理设施。污染处理设施的管理必须与生产经营活动一起纳入单位日常管理工作的范畴，落实责任人、操作人员、维修人员、运行经费、设备的备品备件、化学药品和其他原辅材料。同时要建立岗位责任制、制定操作规程、建立管理台帐。</w:t>
      </w:r>
    </w:p>
    <w:p w14:paraId="3924419E">
      <w:pPr>
        <w:spacing w:line="360" w:lineRule="auto"/>
        <w:ind w:firstLine="480" w:firstLineChars="200"/>
        <w:rPr>
          <w:color w:val="000000"/>
          <w:sz w:val="24"/>
          <w:szCs w:val="24"/>
        </w:rPr>
      </w:pPr>
      <w:r>
        <w:rPr>
          <w:rFonts w:hint="eastAsia"/>
          <w:color w:val="000000"/>
          <w:sz w:val="24"/>
          <w:szCs w:val="24"/>
        </w:rPr>
        <w:t>（5）报告制度</w:t>
      </w:r>
    </w:p>
    <w:p w14:paraId="3EF6242A">
      <w:pPr>
        <w:spacing w:line="360" w:lineRule="auto"/>
        <w:ind w:firstLine="480" w:firstLineChars="200"/>
        <w:rPr>
          <w:color w:val="000000"/>
          <w:sz w:val="24"/>
          <w:szCs w:val="24"/>
        </w:rPr>
      </w:pPr>
      <w:r>
        <w:rPr>
          <w:rFonts w:hint="eastAsia"/>
          <w:color w:val="000000"/>
          <w:sz w:val="24"/>
          <w:szCs w:val="24"/>
        </w:rPr>
        <w:t>报告内容主要为污染治理设施的运行情况、污染物排放情况及污染事故或污染纠纷等。厂内环境保护相关的所有记录、台帐及污染物排放监测资料、环境管理档案资料等应妥善保存并定期上报，发现污染因子超标，快速果断采取应对措施。建设单位应定期向属地环保部门报告污染治理设施运行情况、污染物排放情况以及污染事故、污染纠纷等情况，便于政府部门及时了解污染动态，以利于采取相应的对策措施。本项目的性质、规模、地点、生产工艺和环境保护措施等发生变动的，必须向生态环境部门报告，并履行相关手续，如发生重大变动并且可能导致环境影响显著变化（特别是不利环境影响加重）的，应当重新报批环评。</w:t>
      </w:r>
    </w:p>
    <w:p w14:paraId="03D629F7">
      <w:pPr>
        <w:spacing w:line="360" w:lineRule="auto"/>
        <w:ind w:firstLine="480" w:firstLineChars="200"/>
        <w:rPr>
          <w:color w:val="000000"/>
          <w:sz w:val="24"/>
          <w:szCs w:val="24"/>
        </w:rPr>
      </w:pPr>
      <w:r>
        <w:rPr>
          <w:rFonts w:hint="eastAsia"/>
          <w:color w:val="000000"/>
          <w:sz w:val="24"/>
          <w:szCs w:val="24"/>
        </w:rPr>
        <w:t>（6）环保奖惩制度</w:t>
      </w:r>
    </w:p>
    <w:p w14:paraId="4A149FE1">
      <w:pPr>
        <w:spacing w:line="360" w:lineRule="auto"/>
        <w:ind w:firstLine="480" w:firstLineChars="200"/>
        <w:rPr>
          <w:color w:val="000000"/>
          <w:sz w:val="24"/>
          <w:szCs w:val="24"/>
        </w:rPr>
      </w:pPr>
      <w:r>
        <w:rPr>
          <w:rFonts w:hint="eastAsia"/>
          <w:color w:val="000000"/>
          <w:sz w:val="24"/>
          <w:szCs w:val="24"/>
        </w:rPr>
        <w:t>企业应加强宣传教育，</w:t>
      </w:r>
      <w:r>
        <w:rPr>
          <w:rFonts w:hint="eastAsia"/>
          <w:color w:val="000000"/>
          <w:sz w:val="24"/>
          <w:szCs w:val="24"/>
          <w:lang w:eastAsia="zh-CN"/>
        </w:rPr>
        <w:t>增强</w:t>
      </w:r>
      <w:r>
        <w:rPr>
          <w:rFonts w:hint="eastAsia"/>
          <w:color w:val="000000"/>
          <w:sz w:val="24"/>
          <w:szCs w:val="24"/>
        </w:rPr>
        <w:t>员工的污染隐患意识和环境风险意识；制定员工参与环保技术培训的计划，提高员工技术素质水平；设立岗位实责制，制定严格的奖、罚制度。建议企业设置环境保护奖励条例，纳入人员考核体系。对爱护环保设施、节能降耗、改善环境者实行奖励。对环保观念淡薄、不按环保管理要求，造成环保设施损坏、环境污染及资源和能源浪费者一律处以重罚。</w:t>
      </w:r>
    </w:p>
    <w:p w14:paraId="14464897">
      <w:pPr>
        <w:spacing w:line="360" w:lineRule="auto"/>
        <w:ind w:firstLine="480" w:firstLineChars="200"/>
        <w:rPr>
          <w:color w:val="000000"/>
          <w:sz w:val="24"/>
          <w:szCs w:val="24"/>
        </w:rPr>
      </w:pPr>
      <w:r>
        <w:rPr>
          <w:rFonts w:hint="eastAsia"/>
          <w:color w:val="000000"/>
          <w:sz w:val="24"/>
          <w:szCs w:val="24"/>
        </w:rPr>
        <w:t>（7）信息公开制度</w:t>
      </w:r>
    </w:p>
    <w:p w14:paraId="675B9821">
      <w:pPr>
        <w:spacing w:line="360" w:lineRule="auto"/>
        <w:ind w:firstLine="480" w:firstLineChars="200"/>
        <w:rPr>
          <w:color w:val="000000"/>
          <w:sz w:val="24"/>
          <w:szCs w:val="24"/>
        </w:rPr>
      </w:pPr>
      <w:r>
        <w:rPr>
          <w:rFonts w:hint="eastAsia"/>
          <w:color w:val="000000"/>
          <w:sz w:val="24"/>
          <w:szCs w:val="24"/>
        </w:rPr>
        <w:t>建设单位在环评编制、审批、排污许可证申请、竣工环保验收、正常运行等各阶段均应按照有关要求，通过网站或者其他便于公众知悉的方式，依法向社会公开拟建项目污染物排放清单，明确污染物排放的管理要求。包括工程组成及原辅材料组分要求，建设项目拟采取的环境保护措施及主要运行参数，排放的污染物种类、排放浓度和总量指标，排污口信息，执行的环境标准，环境风险防范措施以及环境监测等相关内容。</w:t>
      </w:r>
    </w:p>
    <w:p w14:paraId="3FE80A92">
      <w:pPr>
        <w:spacing w:line="360" w:lineRule="auto"/>
        <w:ind w:firstLine="480" w:firstLineChars="200"/>
        <w:rPr>
          <w:color w:val="000000"/>
          <w:sz w:val="24"/>
          <w:szCs w:val="24"/>
        </w:rPr>
      </w:pPr>
      <w:r>
        <w:rPr>
          <w:rFonts w:hint="eastAsia"/>
          <w:color w:val="000000"/>
          <w:sz w:val="24"/>
          <w:szCs w:val="24"/>
        </w:rPr>
        <w:t>（8）职工环保教育、培训制度</w:t>
      </w:r>
    </w:p>
    <w:p w14:paraId="43EA620C">
      <w:pPr>
        <w:spacing w:line="360" w:lineRule="auto"/>
        <w:ind w:firstLine="480" w:firstLineChars="200"/>
        <w:rPr>
          <w:color w:val="000000"/>
          <w:sz w:val="24"/>
          <w:szCs w:val="24"/>
        </w:rPr>
      </w:pPr>
      <w:r>
        <w:rPr>
          <w:rFonts w:hint="eastAsia"/>
          <w:color w:val="000000"/>
          <w:sz w:val="24"/>
          <w:szCs w:val="24"/>
        </w:rPr>
        <w:t>加强职工的环境保护知识教育，</w:t>
      </w:r>
      <w:r>
        <w:rPr>
          <w:rFonts w:hint="eastAsia"/>
          <w:color w:val="000000"/>
          <w:sz w:val="24"/>
          <w:szCs w:val="24"/>
          <w:lang w:eastAsia="zh-CN"/>
        </w:rPr>
        <w:t>增强</w:t>
      </w:r>
      <w:r>
        <w:rPr>
          <w:rFonts w:hint="eastAsia"/>
          <w:color w:val="000000"/>
          <w:sz w:val="24"/>
          <w:szCs w:val="24"/>
        </w:rPr>
        <w:t>职工环保意识，增加对生产污染危害的认识，明白自身在劳动过程中的位置和责任。加强新招人员的上岗培训工作，严格执行培训考核制度，不合格人员决不允许上岗操作。</w:t>
      </w:r>
    </w:p>
    <w:p w14:paraId="11C04C7D">
      <w:pPr>
        <w:pStyle w:val="3"/>
        <w:keepNext w:val="0"/>
        <w:keepLines w:val="0"/>
        <w:autoSpaceDE w:val="0"/>
        <w:autoSpaceDN w:val="0"/>
        <w:spacing w:before="0" w:after="0" w:line="360" w:lineRule="auto"/>
        <w:jc w:val="left"/>
        <w:rPr>
          <w:rFonts w:ascii="Times New Roman" w:hAnsi="Times New Roman" w:eastAsia="宋体"/>
          <w:kern w:val="0"/>
          <w:sz w:val="24"/>
          <w:szCs w:val="30"/>
          <w:lang w:val="en-US" w:bidi="zh-CN"/>
        </w:rPr>
      </w:pPr>
      <w:bookmarkStart w:id="571" w:name="_Toc19722"/>
      <w:bookmarkStart w:id="572" w:name="_Toc16993"/>
      <w:bookmarkStart w:id="573" w:name="_Toc10885"/>
      <w:bookmarkStart w:id="574" w:name="_Toc24771"/>
      <w:bookmarkStart w:id="575" w:name="_Toc6460"/>
      <w:bookmarkStart w:id="576" w:name="_Toc17704"/>
      <w:bookmarkStart w:id="577" w:name="_Toc8178"/>
      <w:bookmarkStart w:id="578" w:name="_Toc317507633"/>
      <w:bookmarkStart w:id="579" w:name="_Toc417640258"/>
      <w:r>
        <w:rPr>
          <w:rFonts w:hint="eastAsia" w:ascii="Times New Roman" w:hAnsi="Times New Roman" w:eastAsia="宋体"/>
          <w:kern w:val="0"/>
          <w:sz w:val="24"/>
          <w:szCs w:val="30"/>
          <w:lang w:val="en-US" w:bidi="zh-CN"/>
        </w:rPr>
        <w:t>9.2污染物排放管理</w:t>
      </w:r>
      <w:bookmarkEnd w:id="571"/>
      <w:bookmarkEnd w:id="572"/>
      <w:bookmarkEnd w:id="573"/>
      <w:bookmarkEnd w:id="574"/>
      <w:bookmarkEnd w:id="575"/>
      <w:bookmarkEnd w:id="576"/>
      <w:bookmarkEnd w:id="577"/>
    </w:p>
    <w:p w14:paraId="194320FE">
      <w:pPr>
        <w:pStyle w:val="4"/>
        <w:autoSpaceDE w:val="0"/>
        <w:autoSpaceDN w:val="0"/>
        <w:spacing w:before="0" w:after="0" w:line="360" w:lineRule="auto"/>
        <w:jc w:val="left"/>
        <w:rPr>
          <w:kern w:val="0"/>
          <w:sz w:val="24"/>
          <w:lang w:val="en-US" w:bidi="zh-CN"/>
        </w:rPr>
      </w:pPr>
      <w:bookmarkStart w:id="580" w:name="_Toc4003"/>
      <w:bookmarkStart w:id="581" w:name="_Toc14048"/>
      <w:bookmarkStart w:id="582" w:name="_Toc24470"/>
      <w:bookmarkStart w:id="583" w:name="_Toc4109"/>
      <w:bookmarkStart w:id="584" w:name="_Toc6897"/>
      <w:bookmarkStart w:id="585" w:name="_Toc21496_WPSOffice_Level3"/>
      <w:bookmarkStart w:id="586" w:name="_Toc22249"/>
      <w:r>
        <w:rPr>
          <w:rFonts w:hint="eastAsia"/>
          <w:kern w:val="0"/>
          <w:sz w:val="24"/>
          <w:lang w:val="en-US" w:bidi="zh-CN"/>
        </w:rPr>
        <w:t>9.2.1污染物排放清单</w:t>
      </w:r>
      <w:bookmarkEnd w:id="580"/>
      <w:bookmarkEnd w:id="581"/>
      <w:bookmarkEnd w:id="582"/>
      <w:bookmarkEnd w:id="583"/>
      <w:bookmarkEnd w:id="584"/>
      <w:bookmarkEnd w:id="585"/>
      <w:bookmarkEnd w:id="586"/>
    </w:p>
    <w:p w14:paraId="3F5571FC">
      <w:pPr>
        <w:rPr>
          <w:color w:val="000000"/>
        </w:rPr>
        <w:sectPr>
          <w:pgSz w:w="11906" w:h="16838"/>
          <w:pgMar w:top="1440" w:right="1417" w:bottom="1440" w:left="1417" w:header="851" w:footer="992" w:gutter="0"/>
          <w:pgBorders>
            <w:top w:val="none" w:sz="0" w:space="0"/>
            <w:left w:val="none" w:sz="0" w:space="0"/>
            <w:bottom w:val="none" w:sz="0" w:space="0"/>
            <w:right w:val="none" w:sz="0" w:space="0"/>
          </w:pgBorders>
          <w:cols w:space="720" w:num="1"/>
          <w:docGrid w:type="lines" w:linePitch="312" w:charSpace="0"/>
        </w:sectPr>
      </w:pPr>
      <w:r>
        <w:rPr>
          <w:rFonts w:hint="eastAsia"/>
          <w:color w:val="000000"/>
          <w:kern w:val="0"/>
          <w:sz w:val="24"/>
          <w:szCs w:val="24"/>
        </w:rPr>
        <w:t>根据工程分析，主要的污染物排放清单详见表9</w:t>
      </w:r>
      <w:r>
        <w:rPr>
          <w:color w:val="000000"/>
          <w:kern w:val="0"/>
          <w:sz w:val="24"/>
          <w:szCs w:val="24"/>
        </w:rPr>
        <w:t>.2-1</w:t>
      </w:r>
      <w:r>
        <w:rPr>
          <w:rFonts w:hint="eastAsia"/>
          <w:color w:val="000000"/>
          <w:kern w:val="0"/>
          <w:sz w:val="24"/>
          <w:szCs w:val="24"/>
        </w:rPr>
        <w:t>。</w:t>
      </w:r>
    </w:p>
    <w:p w14:paraId="4C02B5D9">
      <w:pPr>
        <w:widowControl/>
        <w:ind w:firstLine="422" w:firstLineChars="200"/>
        <w:jc w:val="center"/>
        <w:rPr>
          <w:b/>
          <w:color w:val="000000"/>
          <w:kern w:val="0"/>
          <w:szCs w:val="21"/>
        </w:rPr>
      </w:pPr>
      <w:r>
        <w:rPr>
          <w:rFonts w:hint="eastAsia"/>
          <w:b/>
          <w:color w:val="000000"/>
          <w:kern w:val="0"/>
          <w:szCs w:val="21"/>
        </w:rPr>
        <w:t>表9</w:t>
      </w:r>
      <w:r>
        <w:rPr>
          <w:b/>
          <w:color w:val="000000"/>
          <w:kern w:val="0"/>
          <w:szCs w:val="21"/>
        </w:rPr>
        <w:t xml:space="preserve">.2-1    </w:t>
      </w:r>
      <w:r>
        <w:rPr>
          <w:rFonts w:hint="eastAsia"/>
          <w:b/>
          <w:color w:val="000000"/>
          <w:kern w:val="0"/>
          <w:szCs w:val="21"/>
        </w:rPr>
        <w:t>污染物排放清单</w:t>
      </w:r>
    </w:p>
    <w:tbl>
      <w:tblPr>
        <w:tblStyle w:val="49"/>
        <w:tblW w:w="4996" w:type="pct"/>
        <w:jc w:val="center"/>
        <w:tblBorders>
          <w:top w:val="single" w:color="auto" w:sz="12" w:space="0"/>
          <w:left w:val="single" w:color="auto" w:sz="12" w:space="0"/>
          <w:bottom w:val="single" w:color="auto" w:sz="12" w:space="0"/>
          <w:right w:val="single" w:color="auto" w:sz="12" w:space="0"/>
          <w:insideH w:val="single" w:color="auto" w:sz="2" w:space="0"/>
          <w:insideV w:val="single" w:color="auto" w:sz="6" w:space="0"/>
        </w:tblBorders>
        <w:tblLayout w:type="autofit"/>
        <w:tblCellMar>
          <w:top w:w="0" w:type="dxa"/>
          <w:left w:w="108" w:type="dxa"/>
          <w:bottom w:w="0" w:type="dxa"/>
          <w:right w:w="108" w:type="dxa"/>
        </w:tblCellMar>
      </w:tblPr>
      <w:tblGrid>
        <w:gridCol w:w="426"/>
        <w:gridCol w:w="1492"/>
        <w:gridCol w:w="2251"/>
        <w:gridCol w:w="1244"/>
        <w:gridCol w:w="1195"/>
        <w:gridCol w:w="1100"/>
        <w:gridCol w:w="973"/>
        <w:gridCol w:w="1371"/>
        <w:gridCol w:w="4157"/>
      </w:tblGrid>
      <w:tr w14:paraId="390B32D0">
        <w:tblPrEx>
          <w:tblBorders>
            <w:top w:val="single" w:color="auto" w:sz="12" w:space="0"/>
            <w:left w:val="single" w:color="auto" w:sz="12" w:space="0"/>
            <w:bottom w:val="single" w:color="auto" w:sz="12" w:space="0"/>
            <w:right w:val="single" w:color="auto" w:sz="12" w:space="0"/>
            <w:insideH w:val="single" w:color="auto" w:sz="2" w:space="0"/>
            <w:insideV w:val="single" w:color="auto" w:sz="6" w:space="0"/>
          </w:tblBorders>
          <w:tblCellMar>
            <w:top w:w="0" w:type="dxa"/>
            <w:left w:w="108" w:type="dxa"/>
            <w:bottom w:w="0" w:type="dxa"/>
            <w:right w:w="108" w:type="dxa"/>
          </w:tblCellMar>
        </w:tblPrEx>
        <w:trPr>
          <w:trHeight w:val="454" w:hRule="atLeast"/>
          <w:jc w:val="center"/>
        </w:trPr>
        <w:tc>
          <w:tcPr>
            <w:tcW w:w="149" w:type="pct"/>
            <w:tcBorders>
              <w:tl2br w:val="nil"/>
              <w:tr2bl w:val="nil"/>
            </w:tcBorders>
            <w:vAlign w:val="center"/>
          </w:tcPr>
          <w:p w14:paraId="1F0735DA">
            <w:pPr>
              <w:jc w:val="center"/>
              <w:rPr>
                <w:bCs/>
                <w:color w:val="000000"/>
                <w:szCs w:val="21"/>
              </w:rPr>
            </w:pPr>
            <w:r>
              <w:rPr>
                <w:rFonts w:hint="eastAsia"/>
                <w:bCs/>
                <w:color w:val="000000"/>
                <w:szCs w:val="21"/>
              </w:rPr>
              <w:t>分类</w:t>
            </w:r>
          </w:p>
        </w:tc>
        <w:tc>
          <w:tcPr>
            <w:tcW w:w="525" w:type="pct"/>
            <w:tcBorders>
              <w:tl2br w:val="nil"/>
              <w:tr2bl w:val="nil"/>
            </w:tcBorders>
            <w:vAlign w:val="center"/>
          </w:tcPr>
          <w:p w14:paraId="72A9B4DF">
            <w:pPr>
              <w:jc w:val="center"/>
              <w:rPr>
                <w:bCs/>
                <w:color w:val="000000"/>
                <w:szCs w:val="21"/>
              </w:rPr>
            </w:pPr>
            <w:r>
              <w:rPr>
                <w:rFonts w:hint="eastAsia"/>
                <w:bCs/>
                <w:color w:val="000000"/>
                <w:szCs w:val="21"/>
              </w:rPr>
              <w:t>污染源</w:t>
            </w:r>
          </w:p>
        </w:tc>
        <w:tc>
          <w:tcPr>
            <w:tcW w:w="792" w:type="pct"/>
            <w:tcBorders>
              <w:tl2br w:val="nil"/>
              <w:tr2bl w:val="nil"/>
            </w:tcBorders>
            <w:vAlign w:val="center"/>
          </w:tcPr>
          <w:p w14:paraId="738CD68E">
            <w:pPr>
              <w:jc w:val="center"/>
              <w:rPr>
                <w:bCs/>
                <w:color w:val="000000"/>
                <w:szCs w:val="21"/>
              </w:rPr>
            </w:pPr>
            <w:r>
              <w:rPr>
                <w:rFonts w:hint="eastAsia"/>
                <w:bCs/>
                <w:color w:val="000000"/>
                <w:szCs w:val="21"/>
              </w:rPr>
              <w:t>拟采取的环境保护措施及主要运行参数</w:t>
            </w:r>
          </w:p>
        </w:tc>
        <w:tc>
          <w:tcPr>
            <w:tcW w:w="438" w:type="pct"/>
            <w:tcBorders>
              <w:tl2br w:val="nil"/>
              <w:tr2bl w:val="nil"/>
            </w:tcBorders>
            <w:vAlign w:val="center"/>
          </w:tcPr>
          <w:p w14:paraId="7D0FF60D">
            <w:pPr>
              <w:jc w:val="center"/>
              <w:rPr>
                <w:bCs/>
                <w:color w:val="000000"/>
                <w:szCs w:val="21"/>
              </w:rPr>
            </w:pPr>
            <w:r>
              <w:rPr>
                <w:rFonts w:hint="eastAsia"/>
                <w:bCs/>
                <w:color w:val="000000"/>
                <w:szCs w:val="21"/>
              </w:rPr>
              <w:t>污染物种类</w:t>
            </w:r>
          </w:p>
        </w:tc>
        <w:tc>
          <w:tcPr>
            <w:tcW w:w="420" w:type="pct"/>
            <w:tcBorders>
              <w:tl2br w:val="nil"/>
              <w:tr2bl w:val="nil"/>
            </w:tcBorders>
            <w:vAlign w:val="center"/>
          </w:tcPr>
          <w:p w14:paraId="685F4349">
            <w:pPr>
              <w:jc w:val="center"/>
              <w:rPr>
                <w:bCs/>
                <w:color w:val="000000"/>
                <w:szCs w:val="21"/>
              </w:rPr>
            </w:pPr>
            <w:r>
              <w:rPr>
                <w:rFonts w:hint="eastAsia"/>
                <w:bCs/>
                <w:color w:val="000000"/>
                <w:szCs w:val="21"/>
              </w:rPr>
              <w:t>污染物排放浓度（mg/m</w:t>
            </w:r>
            <w:r>
              <w:rPr>
                <w:rFonts w:hint="eastAsia"/>
                <w:bCs/>
                <w:color w:val="000000"/>
                <w:szCs w:val="21"/>
                <w:vertAlign w:val="superscript"/>
              </w:rPr>
              <w:t>3</w:t>
            </w:r>
            <w:r>
              <w:rPr>
                <w:rFonts w:hint="eastAsia"/>
                <w:bCs/>
                <w:color w:val="000000"/>
                <w:szCs w:val="21"/>
              </w:rPr>
              <w:t>）</w:t>
            </w:r>
          </w:p>
        </w:tc>
        <w:tc>
          <w:tcPr>
            <w:tcW w:w="387" w:type="pct"/>
            <w:tcBorders>
              <w:tl2br w:val="nil"/>
              <w:tr2bl w:val="nil"/>
            </w:tcBorders>
            <w:vAlign w:val="center"/>
          </w:tcPr>
          <w:p w14:paraId="29A53D62">
            <w:pPr>
              <w:jc w:val="center"/>
              <w:rPr>
                <w:bCs/>
                <w:color w:val="000000"/>
                <w:szCs w:val="21"/>
              </w:rPr>
            </w:pPr>
            <w:r>
              <w:rPr>
                <w:rFonts w:hint="eastAsia"/>
                <w:bCs/>
                <w:color w:val="000000"/>
                <w:szCs w:val="21"/>
              </w:rPr>
              <w:t>污染物排放量（t/a）</w:t>
            </w:r>
          </w:p>
        </w:tc>
        <w:tc>
          <w:tcPr>
            <w:tcW w:w="342" w:type="pct"/>
            <w:tcBorders>
              <w:tl2br w:val="nil"/>
              <w:tr2bl w:val="nil"/>
            </w:tcBorders>
            <w:vAlign w:val="center"/>
          </w:tcPr>
          <w:p w14:paraId="4330A7BA">
            <w:pPr>
              <w:jc w:val="center"/>
              <w:rPr>
                <w:bCs/>
                <w:color w:val="000000"/>
                <w:szCs w:val="21"/>
              </w:rPr>
            </w:pPr>
            <w:r>
              <w:rPr>
                <w:rFonts w:hint="eastAsia"/>
                <w:bCs/>
                <w:color w:val="000000"/>
                <w:szCs w:val="21"/>
              </w:rPr>
              <w:t>污染物总量指标（t/a）</w:t>
            </w:r>
          </w:p>
        </w:tc>
        <w:tc>
          <w:tcPr>
            <w:tcW w:w="482" w:type="pct"/>
            <w:tcBorders>
              <w:tl2br w:val="nil"/>
              <w:tr2bl w:val="nil"/>
            </w:tcBorders>
            <w:vAlign w:val="center"/>
          </w:tcPr>
          <w:p w14:paraId="3C9F5D37">
            <w:pPr>
              <w:jc w:val="center"/>
              <w:rPr>
                <w:bCs/>
                <w:color w:val="000000"/>
                <w:szCs w:val="21"/>
              </w:rPr>
            </w:pPr>
            <w:r>
              <w:rPr>
                <w:rFonts w:hint="eastAsia"/>
                <w:bCs/>
                <w:color w:val="000000"/>
                <w:szCs w:val="21"/>
              </w:rPr>
              <w:t>污染物排放分时段要求</w:t>
            </w:r>
          </w:p>
        </w:tc>
        <w:tc>
          <w:tcPr>
            <w:tcW w:w="1462" w:type="pct"/>
            <w:tcBorders>
              <w:tl2br w:val="nil"/>
              <w:tr2bl w:val="nil"/>
            </w:tcBorders>
            <w:vAlign w:val="center"/>
          </w:tcPr>
          <w:p w14:paraId="48C7EE3B">
            <w:pPr>
              <w:jc w:val="center"/>
              <w:rPr>
                <w:bCs/>
                <w:color w:val="000000"/>
                <w:szCs w:val="21"/>
              </w:rPr>
            </w:pPr>
            <w:r>
              <w:rPr>
                <w:rFonts w:hint="eastAsia"/>
                <w:bCs/>
                <w:color w:val="000000"/>
                <w:szCs w:val="21"/>
              </w:rPr>
              <w:t>执行的标准</w:t>
            </w:r>
          </w:p>
        </w:tc>
      </w:tr>
      <w:tr w14:paraId="14011E0E">
        <w:tblPrEx>
          <w:tblBorders>
            <w:top w:val="single" w:color="auto" w:sz="12" w:space="0"/>
            <w:left w:val="single" w:color="auto" w:sz="12" w:space="0"/>
            <w:bottom w:val="single" w:color="auto" w:sz="12" w:space="0"/>
            <w:right w:val="single" w:color="auto" w:sz="12" w:space="0"/>
            <w:insideH w:val="single" w:color="auto" w:sz="2" w:space="0"/>
            <w:insideV w:val="single" w:color="auto" w:sz="6" w:space="0"/>
          </w:tblBorders>
          <w:tblCellMar>
            <w:top w:w="0" w:type="dxa"/>
            <w:left w:w="108" w:type="dxa"/>
            <w:bottom w:w="0" w:type="dxa"/>
            <w:right w:w="108" w:type="dxa"/>
          </w:tblCellMar>
        </w:tblPrEx>
        <w:trPr>
          <w:trHeight w:val="454" w:hRule="atLeast"/>
          <w:jc w:val="center"/>
        </w:trPr>
        <w:tc>
          <w:tcPr>
            <w:tcW w:w="149" w:type="pct"/>
            <w:vMerge w:val="restart"/>
            <w:tcBorders>
              <w:tl2br w:val="nil"/>
              <w:tr2bl w:val="nil"/>
            </w:tcBorders>
            <w:vAlign w:val="center"/>
          </w:tcPr>
          <w:p w14:paraId="7DA9262F">
            <w:pPr>
              <w:jc w:val="center"/>
              <w:rPr>
                <w:bCs/>
                <w:color w:val="000000"/>
                <w:szCs w:val="21"/>
              </w:rPr>
            </w:pPr>
            <w:r>
              <w:rPr>
                <w:rFonts w:hint="eastAsia"/>
                <w:bCs/>
                <w:color w:val="000000"/>
                <w:szCs w:val="21"/>
              </w:rPr>
              <w:t>废气</w:t>
            </w:r>
          </w:p>
        </w:tc>
        <w:tc>
          <w:tcPr>
            <w:tcW w:w="525" w:type="pct"/>
            <w:tcBorders>
              <w:tl2br w:val="nil"/>
              <w:tr2bl w:val="nil"/>
            </w:tcBorders>
            <w:vAlign w:val="center"/>
          </w:tcPr>
          <w:p w14:paraId="5D2AC3FF">
            <w:pPr>
              <w:jc w:val="center"/>
              <w:rPr>
                <w:bCs/>
                <w:color w:val="000000"/>
                <w:szCs w:val="21"/>
              </w:rPr>
            </w:pPr>
            <w:r>
              <w:rPr>
                <w:rFonts w:hint="eastAsia"/>
                <w:bCs/>
                <w:color w:val="000000"/>
                <w:szCs w:val="21"/>
              </w:rPr>
              <w:t>生产车间</w:t>
            </w:r>
          </w:p>
        </w:tc>
        <w:tc>
          <w:tcPr>
            <w:tcW w:w="792" w:type="pct"/>
            <w:tcBorders>
              <w:bottom w:val="single" w:color="000000" w:sz="8" w:space="0"/>
              <w:tl2br w:val="nil"/>
              <w:tr2bl w:val="nil"/>
            </w:tcBorders>
            <w:vAlign w:val="center"/>
          </w:tcPr>
          <w:p w14:paraId="4CADEF45">
            <w:pPr>
              <w:jc w:val="center"/>
              <w:rPr>
                <w:bCs/>
                <w:color w:val="000000"/>
                <w:szCs w:val="21"/>
              </w:rPr>
            </w:pPr>
            <w:r>
              <w:rPr>
                <w:rFonts w:hint="eastAsia"/>
                <w:bCs/>
                <w:color w:val="000000"/>
                <w:szCs w:val="21"/>
              </w:rPr>
              <w:t>废气经负压收集后，由车间配套的“</w:t>
            </w:r>
            <w:r>
              <w:rPr>
                <w:rFonts w:hint="eastAsia"/>
                <w:bCs/>
                <w:color w:val="000000"/>
                <w:szCs w:val="21"/>
                <w:lang w:eastAsia="zh-CN"/>
              </w:rPr>
              <w:t>活性炭浓缩吸附+催化燃烧</w:t>
            </w:r>
            <w:r>
              <w:rPr>
                <w:rFonts w:hint="eastAsia"/>
                <w:bCs/>
                <w:color w:val="000000"/>
                <w:szCs w:val="21"/>
              </w:rPr>
              <w:t>系统”处理后15m高排气筒排放，风机风量为</w:t>
            </w:r>
            <w:r>
              <w:rPr>
                <w:rFonts w:hint="eastAsia"/>
                <w:bCs/>
                <w:color w:val="000000"/>
                <w:szCs w:val="21"/>
                <w:lang w:val="en-US" w:eastAsia="zh-CN"/>
              </w:rPr>
              <w:t>2</w:t>
            </w:r>
            <w:r>
              <w:rPr>
                <w:rFonts w:hint="eastAsia"/>
                <w:bCs/>
                <w:color w:val="000000"/>
                <w:szCs w:val="21"/>
              </w:rPr>
              <w:t>0000m</w:t>
            </w:r>
            <w:r>
              <w:rPr>
                <w:rFonts w:hint="eastAsia"/>
                <w:bCs/>
                <w:color w:val="000000"/>
                <w:szCs w:val="21"/>
                <w:vertAlign w:val="superscript"/>
              </w:rPr>
              <w:t>3</w:t>
            </w:r>
            <w:r>
              <w:rPr>
                <w:rFonts w:hint="eastAsia"/>
                <w:bCs/>
                <w:color w:val="000000"/>
                <w:szCs w:val="21"/>
              </w:rPr>
              <w:t>/h</w:t>
            </w:r>
          </w:p>
        </w:tc>
        <w:tc>
          <w:tcPr>
            <w:tcW w:w="438" w:type="pct"/>
            <w:tcBorders>
              <w:bottom w:val="single" w:color="000000" w:sz="8" w:space="0"/>
              <w:tl2br w:val="nil"/>
              <w:tr2bl w:val="nil"/>
            </w:tcBorders>
            <w:vAlign w:val="center"/>
          </w:tcPr>
          <w:p w14:paraId="47C0F78B">
            <w:pPr>
              <w:jc w:val="center"/>
              <w:rPr>
                <w:bCs/>
                <w:color w:val="000000"/>
                <w:szCs w:val="21"/>
              </w:rPr>
            </w:pPr>
            <w:r>
              <w:rPr>
                <w:rFonts w:hint="eastAsia"/>
                <w:bCs/>
                <w:color w:val="000000"/>
                <w:szCs w:val="21"/>
              </w:rPr>
              <w:t>非甲烷总烃</w:t>
            </w:r>
          </w:p>
        </w:tc>
        <w:tc>
          <w:tcPr>
            <w:tcW w:w="420" w:type="pct"/>
            <w:tcBorders>
              <w:tl2br w:val="nil"/>
              <w:tr2bl w:val="nil"/>
            </w:tcBorders>
            <w:vAlign w:val="center"/>
          </w:tcPr>
          <w:p w14:paraId="50E5624B">
            <w:pPr>
              <w:jc w:val="center"/>
              <w:rPr>
                <w:rFonts w:hint="default" w:eastAsia="宋体"/>
                <w:bCs/>
                <w:color w:val="000000"/>
                <w:szCs w:val="21"/>
                <w:lang w:val="en-US" w:eastAsia="zh-CN"/>
              </w:rPr>
            </w:pPr>
            <w:r>
              <w:rPr>
                <w:rFonts w:hint="eastAsia"/>
                <w:bCs/>
                <w:szCs w:val="21"/>
                <w:lang w:val="en-US" w:eastAsia="zh-CN"/>
              </w:rPr>
              <w:t>19.8</w:t>
            </w:r>
          </w:p>
        </w:tc>
        <w:tc>
          <w:tcPr>
            <w:tcW w:w="387" w:type="pct"/>
            <w:tcBorders>
              <w:tl2br w:val="nil"/>
              <w:tr2bl w:val="nil"/>
            </w:tcBorders>
            <w:vAlign w:val="center"/>
          </w:tcPr>
          <w:p w14:paraId="0AF8A613">
            <w:pPr>
              <w:jc w:val="center"/>
              <w:rPr>
                <w:rFonts w:hint="default" w:eastAsia="宋体"/>
                <w:bCs/>
                <w:color w:val="000000"/>
                <w:szCs w:val="21"/>
                <w:lang w:val="en-US" w:eastAsia="zh-CN"/>
              </w:rPr>
            </w:pPr>
            <w:r>
              <w:rPr>
                <w:rFonts w:hint="eastAsia"/>
                <w:bCs/>
                <w:szCs w:val="21"/>
                <w:lang w:val="en-US" w:eastAsia="zh-CN"/>
              </w:rPr>
              <w:t>2.284</w:t>
            </w:r>
          </w:p>
        </w:tc>
        <w:tc>
          <w:tcPr>
            <w:tcW w:w="342" w:type="pct"/>
            <w:tcBorders>
              <w:tl2br w:val="nil"/>
              <w:tr2bl w:val="nil"/>
            </w:tcBorders>
            <w:vAlign w:val="center"/>
          </w:tcPr>
          <w:p w14:paraId="0007DDAE">
            <w:pPr>
              <w:jc w:val="center"/>
              <w:rPr>
                <w:rFonts w:hint="default"/>
                <w:bCs/>
                <w:color w:val="000000"/>
                <w:szCs w:val="21"/>
                <w:lang w:val="en-US"/>
              </w:rPr>
            </w:pPr>
            <w:r>
              <w:rPr>
                <w:rFonts w:hint="eastAsia"/>
                <w:bCs/>
                <w:szCs w:val="21"/>
                <w:lang w:val="en-US" w:eastAsia="zh-CN"/>
              </w:rPr>
              <w:t>2.284</w:t>
            </w:r>
          </w:p>
        </w:tc>
        <w:tc>
          <w:tcPr>
            <w:tcW w:w="482" w:type="pct"/>
            <w:tcBorders>
              <w:tl2br w:val="nil"/>
              <w:tr2bl w:val="nil"/>
            </w:tcBorders>
            <w:vAlign w:val="center"/>
          </w:tcPr>
          <w:p w14:paraId="48D00738">
            <w:pPr>
              <w:jc w:val="center"/>
              <w:rPr>
                <w:bCs/>
                <w:color w:val="000000"/>
                <w:szCs w:val="21"/>
              </w:rPr>
            </w:pPr>
            <w:r>
              <w:rPr>
                <w:rFonts w:hint="eastAsia"/>
                <w:bCs/>
                <w:color w:val="000000"/>
                <w:szCs w:val="21"/>
              </w:rPr>
              <w:t>无特殊要求</w:t>
            </w:r>
          </w:p>
        </w:tc>
        <w:tc>
          <w:tcPr>
            <w:tcW w:w="1462" w:type="pct"/>
            <w:tcBorders>
              <w:tl2br w:val="nil"/>
              <w:tr2bl w:val="nil"/>
            </w:tcBorders>
            <w:vAlign w:val="center"/>
          </w:tcPr>
          <w:p w14:paraId="6FB1D339">
            <w:pPr>
              <w:jc w:val="center"/>
              <w:rPr>
                <w:bCs/>
                <w:color w:val="000000"/>
                <w:szCs w:val="21"/>
              </w:rPr>
            </w:pPr>
            <w:r>
              <w:rPr>
                <w:rFonts w:hint="eastAsia"/>
                <w:bCs/>
                <w:color w:val="000000"/>
                <w:szCs w:val="21"/>
              </w:rPr>
              <w:t>《合成树脂工业污染物排放标准》（GB 31572-2015，含2024年修改单）表</w:t>
            </w:r>
            <w:r>
              <w:rPr>
                <w:rFonts w:hint="eastAsia"/>
                <w:bCs/>
                <w:color w:val="000000"/>
                <w:szCs w:val="21"/>
                <w:lang w:val="en-US" w:eastAsia="zh-CN"/>
              </w:rPr>
              <w:t>4</w:t>
            </w:r>
            <w:r>
              <w:rPr>
                <w:rFonts w:hint="eastAsia"/>
                <w:bCs/>
                <w:color w:val="000000"/>
                <w:szCs w:val="21"/>
              </w:rPr>
              <w:t>大气污染物排放限值中非甲烷总烃排放限值</w:t>
            </w:r>
            <w:r>
              <w:rPr>
                <w:rFonts w:hint="eastAsia"/>
                <w:bCs/>
                <w:color w:val="000000"/>
                <w:szCs w:val="21"/>
                <w:lang w:val="en-US" w:eastAsia="zh-CN"/>
              </w:rPr>
              <w:t>100</w:t>
            </w:r>
            <w:r>
              <w:rPr>
                <w:rFonts w:hint="eastAsia"/>
                <w:bCs/>
                <w:color w:val="000000"/>
                <w:szCs w:val="21"/>
              </w:rPr>
              <w:t>mg/m</w:t>
            </w:r>
            <w:r>
              <w:rPr>
                <w:rFonts w:hint="eastAsia"/>
                <w:bCs/>
                <w:color w:val="000000"/>
                <w:szCs w:val="21"/>
                <w:vertAlign w:val="superscript"/>
              </w:rPr>
              <w:t>3</w:t>
            </w:r>
            <w:r>
              <w:rPr>
                <w:rFonts w:hint="eastAsia"/>
                <w:bCs/>
                <w:color w:val="000000"/>
                <w:szCs w:val="21"/>
              </w:rPr>
              <w:t>要求</w:t>
            </w:r>
          </w:p>
        </w:tc>
      </w:tr>
      <w:tr w14:paraId="1F42B953">
        <w:tblPrEx>
          <w:tblBorders>
            <w:top w:val="single" w:color="auto" w:sz="12" w:space="0"/>
            <w:left w:val="single" w:color="auto" w:sz="12" w:space="0"/>
            <w:bottom w:val="single" w:color="auto" w:sz="12" w:space="0"/>
            <w:right w:val="single" w:color="auto" w:sz="12" w:space="0"/>
            <w:insideH w:val="single" w:color="auto" w:sz="2" w:space="0"/>
            <w:insideV w:val="single" w:color="auto" w:sz="6" w:space="0"/>
          </w:tblBorders>
          <w:tblCellMar>
            <w:top w:w="0" w:type="dxa"/>
            <w:left w:w="108" w:type="dxa"/>
            <w:bottom w:w="0" w:type="dxa"/>
            <w:right w:w="108" w:type="dxa"/>
          </w:tblCellMar>
        </w:tblPrEx>
        <w:trPr>
          <w:trHeight w:val="454" w:hRule="atLeast"/>
          <w:jc w:val="center"/>
        </w:trPr>
        <w:tc>
          <w:tcPr>
            <w:tcW w:w="149" w:type="pct"/>
            <w:vMerge w:val="continue"/>
            <w:tcBorders>
              <w:tl2br w:val="nil"/>
              <w:tr2bl w:val="nil"/>
            </w:tcBorders>
            <w:vAlign w:val="center"/>
          </w:tcPr>
          <w:p w14:paraId="2B8E9893">
            <w:pPr>
              <w:jc w:val="center"/>
              <w:rPr>
                <w:bCs/>
                <w:color w:val="000000"/>
                <w:szCs w:val="21"/>
              </w:rPr>
            </w:pPr>
          </w:p>
        </w:tc>
        <w:tc>
          <w:tcPr>
            <w:tcW w:w="525" w:type="pct"/>
            <w:vMerge w:val="restart"/>
            <w:tcBorders>
              <w:tl2br w:val="nil"/>
              <w:tr2bl w:val="nil"/>
            </w:tcBorders>
            <w:vAlign w:val="center"/>
          </w:tcPr>
          <w:p w14:paraId="187FFC79">
            <w:pPr>
              <w:jc w:val="center"/>
              <w:rPr>
                <w:bCs/>
                <w:color w:val="000000"/>
                <w:szCs w:val="21"/>
              </w:rPr>
            </w:pPr>
            <w:r>
              <w:rPr>
                <w:rFonts w:hint="eastAsia"/>
                <w:bCs/>
                <w:color w:val="000000"/>
                <w:szCs w:val="21"/>
              </w:rPr>
              <w:t>生产车间</w:t>
            </w:r>
          </w:p>
        </w:tc>
        <w:tc>
          <w:tcPr>
            <w:tcW w:w="792" w:type="pct"/>
            <w:vMerge w:val="restart"/>
            <w:tcBorders>
              <w:tl2br w:val="nil"/>
              <w:tr2bl w:val="nil"/>
            </w:tcBorders>
            <w:vAlign w:val="center"/>
          </w:tcPr>
          <w:p w14:paraId="010562DC">
            <w:pPr>
              <w:jc w:val="center"/>
              <w:rPr>
                <w:bCs/>
                <w:color w:val="000000"/>
                <w:szCs w:val="21"/>
              </w:rPr>
            </w:pPr>
            <w:r>
              <w:rPr>
                <w:rFonts w:hint="eastAsia"/>
                <w:bCs/>
                <w:szCs w:val="21"/>
              </w:rPr>
              <w:t>设置排风扇，加强车间通风</w:t>
            </w:r>
          </w:p>
        </w:tc>
        <w:tc>
          <w:tcPr>
            <w:tcW w:w="438" w:type="pct"/>
            <w:tcBorders>
              <w:tl2br w:val="nil"/>
              <w:tr2bl w:val="nil"/>
            </w:tcBorders>
            <w:vAlign w:val="center"/>
          </w:tcPr>
          <w:p w14:paraId="46AE4E8A">
            <w:pPr>
              <w:jc w:val="center"/>
              <w:rPr>
                <w:bCs/>
                <w:color w:val="000000"/>
                <w:szCs w:val="21"/>
              </w:rPr>
            </w:pPr>
            <w:r>
              <w:rPr>
                <w:rFonts w:hint="eastAsia"/>
                <w:bCs/>
                <w:color w:val="000000"/>
                <w:szCs w:val="21"/>
              </w:rPr>
              <w:t>非甲烷总烃</w:t>
            </w:r>
          </w:p>
        </w:tc>
        <w:tc>
          <w:tcPr>
            <w:tcW w:w="420" w:type="pct"/>
            <w:tcBorders>
              <w:tl2br w:val="nil"/>
              <w:tr2bl w:val="nil"/>
            </w:tcBorders>
            <w:vAlign w:val="center"/>
          </w:tcPr>
          <w:p w14:paraId="2807DBF4">
            <w:pPr>
              <w:jc w:val="center"/>
              <w:rPr>
                <w:bCs/>
                <w:color w:val="000000"/>
                <w:szCs w:val="21"/>
              </w:rPr>
            </w:pPr>
            <w:r>
              <w:rPr>
                <w:rFonts w:hint="eastAsia"/>
                <w:bCs/>
                <w:color w:val="000000"/>
                <w:szCs w:val="21"/>
              </w:rPr>
              <w:t>/</w:t>
            </w:r>
          </w:p>
        </w:tc>
        <w:tc>
          <w:tcPr>
            <w:tcW w:w="387" w:type="pct"/>
            <w:tcBorders>
              <w:tl2br w:val="nil"/>
              <w:tr2bl w:val="nil"/>
            </w:tcBorders>
            <w:vAlign w:val="center"/>
          </w:tcPr>
          <w:p w14:paraId="508DDA16">
            <w:pPr>
              <w:jc w:val="center"/>
              <w:rPr>
                <w:bCs/>
                <w:color w:val="000000"/>
                <w:szCs w:val="21"/>
              </w:rPr>
            </w:pPr>
            <w:r>
              <w:rPr>
                <w:rFonts w:hint="eastAsia"/>
                <w:bCs/>
                <w:szCs w:val="21"/>
                <w:lang w:val="en-US" w:eastAsia="zh-CN"/>
              </w:rPr>
              <w:t>1.6915</w:t>
            </w:r>
          </w:p>
        </w:tc>
        <w:tc>
          <w:tcPr>
            <w:tcW w:w="342" w:type="pct"/>
            <w:tcBorders>
              <w:tl2br w:val="nil"/>
              <w:tr2bl w:val="nil"/>
            </w:tcBorders>
            <w:vAlign w:val="center"/>
          </w:tcPr>
          <w:p w14:paraId="6CF44B8A">
            <w:pPr>
              <w:jc w:val="center"/>
              <w:rPr>
                <w:rFonts w:hint="default" w:eastAsia="宋体"/>
                <w:bCs/>
                <w:color w:val="000000"/>
                <w:szCs w:val="21"/>
                <w:lang w:val="en-US" w:eastAsia="zh-CN"/>
              </w:rPr>
            </w:pPr>
            <w:r>
              <w:rPr>
                <w:rFonts w:hint="eastAsia"/>
                <w:bCs/>
                <w:color w:val="000000"/>
                <w:szCs w:val="21"/>
              </w:rPr>
              <w:t>0.</w:t>
            </w:r>
            <w:r>
              <w:rPr>
                <w:rFonts w:hint="eastAsia"/>
                <w:bCs/>
                <w:color w:val="000000"/>
                <w:szCs w:val="21"/>
                <w:lang w:val="en-US" w:eastAsia="zh-CN"/>
              </w:rPr>
              <w:t>294</w:t>
            </w:r>
          </w:p>
        </w:tc>
        <w:tc>
          <w:tcPr>
            <w:tcW w:w="482" w:type="pct"/>
            <w:tcBorders>
              <w:tl2br w:val="nil"/>
              <w:tr2bl w:val="nil"/>
            </w:tcBorders>
            <w:vAlign w:val="center"/>
          </w:tcPr>
          <w:p w14:paraId="7302ED42">
            <w:pPr>
              <w:jc w:val="center"/>
              <w:rPr>
                <w:bCs/>
                <w:color w:val="000000"/>
                <w:szCs w:val="21"/>
              </w:rPr>
            </w:pPr>
            <w:r>
              <w:rPr>
                <w:rFonts w:hint="eastAsia"/>
                <w:bCs/>
                <w:color w:val="000000"/>
                <w:szCs w:val="21"/>
              </w:rPr>
              <w:t>无特殊要求</w:t>
            </w:r>
          </w:p>
        </w:tc>
        <w:tc>
          <w:tcPr>
            <w:tcW w:w="1462" w:type="pct"/>
            <w:tcBorders>
              <w:tl2br w:val="nil"/>
              <w:tr2bl w:val="nil"/>
            </w:tcBorders>
            <w:vAlign w:val="center"/>
          </w:tcPr>
          <w:p w14:paraId="5254EE31">
            <w:pPr>
              <w:jc w:val="center"/>
              <w:rPr>
                <w:bCs/>
                <w:color w:val="000000"/>
                <w:szCs w:val="21"/>
              </w:rPr>
            </w:pPr>
            <w:r>
              <w:rPr>
                <w:rFonts w:hint="eastAsia"/>
                <w:bCs/>
                <w:color w:val="000000"/>
                <w:szCs w:val="21"/>
              </w:rPr>
              <w:t>《合成树脂工业污染物排放标准》（GB 31572-2015，含2024年修改单）表9中企业边界无组织排放监控浓度限值非甲烷总烃4.0mg/m</w:t>
            </w:r>
            <w:r>
              <w:rPr>
                <w:rFonts w:hint="eastAsia"/>
                <w:bCs/>
                <w:color w:val="000000"/>
                <w:szCs w:val="21"/>
                <w:vertAlign w:val="superscript"/>
              </w:rPr>
              <w:t>3</w:t>
            </w:r>
            <w:r>
              <w:rPr>
                <w:rFonts w:hint="eastAsia"/>
                <w:bCs/>
                <w:color w:val="000000"/>
                <w:szCs w:val="21"/>
              </w:rPr>
              <w:t>要求</w:t>
            </w:r>
          </w:p>
        </w:tc>
      </w:tr>
      <w:tr w14:paraId="25370989">
        <w:tblPrEx>
          <w:tblBorders>
            <w:top w:val="single" w:color="auto" w:sz="12" w:space="0"/>
            <w:left w:val="single" w:color="auto" w:sz="12" w:space="0"/>
            <w:bottom w:val="single" w:color="auto" w:sz="12" w:space="0"/>
            <w:right w:val="single" w:color="auto" w:sz="12" w:space="0"/>
            <w:insideH w:val="single" w:color="auto" w:sz="2" w:space="0"/>
            <w:insideV w:val="single" w:color="auto" w:sz="6" w:space="0"/>
          </w:tblBorders>
          <w:tblCellMar>
            <w:top w:w="0" w:type="dxa"/>
            <w:left w:w="108" w:type="dxa"/>
            <w:bottom w:w="0" w:type="dxa"/>
            <w:right w:w="108" w:type="dxa"/>
          </w:tblCellMar>
        </w:tblPrEx>
        <w:trPr>
          <w:trHeight w:val="454" w:hRule="atLeast"/>
          <w:jc w:val="center"/>
        </w:trPr>
        <w:tc>
          <w:tcPr>
            <w:tcW w:w="149" w:type="pct"/>
            <w:vMerge w:val="continue"/>
            <w:tcBorders>
              <w:tl2br w:val="nil"/>
              <w:tr2bl w:val="nil"/>
            </w:tcBorders>
            <w:vAlign w:val="center"/>
          </w:tcPr>
          <w:p w14:paraId="5DCC71BA">
            <w:pPr>
              <w:jc w:val="center"/>
              <w:rPr>
                <w:bCs/>
                <w:color w:val="000000"/>
                <w:szCs w:val="21"/>
              </w:rPr>
            </w:pPr>
          </w:p>
        </w:tc>
        <w:tc>
          <w:tcPr>
            <w:tcW w:w="525" w:type="pct"/>
            <w:vMerge w:val="continue"/>
            <w:tcBorders>
              <w:tl2br w:val="nil"/>
              <w:tr2bl w:val="nil"/>
            </w:tcBorders>
            <w:vAlign w:val="center"/>
          </w:tcPr>
          <w:p w14:paraId="0733DED7">
            <w:pPr>
              <w:jc w:val="center"/>
              <w:rPr>
                <w:bCs/>
                <w:color w:val="000000"/>
                <w:szCs w:val="21"/>
              </w:rPr>
            </w:pPr>
          </w:p>
        </w:tc>
        <w:tc>
          <w:tcPr>
            <w:tcW w:w="792" w:type="pct"/>
            <w:vMerge w:val="continue"/>
            <w:tcBorders>
              <w:tl2br w:val="nil"/>
              <w:tr2bl w:val="nil"/>
            </w:tcBorders>
            <w:vAlign w:val="center"/>
          </w:tcPr>
          <w:p w14:paraId="6BF891A7">
            <w:pPr>
              <w:jc w:val="center"/>
              <w:rPr>
                <w:bCs/>
                <w:color w:val="000000"/>
                <w:szCs w:val="21"/>
              </w:rPr>
            </w:pPr>
          </w:p>
        </w:tc>
        <w:tc>
          <w:tcPr>
            <w:tcW w:w="438" w:type="pct"/>
            <w:tcBorders>
              <w:tl2br w:val="nil"/>
              <w:tr2bl w:val="nil"/>
            </w:tcBorders>
            <w:vAlign w:val="center"/>
          </w:tcPr>
          <w:p w14:paraId="39F8B2AC">
            <w:pPr>
              <w:jc w:val="center"/>
              <w:rPr>
                <w:bCs/>
                <w:color w:val="000000"/>
                <w:szCs w:val="21"/>
              </w:rPr>
            </w:pPr>
            <w:r>
              <w:rPr>
                <w:rFonts w:hint="eastAsia"/>
                <w:bCs/>
                <w:color w:val="000000"/>
                <w:szCs w:val="21"/>
              </w:rPr>
              <w:t>臭气浓度</w:t>
            </w:r>
          </w:p>
        </w:tc>
        <w:tc>
          <w:tcPr>
            <w:tcW w:w="420" w:type="pct"/>
            <w:tcBorders>
              <w:tl2br w:val="nil"/>
              <w:tr2bl w:val="nil"/>
            </w:tcBorders>
            <w:vAlign w:val="center"/>
          </w:tcPr>
          <w:p w14:paraId="14EB45D5">
            <w:pPr>
              <w:jc w:val="center"/>
              <w:rPr>
                <w:bCs/>
                <w:color w:val="000000"/>
                <w:szCs w:val="21"/>
              </w:rPr>
            </w:pPr>
            <w:r>
              <w:rPr>
                <w:rFonts w:hint="eastAsia"/>
                <w:bCs/>
                <w:color w:val="000000"/>
                <w:szCs w:val="21"/>
              </w:rPr>
              <w:t>/</w:t>
            </w:r>
          </w:p>
        </w:tc>
        <w:tc>
          <w:tcPr>
            <w:tcW w:w="387" w:type="pct"/>
            <w:tcBorders>
              <w:tl2br w:val="nil"/>
              <w:tr2bl w:val="nil"/>
            </w:tcBorders>
            <w:vAlign w:val="center"/>
          </w:tcPr>
          <w:p w14:paraId="20E2AB96">
            <w:pPr>
              <w:jc w:val="center"/>
              <w:rPr>
                <w:bCs/>
                <w:color w:val="000000"/>
                <w:szCs w:val="21"/>
              </w:rPr>
            </w:pPr>
            <w:r>
              <w:rPr>
                <w:rFonts w:hint="eastAsia"/>
                <w:bCs/>
                <w:color w:val="000000"/>
                <w:szCs w:val="21"/>
              </w:rPr>
              <w:t>/</w:t>
            </w:r>
          </w:p>
        </w:tc>
        <w:tc>
          <w:tcPr>
            <w:tcW w:w="342" w:type="pct"/>
            <w:tcBorders>
              <w:tl2br w:val="nil"/>
              <w:tr2bl w:val="nil"/>
            </w:tcBorders>
            <w:vAlign w:val="center"/>
          </w:tcPr>
          <w:p w14:paraId="32DD5D9A">
            <w:pPr>
              <w:jc w:val="center"/>
              <w:rPr>
                <w:bCs/>
                <w:color w:val="000000"/>
                <w:szCs w:val="21"/>
              </w:rPr>
            </w:pPr>
            <w:r>
              <w:rPr>
                <w:rFonts w:hint="eastAsia"/>
                <w:bCs/>
                <w:color w:val="000000"/>
                <w:szCs w:val="21"/>
              </w:rPr>
              <w:t>/</w:t>
            </w:r>
          </w:p>
        </w:tc>
        <w:tc>
          <w:tcPr>
            <w:tcW w:w="482" w:type="pct"/>
            <w:tcBorders>
              <w:tl2br w:val="nil"/>
              <w:tr2bl w:val="nil"/>
            </w:tcBorders>
            <w:vAlign w:val="center"/>
          </w:tcPr>
          <w:p w14:paraId="715CBB0D">
            <w:pPr>
              <w:jc w:val="center"/>
              <w:rPr>
                <w:bCs/>
                <w:color w:val="000000"/>
                <w:szCs w:val="21"/>
              </w:rPr>
            </w:pPr>
            <w:r>
              <w:rPr>
                <w:rFonts w:hint="eastAsia"/>
                <w:bCs/>
                <w:color w:val="000000"/>
                <w:szCs w:val="21"/>
              </w:rPr>
              <w:t>无特殊要求</w:t>
            </w:r>
          </w:p>
        </w:tc>
        <w:tc>
          <w:tcPr>
            <w:tcW w:w="1462" w:type="pct"/>
            <w:tcBorders>
              <w:tl2br w:val="nil"/>
              <w:tr2bl w:val="nil"/>
            </w:tcBorders>
            <w:vAlign w:val="center"/>
          </w:tcPr>
          <w:p w14:paraId="0D80E753">
            <w:pPr>
              <w:jc w:val="center"/>
              <w:rPr>
                <w:bCs/>
                <w:color w:val="000000"/>
                <w:szCs w:val="21"/>
              </w:rPr>
            </w:pPr>
            <w:r>
              <w:rPr>
                <w:bCs/>
                <w:color w:val="000000"/>
                <w:szCs w:val="21"/>
              </w:rPr>
              <w:t>《恶臭污染物排放标准》（GB14554-93）</w:t>
            </w:r>
            <w:r>
              <w:rPr>
                <w:rFonts w:hint="eastAsia"/>
                <w:bCs/>
                <w:color w:val="000000"/>
                <w:szCs w:val="21"/>
              </w:rPr>
              <w:t>表1恶臭污染物厂界标准值中臭气浓度二级新改扩建排放限值20要求</w:t>
            </w:r>
          </w:p>
        </w:tc>
      </w:tr>
      <w:tr w14:paraId="1D8A2F5F">
        <w:tblPrEx>
          <w:tblBorders>
            <w:top w:val="single" w:color="auto" w:sz="12" w:space="0"/>
            <w:left w:val="single" w:color="auto" w:sz="12" w:space="0"/>
            <w:bottom w:val="single" w:color="auto" w:sz="12" w:space="0"/>
            <w:right w:val="single" w:color="auto" w:sz="12" w:space="0"/>
            <w:insideH w:val="single" w:color="auto" w:sz="2" w:space="0"/>
            <w:insideV w:val="single" w:color="auto" w:sz="6" w:space="0"/>
          </w:tblBorders>
          <w:tblCellMar>
            <w:top w:w="0" w:type="dxa"/>
            <w:left w:w="108" w:type="dxa"/>
            <w:bottom w:w="0" w:type="dxa"/>
            <w:right w:w="108" w:type="dxa"/>
          </w:tblCellMar>
        </w:tblPrEx>
        <w:trPr>
          <w:trHeight w:val="454" w:hRule="atLeast"/>
          <w:jc w:val="center"/>
        </w:trPr>
        <w:tc>
          <w:tcPr>
            <w:tcW w:w="149" w:type="pct"/>
            <w:vMerge w:val="restart"/>
            <w:tcBorders>
              <w:tl2br w:val="nil"/>
              <w:tr2bl w:val="nil"/>
            </w:tcBorders>
            <w:vAlign w:val="center"/>
          </w:tcPr>
          <w:p w14:paraId="15CD0B00">
            <w:pPr>
              <w:jc w:val="center"/>
              <w:rPr>
                <w:bCs/>
                <w:color w:val="000000"/>
                <w:szCs w:val="21"/>
              </w:rPr>
            </w:pPr>
            <w:r>
              <w:rPr>
                <w:rFonts w:hint="eastAsia"/>
                <w:bCs/>
                <w:color w:val="000000"/>
                <w:szCs w:val="21"/>
              </w:rPr>
              <w:t>废水</w:t>
            </w:r>
          </w:p>
        </w:tc>
        <w:tc>
          <w:tcPr>
            <w:tcW w:w="525" w:type="pct"/>
            <w:vMerge w:val="restart"/>
            <w:tcBorders>
              <w:tl2br w:val="nil"/>
              <w:tr2bl w:val="nil"/>
            </w:tcBorders>
            <w:shd w:val="clear" w:color="auto" w:fill="auto"/>
            <w:vAlign w:val="center"/>
          </w:tcPr>
          <w:p w14:paraId="3D890F74">
            <w:pPr>
              <w:jc w:val="center"/>
              <w:rPr>
                <w:rFonts w:ascii="Times New Roman" w:hAnsi="Times New Roman" w:eastAsia="宋体" w:cs="Times New Roman"/>
                <w:bCs/>
                <w:color w:val="000000"/>
                <w:kern w:val="2"/>
                <w:sz w:val="21"/>
                <w:szCs w:val="21"/>
                <w:lang w:val="en-US" w:eastAsia="zh-CN" w:bidi="ar-SA"/>
              </w:rPr>
            </w:pPr>
            <w:r>
              <w:rPr>
                <w:rFonts w:hint="eastAsia"/>
                <w:bCs/>
                <w:color w:val="000000"/>
                <w:szCs w:val="21"/>
              </w:rPr>
              <w:t>生活污水</w:t>
            </w:r>
            <w:r>
              <w:rPr>
                <w:rFonts w:hint="eastAsia" w:eastAsia="宋体" w:cs="Times New Roman"/>
                <w:color w:val="auto"/>
                <w:sz w:val="21"/>
                <w:szCs w:val="21"/>
                <w:lang w:val="en-US" w:eastAsia="zh-CN"/>
              </w:rPr>
              <w:t>92.16</w:t>
            </w:r>
            <w:r>
              <w:rPr>
                <w:rFonts w:hint="default" w:ascii="Times New Roman" w:hAnsi="Times New Roman" w:eastAsia="宋体" w:cs="Times New Roman"/>
                <w:color w:val="auto"/>
                <w:sz w:val="21"/>
                <w:szCs w:val="21"/>
                <w:lang w:val="en-US"/>
              </w:rPr>
              <w:t>m³/a</w:t>
            </w:r>
          </w:p>
        </w:tc>
        <w:tc>
          <w:tcPr>
            <w:tcW w:w="792" w:type="pct"/>
            <w:vMerge w:val="restart"/>
            <w:tcBorders>
              <w:tl2br w:val="nil"/>
              <w:tr2bl w:val="nil"/>
            </w:tcBorders>
            <w:shd w:val="clear" w:color="auto" w:fill="auto"/>
            <w:vAlign w:val="center"/>
          </w:tcPr>
          <w:p w14:paraId="58E395DC">
            <w:pPr>
              <w:jc w:val="center"/>
              <w:rPr>
                <w:rFonts w:hint="default" w:ascii="Times New Roman" w:hAnsi="Times New Roman" w:eastAsia="宋体" w:cs="Times New Roman"/>
                <w:bCs/>
                <w:color w:val="000000"/>
                <w:kern w:val="2"/>
                <w:sz w:val="21"/>
                <w:szCs w:val="21"/>
                <w:lang w:val="en-US" w:eastAsia="zh-CN" w:bidi="ar-SA"/>
              </w:rPr>
            </w:pPr>
            <w:r>
              <w:rPr>
                <w:rFonts w:hint="eastAsia" w:hAnsi="宋体"/>
                <w:color w:val="000000"/>
                <w:lang w:val="en-US" w:eastAsia="zh-CN"/>
              </w:rPr>
              <w:t>污水防渗化粪池</w:t>
            </w:r>
          </w:p>
        </w:tc>
        <w:tc>
          <w:tcPr>
            <w:tcW w:w="438" w:type="pct"/>
            <w:tcBorders>
              <w:tl2br w:val="nil"/>
              <w:tr2bl w:val="nil"/>
            </w:tcBorders>
            <w:shd w:val="clear" w:color="auto" w:fill="auto"/>
            <w:vAlign w:val="center"/>
          </w:tcPr>
          <w:p w14:paraId="772DDAD8">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21"/>
                <w:lang w:val="en-US" w:eastAsia="zh-CN" w:bidi="ar-SA"/>
              </w:rPr>
            </w:pPr>
            <w:r>
              <w:rPr>
                <w:rFonts w:hint="default" w:ascii="Times New Roman" w:hAnsi="Times New Roman" w:eastAsia="宋体" w:cs="Times New Roman"/>
                <w:color w:val="auto"/>
                <w:sz w:val="21"/>
                <w:szCs w:val="21"/>
              </w:rPr>
              <w:t>COD</w:t>
            </w:r>
            <w:r>
              <w:rPr>
                <w:rFonts w:hint="eastAsia" w:cs="Times New Roman"/>
                <w:color w:val="auto"/>
                <w:sz w:val="21"/>
                <w:szCs w:val="21"/>
                <w:vertAlign w:val="subscript"/>
                <w:lang w:val="en-US" w:eastAsia="zh-CN"/>
              </w:rPr>
              <w:t>cr</w:t>
            </w:r>
          </w:p>
        </w:tc>
        <w:tc>
          <w:tcPr>
            <w:tcW w:w="420" w:type="pct"/>
            <w:tcBorders>
              <w:tl2br w:val="nil"/>
              <w:tr2bl w:val="nil"/>
            </w:tcBorders>
            <w:shd w:val="clear" w:color="auto" w:fill="auto"/>
            <w:vAlign w:val="center"/>
          </w:tcPr>
          <w:p w14:paraId="5ECD78FF">
            <w:pPr>
              <w:widowControl w:val="0"/>
              <w:kinsoku w:val="0"/>
              <w:overflowPunct w:val="0"/>
              <w:autoSpaceDE w:val="0"/>
              <w:autoSpaceDN w:val="0"/>
              <w:spacing w:line="240" w:lineRule="auto"/>
              <w:ind w:firstLine="0" w:firstLineChars="0"/>
              <w:jc w:val="center"/>
              <w:rPr>
                <w:rFonts w:hint="eastAsia" w:ascii="Times New Roman" w:hAnsi="Times New Roman" w:eastAsia="宋体" w:cs="Times New Roman"/>
                <w:color w:val="auto"/>
                <w:kern w:val="2"/>
                <w:sz w:val="21"/>
                <w:szCs w:val="21"/>
                <w:lang w:val="en-US" w:eastAsia="zh-CN" w:bidi="zh-CN"/>
              </w:rPr>
            </w:pPr>
            <w:r>
              <w:rPr>
                <w:rFonts w:hint="default" w:ascii="Times New Roman" w:hAnsi="Times New Roman" w:eastAsia="宋体" w:cs="Times New Roman"/>
                <w:color w:val="auto"/>
                <w:sz w:val="21"/>
                <w:szCs w:val="21"/>
                <w:lang w:val="en-US" w:eastAsia="zh-CN" w:bidi="zh-CN"/>
              </w:rPr>
              <w:t>350</w:t>
            </w:r>
          </w:p>
        </w:tc>
        <w:tc>
          <w:tcPr>
            <w:tcW w:w="387" w:type="pct"/>
            <w:tcBorders>
              <w:tl2br w:val="nil"/>
              <w:tr2bl w:val="nil"/>
            </w:tcBorders>
            <w:shd w:val="clear" w:color="auto" w:fill="auto"/>
            <w:vAlign w:val="center"/>
          </w:tcPr>
          <w:p w14:paraId="4298D3DD">
            <w:pPr>
              <w:widowControl w:val="0"/>
              <w:kinsoku w:val="0"/>
              <w:overflowPunct w:val="0"/>
              <w:autoSpaceDE w:val="0"/>
              <w:autoSpaceDN w:val="0"/>
              <w:spacing w:line="240" w:lineRule="auto"/>
              <w:ind w:firstLine="0" w:firstLineChars="0"/>
              <w:jc w:val="center"/>
              <w:rPr>
                <w:rFonts w:hint="eastAsia" w:ascii="Times New Roman" w:hAnsi="Times New Roman" w:eastAsia="宋体" w:cs="Times New Roman"/>
                <w:color w:val="auto"/>
                <w:kern w:val="2"/>
                <w:sz w:val="21"/>
                <w:szCs w:val="21"/>
                <w:lang w:val="en-US" w:eastAsia="zh-CN" w:bidi="zh-CN"/>
              </w:rPr>
            </w:pPr>
            <w:r>
              <w:rPr>
                <w:rFonts w:hint="eastAsia" w:ascii="Times New Roman" w:hAnsi="Times New Roman" w:eastAsia="宋体" w:cs="Times New Roman"/>
                <w:color w:val="auto"/>
                <w:sz w:val="21"/>
                <w:szCs w:val="21"/>
                <w:lang w:val="en-US" w:eastAsia="zh-CN" w:bidi="zh-CN"/>
              </w:rPr>
              <w:t>0.032</w:t>
            </w:r>
          </w:p>
        </w:tc>
        <w:tc>
          <w:tcPr>
            <w:tcW w:w="342" w:type="pct"/>
            <w:tcBorders>
              <w:tl2br w:val="nil"/>
              <w:tr2bl w:val="nil"/>
            </w:tcBorders>
            <w:vAlign w:val="center"/>
          </w:tcPr>
          <w:p w14:paraId="47992476">
            <w:pPr>
              <w:jc w:val="center"/>
              <w:rPr>
                <w:rFonts w:hint="eastAsia"/>
                <w:bCs/>
                <w:color w:val="000000"/>
                <w:szCs w:val="21"/>
              </w:rPr>
            </w:pPr>
            <w:r>
              <w:rPr>
                <w:rFonts w:hint="eastAsia"/>
                <w:bCs/>
                <w:color w:val="000000"/>
                <w:szCs w:val="21"/>
              </w:rPr>
              <w:t>/</w:t>
            </w:r>
          </w:p>
        </w:tc>
        <w:tc>
          <w:tcPr>
            <w:tcW w:w="482" w:type="pct"/>
            <w:vMerge w:val="restart"/>
            <w:tcBorders>
              <w:tl2br w:val="nil"/>
              <w:tr2bl w:val="nil"/>
            </w:tcBorders>
            <w:vAlign w:val="center"/>
          </w:tcPr>
          <w:p w14:paraId="0D67B0A2">
            <w:pPr>
              <w:jc w:val="center"/>
              <w:rPr>
                <w:rFonts w:hint="eastAsia"/>
                <w:bCs/>
                <w:color w:val="000000"/>
                <w:szCs w:val="21"/>
              </w:rPr>
            </w:pPr>
            <w:r>
              <w:rPr>
                <w:rFonts w:hint="eastAsia"/>
                <w:bCs/>
                <w:color w:val="000000"/>
                <w:szCs w:val="21"/>
              </w:rPr>
              <w:t>无特殊要求</w:t>
            </w:r>
          </w:p>
        </w:tc>
        <w:tc>
          <w:tcPr>
            <w:tcW w:w="1462" w:type="pct"/>
            <w:vMerge w:val="restart"/>
            <w:tcBorders>
              <w:tl2br w:val="nil"/>
              <w:tr2bl w:val="nil"/>
            </w:tcBorders>
            <w:vAlign w:val="center"/>
          </w:tcPr>
          <w:p w14:paraId="6C97EB61">
            <w:pPr>
              <w:jc w:val="center"/>
              <w:rPr>
                <w:bCs/>
                <w:color w:val="000000"/>
                <w:szCs w:val="21"/>
              </w:rPr>
            </w:pPr>
            <w:r>
              <w:rPr>
                <w:rFonts w:hint="eastAsia"/>
                <w:bCs/>
                <w:color w:val="000000"/>
                <w:szCs w:val="21"/>
              </w:rPr>
              <w:t>《污水综合排放标准》（GB8978-1996）表4三级标准限值</w:t>
            </w:r>
          </w:p>
        </w:tc>
      </w:tr>
      <w:tr w14:paraId="14EA2F05">
        <w:tblPrEx>
          <w:tblBorders>
            <w:top w:val="single" w:color="auto" w:sz="12" w:space="0"/>
            <w:left w:val="single" w:color="auto" w:sz="12" w:space="0"/>
            <w:bottom w:val="single" w:color="auto" w:sz="12" w:space="0"/>
            <w:right w:val="single" w:color="auto" w:sz="12" w:space="0"/>
            <w:insideH w:val="single" w:color="auto" w:sz="2" w:space="0"/>
            <w:insideV w:val="single" w:color="auto" w:sz="6" w:space="0"/>
          </w:tblBorders>
          <w:tblCellMar>
            <w:top w:w="0" w:type="dxa"/>
            <w:left w:w="108" w:type="dxa"/>
            <w:bottom w:w="0" w:type="dxa"/>
            <w:right w:w="108" w:type="dxa"/>
          </w:tblCellMar>
        </w:tblPrEx>
        <w:trPr>
          <w:trHeight w:val="454" w:hRule="atLeast"/>
          <w:jc w:val="center"/>
        </w:trPr>
        <w:tc>
          <w:tcPr>
            <w:tcW w:w="149" w:type="pct"/>
            <w:vMerge w:val="continue"/>
            <w:tcBorders>
              <w:tl2br w:val="nil"/>
              <w:tr2bl w:val="nil"/>
            </w:tcBorders>
            <w:vAlign w:val="center"/>
          </w:tcPr>
          <w:p w14:paraId="7A1A5FAF">
            <w:pPr>
              <w:jc w:val="center"/>
              <w:rPr>
                <w:rFonts w:hint="eastAsia"/>
                <w:bCs/>
                <w:color w:val="000000"/>
                <w:szCs w:val="21"/>
              </w:rPr>
            </w:pPr>
          </w:p>
        </w:tc>
        <w:tc>
          <w:tcPr>
            <w:tcW w:w="525" w:type="pct"/>
            <w:vMerge w:val="continue"/>
            <w:tcBorders>
              <w:tl2br w:val="nil"/>
              <w:tr2bl w:val="nil"/>
            </w:tcBorders>
            <w:vAlign w:val="center"/>
          </w:tcPr>
          <w:p w14:paraId="12CC83A1">
            <w:pPr>
              <w:jc w:val="center"/>
              <w:rPr>
                <w:bCs/>
                <w:color w:val="000000"/>
                <w:szCs w:val="21"/>
              </w:rPr>
            </w:pPr>
          </w:p>
        </w:tc>
        <w:tc>
          <w:tcPr>
            <w:tcW w:w="792" w:type="pct"/>
            <w:vMerge w:val="continue"/>
            <w:tcBorders>
              <w:tl2br w:val="nil"/>
              <w:tr2bl w:val="nil"/>
            </w:tcBorders>
            <w:vAlign w:val="center"/>
          </w:tcPr>
          <w:p w14:paraId="025D3690">
            <w:pPr>
              <w:jc w:val="center"/>
              <w:rPr>
                <w:bCs/>
                <w:color w:val="000000"/>
                <w:szCs w:val="21"/>
              </w:rPr>
            </w:pPr>
          </w:p>
        </w:tc>
        <w:tc>
          <w:tcPr>
            <w:tcW w:w="438" w:type="pct"/>
            <w:tcBorders>
              <w:tl2br w:val="nil"/>
              <w:tr2bl w:val="nil"/>
            </w:tcBorders>
            <w:shd w:val="clear" w:color="auto" w:fill="auto"/>
            <w:vAlign w:val="center"/>
          </w:tcPr>
          <w:p w14:paraId="22FC120D">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BOD</w:t>
            </w:r>
            <w:r>
              <w:rPr>
                <w:rFonts w:hint="default" w:ascii="Times New Roman" w:hAnsi="Times New Roman" w:eastAsia="宋体" w:cs="Times New Roman"/>
                <w:color w:val="auto"/>
                <w:sz w:val="21"/>
                <w:szCs w:val="21"/>
                <w:vertAlign w:val="subscript"/>
              </w:rPr>
              <w:t>5</w:t>
            </w:r>
          </w:p>
        </w:tc>
        <w:tc>
          <w:tcPr>
            <w:tcW w:w="420" w:type="pct"/>
            <w:tcBorders>
              <w:tl2br w:val="nil"/>
              <w:tr2bl w:val="nil"/>
            </w:tcBorders>
            <w:shd w:val="clear" w:color="auto" w:fill="auto"/>
            <w:vAlign w:val="center"/>
          </w:tcPr>
          <w:p w14:paraId="019C42B7">
            <w:pPr>
              <w:widowControl w:val="0"/>
              <w:kinsoku w:val="0"/>
              <w:overflowPunct w:val="0"/>
              <w:autoSpaceDE w:val="0"/>
              <w:autoSpaceDN w:val="0"/>
              <w:spacing w:line="240" w:lineRule="auto"/>
              <w:ind w:firstLine="0" w:firstLineChars="0"/>
              <w:jc w:val="center"/>
              <w:rPr>
                <w:rFonts w:hint="eastAsia" w:ascii="Times New Roman" w:hAnsi="Times New Roman" w:eastAsia="宋体" w:cs="Times New Roman"/>
                <w:color w:val="auto"/>
                <w:kern w:val="2"/>
                <w:sz w:val="21"/>
                <w:szCs w:val="21"/>
                <w:lang w:val="en-US" w:eastAsia="zh-CN" w:bidi="zh-CN"/>
              </w:rPr>
            </w:pPr>
            <w:r>
              <w:rPr>
                <w:rFonts w:hint="eastAsia" w:ascii="Times New Roman" w:hAnsi="Times New Roman" w:eastAsia="宋体" w:cs="Times New Roman"/>
                <w:color w:val="auto"/>
                <w:sz w:val="21"/>
                <w:szCs w:val="21"/>
                <w:lang w:val="en-US" w:eastAsia="zh-CN" w:bidi="zh-CN"/>
              </w:rPr>
              <w:t>250</w:t>
            </w:r>
          </w:p>
        </w:tc>
        <w:tc>
          <w:tcPr>
            <w:tcW w:w="387" w:type="pct"/>
            <w:tcBorders>
              <w:tl2br w:val="nil"/>
              <w:tr2bl w:val="nil"/>
            </w:tcBorders>
            <w:shd w:val="clear" w:color="auto" w:fill="auto"/>
            <w:vAlign w:val="center"/>
          </w:tcPr>
          <w:p w14:paraId="10B80DDD">
            <w:pPr>
              <w:widowControl w:val="0"/>
              <w:kinsoku w:val="0"/>
              <w:overflowPunct w:val="0"/>
              <w:autoSpaceDE w:val="0"/>
              <w:autoSpaceDN w:val="0"/>
              <w:spacing w:line="240" w:lineRule="auto"/>
              <w:ind w:firstLine="0" w:firstLineChars="0"/>
              <w:jc w:val="center"/>
              <w:rPr>
                <w:rFonts w:hint="eastAsia" w:ascii="Times New Roman" w:hAnsi="Times New Roman" w:eastAsia="宋体" w:cs="Times New Roman"/>
                <w:color w:val="auto"/>
                <w:kern w:val="2"/>
                <w:sz w:val="21"/>
                <w:szCs w:val="21"/>
                <w:lang w:val="en-US" w:eastAsia="zh-CN" w:bidi="zh-CN"/>
              </w:rPr>
            </w:pPr>
            <w:r>
              <w:rPr>
                <w:rFonts w:hint="eastAsia" w:ascii="Times New Roman" w:hAnsi="Times New Roman" w:eastAsia="宋体" w:cs="Times New Roman"/>
                <w:color w:val="auto"/>
                <w:sz w:val="21"/>
                <w:szCs w:val="21"/>
                <w:lang w:val="en-US" w:eastAsia="zh-CN" w:bidi="zh-CN"/>
              </w:rPr>
              <w:t>0.023</w:t>
            </w:r>
          </w:p>
        </w:tc>
        <w:tc>
          <w:tcPr>
            <w:tcW w:w="342" w:type="pct"/>
            <w:tcBorders>
              <w:tl2br w:val="nil"/>
              <w:tr2bl w:val="nil"/>
            </w:tcBorders>
            <w:vAlign w:val="center"/>
          </w:tcPr>
          <w:p w14:paraId="70930C2C">
            <w:pPr>
              <w:jc w:val="center"/>
              <w:rPr>
                <w:rFonts w:hint="eastAsia"/>
                <w:bCs/>
                <w:color w:val="000000"/>
                <w:szCs w:val="21"/>
              </w:rPr>
            </w:pPr>
            <w:r>
              <w:rPr>
                <w:rFonts w:hint="eastAsia"/>
                <w:bCs/>
                <w:color w:val="000000"/>
                <w:szCs w:val="21"/>
              </w:rPr>
              <w:t>/</w:t>
            </w:r>
          </w:p>
        </w:tc>
        <w:tc>
          <w:tcPr>
            <w:tcW w:w="482" w:type="pct"/>
            <w:vMerge w:val="continue"/>
            <w:tcBorders>
              <w:tl2br w:val="nil"/>
              <w:tr2bl w:val="nil"/>
            </w:tcBorders>
            <w:vAlign w:val="center"/>
          </w:tcPr>
          <w:p w14:paraId="09B2A329">
            <w:pPr>
              <w:jc w:val="center"/>
              <w:rPr>
                <w:rFonts w:hint="eastAsia"/>
                <w:bCs/>
                <w:color w:val="000000"/>
                <w:szCs w:val="21"/>
              </w:rPr>
            </w:pPr>
          </w:p>
        </w:tc>
        <w:tc>
          <w:tcPr>
            <w:tcW w:w="1462" w:type="pct"/>
            <w:vMerge w:val="continue"/>
            <w:tcBorders>
              <w:tl2br w:val="nil"/>
              <w:tr2bl w:val="nil"/>
            </w:tcBorders>
            <w:vAlign w:val="center"/>
          </w:tcPr>
          <w:p w14:paraId="7D6B3AD6">
            <w:pPr>
              <w:jc w:val="center"/>
              <w:rPr>
                <w:bCs/>
                <w:color w:val="000000"/>
                <w:szCs w:val="21"/>
              </w:rPr>
            </w:pPr>
          </w:p>
        </w:tc>
      </w:tr>
      <w:tr w14:paraId="3E4D3B29">
        <w:tblPrEx>
          <w:tblBorders>
            <w:top w:val="single" w:color="auto" w:sz="12" w:space="0"/>
            <w:left w:val="single" w:color="auto" w:sz="12" w:space="0"/>
            <w:bottom w:val="single" w:color="auto" w:sz="12" w:space="0"/>
            <w:right w:val="single" w:color="auto" w:sz="12" w:space="0"/>
            <w:insideH w:val="single" w:color="auto" w:sz="2" w:space="0"/>
            <w:insideV w:val="single" w:color="auto" w:sz="6" w:space="0"/>
          </w:tblBorders>
          <w:tblCellMar>
            <w:top w:w="0" w:type="dxa"/>
            <w:left w:w="108" w:type="dxa"/>
            <w:bottom w:w="0" w:type="dxa"/>
            <w:right w:w="108" w:type="dxa"/>
          </w:tblCellMar>
        </w:tblPrEx>
        <w:trPr>
          <w:trHeight w:val="454" w:hRule="atLeast"/>
          <w:jc w:val="center"/>
        </w:trPr>
        <w:tc>
          <w:tcPr>
            <w:tcW w:w="149" w:type="pct"/>
            <w:vMerge w:val="continue"/>
            <w:tcBorders>
              <w:tl2br w:val="nil"/>
              <w:tr2bl w:val="nil"/>
            </w:tcBorders>
            <w:vAlign w:val="center"/>
          </w:tcPr>
          <w:p w14:paraId="6E87350E">
            <w:pPr>
              <w:jc w:val="center"/>
              <w:rPr>
                <w:rFonts w:hint="eastAsia"/>
                <w:bCs/>
                <w:color w:val="000000"/>
                <w:szCs w:val="21"/>
              </w:rPr>
            </w:pPr>
          </w:p>
        </w:tc>
        <w:tc>
          <w:tcPr>
            <w:tcW w:w="525" w:type="pct"/>
            <w:vMerge w:val="continue"/>
            <w:tcBorders>
              <w:tl2br w:val="nil"/>
              <w:tr2bl w:val="nil"/>
            </w:tcBorders>
            <w:vAlign w:val="center"/>
          </w:tcPr>
          <w:p w14:paraId="092E2866">
            <w:pPr>
              <w:jc w:val="center"/>
              <w:rPr>
                <w:bCs/>
                <w:color w:val="000000"/>
                <w:szCs w:val="21"/>
              </w:rPr>
            </w:pPr>
          </w:p>
        </w:tc>
        <w:tc>
          <w:tcPr>
            <w:tcW w:w="792" w:type="pct"/>
            <w:vMerge w:val="continue"/>
            <w:tcBorders>
              <w:tl2br w:val="nil"/>
              <w:tr2bl w:val="nil"/>
            </w:tcBorders>
            <w:vAlign w:val="center"/>
          </w:tcPr>
          <w:p w14:paraId="3B8477D6">
            <w:pPr>
              <w:jc w:val="center"/>
              <w:rPr>
                <w:bCs/>
                <w:color w:val="000000"/>
                <w:szCs w:val="21"/>
              </w:rPr>
            </w:pPr>
          </w:p>
        </w:tc>
        <w:tc>
          <w:tcPr>
            <w:tcW w:w="438" w:type="pct"/>
            <w:tcBorders>
              <w:tl2br w:val="nil"/>
              <w:tr2bl w:val="nil"/>
            </w:tcBorders>
            <w:shd w:val="clear" w:color="auto" w:fill="auto"/>
            <w:vAlign w:val="center"/>
          </w:tcPr>
          <w:p w14:paraId="19D65A5E">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SS</w:t>
            </w:r>
          </w:p>
        </w:tc>
        <w:tc>
          <w:tcPr>
            <w:tcW w:w="420" w:type="pct"/>
            <w:tcBorders>
              <w:tl2br w:val="nil"/>
              <w:tr2bl w:val="nil"/>
            </w:tcBorders>
            <w:shd w:val="clear" w:color="auto" w:fill="auto"/>
            <w:vAlign w:val="center"/>
          </w:tcPr>
          <w:p w14:paraId="17889020">
            <w:pPr>
              <w:widowControl w:val="0"/>
              <w:kinsoku w:val="0"/>
              <w:overflowPunct w:val="0"/>
              <w:autoSpaceDE w:val="0"/>
              <w:autoSpaceDN w:val="0"/>
              <w:spacing w:line="240" w:lineRule="auto"/>
              <w:ind w:firstLine="0" w:firstLineChars="0"/>
              <w:jc w:val="center"/>
              <w:rPr>
                <w:rFonts w:hint="eastAsia" w:ascii="Times New Roman" w:hAnsi="Times New Roman" w:eastAsia="宋体" w:cs="Times New Roman"/>
                <w:color w:val="auto"/>
                <w:kern w:val="2"/>
                <w:sz w:val="21"/>
                <w:szCs w:val="21"/>
                <w:lang w:val="en-US" w:eastAsia="zh-CN" w:bidi="zh-CN"/>
              </w:rPr>
            </w:pPr>
            <w:r>
              <w:rPr>
                <w:rFonts w:hint="eastAsia" w:ascii="Times New Roman" w:hAnsi="Times New Roman" w:eastAsia="宋体" w:cs="Times New Roman"/>
                <w:color w:val="auto"/>
                <w:sz w:val="21"/>
                <w:szCs w:val="21"/>
                <w:lang w:val="en-US" w:eastAsia="zh-CN" w:bidi="zh-CN"/>
              </w:rPr>
              <w:t>200</w:t>
            </w:r>
          </w:p>
        </w:tc>
        <w:tc>
          <w:tcPr>
            <w:tcW w:w="387" w:type="pct"/>
            <w:tcBorders>
              <w:tl2br w:val="nil"/>
              <w:tr2bl w:val="nil"/>
            </w:tcBorders>
            <w:shd w:val="clear" w:color="auto" w:fill="auto"/>
            <w:vAlign w:val="center"/>
          </w:tcPr>
          <w:p w14:paraId="69AAA0A9">
            <w:pPr>
              <w:widowControl w:val="0"/>
              <w:kinsoku w:val="0"/>
              <w:overflowPunct w:val="0"/>
              <w:autoSpaceDE w:val="0"/>
              <w:autoSpaceDN w:val="0"/>
              <w:spacing w:line="240" w:lineRule="auto"/>
              <w:ind w:firstLine="0" w:firstLineChars="0"/>
              <w:jc w:val="center"/>
              <w:rPr>
                <w:rFonts w:hint="eastAsia" w:ascii="Times New Roman" w:hAnsi="Times New Roman" w:eastAsia="宋体" w:cs="Times New Roman"/>
                <w:color w:val="auto"/>
                <w:kern w:val="2"/>
                <w:sz w:val="21"/>
                <w:szCs w:val="21"/>
                <w:lang w:val="en-US" w:eastAsia="zh-CN" w:bidi="zh-CN"/>
              </w:rPr>
            </w:pPr>
            <w:r>
              <w:rPr>
                <w:rFonts w:hint="eastAsia" w:ascii="Times New Roman" w:hAnsi="Times New Roman" w:eastAsia="宋体" w:cs="Times New Roman"/>
                <w:color w:val="auto"/>
                <w:sz w:val="21"/>
                <w:szCs w:val="21"/>
                <w:lang w:val="en-US" w:eastAsia="zh-CN" w:bidi="zh-CN"/>
              </w:rPr>
              <w:t>0.018</w:t>
            </w:r>
          </w:p>
        </w:tc>
        <w:tc>
          <w:tcPr>
            <w:tcW w:w="342" w:type="pct"/>
            <w:tcBorders>
              <w:tl2br w:val="nil"/>
              <w:tr2bl w:val="nil"/>
            </w:tcBorders>
            <w:vAlign w:val="center"/>
          </w:tcPr>
          <w:p w14:paraId="6BF1F89B">
            <w:pPr>
              <w:jc w:val="center"/>
              <w:rPr>
                <w:rFonts w:hint="eastAsia"/>
                <w:bCs/>
                <w:color w:val="000000"/>
                <w:szCs w:val="21"/>
              </w:rPr>
            </w:pPr>
            <w:r>
              <w:rPr>
                <w:rFonts w:hint="eastAsia"/>
                <w:bCs/>
                <w:color w:val="000000"/>
                <w:szCs w:val="21"/>
              </w:rPr>
              <w:t>/</w:t>
            </w:r>
          </w:p>
        </w:tc>
        <w:tc>
          <w:tcPr>
            <w:tcW w:w="482" w:type="pct"/>
            <w:vMerge w:val="continue"/>
            <w:tcBorders>
              <w:tl2br w:val="nil"/>
              <w:tr2bl w:val="nil"/>
            </w:tcBorders>
            <w:vAlign w:val="center"/>
          </w:tcPr>
          <w:p w14:paraId="4199531B">
            <w:pPr>
              <w:jc w:val="center"/>
              <w:rPr>
                <w:rFonts w:hint="eastAsia"/>
                <w:bCs/>
                <w:color w:val="000000"/>
                <w:szCs w:val="21"/>
              </w:rPr>
            </w:pPr>
          </w:p>
        </w:tc>
        <w:tc>
          <w:tcPr>
            <w:tcW w:w="1462" w:type="pct"/>
            <w:vMerge w:val="continue"/>
            <w:tcBorders>
              <w:tl2br w:val="nil"/>
              <w:tr2bl w:val="nil"/>
            </w:tcBorders>
            <w:vAlign w:val="center"/>
          </w:tcPr>
          <w:p w14:paraId="1A6BF19F">
            <w:pPr>
              <w:jc w:val="center"/>
              <w:rPr>
                <w:bCs/>
                <w:color w:val="000000"/>
                <w:szCs w:val="21"/>
              </w:rPr>
            </w:pPr>
          </w:p>
        </w:tc>
      </w:tr>
      <w:tr w14:paraId="7A1E8BC6">
        <w:tblPrEx>
          <w:tblBorders>
            <w:top w:val="single" w:color="auto" w:sz="12" w:space="0"/>
            <w:left w:val="single" w:color="auto" w:sz="12" w:space="0"/>
            <w:bottom w:val="single" w:color="auto" w:sz="12" w:space="0"/>
            <w:right w:val="single" w:color="auto" w:sz="12" w:space="0"/>
            <w:insideH w:val="single" w:color="auto" w:sz="2" w:space="0"/>
            <w:insideV w:val="single" w:color="auto" w:sz="6" w:space="0"/>
          </w:tblBorders>
          <w:tblCellMar>
            <w:top w:w="0" w:type="dxa"/>
            <w:left w:w="108" w:type="dxa"/>
            <w:bottom w:w="0" w:type="dxa"/>
            <w:right w:w="108" w:type="dxa"/>
          </w:tblCellMar>
        </w:tblPrEx>
        <w:trPr>
          <w:trHeight w:val="454" w:hRule="atLeast"/>
          <w:jc w:val="center"/>
        </w:trPr>
        <w:tc>
          <w:tcPr>
            <w:tcW w:w="149" w:type="pct"/>
            <w:vMerge w:val="continue"/>
            <w:tcBorders>
              <w:tl2br w:val="nil"/>
              <w:tr2bl w:val="nil"/>
            </w:tcBorders>
            <w:vAlign w:val="center"/>
          </w:tcPr>
          <w:p w14:paraId="7576C725">
            <w:pPr>
              <w:jc w:val="center"/>
              <w:rPr>
                <w:rFonts w:hint="eastAsia"/>
                <w:bCs/>
                <w:color w:val="000000"/>
                <w:szCs w:val="21"/>
              </w:rPr>
            </w:pPr>
          </w:p>
        </w:tc>
        <w:tc>
          <w:tcPr>
            <w:tcW w:w="525" w:type="pct"/>
            <w:vMerge w:val="continue"/>
            <w:tcBorders>
              <w:tl2br w:val="nil"/>
              <w:tr2bl w:val="nil"/>
            </w:tcBorders>
            <w:vAlign w:val="center"/>
          </w:tcPr>
          <w:p w14:paraId="7DB348AA">
            <w:pPr>
              <w:jc w:val="center"/>
              <w:rPr>
                <w:bCs/>
                <w:color w:val="000000"/>
                <w:szCs w:val="21"/>
              </w:rPr>
            </w:pPr>
          </w:p>
        </w:tc>
        <w:tc>
          <w:tcPr>
            <w:tcW w:w="792" w:type="pct"/>
            <w:vMerge w:val="continue"/>
            <w:tcBorders>
              <w:tl2br w:val="nil"/>
              <w:tr2bl w:val="nil"/>
            </w:tcBorders>
            <w:vAlign w:val="center"/>
          </w:tcPr>
          <w:p w14:paraId="3C254D69">
            <w:pPr>
              <w:jc w:val="center"/>
              <w:rPr>
                <w:bCs/>
                <w:color w:val="000000"/>
                <w:szCs w:val="21"/>
              </w:rPr>
            </w:pPr>
          </w:p>
        </w:tc>
        <w:tc>
          <w:tcPr>
            <w:tcW w:w="438" w:type="pct"/>
            <w:tcBorders>
              <w:tl2br w:val="nil"/>
              <w:tr2bl w:val="nil"/>
            </w:tcBorders>
            <w:shd w:val="clear" w:color="auto" w:fill="auto"/>
            <w:vAlign w:val="center"/>
          </w:tcPr>
          <w:p w14:paraId="73FD7450">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NH</w:t>
            </w:r>
            <w:r>
              <w:rPr>
                <w:rFonts w:hint="default" w:ascii="Times New Roman" w:hAnsi="Times New Roman" w:eastAsia="宋体" w:cs="Times New Roman"/>
                <w:color w:val="auto"/>
                <w:sz w:val="21"/>
                <w:szCs w:val="21"/>
                <w:vertAlign w:val="subscript"/>
              </w:rPr>
              <w:t>3</w:t>
            </w:r>
            <w:r>
              <w:rPr>
                <w:rFonts w:hint="default" w:ascii="Times New Roman" w:hAnsi="Times New Roman" w:eastAsia="宋体" w:cs="Times New Roman"/>
                <w:color w:val="auto"/>
                <w:sz w:val="21"/>
                <w:szCs w:val="21"/>
              </w:rPr>
              <w:t>-N</w:t>
            </w:r>
          </w:p>
        </w:tc>
        <w:tc>
          <w:tcPr>
            <w:tcW w:w="420" w:type="pct"/>
            <w:tcBorders>
              <w:tl2br w:val="nil"/>
              <w:tr2bl w:val="nil"/>
            </w:tcBorders>
            <w:shd w:val="clear" w:color="auto" w:fill="auto"/>
            <w:vAlign w:val="center"/>
          </w:tcPr>
          <w:p w14:paraId="5CFD926A">
            <w:pPr>
              <w:widowControl w:val="0"/>
              <w:kinsoku w:val="0"/>
              <w:overflowPunct w:val="0"/>
              <w:autoSpaceDE w:val="0"/>
              <w:autoSpaceDN w:val="0"/>
              <w:spacing w:line="240" w:lineRule="auto"/>
              <w:ind w:firstLine="0" w:firstLineChars="0"/>
              <w:jc w:val="center"/>
              <w:rPr>
                <w:rFonts w:hint="eastAsia" w:ascii="Times New Roman" w:hAnsi="Times New Roman" w:eastAsia="宋体" w:cs="Times New Roman"/>
                <w:color w:val="auto"/>
                <w:kern w:val="2"/>
                <w:sz w:val="21"/>
                <w:szCs w:val="21"/>
                <w:lang w:val="en-US" w:eastAsia="zh-CN" w:bidi="zh-CN"/>
              </w:rPr>
            </w:pPr>
            <w:r>
              <w:rPr>
                <w:rFonts w:ascii="Times New Roman" w:hAnsi="Times New Roman" w:eastAsia="宋体" w:cs="Times New Roman"/>
                <w:color w:val="auto"/>
                <w:sz w:val="21"/>
                <w:szCs w:val="21"/>
                <w:lang w:val="en-US" w:eastAsia="zh-CN" w:bidi="zh-CN"/>
              </w:rPr>
              <w:t>30</w:t>
            </w:r>
          </w:p>
        </w:tc>
        <w:tc>
          <w:tcPr>
            <w:tcW w:w="387" w:type="pct"/>
            <w:tcBorders>
              <w:tl2br w:val="nil"/>
              <w:tr2bl w:val="nil"/>
            </w:tcBorders>
            <w:shd w:val="clear" w:color="auto" w:fill="auto"/>
            <w:vAlign w:val="center"/>
          </w:tcPr>
          <w:p w14:paraId="366E45A7">
            <w:pPr>
              <w:widowControl w:val="0"/>
              <w:kinsoku w:val="0"/>
              <w:overflowPunct w:val="0"/>
              <w:autoSpaceDE w:val="0"/>
              <w:autoSpaceDN w:val="0"/>
              <w:spacing w:line="240" w:lineRule="auto"/>
              <w:ind w:firstLine="0" w:firstLineChars="0"/>
              <w:jc w:val="center"/>
              <w:rPr>
                <w:rFonts w:hint="eastAsia" w:ascii="Times New Roman" w:hAnsi="Times New Roman" w:eastAsia="宋体" w:cs="Times New Roman"/>
                <w:color w:val="auto"/>
                <w:kern w:val="2"/>
                <w:sz w:val="21"/>
                <w:szCs w:val="21"/>
                <w:lang w:val="en-US" w:eastAsia="zh-CN" w:bidi="zh-CN"/>
              </w:rPr>
            </w:pPr>
            <w:r>
              <w:rPr>
                <w:rFonts w:hint="eastAsia" w:ascii="Times New Roman" w:hAnsi="Times New Roman" w:eastAsia="宋体" w:cs="Times New Roman"/>
                <w:color w:val="auto"/>
                <w:sz w:val="21"/>
                <w:szCs w:val="21"/>
                <w:lang w:val="en-US" w:eastAsia="zh-CN" w:bidi="zh-CN"/>
              </w:rPr>
              <w:t>0.0028</w:t>
            </w:r>
          </w:p>
        </w:tc>
        <w:tc>
          <w:tcPr>
            <w:tcW w:w="342" w:type="pct"/>
            <w:tcBorders>
              <w:tl2br w:val="nil"/>
              <w:tr2bl w:val="nil"/>
            </w:tcBorders>
            <w:vAlign w:val="center"/>
          </w:tcPr>
          <w:p w14:paraId="7281D52A">
            <w:pPr>
              <w:jc w:val="center"/>
              <w:rPr>
                <w:rFonts w:hint="eastAsia"/>
                <w:bCs/>
                <w:color w:val="000000"/>
                <w:szCs w:val="21"/>
              </w:rPr>
            </w:pPr>
            <w:r>
              <w:rPr>
                <w:rFonts w:hint="eastAsia"/>
                <w:bCs/>
                <w:color w:val="000000"/>
                <w:szCs w:val="21"/>
              </w:rPr>
              <w:t>/</w:t>
            </w:r>
          </w:p>
        </w:tc>
        <w:tc>
          <w:tcPr>
            <w:tcW w:w="482" w:type="pct"/>
            <w:vMerge w:val="continue"/>
            <w:tcBorders>
              <w:tl2br w:val="nil"/>
              <w:tr2bl w:val="nil"/>
            </w:tcBorders>
            <w:vAlign w:val="center"/>
          </w:tcPr>
          <w:p w14:paraId="6A70C916">
            <w:pPr>
              <w:jc w:val="center"/>
              <w:rPr>
                <w:rFonts w:hint="eastAsia"/>
                <w:bCs/>
                <w:color w:val="000000"/>
                <w:szCs w:val="21"/>
              </w:rPr>
            </w:pPr>
          </w:p>
        </w:tc>
        <w:tc>
          <w:tcPr>
            <w:tcW w:w="1462" w:type="pct"/>
            <w:vMerge w:val="continue"/>
            <w:tcBorders>
              <w:tl2br w:val="nil"/>
              <w:tr2bl w:val="nil"/>
            </w:tcBorders>
            <w:vAlign w:val="center"/>
          </w:tcPr>
          <w:p w14:paraId="2854CF3F">
            <w:pPr>
              <w:jc w:val="center"/>
              <w:rPr>
                <w:bCs/>
                <w:color w:val="000000"/>
                <w:szCs w:val="21"/>
              </w:rPr>
            </w:pPr>
          </w:p>
        </w:tc>
      </w:tr>
      <w:tr w14:paraId="7869E236">
        <w:tblPrEx>
          <w:tblBorders>
            <w:top w:val="single" w:color="auto" w:sz="12" w:space="0"/>
            <w:left w:val="single" w:color="auto" w:sz="12" w:space="0"/>
            <w:bottom w:val="single" w:color="auto" w:sz="12" w:space="0"/>
            <w:right w:val="single" w:color="auto" w:sz="12" w:space="0"/>
            <w:insideH w:val="single" w:color="auto" w:sz="2" w:space="0"/>
            <w:insideV w:val="single" w:color="auto" w:sz="6" w:space="0"/>
          </w:tblBorders>
          <w:tblCellMar>
            <w:top w:w="0" w:type="dxa"/>
            <w:left w:w="108" w:type="dxa"/>
            <w:bottom w:w="0" w:type="dxa"/>
            <w:right w:w="108" w:type="dxa"/>
          </w:tblCellMar>
        </w:tblPrEx>
        <w:trPr>
          <w:trHeight w:val="454" w:hRule="atLeast"/>
          <w:jc w:val="center"/>
        </w:trPr>
        <w:tc>
          <w:tcPr>
            <w:tcW w:w="149" w:type="pct"/>
            <w:tcBorders>
              <w:top w:val="single" w:color="auto" w:sz="8" w:space="0"/>
              <w:left w:val="single" w:color="auto" w:sz="8" w:space="0"/>
              <w:bottom w:val="single" w:color="auto" w:sz="8" w:space="0"/>
              <w:right w:val="single" w:color="auto" w:sz="8" w:space="0"/>
              <w:tl2br w:val="nil"/>
              <w:tr2bl w:val="nil"/>
            </w:tcBorders>
            <w:vAlign w:val="center"/>
          </w:tcPr>
          <w:p w14:paraId="1068B721">
            <w:pPr>
              <w:jc w:val="center"/>
              <w:rPr>
                <w:bCs/>
                <w:color w:val="000000"/>
                <w:szCs w:val="21"/>
              </w:rPr>
            </w:pPr>
            <w:r>
              <w:rPr>
                <w:rFonts w:hint="eastAsia"/>
                <w:bCs/>
                <w:color w:val="000000"/>
                <w:szCs w:val="21"/>
              </w:rPr>
              <w:t>噪声</w:t>
            </w:r>
          </w:p>
        </w:tc>
        <w:tc>
          <w:tcPr>
            <w:tcW w:w="525" w:type="pct"/>
            <w:tcBorders>
              <w:left w:val="single" w:color="auto" w:sz="8" w:space="0"/>
              <w:tl2br w:val="nil"/>
              <w:tr2bl w:val="nil"/>
            </w:tcBorders>
            <w:vAlign w:val="center"/>
          </w:tcPr>
          <w:p w14:paraId="1C46367F">
            <w:pPr>
              <w:jc w:val="center"/>
              <w:rPr>
                <w:bCs/>
                <w:color w:val="000000"/>
                <w:szCs w:val="21"/>
              </w:rPr>
            </w:pPr>
            <w:r>
              <w:rPr>
                <w:rFonts w:hint="eastAsia"/>
                <w:bCs/>
                <w:color w:val="000000"/>
                <w:szCs w:val="21"/>
              </w:rPr>
              <w:t>设备噪声</w:t>
            </w:r>
          </w:p>
        </w:tc>
        <w:tc>
          <w:tcPr>
            <w:tcW w:w="792" w:type="pct"/>
            <w:tcBorders>
              <w:tl2br w:val="nil"/>
              <w:tr2bl w:val="nil"/>
            </w:tcBorders>
            <w:vAlign w:val="center"/>
          </w:tcPr>
          <w:p w14:paraId="4CA560E1">
            <w:pPr>
              <w:jc w:val="center"/>
              <w:rPr>
                <w:bCs/>
                <w:color w:val="000000"/>
                <w:szCs w:val="21"/>
              </w:rPr>
            </w:pPr>
            <w:r>
              <w:rPr>
                <w:rFonts w:hint="eastAsia"/>
                <w:bCs/>
                <w:color w:val="000000"/>
                <w:szCs w:val="21"/>
              </w:rPr>
              <w:t>减振基础、减振垫、厂房隔声、距离衰减等</w:t>
            </w:r>
          </w:p>
        </w:tc>
        <w:tc>
          <w:tcPr>
            <w:tcW w:w="438" w:type="pct"/>
            <w:tcBorders>
              <w:tl2br w:val="nil"/>
              <w:tr2bl w:val="nil"/>
            </w:tcBorders>
            <w:vAlign w:val="center"/>
          </w:tcPr>
          <w:p w14:paraId="7F828129">
            <w:pPr>
              <w:jc w:val="center"/>
              <w:rPr>
                <w:bCs/>
                <w:color w:val="000000"/>
                <w:szCs w:val="21"/>
              </w:rPr>
            </w:pPr>
            <w:r>
              <w:rPr>
                <w:rFonts w:hint="eastAsia"/>
                <w:bCs/>
                <w:color w:val="000000"/>
                <w:szCs w:val="21"/>
              </w:rPr>
              <w:t>机械噪声</w:t>
            </w:r>
          </w:p>
        </w:tc>
        <w:tc>
          <w:tcPr>
            <w:tcW w:w="420" w:type="pct"/>
            <w:tcBorders>
              <w:tl2br w:val="nil"/>
              <w:tr2bl w:val="nil"/>
            </w:tcBorders>
            <w:vAlign w:val="center"/>
          </w:tcPr>
          <w:p w14:paraId="4CA1F18A">
            <w:pPr>
              <w:jc w:val="center"/>
              <w:rPr>
                <w:bCs/>
                <w:color w:val="000000"/>
                <w:szCs w:val="21"/>
              </w:rPr>
            </w:pPr>
            <w:r>
              <w:rPr>
                <w:rFonts w:hint="eastAsia"/>
                <w:bCs/>
                <w:color w:val="000000"/>
                <w:szCs w:val="21"/>
              </w:rPr>
              <w:t>/</w:t>
            </w:r>
          </w:p>
        </w:tc>
        <w:tc>
          <w:tcPr>
            <w:tcW w:w="387" w:type="pct"/>
            <w:tcBorders>
              <w:tl2br w:val="nil"/>
              <w:tr2bl w:val="nil"/>
            </w:tcBorders>
            <w:vAlign w:val="center"/>
          </w:tcPr>
          <w:p w14:paraId="7BBC077B">
            <w:pPr>
              <w:jc w:val="center"/>
              <w:rPr>
                <w:bCs/>
                <w:color w:val="000000"/>
                <w:szCs w:val="21"/>
              </w:rPr>
            </w:pPr>
            <w:r>
              <w:rPr>
                <w:rFonts w:hint="eastAsia"/>
                <w:bCs/>
                <w:color w:val="000000"/>
                <w:szCs w:val="21"/>
              </w:rPr>
              <w:t>/</w:t>
            </w:r>
          </w:p>
        </w:tc>
        <w:tc>
          <w:tcPr>
            <w:tcW w:w="342" w:type="pct"/>
            <w:tcBorders>
              <w:tl2br w:val="nil"/>
              <w:tr2bl w:val="nil"/>
            </w:tcBorders>
            <w:vAlign w:val="center"/>
          </w:tcPr>
          <w:p w14:paraId="7777FD68">
            <w:pPr>
              <w:jc w:val="center"/>
              <w:rPr>
                <w:bCs/>
                <w:color w:val="000000"/>
                <w:szCs w:val="21"/>
              </w:rPr>
            </w:pPr>
            <w:r>
              <w:rPr>
                <w:rFonts w:hint="eastAsia"/>
                <w:bCs/>
                <w:color w:val="000000"/>
                <w:szCs w:val="21"/>
              </w:rPr>
              <w:t>/</w:t>
            </w:r>
          </w:p>
        </w:tc>
        <w:tc>
          <w:tcPr>
            <w:tcW w:w="482" w:type="pct"/>
            <w:tcBorders>
              <w:tl2br w:val="nil"/>
              <w:tr2bl w:val="nil"/>
            </w:tcBorders>
            <w:vAlign w:val="center"/>
          </w:tcPr>
          <w:p w14:paraId="51416535">
            <w:pPr>
              <w:jc w:val="center"/>
              <w:rPr>
                <w:bCs/>
                <w:color w:val="000000"/>
                <w:szCs w:val="21"/>
              </w:rPr>
            </w:pPr>
            <w:r>
              <w:rPr>
                <w:rFonts w:hint="eastAsia"/>
                <w:bCs/>
                <w:color w:val="000000"/>
                <w:szCs w:val="21"/>
              </w:rPr>
              <w:t>无特殊要求</w:t>
            </w:r>
          </w:p>
        </w:tc>
        <w:tc>
          <w:tcPr>
            <w:tcW w:w="1462" w:type="pct"/>
            <w:tcBorders>
              <w:tl2br w:val="nil"/>
              <w:tr2bl w:val="nil"/>
            </w:tcBorders>
            <w:vAlign w:val="center"/>
          </w:tcPr>
          <w:p w14:paraId="54D487C8">
            <w:pPr>
              <w:jc w:val="center"/>
              <w:rPr>
                <w:bCs/>
                <w:color w:val="000000"/>
                <w:szCs w:val="21"/>
              </w:rPr>
            </w:pPr>
            <w:r>
              <w:rPr>
                <w:rFonts w:hint="eastAsia"/>
                <w:bCs/>
                <w:color w:val="000000"/>
                <w:szCs w:val="21"/>
              </w:rPr>
              <w:t>《工业企业厂界环境噪声排放标准》（GB12348-2008）中的2类区标准要求</w:t>
            </w:r>
          </w:p>
        </w:tc>
      </w:tr>
      <w:tr w14:paraId="54F82CD9">
        <w:tblPrEx>
          <w:tblBorders>
            <w:top w:val="single" w:color="auto" w:sz="12" w:space="0"/>
            <w:left w:val="single" w:color="auto" w:sz="12" w:space="0"/>
            <w:bottom w:val="single" w:color="auto" w:sz="12" w:space="0"/>
            <w:right w:val="single" w:color="auto" w:sz="12" w:space="0"/>
            <w:insideH w:val="single" w:color="auto" w:sz="2" w:space="0"/>
            <w:insideV w:val="single" w:color="auto" w:sz="6" w:space="0"/>
          </w:tblBorders>
          <w:tblCellMar>
            <w:top w:w="0" w:type="dxa"/>
            <w:left w:w="108" w:type="dxa"/>
            <w:bottom w:w="0" w:type="dxa"/>
            <w:right w:w="108" w:type="dxa"/>
          </w:tblCellMar>
        </w:tblPrEx>
        <w:trPr>
          <w:trHeight w:val="454" w:hRule="atLeast"/>
          <w:jc w:val="center"/>
        </w:trPr>
        <w:tc>
          <w:tcPr>
            <w:tcW w:w="149" w:type="pct"/>
            <w:vMerge w:val="restart"/>
            <w:tcBorders>
              <w:top w:val="single" w:color="auto" w:sz="8" w:space="0"/>
              <w:tl2br w:val="nil"/>
              <w:tr2bl w:val="nil"/>
            </w:tcBorders>
            <w:vAlign w:val="center"/>
          </w:tcPr>
          <w:p w14:paraId="11183AAA">
            <w:pPr>
              <w:jc w:val="center"/>
              <w:rPr>
                <w:bCs/>
                <w:color w:val="000000"/>
                <w:szCs w:val="21"/>
              </w:rPr>
            </w:pPr>
            <w:r>
              <w:rPr>
                <w:rFonts w:hint="eastAsia"/>
                <w:bCs/>
                <w:color w:val="000000"/>
                <w:szCs w:val="21"/>
              </w:rPr>
              <w:t>固废</w:t>
            </w:r>
          </w:p>
        </w:tc>
        <w:tc>
          <w:tcPr>
            <w:tcW w:w="525" w:type="pct"/>
            <w:vMerge w:val="restart"/>
            <w:tcBorders>
              <w:tl2br w:val="nil"/>
              <w:tr2bl w:val="nil"/>
            </w:tcBorders>
            <w:vAlign w:val="center"/>
          </w:tcPr>
          <w:p w14:paraId="698F47C6">
            <w:pPr>
              <w:jc w:val="center"/>
              <w:rPr>
                <w:bCs/>
                <w:color w:val="000000"/>
                <w:szCs w:val="21"/>
              </w:rPr>
            </w:pPr>
            <w:r>
              <w:rPr>
                <w:rFonts w:hint="eastAsia"/>
                <w:bCs/>
                <w:color w:val="000000"/>
                <w:szCs w:val="21"/>
              </w:rPr>
              <w:t>生产</w:t>
            </w:r>
          </w:p>
        </w:tc>
        <w:tc>
          <w:tcPr>
            <w:tcW w:w="792" w:type="pct"/>
            <w:tcBorders>
              <w:tl2br w:val="nil"/>
              <w:tr2bl w:val="nil"/>
            </w:tcBorders>
            <w:vAlign w:val="center"/>
          </w:tcPr>
          <w:p w14:paraId="38C163BA">
            <w:pPr>
              <w:jc w:val="center"/>
              <w:rPr>
                <w:bCs/>
                <w:color w:val="000000"/>
                <w:szCs w:val="21"/>
              </w:rPr>
            </w:pPr>
            <w:r>
              <w:rPr>
                <w:rFonts w:hint="eastAsia"/>
                <w:szCs w:val="21"/>
              </w:rPr>
              <w:t>不合格品、</w:t>
            </w:r>
            <w:r>
              <w:rPr>
                <w:szCs w:val="21"/>
              </w:rPr>
              <w:t>残次品及边角料</w:t>
            </w:r>
            <w:r>
              <w:rPr>
                <w:rFonts w:hint="eastAsia"/>
                <w:szCs w:val="21"/>
              </w:rPr>
              <w:t>粒工序</w:t>
            </w:r>
          </w:p>
        </w:tc>
        <w:tc>
          <w:tcPr>
            <w:tcW w:w="438" w:type="pct"/>
            <w:tcBorders>
              <w:tl2br w:val="nil"/>
              <w:tr2bl w:val="nil"/>
            </w:tcBorders>
            <w:vAlign w:val="center"/>
          </w:tcPr>
          <w:p w14:paraId="6E1BA684">
            <w:pPr>
              <w:jc w:val="center"/>
              <w:rPr>
                <w:bCs/>
                <w:color w:val="000000"/>
                <w:szCs w:val="21"/>
              </w:rPr>
            </w:pPr>
            <w:r>
              <w:rPr>
                <w:szCs w:val="21"/>
              </w:rPr>
              <w:t>收集后</w:t>
            </w:r>
            <w:r>
              <w:rPr>
                <w:rFonts w:hint="eastAsia"/>
                <w:szCs w:val="21"/>
              </w:rPr>
              <w:t>返回造</w:t>
            </w:r>
          </w:p>
        </w:tc>
        <w:tc>
          <w:tcPr>
            <w:tcW w:w="420" w:type="pct"/>
            <w:tcBorders>
              <w:tl2br w:val="nil"/>
              <w:tr2bl w:val="nil"/>
            </w:tcBorders>
            <w:vAlign w:val="center"/>
          </w:tcPr>
          <w:p w14:paraId="35D00EE3">
            <w:pPr>
              <w:jc w:val="center"/>
              <w:rPr>
                <w:bCs/>
                <w:color w:val="000000"/>
                <w:szCs w:val="21"/>
              </w:rPr>
            </w:pPr>
            <w:r>
              <w:rPr>
                <w:rFonts w:hint="eastAsia"/>
                <w:bCs/>
                <w:color w:val="000000"/>
                <w:szCs w:val="21"/>
              </w:rPr>
              <w:t>/</w:t>
            </w:r>
          </w:p>
        </w:tc>
        <w:tc>
          <w:tcPr>
            <w:tcW w:w="387" w:type="pct"/>
            <w:tcBorders>
              <w:tl2br w:val="nil"/>
              <w:tr2bl w:val="nil"/>
            </w:tcBorders>
            <w:vAlign w:val="center"/>
          </w:tcPr>
          <w:p w14:paraId="09D7FAE7">
            <w:pPr>
              <w:jc w:val="center"/>
              <w:rPr>
                <w:rFonts w:hint="default" w:eastAsia="宋体"/>
                <w:bCs/>
                <w:color w:val="000000"/>
                <w:szCs w:val="21"/>
                <w:lang w:val="en-US" w:eastAsia="zh-CN"/>
              </w:rPr>
            </w:pPr>
            <w:r>
              <w:rPr>
                <w:rFonts w:hint="eastAsia"/>
                <w:bCs/>
                <w:color w:val="000000"/>
                <w:szCs w:val="21"/>
                <w:lang w:val="en-US" w:eastAsia="zh-CN"/>
              </w:rPr>
              <w:t>46.314</w:t>
            </w:r>
          </w:p>
        </w:tc>
        <w:tc>
          <w:tcPr>
            <w:tcW w:w="342" w:type="pct"/>
            <w:tcBorders>
              <w:tl2br w:val="nil"/>
              <w:tr2bl w:val="nil"/>
            </w:tcBorders>
            <w:vAlign w:val="center"/>
          </w:tcPr>
          <w:p w14:paraId="3DC11AA1">
            <w:pPr>
              <w:jc w:val="center"/>
              <w:rPr>
                <w:bCs/>
                <w:color w:val="000000"/>
                <w:szCs w:val="21"/>
              </w:rPr>
            </w:pPr>
            <w:r>
              <w:rPr>
                <w:rFonts w:hint="eastAsia"/>
                <w:bCs/>
                <w:color w:val="000000"/>
                <w:szCs w:val="21"/>
              </w:rPr>
              <w:t>/</w:t>
            </w:r>
          </w:p>
        </w:tc>
        <w:tc>
          <w:tcPr>
            <w:tcW w:w="482" w:type="pct"/>
            <w:tcBorders>
              <w:tl2br w:val="nil"/>
              <w:tr2bl w:val="nil"/>
            </w:tcBorders>
            <w:vAlign w:val="center"/>
          </w:tcPr>
          <w:p w14:paraId="34275A7F">
            <w:pPr>
              <w:jc w:val="center"/>
              <w:rPr>
                <w:bCs/>
                <w:color w:val="000000"/>
                <w:szCs w:val="21"/>
              </w:rPr>
            </w:pPr>
            <w:r>
              <w:rPr>
                <w:rFonts w:hint="eastAsia"/>
                <w:bCs/>
                <w:color w:val="000000"/>
                <w:szCs w:val="21"/>
              </w:rPr>
              <w:t>无特殊要求</w:t>
            </w:r>
          </w:p>
        </w:tc>
        <w:tc>
          <w:tcPr>
            <w:tcW w:w="1462" w:type="pct"/>
            <w:vMerge w:val="restart"/>
            <w:tcBorders>
              <w:tl2br w:val="nil"/>
              <w:tr2bl w:val="nil"/>
            </w:tcBorders>
            <w:vAlign w:val="center"/>
          </w:tcPr>
          <w:p w14:paraId="64C782F7">
            <w:pPr>
              <w:jc w:val="center"/>
              <w:rPr>
                <w:bCs/>
                <w:color w:val="000000"/>
                <w:szCs w:val="21"/>
              </w:rPr>
            </w:pPr>
            <w:r>
              <w:rPr>
                <w:rFonts w:hint="eastAsia"/>
                <w:bCs/>
                <w:color w:val="000000"/>
                <w:szCs w:val="21"/>
              </w:rPr>
              <w:t>《一般工业固体废物贮存和填埋污染控制标准》（GB18599-2020）中的相关要求</w:t>
            </w:r>
          </w:p>
        </w:tc>
      </w:tr>
      <w:tr w14:paraId="225E60BF">
        <w:tblPrEx>
          <w:tblBorders>
            <w:top w:val="single" w:color="auto" w:sz="12" w:space="0"/>
            <w:left w:val="single" w:color="auto" w:sz="12" w:space="0"/>
            <w:bottom w:val="single" w:color="auto" w:sz="12" w:space="0"/>
            <w:right w:val="single" w:color="auto" w:sz="12" w:space="0"/>
            <w:insideH w:val="single" w:color="auto" w:sz="2" w:space="0"/>
            <w:insideV w:val="single" w:color="auto" w:sz="6" w:space="0"/>
          </w:tblBorders>
          <w:tblCellMar>
            <w:top w:w="0" w:type="dxa"/>
            <w:left w:w="108" w:type="dxa"/>
            <w:bottom w:w="0" w:type="dxa"/>
            <w:right w:w="108" w:type="dxa"/>
          </w:tblCellMar>
        </w:tblPrEx>
        <w:trPr>
          <w:trHeight w:val="454" w:hRule="atLeast"/>
          <w:jc w:val="center"/>
        </w:trPr>
        <w:tc>
          <w:tcPr>
            <w:tcW w:w="149" w:type="pct"/>
            <w:vMerge w:val="continue"/>
            <w:tcBorders>
              <w:tl2br w:val="nil"/>
              <w:tr2bl w:val="nil"/>
            </w:tcBorders>
            <w:vAlign w:val="center"/>
          </w:tcPr>
          <w:p w14:paraId="650C7854">
            <w:pPr>
              <w:jc w:val="center"/>
              <w:rPr>
                <w:bCs/>
                <w:color w:val="000000"/>
                <w:szCs w:val="21"/>
              </w:rPr>
            </w:pPr>
          </w:p>
        </w:tc>
        <w:tc>
          <w:tcPr>
            <w:tcW w:w="525" w:type="pct"/>
            <w:vMerge w:val="continue"/>
            <w:tcBorders>
              <w:tl2br w:val="nil"/>
              <w:tr2bl w:val="nil"/>
            </w:tcBorders>
            <w:vAlign w:val="center"/>
          </w:tcPr>
          <w:p w14:paraId="2A711325">
            <w:pPr>
              <w:jc w:val="center"/>
              <w:rPr>
                <w:bCs/>
                <w:color w:val="000000"/>
                <w:szCs w:val="21"/>
              </w:rPr>
            </w:pPr>
          </w:p>
        </w:tc>
        <w:tc>
          <w:tcPr>
            <w:tcW w:w="792" w:type="pct"/>
            <w:tcBorders>
              <w:tl2br w:val="nil"/>
              <w:tr2bl w:val="nil"/>
            </w:tcBorders>
            <w:vAlign w:val="center"/>
          </w:tcPr>
          <w:p w14:paraId="4EF84A1B">
            <w:pPr>
              <w:jc w:val="center"/>
              <w:rPr>
                <w:bCs/>
                <w:color w:val="000000"/>
                <w:szCs w:val="21"/>
              </w:rPr>
            </w:pPr>
            <w:r>
              <w:rPr>
                <w:rFonts w:hint="eastAsia"/>
                <w:szCs w:val="21"/>
              </w:rPr>
              <w:t>外售给废品回收站处理</w:t>
            </w:r>
          </w:p>
        </w:tc>
        <w:tc>
          <w:tcPr>
            <w:tcW w:w="438" w:type="pct"/>
            <w:tcBorders>
              <w:tl2br w:val="nil"/>
              <w:tr2bl w:val="nil"/>
            </w:tcBorders>
            <w:vAlign w:val="center"/>
          </w:tcPr>
          <w:p w14:paraId="263FDB95">
            <w:pPr>
              <w:jc w:val="center"/>
              <w:rPr>
                <w:bCs/>
                <w:color w:val="000000"/>
                <w:szCs w:val="21"/>
              </w:rPr>
            </w:pPr>
            <w:r>
              <w:rPr>
                <w:rFonts w:hint="eastAsia"/>
                <w:szCs w:val="21"/>
              </w:rPr>
              <w:t>废过滤网</w:t>
            </w:r>
          </w:p>
        </w:tc>
        <w:tc>
          <w:tcPr>
            <w:tcW w:w="420" w:type="pct"/>
            <w:tcBorders>
              <w:tl2br w:val="nil"/>
              <w:tr2bl w:val="nil"/>
            </w:tcBorders>
            <w:vAlign w:val="center"/>
          </w:tcPr>
          <w:p w14:paraId="7AD79A93">
            <w:pPr>
              <w:jc w:val="center"/>
              <w:rPr>
                <w:bCs/>
                <w:color w:val="000000"/>
                <w:szCs w:val="21"/>
              </w:rPr>
            </w:pPr>
            <w:r>
              <w:rPr>
                <w:rFonts w:hint="eastAsia"/>
                <w:bCs/>
                <w:color w:val="000000"/>
                <w:szCs w:val="21"/>
              </w:rPr>
              <w:t>/</w:t>
            </w:r>
          </w:p>
        </w:tc>
        <w:tc>
          <w:tcPr>
            <w:tcW w:w="387" w:type="pct"/>
            <w:tcBorders>
              <w:tl2br w:val="nil"/>
              <w:tr2bl w:val="nil"/>
            </w:tcBorders>
            <w:vAlign w:val="center"/>
          </w:tcPr>
          <w:p w14:paraId="3C51E320">
            <w:pPr>
              <w:jc w:val="center"/>
              <w:rPr>
                <w:rFonts w:hint="eastAsia" w:eastAsia="宋体"/>
                <w:bCs/>
                <w:color w:val="000000"/>
                <w:szCs w:val="21"/>
                <w:lang w:eastAsia="zh-CN"/>
              </w:rPr>
            </w:pPr>
            <w:r>
              <w:rPr>
                <w:rFonts w:hint="eastAsia"/>
                <w:bCs/>
                <w:color w:val="000000"/>
                <w:szCs w:val="21"/>
              </w:rPr>
              <w:t>0</w:t>
            </w:r>
            <w:r>
              <w:rPr>
                <w:rFonts w:hint="eastAsia"/>
                <w:bCs/>
                <w:color w:val="000000"/>
                <w:szCs w:val="21"/>
                <w:lang w:val="en-US" w:eastAsia="zh-CN"/>
              </w:rPr>
              <w:t>.2</w:t>
            </w:r>
          </w:p>
        </w:tc>
        <w:tc>
          <w:tcPr>
            <w:tcW w:w="342" w:type="pct"/>
            <w:tcBorders>
              <w:tl2br w:val="nil"/>
              <w:tr2bl w:val="nil"/>
            </w:tcBorders>
            <w:vAlign w:val="center"/>
          </w:tcPr>
          <w:p w14:paraId="2C8327DB">
            <w:pPr>
              <w:jc w:val="center"/>
              <w:rPr>
                <w:bCs/>
                <w:color w:val="000000"/>
                <w:szCs w:val="21"/>
              </w:rPr>
            </w:pPr>
            <w:r>
              <w:rPr>
                <w:rFonts w:hint="eastAsia"/>
                <w:bCs/>
                <w:color w:val="000000"/>
                <w:szCs w:val="21"/>
              </w:rPr>
              <w:t>/</w:t>
            </w:r>
          </w:p>
        </w:tc>
        <w:tc>
          <w:tcPr>
            <w:tcW w:w="482" w:type="pct"/>
            <w:tcBorders>
              <w:tl2br w:val="nil"/>
              <w:tr2bl w:val="nil"/>
            </w:tcBorders>
            <w:vAlign w:val="center"/>
          </w:tcPr>
          <w:p w14:paraId="3E9CBF3F">
            <w:pPr>
              <w:jc w:val="center"/>
              <w:rPr>
                <w:bCs/>
                <w:color w:val="000000"/>
                <w:szCs w:val="21"/>
              </w:rPr>
            </w:pPr>
            <w:r>
              <w:rPr>
                <w:rFonts w:hint="eastAsia"/>
                <w:bCs/>
                <w:color w:val="000000"/>
                <w:szCs w:val="21"/>
              </w:rPr>
              <w:t>无特殊要求</w:t>
            </w:r>
          </w:p>
        </w:tc>
        <w:tc>
          <w:tcPr>
            <w:tcW w:w="1462" w:type="pct"/>
            <w:vMerge w:val="continue"/>
            <w:tcBorders>
              <w:tl2br w:val="nil"/>
              <w:tr2bl w:val="nil"/>
            </w:tcBorders>
            <w:vAlign w:val="center"/>
          </w:tcPr>
          <w:p w14:paraId="1E61A0B1">
            <w:pPr>
              <w:jc w:val="center"/>
              <w:rPr>
                <w:bCs/>
                <w:color w:val="000000"/>
                <w:szCs w:val="21"/>
              </w:rPr>
            </w:pPr>
          </w:p>
        </w:tc>
      </w:tr>
      <w:tr w14:paraId="3C0BA01C">
        <w:tblPrEx>
          <w:tblBorders>
            <w:top w:val="single" w:color="auto" w:sz="12" w:space="0"/>
            <w:left w:val="single" w:color="auto" w:sz="12" w:space="0"/>
            <w:bottom w:val="single" w:color="auto" w:sz="12" w:space="0"/>
            <w:right w:val="single" w:color="auto" w:sz="12" w:space="0"/>
            <w:insideH w:val="single" w:color="auto" w:sz="2" w:space="0"/>
            <w:insideV w:val="single" w:color="auto" w:sz="6" w:space="0"/>
          </w:tblBorders>
          <w:tblCellMar>
            <w:top w:w="0" w:type="dxa"/>
            <w:left w:w="108" w:type="dxa"/>
            <w:bottom w:w="0" w:type="dxa"/>
            <w:right w:w="108" w:type="dxa"/>
          </w:tblCellMar>
        </w:tblPrEx>
        <w:trPr>
          <w:trHeight w:val="454" w:hRule="atLeast"/>
          <w:jc w:val="center"/>
        </w:trPr>
        <w:tc>
          <w:tcPr>
            <w:tcW w:w="149" w:type="pct"/>
            <w:vMerge w:val="continue"/>
            <w:tcBorders>
              <w:tl2br w:val="nil"/>
              <w:tr2bl w:val="nil"/>
            </w:tcBorders>
            <w:vAlign w:val="center"/>
          </w:tcPr>
          <w:p w14:paraId="3A3F95E4">
            <w:pPr>
              <w:jc w:val="center"/>
              <w:rPr>
                <w:bCs/>
                <w:color w:val="000000"/>
                <w:szCs w:val="21"/>
              </w:rPr>
            </w:pPr>
          </w:p>
        </w:tc>
        <w:tc>
          <w:tcPr>
            <w:tcW w:w="525" w:type="pct"/>
            <w:vMerge w:val="continue"/>
            <w:tcBorders>
              <w:tl2br w:val="nil"/>
              <w:tr2bl w:val="nil"/>
            </w:tcBorders>
            <w:vAlign w:val="center"/>
          </w:tcPr>
          <w:p w14:paraId="34662585">
            <w:pPr>
              <w:jc w:val="center"/>
              <w:rPr>
                <w:bCs/>
                <w:color w:val="000000"/>
                <w:szCs w:val="21"/>
              </w:rPr>
            </w:pPr>
          </w:p>
        </w:tc>
        <w:tc>
          <w:tcPr>
            <w:tcW w:w="792" w:type="pct"/>
            <w:tcBorders>
              <w:tl2br w:val="nil"/>
              <w:tr2bl w:val="nil"/>
            </w:tcBorders>
            <w:vAlign w:val="center"/>
          </w:tcPr>
          <w:p w14:paraId="4DBA230D">
            <w:pPr>
              <w:jc w:val="center"/>
              <w:rPr>
                <w:bCs/>
                <w:color w:val="000000"/>
                <w:szCs w:val="21"/>
              </w:rPr>
            </w:pPr>
            <w:r>
              <w:rPr>
                <w:szCs w:val="21"/>
              </w:rPr>
              <w:t>外售给注塑厂</w:t>
            </w:r>
          </w:p>
        </w:tc>
        <w:tc>
          <w:tcPr>
            <w:tcW w:w="438" w:type="pct"/>
            <w:tcBorders>
              <w:tl2br w:val="nil"/>
              <w:tr2bl w:val="nil"/>
            </w:tcBorders>
            <w:vAlign w:val="center"/>
          </w:tcPr>
          <w:p w14:paraId="78DF8B5A">
            <w:pPr>
              <w:jc w:val="center"/>
              <w:rPr>
                <w:bCs/>
                <w:color w:val="000000"/>
                <w:szCs w:val="21"/>
              </w:rPr>
            </w:pPr>
            <w:r>
              <w:rPr>
                <w:szCs w:val="21"/>
              </w:rPr>
              <w:t>熔融废渣</w:t>
            </w:r>
          </w:p>
        </w:tc>
        <w:tc>
          <w:tcPr>
            <w:tcW w:w="420" w:type="pct"/>
            <w:tcBorders>
              <w:tl2br w:val="nil"/>
              <w:tr2bl w:val="nil"/>
            </w:tcBorders>
            <w:vAlign w:val="center"/>
          </w:tcPr>
          <w:p w14:paraId="32F1EF89">
            <w:pPr>
              <w:jc w:val="center"/>
              <w:rPr>
                <w:bCs/>
                <w:color w:val="000000"/>
                <w:szCs w:val="21"/>
              </w:rPr>
            </w:pPr>
            <w:r>
              <w:rPr>
                <w:rFonts w:hint="eastAsia"/>
                <w:bCs/>
                <w:color w:val="000000"/>
                <w:szCs w:val="21"/>
              </w:rPr>
              <w:t>/</w:t>
            </w:r>
          </w:p>
        </w:tc>
        <w:tc>
          <w:tcPr>
            <w:tcW w:w="387" w:type="pct"/>
            <w:tcBorders>
              <w:tl2br w:val="nil"/>
              <w:tr2bl w:val="nil"/>
            </w:tcBorders>
            <w:vAlign w:val="center"/>
          </w:tcPr>
          <w:p w14:paraId="067F2DB8">
            <w:pPr>
              <w:jc w:val="center"/>
              <w:rPr>
                <w:bCs/>
                <w:color w:val="000000"/>
                <w:szCs w:val="21"/>
              </w:rPr>
            </w:pPr>
            <w:r>
              <w:rPr>
                <w:rFonts w:hint="eastAsia"/>
                <w:bCs/>
                <w:color w:val="000000"/>
                <w:szCs w:val="21"/>
              </w:rPr>
              <w:t>0.03</w:t>
            </w:r>
          </w:p>
        </w:tc>
        <w:tc>
          <w:tcPr>
            <w:tcW w:w="342" w:type="pct"/>
            <w:tcBorders>
              <w:tl2br w:val="nil"/>
              <w:tr2bl w:val="nil"/>
            </w:tcBorders>
            <w:vAlign w:val="center"/>
          </w:tcPr>
          <w:p w14:paraId="5809A23E">
            <w:pPr>
              <w:jc w:val="center"/>
              <w:rPr>
                <w:bCs/>
                <w:color w:val="000000"/>
                <w:szCs w:val="21"/>
              </w:rPr>
            </w:pPr>
            <w:r>
              <w:rPr>
                <w:rFonts w:hint="eastAsia"/>
                <w:bCs/>
                <w:color w:val="000000"/>
                <w:szCs w:val="21"/>
              </w:rPr>
              <w:t>/</w:t>
            </w:r>
          </w:p>
        </w:tc>
        <w:tc>
          <w:tcPr>
            <w:tcW w:w="482" w:type="pct"/>
            <w:tcBorders>
              <w:tl2br w:val="nil"/>
              <w:tr2bl w:val="nil"/>
            </w:tcBorders>
            <w:vAlign w:val="center"/>
          </w:tcPr>
          <w:p w14:paraId="04A1F96C">
            <w:pPr>
              <w:jc w:val="center"/>
              <w:rPr>
                <w:bCs/>
                <w:color w:val="000000"/>
                <w:szCs w:val="21"/>
              </w:rPr>
            </w:pPr>
            <w:r>
              <w:rPr>
                <w:rFonts w:hint="eastAsia"/>
                <w:bCs/>
                <w:color w:val="000000"/>
                <w:szCs w:val="21"/>
              </w:rPr>
              <w:t>无特殊要求</w:t>
            </w:r>
          </w:p>
        </w:tc>
        <w:tc>
          <w:tcPr>
            <w:tcW w:w="1462" w:type="pct"/>
            <w:vMerge w:val="continue"/>
            <w:tcBorders>
              <w:tl2br w:val="nil"/>
              <w:tr2bl w:val="nil"/>
            </w:tcBorders>
            <w:vAlign w:val="center"/>
          </w:tcPr>
          <w:p w14:paraId="54EA4FFE">
            <w:pPr>
              <w:jc w:val="center"/>
              <w:rPr>
                <w:bCs/>
                <w:color w:val="000000"/>
                <w:szCs w:val="21"/>
              </w:rPr>
            </w:pPr>
          </w:p>
        </w:tc>
      </w:tr>
      <w:tr w14:paraId="55BC8341">
        <w:tblPrEx>
          <w:tblBorders>
            <w:top w:val="single" w:color="auto" w:sz="12" w:space="0"/>
            <w:left w:val="single" w:color="auto" w:sz="12" w:space="0"/>
            <w:bottom w:val="single" w:color="auto" w:sz="12" w:space="0"/>
            <w:right w:val="single" w:color="auto" w:sz="12" w:space="0"/>
            <w:insideH w:val="single" w:color="auto" w:sz="2" w:space="0"/>
            <w:insideV w:val="single" w:color="auto" w:sz="6" w:space="0"/>
          </w:tblBorders>
          <w:tblCellMar>
            <w:top w:w="0" w:type="dxa"/>
            <w:left w:w="108" w:type="dxa"/>
            <w:bottom w:w="0" w:type="dxa"/>
            <w:right w:w="108" w:type="dxa"/>
          </w:tblCellMar>
        </w:tblPrEx>
        <w:trPr>
          <w:trHeight w:val="454" w:hRule="atLeast"/>
          <w:jc w:val="center"/>
        </w:trPr>
        <w:tc>
          <w:tcPr>
            <w:tcW w:w="149" w:type="pct"/>
            <w:vMerge w:val="continue"/>
            <w:tcBorders>
              <w:tl2br w:val="nil"/>
              <w:tr2bl w:val="nil"/>
            </w:tcBorders>
            <w:vAlign w:val="center"/>
          </w:tcPr>
          <w:p w14:paraId="15D5A982">
            <w:pPr>
              <w:jc w:val="center"/>
              <w:rPr>
                <w:bCs/>
                <w:color w:val="000000"/>
                <w:szCs w:val="21"/>
              </w:rPr>
            </w:pPr>
          </w:p>
        </w:tc>
        <w:tc>
          <w:tcPr>
            <w:tcW w:w="525" w:type="pct"/>
            <w:vMerge w:val="continue"/>
            <w:tcBorders>
              <w:tl2br w:val="nil"/>
              <w:tr2bl w:val="nil"/>
            </w:tcBorders>
            <w:vAlign w:val="center"/>
          </w:tcPr>
          <w:p w14:paraId="40D4A77C">
            <w:pPr>
              <w:jc w:val="center"/>
              <w:rPr>
                <w:bCs/>
                <w:color w:val="000000"/>
                <w:szCs w:val="21"/>
              </w:rPr>
            </w:pPr>
          </w:p>
        </w:tc>
        <w:tc>
          <w:tcPr>
            <w:tcW w:w="792" w:type="pct"/>
            <w:tcBorders>
              <w:tl2br w:val="nil"/>
              <w:tr2bl w:val="nil"/>
            </w:tcBorders>
            <w:vAlign w:val="center"/>
          </w:tcPr>
          <w:p w14:paraId="392A0FEC">
            <w:pPr>
              <w:jc w:val="center"/>
              <w:rPr>
                <w:szCs w:val="21"/>
              </w:rPr>
            </w:pPr>
            <w:r>
              <w:rPr>
                <w:rFonts w:hint="eastAsia"/>
                <w:bCs/>
                <w:color w:val="000000"/>
                <w:szCs w:val="21"/>
              </w:rPr>
              <w:t>厂家回收</w:t>
            </w:r>
          </w:p>
        </w:tc>
        <w:tc>
          <w:tcPr>
            <w:tcW w:w="438" w:type="pct"/>
            <w:tcBorders>
              <w:tl2br w:val="nil"/>
              <w:tr2bl w:val="nil"/>
            </w:tcBorders>
            <w:vAlign w:val="center"/>
          </w:tcPr>
          <w:p w14:paraId="1DB19C57">
            <w:pPr>
              <w:jc w:val="center"/>
              <w:rPr>
                <w:szCs w:val="21"/>
              </w:rPr>
            </w:pPr>
            <w:r>
              <w:rPr>
                <w:rFonts w:hint="eastAsia"/>
                <w:szCs w:val="21"/>
              </w:rPr>
              <w:t>废催化剂</w:t>
            </w:r>
          </w:p>
        </w:tc>
        <w:tc>
          <w:tcPr>
            <w:tcW w:w="420" w:type="pct"/>
            <w:tcBorders>
              <w:tl2br w:val="nil"/>
              <w:tr2bl w:val="nil"/>
            </w:tcBorders>
            <w:vAlign w:val="center"/>
          </w:tcPr>
          <w:p w14:paraId="41C773A5">
            <w:pPr>
              <w:jc w:val="center"/>
              <w:rPr>
                <w:bCs/>
                <w:color w:val="000000"/>
                <w:szCs w:val="21"/>
              </w:rPr>
            </w:pPr>
            <w:r>
              <w:rPr>
                <w:rFonts w:hint="eastAsia"/>
                <w:bCs/>
                <w:color w:val="000000"/>
                <w:szCs w:val="21"/>
              </w:rPr>
              <w:t>/</w:t>
            </w:r>
          </w:p>
        </w:tc>
        <w:tc>
          <w:tcPr>
            <w:tcW w:w="387" w:type="pct"/>
            <w:tcBorders>
              <w:tl2br w:val="nil"/>
              <w:tr2bl w:val="nil"/>
            </w:tcBorders>
            <w:vAlign w:val="center"/>
          </w:tcPr>
          <w:p w14:paraId="1BAC6A11">
            <w:pPr>
              <w:jc w:val="center"/>
              <w:rPr>
                <w:bCs/>
                <w:color w:val="000000"/>
                <w:szCs w:val="21"/>
              </w:rPr>
            </w:pPr>
            <w:r>
              <w:rPr>
                <w:rFonts w:hint="eastAsia"/>
                <w:bCs/>
                <w:color w:val="000000"/>
                <w:szCs w:val="21"/>
              </w:rPr>
              <w:t>0.15</w:t>
            </w:r>
          </w:p>
        </w:tc>
        <w:tc>
          <w:tcPr>
            <w:tcW w:w="342" w:type="pct"/>
            <w:tcBorders>
              <w:tl2br w:val="nil"/>
              <w:tr2bl w:val="nil"/>
            </w:tcBorders>
            <w:vAlign w:val="center"/>
          </w:tcPr>
          <w:p w14:paraId="406DE1F2">
            <w:pPr>
              <w:jc w:val="center"/>
              <w:rPr>
                <w:bCs/>
                <w:color w:val="000000"/>
                <w:szCs w:val="21"/>
              </w:rPr>
            </w:pPr>
            <w:r>
              <w:rPr>
                <w:rFonts w:hint="eastAsia"/>
                <w:bCs/>
                <w:color w:val="000000"/>
                <w:szCs w:val="21"/>
              </w:rPr>
              <w:t>/</w:t>
            </w:r>
          </w:p>
        </w:tc>
        <w:tc>
          <w:tcPr>
            <w:tcW w:w="482" w:type="pct"/>
            <w:tcBorders>
              <w:tl2br w:val="nil"/>
              <w:tr2bl w:val="nil"/>
            </w:tcBorders>
            <w:vAlign w:val="center"/>
          </w:tcPr>
          <w:p w14:paraId="5281DD99">
            <w:pPr>
              <w:jc w:val="center"/>
              <w:rPr>
                <w:bCs/>
                <w:color w:val="000000"/>
                <w:szCs w:val="21"/>
              </w:rPr>
            </w:pPr>
            <w:r>
              <w:rPr>
                <w:rFonts w:hint="eastAsia"/>
                <w:bCs/>
                <w:color w:val="000000"/>
                <w:szCs w:val="21"/>
              </w:rPr>
              <w:t>无特殊要求</w:t>
            </w:r>
          </w:p>
        </w:tc>
        <w:tc>
          <w:tcPr>
            <w:tcW w:w="1462" w:type="pct"/>
            <w:vMerge w:val="continue"/>
            <w:tcBorders>
              <w:tl2br w:val="nil"/>
              <w:tr2bl w:val="nil"/>
            </w:tcBorders>
            <w:vAlign w:val="center"/>
          </w:tcPr>
          <w:p w14:paraId="5B1F2ADF">
            <w:pPr>
              <w:jc w:val="center"/>
              <w:rPr>
                <w:bCs/>
                <w:color w:val="000000"/>
                <w:szCs w:val="21"/>
              </w:rPr>
            </w:pPr>
          </w:p>
        </w:tc>
      </w:tr>
      <w:tr w14:paraId="44EE27A2">
        <w:tblPrEx>
          <w:tblBorders>
            <w:top w:val="single" w:color="auto" w:sz="12" w:space="0"/>
            <w:left w:val="single" w:color="auto" w:sz="12" w:space="0"/>
            <w:bottom w:val="single" w:color="auto" w:sz="12" w:space="0"/>
            <w:right w:val="single" w:color="auto" w:sz="12" w:space="0"/>
            <w:insideH w:val="single" w:color="auto" w:sz="2" w:space="0"/>
            <w:insideV w:val="single" w:color="auto" w:sz="6" w:space="0"/>
          </w:tblBorders>
          <w:tblCellMar>
            <w:top w:w="0" w:type="dxa"/>
            <w:left w:w="108" w:type="dxa"/>
            <w:bottom w:w="0" w:type="dxa"/>
            <w:right w:w="108" w:type="dxa"/>
          </w:tblCellMar>
        </w:tblPrEx>
        <w:trPr>
          <w:trHeight w:val="427" w:hRule="atLeast"/>
          <w:jc w:val="center"/>
        </w:trPr>
        <w:tc>
          <w:tcPr>
            <w:tcW w:w="149" w:type="pct"/>
            <w:vMerge w:val="continue"/>
            <w:tcBorders>
              <w:tl2br w:val="nil"/>
              <w:tr2bl w:val="nil"/>
            </w:tcBorders>
            <w:vAlign w:val="center"/>
          </w:tcPr>
          <w:p w14:paraId="4FDD68FB">
            <w:pPr>
              <w:jc w:val="center"/>
              <w:rPr>
                <w:bCs/>
                <w:color w:val="000000"/>
                <w:szCs w:val="21"/>
              </w:rPr>
            </w:pPr>
          </w:p>
        </w:tc>
        <w:tc>
          <w:tcPr>
            <w:tcW w:w="525" w:type="pct"/>
            <w:vMerge w:val="continue"/>
            <w:tcBorders>
              <w:tl2br w:val="nil"/>
              <w:tr2bl w:val="nil"/>
            </w:tcBorders>
            <w:vAlign w:val="center"/>
          </w:tcPr>
          <w:p w14:paraId="7C115174">
            <w:pPr>
              <w:jc w:val="center"/>
              <w:rPr>
                <w:bCs/>
                <w:color w:val="000000"/>
                <w:szCs w:val="21"/>
              </w:rPr>
            </w:pPr>
          </w:p>
        </w:tc>
        <w:tc>
          <w:tcPr>
            <w:tcW w:w="792" w:type="pct"/>
            <w:vMerge w:val="restart"/>
            <w:tcBorders>
              <w:top w:val="single" w:color="auto" w:sz="4" w:space="0"/>
              <w:tl2br w:val="nil"/>
              <w:tr2bl w:val="nil"/>
            </w:tcBorders>
            <w:vAlign w:val="center"/>
          </w:tcPr>
          <w:p w14:paraId="3F6EBB0A">
            <w:pPr>
              <w:jc w:val="center"/>
              <w:rPr>
                <w:bCs/>
                <w:color w:val="000000"/>
                <w:szCs w:val="21"/>
              </w:rPr>
            </w:pPr>
            <w:r>
              <w:rPr>
                <w:rFonts w:hint="eastAsia"/>
                <w:bCs/>
                <w:color w:val="000000"/>
                <w:szCs w:val="21"/>
              </w:rPr>
              <w:t>收集后暂存于危废贮存点，定期交由有资质的单位处置</w:t>
            </w:r>
          </w:p>
        </w:tc>
        <w:tc>
          <w:tcPr>
            <w:tcW w:w="438" w:type="pct"/>
            <w:tcBorders>
              <w:bottom w:val="single" w:color="000000" w:sz="8" w:space="0"/>
              <w:tl2br w:val="nil"/>
              <w:tr2bl w:val="nil"/>
            </w:tcBorders>
            <w:vAlign w:val="center"/>
          </w:tcPr>
          <w:p w14:paraId="160A37B1">
            <w:pPr>
              <w:jc w:val="center"/>
              <w:rPr>
                <w:bCs/>
                <w:color w:val="000000"/>
                <w:szCs w:val="21"/>
              </w:rPr>
            </w:pPr>
            <w:r>
              <w:rPr>
                <w:rFonts w:hint="eastAsia"/>
                <w:bCs/>
                <w:color w:val="000000"/>
                <w:szCs w:val="21"/>
              </w:rPr>
              <w:t>废活性炭</w:t>
            </w:r>
          </w:p>
        </w:tc>
        <w:tc>
          <w:tcPr>
            <w:tcW w:w="420" w:type="pct"/>
            <w:tcBorders>
              <w:bottom w:val="single" w:color="000000" w:sz="8" w:space="0"/>
              <w:tl2br w:val="nil"/>
              <w:tr2bl w:val="nil"/>
            </w:tcBorders>
            <w:vAlign w:val="center"/>
          </w:tcPr>
          <w:p w14:paraId="2107389A">
            <w:pPr>
              <w:jc w:val="center"/>
              <w:rPr>
                <w:bCs/>
                <w:color w:val="000000"/>
                <w:szCs w:val="21"/>
              </w:rPr>
            </w:pPr>
            <w:r>
              <w:rPr>
                <w:rFonts w:hint="eastAsia"/>
                <w:bCs/>
                <w:color w:val="000000"/>
                <w:szCs w:val="21"/>
              </w:rPr>
              <w:t>/</w:t>
            </w:r>
          </w:p>
        </w:tc>
        <w:tc>
          <w:tcPr>
            <w:tcW w:w="387" w:type="pct"/>
            <w:tcBorders>
              <w:tl2br w:val="nil"/>
              <w:tr2bl w:val="nil"/>
            </w:tcBorders>
            <w:vAlign w:val="center"/>
          </w:tcPr>
          <w:p w14:paraId="2D13215F">
            <w:pPr>
              <w:jc w:val="center"/>
              <w:rPr>
                <w:rFonts w:hint="eastAsia" w:eastAsia="宋体"/>
                <w:bCs/>
                <w:color w:val="000000"/>
                <w:szCs w:val="21"/>
                <w:lang w:val="en-US" w:eastAsia="zh-CN"/>
              </w:rPr>
            </w:pPr>
            <w:r>
              <w:rPr>
                <w:rFonts w:hint="eastAsia"/>
                <w:bCs/>
                <w:color w:val="000000"/>
                <w:szCs w:val="21"/>
              </w:rPr>
              <w:t>0.8</w:t>
            </w:r>
            <w:r>
              <w:rPr>
                <w:rFonts w:hint="eastAsia"/>
                <w:bCs/>
                <w:color w:val="000000"/>
                <w:szCs w:val="21"/>
                <w:lang w:val="en-US" w:eastAsia="zh-CN"/>
              </w:rPr>
              <w:t>8</w:t>
            </w:r>
          </w:p>
        </w:tc>
        <w:tc>
          <w:tcPr>
            <w:tcW w:w="342" w:type="pct"/>
            <w:tcBorders>
              <w:tl2br w:val="nil"/>
              <w:tr2bl w:val="nil"/>
            </w:tcBorders>
            <w:vAlign w:val="center"/>
          </w:tcPr>
          <w:p w14:paraId="51F4008B">
            <w:pPr>
              <w:jc w:val="center"/>
              <w:rPr>
                <w:bCs/>
                <w:color w:val="000000"/>
                <w:szCs w:val="21"/>
              </w:rPr>
            </w:pPr>
            <w:r>
              <w:rPr>
                <w:rFonts w:hint="eastAsia"/>
                <w:bCs/>
                <w:color w:val="000000"/>
                <w:szCs w:val="21"/>
              </w:rPr>
              <w:t>/</w:t>
            </w:r>
          </w:p>
        </w:tc>
        <w:tc>
          <w:tcPr>
            <w:tcW w:w="482" w:type="pct"/>
            <w:tcBorders>
              <w:tl2br w:val="nil"/>
              <w:tr2bl w:val="nil"/>
            </w:tcBorders>
            <w:vAlign w:val="center"/>
          </w:tcPr>
          <w:p w14:paraId="18C5B5D5">
            <w:pPr>
              <w:jc w:val="center"/>
              <w:rPr>
                <w:bCs/>
                <w:color w:val="000000"/>
                <w:szCs w:val="21"/>
              </w:rPr>
            </w:pPr>
            <w:r>
              <w:rPr>
                <w:rFonts w:hint="eastAsia"/>
                <w:bCs/>
                <w:color w:val="000000"/>
                <w:szCs w:val="21"/>
              </w:rPr>
              <w:t>无特殊要求</w:t>
            </w:r>
          </w:p>
        </w:tc>
        <w:tc>
          <w:tcPr>
            <w:tcW w:w="1462" w:type="pct"/>
            <w:vMerge w:val="restart"/>
            <w:tcBorders>
              <w:tl2br w:val="nil"/>
              <w:tr2bl w:val="nil"/>
            </w:tcBorders>
            <w:vAlign w:val="center"/>
          </w:tcPr>
          <w:p w14:paraId="73DD5DFB">
            <w:pPr>
              <w:jc w:val="center"/>
              <w:rPr>
                <w:bCs/>
                <w:color w:val="000000"/>
                <w:szCs w:val="21"/>
              </w:rPr>
            </w:pPr>
            <w:r>
              <w:rPr>
                <w:rFonts w:hint="eastAsia"/>
                <w:bCs/>
                <w:color w:val="000000"/>
                <w:szCs w:val="21"/>
              </w:rPr>
              <w:t>《危险废物贮存污染控制标准》</w:t>
            </w:r>
          </w:p>
          <w:p w14:paraId="0E6B4978">
            <w:pPr>
              <w:jc w:val="center"/>
              <w:rPr>
                <w:bCs/>
                <w:color w:val="000000"/>
                <w:szCs w:val="21"/>
              </w:rPr>
            </w:pPr>
            <w:r>
              <w:rPr>
                <w:rFonts w:hint="eastAsia"/>
                <w:bCs/>
                <w:color w:val="000000"/>
                <w:szCs w:val="21"/>
              </w:rPr>
              <w:t>（GB18597-2023）</w:t>
            </w:r>
          </w:p>
        </w:tc>
      </w:tr>
      <w:tr w14:paraId="38D9EE67">
        <w:tblPrEx>
          <w:tblBorders>
            <w:top w:val="single" w:color="auto" w:sz="12" w:space="0"/>
            <w:left w:val="single" w:color="auto" w:sz="12" w:space="0"/>
            <w:bottom w:val="single" w:color="auto" w:sz="12" w:space="0"/>
            <w:right w:val="single" w:color="auto" w:sz="12" w:space="0"/>
            <w:insideH w:val="single" w:color="auto" w:sz="2" w:space="0"/>
            <w:insideV w:val="single" w:color="auto" w:sz="6" w:space="0"/>
          </w:tblBorders>
          <w:tblCellMar>
            <w:top w:w="0" w:type="dxa"/>
            <w:left w:w="108" w:type="dxa"/>
            <w:bottom w:w="0" w:type="dxa"/>
            <w:right w:w="108" w:type="dxa"/>
          </w:tblCellMar>
        </w:tblPrEx>
        <w:trPr>
          <w:trHeight w:val="454" w:hRule="atLeast"/>
          <w:jc w:val="center"/>
        </w:trPr>
        <w:tc>
          <w:tcPr>
            <w:tcW w:w="149" w:type="pct"/>
            <w:vMerge w:val="continue"/>
            <w:tcBorders>
              <w:tl2br w:val="nil"/>
              <w:tr2bl w:val="nil"/>
            </w:tcBorders>
            <w:vAlign w:val="center"/>
          </w:tcPr>
          <w:p w14:paraId="7F733DAD">
            <w:pPr>
              <w:jc w:val="center"/>
              <w:rPr>
                <w:bCs/>
                <w:color w:val="000000"/>
                <w:szCs w:val="21"/>
              </w:rPr>
            </w:pPr>
          </w:p>
        </w:tc>
        <w:tc>
          <w:tcPr>
            <w:tcW w:w="525" w:type="pct"/>
            <w:tcBorders>
              <w:tl2br w:val="nil"/>
              <w:tr2bl w:val="nil"/>
            </w:tcBorders>
            <w:vAlign w:val="center"/>
          </w:tcPr>
          <w:p w14:paraId="03120F29">
            <w:pPr>
              <w:jc w:val="center"/>
              <w:rPr>
                <w:bCs/>
                <w:color w:val="000000"/>
                <w:szCs w:val="21"/>
              </w:rPr>
            </w:pPr>
            <w:r>
              <w:rPr>
                <w:rFonts w:hint="eastAsia"/>
                <w:bCs/>
                <w:color w:val="000000"/>
                <w:szCs w:val="21"/>
              </w:rPr>
              <w:t>设备维护</w:t>
            </w:r>
          </w:p>
        </w:tc>
        <w:tc>
          <w:tcPr>
            <w:tcW w:w="792" w:type="pct"/>
            <w:vMerge w:val="continue"/>
            <w:tcBorders>
              <w:tl2br w:val="nil"/>
              <w:tr2bl w:val="nil"/>
            </w:tcBorders>
            <w:vAlign w:val="center"/>
          </w:tcPr>
          <w:p w14:paraId="66DC4E5E">
            <w:pPr>
              <w:jc w:val="center"/>
              <w:rPr>
                <w:bCs/>
                <w:color w:val="000000"/>
                <w:szCs w:val="21"/>
              </w:rPr>
            </w:pPr>
          </w:p>
        </w:tc>
        <w:tc>
          <w:tcPr>
            <w:tcW w:w="438" w:type="pct"/>
            <w:tcBorders>
              <w:top w:val="single" w:color="000000" w:sz="8" w:space="0"/>
              <w:tl2br w:val="nil"/>
              <w:tr2bl w:val="nil"/>
            </w:tcBorders>
            <w:vAlign w:val="center"/>
          </w:tcPr>
          <w:p w14:paraId="2CB74804">
            <w:pPr>
              <w:jc w:val="center"/>
              <w:rPr>
                <w:bCs/>
                <w:color w:val="000000"/>
                <w:szCs w:val="21"/>
              </w:rPr>
            </w:pPr>
            <w:r>
              <w:rPr>
                <w:rFonts w:hint="eastAsia"/>
                <w:bCs/>
                <w:color w:val="000000"/>
                <w:szCs w:val="21"/>
              </w:rPr>
              <w:t>废润滑油及桶</w:t>
            </w:r>
          </w:p>
        </w:tc>
        <w:tc>
          <w:tcPr>
            <w:tcW w:w="420" w:type="pct"/>
            <w:tcBorders>
              <w:top w:val="single" w:color="000000" w:sz="8" w:space="0"/>
              <w:tl2br w:val="nil"/>
              <w:tr2bl w:val="nil"/>
            </w:tcBorders>
            <w:vAlign w:val="center"/>
          </w:tcPr>
          <w:p w14:paraId="0E528019">
            <w:pPr>
              <w:jc w:val="center"/>
              <w:rPr>
                <w:bCs/>
                <w:color w:val="000000"/>
                <w:szCs w:val="21"/>
              </w:rPr>
            </w:pPr>
            <w:r>
              <w:rPr>
                <w:rFonts w:hint="eastAsia"/>
                <w:bCs/>
                <w:color w:val="000000"/>
                <w:szCs w:val="21"/>
              </w:rPr>
              <w:t>/</w:t>
            </w:r>
          </w:p>
        </w:tc>
        <w:tc>
          <w:tcPr>
            <w:tcW w:w="387" w:type="pct"/>
            <w:tcBorders>
              <w:tl2br w:val="nil"/>
              <w:tr2bl w:val="nil"/>
            </w:tcBorders>
            <w:vAlign w:val="center"/>
          </w:tcPr>
          <w:p w14:paraId="0E08ECDE">
            <w:pPr>
              <w:jc w:val="center"/>
              <w:rPr>
                <w:bCs/>
                <w:color w:val="000000"/>
                <w:szCs w:val="21"/>
              </w:rPr>
            </w:pPr>
            <w:r>
              <w:rPr>
                <w:rFonts w:hint="eastAsia"/>
                <w:bCs/>
                <w:color w:val="000000"/>
                <w:szCs w:val="21"/>
              </w:rPr>
              <w:t>0.144</w:t>
            </w:r>
          </w:p>
        </w:tc>
        <w:tc>
          <w:tcPr>
            <w:tcW w:w="342" w:type="pct"/>
            <w:tcBorders>
              <w:tl2br w:val="nil"/>
              <w:tr2bl w:val="nil"/>
            </w:tcBorders>
            <w:vAlign w:val="center"/>
          </w:tcPr>
          <w:p w14:paraId="0773B374">
            <w:pPr>
              <w:jc w:val="center"/>
              <w:rPr>
                <w:bCs/>
                <w:color w:val="000000"/>
                <w:szCs w:val="21"/>
              </w:rPr>
            </w:pPr>
            <w:r>
              <w:rPr>
                <w:rFonts w:hint="eastAsia"/>
                <w:bCs/>
                <w:color w:val="000000"/>
                <w:szCs w:val="21"/>
              </w:rPr>
              <w:t>/</w:t>
            </w:r>
          </w:p>
        </w:tc>
        <w:tc>
          <w:tcPr>
            <w:tcW w:w="482" w:type="pct"/>
            <w:tcBorders>
              <w:tl2br w:val="nil"/>
              <w:tr2bl w:val="nil"/>
            </w:tcBorders>
            <w:vAlign w:val="center"/>
          </w:tcPr>
          <w:p w14:paraId="7CB82275">
            <w:pPr>
              <w:jc w:val="center"/>
              <w:rPr>
                <w:bCs/>
                <w:color w:val="000000"/>
                <w:szCs w:val="21"/>
              </w:rPr>
            </w:pPr>
            <w:r>
              <w:rPr>
                <w:rFonts w:hint="eastAsia"/>
                <w:bCs/>
                <w:color w:val="000000"/>
                <w:szCs w:val="21"/>
              </w:rPr>
              <w:t>无特殊要求</w:t>
            </w:r>
          </w:p>
        </w:tc>
        <w:tc>
          <w:tcPr>
            <w:tcW w:w="1462" w:type="pct"/>
            <w:vMerge w:val="continue"/>
            <w:tcBorders>
              <w:tl2br w:val="nil"/>
              <w:tr2bl w:val="nil"/>
            </w:tcBorders>
            <w:vAlign w:val="center"/>
          </w:tcPr>
          <w:p w14:paraId="3F0EE0FC">
            <w:pPr>
              <w:jc w:val="center"/>
              <w:rPr>
                <w:bCs/>
                <w:color w:val="000000"/>
                <w:szCs w:val="21"/>
              </w:rPr>
            </w:pPr>
          </w:p>
        </w:tc>
      </w:tr>
      <w:tr w14:paraId="313BA837">
        <w:tblPrEx>
          <w:tblBorders>
            <w:top w:val="single" w:color="auto" w:sz="12" w:space="0"/>
            <w:left w:val="single" w:color="auto" w:sz="12" w:space="0"/>
            <w:bottom w:val="single" w:color="auto" w:sz="12" w:space="0"/>
            <w:right w:val="single" w:color="auto" w:sz="12" w:space="0"/>
            <w:insideH w:val="single" w:color="auto" w:sz="2" w:space="0"/>
            <w:insideV w:val="single" w:color="auto" w:sz="6" w:space="0"/>
          </w:tblBorders>
          <w:tblCellMar>
            <w:top w:w="0" w:type="dxa"/>
            <w:left w:w="108" w:type="dxa"/>
            <w:bottom w:w="0" w:type="dxa"/>
            <w:right w:w="108" w:type="dxa"/>
          </w:tblCellMar>
        </w:tblPrEx>
        <w:trPr>
          <w:trHeight w:val="454" w:hRule="atLeast"/>
          <w:jc w:val="center"/>
        </w:trPr>
        <w:tc>
          <w:tcPr>
            <w:tcW w:w="149" w:type="pct"/>
            <w:vMerge w:val="continue"/>
            <w:tcBorders>
              <w:tl2br w:val="nil"/>
              <w:tr2bl w:val="nil"/>
            </w:tcBorders>
            <w:vAlign w:val="center"/>
          </w:tcPr>
          <w:p w14:paraId="1B9BAA81">
            <w:pPr>
              <w:jc w:val="center"/>
              <w:rPr>
                <w:bCs/>
                <w:color w:val="000000"/>
                <w:szCs w:val="21"/>
              </w:rPr>
            </w:pPr>
          </w:p>
        </w:tc>
        <w:tc>
          <w:tcPr>
            <w:tcW w:w="525" w:type="pct"/>
            <w:tcBorders>
              <w:tl2br w:val="nil"/>
              <w:tr2bl w:val="nil"/>
            </w:tcBorders>
            <w:vAlign w:val="center"/>
          </w:tcPr>
          <w:p w14:paraId="3DE8DC79">
            <w:pPr>
              <w:jc w:val="center"/>
              <w:rPr>
                <w:bCs/>
                <w:color w:val="000000"/>
                <w:szCs w:val="21"/>
              </w:rPr>
            </w:pPr>
            <w:r>
              <w:rPr>
                <w:rFonts w:hint="eastAsia"/>
                <w:bCs/>
                <w:color w:val="000000"/>
                <w:szCs w:val="21"/>
              </w:rPr>
              <w:t>办公生活</w:t>
            </w:r>
          </w:p>
        </w:tc>
        <w:tc>
          <w:tcPr>
            <w:tcW w:w="792" w:type="pct"/>
            <w:tcBorders>
              <w:tl2br w:val="nil"/>
              <w:tr2bl w:val="nil"/>
            </w:tcBorders>
            <w:vAlign w:val="center"/>
          </w:tcPr>
          <w:p w14:paraId="295EDDFB">
            <w:pPr>
              <w:jc w:val="center"/>
              <w:rPr>
                <w:bCs/>
                <w:color w:val="000000"/>
                <w:szCs w:val="21"/>
              </w:rPr>
            </w:pPr>
            <w:r>
              <w:rPr>
                <w:szCs w:val="21"/>
              </w:rPr>
              <w:t>收集后统一交由当地环卫部门清运</w:t>
            </w:r>
          </w:p>
        </w:tc>
        <w:tc>
          <w:tcPr>
            <w:tcW w:w="438" w:type="pct"/>
            <w:tcBorders>
              <w:tl2br w:val="nil"/>
              <w:tr2bl w:val="nil"/>
            </w:tcBorders>
            <w:vAlign w:val="center"/>
          </w:tcPr>
          <w:p w14:paraId="3776BFB9">
            <w:pPr>
              <w:jc w:val="center"/>
              <w:rPr>
                <w:bCs/>
                <w:color w:val="000000"/>
                <w:szCs w:val="21"/>
              </w:rPr>
            </w:pPr>
            <w:r>
              <w:rPr>
                <w:rFonts w:hint="eastAsia"/>
                <w:bCs/>
                <w:color w:val="000000"/>
                <w:szCs w:val="21"/>
              </w:rPr>
              <w:t>生活垃圾</w:t>
            </w:r>
          </w:p>
        </w:tc>
        <w:tc>
          <w:tcPr>
            <w:tcW w:w="420" w:type="pct"/>
            <w:tcBorders>
              <w:tl2br w:val="nil"/>
              <w:tr2bl w:val="nil"/>
            </w:tcBorders>
            <w:vAlign w:val="center"/>
          </w:tcPr>
          <w:p w14:paraId="61A5F85E">
            <w:pPr>
              <w:jc w:val="center"/>
              <w:rPr>
                <w:bCs/>
                <w:color w:val="000000"/>
                <w:szCs w:val="21"/>
              </w:rPr>
            </w:pPr>
            <w:r>
              <w:rPr>
                <w:rFonts w:hint="eastAsia"/>
                <w:bCs/>
                <w:color w:val="000000"/>
                <w:szCs w:val="21"/>
              </w:rPr>
              <w:t>/</w:t>
            </w:r>
          </w:p>
        </w:tc>
        <w:tc>
          <w:tcPr>
            <w:tcW w:w="387" w:type="pct"/>
            <w:tcBorders>
              <w:tl2br w:val="nil"/>
              <w:tr2bl w:val="nil"/>
            </w:tcBorders>
            <w:vAlign w:val="center"/>
          </w:tcPr>
          <w:p w14:paraId="37361806">
            <w:pPr>
              <w:jc w:val="center"/>
              <w:rPr>
                <w:rFonts w:hint="default" w:eastAsia="宋体"/>
                <w:bCs/>
                <w:color w:val="000000"/>
                <w:szCs w:val="21"/>
                <w:lang w:val="en-US" w:eastAsia="zh-CN"/>
              </w:rPr>
            </w:pPr>
            <w:r>
              <w:rPr>
                <w:rFonts w:hint="eastAsia"/>
                <w:bCs/>
                <w:color w:val="000000"/>
                <w:szCs w:val="21"/>
                <w:lang w:val="en-US" w:eastAsia="zh-CN"/>
              </w:rPr>
              <w:t>0.72</w:t>
            </w:r>
          </w:p>
        </w:tc>
        <w:tc>
          <w:tcPr>
            <w:tcW w:w="342" w:type="pct"/>
            <w:tcBorders>
              <w:tl2br w:val="nil"/>
              <w:tr2bl w:val="nil"/>
            </w:tcBorders>
            <w:vAlign w:val="center"/>
          </w:tcPr>
          <w:p w14:paraId="31446AE8">
            <w:pPr>
              <w:jc w:val="center"/>
              <w:rPr>
                <w:bCs/>
                <w:color w:val="000000"/>
                <w:szCs w:val="21"/>
              </w:rPr>
            </w:pPr>
            <w:r>
              <w:rPr>
                <w:rFonts w:hint="eastAsia"/>
                <w:bCs/>
                <w:color w:val="000000"/>
                <w:szCs w:val="21"/>
              </w:rPr>
              <w:t>/</w:t>
            </w:r>
          </w:p>
        </w:tc>
        <w:tc>
          <w:tcPr>
            <w:tcW w:w="482" w:type="pct"/>
            <w:tcBorders>
              <w:tl2br w:val="nil"/>
              <w:tr2bl w:val="nil"/>
            </w:tcBorders>
            <w:vAlign w:val="center"/>
          </w:tcPr>
          <w:p w14:paraId="28C6201F">
            <w:pPr>
              <w:jc w:val="center"/>
              <w:rPr>
                <w:bCs/>
                <w:color w:val="000000"/>
                <w:szCs w:val="21"/>
              </w:rPr>
            </w:pPr>
            <w:r>
              <w:rPr>
                <w:rFonts w:hint="eastAsia"/>
                <w:bCs/>
                <w:color w:val="000000"/>
                <w:szCs w:val="21"/>
              </w:rPr>
              <w:t>无特殊要求</w:t>
            </w:r>
          </w:p>
        </w:tc>
        <w:tc>
          <w:tcPr>
            <w:tcW w:w="1462" w:type="pct"/>
            <w:tcBorders>
              <w:tl2br w:val="nil"/>
              <w:tr2bl w:val="nil"/>
            </w:tcBorders>
            <w:vAlign w:val="center"/>
          </w:tcPr>
          <w:p w14:paraId="53CB16EF">
            <w:pPr>
              <w:jc w:val="center"/>
              <w:rPr>
                <w:bCs/>
                <w:color w:val="000000"/>
                <w:szCs w:val="21"/>
              </w:rPr>
            </w:pPr>
            <w:r>
              <w:rPr>
                <w:rFonts w:hint="eastAsia"/>
                <w:bCs/>
                <w:color w:val="000000"/>
                <w:szCs w:val="21"/>
              </w:rPr>
              <w:t>《</w:t>
            </w:r>
            <w:bookmarkStart w:id="587" w:name="OLE_LINK64"/>
            <w:r>
              <w:rPr>
                <w:rFonts w:hint="eastAsia"/>
                <w:bCs/>
                <w:color w:val="000000"/>
                <w:szCs w:val="21"/>
              </w:rPr>
              <w:t>生活垃圾填埋场污染控制标准</w:t>
            </w:r>
            <w:bookmarkEnd w:id="587"/>
            <w:r>
              <w:rPr>
                <w:rFonts w:hint="eastAsia"/>
                <w:bCs/>
                <w:color w:val="000000"/>
                <w:szCs w:val="21"/>
              </w:rPr>
              <w:t>》（GB16889-2024）中的相关要求</w:t>
            </w:r>
          </w:p>
        </w:tc>
      </w:tr>
    </w:tbl>
    <w:p w14:paraId="7D1CB991">
      <w:pPr>
        <w:rPr>
          <w:color w:val="000000"/>
        </w:rPr>
        <w:sectPr>
          <w:pgSz w:w="16838" w:h="11906" w:orient="landscape"/>
          <w:pgMar w:top="1440" w:right="1417" w:bottom="1440" w:left="1417" w:header="851" w:footer="992" w:gutter="0"/>
          <w:pgBorders>
            <w:top w:val="none" w:sz="0" w:space="0"/>
            <w:left w:val="none" w:sz="0" w:space="0"/>
            <w:bottom w:val="none" w:sz="0" w:space="0"/>
            <w:right w:val="none" w:sz="0" w:space="0"/>
          </w:pgBorders>
          <w:cols w:space="720" w:num="1"/>
          <w:docGrid w:type="lines" w:linePitch="312" w:charSpace="0"/>
        </w:sectPr>
      </w:pPr>
    </w:p>
    <w:p w14:paraId="1C610102">
      <w:pPr>
        <w:pStyle w:val="4"/>
        <w:autoSpaceDE w:val="0"/>
        <w:autoSpaceDN w:val="0"/>
        <w:spacing w:before="0" w:after="0" w:line="360" w:lineRule="auto"/>
        <w:jc w:val="left"/>
        <w:rPr>
          <w:kern w:val="0"/>
          <w:sz w:val="24"/>
          <w:lang w:val="en-US" w:bidi="zh-CN"/>
        </w:rPr>
      </w:pPr>
      <w:bookmarkStart w:id="588" w:name="_Toc22542_WPSOffice_Level3"/>
      <w:bookmarkStart w:id="589" w:name="_Toc9577"/>
      <w:bookmarkStart w:id="590" w:name="_Toc3891"/>
      <w:bookmarkStart w:id="591" w:name="_Toc1956"/>
      <w:bookmarkStart w:id="592" w:name="_Toc10427"/>
      <w:bookmarkStart w:id="593" w:name="_Toc20597"/>
      <w:bookmarkStart w:id="594" w:name="_Toc30235"/>
      <w:r>
        <w:rPr>
          <w:rFonts w:hint="eastAsia"/>
          <w:kern w:val="0"/>
          <w:sz w:val="24"/>
          <w:lang w:val="en-US" w:bidi="zh-CN"/>
        </w:rPr>
        <w:t>9.2.2</w:t>
      </w:r>
      <w:bookmarkEnd w:id="588"/>
      <w:bookmarkEnd w:id="589"/>
      <w:bookmarkEnd w:id="590"/>
      <w:bookmarkEnd w:id="591"/>
      <w:bookmarkEnd w:id="592"/>
      <w:bookmarkEnd w:id="593"/>
      <w:r>
        <w:rPr>
          <w:rFonts w:hint="eastAsia"/>
          <w:kern w:val="0"/>
          <w:sz w:val="24"/>
          <w:lang w:val="en-US" w:bidi="zh-CN"/>
        </w:rPr>
        <w:t>排污口规范化</w:t>
      </w:r>
      <w:bookmarkEnd w:id="594"/>
    </w:p>
    <w:p w14:paraId="35139415">
      <w:pPr>
        <w:bidi w:val="0"/>
        <w:adjustRightInd w:val="0"/>
        <w:snapToGrid w:val="0"/>
        <w:spacing w:line="440" w:lineRule="exact"/>
        <w:ind w:firstLine="480" w:firstLineChars="200"/>
        <w:rPr>
          <w:rFonts w:hint="default" w:ascii="Times New Roman" w:hAnsi="Times New Roman" w:eastAsia="宋体" w:cs="Times New Roman"/>
          <w:color w:val="auto"/>
          <w:sz w:val="24"/>
          <w:szCs w:val="24"/>
        </w:rPr>
      </w:pPr>
      <w:bookmarkStart w:id="595" w:name="_Toc19015"/>
      <w:bookmarkStart w:id="596" w:name="_Toc1621"/>
      <w:bookmarkStart w:id="597" w:name="_Toc2257"/>
      <w:bookmarkStart w:id="598" w:name="_Toc2110"/>
      <w:r>
        <w:rPr>
          <w:rFonts w:hint="default" w:ascii="Times New Roman" w:hAnsi="Times New Roman" w:eastAsia="宋体" w:cs="Times New Roman"/>
          <w:color w:val="000000"/>
          <w:kern w:val="0"/>
          <w:sz w:val="24"/>
          <w:szCs w:val="24"/>
        </w:rPr>
        <w:t>排污口规范化管理体制是实施污染物排放总量控制的基础性工作，也是总量控制不可缺少的一部分内容。此项工作可强化污染源的现场监督检查，促进排污单位加强管理和污染源治理，实现主要污染物排放的科学化、定量化管理</w:t>
      </w:r>
      <w:r>
        <w:rPr>
          <w:rFonts w:hint="eastAsia" w:ascii="Times New Roman" w:hAnsi="Times New Roman" w:eastAsia="宋体" w:cs="Times New Roman"/>
          <w:color w:val="000000"/>
          <w:kern w:val="0"/>
          <w:sz w:val="24"/>
          <w:szCs w:val="24"/>
          <w:lang w:eastAsia="zh-CN"/>
        </w:rPr>
        <w:t>都具</w:t>
      </w:r>
      <w:r>
        <w:rPr>
          <w:rFonts w:hint="default" w:ascii="Times New Roman" w:hAnsi="Times New Roman" w:eastAsia="宋体" w:cs="Times New Roman"/>
          <w:color w:val="000000"/>
          <w:kern w:val="0"/>
          <w:sz w:val="24"/>
          <w:szCs w:val="24"/>
        </w:rPr>
        <w:t>有极大的现实意义</w:t>
      </w:r>
      <w:r>
        <w:rPr>
          <w:rFonts w:hint="default" w:ascii="Times New Roman" w:hAnsi="Times New Roman" w:eastAsia="宋体" w:cs="Times New Roman"/>
          <w:color w:val="auto"/>
          <w:sz w:val="24"/>
          <w:szCs w:val="24"/>
        </w:rPr>
        <w:t>。</w:t>
      </w:r>
    </w:p>
    <w:p w14:paraId="71CAAD06">
      <w:pPr>
        <w:pStyle w:val="5"/>
        <w:rPr>
          <w:rFonts w:hint="default" w:ascii="Times New Roman" w:hAnsi="Times New Roman" w:eastAsia="宋体" w:cs="Times New Roman"/>
          <w:color w:val="000000"/>
          <w:lang w:val="en-US"/>
        </w:rPr>
      </w:pPr>
      <w:r>
        <w:rPr>
          <w:rFonts w:hint="eastAsia" w:ascii="Times New Roman" w:hAnsi="Times New Roman" w:eastAsia="宋体" w:cs="Times New Roman"/>
          <w:color w:val="000000"/>
          <w:lang w:val="en-US"/>
        </w:rPr>
        <w:t>9.2.2.1</w:t>
      </w:r>
      <w:r>
        <w:rPr>
          <w:rFonts w:hint="default" w:ascii="Times New Roman" w:hAnsi="Times New Roman" w:eastAsia="宋体" w:cs="Times New Roman"/>
          <w:color w:val="000000"/>
          <w:lang w:val="en-US"/>
        </w:rPr>
        <w:t>与排污许可证制度衔接要求</w:t>
      </w:r>
    </w:p>
    <w:p w14:paraId="387F9099">
      <w:pPr>
        <w:bidi w:val="0"/>
        <w:adjustRightInd w:val="0"/>
        <w:snapToGrid w:val="0"/>
        <w:spacing w:line="440" w:lineRule="exact"/>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根据《关于做好环境影响评价制度与排污许可制衔接相关工作的通知》（环办环评</w:t>
      </w:r>
      <w:r>
        <w:rPr>
          <w:rFonts w:hint="eastAsia" w:cs="Times New Roman"/>
          <w:color w:val="auto"/>
          <w:sz w:val="24"/>
          <w:szCs w:val="24"/>
          <w:lang w:eastAsia="zh-CN"/>
        </w:rPr>
        <w:t>〔2017〕84号</w:t>
      </w:r>
      <w:r>
        <w:rPr>
          <w:rFonts w:hint="default" w:ascii="Times New Roman" w:hAnsi="Times New Roman" w:eastAsia="宋体" w:cs="Times New Roman"/>
          <w:color w:val="auto"/>
          <w:sz w:val="24"/>
          <w:szCs w:val="24"/>
        </w:rPr>
        <w:t>）提出：依据国家或地方污染物排放标准、环境质量标准和总量控制要求等管理规定，按照污染源源强核算技术指南、环境影响评价要素导则等技术文件，严格核定排放口数量、位置以及每个排放口的污染物种类、允许排放浓度和允许排放量、排放方式、排放去向、自行监测计划等与污染物排放相关的主要内容。</w:t>
      </w:r>
    </w:p>
    <w:p w14:paraId="74B18296">
      <w:pPr>
        <w:bidi w:val="0"/>
        <w:adjustRightInd w:val="0"/>
        <w:snapToGrid w:val="0"/>
        <w:spacing w:line="440" w:lineRule="exact"/>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建设项目发生实际排污行为之前，排污单位应当按照国家环境保护相关法律法规以及排污许可证申请与核发技术规范要求申请排污许可证，不得无证排污或不按证排污。排污许可证执行报告、台账记录以及自行监测执行情况等应作为开展建设项目环境影响后评价的重要依据。</w:t>
      </w:r>
    </w:p>
    <w:p w14:paraId="05561850">
      <w:pPr>
        <w:pStyle w:val="5"/>
        <w:rPr>
          <w:rFonts w:hint="default" w:ascii="Times New Roman" w:hAnsi="Times New Roman" w:eastAsia="宋体" w:cs="Times New Roman"/>
          <w:color w:val="000000"/>
          <w:lang w:val="en-US" w:eastAsia="zh-CN"/>
        </w:rPr>
      </w:pPr>
      <w:r>
        <w:rPr>
          <w:rFonts w:hint="eastAsia" w:ascii="Times New Roman" w:hAnsi="Times New Roman" w:eastAsia="宋体" w:cs="Times New Roman"/>
          <w:color w:val="000000"/>
          <w:lang w:val="en-US" w:eastAsia="zh-CN"/>
        </w:rPr>
        <w:t>9.2.2.2</w:t>
      </w:r>
      <w:bookmarkEnd w:id="595"/>
      <w:bookmarkEnd w:id="596"/>
      <w:bookmarkEnd w:id="597"/>
      <w:bookmarkEnd w:id="598"/>
      <w:bookmarkStart w:id="599" w:name="_Toc16301"/>
      <w:bookmarkStart w:id="600" w:name="_Toc10470"/>
      <w:bookmarkStart w:id="601" w:name="_Toc29368"/>
      <w:bookmarkStart w:id="602" w:name="_Toc1187"/>
      <w:r>
        <w:rPr>
          <w:rFonts w:hint="default" w:ascii="Times New Roman" w:hAnsi="Times New Roman" w:eastAsia="宋体" w:cs="Times New Roman"/>
          <w:color w:val="000000"/>
          <w:lang w:val="en-US" w:eastAsia="zh-CN"/>
        </w:rPr>
        <w:t>排污口的技术要求</w:t>
      </w:r>
    </w:p>
    <w:p w14:paraId="04767851">
      <w:pPr>
        <w:adjustRightInd w:val="0"/>
        <w:snapToGrid w:val="0"/>
        <w:spacing w:line="440" w:lineRule="exact"/>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1</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排污口应便于采样与计量监测，便于日常现场监督检查；</w:t>
      </w:r>
    </w:p>
    <w:p w14:paraId="266EBC23">
      <w:pPr>
        <w:adjustRightInd w:val="0"/>
        <w:snapToGrid w:val="0"/>
        <w:spacing w:line="440" w:lineRule="exact"/>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2</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排污口的位置必须合理确定，按《排污口规范化整治技术要求（试行）》（环监</w:t>
      </w:r>
      <w:r>
        <w:rPr>
          <w:rFonts w:hint="eastAsia" w:cs="Times New Roman"/>
          <w:color w:val="auto"/>
          <w:sz w:val="24"/>
          <w:szCs w:val="24"/>
          <w:lang w:eastAsia="zh-CN"/>
        </w:rPr>
        <w:t>〔1996〕470号</w:t>
      </w:r>
      <w:r>
        <w:rPr>
          <w:rFonts w:hint="default" w:ascii="Times New Roman" w:hAnsi="Times New Roman" w:eastAsia="宋体" w:cs="Times New Roman"/>
          <w:color w:val="auto"/>
          <w:sz w:val="24"/>
          <w:szCs w:val="24"/>
        </w:rPr>
        <w:t>）要求进行规范化管理；</w:t>
      </w:r>
    </w:p>
    <w:p w14:paraId="4A3D43CE">
      <w:pPr>
        <w:adjustRightInd w:val="0"/>
        <w:snapToGrid w:val="0"/>
        <w:spacing w:line="440" w:lineRule="exact"/>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3</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各污染物排放口，应按照国家《环境保护图形标志》（GB15562.1-1995）与（GB15562.2-1995）</w:t>
      </w:r>
      <w:r>
        <w:rPr>
          <w:rFonts w:hint="eastAsia" w:ascii="Times New Roman" w:hAnsi="Times New Roman" w:eastAsia="宋体" w:cs="Times New Roman"/>
          <w:color w:val="auto"/>
          <w:sz w:val="24"/>
          <w:szCs w:val="24"/>
          <w:lang w:val="en-US" w:eastAsia="zh-CN"/>
        </w:rPr>
        <w:t>及其修改单</w:t>
      </w:r>
      <w:r>
        <w:rPr>
          <w:rFonts w:hint="default" w:ascii="Times New Roman" w:hAnsi="Times New Roman" w:eastAsia="宋体" w:cs="Times New Roman"/>
          <w:color w:val="auto"/>
          <w:sz w:val="24"/>
          <w:szCs w:val="24"/>
        </w:rPr>
        <w:t>的规定，设置</w:t>
      </w:r>
      <w:r>
        <w:rPr>
          <w:rFonts w:hint="eastAsia" w:ascii="Times New Roman" w:hAnsi="Times New Roman" w:eastAsia="宋体" w:cs="Times New Roman"/>
          <w:color w:val="auto"/>
          <w:sz w:val="24"/>
          <w:szCs w:val="24"/>
          <w:lang w:eastAsia="zh-CN"/>
        </w:rPr>
        <w:t>生态环境部</w:t>
      </w:r>
      <w:r>
        <w:rPr>
          <w:rFonts w:hint="default" w:ascii="Times New Roman" w:hAnsi="Times New Roman" w:eastAsia="宋体" w:cs="Times New Roman"/>
          <w:color w:val="auto"/>
          <w:sz w:val="24"/>
          <w:szCs w:val="24"/>
        </w:rPr>
        <w:t>统一制作的环境保护图形标志牌；</w:t>
      </w:r>
    </w:p>
    <w:p w14:paraId="79F96A7A">
      <w:pPr>
        <w:adjustRightInd w:val="0"/>
        <w:snapToGrid w:val="0"/>
        <w:spacing w:line="440" w:lineRule="exact"/>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4</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污染物排放口的环保图形标志牌应设置在靠近采样点的醒目处，标志牌设置高度为其上缘距地面2m；</w:t>
      </w:r>
    </w:p>
    <w:p w14:paraId="6F1F1E51">
      <w:pPr>
        <w:adjustRightInd w:val="0"/>
        <w:snapToGrid w:val="0"/>
        <w:spacing w:line="440" w:lineRule="exact"/>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5</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排放的采样点设置应按《污染源监测技术规范》要求，设置在企业污染物总排口等处；</w:t>
      </w:r>
    </w:p>
    <w:p w14:paraId="1E4A0C2C">
      <w:pPr>
        <w:adjustRightInd w:val="0"/>
        <w:snapToGrid w:val="0"/>
        <w:spacing w:line="440" w:lineRule="exact"/>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6</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排气筒设置便于采样、监测的采样口和采样监测平台。废气净化设施的进出口均设置采样口；</w:t>
      </w:r>
    </w:p>
    <w:p w14:paraId="7E16F790">
      <w:pPr>
        <w:adjustRightInd w:val="0"/>
        <w:snapToGrid w:val="0"/>
        <w:spacing w:line="440" w:lineRule="exact"/>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7</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在固定噪声源风机对厂界噪声影响最大处设置环境保护图形标志牌；</w:t>
      </w:r>
    </w:p>
    <w:p w14:paraId="65AF7CF1">
      <w:pPr>
        <w:adjustRightInd w:val="0"/>
        <w:snapToGrid w:val="0"/>
        <w:spacing w:line="440" w:lineRule="exact"/>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8</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固体废物储存场所要有防火、防扬散、防流失、防渗漏、防雨措施，固体废物贮存场所在醒目处设置一个标志牌。</w:t>
      </w:r>
    </w:p>
    <w:p w14:paraId="0CD1C054">
      <w:pPr>
        <w:pStyle w:val="5"/>
        <w:rPr>
          <w:rFonts w:hint="default" w:ascii="Times New Roman" w:hAnsi="Times New Roman" w:eastAsia="宋体" w:cs="Times New Roman"/>
          <w:color w:val="000000"/>
          <w:lang w:val="en-US" w:eastAsia="zh-CN"/>
        </w:rPr>
      </w:pPr>
      <w:bookmarkStart w:id="603" w:name="_Toc367083916"/>
      <w:bookmarkEnd w:id="603"/>
      <w:bookmarkStart w:id="604" w:name="_Toc231701881"/>
      <w:bookmarkEnd w:id="604"/>
      <w:bookmarkStart w:id="605" w:name="_Toc230860515"/>
      <w:bookmarkEnd w:id="605"/>
      <w:bookmarkStart w:id="606" w:name="_Toc230669225"/>
      <w:bookmarkEnd w:id="606"/>
      <w:bookmarkStart w:id="607" w:name="_Toc228592864"/>
      <w:bookmarkEnd w:id="607"/>
      <w:bookmarkStart w:id="608" w:name="_Toc20458"/>
      <w:bookmarkStart w:id="609" w:name="_Toc26276"/>
      <w:bookmarkStart w:id="610" w:name="_Toc16611"/>
      <w:bookmarkStart w:id="611" w:name="_Toc15868"/>
      <w:bookmarkStart w:id="612" w:name="_Toc29813"/>
      <w:r>
        <w:rPr>
          <w:rFonts w:hint="eastAsia" w:ascii="Times New Roman" w:hAnsi="Times New Roman" w:eastAsia="宋体" w:cs="Times New Roman"/>
          <w:color w:val="000000"/>
          <w:lang w:val="en-US" w:eastAsia="zh-CN"/>
        </w:rPr>
        <w:t>9.2.2.3</w:t>
      </w:r>
      <w:r>
        <w:rPr>
          <w:rFonts w:hint="default" w:ascii="Times New Roman" w:hAnsi="Times New Roman" w:eastAsia="宋体" w:cs="Times New Roman"/>
          <w:color w:val="000000"/>
          <w:lang w:val="en-US" w:eastAsia="zh-CN"/>
        </w:rPr>
        <w:t>排污口立标管理</w:t>
      </w:r>
      <w:bookmarkEnd w:id="608"/>
      <w:bookmarkEnd w:id="609"/>
      <w:bookmarkEnd w:id="610"/>
      <w:bookmarkEnd w:id="611"/>
      <w:bookmarkEnd w:id="612"/>
    </w:p>
    <w:p w14:paraId="21E50C72">
      <w:pPr>
        <w:adjustRightInd w:val="0"/>
        <w:snapToGrid w:val="0"/>
        <w:spacing w:line="440" w:lineRule="exact"/>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1</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各污染物排放口，应按照国家《环境保护图形标志》（GB15562.1-1995）与（GB15562.2-1995）</w:t>
      </w:r>
      <w:r>
        <w:rPr>
          <w:rFonts w:hint="default" w:ascii="Times New Roman" w:hAnsi="Times New Roman" w:eastAsia="宋体" w:cs="Times New Roman"/>
          <w:color w:val="auto"/>
          <w:sz w:val="24"/>
          <w:szCs w:val="24"/>
          <w:lang w:val="en-US" w:eastAsia="zh-CN"/>
        </w:rPr>
        <w:t>及其修改单</w:t>
      </w:r>
      <w:r>
        <w:rPr>
          <w:rFonts w:hint="default" w:ascii="Times New Roman" w:hAnsi="Times New Roman" w:eastAsia="宋体" w:cs="Times New Roman"/>
          <w:color w:val="auto"/>
          <w:sz w:val="24"/>
          <w:szCs w:val="24"/>
        </w:rPr>
        <w:t>的规定，设置</w:t>
      </w:r>
      <w:r>
        <w:rPr>
          <w:rFonts w:hint="eastAsia" w:ascii="Times New Roman" w:hAnsi="Times New Roman" w:eastAsia="宋体" w:cs="Times New Roman"/>
          <w:color w:val="auto"/>
          <w:sz w:val="24"/>
          <w:szCs w:val="24"/>
          <w:lang w:eastAsia="zh-CN"/>
        </w:rPr>
        <w:t>生态环境部</w:t>
      </w:r>
      <w:r>
        <w:rPr>
          <w:rFonts w:hint="default" w:ascii="Times New Roman" w:hAnsi="Times New Roman" w:eastAsia="宋体" w:cs="Times New Roman"/>
          <w:color w:val="auto"/>
          <w:sz w:val="24"/>
          <w:szCs w:val="24"/>
        </w:rPr>
        <w:t>统一制作的环境保护图形标志牌；</w:t>
      </w:r>
    </w:p>
    <w:p w14:paraId="2C13376A">
      <w:pPr>
        <w:adjustRightInd w:val="0"/>
        <w:snapToGrid w:val="0"/>
        <w:spacing w:line="440" w:lineRule="exact"/>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2</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污染物排放口的环保图形标志牌应设置在靠近采样点的醒目处，标志牌设置高度为其上缘距地面2m。</w:t>
      </w:r>
    </w:p>
    <w:p w14:paraId="041F621A">
      <w:pPr>
        <w:pStyle w:val="5"/>
        <w:rPr>
          <w:rFonts w:hint="default" w:ascii="Times New Roman" w:hAnsi="Times New Roman" w:eastAsia="宋体" w:cs="Times New Roman"/>
          <w:color w:val="000000"/>
          <w:lang w:val="en-US" w:eastAsia="zh-CN"/>
        </w:rPr>
      </w:pPr>
      <w:bookmarkStart w:id="613" w:name="_Toc367083917"/>
      <w:bookmarkEnd w:id="613"/>
      <w:bookmarkStart w:id="614" w:name="_Toc31273"/>
      <w:bookmarkStart w:id="615" w:name="_Toc9294"/>
      <w:bookmarkStart w:id="616" w:name="_Toc29112"/>
      <w:bookmarkStart w:id="617" w:name="_Toc27294"/>
      <w:bookmarkStart w:id="618" w:name="_Toc28192"/>
      <w:r>
        <w:rPr>
          <w:rFonts w:hint="eastAsia" w:ascii="Times New Roman" w:hAnsi="Times New Roman" w:eastAsia="宋体" w:cs="Times New Roman"/>
          <w:color w:val="000000"/>
          <w:lang w:val="en-US" w:eastAsia="zh-CN"/>
        </w:rPr>
        <w:t>9.2.2.4</w:t>
      </w:r>
      <w:r>
        <w:rPr>
          <w:rFonts w:hint="default" w:ascii="Times New Roman" w:hAnsi="Times New Roman" w:eastAsia="宋体" w:cs="Times New Roman"/>
          <w:color w:val="000000"/>
          <w:lang w:val="en-US" w:eastAsia="zh-CN"/>
        </w:rPr>
        <w:t>排污口设置及规范化管理</w:t>
      </w:r>
      <w:bookmarkEnd w:id="614"/>
      <w:bookmarkEnd w:id="615"/>
      <w:bookmarkEnd w:id="616"/>
      <w:bookmarkEnd w:id="617"/>
      <w:bookmarkEnd w:id="618"/>
    </w:p>
    <w:p w14:paraId="212DB31A">
      <w:pPr>
        <w:bidi w:val="0"/>
        <w:adjustRightInd w:val="0"/>
        <w:snapToGrid w:val="0"/>
        <w:spacing w:line="440" w:lineRule="exact"/>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在厂区</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三废</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排放口及噪声源处设置明显标志。标志的设置应执行《环境保护图形标志排放口（源）》（GB15562.1-1995）及《环境保护图形固体废物贮存（处置）场》（GB15562.2-1995）</w:t>
      </w:r>
      <w:r>
        <w:rPr>
          <w:rFonts w:hint="default" w:ascii="Times New Roman" w:hAnsi="Times New Roman" w:eastAsia="宋体" w:cs="Times New Roman"/>
          <w:color w:val="auto"/>
          <w:sz w:val="24"/>
          <w:szCs w:val="24"/>
          <w:lang w:val="en-US" w:eastAsia="zh-CN"/>
        </w:rPr>
        <w:t>及其修改单</w:t>
      </w:r>
      <w:r>
        <w:rPr>
          <w:rFonts w:hint="default" w:ascii="Times New Roman" w:hAnsi="Times New Roman" w:eastAsia="宋体" w:cs="Times New Roman"/>
          <w:color w:val="auto"/>
          <w:sz w:val="24"/>
          <w:szCs w:val="24"/>
        </w:rPr>
        <w:t>中的有关规定。排污口规范化整治，应符合国家、省、市有关规定，并通过主管环保部门认证和验收。排放口图形标志见表</w:t>
      </w:r>
      <w:r>
        <w:rPr>
          <w:rFonts w:hint="eastAsia" w:ascii="Times New Roman" w:hAnsi="Times New Roman" w:eastAsia="宋体" w:cs="Times New Roman"/>
          <w:color w:val="auto"/>
          <w:sz w:val="24"/>
          <w:szCs w:val="24"/>
          <w:lang w:val="en-US" w:eastAsia="zh-CN"/>
        </w:rPr>
        <w:t>9.2-2</w:t>
      </w:r>
      <w:r>
        <w:rPr>
          <w:rFonts w:hint="default" w:ascii="Times New Roman" w:hAnsi="Times New Roman" w:eastAsia="宋体" w:cs="Times New Roman"/>
          <w:color w:val="auto"/>
          <w:sz w:val="24"/>
          <w:szCs w:val="24"/>
        </w:rPr>
        <w:t>。</w:t>
      </w:r>
    </w:p>
    <w:p w14:paraId="077F806A">
      <w:pPr>
        <w:keepNext w:val="0"/>
        <w:keepLines w:val="0"/>
        <w:pageBreakBefore w:val="0"/>
        <w:widowControl w:val="0"/>
        <w:kinsoku/>
        <w:wordWrap/>
        <w:overflowPunct/>
        <w:topLinePunct w:val="0"/>
        <w:autoSpaceDE/>
        <w:autoSpaceDN/>
        <w:bidi w:val="0"/>
        <w:adjustRightInd w:val="0"/>
        <w:snapToGrid w:val="0"/>
        <w:spacing w:line="440" w:lineRule="exact"/>
        <w:ind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表</w:t>
      </w:r>
      <w:r>
        <w:rPr>
          <w:rFonts w:hint="eastAsia" w:ascii="Times New Roman" w:hAnsi="Times New Roman" w:eastAsia="宋体" w:cs="Times New Roman"/>
          <w:b/>
          <w:bCs/>
          <w:color w:val="auto"/>
          <w:sz w:val="21"/>
          <w:szCs w:val="21"/>
          <w:lang w:val="en-US" w:eastAsia="zh-CN"/>
        </w:rPr>
        <w:t>9.2-2</w:t>
      </w:r>
      <w:r>
        <w:rPr>
          <w:rFonts w:hint="default" w:ascii="Times New Roman" w:hAnsi="Times New Roman" w:eastAsia="宋体" w:cs="Times New Roman"/>
          <w:b/>
          <w:bCs/>
          <w:color w:val="auto"/>
          <w:sz w:val="21"/>
          <w:szCs w:val="21"/>
        </w:rPr>
        <w:t xml:space="preserve">   污染物排放口环境保护图形标志一览表</w:t>
      </w:r>
    </w:p>
    <w:tbl>
      <w:tblPr>
        <w:tblStyle w:val="49"/>
        <w:tblW w:w="4998"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2803"/>
        <w:gridCol w:w="2077"/>
        <w:gridCol w:w="893"/>
        <w:gridCol w:w="1364"/>
        <w:gridCol w:w="2101"/>
      </w:tblGrid>
      <w:tr w14:paraId="15739A9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17" w:type="pct"/>
            <w:tcBorders>
              <w:tl2br w:val="nil"/>
              <w:tr2bl w:val="nil"/>
            </w:tcBorders>
            <w:noWrap w:val="0"/>
            <w:vAlign w:val="center"/>
          </w:tcPr>
          <w:p w14:paraId="1CC8D37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排放口</w:t>
            </w:r>
          </w:p>
        </w:tc>
        <w:tc>
          <w:tcPr>
            <w:tcW w:w="1124" w:type="pct"/>
            <w:tcBorders>
              <w:tl2br w:val="nil"/>
              <w:tr2bl w:val="nil"/>
            </w:tcBorders>
            <w:noWrap w:val="0"/>
            <w:vAlign w:val="center"/>
          </w:tcPr>
          <w:p w14:paraId="0B8B0EC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废水排放口</w:t>
            </w:r>
          </w:p>
        </w:tc>
        <w:tc>
          <w:tcPr>
            <w:tcW w:w="1221" w:type="pct"/>
            <w:gridSpan w:val="2"/>
            <w:tcBorders>
              <w:tl2br w:val="nil"/>
              <w:tr2bl w:val="nil"/>
            </w:tcBorders>
            <w:noWrap w:val="0"/>
            <w:vAlign w:val="center"/>
          </w:tcPr>
          <w:p w14:paraId="11A25A7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废气排放口</w:t>
            </w:r>
          </w:p>
        </w:tc>
        <w:tc>
          <w:tcPr>
            <w:tcW w:w="1137" w:type="pct"/>
            <w:tcBorders>
              <w:tl2br w:val="nil"/>
              <w:tr2bl w:val="nil"/>
            </w:tcBorders>
            <w:noWrap w:val="0"/>
            <w:vAlign w:val="center"/>
          </w:tcPr>
          <w:p w14:paraId="0BFF23B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噪声源</w:t>
            </w:r>
          </w:p>
        </w:tc>
      </w:tr>
      <w:tr w14:paraId="5BA6766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17" w:type="pct"/>
            <w:tcBorders>
              <w:tl2br w:val="nil"/>
              <w:tr2bl w:val="nil"/>
            </w:tcBorders>
            <w:noWrap w:val="0"/>
            <w:vAlign w:val="center"/>
          </w:tcPr>
          <w:p w14:paraId="3F3C517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图形符号</w:t>
            </w:r>
          </w:p>
        </w:tc>
        <w:tc>
          <w:tcPr>
            <w:tcW w:w="1124" w:type="pct"/>
            <w:tcBorders>
              <w:tl2br w:val="nil"/>
              <w:tr2bl w:val="nil"/>
            </w:tcBorders>
            <w:noWrap w:val="0"/>
            <w:vAlign w:val="center"/>
          </w:tcPr>
          <w:p w14:paraId="0A04EBF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drawing>
                <wp:inline distT="0" distB="0" distL="114300" distR="114300">
                  <wp:extent cx="1181100" cy="988060"/>
                  <wp:effectExtent l="0" t="0" r="0" b="2540"/>
                  <wp:docPr id="31"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7"/>
                          <pic:cNvPicPr>
                            <a:picLocks noChangeAspect="1"/>
                          </pic:cNvPicPr>
                        </pic:nvPicPr>
                        <pic:blipFill>
                          <a:blip r:embed="rId63"/>
                          <a:stretch>
                            <a:fillRect/>
                          </a:stretch>
                        </pic:blipFill>
                        <pic:spPr>
                          <a:xfrm>
                            <a:off x="0" y="0"/>
                            <a:ext cx="1181100" cy="988060"/>
                          </a:xfrm>
                          <a:prstGeom prst="rect">
                            <a:avLst/>
                          </a:prstGeom>
                          <a:noFill/>
                          <a:ln>
                            <a:noFill/>
                          </a:ln>
                        </pic:spPr>
                      </pic:pic>
                    </a:graphicData>
                  </a:graphic>
                </wp:inline>
              </w:drawing>
            </w:r>
          </w:p>
        </w:tc>
        <w:tc>
          <w:tcPr>
            <w:tcW w:w="1221" w:type="pct"/>
            <w:gridSpan w:val="2"/>
            <w:tcBorders>
              <w:tl2br w:val="nil"/>
              <w:tr2bl w:val="nil"/>
            </w:tcBorders>
            <w:noWrap w:val="0"/>
            <w:vAlign w:val="center"/>
          </w:tcPr>
          <w:p w14:paraId="71DD127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drawing>
                <wp:inline distT="0" distB="0" distL="114300" distR="114300">
                  <wp:extent cx="1238885" cy="1033145"/>
                  <wp:effectExtent l="0" t="0" r="18415" b="14605"/>
                  <wp:docPr id="32"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8"/>
                          <pic:cNvPicPr>
                            <a:picLocks noChangeAspect="1"/>
                          </pic:cNvPicPr>
                        </pic:nvPicPr>
                        <pic:blipFill>
                          <a:blip r:embed="rId64"/>
                          <a:stretch>
                            <a:fillRect/>
                          </a:stretch>
                        </pic:blipFill>
                        <pic:spPr>
                          <a:xfrm>
                            <a:off x="0" y="0"/>
                            <a:ext cx="1238885" cy="1033145"/>
                          </a:xfrm>
                          <a:prstGeom prst="rect">
                            <a:avLst/>
                          </a:prstGeom>
                          <a:noFill/>
                          <a:ln>
                            <a:noFill/>
                          </a:ln>
                        </pic:spPr>
                      </pic:pic>
                    </a:graphicData>
                  </a:graphic>
                </wp:inline>
              </w:drawing>
            </w:r>
          </w:p>
        </w:tc>
        <w:tc>
          <w:tcPr>
            <w:tcW w:w="1137" w:type="pct"/>
            <w:tcBorders>
              <w:tl2br w:val="nil"/>
              <w:tr2bl w:val="nil"/>
            </w:tcBorders>
            <w:noWrap w:val="0"/>
            <w:vAlign w:val="center"/>
          </w:tcPr>
          <w:p w14:paraId="3380DFD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rPr>
              <w:drawing>
                <wp:inline distT="0" distB="0" distL="114300" distR="114300">
                  <wp:extent cx="990600" cy="1000125"/>
                  <wp:effectExtent l="0" t="0" r="0" b="9525"/>
                  <wp:docPr id="33"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9"/>
                          <pic:cNvPicPr>
                            <a:picLocks noChangeAspect="1"/>
                          </pic:cNvPicPr>
                        </pic:nvPicPr>
                        <pic:blipFill>
                          <a:blip r:embed="rId65"/>
                          <a:stretch>
                            <a:fillRect/>
                          </a:stretch>
                        </pic:blipFill>
                        <pic:spPr>
                          <a:xfrm>
                            <a:off x="0" y="0"/>
                            <a:ext cx="990600" cy="1000125"/>
                          </a:xfrm>
                          <a:prstGeom prst="rect">
                            <a:avLst/>
                          </a:prstGeom>
                          <a:noFill/>
                          <a:ln>
                            <a:noFill/>
                          </a:ln>
                        </pic:spPr>
                      </pic:pic>
                    </a:graphicData>
                  </a:graphic>
                </wp:inline>
              </w:drawing>
            </w:r>
          </w:p>
        </w:tc>
      </w:tr>
      <w:tr w14:paraId="57207AE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17" w:type="pct"/>
            <w:tcBorders>
              <w:tl2br w:val="nil"/>
              <w:tr2bl w:val="nil"/>
            </w:tcBorders>
            <w:noWrap w:val="0"/>
            <w:vAlign w:val="center"/>
          </w:tcPr>
          <w:p w14:paraId="4B0500F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背景颜色</w:t>
            </w:r>
          </w:p>
        </w:tc>
        <w:tc>
          <w:tcPr>
            <w:tcW w:w="3482" w:type="pct"/>
            <w:gridSpan w:val="4"/>
            <w:tcBorders>
              <w:tl2br w:val="nil"/>
              <w:tr2bl w:val="nil"/>
            </w:tcBorders>
            <w:noWrap w:val="0"/>
            <w:vAlign w:val="center"/>
          </w:tcPr>
          <w:p w14:paraId="5D4014A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绿色</w:t>
            </w:r>
          </w:p>
        </w:tc>
      </w:tr>
      <w:tr w14:paraId="7CD850C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17" w:type="pct"/>
            <w:tcBorders>
              <w:tl2br w:val="nil"/>
              <w:tr2bl w:val="nil"/>
            </w:tcBorders>
            <w:noWrap w:val="0"/>
            <w:vAlign w:val="center"/>
          </w:tcPr>
          <w:p w14:paraId="43F4730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图形颜色</w:t>
            </w:r>
          </w:p>
        </w:tc>
        <w:tc>
          <w:tcPr>
            <w:tcW w:w="3482" w:type="pct"/>
            <w:gridSpan w:val="4"/>
            <w:tcBorders>
              <w:tl2br w:val="nil"/>
              <w:tr2bl w:val="nil"/>
            </w:tcBorders>
            <w:noWrap w:val="0"/>
            <w:vAlign w:val="center"/>
          </w:tcPr>
          <w:p w14:paraId="077023F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白色</w:t>
            </w:r>
          </w:p>
        </w:tc>
      </w:tr>
      <w:tr w14:paraId="3F9B7B7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17" w:type="pct"/>
            <w:tcBorders>
              <w:tl2br w:val="nil"/>
              <w:tr2bl w:val="nil"/>
            </w:tcBorders>
            <w:noWrap w:val="0"/>
            <w:vAlign w:val="center"/>
          </w:tcPr>
          <w:p w14:paraId="48692CA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固体废物贮存、处置场图</w:t>
            </w:r>
          </w:p>
        </w:tc>
        <w:tc>
          <w:tcPr>
            <w:tcW w:w="1607" w:type="pct"/>
            <w:gridSpan w:val="2"/>
            <w:tcBorders>
              <w:tl2br w:val="nil"/>
              <w:tr2bl w:val="nil"/>
            </w:tcBorders>
            <w:noWrap w:val="0"/>
            <w:vAlign w:val="center"/>
          </w:tcPr>
          <w:p w14:paraId="5D6828F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一般固体废物</w:t>
            </w:r>
          </w:p>
        </w:tc>
        <w:tc>
          <w:tcPr>
            <w:tcW w:w="1874" w:type="pct"/>
            <w:gridSpan w:val="2"/>
            <w:tcBorders>
              <w:tl2br w:val="nil"/>
              <w:tr2bl w:val="nil"/>
            </w:tcBorders>
            <w:noWrap w:val="0"/>
            <w:vAlign w:val="center"/>
          </w:tcPr>
          <w:p w14:paraId="5FBCF3E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危险废物（警告图形符号）</w:t>
            </w:r>
          </w:p>
        </w:tc>
      </w:tr>
      <w:tr w14:paraId="650F68F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17" w:type="pct"/>
            <w:tcBorders>
              <w:tl2br w:val="nil"/>
              <w:tr2bl w:val="nil"/>
            </w:tcBorders>
            <w:noWrap w:val="0"/>
            <w:vAlign w:val="center"/>
          </w:tcPr>
          <w:p w14:paraId="1DCCB80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图形符号</w:t>
            </w:r>
          </w:p>
        </w:tc>
        <w:tc>
          <w:tcPr>
            <w:tcW w:w="1607" w:type="pct"/>
            <w:gridSpan w:val="2"/>
            <w:tcBorders>
              <w:tl2br w:val="nil"/>
              <w:tr2bl w:val="nil"/>
            </w:tcBorders>
            <w:noWrap w:val="0"/>
            <w:vAlign w:val="center"/>
          </w:tcPr>
          <w:p w14:paraId="708F020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rPr>
              <w:drawing>
                <wp:inline distT="0" distB="0" distL="114300" distR="114300">
                  <wp:extent cx="1476375" cy="1952625"/>
                  <wp:effectExtent l="0" t="0" r="9525" b="9525"/>
                  <wp:docPr id="34"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0"/>
                          <pic:cNvPicPr>
                            <a:picLocks noChangeAspect="1"/>
                          </pic:cNvPicPr>
                        </pic:nvPicPr>
                        <pic:blipFill>
                          <a:blip r:embed="rId66"/>
                          <a:stretch>
                            <a:fillRect/>
                          </a:stretch>
                        </pic:blipFill>
                        <pic:spPr>
                          <a:xfrm>
                            <a:off x="0" y="0"/>
                            <a:ext cx="1476375" cy="1952625"/>
                          </a:xfrm>
                          <a:prstGeom prst="rect">
                            <a:avLst/>
                          </a:prstGeom>
                          <a:noFill/>
                          <a:ln>
                            <a:noFill/>
                          </a:ln>
                        </pic:spPr>
                      </pic:pic>
                    </a:graphicData>
                  </a:graphic>
                </wp:inline>
              </w:drawing>
            </w:r>
          </w:p>
        </w:tc>
        <w:tc>
          <w:tcPr>
            <w:tcW w:w="1874" w:type="pct"/>
            <w:gridSpan w:val="2"/>
            <w:tcBorders>
              <w:tl2br w:val="nil"/>
              <w:tr2bl w:val="nil"/>
            </w:tcBorders>
            <w:noWrap w:val="0"/>
            <w:vAlign w:val="center"/>
          </w:tcPr>
          <w:p w14:paraId="286993A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4"/>
                <w:szCs w:val="24"/>
              </w:rPr>
              <w:drawing>
                <wp:inline distT="0" distB="0" distL="114300" distR="114300">
                  <wp:extent cx="1915795" cy="1773555"/>
                  <wp:effectExtent l="0" t="0" r="8255" b="17145"/>
                  <wp:docPr id="30"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1"/>
                          <pic:cNvPicPr>
                            <a:picLocks noChangeAspect="1"/>
                          </pic:cNvPicPr>
                        </pic:nvPicPr>
                        <pic:blipFill>
                          <a:blip r:embed="rId67"/>
                          <a:stretch>
                            <a:fillRect/>
                          </a:stretch>
                        </pic:blipFill>
                        <pic:spPr>
                          <a:xfrm>
                            <a:off x="0" y="0"/>
                            <a:ext cx="1915795" cy="1773555"/>
                          </a:xfrm>
                          <a:prstGeom prst="rect">
                            <a:avLst/>
                          </a:prstGeom>
                          <a:noFill/>
                          <a:ln>
                            <a:noFill/>
                          </a:ln>
                        </pic:spPr>
                      </pic:pic>
                    </a:graphicData>
                  </a:graphic>
                </wp:inline>
              </w:drawing>
            </w:r>
          </w:p>
        </w:tc>
      </w:tr>
      <w:tr w14:paraId="4BEE310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17" w:type="pct"/>
            <w:tcBorders>
              <w:tl2br w:val="nil"/>
              <w:tr2bl w:val="nil"/>
            </w:tcBorders>
            <w:noWrap w:val="0"/>
            <w:vAlign w:val="center"/>
          </w:tcPr>
          <w:p w14:paraId="57C5421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背景颜色</w:t>
            </w:r>
          </w:p>
        </w:tc>
        <w:tc>
          <w:tcPr>
            <w:tcW w:w="1607" w:type="pct"/>
            <w:gridSpan w:val="2"/>
            <w:tcBorders>
              <w:tl2br w:val="nil"/>
              <w:tr2bl w:val="nil"/>
            </w:tcBorders>
            <w:noWrap w:val="0"/>
            <w:vAlign w:val="center"/>
          </w:tcPr>
          <w:p w14:paraId="4D6C8D0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绿色</w:t>
            </w:r>
          </w:p>
        </w:tc>
        <w:tc>
          <w:tcPr>
            <w:tcW w:w="1874" w:type="pct"/>
            <w:gridSpan w:val="2"/>
            <w:tcBorders>
              <w:tl2br w:val="nil"/>
              <w:tr2bl w:val="nil"/>
            </w:tcBorders>
            <w:noWrap w:val="0"/>
            <w:vAlign w:val="center"/>
          </w:tcPr>
          <w:p w14:paraId="4FF670F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黄色</w:t>
            </w:r>
          </w:p>
        </w:tc>
      </w:tr>
      <w:tr w14:paraId="40DC3E7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17" w:type="pct"/>
            <w:tcBorders>
              <w:tl2br w:val="nil"/>
              <w:tr2bl w:val="nil"/>
            </w:tcBorders>
            <w:noWrap w:val="0"/>
            <w:vAlign w:val="center"/>
          </w:tcPr>
          <w:p w14:paraId="58362AA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图形颜色</w:t>
            </w:r>
          </w:p>
        </w:tc>
        <w:tc>
          <w:tcPr>
            <w:tcW w:w="1607" w:type="pct"/>
            <w:gridSpan w:val="2"/>
            <w:tcBorders>
              <w:tl2br w:val="nil"/>
              <w:tr2bl w:val="nil"/>
            </w:tcBorders>
            <w:noWrap w:val="0"/>
            <w:vAlign w:val="center"/>
          </w:tcPr>
          <w:p w14:paraId="0813795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白色</w:t>
            </w:r>
          </w:p>
        </w:tc>
        <w:tc>
          <w:tcPr>
            <w:tcW w:w="1874" w:type="pct"/>
            <w:gridSpan w:val="2"/>
            <w:tcBorders>
              <w:tl2br w:val="nil"/>
              <w:tr2bl w:val="nil"/>
            </w:tcBorders>
            <w:noWrap w:val="0"/>
            <w:vAlign w:val="center"/>
          </w:tcPr>
          <w:p w14:paraId="7CD6C22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黑色</w:t>
            </w:r>
          </w:p>
        </w:tc>
      </w:tr>
    </w:tbl>
    <w:p w14:paraId="4771580B">
      <w:pPr>
        <w:pStyle w:val="5"/>
        <w:rPr>
          <w:rFonts w:hint="default" w:ascii="Times New Roman" w:hAnsi="Times New Roman" w:eastAsia="宋体" w:cs="Times New Roman"/>
          <w:color w:val="000000"/>
          <w:lang w:val="en-US" w:eastAsia="zh-CN"/>
        </w:rPr>
      </w:pPr>
      <w:bookmarkStart w:id="619" w:name="_Toc367083918"/>
      <w:bookmarkEnd w:id="619"/>
      <w:bookmarkStart w:id="620" w:name="_Toc230860516"/>
      <w:bookmarkEnd w:id="620"/>
      <w:bookmarkStart w:id="621" w:name="_Toc228592865"/>
      <w:bookmarkEnd w:id="621"/>
      <w:bookmarkStart w:id="622" w:name="_Toc231701882"/>
      <w:bookmarkEnd w:id="622"/>
      <w:bookmarkStart w:id="623" w:name="_Toc230669226"/>
      <w:bookmarkEnd w:id="623"/>
      <w:bookmarkStart w:id="624" w:name="_Toc7978"/>
      <w:bookmarkStart w:id="625" w:name="_Toc7944"/>
      <w:bookmarkStart w:id="626" w:name="_Toc29513"/>
      <w:bookmarkStart w:id="627" w:name="_Toc28459"/>
      <w:bookmarkStart w:id="628" w:name="_Toc25765"/>
      <w:r>
        <w:rPr>
          <w:rFonts w:hint="eastAsia" w:ascii="Times New Roman" w:hAnsi="Times New Roman" w:eastAsia="宋体" w:cs="Times New Roman"/>
          <w:color w:val="000000"/>
          <w:lang w:val="en-US" w:eastAsia="zh-CN"/>
        </w:rPr>
        <w:t>9.2.2.5</w:t>
      </w:r>
      <w:r>
        <w:rPr>
          <w:rFonts w:hint="default" w:ascii="Times New Roman" w:hAnsi="Times New Roman" w:eastAsia="宋体" w:cs="Times New Roman"/>
          <w:color w:val="000000"/>
          <w:lang w:val="en-US" w:eastAsia="zh-CN"/>
        </w:rPr>
        <w:t>排污口建档管理</w:t>
      </w:r>
      <w:bookmarkEnd w:id="624"/>
      <w:bookmarkEnd w:id="625"/>
      <w:bookmarkEnd w:id="626"/>
      <w:bookmarkEnd w:id="627"/>
      <w:bookmarkEnd w:id="628"/>
    </w:p>
    <w:p w14:paraId="6DD43097">
      <w:pPr>
        <w:bidi w:val="0"/>
        <w:adjustRightInd w:val="0"/>
        <w:snapToGrid w:val="0"/>
        <w:spacing w:line="440" w:lineRule="exact"/>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1</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要求使用</w:t>
      </w:r>
      <w:r>
        <w:rPr>
          <w:rFonts w:hint="eastAsia" w:ascii="Times New Roman" w:hAnsi="Times New Roman" w:eastAsia="宋体" w:cs="Times New Roman"/>
          <w:color w:val="auto"/>
          <w:sz w:val="24"/>
          <w:szCs w:val="24"/>
          <w:lang w:eastAsia="zh-CN"/>
        </w:rPr>
        <w:t>生态环境部</w:t>
      </w:r>
      <w:r>
        <w:rPr>
          <w:rFonts w:hint="default" w:ascii="Times New Roman" w:hAnsi="Times New Roman" w:eastAsia="宋体" w:cs="Times New Roman"/>
          <w:color w:val="auto"/>
          <w:sz w:val="24"/>
          <w:szCs w:val="24"/>
        </w:rPr>
        <w:t>统一印刷的《中华人民共和国规范化排污口标志登记证》，并按要求填写有关内容；</w:t>
      </w:r>
    </w:p>
    <w:p w14:paraId="6AB6F70B">
      <w:pPr>
        <w:bidi w:val="0"/>
        <w:adjustRightInd w:val="0"/>
        <w:snapToGrid w:val="0"/>
        <w:spacing w:line="440" w:lineRule="exact"/>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2</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根据排污口管理档案内容要求，项目建成后，应将主要污染物种类、数量、浓度、排放去向、达标情况及设施运行情况记录于档案。</w:t>
      </w:r>
    </w:p>
    <w:p w14:paraId="2CF6D854">
      <w:pPr>
        <w:pStyle w:val="5"/>
        <w:rPr>
          <w:rFonts w:hint="default" w:ascii="Times New Roman" w:hAnsi="Times New Roman" w:eastAsia="宋体" w:cs="Times New Roman"/>
          <w:color w:val="000000"/>
          <w:lang w:val="en-US" w:eastAsia="zh-CN"/>
        </w:rPr>
      </w:pPr>
      <w:r>
        <w:rPr>
          <w:rFonts w:hint="eastAsia" w:ascii="Times New Roman" w:hAnsi="Times New Roman" w:eastAsia="宋体" w:cs="Times New Roman"/>
          <w:color w:val="000000"/>
          <w:lang w:val="en-US" w:eastAsia="zh-CN"/>
        </w:rPr>
        <w:t>9.2.2.6</w:t>
      </w:r>
      <w:r>
        <w:rPr>
          <w:rFonts w:hint="default" w:ascii="Times New Roman" w:hAnsi="Times New Roman" w:eastAsia="宋体" w:cs="Times New Roman"/>
          <w:color w:val="000000"/>
          <w:lang w:val="en-US" w:eastAsia="zh-CN"/>
        </w:rPr>
        <w:t>排污口</w:t>
      </w:r>
      <w:r>
        <w:rPr>
          <w:rFonts w:hint="eastAsia" w:ascii="Times New Roman" w:hAnsi="Times New Roman" w:eastAsia="宋体" w:cs="Times New Roman"/>
          <w:color w:val="000000"/>
          <w:lang w:val="en-US" w:eastAsia="zh-CN"/>
        </w:rPr>
        <w:t>二维码标识管理</w:t>
      </w:r>
    </w:p>
    <w:p w14:paraId="29916806">
      <w:pPr>
        <w:bidi w:val="0"/>
        <w:adjustRightInd w:val="0"/>
        <w:snapToGrid w:val="0"/>
        <w:spacing w:line="440" w:lineRule="exact"/>
        <w:ind w:firstLine="480" w:firstLineChars="200"/>
        <w:rPr>
          <w:rFonts w:hint="eastAsia"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eastAsia="zh-CN"/>
        </w:rPr>
        <w:t>根据《排污单位污染物排放口二维码标识技术规范》（HJ1297-2023）中相关要求建立排放口二维码标识。</w:t>
      </w:r>
    </w:p>
    <w:p w14:paraId="261F8FEA">
      <w:pPr>
        <w:pStyle w:val="4"/>
        <w:autoSpaceDE w:val="0"/>
        <w:autoSpaceDN w:val="0"/>
        <w:spacing w:before="0" w:after="0" w:line="360" w:lineRule="auto"/>
        <w:jc w:val="left"/>
        <w:rPr>
          <w:rFonts w:hint="eastAsia" w:ascii="Times New Roman" w:hAnsi="Times New Roman" w:eastAsia="宋体" w:cs="Times New Roman"/>
          <w:kern w:val="0"/>
          <w:sz w:val="24"/>
          <w:lang w:val="en-US" w:bidi="zh-CN"/>
        </w:rPr>
      </w:pPr>
      <w:r>
        <w:rPr>
          <w:rFonts w:hint="eastAsia" w:ascii="Times New Roman" w:hAnsi="Times New Roman" w:eastAsia="宋体" w:cs="Times New Roman"/>
          <w:kern w:val="0"/>
          <w:sz w:val="24"/>
          <w:lang w:val="en-US" w:eastAsia="zh-CN" w:bidi="zh-CN"/>
        </w:rPr>
        <w:t>9.2.3</w:t>
      </w:r>
      <w:r>
        <w:rPr>
          <w:rFonts w:hint="eastAsia" w:ascii="Times New Roman" w:hAnsi="Times New Roman" w:eastAsia="宋体" w:cs="Times New Roman"/>
          <w:kern w:val="0"/>
          <w:sz w:val="24"/>
          <w:lang w:val="en-US" w:bidi="zh-CN"/>
        </w:rPr>
        <w:t>环境管理台账制度</w:t>
      </w:r>
      <w:bookmarkEnd w:id="599"/>
      <w:bookmarkEnd w:id="600"/>
      <w:bookmarkEnd w:id="601"/>
      <w:bookmarkEnd w:id="602"/>
    </w:p>
    <w:p w14:paraId="23E0D36F">
      <w:pPr>
        <w:widowControl/>
        <w:spacing w:line="360" w:lineRule="auto"/>
        <w:ind w:firstLine="480" w:firstLineChars="200"/>
        <w:jc w:val="left"/>
        <w:rPr>
          <w:color w:val="000000"/>
          <w:kern w:val="0"/>
          <w:sz w:val="24"/>
          <w:szCs w:val="24"/>
        </w:rPr>
      </w:pPr>
      <w:r>
        <w:rPr>
          <w:rFonts w:hint="eastAsia"/>
          <w:color w:val="000000"/>
          <w:kern w:val="0"/>
          <w:sz w:val="24"/>
          <w:szCs w:val="24"/>
        </w:rPr>
        <w:t>项目应建立健全的环境管理台账制度，明确环境管理台账记录的责任单位和责任人，明确工作职责，包括台账的记录、整理、维护和管理等，台账记录频次和内容须满足排污许可证环境管理要求，并对台账记录结果的真实性、完整性和规范性负责。环境管理台账记录内容应包括排污单位基本信息、生产设施运行管理信息、污染防治设施运行管理信息、监测记录信息及其他环境管理信息等。台账应按照电子化储存或纸质储存两种形式管理。台账保存期限不得少于5年。</w:t>
      </w:r>
    </w:p>
    <w:p w14:paraId="031C117C">
      <w:pPr>
        <w:pStyle w:val="4"/>
        <w:autoSpaceDE w:val="0"/>
        <w:autoSpaceDN w:val="0"/>
        <w:spacing w:before="0" w:after="0" w:line="360" w:lineRule="auto"/>
        <w:jc w:val="left"/>
        <w:rPr>
          <w:rFonts w:hint="eastAsia" w:ascii="Times New Roman" w:hAnsi="Times New Roman" w:eastAsia="宋体" w:cs="Times New Roman"/>
          <w:kern w:val="0"/>
          <w:sz w:val="24"/>
          <w:lang w:val="en-US" w:eastAsia="zh-CN" w:bidi="zh-CN"/>
        </w:rPr>
      </w:pPr>
      <w:r>
        <w:rPr>
          <w:rFonts w:hint="eastAsia" w:ascii="Times New Roman" w:hAnsi="Times New Roman" w:eastAsia="宋体" w:cs="Times New Roman"/>
          <w:kern w:val="0"/>
          <w:sz w:val="24"/>
          <w:lang w:val="en-US" w:eastAsia="zh-CN" w:bidi="zh-CN"/>
        </w:rPr>
        <w:t>9.2.4企业环境信息公开</w:t>
      </w:r>
    </w:p>
    <w:p w14:paraId="66D77273">
      <w:pPr>
        <w:widowControl/>
        <w:spacing w:line="360" w:lineRule="auto"/>
        <w:ind w:firstLine="480" w:firstLineChars="200"/>
        <w:jc w:val="left"/>
        <w:rPr>
          <w:color w:val="000000"/>
          <w:kern w:val="0"/>
          <w:sz w:val="24"/>
          <w:szCs w:val="24"/>
        </w:rPr>
      </w:pPr>
      <w:r>
        <w:rPr>
          <w:rFonts w:hint="eastAsia"/>
          <w:color w:val="000000"/>
          <w:kern w:val="0"/>
          <w:sz w:val="24"/>
          <w:szCs w:val="24"/>
        </w:rPr>
        <w:t>根据《企业事业单位环境信息公开办法》（环境保护部第31号）、《环境信息依法披露制度改革方案</w:t>
      </w:r>
      <w:r>
        <w:rPr>
          <w:rFonts w:hint="eastAsia"/>
          <w:color w:val="000000"/>
          <w:kern w:val="0"/>
          <w:sz w:val="24"/>
          <w:szCs w:val="24"/>
          <w:lang w:eastAsia="zh-CN"/>
        </w:rPr>
        <w:t>》《</w:t>
      </w:r>
      <w:r>
        <w:rPr>
          <w:rFonts w:hint="eastAsia"/>
          <w:color w:val="000000"/>
          <w:kern w:val="0"/>
          <w:sz w:val="24"/>
          <w:szCs w:val="24"/>
        </w:rPr>
        <w:t>企业环境信息依法披露格式准则》相关规定，企业事业单位应当建立健全本单位环境信息公开制度，制定机构负责本单位环境信息公开日常工作，使用符合监测标准规范要求的环境数据，优先使用符合国家监测规范的污染物自动监测数据、排污许可证执行报告数据，科学统计归集环境信息。企业披露的环境信息应当真实、准确、完整，不得有虚假记载、误导性陈述或者重大遗漏。</w:t>
      </w:r>
    </w:p>
    <w:p w14:paraId="724E8CA7">
      <w:pPr>
        <w:widowControl/>
        <w:spacing w:line="360" w:lineRule="auto"/>
        <w:ind w:firstLine="480" w:firstLineChars="200"/>
        <w:jc w:val="left"/>
        <w:rPr>
          <w:color w:val="000000"/>
          <w:kern w:val="0"/>
          <w:sz w:val="24"/>
          <w:szCs w:val="24"/>
        </w:rPr>
      </w:pPr>
      <w:r>
        <w:rPr>
          <w:rFonts w:hint="eastAsia"/>
          <w:color w:val="000000"/>
          <w:kern w:val="0"/>
          <w:sz w:val="24"/>
          <w:szCs w:val="24"/>
        </w:rPr>
        <w:t>根据企业特点，网站或本单位的资料索取点、信息公开栏、信息亭、电子屏幕或其他便于公众及时、准确获得信息的场所和方式公开下列信息：</w:t>
      </w:r>
    </w:p>
    <w:p w14:paraId="4A76E292">
      <w:pPr>
        <w:widowControl/>
        <w:spacing w:line="360" w:lineRule="auto"/>
        <w:ind w:firstLine="480" w:firstLineChars="200"/>
        <w:jc w:val="left"/>
        <w:rPr>
          <w:color w:val="000000"/>
          <w:kern w:val="0"/>
          <w:sz w:val="24"/>
          <w:szCs w:val="24"/>
        </w:rPr>
      </w:pPr>
      <w:r>
        <w:rPr>
          <w:rFonts w:hint="eastAsia"/>
          <w:color w:val="000000"/>
          <w:kern w:val="0"/>
          <w:sz w:val="24"/>
          <w:szCs w:val="24"/>
        </w:rPr>
        <w:t>（1）项目基础信息：包括单位名称、组织机构代码、法定代表人、生产地址、联系方式，以及生产经营和管理服务的主要内容、产品及规模。</w:t>
      </w:r>
    </w:p>
    <w:p w14:paraId="4DDED746">
      <w:pPr>
        <w:widowControl/>
        <w:spacing w:line="360" w:lineRule="auto"/>
        <w:ind w:firstLine="480" w:firstLineChars="200"/>
        <w:jc w:val="left"/>
        <w:rPr>
          <w:color w:val="000000"/>
          <w:kern w:val="0"/>
          <w:sz w:val="24"/>
          <w:szCs w:val="24"/>
        </w:rPr>
      </w:pPr>
      <w:r>
        <w:rPr>
          <w:rFonts w:hint="eastAsia"/>
          <w:color w:val="000000"/>
          <w:kern w:val="0"/>
          <w:sz w:val="24"/>
          <w:szCs w:val="24"/>
        </w:rPr>
        <w:t>（2）排污信息：包括主要污染物及特征污染物的名称、排放方式、排放口数量和分布情况、排放浓度和总量、超标情况，及执行的污染物排放标准、核定的排放总量。</w:t>
      </w:r>
    </w:p>
    <w:p w14:paraId="78F58945">
      <w:pPr>
        <w:widowControl/>
        <w:spacing w:line="360" w:lineRule="auto"/>
        <w:ind w:firstLine="480" w:firstLineChars="200"/>
        <w:jc w:val="left"/>
        <w:rPr>
          <w:color w:val="000000"/>
          <w:kern w:val="0"/>
          <w:sz w:val="24"/>
          <w:szCs w:val="24"/>
        </w:rPr>
      </w:pPr>
      <w:r>
        <w:rPr>
          <w:rFonts w:hint="eastAsia"/>
          <w:color w:val="000000"/>
          <w:kern w:val="0"/>
          <w:sz w:val="24"/>
          <w:szCs w:val="24"/>
        </w:rPr>
        <w:t>（3）防治污染设施的建设和运行情况。</w:t>
      </w:r>
    </w:p>
    <w:p w14:paraId="7EA00B08">
      <w:pPr>
        <w:widowControl/>
        <w:spacing w:line="360" w:lineRule="auto"/>
        <w:ind w:firstLine="480" w:firstLineChars="200"/>
        <w:jc w:val="left"/>
        <w:rPr>
          <w:color w:val="000000"/>
          <w:kern w:val="0"/>
          <w:sz w:val="24"/>
          <w:szCs w:val="24"/>
        </w:rPr>
      </w:pPr>
      <w:r>
        <w:rPr>
          <w:rFonts w:hint="eastAsia"/>
          <w:color w:val="000000"/>
          <w:kern w:val="0"/>
          <w:sz w:val="24"/>
          <w:szCs w:val="24"/>
        </w:rPr>
        <w:t>（4）建设项目环境影响评价及其他环境保护行政许可情况。</w:t>
      </w:r>
    </w:p>
    <w:p w14:paraId="682FD0B3">
      <w:pPr>
        <w:widowControl/>
        <w:spacing w:line="360" w:lineRule="auto"/>
        <w:ind w:firstLine="480" w:firstLineChars="200"/>
        <w:jc w:val="left"/>
        <w:rPr>
          <w:rFonts w:hint="eastAsia"/>
          <w:color w:val="000000"/>
          <w:kern w:val="0"/>
          <w:sz w:val="24"/>
          <w:szCs w:val="24"/>
        </w:rPr>
      </w:pPr>
      <w:r>
        <w:rPr>
          <w:rFonts w:hint="eastAsia"/>
          <w:color w:val="000000"/>
          <w:kern w:val="0"/>
          <w:sz w:val="24"/>
          <w:szCs w:val="24"/>
        </w:rPr>
        <w:t>（5）突发环境事件应急预案。</w:t>
      </w:r>
    </w:p>
    <w:p w14:paraId="419E58B3">
      <w:pPr>
        <w:pStyle w:val="13"/>
        <w:rPr>
          <w:rFonts w:hint="eastAsia"/>
        </w:rPr>
      </w:pPr>
      <w:r>
        <w:rPr>
          <w:rFonts w:hint="eastAsia"/>
          <w:color w:val="000000"/>
          <w:kern w:val="0"/>
          <w:sz w:val="24"/>
          <w:szCs w:val="24"/>
        </w:rPr>
        <w:t>（6）企业发生生态环境相关行政许可事项变更、受到环境行政处罚或者因生态环</w:t>
      </w:r>
    </w:p>
    <w:p w14:paraId="53A46D24">
      <w:pPr>
        <w:widowControl/>
        <w:spacing w:line="360" w:lineRule="auto"/>
        <w:jc w:val="left"/>
        <w:rPr>
          <w:color w:val="000000"/>
          <w:kern w:val="0"/>
          <w:sz w:val="24"/>
          <w:szCs w:val="24"/>
        </w:rPr>
      </w:pPr>
      <w:r>
        <w:rPr>
          <w:rFonts w:hint="eastAsia"/>
          <w:color w:val="000000"/>
          <w:kern w:val="0"/>
          <w:sz w:val="24"/>
          <w:szCs w:val="24"/>
        </w:rPr>
        <w:t>境违法行为被追究刑事责任、突发生态环境事件、生态环境损害赔偿等对社会公众及投资者有重大影响或引发市场风险的环境行为时，应当及时向社会披露。</w:t>
      </w:r>
    </w:p>
    <w:p w14:paraId="65FBEC12">
      <w:pPr>
        <w:widowControl/>
        <w:spacing w:line="360" w:lineRule="auto"/>
        <w:ind w:firstLine="480" w:firstLineChars="200"/>
        <w:jc w:val="left"/>
        <w:rPr>
          <w:color w:val="000000"/>
          <w:kern w:val="0"/>
          <w:sz w:val="24"/>
          <w:szCs w:val="24"/>
        </w:rPr>
      </w:pPr>
      <w:r>
        <w:rPr>
          <w:rFonts w:hint="eastAsia"/>
          <w:color w:val="000000"/>
          <w:kern w:val="0"/>
          <w:sz w:val="24"/>
          <w:szCs w:val="24"/>
        </w:rPr>
        <w:t>（7）因生态环境违法行为被追究刑事责任或者受到重大行政处罚的上市公司、发债企业，应当在规定期限内持续披露企业环境信息。</w:t>
      </w:r>
    </w:p>
    <w:p w14:paraId="0C9C6142">
      <w:pPr>
        <w:widowControl/>
        <w:spacing w:line="360" w:lineRule="auto"/>
        <w:ind w:firstLine="480" w:firstLineChars="200"/>
        <w:jc w:val="left"/>
        <w:rPr>
          <w:color w:val="000000"/>
          <w:kern w:val="0"/>
          <w:sz w:val="24"/>
          <w:szCs w:val="24"/>
        </w:rPr>
      </w:pPr>
      <w:r>
        <w:rPr>
          <w:rFonts w:hint="eastAsia"/>
          <w:color w:val="000000"/>
          <w:kern w:val="0"/>
          <w:sz w:val="24"/>
          <w:szCs w:val="24"/>
        </w:rPr>
        <w:t>（8）其他应当公开的环境信息。</w:t>
      </w:r>
    </w:p>
    <w:p w14:paraId="664BD7F9">
      <w:pPr>
        <w:widowControl/>
        <w:spacing w:line="360" w:lineRule="auto"/>
        <w:ind w:firstLine="480" w:firstLineChars="200"/>
        <w:jc w:val="left"/>
        <w:rPr>
          <w:color w:val="000000"/>
          <w:kern w:val="0"/>
          <w:sz w:val="24"/>
          <w:szCs w:val="24"/>
        </w:rPr>
      </w:pPr>
      <w:r>
        <w:rPr>
          <w:rFonts w:hint="eastAsia"/>
          <w:color w:val="000000"/>
          <w:kern w:val="0"/>
          <w:sz w:val="24"/>
          <w:szCs w:val="24"/>
        </w:rPr>
        <w:t>如若公司的环境信息发生变更或有新生成时，应在环境信息生成或者变更之日起三十日内予以公开。环境保护主管部门应当宣传和引导公众监督企业事业单位环境信息公开工作。</w:t>
      </w:r>
    </w:p>
    <w:p w14:paraId="06A951BD">
      <w:pPr>
        <w:pStyle w:val="3"/>
        <w:keepNext w:val="0"/>
        <w:keepLines w:val="0"/>
        <w:autoSpaceDE w:val="0"/>
        <w:autoSpaceDN w:val="0"/>
        <w:spacing w:before="0" w:after="0" w:line="360" w:lineRule="auto"/>
        <w:jc w:val="left"/>
        <w:rPr>
          <w:rFonts w:hint="eastAsia" w:ascii="Times New Roman" w:hAnsi="Times New Roman" w:eastAsia="宋体" w:cs="Times New Roman"/>
          <w:kern w:val="0"/>
          <w:sz w:val="24"/>
          <w:szCs w:val="30"/>
          <w:lang w:val="en-US" w:eastAsia="zh-CN" w:bidi="zh-CN"/>
        </w:rPr>
      </w:pPr>
      <w:bookmarkStart w:id="629" w:name="_Toc10304"/>
      <w:bookmarkStart w:id="630" w:name="_Toc22911"/>
      <w:bookmarkStart w:id="631" w:name="_Toc14821"/>
      <w:bookmarkStart w:id="632" w:name="_Toc11894"/>
      <w:bookmarkStart w:id="633" w:name="_Toc29591"/>
      <w:bookmarkStart w:id="634" w:name="_Toc5537"/>
      <w:bookmarkStart w:id="635" w:name="_Toc29341"/>
      <w:r>
        <w:rPr>
          <w:rFonts w:hint="eastAsia" w:ascii="Times New Roman" w:hAnsi="Times New Roman" w:eastAsia="宋体" w:cs="Times New Roman"/>
          <w:kern w:val="0"/>
          <w:sz w:val="24"/>
          <w:szCs w:val="30"/>
          <w:lang w:val="en-US" w:eastAsia="zh-CN" w:bidi="zh-CN"/>
        </w:rPr>
        <w:t>9.3环境监测</w:t>
      </w:r>
      <w:bookmarkEnd w:id="534"/>
      <w:bookmarkEnd w:id="535"/>
      <w:bookmarkEnd w:id="536"/>
      <w:r>
        <w:rPr>
          <w:rFonts w:hint="eastAsia" w:ascii="Times New Roman" w:hAnsi="Times New Roman" w:eastAsia="宋体" w:cs="Times New Roman"/>
          <w:kern w:val="0"/>
          <w:sz w:val="24"/>
          <w:szCs w:val="30"/>
          <w:lang w:val="en-US" w:eastAsia="zh-CN" w:bidi="zh-CN"/>
        </w:rPr>
        <w:t>计划</w:t>
      </w:r>
      <w:bookmarkEnd w:id="537"/>
      <w:bookmarkEnd w:id="578"/>
      <w:bookmarkEnd w:id="579"/>
      <w:bookmarkEnd w:id="629"/>
      <w:bookmarkEnd w:id="630"/>
      <w:bookmarkEnd w:id="631"/>
      <w:bookmarkEnd w:id="632"/>
      <w:bookmarkEnd w:id="633"/>
      <w:bookmarkEnd w:id="634"/>
      <w:bookmarkEnd w:id="635"/>
    </w:p>
    <w:p w14:paraId="28B170D1">
      <w:pPr>
        <w:spacing w:line="360" w:lineRule="auto"/>
        <w:ind w:firstLine="480" w:firstLineChars="200"/>
        <w:rPr>
          <w:color w:val="000000"/>
          <w:sz w:val="24"/>
          <w:szCs w:val="24"/>
        </w:rPr>
      </w:pPr>
      <w:r>
        <w:rPr>
          <w:color w:val="000000"/>
          <w:sz w:val="24"/>
          <w:szCs w:val="24"/>
        </w:rPr>
        <w:t>为确保环境保护目标和总量控制指标的实现，实行环境保护监测与生产监督相结合，</w:t>
      </w:r>
      <w:r>
        <w:rPr>
          <w:rFonts w:hint="eastAsia"/>
          <w:color w:val="000000"/>
          <w:sz w:val="24"/>
          <w:szCs w:val="24"/>
        </w:rPr>
        <w:t>排污单位应当按照《排污许可证申请与核发技术规范 废弃资源加工工业》（HJ 1034-2019）、《排污许可证申请与核发技术规范 橡胶和塑料制品工业》（HJ1122-2020）、《排污单位自行监测技术指南</w:t>
      </w:r>
      <w:r>
        <w:rPr>
          <w:color w:val="000000"/>
          <w:sz w:val="24"/>
          <w:szCs w:val="24"/>
        </w:rPr>
        <w:t xml:space="preserve"> </w:t>
      </w:r>
      <w:r>
        <w:rPr>
          <w:rFonts w:hint="eastAsia"/>
          <w:color w:val="000000"/>
          <w:sz w:val="24"/>
          <w:szCs w:val="24"/>
        </w:rPr>
        <w:t>总则》（</w:t>
      </w:r>
      <w:r>
        <w:rPr>
          <w:color w:val="000000"/>
          <w:sz w:val="24"/>
          <w:szCs w:val="24"/>
        </w:rPr>
        <w:t>HJ819-2017</w:t>
      </w:r>
      <w:r>
        <w:rPr>
          <w:rFonts w:hint="eastAsia"/>
          <w:color w:val="000000"/>
          <w:sz w:val="24"/>
          <w:szCs w:val="24"/>
        </w:rPr>
        <w:t>）确定的产排污节点、排放口、污染物种类及许可排放限值等要求，制定自行监测方案，并在全国排污许可证管理平台中明确。</w:t>
      </w:r>
      <w:r>
        <w:rPr>
          <w:color w:val="000000"/>
          <w:sz w:val="24"/>
          <w:szCs w:val="24"/>
        </w:rPr>
        <w:t>企业应委托当地具有资质的环境监测</w:t>
      </w:r>
      <w:r>
        <w:rPr>
          <w:rFonts w:hint="eastAsia"/>
          <w:color w:val="000000"/>
          <w:sz w:val="24"/>
          <w:szCs w:val="24"/>
        </w:rPr>
        <w:t>机构</w:t>
      </w:r>
      <w:r>
        <w:rPr>
          <w:color w:val="000000"/>
          <w:sz w:val="24"/>
          <w:szCs w:val="24"/>
        </w:rPr>
        <w:t>对废气、废水、噪声进行监测。监测结果按期上报企业技术监督与安全环保科、当地环保</w:t>
      </w:r>
      <w:r>
        <w:rPr>
          <w:rFonts w:hint="eastAsia"/>
          <w:color w:val="000000"/>
          <w:sz w:val="24"/>
          <w:szCs w:val="24"/>
        </w:rPr>
        <w:t>部门</w:t>
      </w:r>
      <w:r>
        <w:rPr>
          <w:color w:val="000000"/>
          <w:sz w:val="24"/>
          <w:szCs w:val="24"/>
        </w:rPr>
        <w:t>。项目还应制定应急监测程序，一旦发生事故，应立即启动应急监测，直到事故影响完全消除。应急监测方案应与当地环境监测站共同制定和实施。</w:t>
      </w:r>
    </w:p>
    <w:p w14:paraId="3A41BB65">
      <w:pPr>
        <w:pStyle w:val="4"/>
        <w:autoSpaceDE w:val="0"/>
        <w:autoSpaceDN w:val="0"/>
        <w:spacing w:before="0" w:after="0" w:line="360" w:lineRule="auto"/>
        <w:jc w:val="left"/>
        <w:rPr>
          <w:kern w:val="0"/>
          <w:sz w:val="24"/>
          <w:lang w:val="en-US" w:bidi="zh-CN"/>
        </w:rPr>
      </w:pPr>
      <w:r>
        <w:rPr>
          <w:rFonts w:hint="eastAsia"/>
          <w:kern w:val="0"/>
          <w:sz w:val="24"/>
          <w:lang w:val="en-US" w:bidi="zh-CN"/>
        </w:rPr>
        <w:t>9.3.1自行监测方案</w:t>
      </w:r>
    </w:p>
    <w:p w14:paraId="06BEF7BF">
      <w:pPr>
        <w:widowControl/>
        <w:spacing w:line="360" w:lineRule="auto"/>
        <w:ind w:firstLine="480" w:firstLineChars="200"/>
        <w:jc w:val="left"/>
        <w:rPr>
          <w:color w:val="000000"/>
          <w:kern w:val="0"/>
          <w:sz w:val="24"/>
          <w:szCs w:val="24"/>
        </w:rPr>
      </w:pPr>
      <w:r>
        <w:rPr>
          <w:rFonts w:hint="eastAsia"/>
          <w:color w:val="000000"/>
          <w:kern w:val="0"/>
          <w:sz w:val="24"/>
          <w:szCs w:val="24"/>
        </w:rPr>
        <w:t>排污单位应按照要求制定自行监测方案，自行监测方案中应明确排污单位的基本情况、监测点位及示意图、监测指标、执行排放标准及其限值、监测频次、采样和样品保存方法、监测分析方法和仪器、监测质量保证与质量控制、自行监测信息公开等。其中，监测频次为至少获取1次有效监测数据的监测周期。</w:t>
      </w:r>
    </w:p>
    <w:p w14:paraId="67331CFF">
      <w:pPr>
        <w:pStyle w:val="4"/>
        <w:autoSpaceDE w:val="0"/>
        <w:autoSpaceDN w:val="0"/>
        <w:spacing w:before="0" w:after="0" w:line="360" w:lineRule="auto"/>
        <w:jc w:val="left"/>
        <w:rPr>
          <w:kern w:val="0"/>
          <w:sz w:val="24"/>
          <w:lang w:val="en-US" w:bidi="zh-CN"/>
        </w:rPr>
      </w:pPr>
      <w:r>
        <w:rPr>
          <w:rFonts w:hint="eastAsia"/>
          <w:kern w:val="0"/>
          <w:sz w:val="24"/>
          <w:lang w:val="en-US" w:bidi="zh-CN"/>
        </w:rPr>
        <w:t>9.3.2环境监测计划</w:t>
      </w:r>
    </w:p>
    <w:p w14:paraId="2EEC4ED6">
      <w:pPr>
        <w:spacing w:line="360" w:lineRule="auto"/>
        <w:ind w:left="0" w:leftChars="0" w:firstLine="420" w:firstLineChars="175"/>
        <w:rPr>
          <w:color w:val="000000"/>
          <w:sz w:val="24"/>
          <w:szCs w:val="24"/>
        </w:rPr>
      </w:pPr>
      <w:r>
        <w:rPr>
          <w:rFonts w:hint="eastAsia"/>
          <w:color w:val="000000"/>
          <w:sz w:val="24"/>
          <w:szCs w:val="24"/>
        </w:rPr>
        <w:t>①污染源监测计划</w:t>
      </w:r>
    </w:p>
    <w:p w14:paraId="3A99264F">
      <w:pPr>
        <w:spacing w:line="360" w:lineRule="auto"/>
        <w:ind w:left="0" w:leftChars="0" w:firstLine="420" w:firstLineChars="175"/>
        <w:rPr>
          <w:color w:val="000000"/>
          <w:sz w:val="24"/>
          <w:szCs w:val="24"/>
        </w:rPr>
      </w:pPr>
      <w:r>
        <w:rPr>
          <w:rFonts w:hint="eastAsia"/>
          <w:color w:val="000000"/>
          <w:sz w:val="24"/>
          <w:szCs w:val="24"/>
        </w:rPr>
        <w:t>结合《排污单位自行监测技术指南 橡胶和塑料制品》（HJ2027-2021）、《排污许可证申请与核发技术规范 橡胶和塑料制品工业》（HJ1122-2020）和《排污许可证申请与核发技术规范 废弃资源加工工业》（HJ1034-2019）中要求，</w:t>
      </w:r>
      <w:r>
        <w:rPr>
          <w:rFonts w:hint="eastAsia"/>
          <w:color w:val="000000"/>
          <w:sz w:val="24"/>
          <w:szCs w:val="24"/>
          <w:lang w:eastAsia="zh-CN"/>
        </w:rPr>
        <w:t>制定针对项目营运期环境监测计划，选取项目主要排放污染物及排放污染物Pi≥1%的其他污染物作为环境质量监测因子，监测工作可委托有资质的环境监测单位代理监测，建设方应对监测数据进行数理统计、分析，建立监测数据档案，从而了解工程污染治理设施运行情况，确保环保治理设施常年有效地工作，使上级部门及时掌握工程污染治理动态，同时应将监测报告报当地生态环境主管部门备案。</w:t>
      </w:r>
      <w:r>
        <w:rPr>
          <w:rFonts w:hint="eastAsia"/>
          <w:color w:val="000000"/>
          <w:sz w:val="24"/>
          <w:szCs w:val="24"/>
        </w:rPr>
        <w:t>项目</w:t>
      </w:r>
      <w:r>
        <w:rPr>
          <w:color w:val="000000"/>
          <w:sz w:val="24"/>
          <w:szCs w:val="24"/>
        </w:rPr>
        <w:t>运营期</w:t>
      </w:r>
      <w:r>
        <w:rPr>
          <w:rFonts w:hint="eastAsia"/>
          <w:color w:val="000000"/>
          <w:sz w:val="24"/>
          <w:szCs w:val="24"/>
        </w:rPr>
        <w:t>污染源</w:t>
      </w:r>
      <w:r>
        <w:rPr>
          <w:color w:val="000000"/>
          <w:sz w:val="24"/>
          <w:szCs w:val="24"/>
        </w:rPr>
        <w:t>环境监测计划一览表见表</w:t>
      </w:r>
      <w:r>
        <w:rPr>
          <w:rFonts w:hint="eastAsia"/>
          <w:color w:val="000000"/>
          <w:sz w:val="24"/>
          <w:szCs w:val="24"/>
        </w:rPr>
        <w:t>9.3</w:t>
      </w:r>
      <w:r>
        <w:rPr>
          <w:color w:val="000000"/>
          <w:sz w:val="24"/>
          <w:szCs w:val="24"/>
        </w:rPr>
        <w:t>-1。</w:t>
      </w:r>
    </w:p>
    <w:p w14:paraId="205F71E1">
      <w:pPr>
        <w:spacing w:line="440" w:lineRule="exact"/>
        <w:ind w:firstLine="422" w:firstLineChars="200"/>
        <w:jc w:val="center"/>
        <w:rPr>
          <w:rFonts w:hint="eastAsia" w:hAnsi="宋体"/>
          <w:b/>
          <w:color w:val="000000"/>
          <w:kern w:val="0"/>
          <w:szCs w:val="21"/>
        </w:rPr>
      </w:pPr>
      <w:r>
        <w:rPr>
          <w:rFonts w:hAnsi="宋体"/>
          <w:b/>
          <w:color w:val="000000"/>
          <w:kern w:val="0"/>
          <w:szCs w:val="21"/>
        </w:rPr>
        <w:t>表</w:t>
      </w:r>
      <w:r>
        <w:rPr>
          <w:rFonts w:hint="eastAsia" w:hAnsi="宋体"/>
          <w:b/>
          <w:color w:val="000000"/>
          <w:kern w:val="0"/>
          <w:szCs w:val="21"/>
        </w:rPr>
        <w:t>9.3</w:t>
      </w:r>
      <w:r>
        <w:rPr>
          <w:rFonts w:hAnsi="宋体"/>
          <w:b/>
          <w:color w:val="000000"/>
          <w:kern w:val="0"/>
          <w:szCs w:val="21"/>
        </w:rPr>
        <w:t>-1   运营期</w:t>
      </w:r>
      <w:r>
        <w:rPr>
          <w:rFonts w:hint="eastAsia" w:hAnsi="宋体"/>
          <w:b/>
          <w:color w:val="000000"/>
          <w:kern w:val="0"/>
          <w:szCs w:val="21"/>
        </w:rPr>
        <w:t>污染源</w:t>
      </w:r>
      <w:r>
        <w:rPr>
          <w:rFonts w:hAnsi="宋体"/>
          <w:b/>
          <w:color w:val="000000"/>
          <w:kern w:val="0"/>
          <w:szCs w:val="21"/>
        </w:rPr>
        <w:t>监测计划一览表</w:t>
      </w:r>
    </w:p>
    <w:tbl>
      <w:tblPr>
        <w:tblStyle w:val="49"/>
        <w:tblW w:w="4870" w:type="pct"/>
        <w:tblInd w:w="0" w:type="dxa"/>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
      <w:tblGrid>
        <w:gridCol w:w="432"/>
        <w:gridCol w:w="766"/>
        <w:gridCol w:w="546"/>
        <w:gridCol w:w="881"/>
        <w:gridCol w:w="862"/>
        <w:gridCol w:w="916"/>
        <w:gridCol w:w="825"/>
        <w:gridCol w:w="2219"/>
        <w:gridCol w:w="825"/>
        <w:gridCol w:w="731"/>
      </w:tblGrid>
      <w:tr w14:paraId="55ACD8B9">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47" w:hRule="atLeast"/>
        </w:trPr>
        <w:tc>
          <w:tcPr>
            <w:tcW w:w="665" w:type="pct"/>
            <w:gridSpan w:val="2"/>
            <w:tcBorders>
              <w:tl2br w:val="nil"/>
              <w:tr2bl w:val="nil"/>
            </w:tcBorders>
            <w:vAlign w:val="center"/>
          </w:tcPr>
          <w:p w14:paraId="08A07BAA">
            <w:pPr>
              <w:jc w:val="center"/>
              <w:rPr>
                <w:b/>
                <w:color w:val="000000"/>
                <w:szCs w:val="21"/>
              </w:rPr>
            </w:pPr>
            <w:r>
              <w:rPr>
                <w:rFonts w:hint="eastAsia"/>
                <w:b/>
                <w:color w:val="000000"/>
                <w:szCs w:val="21"/>
              </w:rPr>
              <w:t>项目</w:t>
            </w:r>
          </w:p>
        </w:tc>
        <w:tc>
          <w:tcPr>
            <w:tcW w:w="792" w:type="pct"/>
            <w:gridSpan w:val="2"/>
            <w:tcBorders>
              <w:tl2br w:val="nil"/>
              <w:tr2bl w:val="nil"/>
            </w:tcBorders>
            <w:vAlign w:val="center"/>
          </w:tcPr>
          <w:p w14:paraId="0FB4E1B5">
            <w:pPr>
              <w:jc w:val="center"/>
              <w:rPr>
                <w:b/>
                <w:color w:val="000000"/>
                <w:szCs w:val="21"/>
              </w:rPr>
            </w:pPr>
            <w:r>
              <w:rPr>
                <w:rFonts w:hint="eastAsia"/>
                <w:b/>
                <w:color w:val="000000"/>
                <w:szCs w:val="21"/>
              </w:rPr>
              <w:t>监测点位</w:t>
            </w:r>
          </w:p>
        </w:tc>
        <w:tc>
          <w:tcPr>
            <w:tcW w:w="478" w:type="pct"/>
            <w:tcBorders>
              <w:tl2br w:val="nil"/>
              <w:tr2bl w:val="nil"/>
            </w:tcBorders>
            <w:vAlign w:val="center"/>
          </w:tcPr>
          <w:p w14:paraId="29439208">
            <w:pPr>
              <w:jc w:val="center"/>
              <w:rPr>
                <w:b/>
                <w:color w:val="000000"/>
                <w:szCs w:val="21"/>
              </w:rPr>
            </w:pPr>
            <w:r>
              <w:rPr>
                <w:rFonts w:hint="eastAsia"/>
                <w:b/>
                <w:color w:val="000000"/>
                <w:szCs w:val="21"/>
              </w:rPr>
              <w:t>排放口编号</w:t>
            </w:r>
          </w:p>
        </w:tc>
        <w:tc>
          <w:tcPr>
            <w:tcW w:w="508" w:type="pct"/>
            <w:tcBorders>
              <w:tl2br w:val="nil"/>
              <w:tr2bl w:val="nil"/>
            </w:tcBorders>
            <w:vAlign w:val="center"/>
          </w:tcPr>
          <w:p w14:paraId="2045F601">
            <w:pPr>
              <w:jc w:val="center"/>
              <w:rPr>
                <w:b/>
                <w:color w:val="000000"/>
                <w:szCs w:val="21"/>
              </w:rPr>
            </w:pPr>
            <w:r>
              <w:rPr>
                <w:rFonts w:hint="eastAsia"/>
                <w:b/>
                <w:color w:val="000000"/>
                <w:szCs w:val="21"/>
              </w:rPr>
              <w:t>监测指标</w:t>
            </w:r>
          </w:p>
        </w:tc>
        <w:tc>
          <w:tcPr>
            <w:tcW w:w="458" w:type="pct"/>
            <w:tcBorders>
              <w:tl2br w:val="nil"/>
              <w:tr2bl w:val="nil"/>
            </w:tcBorders>
            <w:vAlign w:val="center"/>
          </w:tcPr>
          <w:p w14:paraId="36FB4793">
            <w:pPr>
              <w:jc w:val="center"/>
              <w:rPr>
                <w:b/>
                <w:color w:val="000000"/>
                <w:szCs w:val="21"/>
              </w:rPr>
            </w:pPr>
            <w:r>
              <w:rPr>
                <w:rFonts w:hint="eastAsia"/>
                <w:b/>
                <w:color w:val="000000"/>
                <w:szCs w:val="21"/>
              </w:rPr>
              <w:t>监测频次</w:t>
            </w:r>
          </w:p>
        </w:tc>
        <w:tc>
          <w:tcPr>
            <w:tcW w:w="1232" w:type="pct"/>
            <w:tcBorders>
              <w:tl2br w:val="nil"/>
              <w:tr2bl w:val="nil"/>
            </w:tcBorders>
            <w:vAlign w:val="center"/>
          </w:tcPr>
          <w:p w14:paraId="60F5A99E">
            <w:pPr>
              <w:jc w:val="center"/>
              <w:rPr>
                <w:b/>
                <w:color w:val="000000"/>
                <w:szCs w:val="21"/>
              </w:rPr>
            </w:pPr>
            <w:r>
              <w:rPr>
                <w:rFonts w:hint="eastAsia"/>
                <w:b/>
                <w:color w:val="000000"/>
                <w:szCs w:val="21"/>
              </w:rPr>
              <w:t>执行标准</w:t>
            </w:r>
          </w:p>
        </w:tc>
        <w:tc>
          <w:tcPr>
            <w:tcW w:w="458" w:type="pct"/>
            <w:tcBorders>
              <w:tl2br w:val="nil"/>
              <w:tr2bl w:val="nil"/>
            </w:tcBorders>
            <w:vAlign w:val="center"/>
          </w:tcPr>
          <w:p w14:paraId="31AD755E">
            <w:pPr>
              <w:jc w:val="center"/>
              <w:rPr>
                <w:rFonts w:hint="default" w:eastAsia="宋体"/>
                <w:b/>
                <w:color w:val="000000"/>
                <w:szCs w:val="21"/>
                <w:lang w:val="en-US" w:eastAsia="zh-CN"/>
              </w:rPr>
            </w:pPr>
            <w:r>
              <w:rPr>
                <w:rFonts w:hint="eastAsia"/>
                <w:b/>
                <w:color w:val="000000"/>
                <w:szCs w:val="21"/>
                <w:lang w:val="en-US" w:eastAsia="zh-CN"/>
              </w:rPr>
              <w:t>实施机构</w:t>
            </w:r>
          </w:p>
        </w:tc>
        <w:tc>
          <w:tcPr>
            <w:tcW w:w="405" w:type="pct"/>
            <w:tcBorders>
              <w:tl2br w:val="nil"/>
              <w:tr2bl w:val="nil"/>
            </w:tcBorders>
            <w:vAlign w:val="center"/>
          </w:tcPr>
          <w:p w14:paraId="733D4EDC">
            <w:pPr>
              <w:jc w:val="center"/>
              <w:rPr>
                <w:rFonts w:hint="eastAsia" w:eastAsia="宋体"/>
                <w:b/>
                <w:color w:val="000000"/>
                <w:szCs w:val="21"/>
                <w:lang w:eastAsia="zh-CN"/>
              </w:rPr>
            </w:pPr>
            <w:r>
              <w:rPr>
                <w:rFonts w:hint="eastAsia"/>
                <w:b/>
                <w:color w:val="000000"/>
                <w:szCs w:val="21"/>
                <w:lang w:eastAsia="zh-CN"/>
              </w:rPr>
              <w:t>管理机构</w:t>
            </w:r>
          </w:p>
        </w:tc>
      </w:tr>
      <w:tr w14:paraId="121C54C4">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1309" w:hRule="atLeast"/>
        </w:trPr>
        <w:tc>
          <w:tcPr>
            <w:tcW w:w="239" w:type="pct"/>
            <w:vMerge w:val="restart"/>
            <w:tcBorders>
              <w:tl2br w:val="nil"/>
              <w:tr2bl w:val="nil"/>
            </w:tcBorders>
            <w:vAlign w:val="center"/>
          </w:tcPr>
          <w:p w14:paraId="7B841561">
            <w:pPr>
              <w:jc w:val="center"/>
              <w:rPr>
                <w:bCs/>
                <w:color w:val="000000"/>
                <w:szCs w:val="21"/>
              </w:rPr>
            </w:pPr>
            <w:bookmarkStart w:id="636" w:name="OLE_LINK66" w:colFirst="6" w:colLast="7"/>
            <w:r>
              <w:rPr>
                <w:rFonts w:hint="eastAsia"/>
                <w:bCs/>
                <w:color w:val="000000"/>
                <w:szCs w:val="21"/>
              </w:rPr>
              <w:t>废气</w:t>
            </w:r>
          </w:p>
          <w:p w14:paraId="153511B8">
            <w:pPr>
              <w:jc w:val="center"/>
              <w:rPr>
                <w:bCs/>
                <w:color w:val="000000"/>
                <w:szCs w:val="21"/>
              </w:rPr>
            </w:pPr>
          </w:p>
        </w:tc>
        <w:tc>
          <w:tcPr>
            <w:tcW w:w="425" w:type="pct"/>
            <w:tcBorders>
              <w:tl2br w:val="nil"/>
              <w:tr2bl w:val="nil"/>
            </w:tcBorders>
            <w:vAlign w:val="center"/>
          </w:tcPr>
          <w:p w14:paraId="2FF56D7A">
            <w:pPr>
              <w:jc w:val="center"/>
              <w:rPr>
                <w:bCs/>
                <w:color w:val="000000"/>
                <w:szCs w:val="21"/>
              </w:rPr>
            </w:pPr>
            <w:r>
              <w:rPr>
                <w:rFonts w:hint="eastAsia"/>
                <w:bCs/>
                <w:color w:val="000000"/>
                <w:szCs w:val="21"/>
              </w:rPr>
              <w:t>有组织排放</w:t>
            </w:r>
          </w:p>
        </w:tc>
        <w:tc>
          <w:tcPr>
            <w:tcW w:w="303" w:type="pct"/>
            <w:tcBorders>
              <w:tl2br w:val="nil"/>
              <w:tr2bl w:val="nil"/>
            </w:tcBorders>
            <w:vAlign w:val="center"/>
          </w:tcPr>
          <w:p w14:paraId="7575AC8C">
            <w:pPr>
              <w:jc w:val="center"/>
              <w:rPr>
                <w:bCs/>
                <w:color w:val="000000"/>
                <w:szCs w:val="21"/>
              </w:rPr>
            </w:pPr>
            <w:bookmarkStart w:id="637" w:name="OLE_LINK65"/>
            <w:r>
              <w:rPr>
                <w:rFonts w:hint="eastAsia"/>
                <w:bCs/>
                <w:color w:val="000000"/>
                <w:szCs w:val="21"/>
              </w:rPr>
              <w:t>生产车间</w:t>
            </w:r>
            <w:bookmarkEnd w:id="637"/>
          </w:p>
        </w:tc>
        <w:tc>
          <w:tcPr>
            <w:tcW w:w="489" w:type="pct"/>
            <w:tcBorders>
              <w:tl2br w:val="nil"/>
              <w:tr2bl w:val="nil"/>
            </w:tcBorders>
            <w:vAlign w:val="center"/>
          </w:tcPr>
          <w:p w14:paraId="3E695EC9">
            <w:pPr>
              <w:jc w:val="center"/>
              <w:rPr>
                <w:bCs/>
                <w:color w:val="000000"/>
                <w:szCs w:val="21"/>
              </w:rPr>
            </w:pPr>
            <w:r>
              <w:rPr>
                <w:rFonts w:hint="eastAsia"/>
                <w:bCs/>
                <w:color w:val="000000"/>
                <w:szCs w:val="21"/>
              </w:rPr>
              <w:t>生产车间熔融挤出废气排口</w:t>
            </w:r>
          </w:p>
        </w:tc>
        <w:tc>
          <w:tcPr>
            <w:tcW w:w="478" w:type="pct"/>
            <w:tcBorders>
              <w:tl2br w:val="nil"/>
              <w:tr2bl w:val="nil"/>
            </w:tcBorders>
            <w:vAlign w:val="center"/>
          </w:tcPr>
          <w:p w14:paraId="6B661C75">
            <w:pPr>
              <w:jc w:val="center"/>
              <w:rPr>
                <w:bCs/>
                <w:color w:val="000000"/>
                <w:szCs w:val="21"/>
              </w:rPr>
            </w:pPr>
            <w:r>
              <w:rPr>
                <w:rFonts w:hint="eastAsia"/>
                <w:bCs/>
                <w:color w:val="000000"/>
                <w:szCs w:val="21"/>
              </w:rPr>
              <w:t>DA001</w:t>
            </w:r>
          </w:p>
        </w:tc>
        <w:tc>
          <w:tcPr>
            <w:tcW w:w="508" w:type="pct"/>
            <w:tcBorders>
              <w:tl2br w:val="nil"/>
              <w:tr2bl w:val="nil"/>
            </w:tcBorders>
            <w:vAlign w:val="center"/>
          </w:tcPr>
          <w:p w14:paraId="475EB3BB">
            <w:pPr>
              <w:jc w:val="center"/>
              <w:rPr>
                <w:bCs/>
                <w:color w:val="000000"/>
                <w:szCs w:val="21"/>
              </w:rPr>
            </w:pPr>
            <w:r>
              <w:rPr>
                <w:rFonts w:hint="eastAsia"/>
                <w:bCs/>
                <w:color w:val="000000"/>
                <w:szCs w:val="21"/>
              </w:rPr>
              <w:t>非甲烷总烃</w:t>
            </w:r>
          </w:p>
        </w:tc>
        <w:tc>
          <w:tcPr>
            <w:tcW w:w="458" w:type="pct"/>
            <w:tcBorders>
              <w:tl2br w:val="nil"/>
              <w:tr2bl w:val="nil"/>
            </w:tcBorders>
            <w:vAlign w:val="center"/>
          </w:tcPr>
          <w:p w14:paraId="1721F742">
            <w:pPr>
              <w:jc w:val="center"/>
              <w:rPr>
                <w:bCs/>
                <w:color w:val="000000"/>
                <w:szCs w:val="21"/>
              </w:rPr>
            </w:pPr>
            <w:r>
              <w:rPr>
                <w:rFonts w:hint="eastAsia"/>
                <w:bCs/>
                <w:color w:val="000000"/>
                <w:szCs w:val="21"/>
              </w:rPr>
              <w:t>1次/半年</w:t>
            </w:r>
          </w:p>
        </w:tc>
        <w:tc>
          <w:tcPr>
            <w:tcW w:w="1232" w:type="pct"/>
            <w:tcBorders>
              <w:tl2br w:val="nil"/>
              <w:tr2bl w:val="nil"/>
            </w:tcBorders>
            <w:vAlign w:val="center"/>
          </w:tcPr>
          <w:p w14:paraId="0D176F27">
            <w:pPr>
              <w:jc w:val="center"/>
              <w:rPr>
                <w:bCs/>
                <w:color w:val="000000"/>
                <w:szCs w:val="21"/>
              </w:rPr>
            </w:pPr>
            <w:r>
              <w:rPr>
                <w:rFonts w:hint="eastAsia"/>
                <w:bCs/>
                <w:color w:val="000000"/>
                <w:szCs w:val="21"/>
              </w:rPr>
              <w:t>《合成树脂工业污染物排放标准》（GB 31572-2015，含2024年修改单）表</w:t>
            </w:r>
            <w:r>
              <w:rPr>
                <w:rFonts w:hint="eastAsia"/>
                <w:bCs/>
                <w:color w:val="000000"/>
                <w:szCs w:val="21"/>
                <w:lang w:val="en-US" w:eastAsia="zh-CN"/>
              </w:rPr>
              <w:t>4</w:t>
            </w:r>
            <w:r>
              <w:rPr>
                <w:rFonts w:hint="eastAsia"/>
                <w:bCs/>
                <w:color w:val="000000"/>
                <w:szCs w:val="21"/>
              </w:rPr>
              <w:t>大气污染物排放限值</w:t>
            </w:r>
          </w:p>
        </w:tc>
        <w:tc>
          <w:tcPr>
            <w:tcW w:w="458" w:type="pct"/>
            <w:vMerge w:val="restart"/>
            <w:tcBorders>
              <w:tl2br w:val="nil"/>
              <w:tr2bl w:val="nil"/>
            </w:tcBorders>
            <w:vAlign w:val="center"/>
          </w:tcPr>
          <w:p w14:paraId="755FBC59">
            <w:pPr>
              <w:jc w:val="center"/>
              <w:rPr>
                <w:rFonts w:hint="eastAsia" w:eastAsia="宋体"/>
                <w:bCs/>
                <w:color w:val="000000"/>
                <w:szCs w:val="21"/>
                <w:lang w:eastAsia="zh-CN"/>
              </w:rPr>
            </w:pPr>
            <w:r>
              <w:rPr>
                <w:rFonts w:hint="eastAsia"/>
                <w:bCs/>
                <w:color w:val="000000"/>
                <w:szCs w:val="21"/>
                <w:lang w:eastAsia="zh-CN"/>
              </w:rPr>
              <w:t>受委托有资质监测单位</w:t>
            </w:r>
          </w:p>
        </w:tc>
        <w:tc>
          <w:tcPr>
            <w:tcW w:w="405" w:type="pct"/>
            <w:vMerge w:val="restart"/>
            <w:tcBorders>
              <w:tl2br w:val="nil"/>
              <w:tr2bl w:val="nil"/>
            </w:tcBorders>
            <w:vAlign w:val="center"/>
          </w:tcPr>
          <w:p w14:paraId="53BF76EF">
            <w:pPr>
              <w:jc w:val="center"/>
              <w:rPr>
                <w:rFonts w:hint="eastAsia" w:eastAsia="宋体"/>
                <w:bCs/>
                <w:color w:val="000000"/>
                <w:szCs w:val="21"/>
                <w:lang w:eastAsia="zh-CN"/>
              </w:rPr>
            </w:pPr>
            <w:r>
              <w:rPr>
                <w:rFonts w:hint="eastAsia"/>
                <w:bCs/>
                <w:color w:val="000000"/>
                <w:szCs w:val="21"/>
                <w:lang w:eastAsia="zh-CN"/>
              </w:rPr>
              <w:t>建设单位</w:t>
            </w:r>
          </w:p>
        </w:tc>
      </w:tr>
      <w:bookmarkEnd w:id="636"/>
      <w:tr w14:paraId="569A3411">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1048" w:hRule="atLeast"/>
        </w:trPr>
        <w:tc>
          <w:tcPr>
            <w:tcW w:w="239" w:type="pct"/>
            <w:vMerge w:val="continue"/>
            <w:tcBorders>
              <w:tl2br w:val="nil"/>
              <w:tr2bl w:val="nil"/>
            </w:tcBorders>
            <w:vAlign w:val="center"/>
          </w:tcPr>
          <w:p w14:paraId="25F58E19">
            <w:pPr>
              <w:jc w:val="center"/>
              <w:rPr>
                <w:bCs/>
                <w:color w:val="000000"/>
                <w:szCs w:val="21"/>
              </w:rPr>
            </w:pPr>
          </w:p>
        </w:tc>
        <w:tc>
          <w:tcPr>
            <w:tcW w:w="425" w:type="pct"/>
            <w:vMerge w:val="restart"/>
            <w:tcBorders>
              <w:tl2br w:val="nil"/>
              <w:tr2bl w:val="nil"/>
            </w:tcBorders>
            <w:vAlign w:val="center"/>
          </w:tcPr>
          <w:p w14:paraId="58590C27">
            <w:pPr>
              <w:jc w:val="center"/>
              <w:rPr>
                <w:bCs/>
                <w:color w:val="000000"/>
                <w:szCs w:val="21"/>
              </w:rPr>
            </w:pPr>
            <w:r>
              <w:rPr>
                <w:rFonts w:hint="eastAsia"/>
                <w:bCs/>
                <w:color w:val="000000"/>
                <w:szCs w:val="21"/>
              </w:rPr>
              <w:t>无组织排放</w:t>
            </w:r>
          </w:p>
        </w:tc>
        <w:tc>
          <w:tcPr>
            <w:tcW w:w="792" w:type="pct"/>
            <w:gridSpan w:val="2"/>
            <w:vMerge w:val="restart"/>
            <w:tcBorders>
              <w:tl2br w:val="nil"/>
              <w:tr2bl w:val="nil"/>
            </w:tcBorders>
            <w:vAlign w:val="center"/>
          </w:tcPr>
          <w:p w14:paraId="6B342169">
            <w:pPr>
              <w:jc w:val="center"/>
              <w:rPr>
                <w:bCs/>
                <w:color w:val="000000"/>
                <w:szCs w:val="21"/>
              </w:rPr>
            </w:pPr>
            <w:r>
              <w:rPr>
                <w:rFonts w:hint="eastAsia"/>
                <w:bCs/>
                <w:color w:val="000000"/>
                <w:szCs w:val="21"/>
              </w:rPr>
              <w:t>厂界上风向1个，下风向3个</w:t>
            </w:r>
          </w:p>
        </w:tc>
        <w:tc>
          <w:tcPr>
            <w:tcW w:w="478" w:type="pct"/>
            <w:vMerge w:val="restart"/>
            <w:tcBorders>
              <w:tl2br w:val="nil"/>
              <w:tr2bl w:val="nil"/>
            </w:tcBorders>
            <w:vAlign w:val="center"/>
          </w:tcPr>
          <w:p w14:paraId="49F2B2E7">
            <w:pPr>
              <w:jc w:val="center"/>
              <w:rPr>
                <w:bCs/>
                <w:color w:val="000000"/>
                <w:szCs w:val="21"/>
              </w:rPr>
            </w:pPr>
            <w:r>
              <w:rPr>
                <w:rFonts w:hint="eastAsia"/>
                <w:bCs/>
                <w:color w:val="000000"/>
                <w:szCs w:val="21"/>
              </w:rPr>
              <w:t>/</w:t>
            </w:r>
          </w:p>
        </w:tc>
        <w:tc>
          <w:tcPr>
            <w:tcW w:w="508" w:type="pct"/>
            <w:tcBorders>
              <w:tl2br w:val="nil"/>
              <w:tr2bl w:val="nil"/>
            </w:tcBorders>
            <w:vAlign w:val="center"/>
          </w:tcPr>
          <w:p w14:paraId="7EC62833">
            <w:pPr>
              <w:jc w:val="center"/>
              <w:rPr>
                <w:bCs/>
                <w:color w:val="000000"/>
                <w:szCs w:val="21"/>
              </w:rPr>
            </w:pPr>
            <w:r>
              <w:rPr>
                <w:rFonts w:hint="eastAsia"/>
                <w:bCs/>
                <w:color w:val="000000"/>
                <w:szCs w:val="21"/>
              </w:rPr>
              <w:t>非甲烷总烃</w:t>
            </w:r>
          </w:p>
        </w:tc>
        <w:tc>
          <w:tcPr>
            <w:tcW w:w="458" w:type="pct"/>
            <w:vMerge w:val="restart"/>
            <w:tcBorders>
              <w:tl2br w:val="nil"/>
              <w:tr2bl w:val="nil"/>
            </w:tcBorders>
            <w:vAlign w:val="center"/>
          </w:tcPr>
          <w:p w14:paraId="13011608">
            <w:pPr>
              <w:jc w:val="center"/>
              <w:rPr>
                <w:bCs/>
                <w:color w:val="000000"/>
                <w:szCs w:val="21"/>
              </w:rPr>
            </w:pPr>
            <w:r>
              <w:rPr>
                <w:rFonts w:hint="eastAsia"/>
                <w:bCs/>
                <w:color w:val="000000"/>
                <w:szCs w:val="21"/>
              </w:rPr>
              <w:t>1次/年</w:t>
            </w:r>
          </w:p>
        </w:tc>
        <w:tc>
          <w:tcPr>
            <w:tcW w:w="1232" w:type="pct"/>
            <w:tcBorders>
              <w:tl2br w:val="nil"/>
              <w:tr2bl w:val="nil"/>
            </w:tcBorders>
            <w:vAlign w:val="center"/>
          </w:tcPr>
          <w:p w14:paraId="2BB6DACB">
            <w:pPr>
              <w:jc w:val="center"/>
              <w:rPr>
                <w:bCs/>
                <w:color w:val="000000"/>
                <w:szCs w:val="21"/>
              </w:rPr>
            </w:pPr>
            <w:r>
              <w:rPr>
                <w:rFonts w:hint="eastAsia"/>
                <w:bCs/>
                <w:color w:val="000000"/>
                <w:szCs w:val="21"/>
              </w:rPr>
              <w:t>《合成树脂工业污染物排放标准》（GB 31572-2015，含2024年修改单）表9企业边界大气污染物浓度限值</w:t>
            </w:r>
          </w:p>
        </w:tc>
        <w:tc>
          <w:tcPr>
            <w:tcW w:w="458" w:type="pct"/>
            <w:vMerge w:val="continue"/>
            <w:tcBorders>
              <w:tl2br w:val="nil"/>
              <w:tr2bl w:val="nil"/>
            </w:tcBorders>
            <w:vAlign w:val="center"/>
          </w:tcPr>
          <w:p w14:paraId="50F20803">
            <w:pPr>
              <w:jc w:val="center"/>
              <w:rPr>
                <w:rFonts w:hint="eastAsia"/>
                <w:bCs/>
                <w:color w:val="000000"/>
                <w:szCs w:val="21"/>
              </w:rPr>
            </w:pPr>
          </w:p>
        </w:tc>
        <w:tc>
          <w:tcPr>
            <w:tcW w:w="405" w:type="pct"/>
            <w:vMerge w:val="continue"/>
            <w:tcBorders>
              <w:tl2br w:val="nil"/>
              <w:tr2bl w:val="nil"/>
            </w:tcBorders>
            <w:vAlign w:val="center"/>
          </w:tcPr>
          <w:p w14:paraId="01CB4CEF">
            <w:pPr>
              <w:jc w:val="center"/>
              <w:rPr>
                <w:rFonts w:hint="eastAsia"/>
                <w:bCs/>
                <w:color w:val="000000"/>
                <w:szCs w:val="21"/>
              </w:rPr>
            </w:pPr>
          </w:p>
        </w:tc>
      </w:tr>
      <w:tr w14:paraId="2A241270">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27" w:hRule="atLeast"/>
        </w:trPr>
        <w:tc>
          <w:tcPr>
            <w:tcW w:w="239" w:type="pct"/>
            <w:vMerge w:val="continue"/>
            <w:tcBorders>
              <w:tl2br w:val="nil"/>
              <w:tr2bl w:val="nil"/>
            </w:tcBorders>
            <w:vAlign w:val="center"/>
          </w:tcPr>
          <w:p w14:paraId="5AF345D0">
            <w:pPr>
              <w:jc w:val="center"/>
              <w:rPr>
                <w:bCs/>
                <w:color w:val="000000"/>
                <w:szCs w:val="21"/>
              </w:rPr>
            </w:pPr>
          </w:p>
        </w:tc>
        <w:tc>
          <w:tcPr>
            <w:tcW w:w="425" w:type="pct"/>
            <w:vMerge w:val="continue"/>
            <w:tcBorders>
              <w:tl2br w:val="nil"/>
              <w:tr2bl w:val="nil"/>
            </w:tcBorders>
            <w:vAlign w:val="center"/>
          </w:tcPr>
          <w:p w14:paraId="41CA278F">
            <w:pPr>
              <w:jc w:val="center"/>
              <w:rPr>
                <w:bCs/>
                <w:color w:val="000000"/>
                <w:szCs w:val="21"/>
              </w:rPr>
            </w:pPr>
          </w:p>
        </w:tc>
        <w:tc>
          <w:tcPr>
            <w:tcW w:w="792" w:type="pct"/>
            <w:gridSpan w:val="2"/>
            <w:vMerge w:val="continue"/>
            <w:tcBorders>
              <w:tl2br w:val="nil"/>
              <w:tr2bl w:val="nil"/>
            </w:tcBorders>
            <w:vAlign w:val="center"/>
          </w:tcPr>
          <w:p w14:paraId="035C817A">
            <w:pPr>
              <w:jc w:val="center"/>
              <w:rPr>
                <w:bCs/>
                <w:color w:val="000000"/>
                <w:szCs w:val="21"/>
              </w:rPr>
            </w:pPr>
          </w:p>
        </w:tc>
        <w:tc>
          <w:tcPr>
            <w:tcW w:w="478" w:type="pct"/>
            <w:vMerge w:val="continue"/>
            <w:tcBorders>
              <w:tl2br w:val="nil"/>
              <w:tr2bl w:val="nil"/>
            </w:tcBorders>
            <w:vAlign w:val="center"/>
          </w:tcPr>
          <w:p w14:paraId="0EDFE7B6">
            <w:pPr>
              <w:jc w:val="center"/>
              <w:rPr>
                <w:bCs/>
                <w:color w:val="000000"/>
                <w:szCs w:val="21"/>
              </w:rPr>
            </w:pPr>
          </w:p>
        </w:tc>
        <w:tc>
          <w:tcPr>
            <w:tcW w:w="508" w:type="pct"/>
            <w:tcBorders>
              <w:tl2br w:val="nil"/>
              <w:tr2bl w:val="nil"/>
            </w:tcBorders>
            <w:vAlign w:val="center"/>
          </w:tcPr>
          <w:p w14:paraId="3EC8E20C">
            <w:pPr>
              <w:jc w:val="center"/>
              <w:rPr>
                <w:bCs/>
                <w:color w:val="000000"/>
                <w:szCs w:val="21"/>
              </w:rPr>
            </w:pPr>
            <w:r>
              <w:rPr>
                <w:rFonts w:hint="eastAsia"/>
                <w:bCs/>
                <w:color w:val="000000"/>
                <w:szCs w:val="21"/>
              </w:rPr>
              <w:t>臭气浓度</w:t>
            </w:r>
          </w:p>
        </w:tc>
        <w:tc>
          <w:tcPr>
            <w:tcW w:w="458" w:type="pct"/>
            <w:vMerge w:val="continue"/>
            <w:tcBorders>
              <w:tl2br w:val="nil"/>
              <w:tr2bl w:val="nil"/>
            </w:tcBorders>
            <w:vAlign w:val="center"/>
          </w:tcPr>
          <w:p w14:paraId="3B94B14A">
            <w:pPr>
              <w:jc w:val="center"/>
              <w:rPr>
                <w:bCs/>
                <w:color w:val="000000"/>
                <w:szCs w:val="21"/>
              </w:rPr>
            </w:pPr>
          </w:p>
        </w:tc>
        <w:tc>
          <w:tcPr>
            <w:tcW w:w="1232" w:type="pct"/>
            <w:tcBorders>
              <w:tl2br w:val="nil"/>
              <w:tr2bl w:val="nil"/>
            </w:tcBorders>
            <w:vAlign w:val="center"/>
          </w:tcPr>
          <w:p w14:paraId="52622FEF">
            <w:pPr>
              <w:jc w:val="center"/>
              <w:rPr>
                <w:bCs/>
                <w:color w:val="000000"/>
                <w:szCs w:val="21"/>
              </w:rPr>
            </w:pPr>
            <w:r>
              <w:rPr>
                <w:bCs/>
                <w:color w:val="000000"/>
                <w:szCs w:val="21"/>
              </w:rPr>
              <w:t>《恶臭污染物排放标准》（GB14554-93）</w:t>
            </w:r>
          </w:p>
        </w:tc>
        <w:tc>
          <w:tcPr>
            <w:tcW w:w="458" w:type="pct"/>
            <w:vMerge w:val="continue"/>
            <w:tcBorders>
              <w:tl2br w:val="nil"/>
              <w:tr2bl w:val="nil"/>
            </w:tcBorders>
            <w:vAlign w:val="center"/>
          </w:tcPr>
          <w:p w14:paraId="217D98D7">
            <w:pPr>
              <w:jc w:val="center"/>
              <w:rPr>
                <w:bCs/>
                <w:color w:val="000000"/>
                <w:szCs w:val="21"/>
              </w:rPr>
            </w:pPr>
          </w:p>
        </w:tc>
        <w:tc>
          <w:tcPr>
            <w:tcW w:w="405" w:type="pct"/>
            <w:vMerge w:val="continue"/>
            <w:tcBorders>
              <w:tl2br w:val="nil"/>
              <w:tr2bl w:val="nil"/>
            </w:tcBorders>
            <w:vAlign w:val="center"/>
          </w:tcPr>
          <w:p w14:paraId="6091ACF1">
            <w:pPr>
              <w:jc w:val="center"/>
              <w:rPr>
                <w:bCs/>
                <w:color w:val="000000"/>
                <w:szCs w:val="21"/>
              </w:rPr>
            </w:pPr>
          </w:p>
        </w:tc>
      </w:tr>
      <w:tr w14:paraId="54CC3BA6">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959" w:hRule="atLeast"/>
        </w:trPr>
        <w:tc>
          <w:tcPr>
            <w:tcW w:w="239" w:type="pct"/>
            <w:vMerge w:val="continue"/>
            <w:tcBorders>
              <w:tl2br w:val="nil"/>
              <w:tr2bl w:val="nil"/>
            </w:tcBorders>
            <w:vAlign w:val="center"/>
          </w:tcPr>
          <w:p w14:paraId="73F37C3E">
            <w:pPr>
              <w:jc w:val="center"/>
              <w:rPr>
                <w:bCs/>
                <w:color w:val="000000"/>
                <w:szCs w:val="21"/>
              </w:rPr>
            </w:pPr>
          </w:p>
        </w:tc>
        <w:tc>
          <w:tcPr>
            <w:tcW w:w="425" w:type="pct"/>
            <w:vMerge w:val="continue"/>
            <w:tcBorders>
              <w:tl2br w:val="nil"/>
              <w:tr2bl w:val="nil"/>
            </w:tcBorders>
            <w:vAlign w:val="center"/>
          </w:tcPr>
          <w:p w14:paraId="5EF252E7">
            <w:pPr>
              <w:jc w:val="center"/>
              <w:rPr>
                <w:bCs/>
                <w:color w:val="000000"/>
                <w:szCs w:val="21"/>
              </w:rPr>
            </w:pPr>
          </w:p>
        </w:tc>
        <w:tc>
          <w:tcPr>
            <w:tcW w:w="792" w:type="pct"/>
            <w:gridSpan w:val="2"/>
            <w:tcBorders>
              <w:tl2br w:val="nil"/>
              <w:tr2bl w:val="nil"/>
            </w:tcBorders>
            <w:vAlign w:val="center"/>
          </w:tcPr>
          <w:p w14:paraId="116355D7">
            <w:pPr>
              <w:jc w:val="center"/>
              <w:rPr>
                <w:bCs/>
                <w:color w:val="000000"/>
                <w:szCs w:val="21"/>
              </w:rPr>
            </w:pPr>
            <w:r>
              <w:rPr>
                <w:rFonts w:hint="eastAsia"/>
                <w:bCs/>
                <w:color w:val="000000"/>
                <w:szCs w:val="21"/>
              </w:rPr>
              <w:t>厂区内</w:t>
            </w:r>
          </w:p>
        </w:tc>
        <w:tc>
          <w:tcPr>
            <w:tcW w:w="478" w:type="pct"/>
            <w:tcBorders>
              <w:tl2br w:val="nil"/>
              <w:tr2bl w:val="nil"/>
            </w:tcBorders>
            <w:vAlign w:val="center"/>
          </w:tcPr>
          <w:p w14:paraId="2AE0DE7E">
            <w:pPr>
              <w:jc w:val="center"/>
              <w:rPr>
                <w:bCs/>
                <w:color w:val="000000"/>
                <w:szCs w:val="21"/>
              </w:rPr>
            </w:pPr>
            <w:r>
              <w:rPr>
                <w:rFonts w:hint="eastAsia"/>
                <w:bCs/>
                <w:color w:val="000000"/>
                <w:szCs w:val="21"/>
              </w:rPr>
              <w:t>/</w:t>
            </w:r>
          </w:p>
        </w:tc>
        <w:tc>
          <w:tcPr>
            <w:tcW w:w="508" w:type="pct"/>
            <w:tcBorders>
              <w:tl2br w:val="nil"/>
              <w:tr2bl w:val="nil"/>
            </w:tcBorders>
            <w:vAlign w:val="center"/>
          </w:tcPr>
          <w:p w14:paraId="0FC442E5">
            <w:pPr>
              <w:jc w:val="center"/>
              <w:rPr>
                <w:bCs/>
                <w:color w:val="000000"/>
                <w:szCs w:val="21"/>
              </w:rPr>
            </w:pPr>
            <w:r>
              <w:rPr>
                <w:rFonts w:hint="eastAsia"/>
                <w:bCs/>
                <w:color w:val="000000"/>
                <w:szCs w:val="21"/>
              </w:rPr>
              <w:t>非甲烷总烃</w:t>
            </w:r>
          </w:p>
        </w:tc>
        <w:tc>
          <w:tcPr>
            <w:tcW w:w="458" w:type="pct"/>
            <w:tcBorders>
              <w:tl2br w:val="nil"/>
              <w:tr2bl w:val="nil"/>
            </w:tcBorders>
            <w:vAlign w:val="center"/>
          </w:tcPr>
          <w:p w14:paraId="77470ABA">
            <w:pPr>
              <w:jc w:val="center"/>
              <w:rPr>
                <w:bCs/>
                <w:color w:val="000000"/>
                <w:szCs w:val="21"/>
              </w:rPr>
            </w:pPr>
            <w:r>
              <w:rPr>
                <w:rFonts w:hint="eastAsia"/>
                <w:bCs/>
                <w:color w:val="000000"/>
                <w:szCs w:val="21"/>
              </w:rPr>
              <w:t>1次/年</w:t>
            </w:r>
          </w:p>
        </w:tc>
        <w:tc>
          <w:tcPr>
            <w:tcW w:w="1232" w:type="pct"/>
            <w:tcBorders>
              <w:tl2br w:val="nil"/>
              <w:tr2bl w:val="nil"/>
            </w:tcBorders>
            <w:vAlign w:val="center"/>
          </w:tcPr>
          <w:p w14:paraId="7B7382F8">
            <w:pPr>
              <w:jc w:val="center"/>
              <w:rPr>
                <w:bCs/>
                <w:color w:val="000000"/>
                <w:szCs w:val="21"/>
              </w:rPr>
            </w:pPr>
            <w:r>
              <w:rPr>
                <w:rFonts w:hint="eastAsia"/>
                <w:bCs/>
                <w:color w:val="000000"/>
                <w:szCs w:val="21"/>
              </w:rPr>
              <w:t>《挥发性有机物无组织排放控制标准》（GB37822-2019）中表A.1厂区内VOCs无组织排放限值</w:t>
            </w:r>
          </w:p>
        </w:tc>
        <w:tc>
          <w:tcPr>
            <w:tcW w:w="458" w:type="pct"/>
            <w:vMerge w:val="continue"/>
            <w:tcBorders>
              <w:tl2br w:val="nil"/>
              <w:tr2bl w:val="nil"/>
            </w:tcBorders>
            <w:vAlign w:val="center"/>
          </w:tcPr>
          <w:p w14:paraId="306650F6">
            <w:pPr>
              <w:jc w:val="center"/>
              <w:rPr>
                <w:rFonts w:hint="eastAsia"/>
                <w:bCs/>
                <w:color w:val="000000"/>
                <w:szCs w:val="21"/>
              </w:rPr>
            </w:pPr>
          </w:p>
        </w:tc>
        <w:tc>
          <w:tcPr>
            <w:tcW w:w="405" w:type="pct"/>
            <w:vMerge w:val="continue"/>
            <w:tcBorders>
              <w:tl2br w:val="nil"/>
              <w:tr2bl w:val="nil"/>
            </w:tcBorders>
            <w:vAlign w:val="center"/>
          </w:tcPr>
          <w:p w14:paraId="39E3CB7A">
            <w:pPr>
              <w:jc w:val="center"/>
              <w:rPr>
                <w:rFonts w:hint="eastAsia"/>
                <w:bCs/>
                <w:color w:val="000000"/>
                <w:szCs w:val="21"/>
              </w:rPr>
            </w:pPr>
          </w:p>
        </w:tc>
      </w:tr>
      <w:tr w14:paraId="68CB293B">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72" w:hRule="atLeast"/>
        </w:trPr>
        <w:tc>
          <w:tcPr>
            <w:tcW w:w="665" w:type="pct"/>
            <w:gridSpan w:val="2"/>
            <w:tcBorders>
              <w:tl2br w:val="nil"/>
              <w:tr2bl w:val="nil"/>
            </w:tcBorders>
            <w:vAlign w:val="center"/>
          </w:tcPr>
          <w:p w14:paraId="1F781D89">
            <w:pPr>
              <w:jc w:val="center"/>
              <w:rPr>
                <w:bCs/>
                <w:color w:val="000000"/>
                <w:szCs w:val="21"/>
              </w:rPr>
            </w:pPr>
            <w:r>
              <w:rPr>
                <w:rFonts w:hint="eastAsia"/>
                <w:bCs/>
                <w:color w:val="000000"/>
                <w:szCs w:val="21"/>
              </w:rPr>
              <w:t>厂界噪声</w:t>
            </w:r>
          </w:p>
        </w:tc>
        <w:tc>
          <w:tcPr>
            <w:tcW w:w="792" w:type="pct"/>
            <w:gridSpan w:val="2"/>
            <w:tcBorders>
              <w:tl2br w:val="nil"/>
              <w:tr2bl w:val="nil"/>
            </w:tcBorders>
            <w:vAlign w:val="center"/>
          </w:tcPr>
          <w:p w14:paraId="5E11C179">
            <w:pPr>
              <w:jc w:val="center"/>
              <w:rPr>
                <w:bCs/>
                <w:color w:val="000000"/>
                <w:szCs w:val="21"/>
              </w:rPr>
            </w:pPr>
            <w:r>
              <w:rPr>
                <w:rFonts w:hint="eastAsia"/>
                <w:bCs/>
                <w:color w:val="000000"/>
                <w:szCs w:val="21"/>
              </w:rPr>
              <w:t>厂界四周</w:t>
            </w:r>
          </w:p>
        </w:tc>
        <w:tc>
          <w:tcPr>
            <w:tcW w:w="478" w:type="pct"/>
            <w:tcBorders>
              <w:tl2br w:val="nil"/>
              <w:tr2bl w:val="nil"/>
            </w:tcBorders>
            <w:vAlign w:val="center"/>
          </w:tcPr>
          <w:p w14:paraId="6A381B57">
            <w:pPr>
              <w:jc w:val="center"/>
              <w:rPr>
                <w:bCs/>
                <w:color w:val="000000"/>
                <w:szCs w:val="21"/>
              </w:rPr>
            </w:pPr>
            <w:r>
              <w:rPr>
                <w:rFonts w:hint="eastAsia"/>
                <w:bCs/>
                <w:color w:val="000000"/>
                <w:szCs w:val="21"/>
              </w:rPr>
              <w:t>/</w:t>
            </w:r>
          </w:p>
        </w:tc>
        <w:tc>
          <w:tcPr>
            <w:tcW w:w="508" w:type="pct"/>
            <w:tcBorders>
              <w:tl2br w:val="nil"/>
              <w:tr2bl w:val="nil"/>
            </w:tcBorders>
            <w:vAlign w:val="center"/>
          </w:tcPr>
          <w:p w14:paraId="057DD763">
            <w:pPr>
              <w:jc w:val="center"/>
              <w:rPr>
                <w:bCs/>
                <w:color w:val="000000"/>
                <w:szCs w:val="21"/>
              </w:rPr>
            </w:pPr>
            <w:r>
              <w:rPr>
                <w:rFonts w:hint="eastAsia"/>
                <w:bCs/>
                <w:color w:val="000000"/>
                <w:szCs w:val="21"/>
              </w:rPr>
              <w:t>Leq(A)</w:t>
            </w:r>
          </w:p>
        </w:tc>
        <w:tc>
          <w:tcPr>
            <w:tcW w:w="458" w:type="pct"/>
            <w:tcBorders>
              <w:tl2br w:val="nil"/>
              <w:tr2bl w:val="nil"/>
            </w:tcBorders>
            <w:vAlign w:val="center"/>
          </w:tcPr>
          <w:p w14:paraId="47BCB154">
            <w:pPr>
              <w:jc w:val="center"/>
              <w:rPr>
                <w:rFonts w:hint="eastAsia" w:eastAsia="宋体"/>
                <w:bCs/>
                <w:color w:val="000000"/>
                <w:szCs w:val="21"/>
                <w:lang w:eastAsia="zh-CN"/>
              </w:rPr>
            </w:pPr>
            <w:r>
              <w:rPr>
                <w:rFonts w:hint="eastAsia"/>
                <w:bCs/>
                <w:color w:val="000000"/>
                <w:szCs w:val="21"/>
              </w:rPr>
              <w:t>1次/季</w:t>
            </w:r>
            <w:r>
              <w:rPr>
                <w:rFonts w:hint="eastAsia"/>
                <w:bCs/>
                <w:color w:val="000000"/>
                <w:szCs w:val="21"/>
                <w:lang w:eastAsia="zh-CN"/>
              </w:rPr>
              <w:t>度</w:t>
            </w:r>
          </w:p>
        </w:tc>
        <w:tc>
          <w:tcPr>
            <w:tcW w:w="1232" w:type="pct"/>
            <w:tcBorders>
              <w:tl2br w:val="nil"/>
              <w:tr2bl w:val="nil"/>
            </w:tcBorders>
            <w:vAlign w:val="center"/>
          </w:tcPr>
          <w:p w14:paraId="2CEBBE7B">
            <w:pPr>
              <w:jc w:val="center"/>
              <w:rPr>
                <w:bCs/>
                <w:color w:val="000000"/>
                <w:szCs w:val="21"/>
              </w:rPr>
            </w:pPr>
            <w:r>
              <w:rPr>
                <w:bCs/>
                <w:color w:val="000000"/>
                <w:szCs w:val="21"/>
              </w:rPr>
              <w:t>《工业企业厂界环境噪声排放标准》GB12348-2008）</w:t>
            </w:r>
          </w:p>
        </w:tc>
        <w:tc>
          <w:tcPr>
            <w:tcW w:w="458" w:type="pct"/>
            <w:vMerge w:val="continue"/>
            <w:tcBorders>
              <w:tl2br w:val="nil"/>
              <w:tr2bl w:val="nil"/>
            </w:tcBorders>
            <w:vAlign w:val="center"/>
          </w:tcPr>
          <w:p w14:paraId="110576A5">
            <w:pPr>
              <w:jc w:val="center"/>
              <w:rPr>
                <w:bCs/>
                <w:color w:val="000000"/>
                <w:szCs w:val="21"/>
              </w:rPr>
            </w:pPr>
          </w:p>
        </w:tc>
        <w:tc>
          <w:tcPr>
            <w:tcW w:w="405" w:type="pct"/>
            <w:vMerge w:val="continue"/>
            <w:tcBorders>
              <w:tl2br w:val="nil"/>
              <w:tr2bl w:val="nil"/>
            </w:tcBorders>
            <w:vAlign w:val="center"/>
          </w:tcPr>
          <w:p w14:paraId="7CF6140B">
            <w:pPr>
              <w:jc w:val="center"/>
              <w:rPr>
                <w:bCs/>
                <w:color w:val="000000"/>
                <w:szCs w:val="21"/>
              </w:rPr>
            </w:pPr>
          </w:p>
        </w:tc>
      </w:tr>
    </w:tbl>
    <w:p w14:paraId="29BD9CAF">
      <w:pPr>
        <w:spacing w:line="360" w:lineRule="auto"/>
        <w:ind w:firstLine="360" w:firstLineChars="150"/>
        <w:rPr>
          <w:color w:val="000000"/>
          <w:sz w:val="24"/>
          <w:szCs w:val="24"/>
        </w:rPr>
      </w:pPr>
      <w:r>
        <w:rPr>
          <w:rFonts w:hint="eastAsia"/>
          <w:color w:val="000000"/>
          <w:sz w:val="24"/>
          <w:szCs w:val="24"/>
        </w:rPr>
        <w:t>②环境质量监测计划</w:t>
      </w:r>
    </w:p>
    <w:p w14:paraId="6A30B96B">
      <w:pPr>
        <w:spacing w:line="360" w:lineRule="auto"/>
        <w:ind w:firstLine="360" w:firstLineChars="150"/>
        <w:rPr>
          <w:color w:val="000000"/>
          <w:sz w:val="24"/>
          <w:szCs w:val="24"/>
        </w:rPr>
      </w:pPr>
      <w:r>
        <w:rPr>
          <w:rFonts w:hint="eastAsia"/>
          <w:color w:val="000000"/>
          <w:sz w:val="24"/>
          <w:szCs w:val="24"/>
        </w:rPr>
        <w:t>结合《环境影响评价技术导则  大气环境》（HJ2.2-2018）、《环境影响评价技术导则  地下水环境》（HJ610-2016）要求，项目环境质量监测计划如下：</w:t>
      </w:r>
    </w:p>
    <w:p w14:paraId="6A462186">
      <w:pPr>
        <w:spacing w:line="440" w:lineRule="exact"/>
        <w:ind w:firstLine="422" w:firstLineChars="200"/>
        <w:jc w:val="center"/>
        <w:rPr>
          <w:rFonts w:hint="eastAsia" w:hAnsi="宋体"/>
          <w:b/>
          <w:color w:val="000000"/>
          <w:kern w:val="0"/>
          <w:szCs w:val="21"/>
        </w:rPr>
      </w:pPr>
      <w:r>
        <w:rPr>
          <w:rFonts w:hAnsi="宋体"/>
          <w:b/>
          <w:color w:val="000000"/>
          <w:kern w:val="0"/>
          <w:szCs w:val="21"/>
        </w:rPr>
        <w:t>表</w:t>
      </w:r>
      <w:r>
        <w:rPr>
          <w:rFonts w:hint="eastAsia" w:hAnsi="宋体"/>
          <w:b/>
          <w:color w:val="000000"/>
          <w:kern w:val="0"/>
          <w:szCs w:val="21"/>
        </w:rPr>
        <w:t>9.3</w:t>
      </w:r>
      <w:r>
        <w:rPr>
          <w:rFonts w:hAnsi="宋体"/>
          <w:b/>
          <w:color w:val="000000"/>
          <w:kern w:val="0"/>
          <w:szCs w:val="21"/>
        </w:rPr>
        <w:t>-</w:t>
      </w:r>
      <w:r>
        <w:rPr>
          <w:rFonts w:hint="eastAsia" w:hAnsi="宋体"/>
          <w:b/>
          <w:color w:val="000000"/>
          <w:kern w:val="0"/>
          <w:szCs w:val="21"/>
        </w:rPr>
        <w:t>2</w:t>
      </w:r>
      <w:r>
        <w:rPr>
          <w:rFonts w:hAnsi="宋体"/>
          <w:b/>
          <w:color w:val="000000"/>
          <w:kern w:val="0"/>
          <w:szCs w:val="21"/>
        </w:rPr>
        <w:t xml:space="preserve">   </w:t>
      </w:r>
      <w:r>
        <w:rPr>
          <w:rFonts w:hint="eastAsia" w:hAnsi="宋体"/>
          <w:b/>
          <w:color w:val="000000"/>
          <w:kern w:val="0"/>
          <w:szCs w:val="21"/>
        </w:rPr>
        <w:t>环境质量</w:t>
      </w:r>
      <w:r>
        <w:rPr>
          <w:rFonts w:hAnsi="宋体"/>
          <w:b/>
          <w:color w:val="000000"/>
          <w:kern w:val="0"/>
          <w:szCs w:val="21"/>
        </w:rPr>
        <w:t>监测计划一览表</w:t>
      </w:r>
    </w:p>
    <w:tbl>
      <w:tblPr>
        <w:tblStyle w:val="49"/>
        <w:tblW w:w="5000" w:type="pct"/>
        <w:tblInd w:w="0" w:type="dxa"/>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
      <w:tblGrid>
        <w:gridCol w:w="678"/>
        <w:gridCol w:w="1137"/>
        <w:gridCol w:w="2844"/>
        <w:gridCol w:w="776"/>
        <w:gridCol w:w="2268"/>
        <w:gridCol w:w="863"/>
        <w:gridCol w:w="676"/>
      </w:tblGrid>
      <w:tr w14:paraId="042AEFE2">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07" w:hRule="atLeast"/>
        </w:trPr>
        <w:tc>
          <w:tcPr>
            <w:tcW w:w="366" w:type="pct"/>
            <w:tcBorders>
              <w:tl2br w:val="nil"/>
              <w:tr2bl w:val="nil"/>
            </w:tcBorders>
            <w:vAlign w:val="center"/>
          </w:tcPr>
          <w:p w14:paraId="1F8101DA">
            <w:pPr>
              <w:jc w:val="center"/>
              <w:rPr>
                <w:b/>
                <w:color w:val="000000"/>
                <w:szCs w:val="21"/>
              </w:rPr>
            </w:pPr>
            <w:r>
              <w:rPr>
                <w:rFonts w:hint="eastAsia"/>
                <w:b/>
                <w:color w:val="000000"/>
                <w:szCs w:val="21"/>
              </w:rPr>
              <w:t>项目</w:t>
            </w:r>
          </w:p>
        </w:tc>
        <w:tc>
          <w:tcPr>
            <w:tcW w:w="615" w:type="pct"/>
            <w:tcBorders>
              <w:tl2br w:val="nil"/>
              <w:tr2bl w:val="nil"/>
            </w:tcBorders>
            <w:vAlign w:val="center"/>
          </w:tcPr>
          <w:p w14:paraId="3330B873">
            <w:pPr>
              <w:jc w:val="center"/>
              <w:rPr>
                <w:b/>
                <w:color w:val="000000"/>
                <w:szCs w:val="21"/>
              </w:rPr>
            </w:pPr>
            <w:r>
              <w:rPr>
                <w:rFonts w:hint="eastAsia"/>
                <w:b/>
                <w:color w:val="000000"/>
                <w:szCs w:val="21"/>
              </w:rPr>
              <w:t>监测点位</w:t>
            </w:r>
          </w:p>
        </w:tc>
        <w:tc>
          <w:tcPr>
            <w:tcW w:w="1538" w:type="pct"/>
            <w:tcBorders>
              <w:tl2br w:val="nil"/>
              <w:tr2bl w:val="nil"/>
            </w:tcBorders>
            <w:vAlign w:val="center"/>
          </w:tcPr>
          <w:p w14:paraId="6F20ECB7">
            <w:pPr>
              <w:jc w:val="center"/>
              <w:rPr>
                <w:b/>
                <w:color w:val="000000"/>
                <w:szCs w:val="21"/>
              </w:rPr>
            </w:pPr>
            <w:r>
              <w:rPr>
                <w:rFonts w:hint="eastAsia"/>
                <w:b/>
                <w:color w:val="000000"/>
                <w:szCs w:val="21"/>
              </w:rPr>
              <w:t>监测指标</w:t>
            </w:r>
          </w:p>
        </w:tc>
        <w:tc>
          <w:tcPr>
            <w:tcW w:w="419" w:type="pct"/>
            <w:tcBorders>
              <w:tl2br w:val="nil"/>
              <w:tr2bl w:val="nil"/>
            </w:tcBorders>
            <w:vAlign w:val="center"/>
          </w:tcPr>
          <w:p w14:paraId="5D26199F">
            <w:pPr>
              <w:jc w:val="center"/>
              <w:rPr>
                <w:b/>
                <w:color w:val="000000"/>
                <w:szCs w:val="21"/>
              </w:rPr>
            </w:pPr>
            <w:r>
              <w:rPr>
                <w:rFonts w:hint="eastAsia"/>
                <w:b/>
                <w:color w:val="000000"/>
                <w:szCs w:val="21"/>
              </w:rPr>
              <w:t>监测频次</w:t>
            </w:r>
          </w:p>
        </w:tc>
        <w:tc>
          <w:tcPr>
            <w:tcW w:w="1227" w:type="pct"/>
            <w:tcBorders>
              <w:right w:val="single" w:color="auto" w:sz="4" w:space="0"/>
              <w:tl2br w:val="nil"/>
              <w:tr2bl w:val="nil"/>
            </w:tcBorders>
            <w:vAlign w:val="center"/>
          </w:tcPr>
          <w:p w14:paraId="19B1CD65">
            <w:pPr>
              <w:jc w:val="center"/>
              <w:rPr>
                <w:b/>
                <w:color w:val="000000"/>
                <w:szCs w:val="21"/>
              </w:rPr>
            </w:pPr>
            <w:r>
              <w:rPr>
                <w:rFonts w:hint="eastAsia"/>
                <w:b/>
                <w:color w:val="000000"/>
                <w:szCs w:val="21"/>
              </w:rPr>
              <w:t>执行标准</w:t>
            </w:r>
          </w:p>
        </w:tc>
        <w:tc>
          <w:tcPr>
            <w:tcW w:w="466" w:type="pct"/>
            <w:tcBorders>
              <w:left w:val="single" w:color="auto" w:sz="4" w:space="0"/>
              <w:right w:val="single" w:color="auto" w:sz="4" w:space="0"/>
              <w:tl2br w:val="nil"/>
              <w:tr2bl w:val="nil"/>
            </w:tcBorders>
            <w:vAlign w:val="center"/>
          </w:tcPr>
          <w:p w14:paraId="1C0918B9">
            <w:pPr>
              <w:jc w:val="center"/>
              <w:rPr>
                <w:rFonts w:hint="eastAsia" w:eastAsia="宋体"/>
                <w:b/>
                <w:color w:val="000000"/>
                <w:szCs w:val="21"/>
                <w:lang w:eastAsia="zh-CN"/>
              </w:rPr>
            </w:pPr>
            <w:r>
              <w:rPr>
                <w:rFonts w:hint="eastAsia"/>
                <w:b/>
                <w:color w:val="000000"/>
                <w:szCs w:val="21"/>
                <w:lang w:eastAsia="zh-CN"/>
              </w:rPr>
              <w:t>实施机构</w:t>
            </w:r>
          </w:p>
        </w:tc>
        <w:tc>
          <w:tcPr>
            <w:tcW w:w="365" w:type="pct"/>
            <w:tcBorders>
              <w:left w:val="single" w:color="auto" w:sz="4" w:space="0"/>
              <w:tl2br w:val="nil"/>
              <w:tr2bl w:val="nil"/>
            </w:tcBorders>
            <w:vAlign w:val="center"/>
          </w:tcPr>
          <w:p w14:paraId="10E8CFD9">
            <w:pPr>
              <w:jc w:val="center"/>
              <w:rPr>
                <w:rFonts w:hint="eastAsia" w:eastAsia="宋体"/>
                <w:b/>
                <w:color w:val="000000"/>
                <w:szCs w:val="21"/>
                <w:lang w:eastAsia="zh-CN"/>
              </w:rPr>
            </w:pPr>
            <w:r>
              <w:rPr>
                <w:rFonts w:hint="eastAsia"/>
                <w:b/>
                <w:color w:val="000000"/>
                <w:szCs w:val="21"/>
                <w:lang w:eastAsia="zh-CN"/>
              </w:rPr>
              <w:t>管理机构</w:t>
            </w:r>
          </w:p>
        </w:tc>
      </w:tr>
      <w:tr w14:paraId="6584728C">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6" w:hRule="atLeast"/>
        </w:trPr>
        <w:tc>
          <w:tcPr>
            <w:tcW w:w="366" w:type="pct"/>
            <w:tcBorders>
              <w:tl2br w:val="nil"/>
              <w:tr2bl w:val="nil"/>
            </w:tcBorders>
            <w:vAlign w:val="center"/>
          </w:tcPr>
          <w:p w14:paraId="79939A0A">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bCs/>
                <w:color w:val="000000"/>
                <w:szCs w:val="21"/>
              </w:rPr>
            </w:pPr>
            <w:r>
              <w:rPr>
                <w:rFonts w:hint="eastAsia"/>
                <w:bCs/>
                <w:color w:val="000000"/>
                <w:szCs w:val="21"/>
              </w:rPr>
              <w:t>环境空气</w:t>
            </w:r>
          </w:p>
        </w:tc>
        <w:tc>
          <w:tcPr>
            <w:tcW w:w="615" w:type="pct"/>
            <w:tcBorders>
              <w:tl2br w:val="nil"/>
              <w:tr2bl w:val="nil"/>
            </w:tcBorders>
            <w:vAlign w:val="center"/>
          </w:tcPr>
          <w:p w14:paraId="2E8975CF">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bCs/>
                <w:color w:val="000000"/>
                <w:szCs w:val="21"/>
              </w:rPr>
            </w:pPr>
            <w:r>
              <w:rPr>
                <w:rFonts w:hint="eastAsia"/>
                <w:bCs/>
                <w:color w:val="000000"/>
                <w:szCs w:val="21"/>
              </w:rPr>
              <w:t>厂界下风向设置1个监测点</w:t>
            </w:r>
          </w:p>
        </w:tc>
        <w:tc>
          <w:tcPr>
            <w:tcW w:w="1538" w:type="pct"/>
            <w:tcBorders>
              <w:tl2br w:val="nil"/>
              <w:tr2bl w:val="nil"/>
            </w:tcBorders>
            <w:vAlign w:val="center"/>
          </w:tcPr>
          <w:p w14:paraId="6A79498F">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bCs/>
                <w:color w:val="000000"/>
                <w:szCs w:val="21"/>
              </w:rPr>
            </w:pPr>
            <w:r>
              <w:rPr>
                <w:rFonts w:hint="eastAsia"/>
                <w:bCs/>
                <w:color w:val="000000"/>
                <w:szCs w:val="21"/>
              </w:rPr>
              <w:t>非甲烷总烃</w:t>
            </w:r>
          </w:p>
        </w:tc>
        <w:tc>
          <w:tcPr>
            <w:tcW w:w="419" w:type="pct"/>
            <w:tcBorders>
              <w:tl2br w:val="nil"/>
              <w:tr2bl w:val="nil"/>
            </w:tcBorders>
            <w:vAlign w:val="center"/>
          </w:tcPr>
          <w:p w14:paraId="4A07D81A">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bCs/>
                <w:color w:val="000000"/>
                <w:szCs w:val="21"/>
              </w:rPr>
            </w:pPr>
            <w:r>
              <w:rPr>
                <w:rFonts w:hint="eastAsia"/>
                <w:bCs/>
                <w:color w:val="000000"/>
                <w:szCs w:val="21"/>
              </w:rPr>
              <w:t>1次/年</w:t>
            </w:r>
          </w:p>
        </w:tc>
        <w:tc>
          <w:tcPr>
            <w:tcW w:w="1227" w:type="pct"/>
            <w:tcBorders>
              <w:right w:val="single" w:color="auto" w:sz="4" w:space="0"/>
              <w:tl2br w:val="nil"/>
              <w:tr2bl w:val="nil"/>
            </w:tcBorders>
            <w:vAlign w:val="center"/>
          </w:tcPr>
          <w:p w14:paraId="29FA3F87">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bCs/>
                <w:color w:val="000000"/>
                <w:szCs w:val="21"/>
              </w:rPr>
            </w:pPr>
            <w:r>
              <w:rPr>
                <w:rFonts w:hint="eastAsia"/>
                <w:bCs/>
                <w:color w:val="000000"/>
                <w:szCs w:val="21"/>
              </w:rPr>
              <w:t>《大气污染物综合排放标准详解》</w:t>
            </w:r>
          </w:p>
        </w:tc>
        <w:tc>
          <w:tcPr>
            <w:tcW w:w="466" w:type="pct"/>
            <w:vMerge w:val="restart"/>
            <w:tcBorders>
              <w:left w:val="single" w:color="auto" w:sz="4" w:space="0"/>
              <w:right w:val="single" w:color="auto" w:sz="4" w:space="0"/>
              <w:tl2br w:val="nil"/>
              <w:tr2bl w:val="nil"/>
            </w:tcBorders>
            <w:vAlign w:val="center"/>
          </w:tcPr>
          <w:p w14:paraId="41AA6412">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eastAsia="宋体"/>
                <w:bCs/>
                <w:color w:val="000000"/>
                <w:szCs w:val="21"/>
                <w:lang w:eastAsia="zh-CN"/>
              </w:rPr>
            </w:pPr>
            <w:r>
              <w:rPr>
                <w:rFonts w:hint="eastAsia"/>
                <w:bCs/>
                <w:color w:val="000000"/>
                <w:szCs w:val="21"/>
              </w:rPr>
              <w:t>受委托有资质监测单</w:t>
            </w:r>
            <w:r>
              <w:rPr>
                <w:rFonts w:hint="eastAsia"/>
                <w:bCs/>
                <w:color w:val="000000"/>
                <w:szCs w:val="21"/>
                <w:lang w:eastAsia="zh-CN"/>
              </w:rPr>
              <w:t>位</w:t>
            </w:r>
          </w:p>
        </w:tc>
        <w:tc>
          <w:tcPr>
            <w:tcW w:w="365" w:type="pct"/>
            <w:vMerge w:val="restart"/>
            <w:tcBorders>
              <w:left w:val="single" w:color="auto" w:sz="4" w:space="0"/>
              <w:tl2br w:val="nil"/>
              <w:tr2bl w:val="nil"/>
            </w:tcBorders>
            <w:vAlign w:val="center"/>
          </w:tcPr>
          <w:p w14:paraId="7CA36428">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bCs/>
                <w:color w:val="000000"/>
                <w:szCs w:val="21"/>
              </w:rPr>
            </w:pPr>
            <w:r>
              <w:rPr>
                <w:rFonts w:hint="eastAsia"/>
                <w:bCs/>
                <w:color w:val="000000"/>
                <w:szCs w:val="21"/>
              </w:rPr>
              <w:t>建设单位</w:t>
            </w:r>
          </w:p>
        </w:tc>
      </w:tr>
      <w:tr w14:paraId="403423CC">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170" w:hRule="atLeast"/>
        </w:trPr>
        <w:tc>
          <w:tcPr>
            <w:tcW w:w="366" w:type="pct"/>
            <w:tcBorders>
              <w:tl2br w:val="nil"/>
              <w:tr2bl w:val="nil"/>
            </w:tcBorders>
            <w:vAlign w:val="center"/>
          </w:tcPr>
          <w:p w14:paraId="4CE3CA93">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bCs/>
                <w:color w:val="000000"/>
                <w:szCs w:val="21"/>
              </w:rPr>
            </w:pPr>
            <w:r>
              <w:rPr>
                <w:rFonts w:hint="eastAsia"/>
                <w:bCs/>
                <w:color w:val="000000"/>
                <w:szCs w:val="21"/>
              </w:rPr>
              <w:t>土壤</w:t>
            </w:r>
          </w:p>
        </w:tc>
        <w:tc>
          <w:tcPr>
            <w:tcW w:w="615" w:type="pct"/>
            <w:tcBorders>
              <w:tl2br w:val="nil"/>
              <w:tr2bl w:val="nil"/>
            </w:tcBorders>
            <w:vAlign w:val="center"/>
          </w:tcPr>
          <w:p w14:paraId="59DF390D">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eastAsia="宋体"/>
                <w:bCs/>
                <w:color w:val="000000"/>
                <w:szCs w:val="21"/>
                <w:lang w:eastAsia="zh-CN"/>
              </w:rPr>
            </w:pPr>
            <w:r>
              <w:rPr>
                <w:rFonts w:hint="eastAsia"/>
                <w:bCs/>
                <w:color w:val="000000"/>
                <w:szCs w:val="21"/>
                <w:lang w:eastAsia="zh-CN"/>
              </w:rPr>
              <w:t>厂区内</w:t>
            </w:r>
          </w:p>
        </w:tc>
        <w:tc>
          <w:tcPr>
            <w:tcW w:w="1538" w:type="pct"/>
            <w:tcBorders>
              <w:tl2br w:val="nil"/>
              <w:tr2bl w:val="nil"/>
            </w:tcBorders>
            <w:vAlign w:val="center"/>
          </w:tcPr>
          <w:p w14:paraId="639C84C8">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bCs/>
                <w:color w:val="000000"/>
                <w:szCs w:val="21"/>
              </w:rPr>
            </w:pPr>
            <w:r>
              <w:rPr>
                <w:rFonts w:hint="eastAsia"/>
                <w:bCs/>
                <w:color w:val="000000"/>
                <w:szCs w:val="21"/>
              </w:rPr>
              <w:t>pH、砷、镉、铬（六价）、铜、铅、汞、镍、四氯化碳、氯仿、氯甲烷、1,1-二氯乙烷、1,2-二氯乙烷、1,1-二氯乙烯、顺1,2-二氯乙烯、反1,2-二氯乙烯、二氯甲烷、1,2-二氯丙烷、1,1,1,2-四氯乙烷、1,1,2,2-四氯乙烷、四氯乙烯、1,1,1-三氯乙烷、1,1,2-三氯乙烷、三氯乙烯、1,2,3-三氯丙烷、氯乙烯、苯、氯苯、1,2-二氯苯、1,4-二氯苯、乙苯、苯乙烯、甲苯、间二甲苯、对二甲苯、邻二甲苯、硝基苯、苯胺、2-氯酚、苯并[a]蒽、苯并[a]芘、苯并[b]荧蒽、苯并[k]荧蒽、䓛、苯并[a，h]蒽、茚并[1,2,3-cd]芘、萘</w:t>
            </w:r>
          </w:p>
        </w:tc>
        <w:tc>
          <w:tcPr>
            <w:tcW w:w="419" w:type="pct"/>
            <w:tcBorders>
              <w:tl2br w:val="nil"/>
              <w:tr2bl w:val="nil"/>
            </w:tcBorders>
            <w:vAlign w:val="center"/>
          </w:tcPr>
          <w:p w14:paraId="069EDD6D">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bCs/>
                <w:color w:val="000000"/>
                <w:szCs w:val="21"/>
              </w:rPr>
            </w:pPr>
            <w:r>
              <w:rPr>
                <w:rFonts w:hint="eastAsia"/>
                <w:bCs/>
                <w:color w:val="000000"/>
                <w:szCs w:val="21"/>
              </w:rPr>
              <w:t>1次/5年</w:t>
            </w:r>
          </w:p>
        </w:tc>
        <w:tc>
          <w:tcPr>
            <w:tcW w:w="1227" w:type="pct"/>
            <w:tcBorders>
              <w:right w:val="single" w:color="auto" w:sz="4" w:space="0"/>
              <w:tl2br w:val="nil"/>
              <w:tr2bl w:val="nil"/>
            </w:tcBorders>
            <w:vAlign w:val="center"/>
          </w:tcPr>
          <w:p w14:paraId="17A1603D">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bCs/>
                <w:color w:val="000000"/>
                <w:szCs w:val="21"/>
              </w:rPr>
            </w:pPr>
            <w:r>
              <w:rPr>
                <w:rFonts w:hint="eastAsia"/>
                <w:bCs/>
                <w:color w:val="000000"/>
                <w:szCs w:val="21"/>
              </w:rPr>
              <w:t>《土壤环境质量  建设用地土壤污染风险管控标准（试行）》（GB36600-2018）表</w:t>
            </w:r>
            <w:r>
              <w:rPr>
                <w:rFonts w:hint="eastAsia"/>
                <w:bCs/>
                <w:color w:val="000000"/>
                <w:szCs w:val="21"/>
                <w:lang w:val="en-US" w:eastAsia="zh-CN"/>
              </w:rPr>
              <w:t>1</w:t>
            </w:r>
            <w:r>
              <w:rPr>
                <w:rFonts w:hint="eastAsia"/>
                <w:bCs/>
                <w:color w:val="000000"/>
                <w:szCs w:val="21"/>
              </w:rPr>
              <w:t>中第二类用地标准值</w:t>
            </w:r>
          </w:p>
        </w:tc>
        <w:tc>
          <w:tcPr>
            <w:tcW w:w="466" w:type="pct"/>
            <w:vMerge w:val="continue"/>
            <w:tcBorders>
              <w:left w:val="single" w:color="auto" w:sz="4" w:space="0"/>
              <w:right w:val="single" w:color="auto" w:sz="4" w:space="0"/>
              <w:tl2br w:val="nil"/>
              <w:tr2bl w:val="nil"/>
            </w:tcBorders>
            <w:vAlign w:val="center"/>
          </w:tcPr>
          <w:p w14:paraId="707FBBC4">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bCs/>
                <w:color w:val="000000"/>
                <w:szCs w:val="21"/>
              </w:rPr>
            </w:pPr>
          </w:p>
        </w:tc>
        <w:tc>
          <w:tcPr>
            <w:tcW w:w="365" w:type="pct"/>
            <w:vMerge w:val="continue"/>
            <w:tcBorders>
              <w:left w:val="single" w:color="auto" w:sz="4" w:space="0"/>
              <w:tl2br w:val="nil"/>
              <w:tr2bl w:val="nil"/>
            </w:tcBorders>
            <w:vAlign w:val="center"/>
          </w:tcPr>
          <w:p w14:paraId="08EF93F5">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bCs/>
                <w:color w:val="000000"/>
                <w:szCs w:val="21"/>
              </w:rPr>
            </w:pPr>
          </w:p>
        </w:tc>
      </w:tr>
      <w:tr w14:paraId="5AAEE7D3">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170" w:hRule="atLeast"/>
        </w:trPr>
        <w:tc>
          <w:tcPr>
            <w:tcW w:w="366" w:type="pct"/>
            <w:tcBorders>
              <w:tl2br w:val="nil"/>
              <w:tr2bl w:val="nil"/>
            </w:tcBorders>
            <w:vAlign w:val="center"/>
          </w:tcPr>
          <w:p w14:paraId="0C9AE078">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eastAsia="宋体"/>
                <w:bCs/>
                <w:color w:val="000000"/>
                <w:szCs w:val="21"/>
                <w:lang w:eastAsia="zh-CN"/>
              </w:rPr>
            </w:pPr>
            <w:bookmarkStart w:id="638" w:name="_Toc417640259"/>
            <w:bookmarkStart w:id="639" w:name="_Toc187571129"/>
            <w:bookmarkStart w:id="640" w:name="_Toc182139748"/>
            <w:bookmarkStart w:id="641" w:name="_Toc217909114"/>
            <w:bookmarkStart w:id="642" w:name="_Toc182139608"/>
            <w:bookmarkStart w:id="643" w:name="_Toc102388139"/>
            <w:bookmarkStart w:id="644" w:name="_Toc184624223"/>
            <w:bookmarkStart w:id="645" w:name="_Toc88996386"/>
            <w:bookmarkStart w:id="646" w:name="_Toc162775695"/>
            <w:bookmarkStart w:id="647" w:name="_Toc219870002"/>
            <w:bookmarkStart w:id="648" w:name="_Toc306726609"/>
            <w:bookmarkStart w:id="649" w:name="_Toc187570693"/>
            <w:bookmarkStart w:id="650" w:name="_Toc184629711"/>
            <w:bookmarkStart w:id="651" w:name="_Toc160883904"/>
            <w:bookmarkStart w:id="652" w:name="_Toc249010503"/>
            <w:bookmarkStart w:id="653" w:name="_Toc181857811"/>
            <w:bookmarkStart w:id="654" w:name="_Toc181857433"/>
            <w:bookmarkStart w:id="655" w:name="_Toc183493981"/>
            <w:bookmarkStart w:id="656" w:name="_Toc183493755"/>
            <w:bookmarkStart w:id="657" w:name="_Toc181857634"/>
            <w:bookmarkStart w:id="658" w:name="_Toc161111696"/>
            <w:bookmarkStart w:id="659" w:name="_Toc317507634"/>
            <w:bookmarkStart w:id="660" w:name="_Toc253157037"/>
            <w:bookmarkStart w:id="661" w:name="_Toc184629498"/>
            <w:bookmarkStart w:id="662" w:name="_Toc257196924"/>
            <w:bookmarkStart w:id="663" w:name="_Toc243110289"/>
            <w:r>
              <w:rPr>
                <w:rFonts w:hint="eastAsia"/>
                <w:bCs/>
                <w:color w:val="000000"/>
                <w:szCs w:val="21"/>
                <w:lang w:eastAsia="zh-CN"/>
              </w:rPr>
              <w:t>噪声</w:t>
            </w:r>
          </w:p>
        </w:tc>
        <w:tc>
          <w:tcPr>
            <w:tcW w:w="615" w:type="pct"/>
            <w:tcBorders>
              <w:tl2br w:val="nil"/>
              <w:tr2bl w:val="nil"/>
            </w:tcBorders>
            <w:vAlign w:val="center"/>
          </w:tcPr>
          <w:p w14:paraId="2FD46674">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eastAsia="宋体"/>
                <w:bCs/>
                <w:color w:val="000000"/>
                <w:szCs w:val="21"/>
                <w:lang w:eastAsia="zh-CN"/>
              </w:rPr>
            </w:pPr>
            <w:r>
              <w:rPr>
                <w:rFonts w:hint="eastAsia"/>
                <w:bCs/>
                <w:color w:val="000000"/>
                <w:szCs w:val="21"/>
                <w:lang w:eastAsia="zh-CN"/>
              </w:rPr>
              <w:t>厂界四同</w:t>
            </w:r>
          </w:p>
        </w:tc>
        <w:tc>
          <w:tcPr>
            <w:tcW w:w="1538" w:type="pct"/>
            <w:tcBorders>
              <w:tl2br w:val="nil"/>
              <w:tr2bl w:val="nil"/>
            </w:tcBorders>
            <w:vAlign w:val="center"/>
          </w:tcPr>
          <w:p w14:paraId="0013436C">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eastAsia="宋体"/>
                <w:bCs/>
                <w:color w:val="000000"/>
                <w:szCs w:val="21"/>
                <w:lang w:val="en-US" w:eastAsia="zh-CN"/>
              </w:rPr>
            </w:pPr>
            <w:r>
              <w:rPr>
                <w:rFonts w:hint="eastAsia"/>
                <w:bCs/>
                <w:color w:val="000000"/>
                <w:szCs w:val="21"/>
                <w:lang w:eastAsia="zh-CN"/>
              </w:rPr>
              <w:t>等效</w:t>
            </w:r>
            <w:r>
              <w:rPr>
                <w:rFonts w:hint="eastAsia"/>
                <w:bCs/>
                <w:color w:val="000000"/>
                <w:szCs w:val="21"/>
                <w:lang w:val="en-US" w:eastAsia="zh-CN"/>
              </w:rPr>
              <w:t>A声级</w:t>
            </w:r>
          </w:p>
        </w:tc>
        <w:tc>
          <w:tcPr>
            <w:tcW w:w="419" w:type="pct"/>
            <w:tcBorders>
              <w:tl2br w:val="nil"/>
              <w:tr2bl w:val="nil"/>
            </w:tcBorders>
            <w:vAlign w:val="center"/>
          </w:tcPr>
          <w:p w14:paraId="674E44A6">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eastAsia="宋体"/>
                <w:bCs/>
                <w:color w:val="000000"/>
                <w:szCs w:val="21"/>
                <w:lang w:eastAsia="zh-CN"/>
              </w:rPr>
            </w:pPr>
            <w:r>
              <w:rPr>
                <w:rFonts w:hint="eastAsia"/>
                <w:bCs/>
                <w:color w:val="000000"/>
                <w:szCs w:val="21"/>
              </w:rPr>
              <w:t>1次/</w:t>
            </w:r>
            <w:r>
              <w:rPr>
                <w:rFonts w:hint="eastAsia"/>
                <w:bCs/>
                <w:color w:val="000000"/>
                <w:szCs w:val="21"/>
                <w:lang w:eastAsia="zh-CN"/>
              </w:rPr>
              <w:t>季度</w:t>
            </w:r>
          </w:p>
        </w:tc>
        <w:tc>
          <w:tcPr>
            <w:tcW w:w="1227" w:type="pct"/>
            <w:tcBorders>
              <w:right w:val="single" w:color="auto" w:sz="4" w:space="0"/>
              <w:tl2br w:val="nil"/>
              <w:tr2bl w:val="nil"/>
            </w:tcBorders>
            <w:vAlign w:val="center"/>
          </w:tcPr>
          <w:p w14:paraId="669B5B4C">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bCs/>
                <w:color w:val="000000"/>
                <w:szCs w:val="21"/>
              </w:rPr>
            </w:pPr>
            <w:r>
              <w:rPr>
                <w:rFonts w:hint="eastAsia"/>
                <w:bCs/>
                <w:color w:val="000000"/>
                <w:szCs w:val="21"/>
              </w:rPr>
              <w:t>《声环境质量标准》（GB3096-2008）2类标准</w:t>
            </w:r>
          </w:p>
        </w:tc>
        <w:tc>
          <w:tcPr>
            <w:tcW w:w="466" w:type="pct"/>
            <w:vMerge w:val="continue"/>
            <w:tcBorders>
              <w:left w:val="single" w:color="auto" w:sz="4" w:space="0"/>
              <w:right w:val="single" w:color="auto" w:sz="4" w:space="0"/>
              <w:tl2br w:val="nil"/>
              <w:tr2bl w:val="nil"/>
            </w:tcBorders>
            <w:vAlign w:val="center"/>
          </w:tcPr>
          <w:p w14:paraId="776B84CB">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bCs/>
                <w:color w:val="000000"/>
                <w:szCs w:val="21"/>
              </w:rPr>
            </w:pPr>
          </w:p>
        </w:tc>
        <w:tc>
          <w:tcPr>
            <w:tcW w:w="365" w:type="pct"/>
            <w:vMerge w:val="continue"/>
            <w:tcBorders>
              <w:left w:val="single" w:color="auto" w:sz="4" w:space="0"/>
              <w:tl2br w:val="nil"/>
              <w:tr2bl w:val="nil"/>
            </w:tcBorders>
            <w:vAlign w:val="center"/>
          </w:tcPr>
          <w:p w14:paraId="0B7439FB">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bCs/>
                <w:color w:val="000000"/>
                <w:szCs w:val="21"/>
              </w:rPr>
            </w:pPr>
          </w:p>
        </w:tc>
      </w:tr>
      <w:tr w14:paraId="24D38CF4">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170" w:hRule="atLeast"/>
        </w:trPr>
        <w:tc>
          <w:tcPr>
            <w:tcW w:w="366" w:type="pct"/>
            <w:tcBorders>
              <w:tl2br w:val="nil"/>
              <w:tr2bl w:val="nil"/>
            </w:tcBorders>
            <w:vAlign w:val="center"/>
          </w:tcPr>
          <w:p w14:paraId="07CAC885">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bCs/>
                <w:color w:val="000000"/>
                <w:szCs w:val="21"/>
              </w:rPr>
            </w:pPr>
            <w:r>
              <w:rPr>
                <w:rFonts w:hint="eastAsia"/>
                <w:bCs/>
                <w:color w:val="000000"/>
                <w:szCs w:val="21"/>
                <w:lang w:eastAsia="zh-CN"/>
              </w:rPr>
              <w:t>地下水</w:t>
            </w:r>
          </w:p>
        </w:tc>
        <w:tc>
          <w:tcPr>
            <w:tcW w:w="615" w:type="pct"/>
            <w:tcBorders>
              <w:tl2br w:val="nil"/>
              <w:tr2bl w:val="nil"/>
            </w:tcBorders>
            <w:vAlign w:val="center"/>
          </w:tcPr>
          <w:p w14:paraId="6F23259D">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bCs/>
                <w:color w:val="000000"/>
                <w:szCs w:val="21"/>
              </w:rPr>
            </w:pPr>
            <w:r>
              <w:rPr>
                <w:rFonts w:hint="eastAsia" w:ascii="Times New Roman" w:hAnsi="Times New Roman" w:eastAsia="宋体" w:cs="Times New Roman"/>
                <w:b w:val="0"/>
                <w:bCs/>
                <w:color w:val="auto"/>
                <w:sz w:val="21"/>
                <w:szCs w:val="21"/>
                <w:lang w:val="en-US" w:eastAsia="zh-CN"/>
              </w:rPr>
              <w:t>场地下游监测井</w:t>
            </w:r>
          </w:p>
        </w:tc>
        <w:tc>
          <w:tcPr>
            <w:tcW w:w="1538" w:type="pct"/>
            <w:tcBorders>
              <w:tl2br w:val="nil"/>
              <w:tr2bl w:val="nil"/>
            </w:tcBorders>
            <w:vAlign w:val="center"/>
          </w:tcPr>
          <w:p w14:paraId="2893BEEA">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eastAsia="宋体"/>
                <w:bCs/>
                <w:color w:val="000000"/>
                <w:szCs w:val="21"/>
                <w:lang w:eastAsia="zh-CN"/>
              </w:rPr>
            </w:pPr>
            <w:r>
              <w:rPr>
                <w:kern w:val="0"/>
                <w:szCs w:val="21"/>
                <w:lang w:bidi="ar"/>
              </w:rPr>
              <w:t>K</w:t>
            </w:r>
            <w:r>
              <w:rPr>
                <w:kern w:val="0"/>
                <w:szCs w:val="21"/>
                <w:vertAlign w:val="superscript"/>
                <w:lang w:bidi="ar"/>
              </w:rPr>
              <w:t>+</w:t>
            </w:r>
            <w:r>
              <w:rPr>
                <w:rFonts w:hint="eastAsia" w:ascii="宋体" w:hAnsi="宋体" w:cs="宋体"/>
                <w:kern w:val="0"/>
                <w:szCs w:val="21"/>
                <w:lang w:bidi="ar"/>
              </w:rPr>
              <w:t>、</w:t>
            </w:r>
            <w:r>
              <w:rPr>
                <w:kern w:val="0"/>
                <w:szCs w:val="21"/>
                <w:lang w:bidi="ar"/>
              </w:rPr>
              <w:t>Na</w:t>
            </w:r>
            <w:r>
              <w:rPr>
                <w:kern w:val="0"/>
                <w:szCs w:val="21"/>
                <w:vertAlign w:val="superscript"/>
                <w:lang w:bidi="ar"/>
              </w:rPr>
              <w:t>+</w:t>
            </w:r>
            <w:r>
              <w:rPr>
                <w:rFonts w:hint="eastAsia" w:ascii="宋体" w:hAnsi="宋体" w:cs="宋体"/>
                <w:kern w:val="0"/>
                <w:szCs w:val="21"/>
                <w:lang w:bidi="ar"/>
              </w:rPr>
              <w:t>、</w:t>
            </w:r>
            <w:r>
              <w:rPr>
                <w:kern w:val="0"/>
                <w:szCs w:val="21"/>
                <w:lang w:bidi="ar"/>
              </w:rPr>
              <w:t>Ca</w:t>
            </w:r>
            <w:r>
              <w:rPr>
                <w:kern w:val="0"/>
                <w:szCs w:val="21"/>
                <w:vertAlign w:val="superscript"/>
                <w:lang w:bidi="ar"/>
              </w:rPr>
              <w:t>2+</w:t>
            </w:r>
            <w:r>
              <w:rPr>
                <w:rFonts w:hint="eastAsia" w:ascii="宋体" w:hAnsi="宋体" w:cs="宋体"/>
                <w:kern w:val="0"/>
                <w:szCs w:val="21"/>
                <w:lang w:bidi="ar"/>
              </w:rPr>
              <w:t>、</w:t>
            </w:r>
            <w:r>
              <w:rPr>
                <w:kern w:val="0"/>
                <w:szCs w:val="21"/>
                <w:lang w:bidi="ar"/>
              </w:rPr>
              <w:t>Mg</w:t>
            </w:r>
            <w:r>
              <w:rPr>
                <w:kern w:val="0"/>
                <w:szCs w:val="21"/>
                <w:vertAlign w:val="superscript"/>
                <w:lang w:bidi="ar"/>
              </w:rPr>
              <w:t>2+</w:t>
            </w:r>
            <w:r>
              <w:rPr>
                <w:rFonts w:hint="eastAsia" w:ascii="宋体" w:hAnsi="宋体" w:cs="宋体"/>
                <w:kern w:val="0"/>
                <w:szCs w:val="21"/>
                <w:lang w:bidi="ar"/>
              </w:rPr>
              <w:t>、</w:t>
            </w:r>
            <w:r>
              <w:rPr>
                <w:kern w:val="0"/>
                <w:szCs w:val="21"/>
                <w:lang w:bidi="ar"/>
              </w:rPr>
              <w:t>CO</w:t>
            </w:r>
            <w:r>
              <w:rPr>
                <w:kern w:val="0"/>
                <w:szCs w:val="21"/>
                <w:vertAlign w:val="subscript"/>
                <w:lang w:bidi="ar"/>
              </w:rPr>
              <w:t>3</w:t>
            </w:r>
            <w:r>
              <w:rPr>
                <w:kern w:val="0"/>
                <w:szCs w:val="21"/>
                <w:vertAlign w:val="superscript"/>
                <w:lang w:bidi="ar"/>
              </w:rPr>
              <w:t>2-</w:t>
            </w:r>
            <w:r>
              <w:rPr>
                <w:rFonts w:hint="eastAsia" w:ascii="宋体" w:hAnsi="宋体" w:cs="宋体"/>
                <w:kern w:val="0"/>
                <w:szCs w:val="21"/>
                <w:lang w:bidi="ar"/>
              </w:rPr>
              <w:t>、</w:t>
            </w:r>
            <w:r>
              <w:rPr>
                <w:kern w:val="0"/>
                <w:szCs w:val="21"/>
                <w:lang w:bidi="ar"/>
              </w:rPr>
              <w:t>HCO</w:t>
            </w:r>
            <w:r>
              <w:rPr>
                <w:kern w:val="0"/>
                <w:szCs w:val="21"/>
                <w:vertAlign w:val="superscript"/>
                <w:lang w:bidi="ar"/>
              </w:rPr>
              <w:t>3-</w:t>
            </w:r>
            <w:r>
              <w:rPr>
                <w:rFonts w:hint="eastAsia" w:ascii="宋体" w:hAnsi="宋体" w:cs="宋体"/>
                <w:kern w:val="0"/>
                <w:szCs w:val="21"/>
                <w:lang w:bidi="ar"/>
              </w:rPr>
              <w:t>；</w:t>
            </w:r>
            <w:r>
              <w:rPr>
                <w:kern w:val="0"/>
                <w:szCs w:val="21"/>
                <w:lang w:bidi="ar"/>
              </w:rPr>
              <w:t>pH</w:t>
            </w:r>
            <w:r>
              <w:rPr>
                <w:rFonts w:hint="eastAsia" w:ascii="宋体" w:hAnsi="宋体" w:cs="宋体"/>
                <w:kern w:val="0"/>
                <w:szCs w:val="21"/>
                <w:lang w:bidi="ar"/>
              </w:rPr>
              <w:t>、总硬度、溶解性总固体、硫酸盐、氯化物、铁、锰、铜、锌、挥发酚、阴离子表面活性剂、硝酸盐、亚硝酸盐、氨氮、硫化物、氟化物、氰化物、汞、砷、镉、六价铬、铅、总大肠菌群</w:t>
            </w:r>
          </w:p>
        </w:tc>
        <w:tc>
          <w:tcPr>
            <w:tcW w:w="419" w:type="pct"/>
            <w:tcBorders>
              <w:tl2br w:val="nil"/>
              <w:tr2bl w:val="nil"/>
            </w:tcBorders>
            <w:vAlign w:val="center"/>
          </w:tcPr>
          <w:p w14:paraId="7A575C38">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bCs/>
                <w:color w:val="000000"/>
                <w:szCs w:val="21"/>
              </w:rPr>
            </w:pPr>
            <w:r>
              <w:rPr>
                <w:rFonts w:hint="eastAsia"/>
                <w:bCs/>
                <w:color w:val="000000"/>
                <w:szCs w:val="21"/>
              </w:rPr>
              <w:t>1次/年</w:t>
            </w:r>
          </w:p>
        </w:tc>
        <w:tc>
          <w:tcPr>
            <w:tcW w:w="1227" w:type="pct"/>
            <w:tcBorders>
              <w:right w:val="single" w:color="auto" w:sz="4" w:space="0"/>
              <w:tl2br w:val="nil"/>
              <w:tr2bl w:val="nil"/>
            </w:tcBorders>
            <w:vAlign w:val="center"/>
          </w:tcPr>
          <w:p w14:paraId="3CE879CB">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bCs/>
                <w:color w:val="000000"/>
                <w:szCs w:val="21"/>
              </w:rPr>
            </w:pPr>
            <w:r>
              <w:rPr>
                <w:rFonts w:hint="eastAsia"/>
                <w:bCs/>
                <w:color w:val="000000"/>
                <w:szCs w:val="21"/>
              </w:rPr>
              <w:t>《地下水质量标准》（GB/T14848-2017）Ⅲ类</w:t>
            </w:r>
          </w:p>
          <w:p w14:paraId="276DBDD5">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Ansi="宋体"/>
                <w:bCs/>
                <w:color w:val="000000"/>
                <w:szCs w:val="21"/>
              </w:rPr>
            </w:pPr>
            <w:r>
              <w:rPr>
                <w:rFonts w:hint="eastAsia"/>
                <w:bCs/>
                <w:color w:val="000000"/>
                <w:szCs w:val="21"/>
              </w:rPr>
              <w:t>标准</w:t>
            </w:r>
          </w:p>
        </w:tc>
        <w:tc>
          <w:tcPr>
            <w:tcW w:w="466" w:type="pct"/>
            <w:vMerge w:val="continue"/>
            <w:tcBorders>
              <w:left w:val="single" w:color="auto" w:sz="4" w:space="0"/>
              <w:right w:val="single" w:color="auto" w:sz="4" w:space="0"/>
              <w:tl2br w:val="nil"/>
              <w:tr2bl w:val="nil"/>
            </w:tcBorders>
            <w:vAlign w:val="center"/>
          </w:tcPr>
          <w:p w14:paraId="7098BCE4">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bCs/>
                <w:color w:val="000000"/>
                <w:szCs w:val="21"/>
              </w:rPr>
            </w:pPr>
          </w:p>
        </w:tc>
        <w:tc>
          <w:tcPr>
            <w:tcW w:w="365" w:type="pct"/>
            <w:vMerge w:val="continue"/>
            <w:tcBorders>
              <w:left w:val="single" w:color="auto" w:sz="4" w:space="0"/>
              <w:tl2br w:val="nil"/>
              <w:tr2bl w:val="nil"/>
            </w:tcBorders>
            <w:vAlign w:val="center"/>
          </w:tcPr>
          <w:p w14:paraId="44D888B4">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bCs/>
                <w:color w:val="000000"/>
                <w:szCs w:val="21"/>
              </w:rPr>
            </w:pPr>
          </w:p>
        </w:tc>
      </w:tr>
    </w:tbl>
    <w:p w14:paraId="5EDCD4D8">
      <w:pPr>
        <w:pStyle w:val="4"/>
        <w:autoSpaceDE w:val="0"/>
        <w:autoSpaceDN w:val="0"/>
        <w:spacing w:before="0" w:after="0" w:line="360" w:lineRule="auto"/>
        <w:jc w:val="left"/>
        <w:rPr>
          <w:rFonts w:hint="eastAsia"/>
          <w:kern w:val="0"/>
          <w:sz w:val="24"/>
          <w:lang w:val="en-US" w:bidi="zh-CN"/>
        </w:rPr>
      </w:pPr>
      <w:r>
        <w:rPr>
          <w:rFonts w:hint="eastAsia"/>
          <w:kern w:val="0"/>
          <w:sz w:val="24"/>
          <w:lang w:val="en-US" w:bidi="zh-CN"/>
        </w:rPr>
        <w:t>9.3.34事故应急调查监测方案</w:t>
      </w:r>
    </w:p>
    <w:p w14:paraId="19D66B4B">
      <w:pPr>
        <w:widowControl/>
        <w:spacing w:line="360" w:lineRule="auto"/>
        <w:ind w:firstLine="480" w:firstLineChars="200"/>
        <w:rPr>
          <w:rFonts w:hint="eastAsia" w:ascii="Times New Roman" w:hAnsi="Times New Roman" w:eastAsia="宋体" w:cs="Times New Roman"/>
          <w:color w:val="000000"/>
          <w:kern w:val="0"/>
          <w:sz w:val="24"/>
          <w:szCs w:val="24"/>
          <w:lang w:val="en-US"/>
        </w:rPr>
      </w:pPr>
      <w:r>
        <w:rPr>
          <w:rFonts w:hint="eastAsia" w:ascii="Times New Roman" w:hAnsi="Times New Roman" w:eastAsia="宋体" w:cs="Times New Roman"/>
          <w:color w:val="000000"/>
          <w:kern w:val="0"/>
          <w:sz w:val="24"/>
          <w:szCs w:val="24"/>
          <w:lang w:val="en-US"/>
        </w:rPr>
        <w:t>对企业环保处理设施运行情况要严格监视，及时监测，当发现环保处理设施发生故障或运行不正常时，应及时向上级报告，并必须即时取样监测，分析污染物排放量，对事故发生原因、事故造成的后果和损失等进行调查统计，并建档、上报。项目事故预案中须包括应急监测程序，项目运行过程中一旦发生事故，应立即启动应急监测程序，并跟踪监测污染物的迁移情况，直到事故影响根本消除。事故应急监测方案应与当地环境监测站或监测机构共同制订和实施，环境监测人员在60min内要到达事故现场，需实验室分析测试的项目，在采样后24h内必须报出，应急监测专题报告在48h内要报出。根据事故发生源，污染物泄漏种类的分析成果，监测事故的特征因子，监测范围应对事故附近的辐射圈周界进行采样监测。</w:t>
      </w:r>
    </w:p>
    <w:p w14:paraId="023F3222">
      <w:pPr>
        <w:pStyle w:val="4"/>
        <w:autoSpaceDE w:val="0"/>
        <w:autoSpaceDN w:val="0"/>
        <w:spacing w:before="0" w:after="0" w:line="360" w:lineRule="auto"/>
        <w:jc w:val="left"/>
        <w:rPr>
          <w:rFonts w:hint="eastAsia" w:ascii="Times New Roman" w:hAnsi="Times New Roman" w:eastAsia="宋体" w:cs="Times New Roman"/>
          <w:kern w:val="0"/>
          <w:sz w:val="24"/>
          <w:lang w:val="en-US" w:bidi="zh-CN"/>
        </w:rPr>
      </w:pPr>
      <w:r>
        <w:rPr>
          <w:rFonts w:hint="eastAsia" w:ascii="Times New Roman" w:hAnsi="Times New Roman" w:eastAsia="宋体" w:cs="Times New Roman"/>
          <w:kern w:val="0"/>
          <w:sz w:val="24"/>
          <w:lang w:val="en-US" w:bidi="zh-CN"/>
        </w:rPr>
        <w:t>9.3.4信息记录和报告</w:t>
      </w:r>
    </w:p>
    <w:p w14:paraId="4D72E44B">
      <w:pPr>
        <w:widowControl/>
        <w:spacing w:line="360" w:lineRule="auto"/>
        <w:ind w:firstLine="480" w:firstLineChars="200"/>
        <w:rPr>
          <w:color w:val="000000"/>
          <w:kern w:val="0"/>
          <w:sz w:val="24"/>
          <w:szCs w:val="24"/>
        </w:rPr>
      </w:pPr>
      <w:r>
        <w:rPr>
          <w:rFonts w:hint="eastAsia"/>
          <w:color w:val="000000"/>
          <w:kern w:val="0"/>
          <w:sz w:val="24"/>
          <w:szCs w:val="24"/>
        </w:rPr>
        <w:t>（</w:t>
      </w:r>
      <w:r>
        <w:rPr>
          <w:color w:val="000000"/>
          <w:kern w:val="0"/>
          <w:sz w:val="24"/>
          <w:szCs w:val="24"/>
        </w:rPr>
        <w:t>1</w:t>
      </w:r>
      <w:r>
        <w:rPr>
          <w:rFonts w:hint="eastAsia"/>
          <w:color w:val="000000"/>
          <w:kern w:val="0"/>
          <w:sz w:val="24"/>
          <w:szCs w:val="24"/>
        </w:rPr>
        <w:t>）手工监测的记录</w:t>
      </w:r>
    </w:p>
    <w:p w14:paraId="4BACF5F4">
      <w:pPr>
        <w:widowControl/>
        <w:spacing w:line="360" w:lineRule="auto"/>
        <w:ind w:firstLine="480" w:firstLineChars="200"/>
        <w:rPr>
          <w:color w:val="000000"/>
          <w:kern w:val="0"/>
          <w:sz w:val="24"/>
          <w:szCs w:val="24"/>
        </w:rPr>
      </w:pPr>
      <w:r>
        <w:rPr>
          <w:rFonts w:hint="eastAsia"/>
          <w:color w:val="000000"/>
          <w:kern w:val="0"/>
          <w:sz w:val="24"/>
          <w:szCs w:val="24"/>
        </w:rPr>
        <w:t>采样记录：采样日期、采样时间、采样点位、混合取样的样品数量、采样器名称、采样人姓名等；样品保存和交接：样品保存方式、样品传输交接记录；样品分析记录：分析日期、样品处理方式、分析方法、质控措施、分析结果、分析人姓名等；质控记录：质控结果报告单。</w:t>
      </w:r>
    </w:p>
    <w:p w14:paraId="456460EA">
      <w:pPr>
        <w:widowControl/>
        <w:spacing w:line="360" w:lineRule="auto"/>
        <w:ind w:firstLine="480" w:firstLineChars="200"/>
        <w:rPr>
          <w:color w:val="000000"/>
          <w:kern w:val="0"/>
          <w:sz w:val="24"/>
          <w:szCs w:val="24"/>
        </w:rPr>
      </w:pPr>
      <w:r>
        <w:rPr>
          <w:rFonts w:hint="eastAsia"/>
          <w:color w:val="000000"/>
          <w:kern w:val="0"/>
          <w:sz w:val="24"/>
          <w:szCs w:val="24"/>
        </w:rPr>
        <w:t>（2）生产和污染治理设施运行状况</w:t>
      </w:r>
    </w:p>
    <w:p w14:paraId="36E6D197">
      <w:pPr>
        <w:widowControl/>
        <w:spacing w:line="360" w:lineRule="auto"/>
        <w:ind w:firstLine="480" w:firstLineChars="200"/>
        <w:rPr>
          <w:color w:val="000000"/>
          <w:kern w:val="0"/>
          <w:sz w:val="24"/>
          <w:szCs w:val="24"/>
        </w:rPr>
      </w:pPr>
      <w:r>
        <w:rPr>
          <w:rFonts w:hint="eastAsia"/>
          <w:color w:val="000000"/>
          <w:kern w:val="0"/>
          <w:sz w:val="24"/>
          <w:szCs w:val="24"/>
        </w:rPr>
        <w:t>记录监测期间企业及各主要生产设施（至少涵盖废气主要污染源相关生产设施）运行状况（包括停机、启动情况）、取水量、污染治理设施主要运行状态参数等。日常生产中上述信息也需整理成台账保存备查。</w:t>
      </w:r>
    </w:p>
    <w:p w14:paraId="50036CDD">
      <w:pPr>
        <w:widowControl/>
        <w:spacing w:line="360" w:lineRule="auto"/>
        <w:ind w:firstLine="480" w:firstLineChars="200"/>
        <w:rPr>
          <w:color w:val="000000"/>
          <w:kern w:val="0"/>
          <w:sz w:val="24"/>
          <w:szCs w:val="24"/>
        </w:rPr>
      </w:pPr>
      <w:r>
        <w:rPr>
          <w:rFonts w:hint="eastAsia"/>
          <w:color w:val="000000"/>
          <w:kern w:val="0"/>
          <w:sz w:val="24"/>
          <w:szCs w:val="24"/>
        </w:rPr>
        <w:t>（3）固体废物产生与处理状况</w:t>
      </w:r>
    </w:p>
    <w:p w14:paraId="2E74406A">
      <w:pPr>
        <w:widowControl/>
        <w:spacing w:line="360" w:lineRule="auto"/>
        <w:ind w:firstLine="480" w:firstLineChars="200"/>
        <w:rPr>
          <w:color w:val="000000"/>
          <w:kern w:val="0"/>
          <w:sz w:val="24"/>
          <w:szCs w:val="24"/>
        </w:rPr>
      </w:pPr>
      <w:r>
        <w:rPr>
          <w:rFonts w:hint="eastAsia"/>
          <w:color w:val="000000"/>
          <w:kern w:val="0"/>
          <w:sz w:val="24"/>
          <w:szCs w:val="24"/>
        </w:rPr>
        <w:t>记录监测期间各类固体废物产生量、综合利用量、处置量、贮存量、倾倒丢弃量。</w:t>
      </w:r>
    </w:p>
    <w:p w14:paraId="3CD7EC17">
      <w:pPr>
        <w:pStyle w:val="4"/>
        <w:autoSpaceDE w:val="0"/>
        <w:autoSpaceDN w:val="0"/>
        <w:spacing w:before="0" w:after="0" w:line="360" w:lineRule="auto"/>
        <w:jc w:val="left"/>
        <w:rPr>
          <w:color w:val="000000"/>
          <w:kern w:val="0"/>
          <w:sz w:val="24"/>
          <w:szCs w:val="24"/>
        </w:rPr>
      </w:pPr>
      <w:r>
        <w:rPr>
          <w:rFonts w:hint="eastAsia"/>
          <w:color w:val="000000"/>
          <w:kern w:val="0"/>
          <w:sz w:val="24"/>
          <w:szCs w:val="24"/>
          <w:lang w:val="en-US"/>
        </w:rPr>
        <w:t>9.3.</w:t>
      </w:r>
      <w:r>
        <w:rPr>
          <w:rFonts w:hint="eastAsia"/>
          <w:color w:val="000000"/>
          <w:kern w:val="0"/>
          <w:sz w:val="24"/>
          <w:szCs w:val="24"/>
          <w:lang w:val="en-US" w:eastAsia="zh-CN"/>
        </w:rPr>
        <w:t>5</w:t>
      </w:r>
      <w:r>
        <w:rPr>
          <w:rFonts w:hint="eastAsia"/>
          <w:color w:val="000000"/>
          <w:kern w:val="0"/>
          <w:sz w:val="24"/>
          <w:szCs w:val="24"/>
        </w:rPr>
        <w:t>执行报告</w:t>
      </w:r>
    </w:p>
    <w:p w14:paraId="4288F011">
      <w:pPr>
        <w:widowControl/>
        <w:spacing w:line="360" w:lineRule="auto"/>
        <w:ind w:firstLine="480" w:firstLineChars="200"/>
        <w:rPr>
          <w:color w:val="000000"/>
          <w:kern w:val="0"/>
          <w:sz w:val="24"/>
          <w:szCs w:val="24"/>
        </w:rPr>
      </w:pPr>
      <w:r>
        <w:rPr>
          <w:rFonts w:hint="eastAsia"/>
          <w:color w:val="000000"/>
          <w:kern w:val="0"/>
          <w:sz w:val="24"/>
          <w:szCs w:val="24"/>
        </w:rPr>
        <w:t>排污单位应按照排污许可证中的规定，定期提交年度执行报告，根据环境管理台账记录等归纳总结报告期内排污许可执行情况，按照执行报告提纲编写执行报告，保证执行报告的规范性和真实性，按时提交至有核发权的生态环境主管部门，台账记录留存备查。年度执行报告内容应至少包括排污单位基本情况、污染防治设施运行情况、自行监测执行情况、环境管理台账执行情况、实际排放情况及合规判定分析、结论、附图附件等。</w:t>
      </w:r>
    </w:p>
    <w:p w14:paraId="1A6EA17B">
      <w:pPr>
        <w:pStyle w:val="3"/>
        <w:keepNext w:val="0"/>
        <w:keepLines w:val="0"/>
        <w:autoSpaceDE w:val="0"/>
        <w:autoSpaceDN w:val="0"/>
        <w:spacing w:before="0" w:after="0" w:line="360" w:lineRule="auto"/>
        <w:jc w:val="left"/>
        <w:rPr>
          <w:rFonts w:ascii="Times New Roman" w:hAnsi="Times New Roman" w:eastAsia="宋体"/>
          <w:kern w:val="0"/>
          <w:sz w:val="24"/>
          <w:szCs w:val="30"/>
          <w:lang w:val="en-US" w:bidi="zh-CN"/>
        </w:rPr>
      </w:pPr>
      <w:bookmarkStart w:id="664" w:name="_Toc15215"/>
      <w:bookmarkStart w:id="665" w:name="_Toc30391"/>
      <w:bookmarkStart w:id="666" w:name="_Toc24574"/>
      <w:bookmarkStart w:id="667" w:name="_Toc27023"/>
      <w:bookmarkStart w:id="668" w:name="_Toc884"/>
      <w:bookmarkStart w:id="669" w:name="_Toc25886"/>
      <w:bookmarkStart w:id="670" w:name="_Toc6584"/>
      <w:r>
        <w:rPr>
          <w:rFonts w:hint="eastAsia" w:ascii="Times New Roman" w:hAnsi="Times New Roman" w:eastAsia="宋体"/>
          <w:kern w:val="0"/>
          <w:sz w:val="24"/>
          <w:szCs w:val="30"/>
          <w:lang w:val="en-US" w:bidi="zh-CN"/>
        </w:rPr>
        <w:t>9.4环境保护培训计划</w:t>
      </w:r>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4"/>
      <w:bookmarkEnd w:id="665"/>
      <w:bookmarkEnd w:id="666"/>
      <w:bookmarkEnd w:id="667"/>
      <w:bookmarkEnd w:id="668"/>
      <w:bookmarkEnd w:id="669"/>
      <w:bookmarkEnd w:id="670"/>
    </w:p>
    <w:p w14:paraId="2135B557">
      <w:pPr>
        <w:widowControl/>
        <w:autoSpaceDE w:val="0"/>
        <w:autoSpaceDN w:val="0"/>
        <w:adjustRightInd w:val="0"/>
        <w:spacing w:line="360" w:lineRule="auto"/>
        <w:ind w:firstLine="480" w:firstLineChars="200"/>
        <w:rPr>
          <w:color w:val="000000"/>
          <w:kern w:val="0"/>
          <w:sz w:val="24"/>
          <w:szCs w:val="24"/>
          <w:lang w:val="zh-CN"/>
        </w:rPr>
      </w:pPr>
      <w:r>
        <w:rPr>
          <w:color w:val="000000"/>
          <w:kern w:val="0"/>
          <w:sz w:val="24"/>
          <w:szCs w:val="24"/>
        </w:rPr>
        <w:t>公司</w:t>
      </w:r>
      <w:r>
        <w:rPr>
          <w:color w:val="000000"/>
          <w:kern w:val="0"/>
          <w:sz w:val="24"/>
          <w:szCs w:val="24"/>
          <w:lang w:val="zh-CN"/>
        </w:rPr>
        <w:t>应对有关从事环境保护的人员进行如下培训：</w:t>
      </w:r>
    </w:p>
    <w:p w14:paraId="247A934A">
      <w:pPr>
        <w:widowControl/>
        <w:autoSpaceDE w:val="0"/>
        <w:autoSpaceDN w:val="0"/>
        <w:adjustRightInd w:val="0"/>
        <w:spacing w:line="360" w:lineRule="auto"/>
        <w:ind w:firstLine="480" w:firstLineChars="200"/>
        <w:rPr>
          <w:color w:val="000000"/>
          <w:kern w:val="0"/>
          <w:sz w:val="24"/>
          <w:szCs w:val="24"/>
          <w:lang w:val="zh-CN"/>
        </w:rPr>
      </w:pPr>
      <w:bookmarkStart w:id="671" w:name="_Toc20415"/>
      <w:bookmarkStart w:id="672" w:name="_Toc89344433"/>
      <w:bookmarkStart w:id="673" w:name="_Toc95191808"/>
      <w:bookmarkStart w:id="674" w:name="_Toc102362015"/>
      <w:bookmarkStart w:id="675" w:name="_Toc5208"/>
      <w:bookmarkStart w:id="676" w:name="_Toc89232873"/>
      <w:bookmarkStart w:id="677" w:name="_Toc95132579"/>
      <w:bookmarkStart w:id="678" w:name="_Toc89170067"/>
      <w:bookmarkStart w:id="679" w:name="_Toc88996387"/>
      <w:bookmarkStart w:id="680" w:name="_Toc102388140"/>
      <w:r>
        <w:rPr>
          <w:color w:val="000000"/>
          <w:kern w:val="0"/>
          <w:sz w:val="24"/>
          <w:szCs w:val="24"/>
          <w:lang w:val="zh-CN"/>
        </w:rPr>
        <w:t>（1）公司领导</w:t>
      </w:r>
      <w:bookmarkEnd w:id="671"/>
      <w:bookmarkEnd w:id="672"/>
      <w:bookmarkEnd w:id="673"/>
      <w:bookmarkEnd w:id="674"/>
      <w:bookmarkEnd w:id="675"/>
      <w:bookmarkEnd w:id="676"/>
      <w:bookmarkEnd w:id="677"/>
      <w:bookmarkEnd w:id="678"/>
      <w:bookmarkEnd w:id="679"/>
      <w:bookmarkEnd w:id="680"/>
    </w:p>
    <w:p w14:paraId="0D7138B4">
      <w:pPr>
        <w:widowControl/>
        <w:autoSpaceDE w:val="0"/>
        <w:autoSpaceDN w:val="0"/>
        <w:adjustRightInd w:val="0"/>
        <w:spacing w:line="360" w:lineRule="auto"/>
        <w:ind w:firstLine="480" w:firstLineChars="200"/>
        <w:rPr>
          <w:color w:val="000000"/>
          <w:kern w:val="0"/>
          <w:sz w:val="24"/>
          <w:szCs w:val="24"/>
          <w:lang w:val="zh-CN"/>
        </w:rPr>
      </w:pPr>
      <w:r>
        <w:rPr>
          <w:color w:val="000000"/>
          <w:kern w:val="0"/>
          <w:sz w:val="24"/>
          <w:szCs w:val="24"/>
          <w:lang w:val="zh-CN"/>
        </w:rPr>
        <w:t>培训内容包括环境保护法律、法规；环境保护与经济可持续发展战略的意义及内容；清洁生产的意义和作用等。</w:t>
      </w:r>
    </w:p>
    <w:p w14:paraId="4B991B6B">
      <w:pPr>
        <w:widowControl/>
        <w:autoSpaceDE w:val="0"/>
        <w:autoSpaceDN w:val="0"/>
        <w:adjustRightInd w:val="0"/>
        <w:spacing w:line="360" w:lineRule="auto"/>
        <w:ind w:firstLine="480" w:firstLineChars="200"/>
        <w:rPr>
          <w:color w:val="000000"/>
          <w:kern w:val="0"/>
          <w:sz w:val="24"/>
          <w:szCs w:val="24"/>
          <w:lang w:val="zh-CN"/>
        </w:rPr>
      </w:pPr>
      <w:bookmarkStart w:id="681" w:name="_Toc102388141"/>
      <w:bookmarkStart w:id="682" w:name="_Toc95191809"/>
      <w:bookmarkStart w:id="683" w:name="_Toc28960"/>
      <w:bookmarkStart w:id="684" w:name="_Toc88996388"/>
      <w:bookmarkStart w:id="685" w:name="_Toc89232874"/>
      <w:bookmarkStart w:id="686" w:name="_Toc19934"/>
      <w:bookmarkStart w:id="687" w:name="_Toc89344434"/>
      <w:bookmarkStart w:id="688" w:name="_Toc89170068"/>
      <w:bookmarkStart w:id="689" w:name="_Toc102362016"/>
      <w:bookmarkStart w:id="690" w:name="_Toc95132580"/>
      <w:r>
        <w:rPr>
          <w:color w:val="000000"/>
          <w:kern w:val="0"/>
          <w:sz w:val="24"/>
          <w:szCs w:val="24"/>
          <w:lang w:val="zh-CN"/>
        </w:rPr>
        <w:t>（2）环保管理人员</w:t>
      </w:r>
      <w:bookmarkEnd w:id="681"/>
      <w:bookmarkEnd w:id="682"/>
      <w:bookmarkEnd w:id="683"/>
      <w:bookmarkEnd w:id="684"/>
      <w:bookmarkEnd w:id="685"/>
      <w:bookmarkEnd w:id="686"/>
      <w:bookmarkEnd w:id="687"/>
      <w:bookmarkEnd w:id="688"/>
      <w:bookmarkEnd w:id="689"/>
      <w:bookmarkEnd w:id="690"/>
    </w:p>
    <w:p w14:paraId="4BBDC365">
      <w:pPr>
        <w:widowControl/>
        <w:tabs>
          <w:tab w:val="left" w:pos="4140"/>
        </w:tabs>
        <w:autoSpaceDE w:val="0"/>
        <w:autoSpaceDN w:val="0"/>
        <w:adjustRightInd w:val="0"/>
        <w:spacing w:line="360" w:lineRule="auto"/>
        <w:ind w:firstLine="480" w:firstLineChars="200"/>
        <w:rPr>
          <w:color w:val="000000"/>
          <w:kern w:val="0"/>
          <w:sz w:val="24"/>
          <w:szCs w:val="24"/>
          <w:lang w:val="zh-CN"/>
        </w:rPr>
      </w:pPr>
      <w:r>
        <w:rPr>
          <w:color w:val="000000"/>
          <w:kern w:val="0"/>
          <w:sz w:val="24"/>
          <w:szCs w:val="24"/>
          <w:lang w:val="zh-CN"/>
        </w:rPr>
        <w:t>培训内容包括环境保护法律法规；清洁生产审计的方法；环境监测方法；数据整理、汇集、编报。</w:t>
      </w:r>
    </w:p>
    <w:p w14:paraId="49FDC645">
      <w:pPr>
        <w:widowControl/>
        <w:autoSpaceDE w:val="0"/>
        <w:autoSpaceDN w:val="0"/>
        <w:adjustRightInd w:val="0"/>
        <w:spacing w:line="360" w:lineRule="auto"/>
        <w:ind w:firstLine="480" w:firstLineChars="200"/>
        <w:rPr>
          <w:color w:val="000000"/>
          <w:kern w:val="0"/>
          <w:sz w:val="24"/>
          <w:szCs w:val="24"/>
          <w:lang w:val="zh-CN"/>
        </w:rPr>
      </w:pPr>
      <w:bookmarkStart w:id="691" w:name="_Toc89170069"/>
      <w:bookmarkStart w:id="692" w:name="_Toc89232875"/>
      <w:bookmarkStart w:id="693" w:name="_Toc102362017"/>
      <w:bookmarkStart w:id="694" w:name="_Toc102388142"/>
      <w:bookmarkStart w:id="695" w:name="_Toc88996389"/>
      <w:bookmarkStart w:id="696" w:name="_Toc95132581"/>
      <w:bookmarkStart w:id="697" w:name="_Toc89344435"/>
      <w:bookmarkStart w:id="698" w:name="_Toc95191810"/>
      <w:bookmarkStart w:id="699" w:name="_Toc24799"/>
      <w:bookmarkStart w:id="700" w:name="_Toc9341"/>
      <w:r>
        <w:rPr>
          <w:color w:val="000000"/>
          <w:kern w:val="0"/>
          <w:sz w:val="24"/>
          <w:szCs w:val="24"/>
          <w:lang w:val="zh-CN"/>
        </w:rPr>
        <w:t>（3）</w:t>
      </w:r>
      <w:bookmarkEnd w:id="691"/>
      <w:bookmarkEnd w:id="692"/>
      <w:bookmarkEnd w:id="693"/>
      <w:bookmarkEnd w:id="694"/>
      <w:bookmarkEnd w:id="695"/>
      <w:bookmarkEnd w:id="696"/>
      <w:bookmarkEnd w:id="697"/>
      <w:bookmarkEnd w:id="698"/>
      <w:bookmarkStart w:id="701" w:name="_Toc95191811"/>
      <w:bookmarkStart w:id="702" w:name="_Toc95132582"/>
      <w:bookmarkStart w:id="703" w:name="_Toc102362018"/>
      <w:bookmarkStart w:id="704" w:name="_Toc89232876"/>
      <w:bookmarkStart w:id="705" w:name="_Toc89170070"/>
      <w:bookmarkStart w:id="706" w:name="_Toc102388143"/>
      <w:bookmarkStart w:id="707" w:name="_Toc88996390"/>
      <w:bookmarkStart w:id="708" w:name="_Toc89344436"/>
      <w:r>
        <w:rPr>
          <w:color w:val="000000"/>
          <w:kern w:val="0"/>
          <w:sz w:val="24"/>
          <w:szCs w:val="24"/>
          <w:lang w:val="zh-CN"/>
        </w:rPr>
        <w:t>环保设施运行及维护人员</w:t>
      </w:r>
      <w:bookmarkEnd w:id="699"/>
      <w:bookmarkEnd w:id="700"/>
      <w:bookmarkEnd w:id="701"/>
      <w:bookmarkEnd w:id="702"/>
      <w:bookmarkEnd w:id="703"/>
      <w:bookmarkEnd w:id="704"/>
      <w:bookmarkEnd w:id="705"/>
      <w:bookmarkEnd w:id="706"/>
      <w:bookmarkEnd w:id="707"/>
      <w:bookmarkEnd w:id="708"/>
    </w:p>
    <w:p w14:paraId="27AC10F8">
      <w:pPr>
        <w:widowControl/>
        <w:autoSpaceDE w:val="0"/>
        <w:autoSpaceDN w:val="0"/>
        <w:adjustRightInd w:val="0"/>
        <w:spacing w:line="360" w:lineRule="auto"/>
        <w:ind w:firstLine="480" w:firstLineChars="200"/>
        <w:rPr>
          <w:color w:val="000000"/>
          <w:kern w:val="0"/>
          <w:sz w:val="24"/>
          <w:szCs w:val="24"/>
          <w:lang w:val="zh-CN"/>
        </w:rPr>
      </w:pPr>
      <w:r>
        <w:rPr>
          <w:color w:val="000000"/>
          <w:kern w:val="0"/>
          <w:sz w:val="24"/>
          <w:szCs w:val="24"/>
          <w:lang w:val="zh-CN"/>
        </w:rPr>
        <w:t>培训内容包括环保设施性能、作用，运行的标准化作业程序、维修方法，设备安全、作业人员健康保护，环境保护一般常识。</w:t>
      </w:r>
    </w:p>
    <w:bookmarkEnd w:id="662"/>
    <w:bookmarkEnd w:id="663"/>
    <w:p w14:paraId="0F13D403">
      <w:pPr>
        <w:pStyle w:val="3"/>
        <w:keepNext w:val="0"/>
        <w:keepLines w:val="0"/>
        <w:autoSpaceDE w:val="0"/>
        <w:autoSpaceDN w:val="0"/>
        <w:spacing w:before="0" w:after="0" w:line="360" w:lineRule="auto"/>
        <w:jc w:val="left"/>
        <w:rPr>
          <w:rFonts w:ascii="Times New Roman" w:hAnsi="Times New Roman" w:eastAsia="宋体"/>
          <w:kern w:val="0"/>
          <w:sz w:val="24"/>
          <w:szCs w:val="30"/>
          <w:lang w:val="en-US" w:bidi="zh-CN"/>
        </w:rPr>
      </w:pPr>
      <w:bookmarkStart w:id="709" w:name="_Toc417640261"/>
      <w:bookmarkStart w:id="710" w:name="_Toc317507636"/>
      <w:bookmarkStart w:id="711" w:name="_Toc10655"/>
      <w:bookmarkStart w:id="712" w:name="_Toc5025"/>
      <w:bookmarkStart w:id="713" w:name="_Toc16958"/>
      <w:bookmarkStart w:id="714" w:name="_Toc23401"/>
      <w:bookmarkStart w:id="715" w:name="_Toc15813"/>
      <w:bookmarkStart w:id="716" w:name="_Toc3534"/>
      <w:bookmarkStart w:id="717" w:name="_Toc8690"/>
      <w:r>
        <w:rPr>
          <w:rFonts w:hint="eastAsia" w:ascii="Times New Roman" w:hAnsi="Times New Roman" w:eastAsia="宋体"/>
          <w:kern w:val="0"/>
          <w:sz w:val="24"/>
          <w:szCs w:val="30"/>
          <w:lang w:val="en-US" w:bidi="zh-CN"/>
        </w:rPr>
        <w:t>9.5</w:t>
      </w:r>
      <w:bookmarkEnd w:id="709"/>
      <w:bookmarkEnd w:id="710"/>
      <w:r>
        <w:rPr>
          <w:rFonts w:hint="eastAsia" w:ascii="Times New Roman" w:hAnsi="Times New Roman" w:eastAsia="宋体"/>
          <w:kern w:val="0"/>
          <w:sz w:val="24"/>
          <w:szCs w:val="30"/>
          <w:lang w:val="en-US" w:bidi="zh-CN"/>
        </w:rPr>
        <w:t>竣工验收管理</w:t>
      </w:r>
      <w:bookmarkEnd w:id="711"/>
      <w:bookmarkEnd w:id="712"/>
      <w:bookmarkEnd w:id="713"/>
      <w:bookmarkEnd w:id="714"/>
      <w:bookmarkEnd w:id="715"/>
      <w:bookmarkEnd w:id="716"/>
      <w:bookmarkEnd w:id="717"/>
    </w:p>
    <w:p w14:paraId="06B9295F">
      <w:pPr>
        <w:pStyle w:val="4"/>
        <w:autoSpaceDE w:val="0"/>
        <w:autoSpaceDN w:val="0"/>
        <w:spacing w:before="0" w:after="0" w:line="360" w:lineRule="auto"/>
        <w:jc w:val="left"/>
        <w:rPr>
          <w:kern w:val="0"/>
          <w:sz w:val="24"/>
          <w:lang w:val="en-US" w:bidi="zh-CN"/>
        </w:rPr>
      </w:pPr>
      <w:bookmarkStart w:id="718" w:name="_Toc7435"/>
      <w:bookmarkStart w:id="719" w:name="_Toc11177"/>
      <w:bookmarkStart w:id="720" w:name="_Toc17044"/>
      <w:bookmarkStart w:id="721" w:name="_Toc25010"/>
      <w:bookmarkStart w:id="722" w:name="_Toc15727"/>
      <w:bookmarkStart w:id="723" w:name="_Toc9107"/>
      <w:r>
        <w:rPr>
          <w:rFonts w:hint="eastAsia"/>
          <w:kern w:val="0"/>
          <w:sz w:val="24"/>
          <w:lang w:val="en-US" w:bidi="zh-CN"/>
        </w:rPr>
        <w:t>9.5.1竣工验收管理及要求</w:t>
      </w:r>
      <w:bookmarkEnd w:id="718"/>
      <w:bookmarkEnd w:id="719"/>
      <w:bookmarkEnd w:id="720"/>
      <w:bookmarkEnd w:id="721"/>
      <w:bookmarkEnd w:id="722"/>
      <w:bookmarkEnd w:id="723"/>
    </w:p>
    <w:p w14:paraId="0874D06C">
      <w:pPr>
        <w:widowControl/>
        <w:spacing w:line="360" w:lineRule="auto"/>
        <w:ind w:firstLine="480" w:firstLineChars="200"/>
        <w:jc w:val="left"/>
        <w:rPr>
          <w:color w:val="000000"/>
          <w:kern w:val="0"/>
          <w:sz w:val="24"/>
          <w:szCs w:val="24"/>
        </w:rPr>
      </w:pPr>
      <w:r>
        <w:rPr>
          <w:rFonts w:hint="eastAsia"/>
          <w:color w:val="000000"/>
          <w:kern w:val="0"/>
          <w:sz w:val="24"/>
          <w:szCs w:val="24"/>
        </w:rPr>
        <w:t>根据《建设项目环境保护管理条例</w:t>
      </w:r>
      <w:r>
        <w:rPr>
          <w:rFonts w:hint="eastAsia"/>
          <w:color w:val="000000"/>
          <w:kern w:val="0"/>
          <w:sz w:val="24"/>
          <w:szCs w:val="24"/>
          <w:lang w:eastAsia="zh-CN"/>
        </w:rPr>
        <w:t>》《</w:t>
      </w:r>
      <w:r>
        <w:rPr>
          <w:rFonts w:hint="eastAsia"/>
          <w:color w:val="000000"/>
          <w:kern w:val="0"/>
          <w:sz w:val="24"/>
          <w:szCs w:val="24"/>
        </w:rPr>
        <w:t>建设项目竣工环境保护验收暂行办法》及《建设项目竣工环境保护验收技术规范》的规定，在建设项目正式投入生产或使用之前，建设单位必须组织环境保护竣工验收，</w:t>
      </w:r>
      <w:r>
        <w:rPr>
          <w:color w:val="000000"/>
          <w:kern w:val="0"/>
          <w:sz w:val="24"/>
          <w:szCs w:val="24"/>
        </w:rPr>
        <w:t>及时向项目所在地环保行政主管部门</w:t>
      </w:r>
      <w:r>
        <w:rPr>
          <w:rFonts w:hint="eastAsia"/>
          <w:color w:val="000000"/>
          <w:kern w:val="0"/>
          <w:sz w:val="24"/>
          <w:szCs w:val="24"/>
        </w:rPr>
        <w:t>提交环境保护验收监测报告进行备案。</w:t>
      </w:r>
    </w:p>
    <w:p w14:paraId="046C677A">
      <w:pPr>
        <w:pStyle w:val="4"/>
        <w:autoSpaceDE w:val="0"/>
        <w:autoSpaceDN w:val="0"/>
        <w:spacing w:before="0" w:after="0" w:line="360" w:lineRule="auto"/>
        <w:jc w:val="left"/>
        <w:rPr>
          <w:kern w:val="0"/>
          <w:sz w:val="24"/>
          <w:lang w:val="en-US" w:bidi="zh-CN"/>
        </w:rPr>
      </w:pPr>
      <w:bookmarkStart w:id="724" w:name="_Toc13544"/>
      <w:bookmarkStart w:id="725" w:name="_Toc7962"/>
      <w:bookmarkStart w:id="726" w:name="_Toc12057"/>
      <w:bookmarkStart w:id="727" w:name="_Toc1769"/>
      <w:bookmarkStart w:id="728" w:name="_Toc30155"/>
      <w:bookmarkStart w:id="729" w:name="_Toc14080"/>
      <w:r>
        <w:rPr>
          <w:rFonts w:hint="eastAsia"/>
          <w:kern w:val="0"/>
          <w:sz w:val="24"/>
          <w:lang w:val="en-US" w:bidi="zh-CN"/>
        </w:rPr>
        <w:t>9.5.2环境保护“三同时”验收</w:t>
      </w:r>
      <w:bookmarkEnd w:id="724"/>
      <w:bookmarkEnd w:id="725"/>
      <w:bookmarkEnd w:id="726"/>
      <w:bookmarkEnd w:id="727"/>
      <w:bookmarkEnd w:id="728"/>
      <w:bookmarkEnd w:id="729"/>
    </w:p>
    <w:p w14:paraId="4DCA5530">
      <w:pPr>
        <w:widowControl/>
        <w:spacing w:line="360" w:lineRule="auto"/>
        <w:ind w:firstLine="480" w:firstLineChars="200"/>
        <w:jc w:val="left"/>
        <w:rPr>
          <w:rFonts w:hint="eastAsia"/>
          <w:color w:val="000000"/>
          <w:kern w:val="0"/>
          <w:sz w:val="24"/>
          <w:szCs w:val="24"/>
        </w:rPr>
      </w:pPr>
      <w:r>
        <w:rPr>
          <w:rFonts w:hint="eastAsia"/>
          <w:color w:val="000000"/>
          <w:kern w:val="0"/>
          <w:sz w:val="24"/>
          <w:szCs w:val="24"/>
        </w:rPr>
        <w:t>根据建设项目环境管理办法，</w:t>
      </w:r>
      <w:r>
        <w:rPr>
          <w:rFonts w:hint="eastAsia"/>
          <w:color w:val="000000"/>
          <w:kern w:val="0"/>
          <w:sz w:val="24"/>
          <w:szCs w:val="24"/>
          <w:lang w:eastAsia="zh-CN"/>
        </w:rPr>
        <w:t>环境污染防治</w:t>
      </w:r>
      <w:r>
        <w:rPr>
          <w:rFonts w:hint="eastAsia"/>
          <w:color w:val="000000"/>
          <w:kern w:val="0"/>
          <w:sz w:val="24"/>
          <w:szCs w:val="24"/>
        </w:rPr>
        <w:t>设施必须与主体工程同时设计、同时施工、同时投入使用。项目完成后，应对环境保护设施进行验收。项目</w:t>
      </w:r>
      <w:r>
        <w:rPr>
          <w:rFonts w:hint="eastAsia" w:ascii="宋体" w:hAnsi="宋体" w:cs="宋体"/>
          <w:color w:val="000000"/>
          <w:kern w:val="0"/>
          <w:sz w:val="24"/>
          <w:szCs w:val="24"/>
        </w:rPr>
        <w:t>“三同时”环</w:t>
      </w:r>
      <w:r>
        <w:rPr>
          <w:rFonts w:hint="eastAsia"/>
          <w:color w:val="000000"/>
          <w:kern w:val="0"/>
          <w:sz w:val="24"/>
          <w:szCs w:val="24"/>
        </w:rPr>
        <w:t>保设施验收一览表见表9</w:t>
      </w:r>
      <w:r>
        <w:rPr>
          <w:color w:val="000000"/>
          <w:kern w:val="0"/>
          <w:sz w:val="24"/>
          <w:szCs w:val="24"/>
        </w:rPr>
        <w:t>.</w:t>
      </w:r>
      <w:r>
        <w:rPr>
          <w:rFonts w:hint="eastAsia"/>
          <w:color w:val="000000"/>
          <w:kern w:val="0"/>
          <w:sz w:val="24"/>
          <w:szCs w:val="24"/>
        </w:rPr>
        <w:t>5</w:t>
      </w:r>
      <w:r>
        <w:rPr>
          <w:color w:val="000000"/>
          <w:kern w:val="0"/>
          <w:sz w:val="24"/>
          <w:szCs w:val="24"/>
        </w:rPr>
        <w:t>-1</w:t>
      </w:r>
      <w:r>
        <w:rPr>
          <w:rFonts w:hint="eastAsia"/>
          <w:color w:val="000000"/>
          <w:kern w:val="0"/>
          <w:sz w:val="24"/>
          <w:szCs w:val="24"/>
        </w:rPr>
        <w:t>。</w:t>
      </w:r>
    </w:p>
    <w:p w14:paraId="78EC6A9B">
      <w:pPr>
        <w:pStyle w:val="3"/>
        <w:keepNext w:val="0"/>
        <w:keepLines w:val="0"/>
        <w:autoSpaceDE w:val="0"/>
        <w:autoSpaceDN w:val="0"/>
        <w:spacing w:before="0" w:after="0" w:line="360" w:lineRule="auto"/>
        <w:ind w:left="0" w:firstLine="0" w:firstLineChars="0"/>
        <w:jc w:val="left"/>
        <w:rPr>
          <w:rFonts w:ascii="Times New Roman" w:hAnsi="Times New Roman" w:eastAsia="宋体" w:cs="Times New Roman"/>
          <w:color w:val="auto"/>
          <w:kern w:val="0"/>
          <w:sz w:val="24"/>
          <w:szCs w:val="30"/>
          <w:lang w:val="en-US" w:bidi="zh-CN"/>
        </w:rPr>
      </w:pPr>
      <w:r>
        <w:rPr>
          <w:rFonts w:hint="eastAsia"/>
          <w:color w:val="000000"/>
          <w:kern w:val="0"/>
          <w:sz w:val="24"/>
          <w:szCs w:val="24"/>
          <w:lang w:val="en-US" w:eastAsia="zh-CN"/>
        </w:rPr>
        <w:t>9.6</w:t>
      </w:r>
      <w:r>
        <w:rPr>
          <w:rFonts w:hint="eastAsia" w:ascii="Times New Roman" w:hAnsi="Times New Roman" w:eastAsia="宋体" w:cs="Times New Roman"/>
          <w:color w:val="auto"/>
          <w:kern w:val="0"/>
          <w:sz w:val="24"/>
          <w:szCs w:val="30"/>
          <w:lang w:val="en-US" w:bidi="zh-CN"/>
        </w:rPr>
        <w:t>总量控制指标</w:t>
      </w:r>
    </w:p>
    <w:p w14:paraId="664F7B24">
      <w:pPr>
        <w:widowControl/>
        <w:spacing w:line="360" w:lineRule="auto"/>
        <w:ind w:firstLine="480" w:firstLineChars="200"/>
        <w:jc w:val="left"/>
        <w:rPr>
          <w:rFonts w:hint="eastAsia"/>
          <w:color w:val="000000"/>
          <w:kern w:val="0"/>
          <w:sz w:val="24"/>
          <w:szCs w:val="24"/>
        </w:rPr>
      </w:pPr>
      <w:r>
        <w:rPr>
          <w:rFonts w:hint="eastAsia"/>
          <w:color w:val="000000"/>
          <w:kern w:val="0"/>
          <w:sz w:val="24"/>
          <w:szCs w:val="24"/>
        </w:rPr>
        <w:t>根据生态环境部发布的《关于印发&lt;建设项目主要污染物排放总量指标审核及管理暂行办法〉的通知》（环发〔2014〕197号），结合《“十四五”污染减排综合工作方案编制技术指南》：“十四五”期间国家实施减排的主要污染物为化学需氧量、氨氮、氮氧化物、挥发性有机物（VOCs）。</w:t>
      </w:r>
    </w:p>
    <w:p w14:paraId="5BE6F626">
      <w:pPr>
        <w:widowControl/>
        <w:spacing w:line="360" w:lineRule="auto"/>
        <w:ind w:firstLine="480" w:firstLineChars="200"/>
        <w:jc w:val="left"/>
        <w:rPr>
          <w:rFonts w:hint="eastAsia"/>
          <w:color w:val="000000"/>
          <w:kern w:val="0"/>
          <w:sz w:val="24"/>
          <w:szCs w:val="24"/>
        </w:rPr>
      </w:pPr>
      <w:r>
        <w:rPr>
          <w:rFonts w:hint="eastAsia"/>
          <w:color w:val="000000"/>
          <w:kern w:val="0"/>
          <w:sz w:val="24"/>
          <w:szCs w:val="24"/>
        </w:rPr>
        <w:t>经预测和分析，本项目污染物总量控制指标为：</w:t>
      </w:r>
    </w:p>
    <w:p w14:paraId="40A0BA59">
      <w:pPr>
        <w:widowControl/>
        <w:spacing w:line="360" w:lineRule="auto"/>
        <w:ind w:firstLine="480" w:firstLineChars="200"/>
        <w:jc w:val="left"/>
        <w:rPr>
          <w:rFonts w:hint="eastAsia"/>
          <w:color w:val="000000"/>
          <w:kern w:val="0"/>
          <w:sz w:val="24"/>
          <w:szCs w:val="24"/>
        </w:rPr>
      </w:pPr>
      <w:r>
        <w:rPr>
          <w:rFonts w:hint="eastAsia"/>
          <w:color w:val="000000"/>
          <w:kern w:val="0"/>
          <w:sz w:val="24"/>
          <w:szCs w:val="24"/>
        </w:rPr>
        <w:t>有组织：非甲烷总烃</w:t>
      </w:r>
      <w:r>
        <w:rPr>
          <w:rFonts w:hint="eastAsia"/>
          <w:color w:val="000000"/>
          <w:kern w:val="0"/>
          <w:sz w:val="24"/>
          <w:szCs w:val="24"/>
          <w:lang w:val="en-US" w:eastAsia="zh-CN"/>
        </w:rPr>
        <w:t>2.284</w:t>
      </w:r>
      <w:r>
        <w:rPr>
          <w:rFonts w:hint="eastAsia"/>
          <w:color w:val="000000"/>
          <w:kern w:val="0"/>
          <w:sz w:val="24"/>
          <w:szCs w:val="24"/>
        </w:rPr>
        <w:t>t/a；</w:t>
      </w:r>
    </w:p>
    <w:p w14:paraId="30FC4F13">
      <w:pPr>
        <w:widowControl/>
        <w:spacing w:line="360" w:lineRule="auto"/>
        <w:ind w:firstLine="480" w:firstLineChars="200"/>
        <w:jc w:val="left"/>
        <w:rPr>
          <w:color w:val="000000"/>
          <w:kern w:val="0"/>
          <w:sz w:val="24"/>
          <w:szCs w:val="24"/>
        </w:rPr>
      </w:pPr>
      <w:r>
        <w:rPr>
          <w:rFonts w:hint="eastAsia"/>
          <w:color w:val="000000"/>
          <w:kern w:val="0"/>
          <w:sz w:val="24"/>
          <w:szCs w:val="24"/>
        </w:rPr>
        <w:t>无组织：非甲烷总烃</w:t>
      </w:r>
      <w:r>
        <w:rPr>
          <w:rFonts w:hint="eastAsia"/>
          <w:color w:val="000000"/>
          <w:kern w:val="0"/>
          <w:sz w:val="24"/>
          <w:szCs w:val="24"/>
          <w:lang w:val="en-US" w:eastAsia="zh-CN"/>
        </w:rPr>
        <w:t>1.6915</w:t>
      </w:r>
      <w:r>
        <w:rPr>
          <w:rFonts w:hint="eastAsia"/>
          <w:color w:val="000000"/>
          <w:kern w:val="0"/>
          <w:sz w:val="24"/>
          <w:szCs w:val="24"/>
        </w:rPr>
        <w:t>t/a。</w:t>
      </w:r>
    </w:p>
    <w:p w14:paraId="57BA2473">
      <w:pPr>
        <w:pStyle w:val="15"/>
        <w:rPr>
          <w:rFonts w:hint="eastAsia"/>
          <w:color w:val="000000"/>
          <w:kern w:val="0"/>
          <w:sz w:val="24"/>
          <w:szCs w:val="24"/>
        </w:rPr>
      </w:pPr>
    </w:p>
    <w:p w14:paraId="1C623874">
      <w:pPr>
        <w:rPr>
          <w:rFonts w:hint="eastAsia"/>
          <w:color w:val="000000"/>
          <w:kern w:val="0"/>
          <w:sz w:val="24"/>
          <w:szCs w:val="24"/>
        </w:rPr>
      </w:pPr>
    </w:p>
    <w:p w14:paraId="7FA0E98B">
      <w:pPr>
        <w:pStyle w:val="13"/>
        <w:rPr>
          <w:rFonts w:hint="eastAsia"/>
          <w:color w:val="000000"/>
          <w:kern w:val="0"/>
          <w:sz w:val="24"/>
          <w:szCs w:val="24"/>
        </w:rPr>
      </w:pPr>
    </w:p>
    <w:p w14:paraId="78A875E9">
      <w:pPr>
        <w:pStyle w:val="14"/>
        <w:rPr>
          <w:rFonts w:hint="eastAsia"/>
          <w:color w:val="000000"/>
          <w:kern w:val="0"/>
          <w:sz w:val="24"/>
          <w:szCs w:val="24"/>
        </w:rPr>
      </w:pPr>
    </w:p>
    <w:p w14:paraId="3714517B">
      <w:pPr>
        <w:pStyle w:val="15"/>
        <w:rPr>
          <w:rFonts w:hint="eastAsia"/>
          <w:color w:val="000000"/>
          <w:kern w:val="0"/>
          <w:sz w:val="24"/>
          <w:szCs w:val="24"/>
        </w:rPr>
      </w:pPr>
    </w:p>
    <w:p w14:paraId="3E035FC2">
      <w:pPr>
        <w:rPr>
          <w:rFonts w:hint="eastAsia"/>
          <w:color w:val="000000"/>
          <w:kern w:val="0"/>
          <w:sz w:val="24"/>
          <w:szCs w:val="24"/>
        </w:rPr>
      </w:pPr>
    </w:p>
    <w:p w14:paraId="470F6349">
      <w:pPr>
        <w:pStyle w:val="13"/>
        <w:rPr>
          <w:rFonts w:hint="eastAsia"/>
          <w:color w:val="000000"/>
          <w:kern w:val="0"/>
          <w:sz w:val="24"/>
          <w:szCs w:val="24"/>
        </w:rPr>
      </w:pPr>
    </w:p>
    <w:p w14:paraId="74B7A1B2">
      <w:pPr>
        <w:pStyle w:val="14"/>
        <w:rPr>
          <w:rFonts w:hint="eastAsia"/>
          <w:color w:val="000000"/>
          <w:kern w:val="0"/>
          <w:sz w:val="24"/>
          <w:szCs w:val="24"/>
        </w:rPr>
      </w:pPr>
    </w:p>
    <w:p w14:paraId="01142165">
      <w:pPr>
        <w:pStyle w:val="15"/>
        <w:rPr>
          <w:rFonts w:hint="eastAsia"/>
          <w:color w:val="000000"/>
          <w:kern w:val="0"/>
          <w:sz w:val="24"/>
          <w:szCs w:val="24"/>
        </w:rPr>
      </w:pPr>
    </w:p>
    <w:p w14:paraId="736F69DE">
      <w:pPr>
        <w:rPr>
          <w:rFonts w:hint="eastAsia"/>
          <w:color w:val="000000"/>
          <w:kern w:val="0"/>
          <w:sz w:val="24"/>
          <w:szCs w:val="24"/>
        </w:rPr>
      </w:pPr>
    </w:p>
    <w:p w14:paraId="0E2516DE">
      <w:pPr>
        <w:pStyle w:val="13"/>
        <w:rPr>
          <w:rFonts w:hint="eastAsia"/>
          <w:color w:val="000000"/>
          <w:kern w:val="0"/>
          <w:sz w:val="24"/>
          <w:szCs w:val="24"/>
        </w:rPr>
      </w:pPr>
    </w:p>
    <w:p w14:paraId="3D5F909C">
      <w:pPr>
        <w:pStyle w:val="14"/>
        <w:rPr>
          <w:rFonts w:hint="eastAsia"/>
          <w:color w:val="000000"/>
          <w:kern w:val="0"/>
          <w:sz w:val="24"/>
          <w:szCs w:val="24"/>
        </w:rPr>
      </w:pPr>
    </w:p>
    <w:p w14:paraId="6114DBE5">
      <w:pPr>
        <w:pStyle w:val="15"/>
        <w:rPr>
          <w:rFonts w:hint="eastAsia"/>
          <w:color w:val="000000"/>
          <w:kern w:val="0"/>
          <w:sz w:val="24"/>
          <w:szCs w:val="24"/>
        </w:rPr>
      </w:pPr>
    </w:p>
    <w:p w14:paraId="3487558C">
      <w:pPr>
        <w:rPr>
          <w:rFonts w:hint="eastAsia"/>
          <w:color w:val="000000"/>
          <w:kern w:val="0"/>
          <w:sz w:val="24"/>
          <w:szCs w:val="24"/>
        </w:rPr>
      </w:pPr>
    </w:p>
    <w:p w14:paraId="7E5B8B55">
      <w:pPr>
        <w:pStyle w:val="13"/>
        <w:rPr>
          <w:rFonts w:hint="eastAsia"/>
          <w:color w:val="000000"/>
          <w:kern w:val="0"/>
          <w:sz w:val="24"/>
          <w:szCs w:val="24"/>
        </w:rPr>
      </w:pPr>
    </w:p>
    <w:p w14:paraId="01824F60">
      <w:pPr>
        <w:pStyle w:val="14"/>
        <w:rPr>
          <w:rFonts w:hint="eastAsia"/>
          <w:color w:val="000000"/>
          <w:kern w:val="0"/>
          <w:sz w:val="24"/>
          <w:szCs w:val="24"/>
        </w:rPr>
      </w:pPr>
    </w:p>
    <w:p w14:paraId="598D83F7">
      <w:pPr>
        <w:pStyle w:val="15"/>
        <w:rPr>
          <w:rFonts w:hint="eastAsia"/>
          <w:color w:val="000000"/>
          <w:kern w:val="0"/>
          <w:sz w:val="24"/>
          <w:szCs w:val="24"/>
        </w:rPr>
      </w:pPr>
    </w:p>
    <w:p w14:paraId="119D04D9">
      <w:pPr>
        <w:rPr>
          <w:rFonts w:hint="eastAsia"/>
          <w:color w:val="000000"/>
          <w:kern w:val="0"/>
          <w:sz w:val="24"/>
          <w:szCs w:val="24"/>
        </w:rPr>
      </w:pPr>
    </w:p>
    <w:p w14:paraId="2C557047">
      <w:pPr>
        <w:pStyle w:val="13"/>
        <w:rPr>
          <w:rFonts w:hint="eastAsia"/>
          <w:color w:val="000000"/>
          <w:kern w:val="0"/>
          <w:sz w:val="24"/>
          <w:szCs w:val="24"/>
        </w:rPr>
        <w:sectPr>
          <w:pgSz w:w="11906" w:h="16838"/>
          <w:pgMar w:top="1417" w:right="1440" w:bottom="1417" w:left="1440" w:header="851" w:footer="992" w:gutter="0"/>
          <w:pgBorders>
            <w:top w:val="none" w:sz="0" w:space="0"/>
            <w:left w:val="none" w:sz="0" w:space="0"/>
            <w:bottom w:val="none" w:sz="0" w:space="0"/>
            <w:right w:val="none" w:sz="0" w:space="0"/>
          </w:pgBorders>
          <w:cols w:space="720" w:num="1"/>
          <w:docGrid w:type="lines" w:linePitch="312" w:charSpace="0"/>
        </w:sectPr>
      </w:pPr>
    </w:p>
    <w:p w14:paraId="74649AB5">
      <w:pPr>
        <w:pStyle w:val="62"/>
        <w:spacing w:after="0" w:line="240" w:lineRule="auto"/>
        <w:jc w:val="center"/>
        <w:rPr>
          <w:rFonts w:hint="eastAsia"/>
          <w:b/>
          <w:bCs/>
          <w:color w:val="000000"/>
          <w:kern w:val="0"/>
          <w:szCs w:val="21"/>
        </w:rPr>
      </w:pPr>
      <w:r>
        <w:rPr>
          <w:rFonts w:hint="eastAsia"/>
          <w:b/>
          <w:bCs/>
          <w:color w:val="000000"/>
          <w:kern w:val="0"/>
          <w:szCs w:val="21"/>
        </w:rPr>
        <w:t>表9</w:t>
      </w:r>
      <w:r>
        <w:rPr>
          <w:b/>
          <w:bCs/>
          <w:color w:val="000000"/>
          <w:kern w:val="0"/>
          <w:szCs w:val="21"/>
        </w:rPr>
        <w:t>.</w:t>
      </w:r>
      <w:r>
        <w:rPr>
          <w:rFonts w:hint="eastAsia"/>
          <w:b/>
          <w:bCs/>
          <w:color w:val="000000"/>
          <w:kern w:val="0"/>
          <w:szCs w:val="21"/>
        </w:rPr>
        <w:t>5</w:t>
      </w:r>
      <w:r>
        <w:rPr>
          <w:b/>
          <w:bCs/>
          <w:color w:val="000000"/>
          <w:kern w:val="0"/>
          <w:szCs w:val="21"/>
        </w:rPr>
        <w:t xml:space="preserve">-1    </w:t>
      </w:r>
      <w:r>
        <w:rPr>
          <w:rFonts w:hint="eastAsia"/>
          <w:b/>
          <w:bCs/>
          <w:color w:val="000000"/>
          <w:kern w:val="0"/>
          <w:szCs w:val="21"/>
        </w:rPr>
        <w:t>建设项目环境保</w:t>
      </w:r>
      <w:r>
        <w:rPr>
          <w:rFonts w:hint="eastAsia" w:ascii="宋体" w:hAnsi="宋体" w:cs="宋体"/>
          <w:b/>
          <w:bCs/>
          <w:color w:val="000000"/>
          <w:kern w:val="0"/>
          <w:szCs w:val="21"/>
        </w:rPr>
        <w:t>护“三同时”</w:t>
      </w:r>
      <w:r>
        <w:rPr>
          <w:rFonts w:hint="eastAsia"/>
          <w:b/>
          <w:bCs/>
          <w:color w:val="000000"/>
          <w:kern w:val="0"/>
          <w:szCs w:val="21"/>
        </w:rPr>
        <w:t>验收一览表</w:t>
      </w:r>
    </w:p>
    <w:tbl>
      <w:tblPr>
        <w:tblStyle w:val="5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85"/>
        <w:gridCol w:w="5"/>
        <w:gridCol w:w="1297"/>
        <w:gridCol w:w="1307"/>
        <w:gridCol w:w="1993"/>
        <w:gridCol w:w="3557"/>
        <w:gridCol w:w="900"/>
        <w:gridCol w:w="4052"/>
      </w:tblGrid>
      <w:tr w14:paraId="42FAB6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trPr>
        <w:tc>
          <w:tcPr>
            <w:tcW w:w="985" w:type="dxa"/>
            <w:vAlign w:val="center"/>
          </w:tcPr>
          <w:p w14:paraId="2572C4A8">
            <w:pPr>
              <w:pStyle w:val="62"/>
              <w:spacing w:after="0" w:line="240" w:lineRule="auto"/>
              <w:jc w:val="center"/>
              <w:rPr>
                <w:rFonts w:hint="eastAsia" w:eastAsia="宋体"/>
                <w:b/>
                <w:bCs/>
                <w:color w:val="000000"/>
                <w:kern w:val="0"/>
                <w:szCs w:val="21"/>
                <w:vertAlign w:val="baseline"/>
                <w:lang w:eastAsia="zh-CN"/>
              </w:rPr>
            </w:pPr>
            <w:r>
              <w:rPr>
                <w:rFonts w:hint="eastAsia"/>
                <w:b/>
                <w:bCs/>
                <w:color w:val="000000"/>
                <w:kern w:val="0"/>
                <w:szCs w:val="21"/>
                <w:vertAlign w:val="baseline"/>
                <w:lang w:eastAsia="zh-CN"/>
              </w:rPr>
              <w:t>类别</w:t>
            </w:r>
          </w:p>
        </w:tc>
        <w:tc>
          <w:tcPr>
            <w:tcW w:w="2609" w:type="dxa"/>
            <w:gridSpan w:val="3"/>
            <w:vAlign w:val="center"/>
          </w:tcPr>
          <w:p w14:paraId="5DC58ED9">
            <w:pPr>
              <w:pStyle w:val="62"/>
              <w:spacing w:after="0" w:line="240" w:lineRule="auto"/>
              <w:jc w:val="center"/>
              <w:rPr>
                <w:rFonts w:hint="eastAsia" w:eastAsia="宋体"/>
                <w:b/>
                <w:bCs/>
                <w:color w:val="000000"/>
                <w:kern w:val="0"/>
                <w:szCs w:val="21"/>
                <w:vertAlign w:val="baseline"/>
                <w:lang w:eastAsia="zh-CN"/>
              </w:rPr>
            </w:pPr>
            <w:r>
              <w:rPr>
                <w:rFonts w:hint="eastAsia"/>
                <w:b/>
                <w:bCs/>
                <w:color w:val="000000"/>
                <w:kern w:val="0"/>
                <w:szCs w:val="21"/>
                <w:vertAlign w:val="baseline"/>
                <w:lang w:eastAsia="zh-CN"/>
              </w:rPr>
              <w:t>治理项目</w:t>
            </w:r>
          </w:p>
        </w:tc>
        <w:tc>
          <w:tcPr>
            <w:tcW w:w="1993" w:type="dxa"/>
            <w:vAlign w:val="center"/>
          </w:tcPr>
          <w:p w14:paraId="55660DF5">
            <w:pPr>
              <w:pStyle w:val="62"/>
              <w:spacing w:after="0" w:line="240" w:lineRule="auto"/>
              <w:jc w:val="center"/>
              <w:rPr>
                <w:rFonts w:hint="eastAsia" w:eastAsia="宋体"/>
                <w:b/>
                <w:bCs/>
                <w:color w:val="000000"/>
                <w:kern w:val="0"/>
                <w:szCs w:val="21"/>
                <w:vertAlign w:val="baseline"/>
                <w:lang w:eastAsia="zh-CN"/>
              </w:rPr>
            </w:pPr>
            <w:r>
              <w:rPr>
                <w:rFonts w:hint="eastAsia"/>
                <w:b/>
                <w:bCs/>
                <w:color w:val="000000"/>
                <w:kern w:val="0"/>
                <w:szCs w:val="21"/>
                <w:vertAlign w:val="baseline"/>
                <w:lang w:eastAsia="zh-CN"/>
              </w:rPr>
              <w:t>污染因子</w:t>
            </w:r>
          </w:p>
        </w:tc>
        <w:tc>
          <w:tcPr>
            <w:tcW w:w="3557" w:type="dxa"/>
            <w:vAlign w:val="center"/>
          </w:tcPr>
          <w:p w14:paraId="0B88D889">
            <w:pPr>
              <w:pStyle w:val="62"/>
              <w:spacing w:after="0" w:line="240" w:lineRule="auto"/>
              <w:jc w:val="center"/>
              <w:rPr>
                <w:rFonts w:hint="eastAsia" w:eastAsia="宋体"/>
                <w:b/>
                <w:bCs/>
                <w:color w:val="000000"/>
                <w:kern w:val="0"/>
                <w:szCs w:val="21"/>
                <w:vertAlign w:val="baseline"/>
                <w:lang w:eastAsia="zh-CN"/>
              </w:rPr>
            </w:pPr>
            <w:r>
              <w:rPr>
                <w:rFonts w:hint="eastAsia"/>
                <w:b/>
                <w:bCs/>
                <w:color w:val="000000"/>
                <w:kern w:val="0"/>
                <w:szCs w:val="21"/>
                <w:vertAlign w:val="baseline"/>
                <w:lang w:eastAsia="zh-CN"/>
              </w:rPr>
              <w:t>主要环保措施</w:t>
            </w:r>
          </w:p>
        </w:tc>
        <w:tc>
          <w:tcPr>
            <w:tcW w:w="900" w:type="dxa"/>
            <w:vAlign w:val="center"/>
          </w:tcPr>
          <w:p w14:paraId="272403A4">
            <w:pPr>
              <w:pStyle w:val="62"/>
              <w:spacing w:after="0" w:line="240" w:lineRule="auto"/>
              <w:jc w:val="center"/>
              <w:rPr>
                <w:rFonts w:hint="eastAsia" w:eastAsia="宋体"/>
                <w:b/>
                <w:bCs/>
                <w:color w:val="000000"/>
                <w:kern w:val="0"/>
                <w:szCs w:val="21"/>
                <w:vertAlign w:val="baseline"/>
                <w:lang w:eastAsia="zh-CN"/>
              </w:rPr>
            </w:pPr>
            <w:r>
              <w:rPr>
                <w:rFonts w:hint="eastAsia"/>
                <w:b/>
                <w:bCs/>
                <w:color w:val="000000"/>
                <w:kern w:val="0"/>
                <w:szCs w:val="21"/>
                <w:vertAlign w:val="baseline"/>
                <w:lang w:eastAsia="zh-CN"/>
              </w:rPr>
              <w:t>数量</w:t>
            </w:r>
          </w:p>
        </w:tc>
        <w:tc>
          <w:tcPr>
            <w:tcW w:w="4052" w:type="dxa"/>
            <w:vAlign w:val="center"/>
          </w:tcPr>
          <w:p w14:paraId="2EB618E4">
            <w:pPr>
              <w:pStyle w:val="62"/>
              <w:spacing w:after="0" w:line="240" w:lineRule="auto"/>
              <w:jc w:val="center"/>
              <w:rPr>
                <w:rFonts w:hint="eastAsia" w:eastAsia="宋体"/>
                <w:b/>
                <w:bCs/>
                <w:color w:val="000000"/>
                <w:kern w:val="0"/>
                <w:szCs w:val="21"/>
                <w:vertAlign w:val="baseline"/>
                <w:lang w:eastAsia="zh-CN"/>
              </w:rPr>
            </w:pPr>
            <w:r>
              <w:rPr>
                <w:rFonts w:hint="eastAsia"/>
                <w:b/>
                <w:bCs/>
                <w:color w:val="000000"/>
                <w:kern w:val="0"/>
                <w:szCs w:val="21"/>
                <w:vertAlign w:val="baseline"/>
                <w:lang w:eastAsia="zh-CN"/>
              </w:rPr>
              <w:t>验收标准</w:t>
            </w:r>
          </w:p>
        </w:tc>
      </w:tr>
      <w:tr w14:paraId="5BA03C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trPr>
        <w:tc>
          <w:tcPr>
            <w:tcW w:w="985" w:type="dxa"/>
            <w:vMerge w:val="restart"/>
            <w:vAlign w:val="center"/>
          </w:tcPr>
          <w:p w14:paraId="4FB49B13">
            <w:pPr>
              <w:pStyle w:val="62"/>
              <w:spacing w:after="0" w:line="240" w:lineRule="auto"/>
              <w:jc w:val="center"/>
              <w:rPr>
                <w:rFonts w:hint="eastAsia" w:eastAsia="宋体"/>
                <w:b w:val="0"/>
                <w:bCs w:val="0"/>
                <w:color w:val="000000"/>
                <w:kern w:val="0"/>
                <w:szCs w:val="21"/>
                <w:vertAlign w:val="baseline"/>
                <w:lang w:eastAsia="zh-CN"/>
              </w:rPr>
            </w:pPr>
            <w:r>
              <w:rPr>
                <w:rFonts w:hint="eastAsia"/>
                <w:b w:val="0"/>
                <w:bCs w:val="0"/>
                <w:color w:val="000000"/>
                <w:kern w:val="0"/>
                <w:szCs w:val="21"/>
                <w:vertAlign w:val="baseline"/>
                <w:lang w:eastAsia="zh-CN"/>
              </w:rPr>
              <w:t>废气处理</w:t>
            </w:r>
          </w:p>
        </w:tc>
        <w:tc>
          <w:tcPr>
            <w:tcW w:w="1302" w:type="dxa"/>
            <w:gridSpan w:val="2"/>
            <w:vAlign w:val="center"/>
          </w:tcPr>
          <w:p w14:paraId="06E77979">
            <w:pPr>
              <w:pStyle w:val="62"/>
              <w:spacing w:after="0" w:line="240" w:lineRule="auto"/>
              <w:jc w:val="center"/>
              <w:rPr>
                <w:rFonts w:hint="eastAsia" w:eastAsia="宋体"/>
                <w:b w:val="0"/>
                <w:bCs w:val="0"/>
                <w:color w:val="000000"/>
                <w:kern w:val="0"/>
                <w:szCs w:val="21"/>
                <w:vertAlign w:val="baseline"/>
                <w:lang w:eastAsia="zh-CN"/>
              </w:rPr>
            </w:pPr>
            <w:r>
              <w:rPr>
                <w:rFonts w:hint="eastAsia"/>
                <w:b w:val="0"/>
                <w:bCs w:val="0"/>
                <w:color w:val="000000"/>
                <w:kern w:val="0"/>
                <w:szCs w:val="21"/>
                <w:vertAlign w:val="baseline"/>
                <w:lang w:eastAsia="zh-CN"/>
              </w:rPr>
              <w:t>有组织废气</w:t>
            </w:r>
          </w:p>
        </w:tc>
        <w:tc>
          <w:tcPr>
            <w:tcW w:w="1307" w:type="dxa"/>
            <w:vAlign w:val="center"/>
          </w:tcPr>
          <w:p w14:paraId="1035D56F">
            <w:pPr>
              <w:pStyle w:val="62"/>
              <w:spacing w:after="0" w:line="240" w:lineRule="auto"/>
              <w:jc w:val="center"/>
              <w:rPr>
                <w:rFonts w:hint="eastAsia" w:eastAsia="宋体"/>
                <w:b w:val="0"/>
                <w:bCs w:val="0"/>
                <w:color w:val="000000"/>
                <w:kern w:val="0"/>
                <w:szCs w:val="21"/>
                <w:vertAlign w:val="baseline"/>
                <w:lang w:eastAsia="zh-CN"/>
              </w:rPr>
            </w:pPr>
            <w:r>
              <w:rPr>
                <w:rFonts w:hint="eastAsia"/>
                <w:b w:val="0"/>
                <w:bCs w:val="0"/>
                <w:color w:val="000000"/>
                <w:kern w:val="0"/>
                <w:szCs w:val="21"/>
                <w:vertAlign w:val="baseline"/>
                <w:lang w:eastAsia="zh-CN"/>
              </w:rPr>
              <w:t>有机废气</w:t>
            </w:r>
          </w:p>
        </w:tc>
        <w:tc>
          <w:tcPr>
            <w:tcW w:w="1993" w:type="dxa"/>
            <w:vAlign w:val="center"/>
          </w:tcPr>
          <w:p w14:paraId="2B26D22D">
            <w:pPr>
              <w:pStyle w:val="62"/>
              <w:spacing w:after="0" w:line="240" w:lineRule="auto"/>
              <w:jc w:val="center"/>
              <w:rPr>
                <w:rFonts w:hint="eastAsia"/>
                <w:b w:val="0"/>
                <w:bCs w:val="0"/>
                <w:color w:val="000000"/>
                <w:kern w:val="0"/>
                <w:szCs w:val="21"/>
                <w:vertAlign w:val="baseline"/>
              </w:rPr>
            </w:pPr>
            <w:r>
              <w:rPr>
                <w:rFonts w:hint="eastAsia"/>
                <w:b w:val="0"/>
                <w:bCs w:val="0"/>
                <w:color w:val="000000"/>
                <w:kern w:val="0"/>
                <w:szCs w:val="21"/>
                <w:vertAlign w:val="baseline"/>
              </w:rPr>
              <w:t>非甲烷总烃</w:t>
            </w:r>
            <w:r>
              <w:rPr>
                <w:rFonts w:hint="eastAsia"/>
                <w:b w:val="0"/>
                <w:bCs w:val="0"/>
                <w:color w:val="000000"/>
                <w:kern w:val="0"/>
                <w:szCs w:val="21"/>
                <w:vertAlign w:val="baseline"/>
                <w:lang w:eastAsia="zh-CN"/>
              </w:rPr>
              <w:t>（生产车间）</w:t>
            </w:r>
          </w:p>
        </w:tc>
        <w:tc>
          <w:tcPr>
            <w:tcW w:w="3557" w:type="dxa"/>
            <w:vAlign w:val="center"/>
          </w:tcPr>
          <w:p w14:paraId="5C9DCA8F">
            <w:pPr>
              <w:ind w:left="42" w:leftChars="20" w:right="42" w:rightChars="20"/>
              <w:jc w:val="center"/>
              <w:rPr>
                <w:rFonts w:hint="default" w:ascii="Times New Roman" w:hAnsi="Times New Roman" w:eastAsia="宋体" w:cs="Times New Roman"/>
                <w:b w:val="0"/>
                <w:bCs w:val="0"/>
                <w:color w:val="auto"/>
                <w:sz w:val="21"/>
                <w:szCs w:val="21"/>
                <w:lang w:val="en-US" w:eastAsia="zh-CN"/>
              </w:rPr>
            </w:pPr>
            <w:r>
              <w:rPr>
                <w:szCs w:val="21"/>
              </w:rPr>
              <w:t>经</w:t>
            </w:r>
            <w:r>
              <w:rPr>
                <w:rFonts w:hint="eastAsia"/>
                <w:szCs w:val="21"/>
              </w:rPr>
              <w:t>集气罩</w:t>
            </w:r>
            <w:r>
              <w:rPr>
                <w:szCs w:val="21"/>
              </w:rPr>
              <w:t>收集后通过</w:t>
            </w:r>
            <w:r>
              <w:rPr>
                <w:rFonts w:hint="eastAsia"/>
                <w:szCs w:val="21"/>
              </w:rPr>
              <w:t>车间</w:t>
            </w:r>
            <w:r>
              <w:rPr>
                <w:rFonts w:hint="eastAsia"/>
                <w:szCs w:val="21"/>
                <w:lang w:eastAsia="zh-CN"/>
              </w:rPr>
              <w:t>活性炭浓缩吸附+催化燃烧</w:t>
            </w:r>
            <w:r>
              <w:rPr>
                <w:szCs w:val="21"/>
              </w:rPr>
              <w:t>系统</w:t>
            </w:r>
            <w:r>
              <w:rPr>
                <w:rFonts w:hint="eastAsia"/>
                <w:szCs w:val="21"/>
              </w:rPr>
              <w:t>处理后，由15m高</w:t>
            </w:r>
            <w:r>
              <w:rPr>
                <w:rFonts w:hint="eastAsia"/>
                <w:szCs w:val="21"/>
                <w:lang w:eastAsia="zh-CN"/>
              </w:rPr>
              <w:t>（内径</w:t>
            </w:r>
            <w:r>
              <w:rPr>
                <w:rFonts w:hint="eastAsia"/>
                <w:szCs w:val="21"/>
                <w:lang w:val="en-US" w:eastAsia="zh-CN"/>
              </w:rPr>
              <w:t>0.5m，流速12m/s</w:t>
            </w:r>
            <w:r>
              <w:rPr>
                <w:rFonts w:hint="eastAsia"/>
                <w:szCs w:val="21"/>
                <w:lang w:eastAsia="zh-CN"/>
              </w:rPr>
              <w:t>）</w:t>
            </w:r>
            <w:r>
              <w:rPr>
                <w:rFonts w:hint="eastAsia"/>
                <w:szCs w:val="21"/>
              </w:rPr>
              <w:t>排气筒</w:t>
            </w:r>
            <w:r>
              <w:rPr>
                <w:rFonts w:hint="default" w:ascii="Times New Roman" w:hAnsi="Times New Roman" w:eastAsia="宋体" w:cs="Times New Roman"/>
                <w:b w:val="0"/>
                <w:bCs w:val="0"/>
                <w:color w:val="auto"/>
                <w:sz w:val="21"/>
                <w:szCs w:val="21"/>
                <w:lang w:val="en-US" w:eastAsia="zh-CN"/>
              </w:rPr>
              <w:t>（DA00</w:t>
            </w:r>
            <w:r>
              <w:rPr>
                <w:rFonts w:hint="eastAsia" w:cs="Times New Roman"/>
                <w:b w:val="0"/>
                <w:bCs w:val="0"/>
                <w:color w:val="auto"/>
                <w:sz w:val="21"/>
                <w:szCs w:val="21"/>
                <w:lang w:val="en-US" w:eastAsia="zh-CN"/>
              </w:rPr>
              <w:t>1</w:t>
            </w:r>
            <w:r>
              <w:rPr>
                <w:rFonts w:hint="eastAsia" w:ascii="Times New Roman" w:hAnsi="Times New Roman" w:eastAsia="宋体" w:cs="Times New Roman"/>
                <w:b w:val="0"/>
                <w:bCs w:val="0"/>
                <w:color w:val="auto"/>
                <w:sz w:val="21"/>
                <w:szCs w:val="21"/>
                <w:lang w:val="en-US" w:eastAsia="zh-CN"/>
              </w:rPr>
              <w:t>）</w:t>
            </w:r>
            <w:r>
              <w:rPr>
                <w:rFonts w:hint="eastAsia"/>
                <w:szCs w:val="21"/>
              </w:rPr>
              <w:t>排放</w:t>
            </w:r>
            <w:r>
              <w:rPr>
                <w:rFonts w:hint="eastAsia"/>
                <w:szCs w:val="21"/>
                <w:lang w:eastAsia="zh-CN"/>
              </w:rPr>
              <w:t>，引风机风量</w:t>
            </w:r>
            <w:r>
              <w:rPr>
                <w:rFonts w:hint="eastAsia"/>
                <w:szCs w:val="21"/>
                <w:lang w:val="en-US" w:eastAsia="zh-CN"/>
              </w:rPr>
              <w:t>20000m</w:t>
            </w:r>
            <w:r>
              <w:rPr>
                <w:rFonts w:hint="eastAsia"/>
                <w:szCs w:val="21"/>
                <w:vertAlign w:val="superscript"/>
                <w:lang w:val="en-US" w:eastAsia="zh-CN"/>
              </w:rPr>
              <w:t>3</w:t>
            </w:r>
            <w:r>
              <w:rPr>
                <w:rFonts w:hint="eastAsia"/>
                <w:szCs w:val="21"/>
                <w:lang w:val="en-US" w:eastAsia="zh-CN"/>
              </w:rPr>
              <w:t>/h</w:t>
            </w:r>
          </w:p>
          <w:p w14:paraId="578FFEB0">
            <w:pPr>
              <w:pStyle w:val="62"/>
              <w:spacing w:after="0" w:line="240" w:lineRule="auto"/>
              <w:jc w:val="center"/>
              <w:rPr>
                <w:rFonts w:hint="eastAsia"/>
                <w:b w:val="0"/>
                <w:bCs w:val="0"/>
                <w:color w:val="000000"/>
                <w:kern w:val="0"/>
                <w:szCs w:val="21"/>
                <w:vertAlign w:val="baseline"/>
              </w:rPr>
            </w:pPr>
            <w:r>
              <w:rPr>
                <w:rFonts w:hint="eastAsia"/>
                <w:lang w:bidi="ar"/>
              </w:rPr>
              <w:t>集气罩集气效率为90%</w:t>
            </w:r>
            <w:r>
              <w:rPr>
                <w:rFonts w:hint="eastAsia"/>
                <w:lang w:eastAsia="zh-CN" w:bidi="ar"/>
              </w:rPr>
              <w:t>，</w:t>
            </w:r>
            <w:r>
              <w:rPr>
                <w:rFonts w:hint="eastAsia"/>
                <w:lang w:bidi="ar"/>
              </w:rPr>
              <w:t>活性炭吸附</w:t>
            </w:r>
            <w:r>
              <w:rPr>
                <w:rFonts w:hint="eastAsia"/>
                <w:lang w:eastAsia="zh-CN" w:bidi="ar"/>
              </w:rPr>
              <w:t>活性炭浓缩吸附+催化燃烧</w:t>
            </w:r>
            <w:r>
              <w:rPr>
                <w:lang w:bidi="ar"/>
              </w:rPr>
              <w:t>系统</w:t>
            </w:r>
            <w:r>
              <w:rPr>
                <w:rFonts w:hint="eastAsia"/>
                <w:bCs/>
                <w:szCs w:val="21"/>
              </w:rPr>
              <w:t>（处理效率85%）</w:t>
            </w:r>
          </w:p>
        </w:tc>
        <w:tc>
          <w:tcPr>
            <w:tcW w:w="900" w:type="dxa"/>
            <w:vAlign w:val="center"/>
          </w:tcPr>
          <w:p w14:paraId="049C30B0">
            <w:pPr>
              <w:pStyle w:val="62"/>
              <w:spacing w:after="0" w:line="240" w:lineRule="auto"/>
              <w:jc w:val="center"/>
              <w:rPr>
                <w:rFonts w:hint="default" w:eastAsia="宋体"/>
                <w:b w:val="0"/>
                <w:bCs w:val="0"/>
                <w:color w:val="000000"/>
                <w:kern w:val="0"/>
                <w:szCs w:val="21"/>
                <w:vertAlign w:val="baseline"/>
                <w:lang w:val="en-US" w:eastAsia="zh-CN"/>
              </w:rPr>
            </w:pPr>
            <w:r>
              <w:rPr>
                <w:rFonts w:hint="eastAsia"/>
                <w:b w:val="0"/>
                <w:bCs w:val="0"/>
                <w:color w:val="000000"/>
                <w:kern w:val="0"/>
                <w:szCs w:val="21"/>
                <w:vertAlign w:val="baseline"/>
                <w:lang w:eastAsia="zh-CN"/>
              </w:rPr>
              <w:t>集气罩</w:t>
            </w:r>
            <w:r>
              <w:rPr>
                <w:rFonts w:hint="eastAsia"/>
                <w:b w:val="0"/>
                <w:bCs w:val="0"/>
                <w:color w:val="000000"/>
                <w:kern w:val="0"/>
                <w:szCs w:val="21"/>
                <w:vertAlign w:val="baseline"/>
                <w:lang w:val="en-US" w:eastAsia="zh-CN"/>
              </w:rPr>
              <w:t>2个，1套</w:t>
            </w:r>
            <w:r>
              <w:rPr>
                <w:rFonts w:hint="eastAsia"/>
                <w:szCs w:val="21"/>
                <w:lang w:eastAsia="zh-CN"/>
              </w:rPr>
              <w:t>活性炭浓缩吸附+催化燃烧</w:t>
            </w:r>
            <w:r>
              <w:rPr>
                <w:szCs w:val="21"/>
              </w:rPr>
              <w:t>系统</w:t>
            </w:r>
          </w:p>
        </w:tc>
        <w:tc>
          <w:tcPr>
            <w:tcW w:w="4052" w:type="dxa"/>
            <w:vAlign w:val="center"/>
          </w:tcPr>
          <w:p w14:paraId="0AC435AA">
            <w:pPr>
              <w:ind w:left="42" w:leftChars="20" w:right="42" w:rightChars="20"/>
              <w:jc w:val="center"/>
              <w:rPr>
                <w:rFonts w:hint="eastAsia"/>
                <w:b w:val="0"/>
                <w:bCs w:val="0"/>
                <w:color w:val="000000"/>
                <w:kern w:val="0"/>
                <w:szCs w:val="21"/>
                <w:vertAlign w:val="baseline"/>
              </w:rPr>
            </w:pPr>
            <w:r>
              <w:rPr>
                <w:szCs w:val="21"/>
              </w:rPr>
              <w:t>非甲烷总烃</w:t>
            </w:r>
            <w:r>
              <w:rPr>
                <w:rFonts w:hint="eastAsia"/>
                <w:szCs w:val="21"/>
                <w:lang w:eastAsia="zh-CN"/>
              </w:rPr>
              <w:t>执行</w:t>
            </w:r>
            <w:r>
              <w:rPr>
                <w:szCs w:val="21"/>
              </w:rPr>
              <w:t>《合成树脂工业污染物排放标准》</w:t>
            </w:r>
            <w:r>
              <w:rPr>
                <w:rFonts w:hint="eastAsia"/>
                <w:szCs w:val="21"/>
              </w:rPr>
              <w:t>（</w:t>
            </w:r>
            <w:r>
              <w:rPr>
                <w:szCs w:val="21"/>
              </w:rPr>
              <w:t>GB31572-2015</w:t>
            </w:r>
            <w:r>
              <w:rPr>
                <w:bCs/>
                <w:szCs w:val="21"/>
              </w:rPr>
              <w:t>，含2024年修改单</w:t>
            </w:r>
            <w:r>
              <w:rPr>
                <w:rFonts w:hint="eastAsia"/>
                <w:szCs w:val="21"/>
              </w:rPr>
              <w:t>）</w:t>
            </w:r>
            <w:r>
              <w:rPr>
                <w:szCs w:val="21"/>
              </w:rPr>
              <w:t>表</w:t>
            </w:r>
            <w:r>
              <w:rPr>
                <w:rFonts w:hint="eastAsia"/>
                <w:szCs w:val="21"/>
                <w:lang w:val="en-US" w:eastAsia="zh-CN"/>
              </w:rPr>
              <w:t>4</w:t>
            </w:r>
            <w:r>
              <w:rPr>
                <w:szCs w:val="21"/>
              </w:rPr>
              <w:t>大气污染物排放限值</w:t>
            </w:r>
            <w:r>
              <w:rPr>
                <w:rFonts w:hint="eastAsia"/>
                <w:szCs w:val="21"/>
                <w:lang w:val="en-US" w:eastAsia="zh-CN"/>
              </w:rPr>
              <w:t>100</w:t>
            </w:r>
            <w:r>
              <w:rPr>
                <w:szCs w:val="21"/>
              </w:rPr>
              <w:t>mg/m</w:t>
            </w:r>
            <w:r>
              <w:rPr>
                <w:szCs w:val="21"/>
                <w:vertAlign w:val="superscript"/>
              </w:rPr>
              <w:t>3</w:t>
            </w:r>
            <w:r>
              <w:rPr>
                <w:szCs w:val="21"/>
              </w:rPr>
              <w:t>的要求；</w:t>
            </w:r>
          </w:p>
        </w:tc>
      </w:tr>
      <w:tr w14:paraId="38E9BE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trPr>
        <w:tc>
          <w:tcPr>
            <w:tcW w:w="985" w:type="dxa"/>
            <w:vMerge w:val="continue"/>
            <w:vAlign w:val="center"/>
          </w:tcPr>
          <w:p w14:paraId="43512B8B">
            <w:pPr>
              <w:pStyle w:val="62"/>
              <w:spacing w:after="0" w:line="240" w:lineRule="auto"/>
              <w:jc w:val="center"/>
              <w:rPr>
                <w:rFonts w:hint="eastAsia"/>
                <w:b w:val="0"/>
                <w:bCs w:val="0"/>
                <w:color w:val="000000"/>
                <w:kern w:val="0"/>
                <w:szCs w:val="21"/>
                <w:vertAlign w:val="baseline"/>
              </w:rPr>
            </w:pPr>
          </w:p>
        </w:tc>
        <w:tc>
          <w:tcPr>
            <w:tcW w:w="1302" w:type="dxa"/>
            <w:gridSpan w:val="2"/>
            <w:vMerge w:val="restart"/>
            <w:vAlign w:val="center"/>
          </w:tcPr>
          <w:p w14:paraId="3E4B6368">
            <w:pPr>
              <w:pStyle w:val="62"/>
              <w:spacing w:after="0" w:line="240" w:lineRule="auto"/>
              <w:jc w:val="center"/>
              <w:rPr>
                <w:rFonts w:hint="eastAsia" w:eastAsia="宋体"/>
                <w:b w:val="0"/>
                <w:bCs w:val="0"/>
                <w:color w:val="000000"/>
                <w:kern w:val="0"/>
                <w:szCs w:val="21"/>
                <w:vertAlign w:val="baseline"/>
                <w:lang w:eastAsia="zh-CN"/>
              </w:rPr>
            </w:pPr>
            <w:r>
              <w:rPr>
                <w:rFonts w:hint="eastAsia"/>
                <w:b w:val="0"/>
                <w:bCs w:val="0"/>
                <w:color w:val="000000"/>
                <w:kern w:val="0"/>
                <w:szCs w:val="21"/>
                <w:vertAlign w:val="baseline"/>
                <w:lang w:eastAsia="zh-CN"/>
              </w:rPr>
              <w:t>无组织废气</w:t>
            </w:r>
          </w:p>
        </w:tc>
        <w:tc>
          <w:tcPr>
            <w:tcW w:w="1307" w:type="dxa"/>
            <w:vMerge w:val="restart"/>
            <w:vAlign w:val="center"/>
          </w:tcPr>
          <w:p w14:paraId="3A6D506E">
            <w:pPr>
              <w:pStyle w:val="62"/>
              <w:spacing w:after="0" w:line="240" w:lineRule="auto"/>
              <w:jc w:val="center"/>
              <w:rPr>
                <w:rFonts w:hint="eastAsia" w:eastAsia="宋体"/>
                <w:b w:val="0"/>
                <w:bCs w:val="0"/>
                <w:color w:val="000000"/>
                <w:kern w:val="0"/>
                <w:szCs w:val="21"/>
                <w:vertAlign w:val="baseline"/>
                <w:lang w:eastAsia="zh-CN"/>
              </w:rPr>
            </w:pPr>
            <w:r>
              <w:rPr>
                <w:rFonts w:hint="eastAsia"/>
                <w:b w:val="0"/>
                <w:bCs w:val="0"/>
                <w:color w:val="000000"/>
                <w:kern w:val="0"/>
                <w:szCs w:val="21"/>
                <w:vertAlign w:val="baseline"/>
                <w:lang w:eastAsia="zh-CN"/>
              </w:rPr>
              <w:t>有机废气</w:t>
            </w:r>
          </w:p>
        </w:tc>
        <w:tc>
          <w:tcPr>
            <w:tcW w:w="1993" w:type="dxa"/>
            <w:vMerge w:val="restart"/>
            <w:vAlign w:val="center"/>
          </w:tcPr>
          <w:p w14:paraId="4A4750C3">
            <w:pPr>
              <w:pStyle w:val="62"/>
              <w:spacing w:after="0" w:line="240" w:lineRule="auto"/>
              <w:jc w:val="center"/>
              <w:rPr>
                <w:rFonts w:hint="eastAsia"/>
                <w:b w:val="0"/>
                <w:bCs w:val="0"/>
                <w:color w:val="000000"/>
                <w:kern w:val="0"/>
                <w:szCs w:val="21"/>
                <w:vertAlign w:val="baseline"/>
              </w:rPr>
            </w:pPr>
            <w:r>
              <w:rPr>
                <w:rFonts w:hint="eastAsia"/>
                <w:b w:val="0"/>
                <w:bCs w:val="0"/>
                <w:color w:val="000000"/>
                <w:kern w:val="0"/>
                <w:szCs w:val="21"/>
                <w:vertAlign w:val="baseline"/>
              </w:rPr>
              <w:t>非甲烷总烃、臭气浓度</w:t>
            </w:r>
            <w:r>
              <w:rPr>
                <w:rFonts w:hint="eastAsia"/>
                <w:b w:val="0"/>
                <w:bCs w:val="0"/>
                <w:color w:val="000000"/>
                <w:kern w:val="0"/>
                <w:szCs w:val="21"/>
                <w:vertAlign w:val="baseline"/>
                <w:lang w:eastAsia="zh-CN"/>
              </w:rPr>
              <w:t>（生产车间）</w:t>
            </w:r>
          </w:p>
        </w:tc>
        <w:tc>
          <w:tcPr>
            <w:tcW w:w="3557" w:type="dxa"/>
            <w:vMerge w:val="restart"/>
            <w:vAlign w:val="center"/>
          </w:tcPr>
          <w:p w14:paraId="17F22C09">
            <w:pPr>
              <w:pStyle w:val="62"/>
              <w:spacing w:after="0" w:line="240" w:lineRule="auto"/>
              <w:jc w:val="center"/>
              <w:rPr>
                <w:rFonts w:hint="eastAsia" w:eastAsia="宋体"/>
                <w:b w:val="0"/>
                <w:bCs w:val="0"/>
                <w:color w:val="000000"/>
                <w:kern w:val="0"/>
                <w:szCs w:val="21"/>
                <w:vertAlign w:val="baseline"/>
                <w:lang w:eastAsia="zh-CN"/>
              </w:rPr>
            </w:pPr>
            <w:r>
              <w:rPr>
                <w:rFonts w:hint="eastAsia"/>
                <w:bCs/>
                <w:color w:val="000000"/>
                <w:szCs w:val="21"/>
              </w:rPr>
              <w:t>排气扇</w:t>
            </w:r>
            <w:r>
              <w:rPr>
                <w:rFonts w:hint="eastAsia"/>
                <w:bCs/>
                <w:color w:val="000000"/>
                <w:szCs w:val="21"/>
                <w:lang w:eastAsia="zh-CN"/>
              </w:rPr>
              <w:t>（</w:t>
            </w:r>
            <w:r>
              <w:rPr>
                <w:rFonts w:hint="eastAsia"/>
                <w:b w:val="0"/>
                <w:bCs w:val="0"/>
                <w:color w:val="000000"/>
                <w:kern w:val="0"/>
                <w:szCs w:val="21"/>
                <w:vertAlign w:val="baseline"/>
              </w:rPr>
              <w:t>运营期关闭车间门窗，强化集气效率</w:t>
            </w:r>
            <w:r>
              <w:rPr>
                <w:rFonts w:hint="eastAsia"/>
                <w:b w:val="0"/>
                <w:bCs w:val="0"/>
                <w:color w:val="000000"/>
                <w:kern w:val="0"/>
                <w:szCs w:val="21"/>
                <w:vertAlign w:val="baseline"/>
                <w:lang w:eastAsia="zh-CN"/>
              </w:rPr>
              <w:t>）</w:t>
            </w:r>
          </w:p>
        </w:tc>
        <w:tc>
          <w:tcPr>
            <w:tcW w:w="900" w:type="dxa"/>
            <w:vMerge w:val="restart"/>
            <w:vAlign w:val="center"/>
          </w:tcPr>
          <w:p w14:paraId="568503EE">
            <w:pPr>
              <w:pStyle w:val="62"/>
              <w:spacing w:after="0" w:line="240" w:lineRule="auto"/>
              <w:jc w:val="center"/>
              <w:rPr>
                <w:rFonts w:hint="eastAsia" w:eastAsia="宋体"/>
                <w:b w:val="0"/>
                <w:bCs w:val="0"/>
                <w:color w:val="000000"/>
                <w:kern w:val="0"/>
                <w:szCs w:val="21"/>
                <w:vertAlign w:val="baseline"/>
                <w:lang w:val="en-US" w:eastAsia="zh-CN"/>
              </w:rPr>
            </w:pPr>
            <w:r>
              <w:rPr>
                <w:rFonts w:hint="eastAsia"/>
                <w:b w:val="0"/>
                <w:bCs w:val="0"/>
                <w:color w:val="000000"/>
                <w:kern w:val="0"/>
                <w:szCs w:val="21"/>
                <w:vertAlign w:val="baseline"/>
                <w:lang w:val="en-US" w:eastAsia="zh-CN"/>
              </w:rPr>
              <w:t>2个</w:t>
            </w:r>
          </w:p>
        </w:tc>
        <w:tc>
          <w:tcPr>
            <w:tcW w:w="4052" w:type="dxa"/>
            <w:vAlign w:val="center"/>
          </w:tcPr>
          <w:p w14:paraId="542B47EE">
            <w:pPr>
              <w:pStyle w:val="62"/>
              <w:spacing w:after="0" w:line="240" w:lineRule="auto"/>
              <w:jc w:val="center"/>
              <w:rPr>
                <w:rFonts w:hint="eastAsia"/>
                <w:b w:val="0"/>
                <w:bCs w:val="0"/>
                <w:color w:val="000000"/>
                <w:kern w:val="0"/>
                <w:szCs w:val="21"/>
                <w:vertAlign w:val="baseline"/>
              </w:rPr>
            </w:pPr>
            <w:r>
              <w:rPr>
                <w:rFonts w:hint="eastAsia"/>
                <w:b w:val="0"/>
                <w:bCs w:val="0"/>
                <w:color w:val="000000"/>
                <w:kern w:val="0"/>
                <w:szCs w:val="21"/>
                <w:vertAlign w:val="baseline"/>
              </w:rPr>
              <w:t>厂界非甲烷总烃执行《合成树脂工业污染物排放标准》（GB31572-2015）；厂界臭气浓度执行《恶臭污染物排放标准》（GB14554-93）中表1限值要求</w:t>
            </w:r>
          </w:p>
        </w:tc>
      </w:tr>
      <w:tr w14:paraId="1D5487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trPr>
        <w:tc>
          <w:tcPr>
            <w:tcW w:w="985" w:type="dxa"/>
            <w:vMerge w:val="continue"/>
            <w:vAlign w:val="center"/>
          </w:tcPr>
          <w:p w14:paraId="08212177">
            <w:pPr>
              <w:pStyle w:val="62"/>
              <w:spacing w:after="0" w:line="240" w:lineRule="auto"/>
              <w:jc w:val="center"/>
              <w:rPr>
                <w:rFonts w:hint="eastAsia"/>
                <w:b w:val="0"/>
                <w:bCs w:val="0"/>
                <w:color w:val="000000"/>
                <w:kern w:val="0"/>
                <w:szCs w:val="21"/>
                <w:vertAlign w:val="baseline"/>
              </w:rPr>
            </w:pPr>
          </w:p>
        </w:tc>
        <w:tc>
          <w:tcPr>
            <w:tcW w:w="1302" w:type="dxa"/>
            <w:gridSpan w:val="2"/>
            <w:vMerge w:val="continue"/>
            <w:vAlign w:val="center"/>
          </w:tcPr>
          <w:p w14:paraId="484E0F30">
            <w:pPr>
              <w:pStyle w:val="62"/>
              <w:spacing w:after="0" w:line="240" w:lineRule="auto"/>
              <w:jc w:val="center"/>
              <w:rPr>
                <w:rFonts w:hint="eastAsia"/>
                <w:b w:val="0"/>
                <w:bCs w:val="0"/>
                <w:color w:val="000000"/>
                <w:kern w:val="0"/>
                <w:szCs w:val="21"/>
                <w:vertAlign w:val="baseline"/>
              </w:rPr>
            </w:pPr>
          </w:p>
        </w:tc>
        <w:tc>
          <w:tcPr>
            <w:tcW w:w="1307" w:type="dxa"/>
            <w:vMerge w:val="continue"/>
            <w:vAlign w:val="center"/>
          </w:tcPr>
          <w:p w14:paraId="56373930">
            <w:pPr>
              <w:pStyle w:val="62"/>
              <w:spacing w:after="0" w:line="240" w:lineRule="auto"/>
              <w:jc w:val="center"/>
              <w:rPr>
                <w:rFonts w:hint="eastAsia"/>
                <w:b w:val="0"/>
                <w:bCs w:val="0"/>
                <w:color w:val="000000"/>
                <w:kern w:val="0"/>
                <w:szCs w:val="21"/>
                <w:vertAlign w:val="baseline"/>
              </w:rPr>
            </w:pPr>
          </w:p>
        </w:tc>
        <w:tc>
          <w:tcPr>
            <w:tcW w:w="1993" w:type="dxa"/>
            <w:vMerge w:val="continue"/>
            <w:vAlign w:val="center"/>
          </w:tcPr>
          <w:p w14:paraId="7CC1EEC3">
            <w:pPr>
              <w:pStyle w:val="62"/>
              <w:spacing w:after="0" w:line="240" w:lineRule="auto"/>
              <w:jc w:val="center"/>
              <w:rPr>
                <w:rFonts w:hint="eastAsia"/>
                <w:b w:val="0"/>
                <w:bCs w:val="0"/>
                <w:color w:val="000000"/>
                <w:kern w:val="0"/>
                <w:szCs w:val="21"/>
                <w:vertAlign w:val="baseline"/>
              </w:rPr>
            </w:pPr>
          </w:p>
        </w:tc>
        <w:tc>
          <w:tcPr>
            <w:tcW w:w="3557" w:type="dxa"/>
            <w:vMerge w:val="continue"/>
            <w:vAlign w:val="center"/>
          </w:tcPr>
          <w:p w14:paraId="15141B08">
            <w:pPr>
              <w:pStyle w:val="62"/>
              <w:spacing w:after="0" w:line="240" w:lineRule="auto"/>
              <w:jc w:val="center"/>
              <w:rPr>
                <w:rFonts w:hint="eastAsia"/>
                <w:b w:val="0"/>
                <w:bCs w:val="0"/>
                <w:color w:val="000000"/>
                <w:kern w:val="0"/>
                <w:szCs w:val="21"/>
                <w:vertAlign w:val="baseline"/>
              </w:rPr>
            </w:pPr>
          </w:p>
        </w:tc>
        <w:tc>
          <w:tcPr>
            <w:tcW w:w="900" w:type="dxa"/>
            <w:vMerge w:val="continue"/>
            <w:vAlign w:val="center"/>
          </w:tcPr>
          <w:p w14:paraId="3909A3EF">
            <w:pPr>
              <w:pStyle w:val="62"/>
              <w:spacing w:after="0" w:line="240" w:lineRule="auto"/>
              <w:jc w:val="center"/>
              <w:rPr>
                <w:rFonts w:hint="eastAsia"/>
                <w:b w:val="0"/>
                <w:bCs w:val="0"/>
                <w:color w:val="000000"/>
                <w:kern w:val="0"/>
                <w:szCs w:val="21"/>
                <w:vertAlign w:val="baseline"/>
              </w:rPr>
            </w:pPr>
          </w:p>
        </w:tc>
        <w:tc>
          <w:tcPr>
            <w:tcW w:w="4052" w:type="dxa"/>
            <w:vAlign w:val="center"/>
          </w:tcPr>
          <w:p w14:paraId="71FE0285">
            <w:pPr>
              <w:pStyle w:val="62"/>
              <w:spacing w:after="0" w:line="240" w:lineRule="auto"/>
              <w:jc w:val="center"/>
              <w:rPr>
                <w:rFonts w:hint="eastAsia"/>
                <w:b w:val="0"/>
                <w:bCs w:val="0"/>
                <w:color w:val="000000"/>
                <w:kern w:val="0"/>
                <w:szCs w:val="21"/>
                <w:vertAlign w:val="baseline"/>
              </w:rPr>
            </w:pPr>
            <w:r>
              <w:rPr>
                <w:rFonts w:hint="eastAsia"/>
                <w:b w:val="0"/>
                <w:bCs w:val="0"/>
                <w:color w:val="000000"/>
                <w:kern w:val="0"/>
                <w:szCs w:val="21"/>
                <w:vertAlign w:val="baseline"/>
              </w:rPr>
              <w:t>厂房外1m处非甲烷总烃执行《挥发性有机物无组织排放控制标准》（GB37822-2019）</w:t>
            </w:r>
          </w:p>
        </w:tc>
      </w:tr>
      <w:tr w14:paraId="7866D6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trPr>
        <w:tc>
          <w:tcPr>
            <w:tcW w:w="985" w:type="dxa"/>
            <w:vAlign w:val="center"/>
          </w:tcPr>
          <w:p w14:paraId="0C30D070">
            <w:pPr>
              <w:pStyle w:val="62"/>
              <w:spacing w:after="0" w:line="240" w:lineRule="auto"/>
              <w:jc w:val="center"/>
              <w:rPr>
                <w:rFonts w:hint="eastAsia" w:eastAsia="宋体"/>
                <w:b w:val="0"/>
                <w:bCs w:val="0"/>
                <w:color w:val="000000"/>
                <w:kern w:val="0"/>
                <w:szCs w:val="21"/>
                <w:vertAlign w:val="baseline"/>
                <w:lang w:eastAsia="zh-CN"/>
              </w:rPr>
            </w:pPr>
            <w:r>
              <w:rPr>
                <w:rFonts w:hint="eastAsia"/>
                <w:b w:val="0"/>
                <w:bCs w:val="0"/>
                <w:color w:val="000000"/>
                <w:kern w:val="0"/>
                <w:szCs w:val="21"/>
                <w:vertAlign w:val="baseline"/>
                <w:lang w:eastAsia="zh-CN"/>
              </w:rPr>
              <w:t>水污染防治</w:t>
            </w:r>
          </w:p>
        </w:tc>
        <w:tc>
          <w:tcPr>
            <w:tcW w:w="2609" w:type="dxa"/>
            <w:gridSpan w:val="3"/>
            <w:shd w:val="clear" w:color="auto" w:fill="auto"/>
            <w:vAlign w:val="center"/>
          </w:tcPr>
          <w:p w14:paraId="408B8CA5">
            <w:pPr>
              <w:pStyle w:val="62"/>
              <w:spacing w:after="0" w:line="240" w:lineRule="auto"/>
              <w:jc w:val="center"/>
              <w:rPr>
                <w:rFonts w:hint="eastAsia" w:ascii="Times New Roman" w:hAnsi="Times New Roman" w:eastAsia="宋体" w:cs="Times New Roman"/>
                <w:b w:val="0"/>
                <w:bCs w:val="0"/>
                <w:color w:val="000000"/>
                <w:kern w:val="0"/>
                <w:sz w:val="21"/>
                <w:szCs w:val="21"/>
                <w:vertAlign w:val="baseline"/>
                <w:lang w:val="en-US" w:eastAsia="zh-CN" w:bidi="ar-SA"/>
              </w:rPr>
            </w:pPr>
            <w:r>
              <w:rPr>
                <w:rFonts w:hint="eastAsia"/>
                <w:b w:val="0"/>
                <w:bCs w:val="0"/>
                <w:color w:val="000000"/>
                <w:kern w:val="0"/>
                <w:szCs w:val="21"/>
                <w:vertAlign w:val="baseline"/>
                <w:lang w:eastAsia="zh-CN"/>
              </w:rPr>
              <w:t>生活废水</w:t>
            </w:r>
          </w:p>
        </w:tc>
        <w:tc>
          <w:tcPr>
            <w:tcW w:w="1993" w:type="dxa"/>
            <w:vAlign w:val="center"/>
          </w:tcPr>
          <w:p w14:paraId="3BA95141">
            <w:pPr>
              <w:pStyle w:val="62"/>
              <w:spacing w:after="0" w:line="240" w:lineRule="auto"/>
              <w:jc w:val="center"/>
              <w:rPr>
                <w:rFonts w:hint="eastAsia" w:eastAsia="宋体"/>
                <w:b w:val="0"/>
                <w:bCs w:val="0"/>
                <w:color w:val="000000"/>
                <w:kern w:val="0"/>
                <w:szCs w:val="21"/>
                <w:vertAlign w:val="baseline"/>
                <w:lang w:val="en-US" w:eastAsia="zh-CN"/>
              </w:rPr>
            </w:pPr>
            <w:r>
              <w:rPr>
                <w:rFonts w:hint="eastAsia"/>
                <w:b w:val="0"/>
                <w:bCs w:val="0"/>
                <w:color w:val="000000"/>
                <w:kern w:val="0"/>
                <w:szCs w:val="21"/>
                <w:vertAlign w:val="baseline"/>
                <w:lang w:val="en-US" w:eastAsia="zh-CN"/>
              </w:rPr>
              <w:t>COD</w:t>
            </w:r>
            <w:r>
              <w:rPr>
                <w:rFonts w:hint="eastAsia"/>
                <w:b w:val="0"/>
                <w:bCs w:val="0"/>
                <w:color w:val="000000"/>
                <w:kern w:val="0"/>
                <w:szCs w:val="21"/>
                <w:vertAlign w:val="subscript"/>
                <w:lang w:val="en-US" w:eastAsia="zh-CN"/>
              </w:rPr>
              <w:t>cr</w:t>
            </w:r>
            <w:r>
              <w:rPr>
                <w:rFonts w:hint="eastAsia"/>
                <w:b w:val="0"/>
                <w:bCs w:val="0"/>
                <w:color w:val="000000"/>
                <w:kern w:val="0"/>
                <w:szCs w:val="21"/>
                <w:vertAlign w:val="baseline"/>
                <w:lang w:val="en-US" w:eastAsia="zh-CN"/>
              </w:rPr>
              <w:t>、BOD</w:t>
            </w:r>
            <w:r>
              <w:rPr>
                <w:rFonts w:hint="eastAsia"/>
                <w:b w:val="0"/>
                <w:bCs w:val="0"/>
                <w:color w:val="000000"/>
                <w:kern w:val="0"/>
                <w:szCs w:val="21"/>
                <w:vertAlign w:val="subscript"/>
                <w:lang w:val="en-US" w:eastAsia="zh-CN"/>
              </w:rPr>
              <w:t>5</w:t>
            </w:r>
            <w:r>
              <w:rPr>
                <w:rFonts w:hint="eastAsia"/>
                <w:b w:val="0"/>
                <w:bCs w:val="0"/>
                <w:color w:val="000000"/>
                <w:kern w:val="0"/>
                <w:szCs w:val="21"/>
                <w:vertAlign w:val="baseline"/>
                <w:lang w:val="en-US" w:eastAsia="zh-CN"/>
              </w:rPr>
              <w:t>、SS、NH</w:t>
            </w:r>
            <w:r>
              <w:rPr>
                <w:rFonts w:hint="eastAsia"/>
                <w:b w:val="0"/>
                <w:bCs w:val="0"/>
                <w:color w:val="000000"/>
                <w:kern w:val="0"/>
                <w:szCs w:val="21"/>
                <w:vertAlign w:val="subscript"/>
                <w:lang w:val="en-US" w:eastAsia="zh-CN"/>
              </w:rPr>
              <w:t>3</w:t>
            </w:r>
            <w:r>
              <w:rPr>
                <w:rFonts w:hint="eastAsia"/>
                <w:b w:val="0"/>
                <w:bCs w:val="0"/>
                <w:color w:val="000000"/>
                <w:kern w:val="0"/>
                <w:szCs w:val="21"/>
                <w:vertAlign w:val="baseline"/>
                <w:lang w:val="en-US" w:eastAsia="zh-CN"/>
              </w:rPr>
              <w:t>-N</w:t>
            </w:r>
          </w:p>
        </w:tc>
        <w:tc>
          <w:tcPr>
            <w:tcW w:w="3557" w:type="dxa"/>
            <w:vAlign w:val="center"/>
          </w:tcPr>
          <w:p w14:paraId="37277FEF">
            <w:pPr>
              <w:pStyle w:val="62"/>
              <w:spacing w:after="0" w:line="240" w:lineRule="auto"/>
              <w:jc w:val="center"/>
              <w:rPr>
                <w:rFonts w:hint="default" w:eastAsia="宋体"/>
                <w:b w:val="0"/>
                <w:bCs w:val="0"/>
                <w:color w:val="000000"/>
                <w:kern w:val="0"/>
                <w:szCs w:val="21"/>
                <w:vertAlign w:val="baseline"/>
                <w:lang w:val="en-US" w:eastAsia="zh-CN"/>
              </w:rPr>
            </w:pPr>
            <w:r>
              <w:rPr>
                <w:rFonts w:hint="eastAsia"/>
                <w:b w:val="0"/>
                <w:bCs w:val="0"/>
                <w:color w:val="000000"/>
                <w:kern w:val="0"/>
                <w:szCs w:val="21"/>
                <w:vertAlign w:val="baseline"/>
                <w:lang w:val="en-US" w:eastAsia="zh-CN"/>
              </w:rPr>
              <w:t>防渗化粪池</w:t>
            </w:r>
          </w:p>
        </w:tc>
        <w:tc>
          <w:tcPr>
            <w:tcW w:w="900" w:type="dxa"/>
            <w:vAlign w:val="center"/>
          </w:tcPr>
          <w:p w14:paraId="67513EA9">
            <w:pPr>
              <w:pStyle w:val="62"/>
              <w:spacing w:after="0" w:line="240" w:lineRule="auto"/>
              <w:jc w:val="center"/>
              <w:rPr>
                <w:rFonts w:hint="default" w:eastAsia="宋体"/>
                <w:b w:val="0"/>
                <w:bCs w:val="0"/>
                <w:color w:val="000000"/>
                <w:kern w:val="0"/>
                <w:szCs w:val="21"/>
                <w:vertAlign w:val="baseline"/>
                <w:lang w:val="en-US" w:eastAsia="zh-CN"/>
              </w:rPr>
            </w:pPr>
            <w:r>
              <w:rPr>
                <w:rFonts w:hint="eastAsia"/>
                <w:b w:val="0"/>
                <w:bCs w:val="0"/>
                <w:color w:val="000000"/>
                <w:kern w:val="0"/>
                <w:szCs w:val="21"/>
                <w:vertAlign w:val="baseline"/>
                <w:lang w:val="en-US" w:eastAsia="zh-CN"/>
              </w:rPr>
              <w:t>1座10m</w:t>
            </w:r>
            <w:r>
              <w:rPr>
                <w:rFonts w:hint="eastAsia"/>
                <w:b w:val="0"/>
                <w:bCs w:val="0"/>
                <w:color w:val="000000"/>
                <w:kern w:val="0"/>
                <w:szCs w:val="21"/>
                <w:vertAlign w:val="superscript"/>
                <w:lang w:val="en-US" w:eastAsia="zh-CN"/>
              </w:rPr>
              <w:t>3</w:t>
            </w:r>
          </w:p>
        </w:tc>
        <w:tc>
          <w:tcPr>
            <w:tcW w:w="4052" w:type="dxa"/>
            <w:vAlign w:val="center"/>
          </w:tcPr>
          <w:p w14:paraId="2285722F">
            <w:pPr>
              <w:pStyle w:val="62"/>
              <w:spacing w:after="0" w:line="240" w:lineRule="auto"/>
              <w:jc w:val="center"/>
              <w:rPr>
                <w:rFonts w:hint="eastAsia" w:eastAsia="宋体"/>
                <w:b w:val="0"/>
                <w:bCs w:val="0"/>
                <w:color w:val="000000"/>
                <w:kern w:val="0"/>
                <w:szCs w:val="21"/>
                <w:vertAlign w:val="baseline"/>
                <w:lang w:eastAsia="zh-CN"/>
              </w:rPr>
            </w:pPr>
            <w:r>
              <w:rPr>
                <w:rFonts w:hint="eastAsia" w:eastAsia="宋体"/>
                <w:b w:val="0"/>
                <w:bCs w:val="0"/>
                <w:color w:val="000000"/>
                <w:kern w:val="0"/>
                <w:szCs w:val="21"/>
                <w:vertAlign w:val="baseline"/>
                <w:lang w:eastAsia="zh-CN"/>
              </w:rPr>
              <w:t>《污水综合排放标准》（GB8978-1996）表4三级标准限值</w:t>
            </w:r>
          </w:p>
        </w:tc>
      </w:tr>
      <w:tr w14:paraId="55986F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trPr>
        <w:tc>
          <w:tcPr>
            <w:tcW w:w="985" w:type="dxa"/>
            <w:vAlign w:val="center"/>
          </w:tcPr>
          <w:p w14:paraId="5EAB9328">
            <w:pPr>
              <w:pStyle w:val="62"/>
              <w:spacing w:after="0" w:line="240" w:lineRule="auto"/>
              <w:jc w:val="center"/>
              <w:rPr>
                <w:rFonts w:hint="eastAsia" w:eastAsia="宋体"/>
                <w:b w:val="0"/>
                <w:bCs w:val="0"/>
                <w:color w:val="000000"/>
                <w:kern w:val="0"/>
                <w:szCs w:val="21"/>
                <w:vertAlign w:val="baseline"/>
                <w:lang w:eastAsia="zh-CN"/>
              </w:rPr>
            </w:pPr>
            <w:r>
              <w:rPr>
                <w:rFonts w:hint="eastAsia"/>
                <w:b w:val="0"/>
                <w:bCs w:val="0"/>
                <w:color w:val="000000"/>
                <w:kern w:val="0"/>
                <w:szCs w:val="21"/>
                <w:vertAlign w:val="baseline"/>
                <w:lang w:eastAsia="zh-CN"/>
              </w:rPr>
              <w:t>噪声控制</w:t>
            </w:r>
          </w:p>
        </w:tc>
        <w:tc>
          <w:tcPr>
            <w:tcW w:w="2609" w:type="dxa"/>
            <w:gridSpan w:val="3"/>
            <w:shd w:val="clear" w:color="auto" w:fill="auto"/>
            <w:vAlign w:val="center"/>
          </w:tcPr>
          <w:p w14:paraId="04713F8A">
            <w:pPr>
              <w:pStyle w:val="62"/>
              <w:spacing w:after="0" w:line="240" w:lineRule="auto"/>
              <w:jc w:val="center"/>
              <w:rPr>
                <w:rFonts w:hint="eastAsia" w:ascii="Times New Roman" w:hAnsi="Times New Roman" w:eastAsia="宋体" w:cs="Times New Roman"/>
                <w:b w:val="0"/>
                <w:bCs w:val="0"/>
                <w:color w:val="000000"/>
                <w:kern w:val="0"/>
                <w:sz w:val="21"/>
                <w:szCs w:val="21"/>
                <w:vertAlign w:val="baseline"/>
                <w:lang w:val="en-US" w:eastAsia="zh-CN" w:bidi="ar-SA"/>
              </w:rPr>
            </w:pPr>
            <w:r>
              <w:rPr>
                <w:rFonts w:hint="eastAsia"/>
                <w:b w:val="0"/>
                <w:bCs w:val="0"/>
                <w:color w:val="000000"/>
                <w:kern w:val="0"/>
                <w:szCs w:val="21"/>
                <w:vertAlign w:val="baseline"/>
                <w:lang w:eastAsia="zh-CN"/>
              </w:rPr>
              <w:t>各类高噪音设备</w:t>
            </w:r>
            <w:r>
              <w:rPr>
                <w:rFonts w:hint="eastAsia"/>
                <w:b w:val="0"/>
                <w:bCs w:val="0"/>
                <w:color w:val="000000"/>
                <w:kern w:val="0"/>
                <w:szCs w:val="21"/>
                <w:vertAlign w:val="baseline"/>
                <w:lang w:val="en-US" w:eastAsia="zh-CN"/>
              </w:rPr>
              <w:t xml:space="preserve"> </w:t>
            </w:r>
          </w:p>
        </w:tc>
        <w:tc>
          <w:tcPr>
            <w:tcW w:w="1993" w:type="dxa"/>
            <w:vAlign w:val="center"/>
          </w:tcPr>
          <w:p w14:paraId="3DD771B7">
            <w:pPr>
              <w:pStyle w:val="62"/>
              <w:spacing w:after="0" w:line="240" w:lineRule="auto"/>
              <w:jc w:val="center"/>
              <w:rPr>
                <w:rFonts w:hint="eastAsia"/>
                <w:b w:val="0"/>
                <w:bCs w:val="0"/>
                <w:color w:val="000000"/>
                <w:kern w:val="0"/>
                <w:szCs w:val="21"/>
                <w:vertAlign w:val="baseline"/>
              </w:rPr>
            </w:pPr>
            <w:r>
              <w:rPr>
                <w:rFonts w:hint="eastAsia"/>
                <w:b w:val="0"/>
                <w:bCs w:val="0"/>
                <w:color w:val="000000"/>
                <w:kern w:val="0"/>
                <w:szCs w:val="21"/>
                <w:vertAlign w:val="baseline"/>
                <w:lang w:eastAsia="zh-CN"/>
              </w:rPr>
              <w:t>机械噪声</w:t>
            </w:r>
          </w:p>
        </w:tc>
        <w:tc>
          <w:tcPr>
            <w:tcW w:w="3557" w:type="dxa"/>
            <w:vAlign w:val="center"/>
          </w:tcPr>
          <w:p w14:paraId="7821D06C">
            <w:pPr>
              <w:pStyle w:val="62"/>
              <w:spacing w:after="0" w:line="240" w:lineRule="auto"/>
              <w:jc w:val="center"/>
              <w:rPr>
                <w:rFonts w:hint="eastAsia"/>
                <w:b w:val="0"/>
                <w:bCs w:val="0"/>
                <w:color w:val="000000"/>
                <w:kern w:val="0"/>
                <w:szCs w:val="21"/>
                <w:vertAlign w:val="baseline"/>
              </w:rPr>
            </w:pPr>
            <w:r>
              <w:rPr>
                <w:rFonts w:hint="eastAsia"/>
                <w:b w:val="0"/>
                <w:bCs w:val="0"/>
                <w:color w:val="000000"/>
                <w:kern w:val="0"/>
                <w:szCs w:val="21"/>
                <w:vertAlign w:val="baseline"/>
              </w:rPr>
              <w:t>合理布局、基础减振、建筑隔声等措施</w:t>
            </w:r>
          </w:p>
        </w:tc>
        <w:tc>
          <w:tcPr>
            <w:tcW w:w="900" w:type="dxa"/>
            <w:vAlign w:val="center"/>
          </w:tcPr>
          <w:p w14:paraId="40E0E910">
            <w:pPr>
              <w:pStyle w:val="62"/>
              <w:spacing w:after="0" w:line="240" w:lineRule="auto"/>
              <w:jc w:val="center"/>
              <w:rPr>
                <w:rFonts w:hint="eastAsia" w:eastAsia="宋体"/>
                <w:b w:val="0"/>
                <w:bCs w:val="0"/>
                <w:color w:val="000000"/>
                <w:kern w:val="0"/>
                <w:szCs w:val="21"/>
                <w:vertAlign w:val="baseline"/>
                <w:lang w:eastAsia="zh-CN"/>
              </w:rPr>
            </w:pPr>
            <w:r>
              <w:rPr>
                <w:rFonts w:hint="eastAsia"/>
                <w:b w:val="0"/>
                <w:bCs w:val="0"/>
                <w:color w:val="000000"/>
                <w:kern w:val="0"/>
                <w:szCs w:val="21"/>
                <w:vertAlign w:val="baseline"/>
                <w:lang w:eastAsia="zh-CN"/>
              </w:rPr>
              <w:t>若干</w:t>
            </w:r>
          </w:p>
        </w:tc>
        <w:tc>
          <w:tcPr>
            <w:tcW w:w="4052" w:type="dxa"/>
            <w:vAlign w:val="center"/>
          </w:tcPr>
          <w:p w14:paraId="39C7D5D5">
            <w:pPr>
              <w:pStyle w:val="62"/>
              <w:spacing w:after="0" w:line="240" w:lineRule="auto"/>
              <w:jc w:val="center"/>
              <w:rPr>
                <w:rFonts w:hint="eastAsia"/>
                <w:b w:val="0"/>
                <w:bCs w:val="0"/>
                <w:color w:val="000000"/>
                <w:kern w:val="0"/>
                <w:szCs w:val="21"/>
                <w:vertAlign w:val="baseline"/>
              </w:rPr>
            </w:pPr>
            <w:r>
              <w:rPr>
                <w:rFonts w:hint="eastAsia"/>
                <w:b w:val="0"/>
                <w:bCs w:val="0"/>
                <w:color w:val="000000"/>
                <w:kern w:val="0"/>
                <w:szCs w:val="21"/>
                <w:vertAlign w:val="baseline"/>
              </w:rPr>
              <w:t>《工业企业厂界环境噪声排放标准》（GB12348-2008）中</w:t>
            </w:r>
            <w:r>
              <w:rPr>
                <w:rFonts w:hint="eastAsia"/>
                <w:b w:val="0"/>
                <w:bCs w:val="0"/>
                <w:color w:val="000000"/>
                <w:kern w:val="0"/>
                <w:szCs w:val="21"/>
                <w:vertAlign w:val="baseline"/>
                <w:lang w:val="en-US" w:eastAsia="zh-CN"/>
              </w:rPr>
              <w:t>2</w:t>
            </w:r>
            <w:r>
              <w:rPr>
                <w:rFonts w:hint="eastAsia"/>
                <w:b w:val="0"/>
                <w:bCs w:val="0"/>
                <w:color w:val="000000"/>
                <w:kern w:val="0"/>
                <w:szCs w:val="21"/>
                <w:vertAlign w:val="baseline"/>
              </w:rPr>
              <w:t>类标准</w:t>
            </w:r>
          </w:p>
        </w:tc>
      </w:tr>
      <w:tr w14:paraId="63398B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trPr>
        <w:tc>
          <w:tcPr>
            <w:tcW w:w="985" w:type="dxa"/>
            <w:vMerge w:val="restart"/>
            <w:vAlign w:val="center"/>
          </w:tcPr>
          <w:p w14:paraId="0E8C42AD">
            <w:pPr>
              <w:pStyle w:val="62"/>
              <w:spacing w:after="0" w:line="240" w:lineRule="auto"/>
              <w:jc w:val="center"/>
              <w:rPr>
                <w:rFonts w:hint="eastAsia" w:eastAsia="宋体"/>
                <w:b w:val="0"/>
                <w:bCs w:val="0"/>
                <w:color w:val="000000"/>
                <w:kern w:val="0"/>
                <w:szCs w:val="21"/>
                <w:vertAlign w:val="baseline"/>
                <w:lang w:eastAsia="zh-CN"/>
              </w:rPr>
            </w:pPr>
            <w:r>
              <w:rPr>
                <w:rFonts w:hint="eastAsia"/>
                <w:b w:val="0"/>
                <w:bCs w:val="0"/>
                <w:color w:val="000000"/>
                <w:kern w:val="0"/>
                <w:szCs w:val="21"/>
                <w:vertAlign w:val="baseline"/>
                <w:lang w:eastAsia="zh-CN"/>
              </w:rPr>
              <w:t>固体废物</w:t>
            </w:r>
          </w:p>
        </w:tc>
        <w:tc>
          <w:tcPr>
            <w:tcW w:w="2609" w:type="dxa"/>
            <w:gridSpan w:val="3"/>
            <w:shd w:val="clear" w:color="auto" w:fill="auto"/>
            <w:vAlign w:val="center"/>
          </w:tcPr>
          <w:p w14:paraId="51035646">
            <w:pPr>
              <w:pStyle w:val="62"/>
              <w:spacing w:after="0" w:line="240" w:lineRule="auto"/>
              <w:jc w:val="center"/>
              <w:rPr>
                <w:rFonts w:hint="eastAsia" w:ascii="Times New Roman" w:hAnsi="Times New Roman" w:eastAsia="宋体" w:cs="Times New Roman"/>
                <w:b w:val="0"/>
                <w:bCs w:val="0"/>
                <w:color w:val="000000"/>
                <w:kern w:val="0"/>
                <w:sz w:val="21"/>
                <w:szCs w:val="21"/>
                <w:vertAlign w:val="baseline"/>
                <w:lang w:val="en-US" w:eastAsia="zh-CN" w:bidi="ar-SA"/>
              </w:rPr>
            </w:pPr>
            <w:r>
              <w:rPr>
                <w:rFonts w:hint="eastAsia"/>
                <w:b w:val="0"/>
                <w:bCs w:val="0"/>
                <w:color w:val="000000"/>
                <w:kern w:val="0"/>
                <w:szCs w:val="21"/>
                <w:vertAlign w:val="baseline"/>
                <w:lang w:eastAsia="zh-CN"/>
              </w:rPr>
              <w:t>生活垃圾</w:t>
            </w:r>
          </w:p>
        </w:tc>
        <w:tc>
          <w:tcPr>
            <w:tcW w:w="1993" w:type="dxa"/>
            <w:vAlign w:val="center"/>
          </w:tcPr>
          <w:p w14:paraId="7E15A592">
            <w:pPr>
              <w:pStyle w:val="62"/>
              <w:spacing w:after="0" w:line="240" w:lineRule="auto"/>
              <w:jc w:val="center"/>
              <w:rPr>
                <w:rFonts w:hint="eastAsia" w:eastAsia="宋体"/>
                <w:b w:val="0"/>
                <w:bCs w:val="0"/>
                <w:color w:val="000000"/>
                <w:kern w:val="0"/>
                <w:szCs w:val="21"/>
                <w:vertAlign w:val="baseline"/>
                <w:lang w:eastAsia="zh-CN"/>
              </w:rPr>
            </w:pPr>
            <w:r>
              <w:rPr>
                <w:rFonts w:hint="eastAsia"/>
                <w:b w:val="0"/>
                <w:bCs w:val="0"/>
                <w:color w:val="000000"/>
                <w:kern w:val="0"/>
                <w:szCs w:val="21"/>
                <w:vertAlign w:val="baseline"/>
                <w:lang w:eastAsia="zh-CN"/>
              </w:rPr>
              <w:t>生活垃圾</w:t>
            </w:r>
          </w:p>
        </w:tc>
        <w:tc>
          <w:tcPr>
            <w:tcW w:w="3557" w:type="dxa"/>
            <w:vAlign w:val="center"/>
          </w:tcPr>
          <w:p w14:paraId="4755CCD3">
            <w:pPr>
              <w:pStyle w:val="62"/>
              <w:spacing w:after="0" w:line="240" w:lineRule="auto"/>
              <w:jc w:val="center"/>
              <w:rPr>
                <w:rFonts w:hint="eastAsia"/>
                <w:b w:val="0"/>
                <w:bCs w:val="0"/>
                <w:color w:val="000000"/>
                <w:kern w:val="0"/>
                <w:szCs w:val="21"/>
                <w:vertAlign w:val="baseline"/>
              </w:rPr>
            </w:pPr>
            <w:r>
              <w:rPr>
                <w:rFonts w:hint="eastAsia"/>
                <w:b w:val="0"/>
                <w:bCs w:val="0"/>
                <w:color w:val="000000"/>
                <w:kern w:val="0"/>
                <w:szCs w:val="21"/>
                <w:vertAlign w:val="baseline"/>
              </w:rPr>
              <w:t>垃圾桶/垃圾袋分类集中收集</w:t>
            </w:r>
            <w:r>
              <w:rPr>
                <w:rFonts w:hint="eastAsia"/>
                <w:b w:val="0"/>
                <w:bCs w:val="0"/>
                <w:color w:val="000000"/>
                <w:kern w:val="0"/>
                <w:szCs w:val="21"/>
                <w:vertAlign w:val="baseline"/>
                <w:lang w:eastAsia="zh-CN"/>
              </w:rPr>
              <w:t>，</w:t>
            </w:r>
            <w:r>
              <w:rPr>
                <w:szCs w:val="21"/>
              </w:rPr>
              <w:t>统一收集后交由环卫部门清运处理</w:t>
            </w:r>
          </w:p>
        </w:tc>
        <w:tc>
          <w:tcPr>
            <w:tcW w:w="900" w:type="dxa"/>
            <w:vAlign w:val="center"/>
          </w:tcPr>
          <w:p w14:paraId="486866AF">
            <w:pPr>
              <w:pStyle w:val="62"/>
              <w:spacing w:after="0" w:line="240" w:lineRule="auto"/>
              <w:jc w:val="center"/>
              <w:rPr>
                <w:rFonts w:hint="eastAsia" w:eastAsia="宋体"/>
                <w:b w:val="0"/>
                <w:bCs w:val="0"/>
                <w:color w:val="000000"/>
                <w:kern w:val="0"/>
                <w:szCs w:val="21"/>
                <w:vertAlign w:val="baseline"/>
                <w:lang w:val="en-US" w:eastAsia="zh-CN"/>
              </w:rPr>
            </w:pPr>
            <w:r>
              <w:rPr>
                <w:rFonts w:hint="eastAsia"/>
                <w:b w:val="0"/>
                <w:bCs w:val="0"/>
                <w:color w:val="000000"/>
                <w:kern w:val="0"/>
                <w:szCs w:val="21"/>
                <w:vertAlign w:val="baseline"/>
              </w:rPr>
              <w:t>垃圾桶</w:t>
            </w:r>
            <w:r>
              <w:rPr>
                <w:rFonts w:hint="eastAsia"/>
                <w:b w:val="0"/>
                <w:bCs w:val="0"/>
                <w:color w:val="000000"/>
                <w:kern w:val="0"/>
                <w:szCs w:val="21"/>
                <w:vertAlign w:val="baseline"/>
                <w:lang w:val="en-US" w:eastAsia="zh-CN"/>
              </w:rPr>
              <w:t>1个</w:t>
            </w:r>
          </w:p>
        </w:tc>
        <w:tc>
          <w:tcPr>
            <w:tcW w:w="4052" w:type="dxa"/>
            <w:vMerge w:val="restart"/>
            <w:vAlign w:val="center"/>
          </w:tcPr>
          <w:p w14:paraId="4E41556F">
            <w:pPr>
              <w:pStyle w:val="62"/>
              <w:spacing w:after="0" w:line="240" w:lineRule="auto"/>
              <w:jc w:val="center"/>
              <w:rPr>
                <w:rFonts w:hint="eastAsia"/>
                <w:b w:val="0"/>
                <w:bCs w:val="0"/>
                <w:color w:val="000000"/>
                <w:kern w:val="0"/>
                <w:szCs w:val="21"/>
                <w:vertAlign w:val="baseline"/>
              </w:rPr>
            </w:pPr>
            <w:r>
              <w:rPr>
                <w:rFonts w:hint="eastAsia" w:ascii="Times New Roman" w:hAnsi="Times New Roman" w:eastAsia="宋体" w:cs="Times New Roman"/>
                <w:b w:val="0"/>
                <w:bCs w:val="0"/>
                <w:color w:val="000000"/>
                <w:kern w:val="0"/>
                <w:szCs w:val="21"/>
                <w:vertAlign w:val="baseline"/>
              </w:rPr>
              <w:t>《一般工业固体废物贮存和填埋污染控制标准》（GB18599-2020）</w:t>
            </w:r>
          </w:p>
        </w:tc>
      </w:tr>
      <w:tr w14:paraId="4E7F8E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trPr>
        <w:tc>
          <w:tcPr>
            <w:tcW w:w="985" w:type="dxa"/>
            <w:vMerge w:val="continue"/>
            <w:vAlign w:val="center"/>
          </w:tcPr>
          <w:p w14:paraId="0AEA03E8">
            <w:pPr>
              <w:pStyle w:val="62"/>
              <w:spacing w:after="0" w:line="240" w:lineRule="auto"/>
              <w:jc w:val="center"/>
              <w:rPr>
                <w:rFonts w:hint="eastAsia" w:eastAsia="宋体"/>
                <w:b w:val="0"/>
                <w:bCs w:val="0"/>
                <w:color w:val="000000"/>
                <w:kern w:val="0"/>
                <w:szCs w:val="21"/>
                <w:vertAlign w:val="baseline"/>
                <w:lang w:eastAsia="zh-CN"/>
              </w:rPr>
            </w:pPr>
          </w:p>
        </w:tc>
        <w:tc>
          <w:tcPr>
            <w:tcW w:w="2609" w:type="dxa"/>
            <w:gridSpan w:val="3"/>
            <w:vMerge w:val="restart"/>
            <w:shd w:val="clear" w:color="auto" w:fill="auto"/>
            <w:vAlign w:val="center"/>
          </w:tcPr>
          <w:p w14:paraId="5ECDCDDD">
            <w:pPr>
              <w:pStyle w:val="62"/>
              <w:spacing w:after="0" w:line="240" w:lineRule="auto"/>
              <w:jc w:val="center"/>
              <w:rPr>
                <w:rFonts w:hint="eastAsia" w:ascii="Times New Roman" w:hAnsi="Times New Roman" w:eastAsia="宋体" w:cs="Times New Roman"/>
                <w:b w:val="0"/>
                <w:bCs w:val="0"/>
                <w:color w:val="000000"/>
                <w:kern w:val="0"/>
                <w:sz w:val="21"/>
                <w:szCs w:val="21"/>
                <w:vertAlign w:val="baseline"/>
                <w:lang w:val="en-US" w:eastAsia="zh-CN" w:bidi="ar-SA"/>
              </w:rPr>
            </w:pPr>
            <w:r>
              <w:rPr>
                <w:rFonts w:hint="eastAsia"/>
                <w:b w:val="0"/>
                <w:bCs w:val="0"/>
                <w:color w:val="000000"/>
                <w:kern w:val="0"/>
                <w:szCs w:val="21"/>
                <w:vertAlign w:val="baseline"/>
                <w:lang w:eastAsia="zh-CN"/>
              </w:rPr>
              <w:t>一般工业固废</w:t>
            </w:r>
          </w:p>
        </w:tc>
        <w:tc>
          <w:tcPr>
            <w:tcW w:w="1993" w:type="dxa"/>
            <w:vAlign w:val="center"/>
          </w:tcPr>
          <w:p w14:paraId="70C4E648">
            <w:pPr>
              <w:pStyle w:val="62"/>
              <w:spacing w:after="0" w:line="240" w:lineRule="auto"/>
              <w:jc w:val="center"/>
              <w:rPr>
                <w:rFonts w:hint="eastAsia"/>
                <w:b w:val="0"/>
                <w:bCs w:val="0"/>
                <w:color w:val="000000"/>
                <w:kern w:val="0"/>
                <w:szCs w:val="21"/>
                <w:vertAlign w:val="baseline"/>
              </w:rPr>
            </w:pPr>
            <w:r>
              <w:rPr>
                <w:rFonts w:hint="eastAsia"/>
                <w:szCs w:val="21"/>
              </w:rPr>
              <w:t>不合格品和</w:t>
            </w:r>
            <w:r>
              <w:rPr>
                <w:szCs w:val="21"/>
              </w:rPr>
              <w:t>残次品及边角料</w:t>
            </w:r>
          </w:p>
        </w:tc>
        <w:tc>
          <w:tcPr>
            <w:tcW w:w="3557" w:type="dxa"/>
            <w:vAlign w:val="center"/>
          </w:tcPr>
          <w:p w14:paraId="7E2F0440">
            <w:pPr>
              <w:pStyle w:val="62"/>
              <w:spacing w:after="0" w:line="240" w:lineRule="auto"/>
              <w:jc w:val="center"/>
              <w:rPr>
                <w:rFonts w:hint="eastAsia"/>
                <w:b w:val="0"/>
                <w:bCs w:val="0"/>
                <w:color w:val="000000"/>
                <w:kern w:val="0"/>
                <w:szCs w:val="21"/>
                <w:vertAlign w:val="baseline"/>
              </w:rPr>
            </w:pPr>
            <w:r>
              <w:rPr>
                <w:rFonts w:hint="eastAsia"/>
                <w:szCs w:val="21"/>
              </w:rPr>
              <w:t>集中收集</w:t>
            </w:r>
            <w:r>
              <w:rPr>
                <w:szCs w:val="21"/>
              </w:rPr>
              <w:t>后全部</w:t>
            </w:r>
            <w:r>
              <w:rPr>
                <w:rFonts w:hint="eastAsia"/>
                <w:szCs w:val="21"/>
              </w:rPr>
              <w:t>返回造粒工序</w:t>
            </w:r>
          </w:p>
        </w:tc>
        <w:tc>
          <w:tcPr>
            <w:tcW w:w="900" w:type="dxa"/>
            <w:vMerge w:val="restart"/>
            <w:vAlign w:val="center"/>
          </w:tcPr>
          <w:p w14:paraId="52B5066A">
            <w:pPr>
              <w:pStyle w:val="62"/>
              <w:spacing w:after="0" w:line="240" w:lineRule="auto"/>
              <w:jc w:val="center"/>
              <w:rPr>
                <w:rFonts w:hint="eastAsia"/>
                <w:b w:val="0"/>
                <w:bCs w:val="0"/>
                <w:color w:val="000000"/>
                <w:kern w:val="0"/>
                <w:szCs w:val="21"/>
                <w:vertAlign w:val="baseline"/>
              </w:rPr>
            </w:pPr>
            <w:r>
              <w:rPr>
                <w:rFonts w:hint="eastAsia"/>
                <w:b w:val="0"/>
                <w:bCs w:val="0"/>
                <w:color w:val="000000"/>
                <w:kern w:val="0"/>
                <w:szCs w:val="21"/>
                <w:vertAlign w:val="baseline"/>
                <w:lang w:val="en-US" w:eastAsia="zh-CN"/>
              </w:rPr>
              <w:t>1间10m</w:t>
            </w:r>
            <w:r>
              <w:rPr>
                <w:rFonts w:hint="eastAsia"/>
                <w:b w:val="0"/>
                <w:bCs w:val="0"/>
                <w:color w:val="000000"/>
                <w:kern w:val="0"/>
                <w:szCs w:val="21"/>
                <w:vertAlign w:val="superscript"/>
                <w:lang w:val="en-US" w:eastAsia="zh-CN"/>
              </w:rPr>
              <w:t>2</w:t>
            </w:r>
          </w:p>
        </w:tc>
        <w:tc>
          <w:tcPr>
            <w:tcW w:w="4052" w:type="dxa"/>
            <w:vMerge w:val="continue"/>
            <w:vAlign w:val="center"/>
          </w:tcPr>
          <w:p w14:paraId="27903360">
            <w:pPr>
              <w:pStyle w:val="62"/>
              <w:spacing w:after="0" w:line="240" w:lineRule="auto"/>
              <w:jc w:val="center"/>
              <w:rPr>
                <w:rFonts w:hint="eastAsia"/>
                <w:b w:val="0"/>
                <w:bCs w:val="0"/>
                <w:color w:val="000000"/>
                <w:kern w:val="0"/>
                <w:szCs w:val="21"/>
                <w:vertAlign w:val="baseline"/>
              </w:rPr>
            </w:pPr>
          </w:p>
        </w:tc>
      </w:tr>
      <w:tr w14:paraId="465802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trPr>
        <w:tc>
          <w:tcPr>
            <w:tcW w:w="985" w:type="dxa"/>
            <w:vMerge w:val="continue"/>
            <w:vAlign w:val="center"/>
          </w:tcPr>
          <w:p w14:paraId="0DD51941">
            <w:pPr>
              <w:pStyle w:val="62"/>
              <w:spacing w:after="0" w:line="240" w:lineRule="auto"/>
              <w:jc w:val="center"/>
              <w:rPr>
                <w:rFonts w:hint="eastAsia"/>
                <w:b w:val="0"/>
                <w:bCs w:val="0"/>
                <w:color w:val="000000"/>
                <w:kern w:val="0"/>
                <w:szCs w:val="21"/>
                <w:vertAlign w:val="baseline"/>
              </w:rPr>
            </w:pPr>
          </w:p>
        </w:tc>
        <w:tc>
          <w:tcPr>
            <w:tcW w:w="2609" w:type="dxa"/>
            <w:gridSpan w:val="3"/>
            <w:vMerge w:val="continue"/>
            <w:vAlign w:val="center"/>
          </w:tcPr>
          <w:p w14:paraId="51729673">
            <w:pPr>
              <w:pStyle w:val="62"/>
              <w:spacing w:after="0" w:line="240" w:lineRule="auto"/>
              <w:jc w:val="center"/>
              <w:rPr>
                <w:rFonts w:hint="eastAsia"/>
                <w:b w:val="0"/>
                <w:bCs w:val="0"/>
                <w:color w:val="000000"/>
                <w:kern w:val="0"/>
                <w:szCs w:val="21"/>
                <w:vertAlign w:val="baseline"/>
              </w:rPr>
            </w:pPr>
          </w:p>
        </w:tc>
        <w:tc>
          <w:tcPr>
            <w:tcW w:w="1993" w:type="dxa"/>
            <w:vAlign w:val="center"/>
          </w:tcPr>
          <w:p w14:paraId="00604B16">
            <w:pPr>
              <w:pStyle w:val="62"/>
              <w:spacing w:after="0" w:line="240" w:lineRule="auto"/>
              <w:jc w:val="center"/>
              <w:rPr>
                <w:rFonts w:hint="eastAsia"/>
                <w:b w:val="0"/>
                <w:bCs w:val="0"/>
                <w:color w:val="000000"/>
                <w:kern w:val="0"/>
                <w:szCs w:val="21"/>
                <w:vertAlign w:val="baseline"/>
              </w:rPr>
            </w:pPr>
            <w:r>
              <w:rPr>
                <w:rFonts w:hint="eastAsia"/>
                <w:szCs w:val="21"/>
              </w:rPr>
              <w:t>废过滤网</w:t>
            </w:r>
          </w:p>
        </w:tc>
        <w:tc>
          <w:tcPr>
            <w:tcW w:w="3557" w:type="dxa"/>
            <w:vAlign w:val="center"/>
          </w:tcPr>
          <w:p w14:paraId="51EC8175">
            <w:pPr>
              <w:pStyle w:val="62"/>
              <w:spacing w:after="0" w:line="240" w:lineRule="auto"/>
              <w:jc w:val="center"/>
              <w:rPr>
                <w:rFonts w:hint="eastAsia"/>
                <w:b w:val="0"/>
                <w:bCs w:val="0"/>
                <w:color w:val="000000"/>
                <w:kern w:val="0"/>
                <w:szCs w:val="21"/>
                <w:vertAlign w:val="baseline"/>
              </w:rPr>
            </w:pPr>
            <w:r>
              <w:rPr>
                <w:rFonts w:hint="eastAsia"/>
                <w:szCs w:val="21"/>
              </w:rPr>
              <w:t>集中收集后出售给废品收购站</w:t>
            </w:r>
          </w:p>
        </w:tc>
        <w:tc>
          <w:tcPr>
            <w:tcW w:w="900" w:type="dxa"/>
            <w:vMerge w:val="continue"/>
            <w:vAlign w:val="center"/>
          </w:tcPr>
          <w:p w14:paraId="5311AF88">
            <w:pPr>
              <w:pStyle w:val="62"/>
              <w:spacing w:after="0" w:line="240" w:lineRule="auto"/>
              <w:jc w:val="center"/>
              <w:rPr>
                <w:rFonts w:hint="eastAsia"/>
                <w:b w:val="0"/>
                <w:bCs w:val="0"/>
                <w:color w:val="000000"/>
                <w:kern w:val="0"/>
                <w:szCs w:val="21"/>
                <w:vertAlign w:val="baseline"/>
              </w:rPr>
            </w:pPr>
          </w:p>
        </w:tc>
        <w:tc>
          <w:tcPr>
            <w:tcW w:w="4052" w:type="dxa"/>
            <w:vMerge w:val="continue"/>
            <w:vAlign w:val="center"/>
          </w:tcPr>
          <w:p w14:paraId="480CFCCF">
            <w:pPr>
              <w:pStyle w:val="62"/>
              <w:spacing w:after="0" w:line="240" w:lineRule="auto"/>
              <w:jc w:val="center"/>
              <w:rPr>
                <w:rFonts w:hint="eastAsia"/>
                <w:b w:val="0"/>
                <w:bCs w:val="0"/>
                <w:color w:val="000000"/>
                <w:kern w:val="0"/>
                <w:szCs w:val="21"/>
                <w:vertAlign w:val="baseline"/>
              </w:rPr>
            </w:pPr>
          </w:p>
        </w:tc>
      </w:tr>
      <w:tr w14:paraId="4E6B2D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trPr>
        <w:tc>
          <w:tcPr>
            <w:tcW w:w="985" w:type="dxa"/>
            <w:vMerge w:val="continue"/>
            <w:vAlign w:val="center"/>
          </w:tcPr>
          <w:p w14:paraId="37E5107A">
            <w:pPr>
              <w:pStyle w:val="62"/>
              <w:spacing w:after="0" w:line="240" w:lineRule="auto"/>
              <w:jc w:val="center"/>
              <w:rPr>
                <w:rFonts w:hint="eastAsia"/>
                <w:b w:val="0"/>
                <w:bCs w:val="0"/>
                <w:color w:val="000000"/>
                <w:kern w:val="0"/>
                <w:szCs w:val="21"/>
                <w:vertAlign w:val="baseline"/>
              </w:rPr>
            </w:pPr>
          </w:p>
        </w:tc>
        <w:tc>
          <w:tcPr>
            <w:tcW w:w="2609" w:type="dxa"/>
            <w:gridSpan w:val="3"/>
            <w:vMerge w:val="continue"/>
            <w:vAlign w:val="center"/>
          </w:tcPr>
          <w:p w14:paraId="3303C7AE">
            <w:pPr>
              <w:pStyle w:val="62"/>
              <w:spacing w:after="0" w:line="240" w:lineRule="auto"/>
              <w:jc w:val="center"/>
              <w:rPr>
                <w:rFonts w:hint="eastAsia"/>
                <w:b w:val="0"/>
                <w:bCs w:val="0"/>
                <w:color w:val="000000"/>
                <w:kern w:val="0"/>
                <w:szCs w:val="21"/>
                <w:vertAlign w:val="baseline"/>
              </w:rPr>
            </w:pPr>
          </w:p>
        </w:tc>
        <w:tc>
          <w:tcPr>
            <w:tcW w:w="1993" w:type="dxa"/>
            <w:vAlign w:val="center"/>
          </w:tcPr>
          <w:p w14:paraId="00912520">
            <w:pPr>
              <w:pStyle w:val="62"/>
              <w:spacing w:after="0" w:line="240" w:lineRule="auto"/>
              <w:jc w:val="center"/>
              <w:rPr>
                <w:rFonts w:hint="eastAsia"/>
                <w:b w:val="0"/>
                <w:bCs w:val="0"/>
                <w:color w:val="000000"/>
                <w:kern w:val="0"/>
                <w:szCs w:val="21"/>
                <w:vertAlign w:val="baseline"/>
              </w:rPr>
            </w:pPr>
            <w:r>
              <w:rPr>
                <w:rFonts w:hint="eastAsia"/>
                <w:szCs w:val="21"/>
              </w:rPr>
              <w:t>熔融废渣</w:t>
            </w:r>
          </w:p>
        </w:tc>
        <w:tc>
          <w:tcPr>
            <w:tcW w:w="3557" w:type="dxa"/>
            <w:vAlign w:val="center"/>
          </w:tcPr>
          <w:p w14:paraId="2B1A7036">
            <w:pPr>
              <w:pStyle w:val="62"/>
              <w:spacing w:after="0" w:line="240" w:lineRule="auto"/>
              <w:jc w:val="center"/>
              <w:rPr>
                <w:rFonts w:hint="eastAsia"/>
                <w:b w:val="0"/>
                <w:bCs w:val="0"/>
                <w:color w:val="000000"/>
                <w:kern w:val="0"/>
                <w:szCs w:val="21"/>
                <w:vertAlign w:val="baseline"/>
              </w:rPr>
            </w:pPr>
            <w:r>
              <w:rPr>
                <w:szCs w:val="21"/>
              </w:rPr>
              <w:t>收集后外售给注塑厂</w:t>
            </w:r>
          </w:p>
        </w:tc>
        <w:tc>
          <w:tcPr>
            <w:tcW w:w="900" w:type="dxa"/>
            <w:vMerge w:val="continue"/>
            <w:vAlign w:val="center"/>
          </w:tcPr>
          <w:p w14:paraId="0A5D2C21">
            <w:pPr>
              <w:pStyle w:val="62"/>
              <w:spacing w:after="0" w:line="240" w:lineRule="auto"/>
              <w:jc w:val="center"/>
              <w:rPr>
                <w:rFonts w:hint="eastAsia"/>
                <w:b w:val="0"/>
                <w:bCs w:val="0"/>
                <w:color w:val="000000"/>
                <w:kern w:val="0"/>
                <w:szCs w:val="21"/>
                <w:vertAlign w:val="baseline"/>
              </w:rPr>
            </w:pPr>
          </w:p>
        </w:tc>
        <w:tc>
          <w:tcPr>
            <w:tcW w:w="4052" w:type="dxa"/>
            <w:vMerge w:val="continue"/>
            <w:vAlign w:val="center"/>
          </w:tcPr>
          <w:p w14:paraId="146F256F">
            <w:pPr>
              <w:pStyle w:val="62"/>
              <w:spacing w:after="0" w:line="240" w:lineRule="auto"/>
              <w:jc w:val="center"/>
              <w:rPr>
                <w:rFonts w:hint="eastAsia"/>
                <w:b w:val="0"/>
                <w:bCs w:val="0"/>
                <w:color w:val="000000"/>
                <w:kern w:val="0"/>
                <w:szCs w:val="21"/>
                <w:vertAlign w:val="baseline"/>
              </w:rPr>
            </w:pPr>
          </w:p>
        </w:tc>
      </w:tr>
      <w:tr w14:paraId="4F3544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trPr>
        <w:tc>
          <w:tcPr>
            <w:tcW w:w="985" w:type="dxa"/>
            <w:vMerge w:val="continue"/>
            <w:vAlign w:val="center"/>
          </w:tcPr>
          <w:p w14:paraId="577DEDC4">
            <w:pPr>
              <w:pStyle w:val="62"/>
              <w:spacing w:after="0" w:line="240" w:lineRule="auto"/>
              <w:jc w:val="center"/>
              <w:rPr>
                <w:rFonts w:hint="eastAsia"/>
                <w:b w:val="0"/>
                <w:bCs w:val="0"/>
                <w:color w:val="000000"/>
                <w:kern w:val="0"/>
                <w:szCs w:val="21"/>
                <w:vertAlign w:val="baseline"/>
              </w:rPr>
            </w:pPr>
          </w:p>
        </w:tc>
        <w:tc>
          <w:tcPr>
            <w:tcW w:w="2609" w:type="dxa"/>
            <w:gridSpan w:val="3"/>
            <w:vMerge w:val="continue"/>
            <w:vAlign w:val="center"/>
          </w:tcPr>
          <w:p w14:paraId="1A06D4AA">
            <w:pPr>
              <w:pStyle w:val="62"/>
              <w:spacing w:after="0" w:line="240" w:lineRule="auto"/>
              <w:jc w:val="center"/>
              <w:rPr>
                <w:rFonts w:hint="eastAsia"/>
                <w:b w:val="0"/>
                <w:bCs w:val="0"/>
                <w:color w:val="000000"/>
                <w:kern w:val="0"/>
                <w:szCs w:val="21"/>
                <w:vertAlign w:val="baseline"/>
              </w:rPr>
            </w:pPr>
          </w:p>
        </w:tc>
        <w:tc>
          <w:tcPr>
            <w:tcW w:w="1993" w:type="dxa"/>
            <w:vAlign w:val="center"/>
          </w:tcPr>
          <w:p w14:paraId="6D9B10E2">
            <w:pPr>
              <w:pStyle w:val="62"/>
              <w:spacing w:after="0" w:line="240" w:lineRule="auto"/>
              <w:jc w:val="center"/>
              <w:rPr>
                <w:rFonts w:hint="eastAsia"/>
                <w:szCs w:val="21"/>
              </w:rPr>
            </w:pPr>
            <w:r>
              <w:rPr>
                <w:rFonts w:hint="eastAsia"/>
                <w:szCs w:val="21"/>
              </w:rPr>
              <w:t>废催化剂</w:t>
            </w:r>
          </w:p>
        </w:tc>
        <w:tc>
          <w:tcPr>
            <w:tcW w:w="3557" w:type="dxa"/>
            <w:vAlign w:val="center"/>
          </w:tcPr>
          <w:p w14:paraId="7E7A31A1">
            <w:pPr>
              <w:pStyle w:val="62"/>
              <w:spacing w:after="0" w:line="240" w:lineRule="auto"/>
              <w:jc w:val="center"/>
              <w:rPr>
                <w:szCs w:val="21"/>
              </w:rPr>
            </w:pPr>
            <w:r>
              <w:rPr>
                <w:szCs w:val="21"/>
              </w:rPr>
              <w:t>定期更换由厂家回收</w:t>
            </w:r>
          </w:p>
        </w:tc>
        <w:tc>
          <w:tcPr>
            <w:tcW w:w="900" w:type="dxa"/>
            <w:vMerge w:val="continue"/>
            <w:vAlign w:val="center"/>
          </w:tcPr>
          <w:p w14:paraId="3239C5C1">
            <w:pPr>
              <w:pStyle w:val="62"/>
              <w:spacing w:after="0" w:line="240" w:lineRule="auto"/>
              <w:jc w:val="center"/>
              <w:rPr>
                <w:rFonts w:hint="eastAsia"/>
                <w:b w:val="0"/>
                <w:bCs w:val="0"/>
                <w:color w:val="000000"/>
                <w:kern w:val="0"/>
                <w:szCs w:val="21"/>
                <w:vertAlign w:val="baseline"/>
              </w:rPr>
            </w:pPr>
          </w:p>
        </w:tc>
        <w:tc>
          <w:tcPr>
            <w:tcW w:w="4052" w:type="dxa"/>
            <w:vMerge w:val="continue"/>
            <w:vAlign w:val="center"/>
          </w:tcPr>
          <w:p w14:paraId="5552EAD1">
            <w:pPr>
              <w:pStyle w:val="62"/>
              <w:spacing w:after="0" w:line="240" w:lineRule="auto"/>
              <w:jc w:val="center"/>
              <w:rPr>
                <w:rFonts w:hint="eastAsia"/>
                <w:b w:val="0"/>
                <w:bCs w:val="0"/>
                <w:color w:val="000000"/>
                <w:kern w:val="0"/>
                <w:szCs w:val="21"/>
                <w:vertAlign w:val="baseline"/>
              </w:rPr>
            </w:pPr>
          </w:p>
        </w:tc>
      </w:tr>
      <w:tr w14:paraId="591287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trPr>
        <w:tc>
          <w:tcPr>
            <w:tcW w:w="990" w:type="dxa"/>
            <w:gridSpan w:val="2"/>
            <w:vMerge w:val="restart"/>
            <w:vAlign w:val="center"/>
          </w:tcPr>
          <w:p w14:paraId="7887A9C1">
            <w:pPr>
              <w:pStyle w:val="62"/>
              <w:spacing w:after="0" w:line="240" w:lineRule="auto"/>
              <w:jc w:val="center"/>
              <w:rPr>
                <w:rFonts w:hint="eastAsia" w:eastAsia="宋体"/>
                <w:b w:val="0"/>
                <w:bCs w:val="0"/>
                <w:color w:val="000000"/>
                <w:kern w:val="0"/>
                <w:szCs w:val="21"/>
                <w:vertAlign w:val="baseline"/>
                <w:lang w:eastAsia="zh-CN"/>
              </w:rPr>
            </w:pPr>
          </w:p>
        </w:tc>
        <w:tc>
          <w:tcPr>
            <w:tcW w:w="2604" w:type="dxa"/>
            <w:gridSpan w:val="2"/>
            <w:vMerge w:val="restart"/>
            <w:vAlign w:val="center"/>
          </w:tcPr>
          <w:p w14:paraId="2623F2E3">
            <w:pPr>
              <w:pStyle w:val="62"/>
              <w:spacing w:after="0" w:line="240" w:lineRule="auto"/>
              <w:jc w:val="center"/>
              <w:rPr>
                <w:rFonts w:hint="eastAsia"/>
                <w:b w:val="0"/>
                <w:bCs w:val="0"/>
                <w:color w:val="000000"/>
                <w:kern w:val="0"/>
                <w:szCs w:val="21"/>
                <w:vertAlign w:val="baseline"/>
                <w:lang w:eastAsia="zh-CN"/>
              </w:rPr>
            </w:pPr>
            <w:r>
              <w:rPr>
                <w:rFonts w:hint="eastAsia"/>
                <w:b w:val="0"/>
                <w:bCs w:val="0"/>
                <w:color w:val="000000"/>
                <w:kern w:val="0"/>
                <w:szCs w:val="21"/>
                <w:vertAlign w:val="baseline"/>
                <w:lang w:eastAsia="zh-CN"/>
              </w:rPr>
              <w:t>危险废物</w:t>
            </w:r>
          </w:p>
        </w:tc>
        <w:tc>
          <w:tcPr>
            <w:tcW w:w="1993" w:type="dxa"/>
            <w:vAlign w:val="center"/>
          </w:tcPr>
          <w:p w14:paraId="7A8DDBA3">
            <w:pPr>
              <w:pStyle w:val="62"/>
              <w:spacing w:after="0" w:line="240" w:lineRule="auto"/>
              <w:jc w:val="center"/>
              <w:rPr>
                <w:rFonts w:hint="eastAsia"/>
                <w:szCs w:val="21"/>
              </w:rPr>
            </w:pPr>
            <w:r>
              <w:rPr>
                <w:szCs w:val="21"/>
              </w:rPr>
              <w:t>废润滑油</w:t>
            </w:r>
            <w:r>
              <w:rPr>
                <w:rFonts w:hint="eastAsia"/>
                <w:szCs w:val="21"/>
              </w:rPr>
              <w:t>及废润滑油桶</w:t>
            </w:r>
          </w:p>
        </w:tc>
        <w:tc>
          <w:tcPr>
            <w:tcW w:w="3557" w:type="dxa"/>
            <w:vMerge w:val="restart"/>
            <w:vAlign w:val="center"/>
          </w:tcPr>
          <w:p w14:paraId="5903955F">
            <w:pPr>
              <w:pStyle w:val="62"/>
              <w:spacing w:after="0" w:line="240" w:lineRule="auto"/>
              <w:jc w:val="center"/>
              <w:rPr>
                <w:szCs w:val="21"/>
              </w:rPr>
            </w:pPr>
            <w:r>
              <w:rPr>
                <w:szCs w:val="21"/>
              </w:rPr>
              <w:t>暂存于危废</w:t>
            </w:r>
            <w:r>
              <w:rPr>
                <w:rFonts w:hint="eastAsia"/>
                <w:szCs w:val="21"/>
              </w:rPr>
              <w:t>贮存点</w:t>
            </w:r>
            <w:r>
              <w:rPr>
                <w:szCs w:val="21"/>
              </w:rPr>
              <w:t>，定期交由有资质的单位</w:t>
            </w:r>
            <w:r>
              <w:rPr>
                <w:rFonts w:hint="eastAsia"/>
                <w:szCs w:val="21"/>
              </w:rPr>
              <w:t>处置</w:t>
            </w:r>
          </w:p>
        </w:tc>
        <w:tc>
          <w:tcPr>
            <w:tcW w:w="900" w:type="dxa"/>
            <w:vMerge w:val="restart"/>
            <w:vAlign w:val="center"/>
          </w:tcPr>
          <w:p w14:paraId="4FA5AEB3">
            <w:pPr>
              <w:pStyle w:val="62"/>
              <w:spacing w:after="0" w:line="240" w:lineRule="auto"/>
              <w:jc w:val="center"/>
              <w:rPr>
                <w:rFonts w:hint="default" w:eastAsia="宋体"/>
                <w:b w:val="0"/>
                <w:bCs w:val="0"/>
                <w:color w:val="000000"/>
                <w:kern w:val="0"/>
                <w:szCs w:val="21"/>
                <w:vertAlign w:val="baseline"/>
                <w:lang w:val="en-US" w:eastAsia="zh-CN"/>
              </w:rPr>
            </w:pPr>
            <w:r>
              <w:rPr>
                <w:rFonts w:hint="eastAsia"/>
                <w:b w:val="0"/>
                <w:bCs w:val="0"/>
                <w:color w:val="000000"/>
                <w:kern w:val="0"/>
                <w:szCs w:val="21"/>
                <w:vertAlign w:val="baseline"/>
                <w:lang w:val="en-US" w:eastAsia="zh-CN"/>
              </w:rPr>
              <w:t>1间10m</w:t>
            </w:r>
            <w:r>
              <w:rPr>
                <w:rFonts w:hint="eastAsia"/>
                <w:b w:val="0"/>
                <w:bCs w:val="0"/>
                <w:color w:val="000000"/>
                <w:kern w:val="0"/>
                <w:szCs w:val="21"/>
                <w:vertAlign w:val="superscript"/>
                <w:lang w:val="en-US" w:eastAsia="zh-CN"/>
              </w:rPr>
              <w:t>2</w:t>
            </w:r>
          </w:p>
        </w:tc>
        <w:tc>
          <w:tcPr>
            <w:tcW w:w="4052" w:type="dxa"/>
            <w:vMerge w:val="restart"/>
            <w:vAlign w:val="center"/>
          </w:tcPr>
          <w:p w14:paraId="2E3B0F23">
            <w:pPr>
              <w:pStyle w:val="62"/>
              <w:spacing w:after="0" w:line="240" w:lineRule="auto"/>
              <w:jc w:val="center"/>
              <w:rPr>
                <w:rFonts w:hint="eastAsia"/>
                <w:b w:val="0"/>
                <w:bCs w:val="0"/>
                <w:color w:val="000000"/>
                <w:kern w:val="0"/>
                <w:szCs w:val="21"/>
                <w:vertAlign w:val="baseline"/>
              </w:rPr>
            </w:pPr>
            <w:r>
              <w:rPr>
                <w:rFonts w:hint="eastAsia"/>
                <w:b w:val="0"/>
                <w:bCs w:val="0"/>
                <w:color w:val="000000"/>
                <w:kern w:val="0"/>
                <w:szCs w:val="21"/>
                <w:vertAlign w:val="baseline"/>
              </w:rPr>
              <w:t>《危险废物贮存污染控制标准》（GB18597-2023）相关要求</w:t>
            </w:r>
          </w:p>
        </w:tc>
      </w:tr>
      <w:tr w14:paraId="1576A7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trPr>
        <w:tc>
          <w:tcPr>
            <w:tcW w:w="990" w:type="dxa"/>
            <w:gridSpan w:val="2"/>
            <w:vMerge w:val="continue"/>
            <w:vAlign w:val="center"/>
          </w:tcPr>
          <w:p w14:paraId="2BD76F3A">
            <w:pPr>
              <w:pStyle w:val="62"/>
              <w:spacing w:after="0" w:line="240" w:lineRule="auto"/>
              <w:jc w:val="center"/>
              <w:rPr>
                <w:rFonts w:hint="eastAsia"/>
                <w:b w:val="0"/>
                <w:bCs w:val="0"/>
                <w:color w:val="000000"/>
                <w:kern w:val="0"/>
                <w:szCs w:val="21"/>
                <w:vertAlign w:val="baseline"/>
              </w:rPr>
            </w:pPr>
          </w:p>
        </w:tc>
        <w:tc>
          <w:tcPr>
            <w:tcW w:w="2604" w:type="dxa"/>
            <w:gridSpan w:val="2"/>
            <w:vMerge w:val="continue"/>
            <w:vAlign w:val="center"/>
          </w:tcPr>
          <w:p w14:paraId="70EBD209">
            <w:pPr>
              <w:pStyle w:val="62"/>
              <w:spacing w:after="0" w:line="240" w:lineRule="auto"/>
              <w:jc w:val="center"/>
              <w:rPr>
                <w:rFonts w:hint="eastAsia"/>
                <w:b w:val="0"/>
                <w:bCs w:val="0"/>
                <w:color w:val="000000"/>
                <w:kern w:val="0"/>
                <w:szCs w:val="21"/>
                <w:vertAlign w:val="baseline"/>
              </w:rPr>
            </w:pPr>
          </w:p>
        </w:tc>
        <w:tc>
          <w:tcPr>
            <w:tcW w:w="1993" w:type="dxa"/>
            <w:vAlign w:val="center"/>
          </w:tcPr>
          <w:p w14:paraId="226E264D">
            <w:pPr>
              <w:pStyle w:val="62"/>
              <w:spacing w:after="0" w:line="240" w:lineRule="auto"/>
              <w:jc w:val="center"/>
              <w:rPr>
                <w:rFonts w:hint="eastAsia"/>
                <w:szCs w:val="21"/>
              </w:rPr>
            </w:pPr>
            <w:r>
              <w:rPr>
                <w:szCs w:val="21"/>
              </w:rPr>
              <w:t>废活性炭</w:t>
            </w:r>
          </w:p>
        </w:tc>
        <w:tc>
          <w:tcPr>
            <w:tcW w:w="3557" w:type="dxa"/>
            <w:vMerge w:val="continue"/>
            <w:vAlign w:val="center"/>
          </w:tcPr>
          <w:p w14:paraId="061B6260">
            <w:pPr>
              <w:pStyle w:val="62"/>
              <w:spacing w:after="0" w:line="240" w:lineRule="auto"/>
              <w:jc w:val="center"/>
              <w:rPr>
                <w:szCs w:val="21"/>
              </w:rPr>
            </w:pPr>
          </w:p>
        </w:tc>
        <w:tc>
          <w:tcPr>
            <w:tcW w:w="900" w:type="dxa"/>
            <w:vMerge w:val="continue"/>
            <w:vAlign w:val="center"/>
          </w:tcPr>
          <w:p w14:paraId="2308FB48">
            <w:pPr>
              <w:pStyle w:val="62"/>
              <w:spacing w:after="0" w:line="240" w:lineRule="auto"/>
              <w:jc w:val="center"/>
              <w:rPr>
                <w:rFonts w:hint="eastAsia"/>
                <w:b w:val="0"/>
                <w:bCs w:val="0"/>
                <w:color w:val="000000"/>
                <w:kern w:val="0"/>
                <w:szCs w:val="21"/>
                <w:vertAlign w:val="baseline"/>
              </w:rPr>
            </w:pPr>
          </w:p>
        </w:tc>
        <w:tc>
          <w:tcPr>
            <w:tcW w:w="4052" w:type="dxa"/>
            <w:vMerge w:val="continue"/>
            <w:vAlign w:val="center"/>
          </w:tcPr>
          <w:p w14:paraId="0B215282">
            <w:pPr>
              <w:pStyle w:val="62"/>
              <w:spacing w:after="0" w:line="240" w:lineRule="auto"/>
              <w:jc w:val="center"/>
              <w:rPr>
                <w:rFonts w:hint="eastAsia"/>
                <w:b w:val="0"/>
                <w:bCs w:val="0"/>
                <w:color w:val="000000"/>
                <w:kern w:val="0"/>
                <w:szCs w:val="21"/>
                <w:vertAlign w:val="baseline"/>
              </w:rPr>
            </w:pPr>
          </w:p>
        </w:tc>
      </w:tr>
      <w:tr w14:paraId="6FF239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trPr>
        <w:tc>
          <w:tcPr>
            <w:tcW w:w="985" w:type="dxa"/>
            <w:vAlign w:val="center"/>
          </w:tcPr>
          <w:p w14:paraId="4748F5CF">
            <w:pPr>
              <w:pStyle w:val="62"/>
              <w:spacing w:after="0" w:line="240" w:lineRule="auto"/>
              <w:jc w:val="center"/>
              <w:rPr>
                <w:rFonts w:hint="eastAsia" w:eastAsia="宋体"/>
                <w:b w:val="0"/>
                <w:bCs w:val="0"/>
                <w:color w:val="000000"/>
                <w:kern w:val="0"/>
                <w:szCs w:val="21"/>
                <w:vertAlign w:val="baseline"/>
                <w:lang w:eastAsia="zh-CN"/>
              </w:rPr>
            </w:pPr>
            <w:r>
              <w:rPr>
                <w:rFonts w:hint="eastAsia"/>
                <w:b w:val="0"/>
                <w:bCs w:val="0"/>
                <w:color w:val="000000"/>
                <w:kern w:val="0"/>
                <w:szCs w:val="21"/>
                <w:vertAlign w:val="baseline"/>
                <w:lang w:eastAsia="zh-CN"/>
              </w:rPr>
              <w:t>地下水防渗</w:t>
            </w:r>
          </w:p>
        </w:tc>
        <w:tc>
          <w:tcPr>
            <w:tcW w:w="2609" w:type="dxa"/>
            <w:gridSpan w:val="3"/>
            <w:vAlign w:val="center"/>
          </w:tcPr>
          <w:p w14:paraId="790736FC">
            <w:pPr>
              <w:pStyle w:val="62"/>
              <w:spacing w:after="0" w:line="240" w:lineRule="auto"/>
              <w:jc w:val="center"/>
              <w:rPr>
                <w:rFonts w:hint="eastAsia" w:eastAsia="宋体"/>
                <w:b w:val="0"/>
                <w:bCs w:val="0"/>
                <w:color w:val="000000"/>
                <w:kern w:val="0"/>
                <w:szCs w:val="21"/>
                <w:vertAlign w:val="baseline"/>
                <w:lang w:val="en-US" w:eastAsia="zh-CN"/>
              </w:rPr>
            </w:pPr>
            <w:r>
              <w:rPr>
                <w:rFonts w:hint="eastAsia"/>
                <w:b w:val="0"/>
                <w:bCs w:val="0"/>
                <w:color w:val="000000"/>
                <w:kern w:val="0"/>
                <w:szCs w:val="21"/>
                <w:vertAlign w:val="baseline"/>
                <w:lang w:val="en-US" w:eastAsia="zh-CN"/>
              </w:rPr>
              <w:t>防渗措施</w:t>
            </w:r>
          </w:p>
        </w:tc>
        <w:tc>
          <w:tcPr>
            <w:tcW w:w="5550" w:type="dxa"/>
            <w:gridSpan w:val="2"/>
            <w:vAlign w:val="center"/>
          </w:tcPr>
          <w:p w14:paraId="721351B3">
            <w:pPr>
              <w:pStyle w:val="62"/>
              <w:spacing w:after="0" w:line="240" w:lineRule="auto"/>
              <w:jc w:val="center"/>
              <w:rPr>
                <w:szCs w:val="21"/>
              </w:rPr>
            </w:pPr>
            <w:r>
              <w:rPr>
                <w:rFonts w:hint="eastAsia"/>
                <w:color w:val="auto"/>
                <w:sz w:val="21"/>
                <w:szCs w:val="21"/>
                <w:lang w:eastAsia="zh-CN"/>
              </w:rPr>
              <w:t>危险废物贮存点</w:t>
            </w:r>
            <w:r>
              <w:rPr>
                <w:rFonts w:hint="default"/>
              </w:rPr>
              <w:t>采用防渗钢筋混凝土，表面涂刷水泥基渗透结晶型防渗涂料；地面防渗混凝土强度等级不宜小于C25，抗渗混凝土的抗渗等级不宜小于P8，其厚度不宜小于150mm。确保防渗性能应与黏土防渗层Mb≥6.0m 、K≤1.0×10</w:t>
            </w:r>
            <w:r>
              <w:rPr>
                <w:rFonts w:hint="default"/>
                <w:vertAlign w:val="superscript"/>
              </w:rPr>
              <w:t>-7</w:t>
            </w:r>
            <w:r>
              <w:rPr>
                <w:rFonts w:hint="default"/>
              </w:rPr>
              <w:t>cm/s等效。</w:t>
            </w:r>
          </w:p>
        </w:tc>
        <w:tc>
          <w:tcPr>
            <w:tcW w:w="900" w:type="dxa"/>
            <w:vAlign w:val="center"/>
          </w:tcPr>
          <w:p w14:paraId="1F56D1C4">
            <w:pPr>
              <w:pStyle w:val="62"/>
              <w:spacing w:after="0" w:line="240" w:lineRule="auto"/>
              <w:jc w:val="center"/>
              <w:rPr>
                <w:rFonts w:hint="eastAsia" w:eastAsia="宋体"/>
                <w:b w:val="0"/>
                <w:bCs w:val="0"/>
                <w:color w:val="000000"/>
                <w:kern w:val="0"/>
                <w:szCs w:val="21"/>
                <w:vertAlign w:val="baseline"/>
                <w:lang w:val="en-US" w:eastAsia="zh-CN"/>
              </w:rPr>
            </w:pPr>
            <w:r>
              <w:rPr>
                <w:rFonts w:hint="eastAsia"/>
                <w:b w:val="0"/>
                <w:bCs w:val="0"/>
                <w:color w:val="000000"/>
                <w:kern w:val="0"/>
                <w:szCs w:val="21"/>
                <w:vertAlign w:val="baseline"/>
                <w:lang w:val="en-US" w:eastAsia="zh-CN"/>
              </w:rPr>
              <w:t>-</w:t>
            </w:r>
          </w:p>
        </w:tc>
        <w:tc>
          <w:tcPr>
            <w:tcW w:w="4052" w:type="dxa"/>
            <w:vAlign w:val="center"/>
          </w:tcPr>
          <w:p w14:paraId="3CE9BF33">
            <w:pPr>
              <w:pStyle w:val="62"/>
              <w:spacing w:after="0" w:line="240" w:lineRule="auto"/>
              <w:jc w:val="center"/>
              <w:rPr>
                <w:rFonts w:hint="eastAsia"/>
                <w:b w:val="0"/>
                <w:bCs w:val="0"/>
                <w:color w:val="000000"/>
                <w:kern w:val="0"/>
                <w:szCs w:val="21"/>
                <w:vertAlign w:val="baseline"/>
              </w:rPr>
            </w:pPr>
            <w:r>
              <w:rPr>
                <w:rFonts w:hint="default"/>
                <w:color w:val="auto"/>
                <w:sz w:val="21"/>
                <w:szCs w:val="21"/>
              </w:rPr>
              <w:t>《危险废物贮存污染控制标准》（GB18957-20</w:t>
            </w:r>
            <w:r>
              <w:rPr>
                <w:rFonts w:hint="eastAsia"/>
                <w:color w:val="auto"/>
                <w:sz w:val="21"/>
                <w:szCs w:val="21"/>
                <w:lang w:val="en-US" w:eastAsia="zh-CN"/>
              </w:rPr>
              <w:t>23</w:t>
            </w:r>
            <w:r>
              <w:rPr>
                <w:rFonts w:hint="default"/>
                <w:color w:val="auto"/>
                <w:sz w:val="21"/>
                <w:szCs w:val="21"/>
              </w:rPr>
              <w:t>）中有关规定</w:t>
            </w:r>
          </w:p>
        </w:tc>
      </w:tr>
      <w:tr w14:paraId="4BF48B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trPr>
        <w:tc>
          <w:tcPr>
            <w:tcW w:w="3594" w:type="dxa"/>
            <w:gridSpan w:val="4"/>
            <w:vAlign w:val="center"/>
          </w:tcPr>
          <w:p w14:paraId="0416B0A9">
            <w:pPr>
              <w:pStyle w:val="62"/>
              <w:spacing w:after="0" w:line="240" w:lineRule="auto"/>
              <w:jc w:val="center"/>
              <w:rPr>
                <w:rFonts w:hint="eastAsia" w:eastAsia="宋体"/>
                <w:b w:val="0"/>
                <w:bCs w:val="0"/>
                <w:color w:val="000000"/>
                <w:kern w:val="0"/>
                <w:szCs w:val="21"/>
                <w:vertAlign w:val="baseline"/>
                <w:lang w:eastAsia="zh-CN"/>
              </w:rPr>
            </w:pPr>
            <w:r>
              <w:rPr>
                <w:rFonts w:hint="eastAsia"/>
                <w:b w:val="0"/>
                <w:bCs w:val="0"/>
                <w:color w:val="000000"/>
                <w:kern w:val="0"/>
                <w:szCs w:val="21"/>
                <w:vertAlign w:val="baseline"/>
                <w:lang w:eastAsia="zh-CN"/>
              </w:rPr>
              <w:t>地下水监测</w:t>
            </w:r>
          </w:p>
        </w:tc>
        <w:tc>
          <w:tcPr>
            <w:tcW w:w="6450" w:type="dxa"/>
            <w:gridSpan w:val="3"/>
            <w:vAlign w:val="center"/>
          </w:tcPr>
          <w:p w14:paraId="2596F5D7">
            <w:pPr>
              <w:pStyle w:val="62"/>
              <w:spacing w:after="0" w:line="240" w:lineRule="auto"/>
              <w:jc w:val="center"/>
              <w:rPr>
                <w:rFonts w:hint="eastAsia"/>
                <w:b w:val="0"/>
                <w:bCs w:val="0"/>
                <w:color w:val="000000"/>
                <w:kern w:val="0"/>
                <w:szCs w:val="21"/>
                <w:vertAlign w:val="baseline"/>
              </w:rPr>
            </w:pPr>
            <w:r>
              <w:rPr>
                <w:rFonts w:hint="default" w:ascii="Times New Roman" w:hAnsi="Times New Roman" w:eastAsia="宋体" w:cs="Times New Roman"/>
                <w:b w:val="0"/>
                <w:bCs/>
                <w:color w:val="auto"/>
                <w:kern w:val="1"/>
                <w:sz w:val="21"/>
                <w:szCs w:val="21"/>
              </w:rPr>
              <w:t>厂区地下水下游布设地下水监测井1口</w:t>
            </w:r>
            <w:r>
              <w:rPr>
                <w:rFonts w:hint="default" w:ascii="Times New Roman" w:hAnsi="Times New Roman" w:eastAsia="宋体" w:cs="Times New Roman"/>
                <w:b w:val="0"/>
                <w:bCs/>
                <w:color w:val="auto"/>
                <w:sz w:val="21"/>
                <w:szCs w:val="21"/>
              </w:rPr>
              <w:t>，监测频次为：每年监测一次</w:t>
            </w:r>
          </w:p>
        </w:tc>
        <w:tc>
          <w:tcPr>
            <w:tcW w:w="4052" w:type="dxa"/>
            <w:vAlign w:val="center"/>
          </w:tcPr>
          <w:p w14:paraId="1196B134">
            <w:pPr>
              <w:pStyle w:val="62"/>
              <w:spacing w:after="0" w:line="240" w:lineRule="auto"/>
              <w:jc w:val="center"/>
              <w:rPr>
                <w:rFonts w:hint="eastAsia"/>
                <w:b w:val="0"/>
                <w:bCs w:val="0"/>
                <w:color w:val="000000"/>
                <w:kern w:val="0"/>
                <w:szCs w:val="21"/>
                <w:vertAlign w:val="baseline"/>
              </w:rPr>
            </w:pPr>
            <w:r>
              <w:rPr>
                <w:rFonts w:hint="default" w:ascii="Times New Roman" w:hAnsi="Times New Roman" w:eastAsia="宋体" w:cs="Times New Roman"/>
                <w:b w:val="0"/>
                <w:bCs/>
                <w:color w:val="auto"/>
                <w:sz w:val="21"/>
                <w:szCs w:val="21"/>
              </w:rPr>
              <w:t>《地下水质量标准》（GB/T14848-2017）Ⅲ类标准</w:t>
            </w:r>
          </w:p>
        </w:tc>
      </w:tr>
      <w:tr w14:paraId="4D8365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trPr>
        <w:tc>
          <w:tcPr>
            <w:tcW w:w="3594" w:type="dxa"/>
            <w:gridSpan w:val="4"/>
            <w:vAlign w:val="center"/>
          </w:tcPr>
          <w:p w14:paraId="511EA592">
            <w:pPr>
              <w:pStyle w:val="62"/>
              <w:spacing w:after="0" w:line="240" w:lineRule="auto"/>
              <w:jc w:val="center"/>
              <w:rPr>
                <w:rFonts w:hint="eastAsia"/>
                <w:b w:val="0"/>
                <w:bCs w:val="0"/>
                <w:color w:val="000000"/>
                <w:kern w:val="0"/>
                <w:szCs w:val="21"/>
                <w:vertAlign w:val="baseline"/>
              </w:rPr>
            </w:pPr>
            <w:r>
              <w:rPr>
                <w:rFonts w:hint="default" w:ascii="Times New Roman" w:hAnsi="Times New Roman" w:eastAsia="宋体" w:cs="Times New Roman"/>
                <w:b w:val="0"/>
                <w:bCs/>
                <w:color w:val="auto"/>
                <w:kern w:val="1"/>
                <w:sz w:val="21"/>
                <w:szCs w:val="21"/>
              </w:rPr>
              <w:t>环保机构及环保管理</w:t>
            </w:r>
          </w:p>
        </w:tc>
        <w:tc>
          <w:tcPr>
            <w:tcW w:w="6450" w:type="dxa"/>
            <w:gridSpan w:val="3"/>
            <w:vAlign w:val="center"/>
          </w:tcPr>
          <w:p w14:paraId="1B6F1E63">
            <w:pPr>
              <w:pStyle w:val="62"/>
              <w:spacing w:after="0" w:line="240" w:lineRule="auto"/>
              <w:jc w:val="center"/>
              <w:rPr>
                <w:rFonts w:hint="eastAsia"/>
                <w:b w:val="0"/>
                <w:bCs w:val="0"/>
                <w:color w:val="000000"/>
                <w:kern w:val="0"/>
                <w:szCs w:val="21"/>
                <w:vertAlign w:val="baseline"/>
              </w:rPr>
            </w:pPr>
            <w:r>
              <w:rPr>
                <w:rFonts w:hint="default" w:ascii="Times New Roman" w:hAnsi="Times New Roman" w:eastAsia="宋体" w:cs="Times New Roman"/>
                <w:b w:val="0"/>
                <w:bCs/>
                <w:color w:val="auto"/>
                <w:kern w:val="1"/>
                <w:sz w:val="21"/>
                <w:szCs w:val="21"/>
              </w:rPr>
              <w:t>本项目设置环境保护管理机构，制定相应的环保管理条例和任务及各类台账、制度等</w:t>
            </w:r>
          </w:p>
        </w:tc>
        <w:tc>
          <w:tcPr>
            <w:tcW w:w="4052" w:type="dxa"/>
            <w:vAlign w:val="center"/>
          </w:tcPr>
          <w:p w14:paraId="687B4021">
            <w:pPr>
              <w:pStyle w:val="62"/>
              <w:spacing w:after="0" w:line="240" w:lineRule="auto"/>
              <w:jc w:val="center"/>
              <w:rPr>
                <w:rFonts w:hint="eastAsia"/>
                <w:b w:val="0"/>
                <w:bCs w:val="0"/>
                <w:color w:val="000000"/>
                <w:kern w:val="0"/>
                <w:szCs w:val="21"/>
                <w:vertAlign w:val="baseline"/>
              </w:rPr>
            </w:pPr>
            <w:r>
              <w:rPr>
                <w:rFonts w:hint="default" w:ascii="Times New Roman" w:hAnsi="Times New Roman" w:eastAsia="宋体" w:cs="Times New Roman"/>
                <w:b w:val="0"/>
                <w:bCs/>
                <w:color w:val="auto"/>
                <w:spacing w:val="-3"/>
                <w:kern w:val="1"/>
                <w:sz w:val="21"/>
                <w:szCs w:val="21"/>
              </w:rPr>
              <w:t>设置专职环保人员和相应的仪器设备</w:t>
            </w:r>
          </w:p>
        </w:tc>
      </w:tr>
      <w:tr w14:paraId="3CAE79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trPr>
        <w:tc>
          <w:tcPr>
            <w:tcW w:w="3594" w:type="dxa"/>
            <w:gridSpan w:val="4"/>
            <w:vAlign w:val="center"/>
          </w:tcPr>
          <w:p w14:paraId="6CF016E9">
            <w:pPr>
              <w:pStyle w:val="62"/>
              <w:spacing w:after="0" w:line="240" w:lineRule="auto"/>
              <w:jc w:val="center"/>
              <w:rPr>
                <w:rFonts w:hint="eastAsia" w:eastAsia="宋体"/>
                <w:b w:val="0"/>
                <w:bCs w:val="0"/>
                <w:color w:val="000000"/>
                <w:kern w:val="0"/>
                <w:szCs w:val="21"/>
                <w:vertAlign w:val="baseline"/>
                <w:lang w:eastAsia="zh-CN"/>
              </w:rPr>
            </w:pPr>
            <w:r>
              <w:rPr>
                <w:rFonts w:hint="default" w:ascii="Times New Roman" w:hAnsi="Times New Roman" w:eastAsia="宋体" w:cs="Times New Roman"/>
                <w:b w:val="0"/>
                <w:bCs/>
                <w:color w:val="auto"/>
                <w:spacing w:val="10"/>
                <w:sz w:val="21"/>
                <w:szCs w:val="21"/>
              </w:rPr>
              <w:t>排污口规范化</w:t>
            </w:r>
            <w:r>
              <w:rPr>
                <w:rFonts w:hint="eastAsia" w:ascii="Times New Roman" w:hAnsi="Times New Roman" w:eastAsia="宋体" w:cs="Times New Roman"/>
                <w:b w:val="0"/>
                <w:bCs/>
                <w:color w:val="auto"/>
                <w:spacing w:val="10"/>
                <w:sz w:val="21"/>
                <w:szCs w:val="21"/>
                <w:lang w:eastAsia="zh-CN"/>
              </w:rPr>
              <w:t>建设</w:t>
            </w:r>
          </w:p>
        </w:tc>
        <w:tc>
          <w:tcPr>
            <w:tcW w:w="6450" w:type="dxa"/>
            <w:gridSpan w:val="3"/>
            <w:vAlign w:val="center"/>
          </w:tcPr>
          <w:p w14:paraId="6A17B3FB">
            <w:pPr>
              <w:pStyle w:val="62"/>
              <w:spacing w:after="0" w:line="240" w:lineRule="auto"/>
              <w:jc w:val="center"/>
              <w:rPr>
                <w:rFonts w:hint="eastAsia"/>
                <w:b w:val="0"/>
                <w:bCs w:val="0"/>
                <w:color w:val="000000"/>
                <w:kern w:val="0"/>
                <w:szCs w:val="21"/>
                <w:vertAlign w:val="baseline"/>
              </w:rPr>
            </w:pPr>
            <w:r>
              <w:rPr>
                <w:rFonts w:hint="default" w:ascii="Times New Roman" w:hAnsi="Times New Roman" w:eastAsia="宋体" w:cs="Times New Roman"/>
                <w:b w:val="0"/>
                <w:bCs/>
                <w:color w:val="auto"/>
                <w:sz w:val="21"/>
                <w:szCs w:val="21"/>
              </w:rPr>
              <w:t>所有废气、废水排放口设置标准取样口</w:t>
            </w:r>
            <w:r>
              <w:rPr>
                <w:rFonts w:hint="eastAsia" w:ascii="Times New Roman" w:hAnsi="Times New Roman" w:eastAsia="宋体" w:cs="Times New Roman"/>
                <w:b w:val="0"/>
                <w:bCs/>
                <w:color w:val="auto"/>
                <w:sz w:val="21"/>
                <w:szCs w:val="21"/>
                <w:lang w:eastAsia="zh-CN"/>
              </w:rPr>
              <w:t>（</w:t>
            </w:r>
            <w:r>
              <w:rPr>
                <w:rFonts w:hint="default" w:ascii="Times New Roman" w:hAnsi="Times New Roman" w:eastAsia="宋体" w:cs="Times New Roman"/>
                <w:b w:val="0"/>
                <w:bCs/>
                <w:color w:val="auto"/>
                <w:spacing w:val="-3"/>
                <w:kern w:val="1"/>
                <w:sz w:val="21"/>
                <w:szCs w:val="21"/>
              </w:rPr>
              <w:t>易于采样</w:t>
            </w:r>
            <w:r>
              <w:rPr>
                <w:rFonts w:hint="eastAsia" w:ascii="Times New Roman" w:hAnsi="Times New Roman" w:eastAsia="宋体" w:cs="Times New Roman"/>
                <w:b w:val="0"/>
                <w:bCs/>
                <w:color w:val="auto"/>
                <w:spacing w:val="-3"/>
                <w:kern w:val="1"/>
                <w:sz w:val="21"/>
                <w:szCs w:val="21"/>
                <w:lang w:eastAsia="zh-CN"/>
              </w:rPr>
              <w:t>）</w:t>
            </w:r>
            <w:r>
              <w:rPr>
                <w:rFonts w:hint="default" w:ascii="Times New Roman" w:hAnsi="Times New Roman" w:eastAsia="宋体" w:cs="Times New Roman"/>
                <w:b w:val="0"/>
                <w:bCs/>
                <w:color w:val="auto"/>
                <w:sz w:val="21"/>
                <w:szCs w:val="21"/>
              </w:rPr>
              <w:t>及标志牌</w:t>
            </w:r>
            <w:r>
              <w:rPr>
                <w:rFonts w:hint="eastAsia" w:ascii="Times New Roman" w:hAnsi="Times New Roman" w:eastAsia="宋体" w:cs="Times New Roman"/>
                <w:b w:val="0"/>
                <w:bCs/>
                <w:color w:val="auto"/>
                <w:sz w:val="21"/>
                <w:szCs w:val="21"/>
                <w:lang w:eastAsia="zh-CN"/>
              </w:rPr>
              <w:t>，</w:t>
            </w:r>
          </w:p>
        </w:tc>
        <w:tc>
          <w:tcPr>
            <w:tcW w:w="4052" w:type="dxa"/>
            <w:vAlign w:val="center"/>
          </w:tcPr>
          <w:p w14:paraId="71BD1616">
            <w:pPr>
              <w:pStyle w:val="62"/>
              <w:spacing w:after="0" w:line="240" w:lineRule="auto"/>
              <w:jc w:val="center"/>
              <w:rPr>
                <w:rFonts w:hint="eastAsia"/>
                <w:b w:val="0"/>
                <w:bCs w:val="0"/>
                <w:color w:val="000000"/>
                <w:kern w:val="0"/>
                <w:szCs w:val="21"/>
                <w:vertAlign w:val="baseline"/>
              </w:rPr>
            </w:pPr>
            <w:r>
              <w:rPr>
                <w:rFonts w:hint="eastAsia"/>
                <w:b w:val="0"/>
                <w:bCs w:val="0"/>
                <w:color w:val="000000"/>
                <w:kern w:val="0"/>
                <w:szCs w:val="21"/>
                <w:vertAlign w:val="baseline"/>
              </w:rPr>
              <w:t>排污口满足《排污口规范化整治技术要求（试行）》（国家环保局环监</w:t>
            </w:r>
            <w:r>
              <w:rPr>
                <w:rFonts w:hint="eastAsia"/>
                <w:b w:val="0"/>
                <w:bCs w:val="0"/>
                <w:color w:val="000000"/>
                <w:kern w:val="0"/>
                <w:szCs w:val="21"/>
                <w:vertAlign w:val="baseline"/>
                <w:lang w:eastAsia="zh-CN"/>
              </w:rPr>
              <w:t>〔1996〕470号</w:t>
            </w:r>
            <w:r>
              <w:rPr>
                <w:rFonts w:hint="eastAsia"/>
                <w:b w:val="0"/>
                <w:bCs w:val="0"/>
                <w:color w:val="000000"/>
                <w:kern w:val="0"/>
                <w:szCs w:val="21"/>
                <w:vertAlign w:val="baseline"/>
              </w:rPr>
              <w:t>）、《排放口标志牌技术规格》（环办</w:t>
            </w:r>
            <w:r>
              <w:rPr>
                <w:rFonts w:hint="eastAsia"/>
                <w:b w:val="0"/>
                <w:bCs w:val="0"/>
                <w:color w:val="000000"/>
                <w:kern w:val="0"/>
                <w:szCs w:val="21"/>
                <w:vertAlign w:val="baseline"/>
                <w:lang w:eastAsia="zh-CN"/>
              </w:rPr>
              <w:t>〔2003〕95号</w:t>
            </w:r>
            <w:r>
              <w:rPr>
                <w:rFonts w:hint="eastAsia"/>
                <w:b w:val="0"/>
                <w:bCs w:val="0"/>
                <w:color w:val="000000"/>
                <w:kern w:val="0"/>
                <w:szCs w:val="21"/>
                <w:vertAlign w:val="baseline"/>
              </w:rPr>
              <w:t>）和国家标准GB15562.1-1995和GB15562.2-1995的要求</w:t>
            </w:r>
          </w:p>
        </w:tc>
      </w:tr>
      <w:tr w14:paraId="5A13C2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trPr>
        <w:tc>
          <w:tcPr>
            <w:tcW w:w="985" w:type="dxa"/>
            <w:vMerge w:val="restart"/>
            <w:vAlign w:val="center"/>
          </w:tcPr>
          <w:p w14:paraId="482C5DD2">
            <w:pPr>
              <w:pStyle w:val="62"/>
              <w:spacing w:after="0" w:line="240" w:lineRule="auto"/>
              <w:jc w:val="center"/>
              <w:rPr>
                <w:rFonts w:hint="eastAsia" w:eastAsia="宋体"/>
                <w:b w:val="0"/>
                <w:bCs w:val="0"/>
                <w:color w:val="000000"/>
                <w:kern w:val="0"/>
                <w:szCs w:val="21"/>
                <w:vertAlign w:val="baseline"/>
                <w:lang w:eastAsia="zh-CN"/>
              </w:rPr>
            </w:pPr>
            <w:r>
              <w:rPr>
                <w:rFonts w:hint="eastAsia"/>
                <w:b w:val="0"/>
                <w:bCs w:val="0"/>
                <w:color w:val="000000"/>
                <w:kern w:val="0"/>
                <w:szCs w:val="21"/>
                <w:vertAlign w:val="baseline"/>
                <w:lang w:eastAsia="zh-CN"/>
              </w:rPr>
              <w:t>环境管理</w:t>
            </w:r>
          </w:p>
        </w:tc>
        <w:tc>
          <w:tcPr>
            <w:tcW w:w="2609" w:type="dxa"/>
            <w:gridSpan w:val="3"/>
            <w:vAlign w:val="center"/>
          </w:tcPr>
          <w:p w14:paraId="0121A3E6">
            <w:pPr>
              <w:pStyle w:val="62"/>
              <w:spacing w:after="0" w:line="240" w:lineRule="auto"/>
              <w:jc w:val="center"/>
              <w:rPr>
                <w:rFonts w:hint="eastAsia" w:eastAsia="宋体"/>
                <w:b w:val="0"/>
                <w:bCs w:val="0"/>
                <w:color w:val="000000"/>
                <w:kern w:val="0"/>
                <w:szCs w:val="21"/>
                <w:vertAlign w:val="baseline"/>
                <w:lang w:eastAsia="zh-CN"/>
              </w:rPr>
            </w:pPr>
            <w:r>
              <w:rPr>
                <w:rFonts w:hint="eastAsia"/>
                <w:b w:val="0"/>
                <w:bCs w:val="0"/>
                <w:color w:val="000000"/>
                <w:kern w:val="0"/>
                <w:szCs w:val="21"/>
                <w:vertAlign w:val="baseline"/>
                <w:lang w:eastAsia="zh-CN"/>
              </w:rPr>
              <w:t>环境管理档案</w:t>
            </w:r>
          </w:p>
        </w:tc>
        <w:tc>
          <w:tcPr>
            <w:tcW w:w="10502" w:type="dxa"/>
            <w:gridSpan w:val="4"/>
            <w:vAlign w:val="center"/>
          </w:tcPr>
          <w:p w14:paraId="6DEF6D30">
            <w:pPr>
              <w:pStyle w:val="62"/>
              <w:spacing w:after="0" w:line="240" w:lineRule="auto"/>
              <w:jc w:val="center"/>
              <w:rPr>
                <w:rFonts w:hint="eastAsia"/>
                <w:b w:val="0"/>
                <w:bCs w:val="0"/>
                <w:color w:val="000000"/>
                <w:kern w:val="0"/>
                <w:szCs w:val="21"/>
                <w:vertAlign w:val="baseline"/>
              </w:rPr>
            </w:pPr>
            <w:r>
              <w:rPr>
                <w:rFonts w:ascii="宋体" w:hAnsi="宋体" w:eastAsia="宋体" w:cs="宋体"/>
                <w:sz w:val="24"/>
                <w:szCs w:val="24"/>
              </w:rPr>
              <w:t>建立环境管理档案</w:t>
            </w:r>
          </w:p>
        </w:tc>
      </w:tr>
      <w:tr w14:paraId="57231F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trPr>
        <w:tc>
          <w:tcPr>
            <w:tcW w:w="985" w:type="dxa"/>
            <w:vMerge w:val="continue"/>
            <w:vAlign w:val="center"/>
          </w:tcPr>
          <w:p w14:paraId="76345281">
            <w:pPr>
              <w:pStyle w:val="62"/>
              <w:spacing w:after="0" w:line="240" w:lineRule="auto"/>
              <w:jc w:val="center"/>
              <w:rPr>
                <w:rFonts w:hint="eastAsia"/>
                <w:b w:val="0"/>
                <w:bCs w:val="0"/>
                <w:color w:val="000000"/>
                <w:kern w:val="0"/>
                <w:szCs w:val="21"/>
                <w:vertAlign w:val="baseline"/>
              </w:rPr>
            </w:pPr>
          </w:p>
        </w:tc>
        <w:tc>
          <w:tcPr>
            <w:tcW w:w="2609" w:type="dxa"/>
            <w:gridSpan w:val="3"/>
            <w:vAlign w:val="center"/>
          </w:tcPr>
          <w:p w14:paraId="71D25F7E">
            <w:pPr>
              <w:pStyle w:val="62"/>
              <w:spacing w:after="0" w:line="240" w:lineRule="auto"/>
              <w:jc w:val="center"/>
              <w:rPr>
                <w:rFonts w:hint="eastAsia" w:eastAsia="宋体"/>
                <w:b w:val="0"/>
                <w:bCs w:val="0"/>
                <w:color w:val="000000"/>
                <w:kern w:val="0"/>
                <w:szCs w:val="21"/>
                <w:vertAlign w:val="baseline"/>
                <w:lang w:eastAsia="zh-CN"/>
              </w:rPr>
            </w:pPr>
            <w:r>
              <w:rPr>
                <w:rFonts w:hint="eastAsia"/>
                <w:b w:val="0"/>
                <w:bCs w:val="0"/>
                <w:color w:val="000000"/>
                <w:kern w:val="0"/>
                <w:szCs w:val="21"/>
                <w:vertAlign w:val="baseline"/>
                <w:lang w:eastAsia="zh-CN"/>
              </w:rPr>
              <w:t>环境保护设施运行许可证和运行记录</w:t>
            </w:r>
          </w:p>
        </w:tc>
        <w:tc>
          <w:tcPr>
            <w:tcW w:w="10502" w:type="dxa"/>
            <w:gridSpan w:val="4"/>
            <w:vAlign w:val="center"/>
          </w:tcPr>
          <w:p w14:paraId="61CBA85A">
            <w:pPr>
              <w:pStyle w:val="62"/>
              <w:spacing w:after="0" w:line="240" w:lineRule="auto"/>
              <w:jc w:val="center"/>
              <w:rPr>
                <w:rFonts w:hint="eastAsia"/>
                <w:b w:val="0"/>
                <w:bCs w:val="0"/>
                <w:color w:val="000000"/>
                <w:kern w:val="0"/>
                <w:szCs w:val="21"/>
                <w:vertAlign w:val="baseline"/>
              </w:rPr>
            </w:pPr>
            <w:r>
              <w:rPr>
                <w:rFonts w:hint="eastAsia"/>
                <w:b w:val="0"/>
                <w:bCs w:val="0"/>
                <w:color w:val="000000"/>
                <w:kern w:val="0"/>
                <w:szCs w:val="21"/>
                <w:vertAlign w:val="baseline"/>
              </w:rPr>
              <w:t>按规定申报排污许可证，按照行业要求定期完成污染源监测并提交排污许可证执行</w:t>
            </w:r>
          </w:p>
        </w:tc>
      </w:tr>
      <w:tr w14:paraId="00ACE9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trPr>
        <w:tc>
          <w:tcPr>
            <w:tcW w:w="3594" w:type="dxa"/>
            <w:gridSpan w:val="4"/>
            <w:vAlign w:val="center"/>
          </w:tcPr>
          <w:p w14:paraId="33152388">
            <w:pPr>
              <w:pStyle w:val="62"/>
              <w:spacing w:after="0" w:line="240" w:lineRule="auto"/>
              <w:jc w:val="center"/>
              <w:rPr>
                <w:rFonts w:hint="eastAsia" w:eastAsia="宋体"/>
                <w:b w:val="0"/>
                <w:bCs w:val="0"/>
                <w:color w:val="000000"/>
                <w:kern w:val="0"/>
                <w:szCs w:val="21"/>
                <w:vertAlign w:val="baseline"/>
                <w:lang w:eastAsia="zh-CN"/>
              </w:rPr>
            </w:pPr>
            <w:r>
              <w:rPr>
                <w:rFonts w:hint="eastAsia" w:ascii="Times New Roman" w:hAnsi="Times New Roman" w:eastAsia="宋体" w:cs="Times New Roman"/>
                <w:b w:val="0"/>
                <w:bCs/>
                <w:color w:val="auto"/>
                <w:kern w:val="1"/>
                <w:sz w:val="21"/>
                <w:szCs w:val="21"/>
                <w:lang w:eastAsia="zh-CN"/>
              </w:rPr>
              <w:t>风险</w:t>
            </w:r>
          </w:p>
        </w:tc>
        <w:tc>
          <w:tcPr>
            <w:tcW w:w="6450" w:type="dxa"/>
            <w:gridSpan w:val="3"/>
            <w:vAlign w:val="center"/>
          </w:tcPr>
          <w:p w14:paraId="2F14A452">
            <w:pPr>
              <w:pStyle w:val="62"/>
              <w:spacing w:after="0" w:line="240" w:lineRule="auto"/>
              <w:jc w:val="center"/>
              <w:rPr>
                <w:rFonts w:hint="eastAsia"/>
                <w:b w:val="0"/>
                <w:bCs w:val="0"/>
                <w:color w:val="000000"/>
                <w:kern w:val="0"/>
                <w:szCs w:val="21"/>
                <w:vertAlign w:val="baseline"/>
              </w:rPr>
            </w:pPr>
            <w:r>
              <w:rPr>
                <w:rFonts w:hint="eastAsia"/>
                <w:color w:val="auto"/>
                <w:sz w:val="21"/>
                <w:szCs w:val="21"/>
                <w:lang w:val="en-US"/>
              </w:rPr>
              <w:t>消防事故水池（</w:t>
            </w:r>
            <w:r>
              <w:rPr>
                <w:rFonts w:hint="eastAsia"/>
                <w:color w:val="auto"/>
                <w:sz w:val="21"/>
                <w:szCs w:val="21"/>
                <w:lang w:val="en-US" w:eastAsia="zh-CN"/>
              </w:rPr>
              <w:t>80</w:t>
            </w:r>
            <w:r>
              <w:rPr>
                <w:rFonts w:hint="eastAsia"/>
                <w:color w:val="auto"/>
                <w:sz w:val="21"/>
                <w:szCs w:val="21"/>
                <w:lang w:val="en-US"/>
              </w:rPr>
              <w:t>m</w:t>
            </w:r>
            <w:r>
              <w:rPr>
                <w:rFonts w:hint="eastAsia"/>
                <w:color w:val="auto"/>
                <w:sz w:val="21"/>
                <w:szCs w:val="21"/>
                <w:vertAlign w:val="superscript"/>
                <w:lang w:val="en-US"/>
              </w:rPr>
              <w:t>3</w:t>
            </w:r>
            <w:r>
              <w:rPr>
                <w:rFonts w:hint="eastAsia"/>
                <w:color w:val="auto"/>
                <w:sz w:val="21"/>
                <w:szCs w:val="21"/>
                <w:lang w:val="en-US"/>
              </w:rPr>
              <w:t>）</w:t>
            </w:r>
            <w:r>
              <w:rPr>
                <w:rFonts w:hint="eastAsia"/>
                <w:color w:val="auto"/>
                <w:sz w:val="21"/>
                <w:szCs w:val="21"/>
                <w:lang w:val="en-US" w:eastAsia="zh-CN"/>
              </w:rPr>
              <w:t>、</w:t>
            </w:r>
            <w:r>
              <w:rPr>
                <w:rFonts w:hint="default" w:ascii="Times New Roman" w:hAnsi="Times New Roman" w:eastAsia="宋体" w:cs="Times New Roman"/>
                <w:b w:val="0"/>
                <w:bCs/>
                <w:color w:val="auto"/>
                <w:kern w:val="1"/>
                <w:sz w:val="21"/>
                <w:szCs w:val="21"/>
              </w:rPr>
              <w:t>编制企业突发环境事件应急预案</w:t>
            </w:r>
          </w:p>
        </w:tc>
        <w:tc>
          <w:tcPr>
            <w:tcW w:w="4052" w:type="dxa"/>
            <w:vAlign w:val="center"/>
          </w:tcPr>
          <w:p w14:paraId="40290DF8">
            <w:pPr>
              <w:pStyle w:val="62"/>
              <w:spacing w:after="0" w:line="240" w:lineRule="auto"/>
              <w:jc w:val="center"/>
              <w:rPr>
                <w:rFonts w:hint="eastAsia"/>
                <w:b w:val="0"/>
                <w:bCs w:val="0"/>
                <w:color w:val="000000"/>
                <w:kern w:val="0"/>
                <w:szCs w:val="21"/>
                <w:vertAlign w:val="baseline"/>
              </w:rPr>
            </w:pPr>
            <w:r>
              <w:rPr>
                <w:rFonts w:hint="default" w:ascii="Times New Roman" w:hAnsi="Times New Roman" w:eastAsia="宋体" w:cs="Times New Roman"/>
                <w:b w:val="0"/>
                <w:bCs/>
                <w:color w:val="auto"/>
                <w:kern w:val="1"/>
                <w:sz w:val="21"/>
                <w:szCs w:val="21"/>
              </w:rPr>
              <w:t>企业突发环境事件应急预案</w:t>
            </w:r>
            <w:r>
              <w:rPr>
                <w:rFonts w:hint="eastAsia" w:ascii="Times New Roman" w:hAnsi="Times New Roman" w:eastAsia="宋体" w:cs="Times New Roman"/>
                <w:b w:val="0"/>
                <w:bCs/>
                <w:color w:val="auto"/>
                <w:spacing w:val="-3"/>
                <w:kern w:val="1"/>
                <w:sz w:val="21"/>
                <w:szCs w:val="21"/>
                <w:lang w:val="en-US" w:eastAsia="zh-CN"/>
              </w:rPr>
              <w:t>完成备案，定期修编</w:t>
            </w:r>
          </w:p>
        </w:tc>
      </w:tr>
      <w:tr w14:paraId="008DE5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trPr>
        <w:tc>
          <w:tcPr>
            <w:tcW w:w="985" w:type="dxa"/>
            <w:vAlign w:val="center"/>
          </w:tcPr>
          <w:p w14:paraId="1C615FF4">
            <w:pPr>
              <w:pStyle w:val="62"/>
              <w:spacing w:after="0" w:line="240" w:lineRule="auto"/>
              <w:jc w:val="center"/>
              <w:rPr>
                <w:rFonts w:hint="eastAsia" w:eastAsia="宋体"/>
                <w:b w:val="0"/>
                <w:bCs w:val="0"/>
                <w:color w:val="000000"/>
                <w:kern w:val="0"/>
                <w:szCs w:val="21"/>
                <w:vertAlign w:val="baseline"/>
                <w:lang w:eastAsia="zh-CN"/>
              </w:rPr>
            </w:pPr>
            <w:r>
              <w:rPr>
                <w:rFonts w:hint="eastAsia"/>
                <w:b w:val="0"/>
                <w:bCs w:val="0"/>
                <w:color w:val="000000"/>
                <w:kern w:val="0"/>
                <w:szCs w:val="21"/>
                <w:vertAlign w:val="baseline"/>
                <w:lang w:eastAsia="zh-CN"/>
              </w:rPr>
              <w:t>信息公开</w:t>
            </w:r>
          </w:p>
        </w:tc>
        <w:tc>
          <w:tcPr>
            <w:tcW w:w="2609" w:type="dxa"/>
            <w:gridSpan w:val="3"/>
            <w:vAlign w:val="center"/>
          </w:tcPr>
          <w:p w14:paraId="48DA71B6">
            <w:pPr>
              <w:pStyle w:val="62"/>
              <w:spacing w:after="0" w:line="240" w:lineRule="auto"/>
              <w:jc w:val="center"/>
              <w:rPr>
                <w:rFonts w:hint="eastAsia" w:eastAsia="宋体"/>
                <w:b w:val="0"/>
                <w:bCs w:val="0"/>
                <w:color w:val="000000"/>
                <w:kern w:val="0"/>
                <w:szCs w:val="21"/>
                <w:vertAlign w:val="baseline"/>
                <w:lang w:eastAsia="zh-CN"/>
              </w:rPr>
            </w:pPr>
            <w:r>
              <w:rPr>
                <w:rFonts w:hint="eastAsia"/>
                <w:b w:val="0"/>
                <w:bCs w:val="0"/>
                <w:color w:val="000000"/>
                <w:kern w:val="0"/>
                <w:szCs w:val="21"/>
                <w:vertAlign w:val="baseline"/>
                <w:lang w:eastAsia="zh-CN"/>
              </w:rPr>
              <w:t>验收信息公开</w:t>
            </w:r>
          </w:p>
        </w:tc>
        <w:tc>
          <w:tcPr>
            <w:tcW w:w="10502" w:type="dxa"/>
            <w:gridSpan w:val="4"/>
            <w:vAlign w:val="center"/>
          </w:tcPr>
          <w:p w14:paraId="0E82CAF1">
            <w:pPr>
              <w:pStyle w:val="62"/>
              <w:spacing w:after="0" w:line="240" w:lineRule="auto"/>
              <w:jc w:val="center"/>
              <w:rPr>
                <w:rFonts w:hint="eastAsia"/>
                <w:b w:val="0"/>
                <w:bCs w:val="0"/>
                <w:color w:val="000000"/>
                <w:kern w:val="0"/>
                <w:szCs w:val="21"/>
                <w:vertAlign w:val="baseline"/>
              </w:rPr>
            </w:pPr>
            <w:r>
              <w:rPr>
                <w:rFonts w:hint="eastAsia"/>
                <w:b w:val="0"/>
                <w:bCs w:val="0"/>
                <w:color w:val="000000"/>
                <w:kern w:val="0"/>
                <w:szCs w:val="21"/>
                <w:vertAlign w:val="baseline"/>
              </w:rPr>
              <w:t>建设单位应当通过其网站或其他便于公众知晓的方式，向社会公开下列信息：①建设项目配套建设的环境保护设施竣工后，公开竣工日期；②对建设项目配套建设的环境保护设施进行调试前，公开调试的起止日期；③验收报告编制完成后5个工作日内，公开验收报告，公示的期限不得少于20个工作日。④建设单位公开上述信息的同时，应当向所在地县级以上环境保护主管部门报送相关信息，并接受监督检查。⑤验收报告公示期满后5个工作日内，建设单位应当登录全国建设项目竣工环境保护验收信息平台，填报建设项目基本信息、环境保护设施验收情况等相关信息，环境保护主管部门对上述信息予以公</w:t>
            </w:r>
          </w:p>
        </w:tc>
      </w:tr>
    </w:tbl>
    <w:p w14:paraId="51253B63">
      <w:pPr>
        <w:spacing w:line="360" w:lineRule="auto"/>
        <w:ind w:right="-27"/>
        <w:rPr>
          <w:color w:val="000000"/>
        </w:rPr>
        <w:sectPr>
          <w:pgSz w:w="16838" w:h="11906" w:orient="landscape"/>
          <w:pgMar w:top="1440" w:right="1417" w:bottom="1440" w:left="1417" w:header="851" w:footer="992" w:gutter="0"/>
          <w:pgBorders>
            <w:top w:val="none" w:sz="0" w:space="0"/>
            <w:left w:val="none" w:sz="0" w:space="0"/>
            <w:bottom w:val="none" w:sz="0" w:space="0"/>
            <w:right w:val="none" w:sz="0" w:space="0"/>
          </w:pgBorders>
          <w:cols w:space="720" w:num="1"/>
          <w:docGrid w:type="lines" w:linePitch="312" w:charSpace="0"/>
        </w:sectPr>
      </w:pPr>
    </w:p>
    <w:p w14:paraId="1C64318A">
      <w:pPr>
        <w:pStyle w:val="2"/>
        <w:keepNext w:val="0"/>
        <w:keepLines w:val="0"/>
        <w:autoSpaceDE w:val="0"/>
        <w:autoSpaceDN w:val="0"/>
        <w:spacing w:before="0" w:beforeAutospacing="0" w:after="0" w:afterAutospacing="0" w:line="360" w:lineRule="auto"/>
        <w:jc w:val="left"/>
        <w:rPr>
          <w:kern w:val="0"/>
          <w:sz w:val="28"/>
          <w:szCs w:val="28"/>
          <w:lang w:val="en-US" w:bidi="zh-CN"/>
        </w:rPr>
      </w:pPr>
      <w:bookmarkStart w:id="730" w:name="_Toc363050013"/>
      <w:bookmarkStart w:id="731" w:name="_Toc332727874"/>
      <w:bookmarkStart w:id="732" w:name="_Toc17470"/>
      <w:r>
        <w:rPr>
          <w:rFonts w:hint="eastAsia"/>
          <w:kern w:val="0"/>
          <w:sz w:val="28"/>
          <w:szCs w:val="28"/>
          <w:lang w:val="en-US" w:bidi="zh-CN"/>
        </w:rPr>
        <w:t>10</w:t>
      </w:r>
      <w:bookmarkEnd w:id="730"/>
      <w:bookmarkEnd w:id="731"/>
      <w:r>
        <w:rPr>
          <w:rFonts w:hint="eastAsia"/>
          <w:kern w:val="0"/>
          <w:sz w:val="28"/>
          <w:szCs w:val="28"/>
          <w:lang w:val="en-US" w:bidi="zh-CN"/>
        </w:rPr>
        <w:t>境影响评价结论与建议</w:t>
      </w:r>
      <w:bookmarkEnd w:id="732"/>
    </w:p>
    <w:p w14:paraId="4ACD362D">
      <w:pPr>
        <w:pStyle w:val="3"/>
        <w:keepNext w:val="0"/>
        <w:keepLines w:val="0"/>
        <w:autoSpaceDE w:val="0"/>
        <w:autoSpaceDN w:val="0"/>
        <w:spacing w:before="0" w:after="0" w:line="360" w:lineRule="auto"/>
        <w:jc w:val="left"/>
        <w:rPr>
          <w:rFonts w:ascii="Times New Roman" w:hAnsi="Times New Roman" w:eastAsia="宋体"/>
          <w:kern w:val="0"/>
          <w:sz w:val="24"/>
          <w:szCs w:val="30"/>
          <w:lang w:val="en-US" w:bidi="zh-CN"/>
        </w:rPr>
      </w:pPr>
      <w:bookmarkStart w:id="733" w:name="_Toc417640263"/>
      <w:bookmarkStart w:id="734" w:name="_Toc6029"/>
      <w:bookmarkStart w:id="735" w:name="_Toc30486"/>
      <w:bookmarkStart w:id="736" w:name="_Toc3931"/>
      <w:bookmarkStart w:id="737" w:name="_Toc18827"/>
      <w:bookmarkStart w:id="738" w:name="_Toc22543"/>
      <w:bookmarkStart w:id="739" w:name="_Toc459"/>
      <w:bookmarkStart w:id="740" w:name="_Toc19720"/>
      <w:bookmarkStart w:id="741" w:name="_Toc182340796"/>
      <w:bookmarkStart w:id="742" w:name="_Toc417640264"/>
      <w:bookmarkStart w:id="743" w:name="_Toc183724017"/>
      <w:bookmarkStart w:id="744" w:name="_Toc179691244"/>
      <w:bookmarkStart w:id="745" w:name="_Toc172884973"/>
      <w:bookmarkStart w:id="746" w:name="_Toc172977235"/>
      <w:bookmarkStart w:id="747" w:name="_Toc182366378"/>
      <w:bookmarkStart w:id="748" w:name="_Toc172884603"/>
      <w:bookmarkStart w:id="749" w:name="_Toc363050014"/>
      <w:bookmarkStart w:id="750" w:name="_Toc332727875"/>
      <w:r>
        <w:rPr>
          <w:rFonts w:hint="eastAsia" w:ascii="Times New Roman" w:hAnsi="Times New Roman" w:eastAsia="宋体"/>
          <w:kern w:val="0"/>
          <w:sz w:val="24"/>
          <w:szCs w:val="30"/>
          <w:lang w:val="en-US" w:bidi="zh-CN"/>
        </w:rPr>
        <w:t>10.1</w:t>
      </w:r>
      <w:bookmarkEnd w:id="733"/>
      <w:r>
        <w:rPr>
          <w:rFonts w:hint="eastAsia" w:ascii="Times New Roman" w:hAnsi="Times New Roman" w:eastAsia="宋体"/>
          <w:kern w:val="0"/>
          <w:sz w:val="24"/>
          <w:szCs w:val="30"/>
          <w:lang w:val="en-US" w:bidi="zh-CN"/>
        </w:rPr>
        <w:t>结论</w:t>
      </w:r>
      <w:bookmarkEnd w:id="734"/>
      <w:bookmarkEnd w:id="735"/>
    </w:p>
    <w:p w14:paraId="3DA43B48">
      <w:pPr>
        <w:pStyle w:val="4"/>
        <w:autoSpaceDE w:val="0"/>
        <w:autoSpaceDN w:val="0"/>
        <w:spacing w:before="0" w:after="0" w:line="360" w:lineRule="auto"/>
        <w:jc w:val="left"/>
        <w:rPr>
          <w:kern w:val="0"/>
          <w:sz w:val="24"/>
          <w:lang w:val="en-US" w:bidi="zh-CN"/>
        </w:rPr>
      </w:pPr>
      <w:bookmarkStart w:id="751" w:name="_Toc17793"/>
      <w:r>
        <w:rPr>
          <w:rFonts w:hint="eastAsia"/>
          <w:kern w:val="0"/>
          <w:sz w:val="24"/>
          <w:lang w:val="en-US" w:bidi="zh-CN"/>
        </w:rPr>
        <w:t>10.1.1建设项目概况</w:t>
      </w:r>
      <w:bookmarkEnd w:id="736"/>
      <w:bookmarkEnd w:id="737"/>
      <w:bookmarkEnd w:id="738"/>
      <w:bookmarkEnd w:id="739"/>
      <w:bookmarkEnd w:id="740"/>
      <w:bookmarkEnd w:id="751"/>
    </w:p>
    <w:p w14:paraId="60831850">
      <w:pPr>
        <w:spacing w:line="360" w:lineRule="auto"/>
        <w:ind w:firstLine="464" w:firstLineChars="200"/>
        <w:rPr>
          <w:color w:val="000000"/>
          <w:kern w:val="0"/>
          <w:sz w:val="24"/>
          <w:szCs w:val="24"/>
        </w:rPr>
      </w:pPr>
      <w:r>
        <w:rPr>
          <w:color w:val="000000"/>
          <w:spacing w:val="-4"/>
          <w:kern w:val="0"/>
          <w:sz w:val="24"/>
          <w:szCs w:val="24"/>
        </w:rPr>
        <w:t>本项目位于</w:t>
      </w:r>
      <w:r>
        <w:rPr>
          <w:rFonts w:hint="eastAsia" w:ascii="宋体" w:hAnsi="宋体" w:cs="宋体"/>
          <w:kern w:val="0"/>
          <w:sz w:val="24"/>
          <w:szCs w:val="24"/>
          <w:lang w:val="zh-CN" w:bidi="zh-CN"/>
        </w:rPr>
        <w:t>新疆库尔勒市普惠乡润疆社区四分场库尔勒惠泉工贸有限公司厂区内</w:t>
      </w:r>
      <w:r>
        <w:rPr>
          <w:rFonts w:hint="eastAsia" w:ascii="宋体" w:hAnsi="宋体"/>
          <w:color w:val="000000"/>
          <w:kern w:val="0"/>
          <w:sz w:val="24"/>
          <w:szCs w:val="24"/>
        </w:rPr>
        <w:t>，项目中心地理坐</w:t>
      </w:r>
      <w:r>
        <w:rPr>
          <w:color w:val="000000"/>
          <w:kern w:val="0"/>
          <w:sz w:val="24"/>
          <w:szCs w:val="24"/>
        </w:rPr>
        <w:t>标</w:t>
      </w:r>
      <w:r>
        <w:rPr>
          <w:rFonts w:hint="eastAsia" w:ascii="宋体" w:hAnsi="宋体" w:cs="宋体"/>
          <w:color w:val="000000"/>
          <w:kern w:val="0"/>
          <w:sz w:val="24"/>
          <w:szCs w:val="24"/>
        </w:rPr>
        <w:t>：N41°25′3.496″，E85°50′11.947″。</w:t>
      </w:r>
      <w:r>
        <w:rPr>
          <w:rFonts w:ascii="宋体" w:hAnsi="宋体"/>
          <w:sz w:val="24"/>
          <w:szCs w:val="24"/>
        </w:rPr>
        <w:t>项目周边目前现状</w:t>
      </w:r>
      <w:r>
        <w:rPr>
          <w:rFonts w:hint="eastAsia" w:ascii="宋体" w:hAnsi="宋体"/>
          <w:sz w:val="24"/>
          <w:szCs w:val="24"/>
        </w:rPr>
        <w:t>北侧紧邻乡村道路；南侧隔防风林为农田；西北侧为空地，西南侧为农田；东侧为空地</w:t>
      </w:r>
      <w:r>
        <w:rPr>
          <w:rFonts w:ascii="宋体" w:hAnsi="宋体"/>
          <w:sz w:val="24"/>
          <w:szCs w:val="24"/>
        </w:rPr>
        <w:t>。</w:t>
      </w:r>
    </w:p>
    <w:p w14:paraId="2048A921">
      <w:pPr>
        <w:widowControl/>
        <w:spacing w:line="360" w:lineRule="auto"/>
        <w:ind w:firstLine="480" w:firstLineChars="200"/>
        <w:rPr>
          <w:color w:val="000000"/>
          <w:kern w:val="0"/>
          <w:sz w:val="24"/>
          <w:szCs w:val="24"/>
        </w:rPr>
      </w:pPr>
      <w:r>
        <w:rPr>
          <w:rFonts w:ascii="宋体" w:hAnsi="宋体"/>
          <w:color w:val="000000" w:themeColor="text1"/>
          <w:sz w:val="24"/>
          <w:szCs w:val="24"/>
          <w14:textFill>
            <w14:solidFill>
              <w14:schemeClr w14:val="tx1"/>
            </w14:solidFill>
          </w14:textFill>
        </w:rPr>
        <w:t>项目</w:t>
      </w:r>
      <w:r>
        <w:rPr>
          <w:rFonts w:hint="eastAsia" w:ascii="宋体" w:hAnsi="宋体"/>
          <w:color w:val="000000" w:themeColor="text1"/>
          <w:sz w:val="24"/>
          <w:szCs w:val="24"/>
          <w14:textFill>
            <w14:solidFill>
              <w14:schemeClr w14:val="tx1"/>
            </w14:solidFill>
          </w14:textFill>
        </w:rPr>
        <w:t>租用</w:t>
      </w:r>
      <w:r>
        <w:rPr>
          <w:rFonts w:hint="eastAsia" w:ascii="宋体" w:hAnsi="宋体" w:cs="宋体"/>
          <w:kern w:val="0"/>
          <w:sz w:val="24"/>
          <w:szCs w:val="24"/>
          <w:lang w:val="zh-CN" w:bidi="zh-CN"/>
        </w:rPr>
        <w:t>库尔勒惠泉工贸有限公司</w:t>
      </w:r>
      <w:r>
        <w:rPr>
          <w:rFonts w:hint="eastAsia" w:ascii="宋体" w:hAnsi="宋体" w:cs="宋体"/>
          <w:kern w:val="0"/>
          <w:sz w:val="24"/>
          <w:szCs w:val="24"/>
          <w:lang w:bidi="zh-CN"/>
        </w:rPr>
        <w:t>现有厂区面积1000m</w:t>
      </w:r>
      <w:r>
        <w:rPr>
          <w:rFonts w:hint="eastAsia" w:ascii="宋体" w:hAnsi="宋体" w:cs="宋体"/>
          <w:kern w:val="0"/>
          <w:sz w:val="24"/>
          <w:szCs w:val="24"/>
          <w:vertAlign w:val="superscript"/>
          <w:lang w:bidi="zh-CN"/>
        </w:rPr>
        <w:t>2</w:t>
      </w:r>
      <w:r>
        <w:rPr>
          <w:rFonts w:hint="eastAsia" w:ascii="宋体" w:hAnsi="宋体" w:cs="宋体"/>
          <w:kern w:val="0"/>
          <w:sz w:val="24"/>
          <w:szCs w:val="24"/>
          <w:lang w:bidi="zh-CN"/>
        </w:rPr>
        <w:t>，总建筑面积928m</w:t>
      </w:r>
      <w:r>
        <w:rPr>
          <w:rFonts w:hint="eastAsia" w:ascii="宋体" w:hAnsi="宋体" w:cs="宋体"/>
          <w:kern w:val="0"/>
          <w:sz w:val="24"/>
          <w:szCs w:val="24"/>
          <w:vertAlign w:val="superscript"/>
          <w:lang w:bidi="zh-CN"/>
        </w:rPr>
        <w:t>2</w:t>
      </w:r>
      <w:r>
        <w:rPr>
          <w:rFonts w:hint="eastAsia" w:ascii="宋体" w:hAnsi="宋体" w:cs="宋体"/>
          <w:kern w:val="0"/>
          <w:sz w:val="24"/>
          <w:szCs w:val="24"/>
          <w:lang w:bidi="zh-CN"/>
        </w:rPr>
        <w:t>，其中1栋钢结构厂房建筑面积854m</w:t>
      </w:r>
      <w:r>
        <w:rPr>
          <w:rFonts w:hint="eastAsia" w:ascii="宋体" w:hAnsi="宋体" w:cs="宋体"/>
          <w:kern w:val="0"/>
          <w:sz w:val="24"/>
          <w:szCs w:val="24"/>
          <w:vertAlign w:val="superscript"/>
          <w:lang w:bidi="zh-CN"/>
        </w:rPr>
        <w:t>2</w:t>
      </w:r>
      <w:r>
        <w:rPr>
          <w:rFonts w:hint="eastAsia" w:ascii="宋体" w:hAnsi="宋体" w:cs="宋体"/>
          <w:kern w:val="0"/>
          <w:sz w:val="24"/>
          <w:szCs w:val="24"/>
          <w:lang w:bidi="zh-CN"/>
        </w:rPr>
        <w:t>，宿舍2间60m</w:t>
      </w:r>
      <w:r>
        <w:rPr>
          <w:rFonts w:hint="eastAsia" w:ascii="宋体" w:hAnsi="宋体" w:cs="宋体"/>
          <w:kern w:val="0"/>
          <w:sz w:val="24"/>
          <w:szCs w:val="24"/>
          <w:vertAlign w:val="superscript"/>
          <w:lang w:bidi="zh-CN"/>
        </w:rPr>
        <w:t>2</w:t>
      </w:r>
      <w:r>
        <w:rPr>
          <w:rFonts w:hint="eastAsia" w:ascii="宋体" w:hAnsi="宋体" w:cs="宋体"/>
          <w:kern w:val="0"/>
          <w:sz w:val="24"/>
          <w:szCs w:val="24"/>
          <w:lang w:bidi="zh-CN"/>
        </w:rPr>
        <w:t>，食堂14m</w:t>
      </w:r>
      <w:r>
        <w:rPr>
          <w:rFonts w:hint="eastAsia" w:ascii="宋体" w:hAnsi="宋体" w:cs="宋体"/>
          <w:kern w:val="0"/>
          <w:sz w:val="24"/>
          <w:szCs w:val="24"/>
          <w:vertAlign w:val="superscript"/>
          <w:lang w:bidi="zh-CN"/>
        </w:rPr>
        <w:t>2</w:t>
      </w:r>
      <w:r>
        <w:rPr>
          <w:rFonts w:hint="eastAsia" w:ascii="宋体" w:hAnsi="宋体" w:cs="宋体"/>
          <w:kern w:val="0"/>
          <w:sz w:val="24"/>
          <w:szCs w:val="24"/>
          <w:lang w:bidi="zh-CN"/>
        </w:rPr>
        <w:t>，新建</w:t>
      </w:r>
      <w:r>
        <w:rPr>
          <w:rFonts w:hint="eastAsia" w:ascii="宋体" w:hAnsi="宋体" w:cs="宋体"/>
          <w:kern w:val="0"/>
          <w:sz w:val="24"/>
          <w:szCs w:val="24"/>
          <w:lang w:val="zh-CN" w:bidi="zh-CN"/>
        </w:rPr>
        <w:t>废旧地膜造粒生产线一套</w:t>
      </w:r>
      <w:r>
        <w:rPr>
          <w:rFonts w:hint="eastAsia" w:ascii="宋体" w:hAnsi="宋体" w:cs="宋体"/>
          <w:kern w:val="0"/>
          <w:sz w:val="24"/>
          <w:szCs w:val="24"/>
          <w:lang w:bidi="zh-CN"/>
        </w:rPr>
        <w:t>，建成后预计年产塑料颗粒5078.22t/a（原料利用距离本项目6.93km处本公司2024年8月建成投入使用的现有地膜回收分拣、破碎清选后的废旧地膜运送至本项目区进行造粒）。</w:t>
      </w:r>
    </w:p>
    <w:p w14:paraId="1E8D1854">
      <w:pPr>
        <w:spacing w:line="360" w:lineRule="auto"/>
        <w:ind w:firstLine="480" w:firstLineChars="200"/>
        <w:rPr>
          <w:bCs/>
          <w:color w:val="000000"/>
          <w:kern w:val="0"/>
          <w:sz w:val="24"/>
          <w:szCs w:val="24"/>
        </w:rPr>
      </w:pPr>
      <w:r>
        <w:rPr>
          <w:bCs/>
          <w:color w:val="000000"/>
          <w:kern w:val="0"/>
          <w:sz w:val="24"/>
          <w:szCs w:val="24"/>
        </w:rPr>
        <w:t>项目</w:t>
      </w:r>
      <w:r>
        <w:rPr>
          <w:snapToGrid w:val="0"/>
          <w:color w:val="000000"/>
          <w:kern w:val="0"/>
          <w:sz w:val="24"/>
          <w:szCs w:val="24"/>
        </w:rPr>
        <w:t>计划总投资</w:t>
      </w:r>
      <w:r>
        <w:rPr>
          <w:rFonts w:hint="eastAsia"/>
          <w:snapToGrid w:val="0"/>
          <w:color w:val="000000"/>
          <w:kern w:val="0"/>
          <w:sz w:val="24"/>
          <w:szCs w:val="24"/>
        </w:rPr>
        <w:t>500</w:t>
      </w:r>
      <w:r>
        <w:rPr>
          <w:snapToGrid w:val="0"/>
          <w:color w:val="000000"/>
          <w:kern w:val="0"/>
          <w:sz w:val="24"/>
          <w:szCs w:val="24"/>
        </w:rPr>
        <w:t>万元，全部资金由企业自筹。其中环保投资</w:t>
      </w:r>
      <w:r>
        <w:rPr>
          <w:rFonts w:hint="eastAsia"/>
          <w:snapToGrid w:val="0"/>
          <w:color w:val="000000"/>
          <w:kern w:val="0"/>
          <w:sz w:val="24"/>
          <w:szCs w:val="24"/>
        </w:rPr>
        <w:t>用于环境保护的投资约为</w:t>
      </w:r>
      <w:r>
        <w:rPr>
          <w:rFonts w:hint="eastAsia"/>
          <w:snapToGrid w:val="0"/>
          <w:color w:val="000000"/>
          <w:kern w:val="0"/>
          <w:sz w:val="24"/>
          <w:szCs w:val="24"/>
          <w:lang w:val="en-US" w:eastAsia="zh-CN"/>
        </w:rPr>
        <w:t>37.52</w:t>
      </w:r>
      <w:r>
        <w:rPr>
          <w:rFonts w:hint="eastAsia"/>
          <w:snapToGrid w:val="0"/>
          <w:color w:val="000000"/>
          <w:kern w:val="0"/>
          <w:sz w:val="24"/>
          <w:szCs w:val="24"/>
        </w:rPr>
        <w:t>元，约占项目总投资的</w:t>
      </w:r>
      <w:r>
        <w:rPr>
          <w:rFonts w:hint="eastAsia"/>
          <w:snapToGrid w:val="0"/>
          <w:color w:val="000000"/>
          <w:kern w:val="0"/>
          <w:sz w:val="24"/>
          <w:szCs w:val="24"/>
          <w:lang w:val="en-US" w:eastAsia="zh-CN"/>
        </w:rPr>
        <w:t>7.504</w:t>
      </w:r>
      <w:r>
        <w:rPr>
          <w:rFonts w:hint="eastAsia"/>
          <w:snapToGrid w:val="0"/>
          <w:color w:val="000000"/>
          <w:kern w:val="0"/>
          <w:sz w:val="24"/>
          <w:szCs w:val="24"/>
        </w:rPr>
        <w:t>%。</w:t>
      </w:r>
    </w:p>
    <w:p w14:paraId="25EB10FB">
      <w:pPr>
        <w:pStyle w:val="4"/>
        <w:autoSpaceDE w:val="0"/>
        <w:autoSpaceDN w:val="0"/>
        <w:spacing w:before="0" w:after="0" w:line="360" w:lineRule="auto"/>
        <w:jc w:val="left"/>
        <w:rPr>
          <w:kern w:val="0"/>
          <w:sz w:val="24"/>
          <w:lang w:val="en-US" w:bidi="zh-CN"/>
        </w:rPr>
      </w:pPr>
      <w:bookmarkStart w:id="752" w:name="_Toc29149"/>
      <w:bookmarkStart w:id="753" w:name="_Toc19689"/>
      <w:bookmarkStart w:id="754" w:name="_Toc179"/>
      <w:bookmarkStart w:id="755" w:name="_Toc30543"/>
      <w:bookmarkStart w:id="756" w:name="_Toc524431485"/>
      <w:bookmarkStart w:id="757" w:name="_Toc7584"/>
      <w:bookmarkStart w:id="758" w:name="_Toc27361_WPSOffice_Level2"/>
      <w:bookmarkStart w:id="759" w:name="_Toc25521"/>
      <w:bookmarkStart w:id="760" w:name="_Toc4300"/>
      <w:r>
        <w:rPr>
          <w:rFonts w:hint="eastAsia"/>
          <w:kern w:val="0"/>
          <w:sz w:val="24"/>
          <w:lang w:val="en-US" w:bidi="zh-CN"/>
        </w:rPr>
        <w:t>10.1.2环境质量现状评价结论</w:t>
      </w:r>
      <w:bookmarkEnd w:id="752"/>
      <w:bookmarkEnd w:id="753"/>
      <w:bookmarkEnd w:id="754"/>
      <w:bookmarkEnd w:id="755"/>
      <w:bookmarkEnd w:id="756"/>
      <w:bookmarkEnd w:id="757"/>
      <w:bookmarkEnd w:id="758"/>
      <w:bookmarkEnd w:id="759"/>
      <w:bookmarkEnd w:id="760"/>
    </w:p>
    <w:p w14:paraId="45F72514">
      <w:pPr>
        <w:widowControl/>
        <w:spacing w:line="360" w:lineRule="auto"/>
        <w:ind w:firstLine="480" w:firstLineChars="200"/>
        <w:rPr>
          <w:color w:val="000000"/>
          <w:kern w:val="0"/>
          <w:sz w:val="24"/>
        </w:rPr>
      </w:pPr>
      <w:bookmarkStart w:id="761" w:name="_Toc17615"/>
      <w:bookmarkStart w:id="762" w:name="_Toc8586"/>
      <w:bookmarkStart w:id="763" w:name="_Toc2812_WPSOffice_Level3"/>
      <w:r>
        <w:rPr>
          <w:rFonts w:hint="eastAsia"/>
          <w:color w:val="000000"/>
          <w:kern w:val="0"/>
          <w:sz w:val="24"/>
        </w:rPr>
        <w:t>（</w:t>
      </w:r>
      <w:r>
        <w:rPr>
          <w:color w:val="000000"/>
          <w:kern w:val="0"/>
          <w:sz w:val="24"/>
        </w:rPr>
        <w:t>1</w:t>
      </w:r>
      <w:r>
        <w:rPr>
          <w:rFonts w:hint="eastAsia"/>
          <w:color w:val="000000"/>
          <w:kern w:val="0"/>
          <w:sz w:val="24"/>
        </w:rPr>
        <w:t>）大气环境质量现状评价结论</w:t>
      </w:r>
      <w:bookmarkEnd w:id="761"/>
      <w:bookmarkEnd w:id="762"/>
      <w:bookmarkEnd w:id="763"/>
    </w:p>
    <w:p w14:paraId="35565D70">
      <w:pPr>
        <w:widowControl/>
        <w:spacing w:line="360" w:lineRule="auto"/>
        <w:ind w:firstLine="480" w:firstLineChars="200"/>
        <w:rPr>
          <w:color w:val="000000"/>
          <w:kern w:val="0"/>
          <w:sz w:val="24"/>
        </w:rPr>
      </w:pPr>
      <w:bookmarkStart w:id="764" w:name="_Toc22003_WPSOffice_Level3"/>
      <w:r>
        <w:rPr>
          <w:rFonts w:hint="eastAsia" w:hAnsi="宋体"/>
          <w:color w:val="000000"/>
          <w:kern w:val="0"/>
          <w:sz w:val="24"/>
          <w:szCs w:val="24"/>
        </w:rPr>
        <w:t>本次大气环境中基</w:t>
      </w:r>
      <w:r>
        <w:rPr>
          <w:rFonts w:hint="eastAsia" w:hAnsi="宋体"/>
          <w:kern w:val="0"/>
          <w:sz w:val="24"/>
          <w:szCs w:val="24"/>
        </w:rPr>
        <w:t>本污染物 CO、O</w:t>
      </w:r>
      <w:r>
        <w:rPr>
          <w:rFonts w:hint="eastAsia" w:hAnsi="宋体"/>
          <w:kern w:val="0"/>
          <w:sz w:val="24"/>
          <w:szCs w:val="24"/>
          <w:vertAlign w:val="subscript"/>
        </w:rPr>
        <w:t>3</w:t>
      </w:r>
      <w:r>
        <w:rPr>
          <w:rFonts w:hint="eastAsia" w:hAnsi="宋体"/>
          <w:kern w:val="0"/>
          <w:sz w:val="24"/>
          <w:szCs w:val="24"/>
        </w:rPr>
        <w:t>、PM</w:t>
      </w:r>
      <w:r>
        <w:rPr>
          <w:rFonts w:hint="eastAsia" w:hAnsi="宋体"/>
          <w:kern w:val="0"/>
          <w:sz w:val="24"/>
          <w:szCs w:val="24"/>
          <w:vertAlign w:val="subscript"/>
        </w:rPr>
        <w:t>10</w:t>
      </w:r>
      <w:r>
        <w:rPr>
          <w:rFonts w:hint="eastAsia" w:hAnsi="宋体"/>
          <w:kern w:val="0"/>
          <w:sz w:val="24"/>
          <w:szCs w:val="24"/>
        </w:rPr>
        <w:t>、PM</w:t>
      </w:r>
      <w:r>
        <w:rPr>
          <w:rFonts w:hint="eastAsia" w:hAnsi="宋体"/>
          <w:kern w:val="0"/>
          <w:sz w:val="24"/>
          <w:szCs w:val="24"/>
          <w:vertAlign w:val="subscript"/>
        </w:rPr>
        <w:t>2.5</w:t>
      </w:r>
      <w:r>
        <w:rPr>
          <w:rFonts w:hint="eastAsia" w:hAnsi="宋体"/>
          <w:kern w:val="0"/>
          <w:sz w:val="24"/>
          <w:szCs w:val="24"/>
        </w:rPr>
        <w:t>、SO</w:t>
      </w:r>
      <w:r>
        <w:rPr>
          <w:rFonts w:hint="eastAsia" w:hAnsi="宋体"/>
          <w:kern w:val="0"/>
          <w:sz w:val="24"/>
          <w:szCs w:val="24"/>
          <w:vertAlign w:val="subscript"/>
        </w:rPr>
        <w:t>2</w:t>
      </w:r>
      <w:r>
        <w:rPr>
          <w:rFonts w:hint="eastAsia" w:hAnsi="宋体"/>
          <w:kern w:val="0"/>
          <w:sz w:val="24"/>
          <w:szCs w:val="24"/>
        </w:rPr>
        <w:t>、NO</w:t>
      </w:r>
      <w:r>
        <w:rPr>
          <w:rFonts w:hint="eastAsia" w:hAnsi="宋体"/>
          <w:kern w:val="0"/>
          <w:sz w:val="24"/>
          <w:szCs w:val="24"/>
          <w:vertAlign w:val="subscript"/>
        </w:rPr>
        <w:t>2</w:t>
      </w:r>
      <w:r>
        <w:rPr>
          <w:rFonts w:hint="eastAsia" w:hAnsi="宋体"/>
          <w:kern w:val="0"/>
          <w:sz w:val="24"/>
          <w:szCs w:val="24"/>
        </w:rPr>
        <w:t>数据引用</w:t>
      </w:r>
      <w:r>
        <w:rPr>
          <w:rFonts w:hint="eastAsia" w:ascii="宋体" w:hAnsi="宋体" w:cs="宋体"/>
          <w:sz w:val="24"/>
          <w:szCs w:val="24"/>
        </w:rPr>
        <w:t>自治区生态环境厅公布的《2024年12月和1-12月全区环境空气质量状况及排名》中2024年库尔勒市的环境空气质量数据</w:t>
      </w:r>
      <w:r>
        <w:rPr>
          <w:rFonts w:hint="eastAsia" w:hAnsi="宋体"/>
          <w:kern w:val="0"/>
          <w:sz w:val="24"/>
          <w:szCs w:val="24"/>
        </w:rPr>
        <w:t>，特征污染物非甲烷总烃委托新疆中测测试有限责任公司于</w:t>
      </w:r>
      <w:r>
        <w:rPr>
          <w:rFonts w:hint="eastAsia" w:hAnsi="宋体"/>
          <w:kern w:val="0"/>
          <w:sz w:val="24"/>
        </w:rPr>
        <w:t>2025年6月</w:t>
      </w:r>
      <w:r>
        <w:rPr>
          <w:rFonts w:hint="eastAsia" w:hAnsi="宋体"/>
          <w:color w:val="000000"/>
          <w:kern w:val="0"/>
          <w:sz w:val="24"/>
        </w:rPr>
        <w:t>1日~6月8日对项目区及项目区下风向进行监测</w:t>
      </w:r>
      <w:r>
        <w:rPr>
          <w:rFonts w:hint="eastAsia" w:hAnsi="宋体"/>
          <w:color w:val="000000"/>
          <w:kern w:val="0"/>
          <w:sz w:val="24"/>
          <w:szCs w:val="24"/>
        </w:rPr>
        <w:t>。</w:t>
      </w:r>
      <w:r>
        <w:rPr>
          <w:rFonts w:hint="eastAsia" w:hAnsi="宋体"/>
          <w:bCs/>
          <w:color w:val="000000"/>
          <w:kern w:val="0"/>
          <w:sz w:val="24"/>
        </w:rPr>
        <w:t>根据</w:t>
      </w:r>
      <w:r>
        <w:rPr>
          <w:rFonts w:hint="eastAsia" w:ascii="宋体" w:hAnsi="宋体" w:cs="宋体"/>
          <w:sz w:val="24"/>
          <w:szCs w:val="24"/>
        </w:rPr>
        <w:t>《2024年12月和1-12月全区环境空气质量状况及排名》中2024年库尔勒市的环境空气质量数据</w:t>
      </w:r>
      <w:r>
        <w:rPr>
          <w:rFonts w:hint="eastAsia" w:hAnsi="宋体"/>
          <w:bCs/>
          <w:color w:val="000000"/>
          <w:kern w:val="0"/>
          <w:sz w:val="24"/>
        </w:rPr>
        <w:t>，以及特征污染物补充监测数据显示，项目所在区域基本污染物中PM</w:t>
      </w:r>
      <w:r>
        <w:rPr>
          <w:rFonts w:hint="eastAsia" w:hAnsi="宋体"/>
          <w:bCs/>
          <w:color w:val="000000"/>
          <w:kern w:val="0"/>
          <w:sz w:val="24"/>
          <w:vertAlign w:val="subscript"/>
        </w:rPr>
        <w:t>10</w:t>
      </w:r>
      <w:r>
        <w:rPr>
          <w:rFonts w:hint="eastAsia" w:hAnsi="宋体"/>
          <w:bCs/>
          <w:color w:val="000000"/>
          <w:kern w:val="0"/>
          <w:sz w:val="24"/>
        </w:rPr>
        <w:t>、PM</w:t>
      </w:r>
      <w:r>
        <w:rPr>
          <w:rFonts w:hint="eastAsia" w:hAnsi="宋体"/>
          <w:bCs/>
          <w:color w:val="000000"/>
          <w:kern w:val="0"/>
          <w:sz w:val="24"/>
          <w:vertAlign w:val="subscript"/>
        </w:rPr>
        <w:t>2.5</w:t>
      </w:r>
      <w:r>
        <w:rPr>
          <w:rFonts w:hint="eastAsia" w:hAnsi="宋体"/>
          <w:bCs/>
          <w:color w:val="000000"/>
          <w:kern w:val="0"/>
          <w:sz w:val="24"/>
        </w:rPr>
        <w:t>的年评价指标超标，为不达标区；特征污染物非甲烷总烃、TSP监测结果为达标。除 PM</w:t>
      </w:r>
      <w:r>
        <w:rPr>
          <w:rFonts w:hint="eastAsia" w:hAnsi="宋体"/>
          <w:bCs/>
          <w:color w:val="000000"/>
          <w:kern w:val="0"/>
          <w:sz w:val="24"/>
          <w:vertAlign w:val="subscript"/>
        </w:rPr>
        <w:t>10</w:t>
      </w:r>
      <w:r>
        <w:rPr>
          <w:rFonts w:hint="eastAsia" w:hAnsi="宋体"/>
          <w:bCs/>
          <w:color w:val="000000"/>
          <w:kern w:val="0"/>
          <w:sz w:val="24"/>
        </w:rPr>
        <w:t>、PM</w:t>
      </w:r>
      <w:r>
        <w:rPr>
          <w:rFonts w:hint="eastAsia" w:hAnsi="宋体"/>
          <w:bCs/>
          <w:color w:val="000000"/>
          <w:kern w:val="0"/>
          <w:sz w:val="24"/>
          <w:vertAlign w:val="subscript"/>
        </w:rPr>
        <w:t>2.5</w:t>
      </w:r>
      <w:r>
        <w:rPr>
          <w:rFonts w:hint="eastAsia" w:hAnsi="宋体"/>
          <w:bCs/>
          <w:color w:val="000000"/>
          <w:kern w:val="0"/>
          <w:sz w:val="24"/>
        </w:rPr>
        <w:t>外，项目所在区域的大气监测因子均满足相应的质量标准，空气环境质量较好</w:t>
      </w:r>
      <w:r>
        <w:rPr>
          <w:rFonts w:hint="eastAsia" w:hAnsi="宋体"/>
          <w:color w:val="000000"/>
          <w:kern w:val="0"/>
          <w:sz w:val="24"/>
        </w:rPr>
        <w:t>。</w:t>
      </w:r>
    </w:p>
    <w:p w14:paraId="4D4B5E1D">
      <w:pPr>
        <w:widowControl/>
        <w:spacing w:line="360" w:lineRule="auto"/>
        <w:ind w:firstLine="480" w:firstLineChars="200"/>
        <w:rPr>
          <w:color w:val="000000"/>
          <w:kern w:val="0"/>
          <w:sz w:val="24"/>
        </w:rPr>
      </w:pPr>
      <w:bookmarkStart w:id="765" w:name="_Toc5356"/>
      <w:bookmarkStart w:id="766" w:name="_Toc24955"/>
      <w:r>
        <w:rPr>
          <w:rFonts w:hint="eastAsia"/>
          <w:color w:val="000000"/>
          <w:kern w:val="0"/>
          <w:sz w:val="24"/>
        </w:rPr>
        <w:t>（</w:t>
      </w:r>
      <w:r>
        <w:rPr>
          <w:color w:val="000000"/>
          <w:kern w:val="0"/>
          <w:sz w:val="24"/>
        </w:rPr>
        <w:t>2</w:t>
      </w:r>
      <w:r>
        <w:rPr>
          <w:rFonts w:hint="eastAsia"/>
          <w:color w:val="000000"/>
          <w:kern w:val="0"/>
          <w:sz w:val="24"/>
        </w:rPr>
        <w:t>）水环境质量现状评价结论</w:t>
      </w:r>
      <w:bookmarkEnd w:id="764"/>
      <w:bookmarkEnd w:id="765"/>
      <w:bookmarkEnd w:id="766"/>
    </w:p>
    <w:p w14:paraId="5F6662DD">
      <w:pPr>
        <w:widowControl/>
        <w:spacing w:line="360" w:lineRule="auto"/>
        <w:ind w:firstLine="480" w:firstLineChars="200"/>
        <w:rPr>
          <w:color w:val="000000"/>
          <w:kern w:val="0"/>
          <w:sz w:val="24"/>
        </w:rPr>
      </w:pPr>
      <w:bookmarkStart w:id="767" w:name="_Toc5158_WPSOffice_Level3"/>
      <w:r>
        <w:rPr>
          <w:rFonts w:hint="eastAsia" w:hAnsi="宋体"/>
          <w:color w:val="000000"/>
          <w:kern w:val="0"/>
          <w:sz w:val="24"/>
        </w:rPr>
        <w:t>根据地下水环境质量监测</w:t>
      </w:r>
      <w:r>
        <w:rPr>
          <w:rFonts w:hint="eastAsia"/>
          <w:color w:val="000000"/>
          <w:kern w:val="0"/>
          <w:sz w:val="24"/>
        </w:rPr>
        <w:t>数据显示，</w:t>
      </w:r>
      <w:r>
        <w:rPr>
          <w:rFonts w:hint="eastAsia" w:hAnsi="宋体"/>
          <w:color w:val="000000"/>
          <w:kern w:val="0"/>
          <w:sz w:val="24"/>
        </w:rPr>
        <w:t>评价区地下水各指标，除总硬度、溶解性总固体、氯化物、硫酸盐、</w:t>
      </w:r>
      <w:r>
        <w:rPr>
          <w:rFonts w:hint="eastAsia" w:ascii="宋体" w:hAnsi="宋体"/>
          <w:sz w:val="24"/>
          <w:szCs w:val="24"/>
        </w:rPr>
        <w:t>氟化物</w:t>
      </w:r>
      <w:r>
        <w:rPr>
          <w:rFonts w:hint="eastAsia" w:hAnsi="宋体"/>
          <w:color w:val="000000"/>
          <w:kern w:val="0"/>
          <w:sz w:val="24"/>
        </w:rPr>
        <w:t>、钠外，其余指标污染指数均</w:t>
      </w:r>
      <w:r>
        <w:rPr>
          <w:color w:val="000000"/>
          <w:kern w:val="0"/>
          <w:sz w:val="24"/>
        </w:rPr>
        <w:t>＜</w:t>
      </w:r>
      <w:r>
        <w:rPr>
          <w:rFonts w:hint="eastAsia" w:hAnsi="宋体"/>
          <w:color w:val="000000"/>
          <w:kern w:val="0"/>
          <w:sz w:val="24"/>
        </w:rPr>
        <w:t>1，均未超出《地下水质量标准》（GB/T 14848-2017）中Ⅲ类标准，其中</w:t>
      </w:r>
      <w:r>
        <w:rPr>
          <w:rFonts w:hint="eastAsia" w:ascii="宋体" w:hAnsi="宋体" w:cs="宋体"/>
          <w:sz w:val="24"/>
          <w:szCs w:val="24"/>
        </w:rPr>
        <w:t>总硬度、溶解性总固体、硫酸盐、</w:t>
      </w:r>
      <w:r>
        <w:rPr>
          <w:rFonts w:hint="eastAsia" w:ascii="宋体" w:hAnsi="宋体"/>
          <w:sz w:val="24"/>
          <w:szCs w:val="24"/>
        </w:rPr>
        <w:t>氟化物</w:t>
      </w:r>
      <w:r>
        <w:rPr>
          <w:rFonts w:hint="eastAsia" w:ascii="宋体" w:hAnsi="宋体" w:cs="宋体"/>
          <w:sz w:val="24"/>
          <w:szCs w:val="24"/>
        </w:rPr>
        <w:t>超标主要与项目区域地质条件有关，氯化物和Na</w:t>
      </w:r>
      <w:r>
        <w:rPr>
          <w:rFonts w:hint="eastAsia" w:ascii="宋体" w:hAnsi="宋体" w:cs="宋体"/>
          <w:sz w:val="24"/>
          <w:szCs w:val="24"/>
          <w:vertAlign w:val="superscript"/>
        </w:rPr>
        <w:t>+</w:t>
      </w:r>
      <w:r>
        <w:rPr>
          <w:rFonts w:hint="eastAsia" w:ascii="宋体" w:hAnsi="宋体" w:cs="宋体"/>
          <w:sz w:val="24"/>
          <w:szCs w:val="24"/>
        </w:rPr>
        <w:t>超标主要与当地地下水过度开采易造成水中含盐量升高有关。</w:t>
      </w:r>
    </w:p>
    <w:p w14:paraId="75EB9A70">
      <w:pPr>
        <w:widowControl/>
        <w:spacing w:line="360" w:lineRule="auto"/>
        <w:ind w:firstLine="480" w:firstLineChars="200"/>
        <w:rPr>
          <w:color w:val="000000"/>
          <w:kern w:val="0"/>
          <w:sz w:val="24"/>
        </w:rPr>
      </w:pPr>
      <w:bookmarkStart w:id="768" w:name="_Toc6705"/>
      <w:bookmarkStart w:id="769" w:name="_Toc2963"/>
      <w:r>
        <w:rPr>
          <w:rFonts w:hint="eastAsia"/>
          <w:color w:val="000000"/>
          <w:kern w:val="0"/>
          <w:sz w:val="24"/>
        </w:rPr>
        <w:t>（</w:t>
      </w:r>
      <w:r>
        <w:rPr>
          <w:color w:val="000000"/>
          <w:kern w:val="0"/>
          <w:sz w:val="24"/>
        </w:rPr>
        <w:t>3</w:t>
      </w:r>
      <w:r>
        <w:rPr>
          <w:rFonts w:hint="eastAsia"/>
          <w:color w:val="000000"/>
          <w:kern w:val="0"/>
          <w:sz w:val="24"/>
        </w:rPr>
        <w:t>）声环境质量现状评价结论</w:t>
      </w:r>
      <w:bookmarkEnd w:id="767"/>
      <w:bookmarkEnd w:id="768"/>
      <w:bookmarkEnd w:id="769"/>
    </w:p>
    <w:p w14:paraId="6A90B8F0">
      <w:pPr>
        <w:widowControl/>
        <w:spacing w:line="360" w:lineRule="auto"/>
        <w:ind w:firstLine="480" w:firstLineChars="200"/>
        <w:rPr>
          <w:color w:val="000000"/>
          <w:kern w:val="0"/>
          <w:sz w:val="24"/>
        </w:rPr>
      </w:pPr>
      <w:r>
        <w:rPr>
          <w:rFonts w:hint="eastAsia"/>
          <w:color w:val="000000"/>
          <w:kern w:val="0"/>
          <w:sz w:val="24"/>
        </w:rPr>
        <w:t>根据</w:t>
      </w:r>
      <w:r>
        <w:rPr>
          <w:rFonts w:hint="eastAsia" w:hAnsi="宋体"/>
          <w:color w:val="000000"/>
          <w:kern w:val="0"/>
          <w:sz w:val="24"/>
          <w:szCs w:val="24"/>
        </w:rPr>
        <w:t>新疆中测测试有限责任公司</w:t>
      </w:r>
      <w:r>
        <w:rPr>
          <w:rFonts w:hAnsi="宋体"/>
          <w:color w:val="000000"/>
          <w:kern w:val="0"/>
          <w:sz w:val="24"/>
        </w:rPr>
        <w:t>20</w:t>
      </w:r>
      <w:r>
        <w:rPr>
          <w:rFonts w:hint="eastAsia" w:hAnsi="宋体"/>
          <w:color w:val="000000"/>
          <w:kern w:val="0"/>
          <w:sz w:val="24"/>
        </w:rPr>
        <w:t>25</w:t>
      </w:r>
      <w:r>
        <w:rPr>
          <w:rFonts w:hAnsi="宋体"/>
          <w:color w:val="000000"/>
          <w:kern w:val="0"/>
          <w:sz w:val="24"/>
        </w:rPr>
        <w:t>年</w:t>
      </w:r>
      <w:r>
        <w:rPr>
          <w:rFonts w:hint="eastAsia" w:hAnsi="宋体"/>
          <w:color w:val="000000"/>
          <w:kern w:val="0"/>
          <w:sz w:val="24"/>
        </w:rPr>
        <w:t>6</w:t>
      </w:r>
      <w:r>
        <w:rPr>
          <w:rFonts w:hAnsi="宋体"/>
          <w:color w:val="000000"/>
          <w:kern w:val="0"/>
          <w:sz w:val="24"/>
        </w:rPr>
        <w:t>月</w:t>
      </w:r>
      <w:r>
        <w:rPr>
          <w:rFonts w:hint="eastAsia" w:hAnsi="宋体"/>
          <w:color w:val="000000"/>
          <w:kern w:val="0"/>
          <w:sz w:val="24"/>
        </w:rPr>
        <w:t>5</w:t>
      </w:r>
      <w:r>
        <w:rPr>
          <w:rFonts w:hAnsi="宋体"/>
          <w:color w:val="000000"/>
          <w:kern w:val="0"/>
          <w:sz w:val="24"/>
        </w:rPr>
        <w:t>日</w:t>
      </w:r>
      <w:r>
        <w:rPr>
          <w:rFonts w:hint="eastAsia" w:ascii="宋体" w:hAnsi="宋体" w:cs="宋体"/>
          <w:sz w:val="24"/>
          <w:szCs w:val="24"/>
        </w:rPr>
        <w:t>-6月6日</w:t>
      </w:r>
      <w:r>
        <w:rPr>
          <w:rFonts w:hAnsi="宋体"/>
          <w:color w:val="000000"/>
          <w:kern w:val="0"/>
          <w:sz w:val="24"/>
        </w:rPr>
        <w:t>对项目厂界</w:t>
      </w:r>
      <w:r>
        <w:rPr>
          <w:rFonts w:hint="eastAsia" w:hAnsi="宋体"/>
          <w:color w:val="000000"/>
          <w:kern w:val="0"/>
          <w:sz w:val="24"/>
        </w:rPr>
        <w:t>东、西、北、南侧及东侧敏感目标</w:t>
      </w:r>
      <w:r>
        <w:rPr>
          <w:rFonts w:hAnsi="宋体"/>
          <w:color w:val="000000"/>
          <w:kern w:val="0"/>
          <w:sz w:val="24"/>
        </w:rPr>
        <w:t>昼间和夜间声环境进行现状监测</w:t>
      </w:r>
      <w:r>
        <w:rPr>
          <w:rFonts w:hint="eastAsia"/>
          <w:color w:val="000000"/>
          <w:kern w:val="0"/>
          <w:sz w:val="24"/>
        </w:rPr>
        <w:t>数据显示，项目厂址四周噪声均满足《声环境质量标准》（GB3096-2008）中2类标准要求，评价区声环境质量现状较好。</w:t>
      </w:r>
    </w:p>
    <w:p w14:paraId="53D234C6">
      <w:pPr>
        <w:widowControl/>
        <w:spacing w:line="360" w:lineRule="auto"/>
        <w:ind w:firstLine="480" w:firstLineChars="200"/>
        <w:rPr>
          <w:color w:val="000000"/>
          <w:kern w:val="0"/>
          <w:sz w:val="24"/>
        </w:rPr>
      </w:pPr>
      <w:r>
        <w:rPr>
          <w:rFonts w:hint="eastAsia"/>
          <w:color w:val="000000"/>
          <w:kern w:val="0"/>
          <w:sz w:val="24"/>
        </w:rPr>
        <w:t>（4）土壤环境质量现状评价结论</w:t>
      </w:r>
    </w:p>
    <w:p w14:paraId="6B95B082">
      <w:pPr>
        <w:widowControl/>
        <w:spacing w:line="360" w:lineRule="auto"/>
        <w:ind w:firstLine="480" w:firstLineChars="200"/>
        <w:rPr>
          <w:color w:val="000000"/>
          <w:kern w:val="0"/>
          <w:sz w:val="24"/>
        </w:rPr>
      </w:pPr>
      <w:r>
        <w:rPr>
          <w:rFonts w:hint="eastAsia"/>
          <w:color w:val="000000"/>
          <w:kern w:val="0"/>
          <w:sz w:val="24"/>
        </w:rPr>
        <w:t>根据</w:t>
      </w:r>
      <w:r>
        <w:rPr>
          <w:rFonts w:hint="eastAsia" w:hAnsi="宋体"/>
          <w:color w:val="000000"/>
          <w:kern w:val="0"/>
          <w:sz w:val="24"/>
          <w:szCs w:val="24"/>
        </w:rPr>
        <w:t>新疆中测测试有限责任公司</w:t>
      </w:r>
      <w:r>
        <w:rPr>
          <w:rFonts w:hAnsi="宋体"/>
          <w:color w:val="000000"/>
          <w:kern w:val="0"/>
          <w:sz w:val="24"/>
        </w:rPr>
        <w:t>20</w:t>
      </w:r>
      <w:r>
        <w:rPr>
          <w:rFonts w:hint="eastAsia" w:hAnsi="宋体"/>
          <w:color w:val="000000"/>
          <w:kern w:val="0"/>
          <w:sz w:val="24"/>
        </w:rPr>
        <w:t>25</w:t>
      </w:r>
      <w:r>
        <w:rPr>
          <w:rFonts w:hAnsi="宋体"/>
          <w:color w:val="000000"/>
          <w:kern w:val="0"/>
          <w:sz w:val="24"/>
        </w:rPr>
        <w:t>年</w:t>
      </w:r>
      <w:r>
        <w:rPr>
          <w:rFonts w:hint="eastAsia" w:hAnsi="宋体"/>
          <w:color w:val="000000"/>
          <w:kern w:val="0"/>
          <w:sz w:val="24"/>
        </w:rPr>
        <w:t>6</w:t>
      </w:r>
      <w:r>
        <w:rPr>
          <w:rFonts w:hAnsi="宋体"/>
          <w:color w:val="000000"/>
          <w:kern w:val="0"/>
          <w:sz w:val="24"/>
        </w:rPr>
        <w:t>月</w:t>
      </w:r>
      <w:r>
        <w:rPr>
          <w:rFonts w:hint="eastAsia" w:hAnsi="宋体"/>
          <w:color w:val="000000"/>
          <w:kern w:val="0"/>
          <w:sz w:val="24"/>
        </w:rPr>
        <w:t>5</w:t>
      </w:r>
      <w:r>
        <w:rPr>
          <w:rFonts w:hAnsi="宋体"/>
          <w:color w:val="000000"/>
          <w:kern w:val="0"/>
          <w:sz w:val="24"/>
        </w:rPr>
        <w:t>日对项目厂</w:t>
      </w:r>
      <w:r>
        <w:rPr>
          <w:rFonts w:hint="eastAsia" w:hAnsi="宋体"/>
          <w:color w:val="000000"/>
          <w:kern w:val="0"/>
          <w:sz w:val="24"/>
        </w:rPr>
        <w:t>区内三个土壤表层监测点土壤</w:t>
      </w:r>
      <w:r>
        <w:rPr>
          <w:rFonts w:hAnsi="宋体"/>
          <w:color w:val="000000"/>
          <w:kern w:val="0"/>
          <w:sz w:val="24"/>
        </w:rPr>
        <w:t>环境进行现状监测</w:t>
      </w:r>
      <w:r>
        <w:rPr>
          <w:rFonts w:hint="eastAsia"/>
          <w:color w:val="000000"/>
          <w:kern w:val="0"/>
          <w:sz w:val="24"/>
        </w:rPr>
        <w:t>数据显示，项目厂</w:t>
      </w:r>
      <w:r>
        <w:rPr>
          <w:rFonts w:hint="eastAsia" w:hAnsi="宋体"/>
          <w:color w:val="000000"/>
          <w:kern w:val="0"/>
          <w:sz w:val="24"/>
        </w:rPr>
        <w:t>区内三个土壤表层监测点监测数据显示，</w:t>
      </w:r>
      <w:r>
        <w:rPr>
          <w:rFonts w:hint="eastAsia" w:ascii="宋体" w:hAnsi="宋体" w:cs="宋体"/>
          <w:sz w:val="24"/>
          <w:szCs w:val="24"/>
        </w:rPr>
        <w:t>监测项目</w:t>
      </w:r>
      <w:r>
        <w:rPr>
          <w:rFonts w:hint="eastAsia"/>
          <w:color w:val="000000"/>
          <w:kern w:val="0"/>
          <w:sz w:val="24"/>
        </w:rPr>
        <w:t>均满足</w:t>
      </w:r>
      <w:r>
        <w:rPr>
          <w:rFonts w:hint="eastAsia" w:ascii="宋体" w:hAnsi="宋体" w:cs="宋体"/>
          <w:sz w:val="24"/>
          <w:szCs w:val="24"/>
        </w:rPr>
        <w:t>《土壤环境质量  建设用地土壤污染风险管控标准》（GB36600-2018）筛选值土壤环境质量评价指标限值，说明本项目区土壤环境质量良好</w:t>
      </w:r>
      <w:r>
        <w:rPr>
          <w:rFonts w:hint="eastAsia"/>
          <w:color w:val="000000"/>
          <w:kern w:val="0"/>
          <w:sz w:val="24"/>
        </w:rPr>
        <w:t>。</w:t>
      </w:r>
    </w:p>
    <w:p w14:paraId="4D13D1F0">
      <w:pPr>
        <w:pStyle w:val="4"/>
        <w:autoSpaceDE w:val="0"/>
        <w:autoSpaceDN w:val="0"/>
        <w:spacing w:before="0" w:after="0" w:line="360" w:lineRule="auto"/>
        <w:jc w:val="left"/>
        <w:rPr>
          <w:kern w:val="0"/>
          <w:sz w:val="24"/>
          <w:lang w:val="en-US" w:bidi="zh-CN"/>
        </w:rPr>
      </w:pPr>
      <w:bookmarkStart w:id="770" w:name="_Toc8165_WPSOffice_Level2"/>
      <w:bookmarkStart w:id="771" w:name="_Toc5290"/>
      <w:bookmarkStart w:id="772" w:name="_Toc14786"/>
      <w:bookmarkStart w:id="773" w:name="_Toc14896"/>
      <w:bookmarkStart w:id="774" w:name="_Toc21818"/>
      <w:bookmarkStart w:id="775" w:name="_Toc7393"/>
      <w:bookmarkStart w:id="776" w:name="_Toc32057"/>
      <w:bookmarkStart w:id="777" w:name="_Toc524431486"/>
      <w:bookmarkStart w:id="778" w:name="_Toc23437"/>
      <w:r>
        <w:rPr>
          <w:rFonts w:hint="eastAsia"/>
          <w:kern w:val="0"/>
          <w:sz w:val="24"/>
          <w:lang w:val="en-US" w:bidi="zh-CN"/>
        </w:rPr>
        <w:t>10.1.3环境影响分析结论</w:t>
      </w:r>
      <w:bookmarkEnd w:id="770"/>
      <w:bookmarkEnd w:id="771"/>
      <w:bookmarkEnd w:id="772"/>
      <w:bookmarkEnd w:id="773"/>
      <w:bookmarkEnd w:id="774"/>
      <w:bookmarkEnd w:id="775"/>
      <w:bookmarkEnd w:id="776"/>
      <w:bookmarkEnd w:id="777"/>
      <w:bookmarkEnd w:id="778"/>
    </w:p>
    <w:p w14:paraId="0C69BC9B">
      <w:pPr>
        <w:keepNext/>
        <w:keepLines/>
        <w:spacing w:line="360" w:lineRule="auto"/>
        <w:outlineLvl w:val="3"/>
        <w:rPr>
          <w:b/>
          <w:bCs/>
          <w:color w:val="000000"/>
          <w:sz w:val="24"/>
          <w:szCs w:val="24"/>
        </w:rPr>
      </w:pPr>
      <w:bookmarkStart w:id="779" w:name="_Toc28602"/>
      <w:bookmarkStart w:id="780" w:name="_Toc19610"/>
      <w:bookmarkStart w:id="781" w:name="_Toc17648"/>
      <w:bookmarkStart w:id="782" w:name="_Toc14263_WPSOffice_Level3"/>
      <w:bookmarkStart w:id="783" w:name="_Toc14960"/>
      <w:bookmarkStart w:id="784" w:name="_Toc19468"/>
      <w:r>
        <w:rPr>
          <w:rFonts w:hint="eastAsia"/>
          <w:b/>
          <w:bCs/>
          <w:color w:val="000000"/>
          <w:sz w:val="24"/>
          <w:szCs w:val="24"/>
        </w:rPr>
        <w:t>10</w:t>
      </w:r>
      <w:r>
        <w:rPr>
          <w:b/>
          <w:bCs/>
          <w:color w:val="000000"/>
          <w:sz w:val="24"/>
          <w:szCs w:val="24"/>
        </w:rPr>
        <w:t>.</w:t>
      </w:r>
      <w:r>
        <w:rPr>
          <w:rFonts w:hint="eastAsia"/>
          <w:b/>
          <w:bCs/>
          <w:color w:val="000000"/>
          <w:sz w:val="24"/>
          <w:szCs w:val="24"/>
        </w:rPr>
        <w:t>1.</w:t>
      </w:r>
      <w:r>
        <w:rPr>
          <w:b/>
          <w:bCs/>
          <w:color w:val="000000"/>
          <w:sz w:val="24"/>
          <w:szCs w:val="24"/>
        </w:rPr>
        <w:t>3.1</w:t>
      </w:r>
      <w:r>
        <w:rPr>
          <w:rFonts w:hint="eastAsia"/>
          <w:b/>
          <w:bCs/>
          <w:color w:val="000000"/>
          <w:sz w:val="24"/>
          <w:szCs w:val="24"/>
        </w:rPr>
        <w:t>施工期环境影响分析结论</w:t>
      </w:r>
      <w:bookmarkEnd w:id="779"/>
      <w:bookmarkEnd w:id="780"/>
      <w:bookmarkEnd w:id="781"/>
      <w:bookmarkEnd w:id="782"/>
      <w:bookmarkEnd w:id="783"/>
      <w:bookmarkEnd w:id="784"/>
    </w:p>
    <w:p w14:paraId="4F7546AC">
      <w:pPr>
        <w:spacing w:line="360" w:lineRule="auto"/>
        <w:ind w:firstLine="480" w:firstLineChars="200"/>
        <w:rPr>
          <w:rFonts w:ascii="宋体"/>
          <w:color w:val="000000"/>
          <w:kern w:val="0"/>
          <w:sz w:val="24"/>
          <w:szCs w:val="24"/>
        </w:rPr>
      </w:pPr>
      <w:r>
        <w:rPr>
          <w:rFonts w:hint="eastAsia"/>
          <w:color w:val="000000"/>
          <w:kern w:val="0"/>
          <w:sz w:val="24"/>
          <w:szCs w:val="24"/>
        </w:rPr>
        <w:t>本项目施工工程量较小，施工周期短，只要建设单位和施工单位认真做好施工组织工作，文明施工，并按环评要求采取相应的环保措施，则工程施工不会对环境产生明显不利影响。工程建设完成后，除永久占地为持续影响外，其余影响均属短期的、可恢复和局部的环境影响，随着施工活动的结束而消失。</w:t>
      </w:r>
    </w:p>
    <w:p w14:paraId="61250F72">
      <w:pPr>
        <w:keepNext/>
        <w:keepLines/>
        <w:spacing w:line="360" w:lineRule="auto"/>
        <w:outlineLvl w:val="3"/>
        <w:rPr>
          <w:b/>
          <w:bCs/>
          <w:color w:val="000000"/>
          <w:sz w:val="24"/>
          <w:szCs w:val="24"/>
        </w:rPr>
      </w:pPr>
      <w:bookmarkStart w:id="785" w:name="_Toc16346"/>
      <w:bookmarkStart w:id="786" w:name="_Toc3676"/>
      <w:bookmarkStart w:id="787" w:name="_Toc15749"/>
      <w:bookmarkStart w:id="788" w:name="_Toc23090"/>
      <w:bookmarkStart w:id="789" w:name="_Toc3726"/>
      <w:r>
        <w:rPr>
          <w:rFonts w:hint="eastAsia"/>
          <w:b/>
          <w:bCs/>
          <w:color w:val="000000"/>
          <w:sz w:val="24"/>
          <w:szCs w:val="24"/>
        </w:rPr>
        <w:t>10</w:t>
      </w:r>
      <w:r>
        <w:rPr>
          <w:b/>
          <w:bCs/>
          <w:color w:val="000000"/>
          <w:sz w:val="24"/>
          <w:szCs w:val="24"/>
        </w:rPr>
        <w:t>.</w:t>
      </w:r>
      <w:r>
        <w:rPr>
          <w:rFonts w:hint="eastAsia"/>
          <w:b/>
          <w:bCs/>
          <w:color w:val="000000"/>
          <w:sz w:val="24"/>
          <w:szCs w:val="24"/>
        </w:rPr>
        <w:t>1.</w:t>
      </w:r>
      <w:r>
        <w:rPr>
          <w:b/>
          <w:bCs/>
          <w:color w:val="000000"/>
          <w:sz w:val="24"/>
          <w:szCs w:val="24"/>
        </w:rPr>
        <w:t>3.2</w:t>
      </w:r>
      <w:r>
        <w:rPr>
          <w:rFonts w:hint="eastAsia"/>
          <w:b/>
          <w:bCs/>
          <w:color w:val="000000"/>
          <w:sz w:val="24"/>
          <w:szCs w:val="24"/>
        </w:rPr>
        <w:t>运营期环境影响分析结论</w:t>
      </w:r>
      <w:bookmarkEnd w:id="785"/>
      <w:bookmarkEnd w:id="786"/>
      <w:bookmarkEnd w:id="787"/>
      <w:bookmarkEnd w:id="788"/>
      <w:bookmarkEnd w:id="789"/>
    </w:p>
    <w:p w14:paraId="65CE75E2">
      <w:pPr>
        <w:widowControl/>
        <w:spacing w:line="360" w:lineRule="auto"/>
        <w:ind w:firstLine="480" w:firstLineChars="200"/>
        <w:rPr>
          <w:color w:val="000000"/>
          <w:kern w:val="0"/>
          <w:sz w:val="24"/>
        </w:rPr>
      </w:pPr>
      <w:bookmarkStart w:id="790" w:name="_Toc30371"/>
      <w:bookmarkStart w:id="791" w:name="_Toc31923"/>
      <w:r>
        <w:rPr>
          <w:rFonts w:hint="eastAsia"/>
          <w:color w:val="000000"/>
          <w:kern w:val="0"/>
          <w:sz w:val="24"/>
        </w:rPr>
        <w:t>（</w:t>
      </w:r>
      <w:r>
        <w:rPr>
          <w:color w:val="000000"/>
          <w:kern w:val="0"/>
          <w:sz w:val="24"/>
        </w:rPr>
        <w:t>1</w:t>
      </w:r>
      <w:r>
        <w:rPr>
          <w:rFonts w:hint="eastAsia"/>
          <w:color w:val="000000"/>
          <w:kern w:val="0"/>
          <w:sz w:val="24"/>
        </w:rPr>
        <w:t>）大气环境影响分析结论</w:t>
      </w:r>
      <w:bookmarkEnd w:id="790"/>
      <w:bookmarkEnd w:id="791"/>
    </w:p>
    <w:p w14:paraId="19ED2C8B">
      <w:pPr>
        <w:widowControl/>
        <w:spacing w:line="360" w:lineRule="auto"/>
        <w:ind w:firstLine="480" w:firstLineChars="200"/>
        <w:rPr>
          <w:color w:val="000000"/>
          <w:kern w:val="0"/>
          <w:sz w:val="24"/>
          <w:szCs w:val="24"/>
        </w:rPr>
      </w:pPr>
      <w:bookmarkStart w:id="792" w:name="_Toc31494"/>
      <w:bookmarkStart w:id="793" w:name="_Toc21231"/>
      <w:r>
        <w:rPr>
          <w:rFonts w:hint="eastAsia"/>
          <w:color w:val="000000"/>
          <w:kern w:val="0"/>
          <w:sz w:val="24"/>
          <w:szCs w:val="24"/>
        </w:rPr>
        <w:t>本项目各污染物的最大落地浓度均较低，对外环境的贡献浓度均较小，对项目区所在大气环境影响较小。</w:t>
      </w:r>
    </w:p>
    <w:p w14:paraId="1BD3F8EF">
      <w:pPr>
        <w:widowControl/>
        <w:spacing w:line="360" w:lineRule="auto"/>
        <w:ind w:firstLine="480" w:firstLineChars="200"/>
        <w:rPr>
          <w:color w:val="000000"/>
          <w:kern w:val="0"/>
          <w:sz w:val="24"/>
        </w:rPr>
      </w:pPr>
      <w:r>
        <w:rPr>
          <w:rFonts w:hint="eastAsia"/>
          <w:color w:val="000000"/>
          <w:kern w:val="0"/>
          <w:sz w:val="24"/>
        </w:rPr>
        <w:t>（</w:t>
      </w:r>
      <w:r>
        <w:rPr>
          <w:color w:val="000000"/>
          <w:kern w:val="0"/>
          <w:sz w:val="24"/>
        </w:rPr>
        <w:t>2</w:t>
      </w:r>
      <w:r>
        <w:rPr>
          <w:rFonts w:hint="eastAsia"/>
          <w:color w:val="000000"/>
          <w:kern w:val="0"/>
          <w:sz w:val="24"/>
        </w:rPr>
        <w:t>）水环境影响分析结论</w:t>
      </w:r>
      <w:bookmarkEnd w:id="792"/>
      <w:bookmarkEnd w:id="793"/>
    </w:p>
    <w:p w14:paraId="2E01AF7C">
      <w:pPr>
        <w:widowControl/>
        <w:autoSpaceDE w:val="0"/>
        <w:autoSpaceDN w:val="0"/>
        <w:spacing w:line="360" w:lineRule="auto"/>
        <w:ind w:firstLine="480" w:firstLineChars="200"/>
        <w:rPr>
          <w:rStyle w:val="244"/>
          <w:rFonts w:hint="default" w:eastAsia="宋体"/>
          <w:color w:val="000000"/>
          <w:kern w:val="0"/>
          <w:sz w:val="24"/>
          <w:szCs w:val="24"/>
          <w:lang w:val="en-US" w:eastAsia="zh-CN"/>
        </w:rPr>
      </w:pPr>
      <w:r>
        <w:rPr>
          <w:rStyle w:val="244"/>
          <w:rFonts w:hint="eastAsia"/>
          <w:color w:val="000000"/>
          <w:kern w:val="0"/>
          <w:sz w:val="24"/>
        </w:rPr>
        <w:t>项目运营期</w:t>
      </w:r>
      <w:r>
        <w:rPr>
          <w:rFonts w:hint="eastAsia" w:ascii="宋体" w:hAnsi="宋体" w:cs="宋体"/>
          <w:sz w:val="24"/>
          <w:szCs w:val="24"/>
          <w:lang w:eastAsia="zh-CN"/>
        </w:rPr>
        <w:t>生活污水</w:t>
      </w:r>
      <w:r>
        <w:rPr>
          <w:rFonts w:hint="eastAsia" w:ascii="宋体" w:hAnsi="宋体" w:cs="宋体"/>
          <w:sz w:val="24"/>
          <w:szCs w:val="24"/>
          <w:lang w:val="en-US" w:eastAsia="zh-CN"/>
        </w:rPr>
        <w:t>排入</w:t>
      </w:r>
      <w:r>
        <w:rPr>
          <w:rFonts w:hint="eastAsia"/>
          <w:color w:val="000000"/>
          <w:kern w:val="0"/>
          <w:sz w:val="24"/>
          <w:szCs w:val="24"/>
          <w:lang w:eastAsia="zh-CN"/>
        </w:rPr>
        <w:t>防渗</w:t>
      </w:r>
      <w:r>
        <w:rPr>
          <w:rFonts w:hint="eastAsia"/>
          <w:color w:val="000000"/>
          <w:sz w:val="24"/>
          <w:szCs w:val="24"/>
          <w:lang w:val="en-US" w:eastAsia="zh-CN"/>
        </w:rPr>
        <w:t>化粪池</w:t>
      </w:r>
      <w:r>
        <w:rPr>
          <w:rFonts w:hint="eastAsia"/>
          <w:color w:val="000000"/>
          <w:kern w:val="0"/>
          <w:sz w:val="24"/>
          <w:szCs w:val="24"/>
        </w:rPr>
        <w:t>（容积</w:t>
      </w:r>
      <w:r>
        <w:rPr>
          <w:rFonts w:hint="eastAsia"/>
          <w:color w:val="000000"/>
          <w:kern w:val="0"/>
          <w:sz w:val="24"/>
          <w:szCs w:val="24"/>
          <w:lang w:val="en-US" w:eastAsia="zh-CN"/>
        </w:rPr>
        <w:t>10</w:t>
      </w:r>
      <w:r>
        <w:rPr>
          <w:rFonts w:hint="eastAsia"/>
          <w:color w:val="000000"/>
          <w:kern w:val="0"/>
          <w:sz w:val="24"/>
          <w:szCs w:val="24"/>
        </w:rPr>
        <w:t>m</w:t>
      </w:r>
      <w:r>
        <w:rPr>
          <w:rFonts w:hint="eastAsia"/>
          <w:color w:val="000000"/>
          <w:kern w:val="0"/>
          <w:sz w:val="24"/>
          <w:szCs w:val="24"/>
          <w:vertAlign w:val="superscript"/>
        </w:rPr>
        <w:t>3</w:t>
      </w:r>
      <w:r>
        <w:rPr>
          <w:rFonts w:hint="eastAsia"/>
          <w:color w:val="000000"/>
          <w:kern w:val="0"/>
          <w:sz w:val="24"/>
          <w:szCs w:val="24"/>
        </w:rPr>
        <w:t>）</w:t>
      </w:r>
      <w:r>
        <w:rPr>
          <w:rFonts w:hint="eastAsia" w:ascii="宋体" w:hAnsi="宋体" w:cs="宋体"/>
          <w:sz w:val="24"/>
          <w:szCs w:val="24"/>
          <w:lang w:eastAsia="zh-CN"/>
        </w:rPr>
        <w:t>，定期</w:t>
      </w:r>
      <w:r>
        <w:rPr>
          <w:rFonts w:hint="eastAsia" w:ascii="宋体" w:hAnsi="宋体" w:cs="宋体"/>
          <w:sz w:val="24"/>
          <w:szCs w:val="24"/>
          <w:lang w:val="en-US" w:eastAsia="zh-CN"/>
        </w:rPr>
        <w:t>由库尔勒龙润水处理有限公司采用罐车</w:t>
      </w:r>
      <w:r>
        <w:rPr>
          <w:rFonts w:hint="eastAsia" w:ascii="宋体" w:hAnsi="宋体" w:cs="宋体"/>
          <w:sz w:val="24"/>
          <w:szCs w:val="24"/>
          <w:lang w:eastAsia="zh-CN"/>
        </w:rPr>
        <w:t>拉运至</w:t>
      </w:r>
      <w:r>
        <w:rPr>
          <w:rFonts w:hint="eastAsia" w:ascii="宋体" w:hAnsi="宋体" w:cs="宋体"/>
          <w:sz w:val="24"/>
          <w:szCs w:val="24"/>
          <w:lang w:val="en-US" w:eastAsia="zh-CN"/>
        </w:rPr>
        <w:t>库尔勒南市区</w:t>
      </w:r>
      <w:r>
        <w:rPr>
          <w:rFonts w:hint="eastAsia" w:ascii="宋体" w:hAnsi="宋体" w:cs="宋体"/>
          <w:sz w:val="24"/>
          <w:szCs w:val="24"/>
          <w:lang w:eastAsia="zh-CN"/>
        </w:rPr>
        <w:t>污水处理</w:t>
      </w:r>
      <w:r>
        <w:rPr>
          <w:rFonts w:hint="eastAsia" w:ascii="宋体" w:hAnsi="宋体" w:cs="宋体"/>
          <w:sz w:val="24"/>
          <w:szCs w:val="24"/>
          <w:lang w:val="en-US" w:eastAsia="zh-CN"/>
        </w:rPr>
        <w:t>厂。</w:t>
      </w:r>
      <w:r>
        <w:rPr>
          <w:rStyle w:val="244"/>
          <w:rFonts w:hint="eastAsia"/>
          <w:color w:val="000000"/>
          <w:kern w:val="0"/>
          <w:sz w:val="24"/>
        </w:rPr>
        <w:t xml:space="preserve"> </w:t>
      </w:r>
      <w:r>
        <w:rPr>
          <w:rStyle w:val="244"/>
          <w:rFonts w:hint="eastAsia"/>
          <w:color w:val="000000"/>
          <w:kern w:val="0"/>
          <w:sz w:val="24"/>
          <w:lang w:eastAsia="zh-CN"/>
        </w:rPr>
        <w:t>不会对地下水环境产生影响。</w:t>
      </w:r>
    </w:p>
    <w:p w14:paraId="5E7F4306">
      <w:pPr>
        <w:widowControl/>
        <w:spacing w:line="360" w:lineRule="auto"/>
        <w:ind w:firstLine="480" w:firstLineChars="200"/>
        <w:rPr>
          <w:color w:val="000000"/>
          <w:kern w:val="0"/>
          <w:sz w:val="24"/>
        </w:rPr>
      </w:pPr>
      <w:bookmarkStart w:id="794" w:name="_Toc15553"/>
      <w:bookmarkStart w:id="795" w:name="_Toc10361"/>
      <w:r>
        <w:rPr>
          <w:rFonts w:hint="eastAsia"/>
          <w:color w:val="000000"/>
          <w:kern w:val="0"/>
          <w:sz w:val="24"/>
        </w:rPr>
        <w:t>（</w:t>
      </w:r>
      <w:r>
        <w:rPr>
          <w:color w:val="000000"/>
          <w:kern w:val="0"/>
          <w:sz w:val="24"/>
        </w:rPr>
        <w:t>3</w:t>
      </w:r>
      <w:r>
        <w:rPr>
          <w:rFonts w:hint="eastAsia"/>
          <w:color w:val="000000"/>
          <w:kern w:val="0"/>
          <w:sz w:val="24"/>
        </w:rPr>
        <w:t>）声环境影响分析结论</w:t>
      </w:r>
      <w:bookmarkEnd w:id="794"/>
      <w:bookmarkEnd w:id="795"/>
    </w:p>
    <w:p w14:paraId="533B1C56">
      <w:pPr>
        <w:widowControl/>
        <w:spacing w:line="360" w:lineRule="auto"/>
        <w:ind w:firstLine="480" w:firstLineChars="200"/>
        <w:rPr>
          <w:color w:val="000000"/>
          <w:kern w:val="0"/>
          <w:sz w:val="24"/>
        </w:rPr>
      </w:pPr>
      <w:r>
        <w:rPr>
          <w:rFonts w:hint="eastAsia"/>
          <w:color w:val="000000"/>
          <w:kern w:val="0"/>
          <w:sz w:val="24"/>
        </w:rPr>
        <w:t>本项目设备噪声在经基础减振、建筑隔声和自然衰减后，到达厂界时，已减至较低水平，能够满足《工业企业厂界环境噪声排放标准》（</w:t>
      </w:r>
      <w:r>
        <w:rPr>
          <w:color w:val="000000"/>
          <w:kern w:val="0"/>
          <w:sz w:val="24"/>
        </w:rPr>
        <w:t>GB12348-2008</w:t>
      </w:r>
      <w:r>
        <w:rPr>
          <w:rFonts w:hint="eastAsia"/>
          <w:color w:val="000000"/>
          <w:kern w:val="0"/>
          <w:sz w:val="24"/>
        </w:rPr>
        <w:t>）中的2类区标准要求，对声环境影响较小。</w:t>
      </w:r>
    </w:p>
    <w:p w14:paraId="1DBB034F">
      <w:pPr>
        <w:widowControl/>
        <w:spacing w:line="360" w:lineRule="auto"/>
        <w:ind w:firstLine="480" w:firstLineChars="200"/>
        <w:jc w:val="left"/>
        <w:rPr>
          <w:color w:val="000000"/>
          <w:kern w:val="0"/>
          <w:sz w:val="24"/>
          <w:szCs w:val="24"/>
        </w:rPr>
      </w:pPr>
      <w:bookmarkStart w:id="796" w:name="_Toc22923"/>
      <w:bookmarkStart w:id="797" w:name="_Toc16664"/>
      <w:r>
        <w:rPr>
          <w:rFonts w:hint="eastAsia"/>
          <w:color w:val="000000"/>
          <w:kern w:val="0"/>
          <w:sz w:val="24"/>
          <w:szCs w:val="24"/>
        </w:rPr>
        <w:t>（</w:t>
      </w:r>
      <w:r>
        <w:rPr>
          <w:color w:val="000000"/>
          <w:kern w:val="0"/>
          <w:sz w:val="24"/>
          <w:szCs w:val="24"/>
        </w:rPr>
        <w:t>4</w:t>
      </w:r>
      <w:r>
        <w:rPr>
          <w:rFonts w:hint="eastAsia"/>
          <w:color w:val="000000"/>
          <w:kern w:val="0"/>
          <w:sz w:val="24"/>
          <w:szCs w:val="24"/>
        </w:rPr>
        <w:t>）固体废物环境影响分析结论</w:t>
      </w:r>
      <w:bookmarkEnd w:id="796"/>
      <w:bookmarkEnd w:id="797"/>
    </w:p>
    <w:p w14:paraId="08F02077">
      <w:pPr>
        <w:widowControl/>
        <w:spacing w:line="360" w:lineRule="auto"/>
        <w:ind w:firstLine="480" w:firstLineChars="200"/>
        <w:rPr>
          <w:color w:val="000000"/>
          <w:kern w:val="0"/>
          <w:sz w:val="24"/>
          <w:szCs w:val="24"/>
        </w:rPr>
      </w:pPr>
      <w:r>
        <w:rPr>
          <w:color w:val="000000"/>
          <w:kern w:val="0"/>
          <w:sz w:val="24"/>
          <w:szCs w:val="24"/>
        </w:rPr>
        <w:t>本项目运营期产生的固体废物包括</w:t>
      </w:r>
      <w:r>
        <w:rPr>
          <w:rFonts w:hint="eastAsia"/>
          <w:color w:val="000000"/>
          <w:kern w:val="0"/>
          <w:sz w:val="24"/>
          <w:szCs w:val="24"/>
        </w:rPr>
        <w:t>生产过程</w:t>
      </w:r>
      <w:r>
        <w:rPr>
          <w:color w:val="000000"/>
          <w:kern w:val="0"/>
          <w:sz w:val="24"/>
          <w:szCs w:val="24"/>
        </w:rPr>
        <w:t>产生的</w:t>
      </w:r>
      <w:r>
        <w:rPr>
          <w:rFonts w:hint="eastAsia"/>
          <w:color w:val="000000"/>
          <w:kern w:val="0"/>
          <w:sz w:val="24"/>
          <w:szCs w:val="24"/>
        </w:rPr>
        <w:t>废过滤网、不合格品、</w:t>
      </w:r>
      <w:r>
        <w:rPr>
          <w:color w:val="000000"/>
          <w:kern w:val="0"/>
          <w:sz w:val="24"/>
          <w:szCs w:val="24"/>
        </w:rPr>
        <w:t>残次品及边角料</w:t>
      </w:r>
      <w:r>
        <w:rPr>
          <w:rFonts w:hint="eastAsia"/>
          <w:color w:val="000000"/>
          <w:kern w:val="0"/>
          <w:sz w:val="24"/>
          <w:szCs w:val="24"/>
        </w:rPr>
        <w:t>、</w:t>
      </w:r>
      <w:r>
        <w:rPr>
          <w:color w:val="000000"/>
          <w:kern w:val="0"/>
          <w:sz w:val="24"/>
          <w:szCs w:val="24"/>
        </w:rPr>
        <w:t>废活性炭</w:t>
      </w:r>
      <w:r>
        <w:rPr>
          <w:rFonts w:hint="eastAsia"/>
          <w:color w:val="000000"/>
          <w:kern w:val="0"/>
          <w:sz w:val="24"/>
          <w:szCs w:val="24"/>
        </w:rPr>
        <w:t>、废催化剂、熔融废渣、废润滑油及桶</w:t>
      </w:r>
      <w:r>
        <w:rPr>
          <w:color w:val="000000"/>
          <w:kern w:val="0"/>
          <w:sz w:val="24"/>
          <w:szCs w:val="24"/>
        </w:rPr>
        <w:t>以及工作人员产生的生活垃圾等。</w:t>
      </w:r>
      <w:r>
        <w:rPr>
          <w:rFonts w:hint="eastAsia"/>
          <w:color w:val="000000"/>
          <w:kern w:val="0"/>
          <w:sz w:val="24"/>
          <w:szCs w:val="24"/>
        </w:rPr>
        <w:t>根据工程分析可知，都能妥善处理。</w:t>
      </w:r>
      <w:r>
        <w:rPr>
          <w:color w:val="000000"/>
          <w:kern w:val="0"/>
          <w:sz w:val="24"/>
          <w:szCs w:val="24"/>
        </w:rPr>
        <w:t>产生的固体废物处置率达100%，对环境影响较小。</w:t>
      </w:r>
    </w:p>
    <w:p w14:paraId="5CFD4095">
      <w:pPr>
        <w:pStyle w:val="38"/>
        <w:ind w:left="210" w:leftChars="100" w:firstLine="240" w:firstLineChars="100"/>
      </w:pPr>
      <w:r>
        <w:rPr>
          <w:rFonts w:hint="eastAsia"/>
        </w:rPr>
        <w:t>（5）风险评价结论</w:t>
      </w:r>
    </w:p>
    <w:p w14:paraId="731EE045">
      <w:pPr>
        <w:pStyle w:val="38"/>
        <w:ind w:left="210" w:leftChars="100" w:firstLine="480" w:firstLineChars="200"/>
      </w:pPr>
      <w:r>
        <w:rPr>
          <w:rFonts w:hint="eastAsia"/>
        </w:rPr>
        <w:t>风险评价的结果表明，该项目其潜在的环境风险是可以接受的。但企业仍</w:t>
      </w:r>
    </w:p>
    <w:p w14:paraId="7AA37A41">
      <w:pPr>
        <w:pStyle w:val="38"/>
        <w:ind w:left="0" w:firstLine="0"/>
      </w:pPr>
      <w:r>
        <w:rPr>
          <w:rFonts w:hint="eastAsia"/>
        </w:rPr>
        <w:t>需要提高风险管理水平和强化风险防范措施，降低环境风险事故发生的概率。</w:t>
      </w:r>
    </w:p>
    <w:p w14:paraId="6C95FF8E">
      <w:pPr>
        <w:pStyle w:val="38"/>
        <w:ind w:left="210" w:leftChars="100" w:firstLine="240" w:firstLineChars="100"/>
      </w:pPr>
      <w:r>
        <w:rPr>
          <w:rFonts w:hint="eastAsia"/>
        </w:rPr>
        <w:t>（6）清洁生产评价结论</w:t>
      </w:r>
    </w:p>
    <w:p w14:paraId="1D7FD8C2">
      <w:pPr>
        <w:pStyle w:val="38"/>
        <w:ind w:left="210" w:leftChars="100" w:firstLine="240" w:firstLineChars="100"/>
      </w:pPr>
      <w:r>
        <w:rPr>
          <w:rFonts w:hint="eastAsia"/>
        </w:rPr>
        <w:t>本项目在生产工艺和设备，资源能源利用指标，污染物产生指标，废物回收</w:t>
      </w:r>
    </w:p>
    <w:p w14:paraId="3F30F9C0">
      <w:pPr>
        <w:pStyle w:val="38"/>
        <w:ind w:left="0" w:firstLine="0"/>
      </w:pPr>
      <w:r>
        <w:rPr>
          <w:rFonts w:hint="eastAsia"/>
        </w:rPr>
        <w:t>利用指标，产品指标等方面达到了国内同行业先进水平。</w:t>
      </w:r>
    </w:p>
    <w:p w14:paraId="0ABC915C">
      <w:pPr>
        <w:pStyle w:val="4"/>
        <w:autoSpaceDE w:val="0"/>
        <w:autoSpaceDN w:val="0"/>
        <w:spacing w:before="0" w:after="0" w:line="360" w:lineRule="auto"/>
        <w:jc w:val="left"/>
        <w:rPr>
          <w:kern w:val="0"/>
          <w:sz w:val="24"/>
          <w:lang w:val="en-US" w:bidi="zh-CN"/>
        </w:rPr>
      </w:pPr>
      <w:bookmarkStart w:id="798" w:name="_Toc29517"/>
      <w:bookmarkStart w:id="799" w:name="_Toc524431487"/>
      <w:bookmarkStart w:id="800" w:name="_Toc9779"/>
      <w:bookmarkStart w:id="801" w:name="_Toc456651325"/>
      <w:bookmarkStart w:id="802" w:name="_Toc21058_WPSOffice_Level2"/>
      <w:bookmarkStart w:id="803" w:name="_Toc972"/>
      <w:bookmarkStart w:id="804" w:name="_Toc19462"/>
      <w:bookmarkStart w:id="805" w:name="_Toc5142"/>
      <w:bookmarkStart w:id="806" w:name="_Toc479687867"/>
      <w:bookmarkStart w:id="807" w:name="_Toc13881"/>
      <w:bookmarkStart w:id="808" w:name="_Toc25215"/>
      <w:r>
        <w:rPr>
          <w:rFonts w:hint="eastAsia"/>
          <w:kern w:val="0"/>
          <w:sz w:val="24"/>
          <w:lang w:val="en-US" w:bidi="zh-CN"/>
        </w:rPr>
        <w:t>10.1.4污染防治措施可行性分析结论</w:t>
      </w:r>
      <w:bookmarkEnd w:id="798"/>
      <w:bookmarkEnd w:id="799"/>
      <w:bookmarkEnd w:id="800"/>
      <w:bookmarkEnd w:id="801"/>
      <w:bookmarkEnd w:id="802"/>
      <w:bookmarkEnd w:id="803"/>
      <w:bookmarkEnd w:id="804"/>
      <w:bookmarkEnd w:id="805"/>
      <w:bookmarkEnd w:id="806"/>
      <w:bookmarkEnd w:id="807"/>
      <w:bookmarkEnd w:id="808"/>
    </w:p>
    <w:p w14:paraId="7F213236">
      <w:pPr>
        <w:keepNext/>
        <w:keepLines/>
        <w:spacing w:line="360" w:lineRule="auto"/>
        <w:outlineLvl w:val="3"/>
        <w:rPr>
          <w:b/>
          <w:bCs/>
          <w:color w:val="000000"/>
          <w:sz w:val="24"/>
          <w:szCs w:val="24"/>
        </w:rPr>
      </w:pPr>
      <w:bookmarkStart w:id="809" w:name="_Toc1870"/>
      <w:bookmarkStart w:id="810" w:name="_Toc12818"/>
      <w:bookmarkStart w:id="811" w:name="_Toc27371"/>
      <w:bookmarkStart w:id="812" w:name="_Toc17062"/>
      <w:bookmarkStart w:id="813" w:name="_Toc360"/>
      <w:bookmarkStart w:id="814" w:name="_Toc16444_WPSOffice_Level3"/>
      <w:r>
        <w:rPr>
          <w:rFonts w:hint="eastAsia"/>
          <w:b/>
          <w:bCs/>
          <w:color w:val="000000"/>
          <w:sz w:val="24"/>
          <w:szCs w:val="24"/>
        </w:rPr>
        <w:t>10</w:t>
      </w:r>
      <w:r>
        <w:rPr>
          <w:b/>
          <w:bCs/>
          <w:color w:val="000000"/>
          <w:sz w:val="24"/>
          <w:szCs w:val="24"/>
        </w:rPr>
        <w:t>.</w:t>
      </w:r>
      <w:r>
        <w:rPr>
          <w:rFonts w:hint="eastAsia"/>
          <w:b/>
          <w:bCs/>
          <w:color w:val="000000"/>
          <w:sz w:val="24"/>
          <w:szCs w:val="24"/>
        </w:rPr>
        <w:t>1.</w:t>
      </w:r>
      <w:r>
        <w:rPr>
          <w:b/>
          <w:bCs/>
          <w:color w:val="000000"/>
          <w:sz w:val="24"/>
          <w:szCs w:val="24"/>
        </w:rPr>
        <w:t>4.1</w:t>
      </w:r>
      <w:r>
        <w:rPr>
          <w:rFonts w:hint="eastAsia"/>
          <w:b/>
          <w:bCs/>
          <w:color w:val="000000"/>
          <w:sz w:val="24"/>
          <w:szCs w:val="24"/>
        </w:rPr>
        <w:t>施工期污染防治措施可行性分析结论</w:t>
      </w:r>
      <w:bookmarkEnd w:id="809"/>
      <w:bookmarkEnd w:id="810"/>
      <w:bookmarkEnd w:id="811"/>
      <w:bookmarkEnd w:id="812"/>
      <w:bookmarkEnd w:id="813"/>
      <w:bookmarkEnd w:id="814"/>
    </w:p>
    <w:p w14:paraId="37903FDF">
      <w:pPr>
        <w:widowControl/>
        <w:spacing w:line="360" w:lineRule="auto"/>
        <w:ind w:firstLine="480" w:firstLineChars="200"/>
        <w:jc w:val="left"/>
        <w:rPr>
          <w:color w:val="000000"/>
          <w:kern w:val="0"/>
          <w:sz w:val="24"/>
          <w:szCs w:val="24"/>
        </w:rPr>
      </w:pPr>
      <w:r>
        <w:rPr>
          <w:rFonts w:hint="eastAsia"/>
          <w:color w:val="000000"/>
          <w:kern w:val="0"/>
          <w:sz w:val="24"/>
          <w:szCs w:val="24"/>
        </w:rPr>
        <w:t>施工期主要污染为扬尘、施工废水、机械噪声等。项目租用现有厂房，在厂房内安装设备，扬尘局限于厂房内；</w:t>
      </w:r>
      <w:r>
        <w:rPr>
          <w:rFonts w:hint="eastAsia" w:ascii="宋体" w:hAnsi="宋体" w:cs="宋体"/>
          <w:sz w:val="24"/>
          <w:szCs w:val="24"/>
          <w:lang w:eastAsia="zh-CN"/>
        </w:rPr>
        <w:t>生活污水</w:t>
      </w:r>
      <w:r>
        <w:rPr>
          <w:rFonts w:hint="eastAsia" w:ascii="宋体" w:hAnsi="宋体" w:cs="宋体"/>
          <w:sz w:val="24"/>
          <w:szCs w:val="24"/>
          <w:lang w:val="en-US" w:eastAsia="zh-CN"/>
        </w:rPr>
        <w:t>排入防渗化粪池</w:t>
      </w:r>
      <w:r>
        <w:rPr>
          <w:rFonts w:hint="eastAsia" w:ascii="宋体" w:hAnsi="宋体" w:cs="宋体"/>
          <w:sz w:val="24"/>
          <w:szCs w:val="24"/>
          <w:lang w:eastAsia="zh-CN"/>
        </w:rPr>
        <w:t>，定期</w:t>
      </w:r>
      <w:r>
        <w:rPr>
          <w:rFonts w:hint="eastAsia" w:ascii="宋体" w:hAnsi="宋体" w:cs="宋体"/>
          <w:sz w:val="24"/>
          <w:szCs w:val="24"/>
          <w:lang w:val="en-US" w:eastAsia="zh-CN"/>
        </w:rPr>
        <w:t>由库尔勒龙润水处理有限公司采用罐车</w:t>
      </w:r>
      <w:r>
        <w:rPr>
          <w:rFonts w:hint="eastAsia" w:ascii="宋体" w:hAnsi="宋体" w:cs="宋体"/>
          <w:sz w:val="24"/>
          <w:szCs w:val="24"/>
          <w:lang w:eastAsia="zh-CN"/>
        </w:rPr>
        <w:t>拉运至</w:t>
      </w:r>
      <w:r>
        <w:rPr>
          <w:rFonts w:hint="eastAsia" w:ascii="宋体" w:hAnsi="宋体" w:cs="宋体"/>
          <w:sz w:val="24"/>
          <w:szCs w:val="24"/>
          <w:lang w:val="en-US" w:eastAsia="zh-CN"/>
        </w:rPr>
        <w:t>库尔勒南市区</w:t>
      </w:r>
      <w:r>
        <w:rPr>
          <w:rFonts w:hint="eastAsia" w:ascii="宋体" w:hAnsi="宋体" w:cs="宋体"/>
          <w:sz w:val="24"/>
          <w:szCs w:val="24"/>
          <w:lang w:eastAsia="zh-CN"/>
        </w:rPr>
        <w:t>污水处理</w:t>
      </w:r>
      <w:r>
        <w:rPr>
          <w:rFonts w:hint="eastAsia" w:ascii="宋体" w:hAnsi="宋体" w:cs="宋体"/>
          <w:sz w:val="24"/>
          <w:szCs w:val="24"/>
          <w:lang w:val="en-US" w:eastAsia="zh-CN"/>
        </w:rPr>
        <w:t>厂；</w:t>
      </w:r>
      <w:r>
        <w:rPr>
          <w:rFonts w:hint="eastAsia"/>
          <w:color w:val="000000"/>
          <w:kern w:val="0"/>
          <w:sz w:val="24"/>
          <w:szCs w:val="24"/>
        </w:rPr>
        <w:t>施工期噪声防治主要采取选用低噪声机械设备、合理安排施工时间、加强施工管理等措施；建筑垃圾照</w:t>
      </w:r>
      <w:r>
        <w:rPr>
          <w:color w:val="000000"/>
          <w:kern w:val="0"/>
          <w:sz w:val="24"/>
          <w:szCs w:val="24"/>
        </w:rPr>
        <w:t>2005</w:t>
      </w:r>
      <w:r>
        <w:rPr>
          <w:rFonts w:hint="eastAsia"/>
          <w:color w:val="000000"/>
          <w:kern w:val="0"/>
          <w:sz w:val="24"/>
          <w:szCs w:val="24"/>
        </w:rPr>
        <w:t>年建设部</w:t>
      </w:r>
      <w:r>
        <w:rPr>
          <w:color w:val="000000"/>
          <w:kern w:val="0"/>
          <w:sz w:val="24"/>
          <w:szCs w:val="24"/>
        </w:rPr>
        <w:t>139</w:t>
      </w:r>
      <w:r>
        <w:rPr>
          <w:rFonts w:hint="eastAsia"/>
          <w:color w:val="000000"/>
          <w:kern w:val="0"/>
          <w:sz w:val="24"/>
          <w:szCs w:val="24"/>
        </w:rPr>
        <w:t>号令《城市建筑垃圾管理规定》，向城市市容卫生管理部门申报，妥善弃置消纳，生活垃圾集中收集后统一清运交由环卫部门处置。</w:t>
      </w:r>
    </w:p>
    <w:p w14:paraId="33EF2A66">
      <w:pPr>
        <w:widowControl/>
        <w:spacing w:line="360" w:lineRule="auto"/>
        <w:ind w:firstLine="480" w:firstLineChars="200"/>
        <w:jc w:val="left"/>
        <w:rPr>
          <w:color w:val="000000"/>
          <w:kern w:val="0"/>
          <w:sz w:val="24"/>
          <w:szCs w:val="24"/>
        </w:rPr>
      </w:pPr>
      <w:r>
        <w:rPr>
          <w:rFonts w:hint="eastAsia"/>
          <w:color w:val="000000"/>
          <w:kern w:val="0"/>
          <w:sz w:val="24"/>
          <w:szCs w:val="24"/>
        </w:rPr>
        <w:t>本项目施工期拟采取的污染防治措施较易实现，效果良好，从技术、经济方面来讲均是可行的。</w:t>
      </w:r>
    </w:p>
    <w:p w14:paraId="793A6378">
      <w:pPr>
        <w:keepNext/>
        <w:keepLines/>
        <w:spacing w:line="360" w:lineRule="auto"/>
        <w:outlineLvl w:val="3"/>
        <w:rPr>
          <w:b/>
          <w:bCs/>
          <w:color w:val="000000"/>
          <w:sz w:val="24"/>
          <w:szCs w:val="24"/>
        </w:rPr>
      </w:pPr>
      <w:bookmarkStart w:id="815" w:name="_Toc25264"/>
      <w:bookmarkStart w:id="816" w:name="_Toc17373"/>
      <w:bookmarkStart w:id="817" w:name="_Toc20575"/>
      <w:bookmarkStart w:id="818" w:name="_Toc32362"/>
      <w:bookmarkStart w:id="819" w:name="_Toc25529"/>
      <w:r>
        <w:rPr>
          <w:rFonts w:hint="eastAsia"/>
          <w:b/>
          <w:bCs/>
          <w:color w:val="000000"/>
          <w:sz w:val="24"/>
          <w:szCs w:val="24"/>
        </w:rPr>
        <w:t>10</w:t>
      </w:r>
      <w:r>
        <w:rPr>
          <w:b/>
          <w:bCs/>
          <w:color w:val="000000"/>
          <w:sz w:val="24"/>
          <w:szCs w:val="24"/>
        </w:rPr>
        <w:t>.</w:t>
      </w:r>
      <w:r>
        <w:rPr>
          <w:rFonts w:hint="eastAsia"/>
          <w:b/>
          <w:bCs/>
          <w:color w:val="000000"/>
          <w:sz w:val="24"/>
          <w:szCs w:val="24"/>
        </w:rPr>
        <w:t>1.</w:t>
      </w:r>
      <w:r>
        <w:rPr>
          <w:b/>
          <w:bCs/>
          <w:color w:val="000000"/>
          <w:sz w:val="24"/>
          <w:szCs w:val="24"/>
        </w:rPr>
        <w:t>4.2</w:t>
      </w:r>
      <w:r>
        <w:rPr>
          <w:rFonts w:hint="eastAsia"/>
          <w:b/>
          <w:bCs/>
          <w:color w:val="000000"/>
          <w:sz w:val="24"/>
          <w:szCs w:val="24"/>
        </w:rPr>
        <w:t>运营期污染防治措施可行性分析结论</w:t>
      </w:r>
      <w:bookmarkEnd w:id="815"/>
      <w:bookmarkEnd w:id="816"/>
      <w:bookmarkEnd w:id="817"/>
      <w:bookmarkEnd w:id="818"/>
      <w:bookmarkEnd w:id="819"/>
    </w:p>
    <w:p w14:paraId="5006D952">
      <w:pPr>
        <w:widowControl/>
        <w:spacing w:line="360" w:lineRule="auto"/>
        <w:ind w:firstLine="480" w:firstLineChars="200"/>
        <w:rPr>
          <w:color w:val="000000"/>
          <w:kern w:val="0"/>
          <w:sz w:val="24"/>
        </w:rPr>
      </w:pPr>
      <w:bookmarkStart w:id="820" w:name="_Toc18055"/>
      <w:bookmarkStart w:id="821" w:name="_Toc22856"/>
      <w:r>
        <w:rPr>
          <w:rFonts w:hint="eastAsia"/>
          <w:color w:val="000000"/>
          <w:kern w:val="0"/>
          <w:sz w:val="24"/>
        </w:rPr>
        <w:t>1、大气污染防治措施可行性分析结论</w:t>
      </w:r>
      <w:bookmarkEnd w:id="820"/>
      <w:bookmarkEnd w:id="821"/>
    </w:p>
    <w:p w14:paraId="36A32787">
      <w:pPr>
        <w:spacing w:line="360" w:lineRule="auto"/>
        <w:ind w:firstLine="480" w:firstLineChars="200"/>
        <w:rPr>
          <w:color w:val="000000"/>
          <w:kern w:val="0"/>
          <w:sz w:val="24"/>
        </w:rPr>
      </w:pPr>
      <w:r>
        <w:rPr>
          <w:rFonts w:hint="eastAsia"/>
          <w:color w:val="000000"/>
          <w:kern w:val="0"/>
          <w:sz w:val="24"/>
        </w:rPr>
        <w:t>（1）有组织废气</w:t>
      </w:r>
    </w:p>
    <w:p w14:paraId="0F0F3E8A">
      <w:pPr>
        <w:spacing w:line="360" w:lineRule="auto"/>
        <w:ind w:firstLine="480" w:firstLineChars="200"/>
        <w:rPr>
          <w:rFonts w:hint="eastAsia" w:hAnsi="宋体"/>
          <w:color w:val="000000"/>
          <w:kern w:val="0"/>
          <w:sz w:val="24"/>
        </w:rPr>
      </w:pPr>
      <w:r>
        <w:rPr>
          <w:rFonts w:hint="eastAsia"/>
          <w:color w:val="000000"/>
          <w:kern w:val="0"/>
          <w:sz w:val="24"/>
        </w:rPr>
        <w:t>本项目建设单位在每条生产线热熔挤出机上方0.5m处设集气罩，废气经集气罩收集后以轴流风机引风，经</w:t>
      </w:r>
      <w:r>
        <w:rPr>
          <w:rFonts w:hint="eastAsia"/>
          <w:color w:val="000000"/>
          <w:kern w:val="0"/>
          <w:sz w:val="24"/>
          <w:lang w:eastAsia="zh-CN"/>
        </w:rPr>
        <w:t>活性炭浓缩吸附+催化燃烧</w:t>
      </w:r>
      <w:r>
        <w:rPr>
          <w:rFonts w:hint="eastAsia"/>
          <w:color w:val="000000"/>
          <w:kern w:val="0"/>
          <w:sz w:val="24"/>
        </w:rPr>
        <w:t>系统处理后（共1套），由15m高排气筒（DA001）排放。</w:t>
      </w:r>
      <w:r>
        <w:rPr>
          <w:rFonts w:hint="eastAsia"/>
          <w:color w:val="000000"/>
          <w:kern w:val="0"/>
          <w:sz w:val="24"/>
          <w:lang w:eastAsia="zh-CN"/>
        </w:rPr>
        <w:t>活性炭浓缩吸附+催化燃烧</w:t>
      </w:r>
      <w:r>
        <w:rPr>
          <w:rFonts w:hint="eastAsia"/>
          <w:color w:val="000000"/>
          <w:kern w:val="0"/>
          <w:sz w:val="24"/>
        </w:rPr>
        <w:t>系统对非甲烷总烃去除效率为85%，有组织排放的非甲烷总烃满足《合成树脂工业污染物排放标准》（GB31572-2015，含2024年修改单）表5大气污染物排放限值要求。</w:t>
      </w:r>
    </w:p>
    <w:p w14:paraId="56DEE210">
      <w:pPr>
        <w:spacing w:line="360" w:lineRule="auto"/>
        <w:ind w:firstLine="480" w:firstLineChars="200"/>
        <w:rPr>
          <w:color w:val="000000"/>
          <w:kern w:val="0"/>
          <w:sz w:val="24"/>
        </w:rPr>
      </w:pPr>
      <w:r>
        <w:rPr>
          <w:rFonts w:hint="eastAsia"/>
          <w:color w:val="000000"/>
          <w:kern w:val="0"/>
          <w:sz w:val="24"/>
        </w:rPr>
        <w:t>（</w:t>
      </w:r>
      <w:r>
        <w:rPr>
          <w:color w:val="000000"/>
          <w:kern w:val="0"/>
          <w:sz w:val="24"/>
        </w:rPr>
        <w:t>2</w:t>
      </w:r>
      <w:r>
        <w:rPr>
          <w:rFonts w:hint="eastAsia"/>
          <w:color w:val="000000"/>
          <w:kern w:val="0"/>
          <w:sz w:val="24"/>
        </w:rPr>
        <w:t>）无组织废气</w:t>
      </w:r>
    </w:p>
    <w:p w14:paraId="114F2511">
      <w:pPr>
        <w:pStyle w:val="262"/>
        <w:keepNext w:val="0"/>
        <w:keepLines w:val="0"/>
        <w:pageBreakBefore w:val="0"/>
        <w:kinsoku/>
        <w:wordWrap/>
        <w:overflowPunct/>
        <w:topLinePunct w:val="0"/>
        <w:bidi w:val="0"/>
        <w:adjustRightInd/>
        <w:snapToGrid/>
        <w:ind w:firstLine="480"/>
        <w:textAlignment w:val="auto"/>
        <w:rPr>
          <w:lang w:val="en-US"/>
        </w:rPr>
      </w:pPr>
      <w:r>
        <w:t>本项目无组织排放的非甲烷总烃排放量较小，根据预测结果，无组织排放的非甲烷总烃</w:t>
      </w:r>
      <w:r>
        <w:rPr>
          <w:rFonts w:hint="eastAsia"/>
          <w:lang w:val="en-US"/>
        </w:rPr>
        <w:t>和颗粒物最大落地浓度</w:t>
      </w:r>
      <w:r>
        <w:t>满足《合成树脂工业污染物排放标准》（GB31572-2015</w:t>
      </w:r>
      <w:r>
        <w:rPr>
          <w:lang w:val="en-US"/>
        </w:rPr>
        <w:t>，含2024年修改单</w:t>
      </w:r>
      <w:r>
        <w:t>）表9中企业边界</w:t>
      </w:r>
      <w:r>
        <w:rPr>
          <w:rFonts w:hint="eastAsia"/>
          <w:lang w:val="en-US"/>
        </w:rPr>
        <w:t>要求及《挥发性有机物无组织排放控制标准》（GB37822-2019）表A.1中限值要求。</w:t>
      </w:r>
    </w:p>
    <w:p w14:paraId="3280E7C1">
      <w:pPr>
        <w:keepNext w:val="0"/>
        <w:keepLines w:val="0"/>
        <w:pageBreakBefore w:val="0"/>
        <w:widowControl/>
        <w:kinsoku/>
        <w:wordWrap/>
        <w:overflowPunct/>
        <w:topLinePunct w:val="0"/>
        <w:bidi w:val="0"/>
        <w:adjustRightInd/>
        <w:snapToGrid/>
        <w:spacing w:line="360" w:lineRule="auto"/>
        <w:ind w:firstLine="480" w:firstLineChars="200"/>
        <w:textAlignment w:val="auto"/>
        <w:rPr>
          <w:color w:val="000000"/>
          <w:kern w:val="0"/>
          <w:sz w:val="24"/>
        </w:rPr>
      </w:pPr>
      <w:bookmarkStart w:id="822" w:name="_Toc19352"/>
      <w:bookmarkStart w:id="823" w:name="_Toc30565"/>
      <w:r>
        <w:rPr>
          <w:rFonts w:hint="eastAsia"/>
          <w:color w:val="000000"/>
          <w:kern w:val="0"/>
          <w:sz w:val="24"/>
        </w:rPr>
        <w:t>2、水污染防治措施可行性分析结论</w:t>
      </w:r>
      <w:bookmarkEnd w:id="822"/>
      <w:bookmarkEnd w:id="823"/>
    </w:p>
    <w:p w14:paraId="53D5BAEB">
      <w:pPr>
        <w:keepNext w:val="0"/>
        <w:keepLines w:val="0"/>
        <w:pageBreakBefore w:val="0"/>
        <w:kinsoku/>
        <w:wordWrap/>
        <w:overflowPunct/>
        <w:topLinePunct w:val="0"/>
        <w:bidi w:val="0"/>
        <w:adjustRightInd/>
        <w:snapToGrid/>
        <w:spacing w:line="360" w:lineRule="auto"/>
        <w:ind w:firstLine="480" w:firstLineChars="200"/>
        <w:textAlignment w:val="auto"/>
        <w:rPr>
          <w:color w:val="000000"/>
          <w:kern w:val="0"/>
          <w:sz w:val="24"/>
        </w:rPr>
      </w:pPr>
      <w:r>
        <w:rPr>
          <w:rStyle w:val="244"/>
          <w:rFonts w:hint="eastAsia"/>
          <w:color w:val="000000"/>
          <w:kern w:val="0"/>
          <w:sz w:val="24"/>
        </w:rPr>
        <w:t>项目运营期</w:t>
      </w:r>
      <w:r>
        <w:rPr>
          <w:rFonts w:hint="eastAsia" w:ascii="宋体" w:hAnsi="宋体" w:cs="宋体"/>
          <w:sz w:val="24"/>
          <w:szCs w:val="24"/>
          <w:lang w:eastAsia="zh-CN"/>
        </w:rPr>
        <w:t>生活污水</w:t>
      </w:r>
      <w:r>
        <w:rPr>
          <w:rFonts w:hint="eastAsia" w:ascii="宋体" w:hAnsi="宋体" w:cs="宋体"/>
          <w:sz w:val="24"/>
          <w:szCs w:val="24"/>
          <w:lang w:val="en-US" w:eastAsia="zh-CN"/>
        </w:rPr>
        <w:t>排入污水储存罐</w:t>
      </w:r>
      <w:r>
        <w:rPr>
          <w:rFonts w:hint="eastAsia" w:ascii="宋体" w:hAnsi="宋体" w:cs="宋体"/>
          <w:sz w:val="24"/>
          <w:szCs w:val="24"/>
          <w:lang w:eastAsia="zh-CN"/>
        </w:rPr>
        <w:t>，定期</w:t>
      </w:r>
      <w:r>
        <w:rPr>
          <w:rFonts w:hint="eastAsia" w:ascii="宋体" w:hAnsi="宋体" w:cs="宋体"/>
          <w:sz w:val="24"/>
          <w:szCs w:val="24"/>
          <w:lang w:val="en-US" w:eastAsia="zh-CN"/>
        </w:rPr>
        <w:t>由库尔勒龙润水处理有限公司采用罐车</w:t>
      </w:r>
      <w:r>
        <w:rPr>
          <w:rFonts w:hint="eastAsia" w:ascii="宋体" w:hAnsi="宋体" w:cs="宋体"/>
          <w:sz w:val="24"/>
          <w:szCs w:val="24"/>
          <w:lang w:eastAsia="zh-CN"/>
        </w:rPr>
        <w:t>拉运至</w:t>
      </w:r>
      <w:r>
        <w:rPr>
          <w:rFonts w:hint="eastAsia" w:ascii="宋体" w:hAnsi="宋体" w:cs="宋体"/>
          <w:sz w:val="24"/>
          <w:szCs w:val="24"/>
          <w:lang w:val="en-US" w:eastAsia="zh-CN"/>
        </w:rPr>
        <w:t>库尔勒南市区</w:t>
      </w:r>
      <w:r>
        <w:rPr>
          <w:rFonts w:hint="eastAsia" w:ascii="宋体" w:hAnsi="宋体" w:cs="宋体"/>
          <w:sz w:val="24"/>
          <w:szCs w:val="24"/>
          <w:lang w:eastAsia="zh-CN"/>
        </w:rPr>
        <w:t>污水处理</w:t>
      </w:r>
      <w:r>
        <w:rPr>
          <w:rFonts w:hint="eastAsia" w:ascii="宋体" w:hAnsi="宋体" w:cs="宋体"/>
          <w:sz w:val="24"/>
          <w:szCs w:val="24"/>
          <w:lang w:val="en-US" w:eastAsia="zh-CN"/>
        </w:rPr>
        <w:t>厂</w:t>
      </w:r>
      <w:r>
        <w:rPr>
          <w:rFonts w:hint="eastAsia"/>
          <w:color w:val="000000"/>
          <w:kern w:val="0"/>
          <w:sz w:val="24"/>
          <w:lang w:eastAsia="zh-CN"/>
        </w:rPr>
        <w:t>，</w:t>
      </w:r>
      <w:r>
        <w:rPr>
          <w:rFonts w:hint="eastAsia"/>
          <w:color w:val="000000"/>
          <w:kern w:val="0"/>
          <w:sz w:val="24"/>
          <w:szCs w:val="24"/>
          <w:lang w:eastAsia="zh-CN"/>
        </w:rPr>
        <w:t>排入</w:t>
      </w:r>
      <w:r>
        <w:rPr>
          <w:rFonts w:hint="eastAsia" w:ascii="宋体" w:hAnsi="宋体" w:cs="宋体"/>
          <w:sz w:val="24"/>
          <w:szCs w:val="24"/>
          <w:lang w:val="en-US" w:eastAsia="zh-CN"/>
        </w:rPr>
        <w:t>污水储存罐</w:t>
      </w:r>
      <w:r>
        <w:rPr>
          <w:rFonts w:hint="eastAsia"/>
          <w:color w:val="000000"/>
          <w:kern w:val="0"/>
          <w:sz w:val="24"/>
        </w:rPr>
        <w:t>是可行的。</w:t>
      </w:r>
    </w:p>
    <w:p w14:paraId="4970BEC9">
      <w:pPr>
        <w:keepNext w:val="0"/>
        <w:keepLines w:val="0"/>
        <w:pageBreakBefore w:val="0"/>
        <w:widowControl/>
        <w:kinsoku/>
        <w:wordWrap/>
        <w:overflowPunct/>
        <w:topLinePunct w:val="0"/>
        <w:bidi w:val="0"/>
        <w:adjustRightInd/>
        <w:snapToGrid/>
        <w:spacing w:line="360" w:lineRule="auto"/>
        <w:ind w:firstLine="480" w:firstLineChars="200"/>
        <w:textAlignment w:val="auto"/>
        <w:rPr>
          <w:color w:val="000000"/>
          <w:kern w:val="0"/>
          <w:sz w:val="24"/>
        </w:rPr>
      </w:pPr>
      <w:bookmarkStart w:id="824" w:name="_Toc5045"/>
      <w:bookmarkStart w:id="825" w:name="_Toc1188"/>
      <w:r>
        <w:rPr>
          <w:rFonts w:hint="eastAsia"/>
          <w:color w:val="000000"/>
          <w:kern w:val="0"/>
          <w:sz w:val="24"/>
        </w:rPr>
        <w:t>3、噪声防治措施可行性分析结论</w:t>
      </w:r>
      <w:bookmarkEnd w:id="824"/>
      <w:bookmarkEnd w:id="825"/>
    </w:p>
    <w:p w14:paraId="0553F0B3">
      <w:pPr>
        <w:keepNext w:val="0"/>
        <w:keepLines w:val="0"/>
        <w:pageBreakBefore w:val="0"/>
        <w:kinsoku/>
        <w:wordWrap/>
        <w:overflowPunct/>
        <w:topLinePunct w:val="0"/>
        <w:bidi w:val="0"/>
        <w:adjustRightInd/>
        <w:snapToGrid/>
        <w:spacing w:line="360" w:lineRule="auto"/>
        <w:ind w:firstLine="480" w:firstLineChars="200"/>
        <w:textAlignment w:val="auto"/>
        <w:rPr>
          <w:color w:val="000000"/>
          <w:kern w:val="0"/>
          <w:sz w:val="24"/>
        </w:rPr>
      </w:pPr>
      <w:r>
        <w:rPr>
          <w:rFonts w:hint="eastAsia"/>
          <w:color w:val="000000"/>
          <w:kern w:val="0"/>
          <w:sz w:val="24"/>
        </w:rPr>
        <w:t>本项目拟采取的建筑隔声、基础减振等降噪措施均为较成熟的噪声控制措施，从技术角度上讲，完全可以满足噪声防治的需要，使厂界噪声满足《工业企业厂界环境噪声排放标准》（</w:t>
      </w:r>
      <w:r>
        <w:rPr>
          <w:color w:val="000000"/>
          <w:kern w:val="0"/>
          <w:sz w:val="24"/>
        </w:rPr>
        <w:t>GB12348-2008</w:t>
      </w:r>
      <w:r>
        <w:rPr>
          <w:rFonts w:hint="eastAsia"/>
          <w:color w:val="000000"/>
          <w:kern w:val="0"/>
          <w:sz w:val="24"/>
        </w:rPr>
        <w:t>）中的2类区标准；从经济角度而言，其投资也较少，在可承受范围内。因此，拟采取的噪声防治措施可行。</w:t>
      </w:r>
    </w:p>
    <w:p w14:paraId="0045C80A">
      <w:pPr>
        <w:keepNext w:val="0"/>
        <w:keepLines w:val="0"/>
        <w:pageBreakBefore w:val="0"/>
        <w:widowControl/>
        <w:kinsoku/>
        <w:wordWrap/>
        <w:overflowPunct/>
        <w:topLinePunct w:val="0"/>
        <w:bidi w:val="0"/>
        <w:adjustRightInd/>
        <w:snapToGrid/>
        <w:spacing w:line="360" w:lineRule="auto"/>
        <w:ind w:firstLine="480" w:firstLineChars="200"/>
        <w:textAlignment w:val="auto"/>
        <w:rPr>
          <w:color w:val="000000"/>
          <w:kern w:val="0"/>
          <w:sz w:val="24"/>
        </w:rPr>
      </w:pPr>
      <w:bookmarkStart w:id="826" w:name="_Toc14930"/>
      <w:bookmarkStart w:id="827" w:name="_Toc19360"/>
      <w:r>
        <w:rPr>
          <w:rFonts w:hint="eastAsia"/>
          <w:color w:val="000000"/>
          <w:kern w:val="0"/>
          <w:sz w:val="24"/>
        </w:rPr>
        <w:t>4、固废防治措施可行性分析</w:t>
      </w:r>
      <w:bookmarkEnd w:id="826"/>
      <w:bookmarkEnd w:id="827"/>
    </w:p>
    <w:p w14:paraId="17725CF3">
      <w:pPr>
        <w:spacing w:line="360" w:lineRule="auto"/>
        <w:ind w:firstLine="480" w:firstLineChars="200"/>
        <w:rPr>
          <w:rFonts w:hint="eastAsia" w:hAnsi="宋体"/>
          <w:color w:val="000000"/>
          <w:kern w:val="0"/>
          <w:sz w:val="24"/>
          <w:szCs w:val="24"/>
        </w:rPr>
      </w:pPr>
      <w:r>
        <w:rPr>
          <w:rFonts w:hint="eastAsia" w:hAnsi="宋体"/>
          <w:color w:val="000000"/>
          <w:kern w:val="0"/>
          <w:sz w:val="24"/>
          <w:szCs w:val="24"/>
        </w:rPr>
        <w:t>本项目运营期产生的固体废物包括不合格产品、残次品及边角料、废催化剂、废过滤网、熔融废渣、生活垃圾及废活性炭、废润滑油及废润滑油桶。不合格品和残次品及边角料集中收集后全部返回造粒工序；废催化剂定期更换由厂家回收；废过滤网集中收集后出售给废品收购站；熔融废渣收集后外售给注塑厂；生活垃圾统一收集后交由环卫部门清运处理；废润滑油及废润滑油桶暂存于危废贮存点，定期交由有资质的单位处理。</w:t>
      </w:r>
    </w:p>
    <w:p w14:paraId="1F7840A8">
      <w:pPr>
        <w:spacing w:line="360" w:lineRule="auto"/>
        <w:ind w:firstLine="480" w:firstLineChars="200"/>
        <w:rPr>
          <w:color w:val="000000"/>
          <w:kern w:val="0"/>
          <w:sz w:val="24"/>
        </w:rPr>
      </w:pPr>
      <w:r>
        <w:rPr>
          <w:rFonts w:hint="eastAsia" w:hAnsi="宋体"/>
          <w:color w:val="000000"/>
          <w:kern w:val="0"/>
          <w:sz w:val="24"/>
          <w:szCs w:val="24"/>
        </w:rPr>
        <w:t>综上分析，本项目产生的固体废物处置率达100%，在按照评价提出的将不同类型的固体废物进行分类收集和处理处置的基础上，进一步作好各种废物的厂内贮存和转移过程的环境管理的情况下，固体废物均妥善处置，不会对环境产生不利影响。</w:t>
      </w:r>
    </w:p>
    <w:p w14:paraId="635536E9">
      <w:pPr>
        <w:pStyle w:val="4"/>
        <w:autoSpaceDE w:val="0"/>
        <w:autoSpaceDN w:val="0"/>
        <w:spacing w:before="0" w:after="0" w:line="360" w:lineRule="auto"/>
        <w:jc w:val="left"/>
        <w:rPr>
          <w:kern w:val="0"/>
          <w:sz w:val="24"/>
          <w:lang w:val="en-US" w:bidi="zh-CN"/>
        </w:rPr>
      </w:pPr>
      <w:bookmarkStart w:id="828" w:name="_Toc479687868"/>
      <w:bookmarkStart w:id="829" w:name="_Toc28813"/>
      <w:bookmarkStart w:id="830" w:name="_Toc1146"/>
      <w:bookmarkStart w:id="831" w:name="_Toc24354_WPSOffice_Level2"/>
      <w:bookmarkStart w:id="832" w:name="_Toc524431488"/>
      <w:bookmarkStart w:id="833" w:name="_Toc32765"/>
      <w:bookmarkStart w:id="834" w:name="_Toc29878"/>
      <w:bookmarkStart w:id="835" w:name="_Toc4841"/>
      <w:bookmarkStart w:id="836" w:name="_Toc17963"/>
      <w:bookmarkStart w:id="837" w:name="_Toc11848"/>
      <w:r>
        <w:rPr>
          <w:rFonts w:hint="eastAsia"/>
          <w:kern w:val="0"/>
          <w:sz w:val="24"/>
          <w:lang w:val="en-US" w:bidi="zh-CN"/>
        </w:rPr>
        <w:t>10.1.5环境风险评价结论</w:t>
      </w:r>
      <w:bookmarkEnd w:id="828"/>
      <w:bookmarkEnd w:id="829"/>
      <w:bookmarkEnd w:id="830"/>
      <w:bookmarkEnd w:id="831"/>
      <w:bookmarkEnd w:id="832"/>
      <w:bookmarkEnd w:id="833"/>
      <w:bookmarkEnd w:id="834"/>
      <w:bookmarkEnd w:id="835"/>
      <w:bookmarkEnd w:id="836"/>
      <w:bookmarkEnd w:id="837"/>
    </w:p>
    <w:p w14:paraId="5728663B">
      <w:pPr>
        <w:spacing w:line="360" w:lineRule="auto"/>
        <w:ind w:firstLine="480" w:firstLineChars="200"/>
        <w:rPr>
          <w:color w:val="000000"/>
          <w:kern w:val="0"/>
          <w:sz w:val="24"/>
        </w:rPr>
      </w:pPr>
      <w:r>
        <w:rPr>
          <w:rFonts w:hint="eastAsia"/>
          <w:color w:val="000000"/>
          <w:kern w:val="0"/>
          <w:sz w:val="24"/>
        </w:rPr>
        <w:t>根据分析结果，运营过程中主要的环境风险为火灾、爆炸、</w:t>
      </w:r>
      <w:r>
        <w:rPr>
          <w:rFonts w:hint="eastAsia"/>
          <w:color w:val="000000"/>
          <w:kern w:val="0"/>
          <w:sz w:val="24"/>
          <w:lang w:eastAsia="zh-CN"/>
        </w:rPr>
        <w:t>防渗</w:t>
      </w:r>
      <w:r>
        <w:rPr>
          <w:rFonts w:hint="eastAsia"/>
          <w:color w:val="000000"/>
          <w:kern w:val="0"/>
          <w:sz w:val="24"/>
          <w:lang w:val="en-US" w:eastAsia="zh-CN"/>
        </w:rPr>
        <w:t>化粪池</w:t>
      </w:r>
      <w:r>
        <w:rPr>
          <w:rFonts w:hint="eastAsia"/>
          <w:color w:val="000000"/>
          <w:kern w:val="0"/>
          <w:sz w:val="24"/>
        </w:rPr>
        <w:t>泄漏、危废贮存点废润滑油</w:t>
      </w:r>
      <w:r>
        <w:rPr>
          <w:rFonts w:hint="eastAsia"/>
          <w:color w:val="000000"/>
          <w:kern w:val="0"/>
          <w:sz w:val="24"/>
          <w:lang w:eastAsia="zh-CN"/>
        </w:rPr>
        <w:t>泄漏</w:t>
      </w:r>
      <w:r>
        <w:rPr>
          <w:rFonts w:hint="eastAsia"/>
          <w:color w:val="000000"/>
          <w:kern w:val="0"/>
          <w:sz w:val="24"/>
        </w:rPr>
        <w:t>，但不存在重大危险源。建设单位在建设过程中应落实本项目提出的风险防范措施，并根据今后实际生产情况结合本报告中提出的事故应急预案，制定更详实的环境风险应急预案，确保防范措施的运行。在落实风险防范措施、做好应急预案的前提下，本项目的风险处于可接受水平。</w:t>
      </w:r>
    </w:p>
    <w:p w14:paraId="43E6BA41">
      <w:pPr>
        <w:pStyle w:val="4"/>
        <w:autoSpaceDE w:val="0"/>
        <w:autoSpaceDN w:val="0"/>
        <w:spacing w:before="0" w:after="0" w:line="360" w:lineRule="auto"/>
        <w:jc w:val="left"/>
        <w:rPr>
          <w:kern w:val="0"/>
          <w:sz w:val="24"/>
          <w:lang w:val="en-US" w:bidi="zh-CN"/>
        </w:rPr>
      </w:pPr>
      <w:bookmarkStart w:id="838" w:name="_Toc25452"/>
      <w:bookmarkStart w:id="839" w:name="_Toc23583"/>
      <w:bookmarkStart w:id="840" w:name="_Toc21597"/>
      <w:bookmarkStart w:id="841" w:name="_Toc6685"/>
      <w:bookmarkStart w:id="842" w:name="_Toc23472"/>
      <w:bookmarkStart w:id="843" w:name="_Toc479687869"/>
      <w:bookmarkStart w:id="844" w:name="_Toc17420_WPSOffice_Level2"/>
      <w:bookmarkStart w:id="845" w:name="_Toc524431489"/>
      <w:bookmarkStart w:id="846" w:name="_Toc5464"/>
      <w:bookmarkStart w:id="847" w:name="_Toc456651324"/>
      <w:bookmarkStart w:id="848" w:name="_Toc23091"/>
      <w:r>
        <w:rPr>
          <w:rFonts w:hint="eastAsia"/>
          <w:kern w:val="0"/>
          <w:sz w:val="24"/>
          <w:lang w:val="en-US" w:bidi="zh-CN"/>
        </w:rPr>
        <w:t>10.1.6</w:t>
      </w:r>
      <w:bookmarkEnd w:id="838"/>
      <w:bookmarkEnd w:id="839"/>
      <w:bookmarkEnd w:id="840"/>
      <w:bookmarkEnd w:id="841"/>
      <w:bookmarkEnd w:id="842"/>
      <w:bookmarkEnd w:id="843"/>
      <w:bookmarkEnd w:id="844"/>
      <w:bookmarkEnd w:id="845"/>
      <w:bookmarkEnd w:id="846"/>
      <w:bookmarkEnd w:id="847"/>
      <w:r>
        <w:rPr>
          <w:rFonts w:hint="eastAsia"/>
          <w:kern w:val="0"/>
          <w:sz w:val="24"/>
          <w:lang w:val="en-US" w:bidi="zh-CN"/>
        </w:rPr>
        <w:t>环境影响经济损益分析结论</w:t>
      </w:r>
      <w:bookmarkEnd w:id="848"/>
    </w:p>
    <w:p w14:paraId="05841AC5">
      <w:pPr>
        <w:spacing w:line="360" w:lineRule="auto"/>
        <w:ind w:firstLine="480" w:firstLineChars="200"/>
        <w:rPr>
          <w:color w:val="000000"/>
          <w:kern w:val="0"/>
          <w:sz w:val="24"/>
        </w:rPr>
      </w:pPr>
      <w:r>
        <w:rPr>
          <w:rFonts w:hint="eastAsia"/>
          <w:color w:val="000000"/>
          <w:kern w:val="0"/>
          <w:sz w:val="24"/>
        </w:rPr>
        <w:t>本项目的建设将会产生较大的经济效益和社会效益，将会在社会发展、人口就业及区域经济发展等方面产生正面效益；而导致的环境方面的负面影响，只要认真、切实做好环境保护工作，投入一定的资金用于污染防治和环境管理，通过采取相应的污染防治和减缓措施，保证把项目对周围环境的影响降低到最低程度，本项目造成的环境方面的负面效应是可以由其产生的社会效益和经济效益弥补的。</w:t>
      </w:r>
    </w:p>
    <w:p w14:paraId="3803B229">
      <w:pPr>
        <w:spacing w:line="360" w:lineRule="auto"/>
        <w:ind w:firstLine="480" w:firstLineChars="200"/>
        <w:rPr>
          <w:color w:val="000000"/>
          <w:kern w:val="0"/>
          <w:sz w:val="24"/>
        </w:rPr>
      </w:pPr>
      <w:r>
        <w:rPr>
          <w:rFonts w:hint="eastAsia"/>
          <w:color w:val="000000"/>
          <w:kern w:val="0"/>
          <w:sz w:val="24"/>
        </w:rPr>
        <w:t>因此，在保证环保投资及环保设施运行效果的情况下，本项目从环境经济效益分析是可行的。</w:t>
      </w:r>
      <w:bookmarkStart w:id="849" w:name="_Toc7295"/>
    </w:p>
    <w:p w14:paraId="00D6AA63">
      <w:pPr>
        <w:pStyle w:val="4"/>
        <w:autoSpaceDE w:val="0"/>
        <w:autoSpaceDN w:val="0"/>
        <w:spacing w:before="0" w:after="0" w:line="360" w:lineRule="auto"/>
        <w:jc w:val="left"/>
        <w:rPr>
          <w:kern w:val="0"/>
          <w:sz w:val="24"/>
          <w:lang w:val="en-US" w:bidi="zh-CN"/>
        </w:rPr>
      </w:pPr>
      <w:r>
        <w:rPr>
          <w:rFonts w:hint="eastAsia"/>
          <w:kern w:val="0"/>
          <w:sz w:val="24"/>
          <w:lang w:val="en-US" w:bidi="zh-CN"/>
        </w:rPr>
        <w:t>10.1.7环境管理与监测计划</w:t>
      </w:r>
      <w:bookmarkEnd w:id="849"/>
    </w:p>
    <w:p w14:paraId="46534320">
      <w:pPr>
        <w:widowControl/>
        <w:spacing w:line="360" w:lineRule="auto"/>
        <w:ind w:firstLine="480" w:firstLineChars="200"/>
        <w:jc w:val="left"/>
        <w:rPr>
          <w:color w:val="000000"/>
          <w:kern w:val="0"/>
          <w:sz w:val="24"/>
          <w:szCs w:val="24"/>
        </w:rPr>
      </w:pPr>
      <w:r>
        <w:rPr>
          <w:rFonts w:hint="eastAsia"/>
          <w:color w:val="000000"/>
          <w:kern w:val="0"/>
          <w:sz w:val="24"/>
          <w:szCs w:val="24"/>
        </w:rPr>
        <w:t>项目建成投产后，其环境管理工作纳入公司管理体系，并按照环境保护要求，搞好生产管理的同时，也做好环境管理工作。项目需设立环境管理机构，负责整个场区环境管理和日常环境监测工作，建立健全日常环境管理制度，负责对环保设施的操作维护保养及污染物排放情况进行监督调查，同时要做好记录，对日常污染治理设施设备的运转情况制作好管理台账，做好排污档案。该项目建成后，为了更好地对项目运营期的环境影响及环境保护措施进行监督和检查，亦应制定相应的环境监测计划，定期按环境监测计划要求进行监测，向环保主管部门提交监测报告。</w:t>
      </w:r>
    </w:p>
    <w:p w14:paraId="0342EE15">
      <w:pPr>
        <w:pStyle w:val="4"/>
        <w:autoSpaceDE w:val="0"/>
        <w:autoSpaceDN w:val="0"/>
        <w:spacing w:before="0" w:after="0" w:line="360" w:lineRule="auto"/>
        <w:jc w:val="left"/>
        <w:rPr>
          <w:kern w:val="0"/>
          <w:sz w:val="24"/>
          <w:lang w:val="en-US" w:bidi="zh-CN"/>
        </w:rPr>
      </w:pPr>
      <w:bookmarkStart w:id="850" w:name="_Toc524431490"/>
      <w:bookmarkStart w:id="851" w:name="_Toc7186"/>
      <w:bookmarkStart w:id="852" w:name="_Toc7122"/>
      <w:bookmarkStart w:id="853" w:name="_Toc29524"/>
      <w:bookmarkStart w:id="854" w:name="_Toc2874"/>
      <w:bookmarkStart w:id="855" w:name="_Toc12732"/>
      <w:bookmarkStart w:id="856" w:name="_Toc8895"/>
      <w:bookmarkStart w:id="857" w:name="_Toc20174"/>
      <w:bookmarkStart w:id="858" w:name="_Toc19550_WPSOffice_Level2"/>
      <w:r>
        <w:rPr>
          <w:rFonts w:hint="eastAsia"/>
          <w:kern w:val="0"/>
          <w:sz w:val="24"/>
          <w:lang w:val="en-US" w:bidi="zh-CN"/>
        </w:rPr>
        <w:t>10.1.8选址合理性分析结论</w:t>
      </w:r>
      <w:bookmarkEnd w:id="850"/>
      <w:bookmarkEnd w:id="851"/>
      <w:bookmarkEnd w:id="852"/>
      <w:bookmarkEnd w:id="853"/>
      <w:bookmarkEnd w:id="854"/>
      <w:bookmarkEnd w:id="855"/>
      <w:bookmarkEnd w:id="856"/>
      <w:bookmarkEnd w:id="857"/>
      <w:bookmarkEnd w:id="858"/>
    </w:p>
    <w:p w14:paraId="39B45733">
      <w:pPr>
        <w:spacing w:line="360" w:lineRule="auto"/>
        <w:ind w:firstLine="480" w:firstLineChars="200"/>
        <w:rPr>
          <w:color w:val="000000"/>
          <w:kern w:val="0"/>
          <w:sz w:val="24"/>
        </w:rPr>
      </w:pPr>
      <w:r>
        <w:rPr>
          <w:rFonts w:hint="eastAsia"/>
          <w:color w:val="000000"/>
          <w:kern w:val="0"/>
          <w:sz w:val="24"/>
        </w:rPr>
        <w:t>从土地利用、环境功能区划、区域环境敏感因素、环境容量等角度衡量，本项目厂址选择是可行的。</w:t>
      </w:r>
    </w:p>
    <w:p w14:paraId="56820284">
      <w:pPr>
        <w:pStyle w:val="4"/>
        <w:autoSpaceDE w:val="0"/>
        <w:autoSpaceDN w:val="0"/>
        <w:spacing w:before="0" w:after="0" w:line="360" w:lineRule="auto"/>
        <w:jc w:val="left"/>
        <w:rPr>
          <w:kern w:val="0"/>
          <w:sz w:val="24"/>
          <w:lang w:val="en-US" w:bidi="zh-CN"/>
        </w:rPr>
      </w:pPr>
      <w:bookmarkStart w:id="859" w:name="_Toc10440"/>
      <w:r>
        <w:rPr>
          <w:rFonts w:hint="eastAsia"/>
          <w:kern w:val="0"/>
          <w:sz w:val="24"/>
          <w:lang w:val="en-US" w:bidi="zh-CN"/>
        </w:rPr>
        <w:t>10.1.9产业政策符合性分析结论</w:t>
      </w:r>
      <w:bookmarkEnd w:id="859"/>
    </w:p>
    <w:p w14:paraId="54A75B44">
      <w:pPr>
        <w:spacing w:line="360" w:lineRule="auto"/>
        <w:ind w:firstLine="480" w:firstLineChars="200"/>
        <w:rPr>
          <w:color w:val="000000"/>
          <w:kern w:val="0"/>
          <w:sz w:val="24"/>
        </w:rPr>
      </w:pPr>
      <w:r>
        <w:rPr>
          <w:rFonts w:hint="eastAsia" w:hAnsi="宋体"/>
          <w:color w:val="000000"/>
          <w:kern w:val="0"/>
          <w:sz w:val="24"/>
        </w:rPr>
        <w:t>本项目属于废旧资源回收再生利用项目，根据《产业结构调整指导目录（</w:t>
      </w:r>
      <w:r>
        <w:rPr>
          <w:rFonts w:hAnsi="宋体"/>
          <w:color w:val="000000"/>
          <w:kern w:val="0"/>
          <w:sz w:val="24"/>
        </w:rPr>
        <w:t>20</w:t>
      </w:r>
      <w:r>
        <w:rPr>
          <w:rFonts w:hint="eastAsia" w:hAnsi="宋体"/>
          <w:color w:val="000000"/>
          <w:kern w:val="0"/>
          <w:sz w:val="24"/>
        </w:rPr>
        <w:t>24年本）》，属于第一</w:t>
      </w:r>
      <w:r>
        <w:rPr>
          <w:rFonts w:hint="eastAsia" w:ascii="宋体" w:hAnsi="宋体" w:cs="宋体"/>
          <w:color w:val="000000"/>
          <w:kern w:val="0"/>
          <w:sz w:val="24"/>
        </w:rPr>
        <w:t>类“鼓励类”中“四十二、环境保护与资源节约综合利用”类“</w:t>
      </w:r>
      <w:r>
        <w:rPr>
          <w:rFonts w:hint="eastAsia" w:hAnsi="宋体"/>
          <w:color w:val="000000"/>
          <w:kern w:val="0"/>
          <w:sz w:val="24"/>
        </w:rPr>
        <w:t>8．废弃物循环利用：废钢铁、废有色金属、废纸、废橡胶、废玻璃、废塑料、废旧木材以及报废汽车、废弃电器电子产品、废旧船舶、废旧电池、废轮胎、废弃木质材料、废旧农具、废旧纺织品及纺织废料和边角料、废旧光伏组件、废旧风机叶片、废弃油脂等城市典型废弃物循环利用、技术设备开发及应用”，符合国家产业政策。项目生产工艺及设备均不在《部分工业行业淘汰落后生产工艺装备和产品指导目录（</w:t>
      </w:r>
      <w:r>
        <w:rPr>
          <w:rFonts w:hAnsi="宋体"/>
          <w:color w:val="000000"/>
          <w:kern w:val="0"/>
          <w:sz w:val="24"/>
        </w:rPr>
        <w:t>2010</w:t>
      </w:r>
      <w:r>
        <w:rPr>
          <w:rFonts w:hint="eastAsia" w:hAnsi="宋体"/>
          <w:color w:val="000000"/>
          <w:kern w:val="0"/>
          <w:sz w:val="24"/>
        </w:rPr>
        <w:t>年本）》（工产业</w:t>
      </w:r>
      <w:r>
        <w:rPr>
          <w:rFonts w:hint="eastAsia" w:hAnsi="宋体"/>
          <w:color w:val="000000"/>
          <w:kern w:val="0"/>
          <w:sz w:val="24"/>
          <w:lang w:eastAsia="zh-CN"/>
        </w:rPr>
        <w:t>〔2010〕122号</w:t>
      </w:r>
      <w:r>
        <w:rPr>
          <w:rFonts w:hint="eastAsia" w:hAnsi="宋体"/>
          <w:color w:val="000000"/>
          <w:kern w:val="0"/>
          <w:sz w:val="24"/>
        </w:rPr>
        <w:t>）中限制和淘汰类之列。因此，本项目的建设符合国家相关产业政策要求。</w:t>
      </w:r>
    </w:p>
    <w:p w14:paraId="33652D53">
      <w:pPr>
        <w:pStyle w:val="4"/>
        <w:autoSpaceDE w:val="0"/>
        <w:autoSpaceDN w:val="0"/>
        <w:spacing w:before="0" w:after="0" w:line="360" w:lineRule="auto"/>
        <w:jc w:val="left"/>
        <w:rPr>
          <w:kern w:val="0"/>
          <w:sz w:val="24"/>
          <w:lang w:val="en-US" w:bidi="zh-CN"/>
        </w:rPr>
      </w:pPr>
      <w:bookmarkStart w:id="860" w:name="_Toc3010"/>
      <w:r>
        <w:rPr>
          <w:rFonts w:hint="eastAsia"/>
          <w:kern w:val="0"/>
          <w:sz w:val="24"/>
          <w:lang w:val="en-US" w:bidi="zh-CN"/>
        </w:rPr>
        <w:t>10.1.10“三线一单”符合性分析结论</w:t>
      </w:r>
      <w:bookmarkEnd w:id="860"/>
    </w:p>
    <w:p w14:paraId="4B889907">
      <w:pPr>
        <w:spacing w:line="360" w:lineRule="auto"/>
        <w:ind w:firstLine="480" w:firstLineChars="200"/>
        <w:rPr>
          <w:color w:val="000000"/>
          <w:kern w:val="0"/>
          <w:sz w:val="24"/>
        </w:rPr>
      </w:pPr>
      <w:r>
        <w:rPr>
          <w:rFonts w:hint="eastAsia" w:hAnsi="宋体"/>
          <w:color w:val="000000"/>
          <w:sz w:val="24"/>
        </w:rPr>
        <w:t>本项目位于</w:t>
      </w:r>
      <w:r>
        <w:rPr>
          <w:rFonts w:hint="eastAsia" w:ascii="宋体" w:hAnsi="宋体" w:cs="宋体"/>
          <w:kern w:val="0"/>
          <w:sz w:val="24"/>
          <w:szCs w:val="24"/>
          <w:lang w:val="zh-CN" w:bidi="zh-CN"/>
        </w:rPr>
        <w:t>新疆库尔勒市普惠乡润疆社区四分场库尔勒惠泉工贸有限公司厂区内</w:t>
      </w:r>
      <w:r>
        <w:rPr>
          <w:rFonts w:hint="eastAsia" w:hAnsi="宋体"/>
          <w:color w:val="000000"/>
          <w:sz w:val="24"/>
        </w:rPr>
        <w:t>，项目用地性质为工业用地，</w:t>
      </w:r>
      <w:r>
        <w:rPr>
          <w:rFonts w:hint="eastAsia"/>
          <w:color w:val="000000"/>
          <w:kern w:val="0"/>
          <w:sz w:val="24"/>
        </w:rPr>
        <w:t>属于一般管控单元</w:t>
      </w:r>
      <w:r>
        <w:rPr>
          <w:rFonts w:hint="eastAsia" w:hAnsi="宋体"/>
          <w:color w:val="000000"/>
          <w:sz w:val="24"/>
        </w:rPr>
        <w:t>。项目</w:t>
      </w:r>
      <w:r>
        <w:rPr>
          <w:color w:val="000000"/>
          <w:kern w:val="0"/>
          <w:sz w:val="24"/>
        </w:rPr>
        <w:t>选址不涉及铁路、公路、航道、防洪、管道、干渠、通讯、输变电等重要基础设施，满足生态保护红线要求；能源利用均在区域供水、供电负荷范围内，能源消耗均未超出区域负荷上限；通过运行期污染物排放影响预测，项目实施后对区域内环境影响较小，符合环境质量底线的要求。项目在空间布局约束管控属于允许类，能够满足污染物排放管控要求，做到水资源重复利用、对产生的VOCs收集处理达标后排放、固废妥善处理，能够</w:t>
      </w:r>
      <w:r>
        <w:rPr>
          <w:rFonts w:hint="eastAsia"/>
          <w:color w:val="000000"/>
          <w:kern w:val="0"/>
          <w:sz w:val="24"/>
        </w:rPr>
        <w:t>满足</w:t>
      </w:r>
      <w:r>
        <w:rPr>
          <w:color w:val="000000"/>
          <w:kern w:val="0"/>
          <w:sz w:val="24"/>
        </w:rPr>
        <w:t>环境风险防控等要求。因此，项目符合《关于以改善环境质量为核心加强环境影响评价管理的通知》（环境保护部环环评〔2016〕150号）、</w:t>
      </w:r>
      <w:r>
        <w:rPr>
          <w:rFonts w:hint="eastAsia"/>
          <w:sz w:val="24"/>
          <w:szCs w:val="24"/>
        </w:rPr>
        <w:t>《巴音郭楞蒙古自治州“三线一单”生态环境分区管控动态更新成果（2023年）》（巴政办发〔2024〕32号，巴音郭楞蒙古自治州生态环境局）</w:t>
      </w:r>
      <w:r>
        <w:rPr>
          <w:color w:val="000000"/>
          <w:kern w:val="0"/>
          <w:sz w:val="24"/>
        </w:rPr>
        <w:t>的相关要求。</w:t>
      </w:r>
    </w:p>
    <w:p w14:paraId="52636D25">
      <w:pPr>
        <w:pStyle w:val="4"/>
        <w:autoSpaceDE w:val="0"/>
        <w:autoSpaceDN w:val="0"/>
        <w:spacing w:before="0" w:after="0" w:line="360" w:lineRule="auto"/>
        <w:jc w:val="left"/>
        <w:rPr>
          <w:kern w:val="0"/>
          <w:sz w:val="24"/>
          <w:lang w:val="en-US" w:bidi="zh-CN"/>
        </w:rPr>
      </w:pPr>
      <w:bookmarkStart w:id="861" w:name="_Toc24651"/>
      <w:bookmarkStart w:id="862" w:name="_Toc12804"/>
      <w:bookmarkStart w:id="863" w:name="_Toc18392"/>
      <w:bookmarkStart w:id="864" w:name="_Toc17880"/>
      <w:bookmarkStart w:id="865" w:name="_Toc22316"/>
      <w:bookmarkStart w:id="866" w:name="_Toc792"/>
      <w:bookmarkStart w:id="867" w:name="_Toc3059"/>
      <w:r>
        <w:rPr>
          <w:rFonts w:hint="eastAsia"/>
          <w:kern w:val="0"/>
          <w:sz w:val="24"/>
          <w:lang w:val="en-US" w:bidi="zh-CN"/>
        </w:rPr>
        <w:t>10.1.11污染物总量控制</w:t>
      </w:r>
      <w:bookmarkEnd w:id="861"/>
      <w:bookmarkEnd w:id="862"/>
      <w:bookmarkEnd w:id="863"/>
      <w:bookmarkEnd w:id="864"/>
      <w:bookmarkEnd w:id="865"/>
      <w:bookmarkEnd w:id="866"/>
      <w:bookmarkEnd w:id="867"/>
    </w:p>
    <w:p w14:paraId="5C4BA169">
      <w:pPr>
        <w:widowControl/>
        <w:spacing w:line="360" w:lineRule="auto"/>
        <w:ind w:firstLine="480" w:firstLineChars="200"/>
        <w:jc w:val="left"/>
        <w:rPr>
          <w:rFonts w:hint="eastAsia"/>
          <w:color w:val="000000"/>
          <w:kern w:val="0"/>
          <w:sz w:val="24"/>
          <w:szCs w:val="24"/>
        </w:rPr>
      </w:pPr>
      <w:r>
        <w:rPr>
          <w:rFonts w:hint="eastAsia"/>
          <w:color w:val="000000"/>
          <w:kern w:val="0"/>
          <w:sz w:val="24"/>
          <w:szCs w:val="24"/>
        </w:rPr>
        <w:t>经预测和分析，本项目污染物总量控制指标为：</w:t>
      </w:r>
    </w:p>
    <w:p w14:paraId="4BC7A3BC">
      <w:pPr>
        <w:widowControl/>
        <w:spacing w:line="360" w:lineRule="auto"/>
        <w:ind w:firstLine="480" w:firstLineChars="200"/>
        <w:jc w:val="left"/>
        <w:rPr>
          <w:rFonts w:hint="eastAsia"/>
          <w:color w:val="000000"/>
          <w:kern w:val="0"/>
          <w:sz w:val="24"/>
          <w:szCs w:val="24"/>
        </w:rPr>
      </w:pPr>
      <w:r>
        <w:rPr>
          <w:rFonts w:hint="eastAsia"/>
          <w:color w:val="000000"/>
          <w:kern w:val="0"/>
          <w:sz w:val="24"/>
          <w:szCs w:val="24"/>
        </w:rPr>
        <w:t>有组织：非甲烷总烃</w:t>
      </w:r>
      <w:r>
        <w:rPr>
          <w:rFonts w:hint="eastAsia"/>
          <w:color w:val="000000"/>
          <w:kern w:val="0"/>
          <w:sz w:val="24"/>
          <w:szCs w:val="24"/>
          <w:lang w:val="en-US" w:eastAsia="zh-CN"/>
        </w:rPr>
        <w:t>2.284</w:t>
      </w:r>
      <w:r>
        <w:rPr>
          <w:rFonts w:hint="eastAsia"/>
          <w:color w:val="000000"/>
          <w:kern w:val="0"/>
          <w:sz w:val="24"/>
          <w:szCs w:val="24"/>
        </w:rPr>
        <w:t>t/a；</w:t>
      </w:r>
    </w:p>
    <w:p w14:paraId="17E32F99">
      <w:pPr>
        <w:widowControl/>
        <w:spacing w:line="360" w:lineRule="auto"/>
        <w:ind w:firstLine="480" w:firstLineChars="200"/>
        <w:jc w:val="left"/>
        <w:rPr>
          <w:color w:val="000000"/>
          <w:kern w:val="0"/>
          <w:sz w:val="24"/>
          <w:szCs w:val="24"/>
        </w:rPr>
      </w:pPr>
      <w:r>
        <w:rPr>
          <w:rFonts w:hint="eastAsia"/>
          <w:color w:val="000000"/>
          <w:kern w:val="0"/>
          <w:sz w:val="24"/>
          <w:szCs w:val="24"/>
        </w:rPr>
        <w:t>无组织：非甲烷总烃</w:t>
      </w:r>
      <w:r>
        <w:rPr>
          <w:rFonts w:hint="eastAsia"/>
          <w:color w:val="000000"/>
          <w:kern w:val="0"/>
          <w:sz w:val="24"/>
          <w:szCs w:val="24"/>
          <w:lang w:val="en-US" w:eastAsia="zh-CN"/>
        </w:rPr>
        <w:t>1.6915</w:t>
      </w:r>
      <w:r>
        <w:rPr>
          <w:rFonts w:hint="eastAsia"/>
          <w:color w:val="000000"/>
          <w:kern w:val="0"/>
          <w:sz w:val="24"/>
          <w:szCs w:val="24"/>
        </w:rPr>
        <w:t>t/a。</w:t>
      </w:r>
    </w:p>
    <w:p w14:paraId="01A5ADFE">
      <w:pPr>
        <w:pStyle w:val="4"/>
        <w:autoSpaceDE w:val="0"/>
        <w:autoSpaceDN w:val="0"/>
        <w:spacing w:before="0" w:after="0" w:line="360" w:lineRule="auto"/>
        <w:jc w:val="left"/>
        <w:rPr>
          <w:kern w:val="0"/>
          <w:sz w:val="24"/>
          <w:lang w:val="en-US" w:bidi="zh-CN"/>
        </w:rPr>
      </w:pPr>
      <w:bookmarkStart w:id="868" w:name="_Toc25948"/>
      <w:bookmarkStart w:id="869" w:name="_Toc23520"/>
      <w:bookmarkStart w:id="870" w:name="_Toc26007"/>
      <w:bookmarkStart w:id="871" w:name="_Toc11004"/>
      <w:bookmarkStart w:id="872" w:name="_Toc13286"/>
      <w:bookmarkStart w:id="873" w:name="_Toc24758_WPSOffice_Level2"/>
      <w:bookmarkStart w:id="874" w:name="_Toc15129"/>
      <w:bookmarkStart w:id="875" w:name="_Toc27032"/>
      <w:bookmarkStart w:id="876" w:name="_Toc524431492"/>
      <w:bookmarkStart w:id="877" w:name="_Toc3479"/>
      <w:r>
        <w:rPr>
          <w:rFonts w:hint="eastAsia"/>
          <w:kern w:val="0"/>
          <w:sz w:val="24"/>
          <w:lang w:val="en-US" w:bidi="zh-CN"/>
        </w:rPr>
        <w:t>10.1.12碳排放情况</w:t>
      </w:r>
      <w:bookmarkEnd w:id="868"/>
      <w:bookmarkEnd w:id="869"/>
    </w:p>
    <w:p w14:paraId="4C109F99">
      <w:pPr>
        <w:widowControl/>
        <w:spacing w:line="360" w:lineRule="auto"/>
        <w:ind w:firstLine="480" w:firstLineChars="200"/>
        <w:jc w:val="left"/>
        <w:rPr>
          <w:color w:val="000000"/>
          <w:kern w:val="0"/>
          <w:sz w:val="24"/>
          <w:szCs w:val="24"/>
        </w:rPr>
      </w:pPr>
      <w:r>
        <w:rPr>
          <w:rFonts w:hint="eastAsia"/>
          <w:color w:val="000000"/>
          <w:kern w:val="0"/>
          <w:sz w:val="24"/>
          <w:szCs w:val="24"/>
        </w:rPr>
        <w:t>本项目温室气体排放源为净购入电力引起的排放。二氧化碳年排放总量为377.6tCO</w:t>
      </w:r>
      <w:r>
        <w:rPr>
          <w:rFonts w:hint="eastAsia"/>
          <w:color w:val="000000"/>
          <w:kern w:val="0"/>
          <w:sz w:val="24"/>
          <w:szCs w:val="24"/>
          <w:vertAlign w:val="subscript"/>
        </w:rPr>
        <w:t>2e</w:t>
      </w:r>
      <w:r>
        <w:rPr>
          <w:rFonts w:hint="eastAsia"/>
          <w:color w:val="000000"/>
          <w:kern w:val="0"/>
          <w:sz w:val="24"/>
          <w:szCs w:val="24"/>
        </w:rPr>
        <w:t>。</w:t>
      </w:r>
    </w:p>
    <w:p w14:paraId="34C77E82">
      <w:pPr>
        <w:pStyle w:val="4"/>
        <w:autoSpaceDE w:val="0"/>
        <w:autoSpaceDN w:val="0"/>
        <w:spacing w:before="0" w:after="0" w:line="360" w:lineRule="auto"/>
        <w:jc w:val="left"/>
        <w:rPr>
          <w:kern w:val="0"/>
          <w:sz w:val="24"/>
          <w:lang w:val="en-US" w:bidi="zh-CN"/>
        </w:rPr>
      </w:pPr>
      <w:bookmarkStart w:id="878" w:name="_Toc18957"/>
      <w:r>
        <w:rPr>
          <w:rFonts w:hint="eastAsia"/>
          <w:kern w:val="0"/>
          <w:sz w:val="24"/>
          <w:lang w:val="en-US" w:bidi="zh-CN"/>
        </w:rPr>
        <w:t>10.1.13公众意见采纳情况</w:t>
      </w:r>
      <w:bookmarkEnd w:id="870"/>
      <w:bookmarkEnd w:id="871"/>
      <w:bookmarkEnd w:id="872"/>
      <w:bookmarkEnd w:id="878"/>
    </w:p>
    <w:p w14:paraId="644D22EE">
      <w:pPr>
        <w:widowControl/>
        <w:spacing w:line="360" w:lineRule="auto"/>
        <w:ind w:firstLine="480" w:firstLineChars="200"/>
        <w:rPr>
          <w:color w:val="000000"/>
          <w:kern w:val="0"/>
          <w:sz w:val="24"/>
          <w:szCs w:val="24"/>
        </w:rPr>
      </w:pPr>
      <w:r>
        <w:rPr>
          <w:rFonts w:hint="eastAsia"/>
          <w:color w:val="000000"/>
          <w:kern w:val="0"/>
          <w:sz w:val="24"/>
          <w:szCs w:val="24"/>
        </w:rPr>
        <w:t>按照生态环境部发布的《环境影响评价公众参与办法》（部令第4号），本项目公众参与采用网络、报纸等方式进行。公示过程中，没有收到任何社会团体及个人对本项目建设的意见，具体内容见公参说明。库尔勒市新如兴环保科技有限公司承诺公众参与过程客观、真实，请各级生态环境管理部门及公众对此项工作进行监督</w:t>
      </w:r>
      <w:r>
        <w:rPr>
          <w:rFonts w:hint="eastAsia"/>
          <w:color w:val="000000"/>
          <w:kern w:val="0"/>
          <w:sz w:val="24"/>
          <w:szCs w:val="24"/>
          <w:lang w:eastAsia="zh-CN"/>
        </w:rPr>
        <w:t>。</w:t>
      </w:r>
    </w:p>
    <w:p w14:paraId="7E41FF44">
      <w:pPr>
        <w:pStyle w:val="4"/>
        <w:autoSpaceDE w:val="0"/>
        <w:autoSpaceDN w:val="0"/>
        <w:spacing w:before="0" w:after="0" w:line="360" w:lineRule="auto"/>
        <w:jc w:val="left"/>
        <w:rPr>
          <w:kern w:val="0"/>
          <w:sz w:val="24"/>
          <w:lang w:val="en-US" w:bidi="zh-CN"/>
        </w:rPr>
      </w:pPr>
      <w:bookmarkStart w:id="879" w:name="_Toc23947"/>
      <w:bookmarkStart w:id="880" w:name="_Toc18353"/>
      <w:bookmarkStart w:id="881" w:name="_Toc9847"/>
      <w:bookmarkStart w:id="882" w:name="_Toc30434"/>
      <w:r>
        <w:rPr>
          <w:rFonts w:hint="eastAsia"/>
          <w:kern w:val="0"/>
          <w:sz w:val="24"/>
          <w:lang w:val="en-US" w:bidi="zh-CN"/>
        </w:rPr>
        <w:t>10.1.14环评总结论</w:t>
      </w:r>
      <w:bookmarkEnd w:id="873"/>
      <w:bookmarkEnd w:id="874"/>
      <w:bookmarkEnd w:id="875"/>
      <w:bookmarkEnd w:id="876"/>
      <w:bookmarkEnd w:id="877"/>
      <w:bookmarkEnd w:id="879"/>
      <w:bookmarkEnd w:id="880"/>
      <w:bookmarkEnd w:id="881"/>
      <w:bookmarkEnd w:id="882"/>
    </w:p>
    <w:p w14:paraId="44EAC8BE">
      <w:pPr>
        <w:spacing w:line="360" w:lineRule="auto"/>
        <w:ind w:firstLine="480" w:firstLineChars="200"/>
        <w:rPr>
          <w:color w:val="000000"/>
          <w:kern w:val="0"/>
          <w:sz w:val="24"/>
        </w:rPr>
      </w:pPr>
      <w:r>
        <w:rPr>
          <w:rFonts w:hint="eastAsia"/>
          <w:color w:val="000000"/>
          <w:kern w:val="0"/>
          <w:sz w:val="24"/>
        </w:rPr>
        <w:t>本项目符合国家及地方相关产业政策及规划，建设区域环境质量现状满足环境功能区划的要求。项目所用原料供给便利充足。项目产生的废气、废水、噪声及固体废物均采取了有效的防治措施，可达标排放，经预测本项目投产后不会对周围环境产生明显影响。因此，在切实落实各项环保措施的前提下，从环保角度考虑该项目可行。</w:t>
      </w:r>
    </w:p>
    <w:p w14:paraId="7E23F05E">
      <w:pPr>
        <w:pStyle w:val="3"/>
        <w:keepNext w:val="0"/>
        <w:keepLines w:val="0"/>
        <w:autoSpaceDE w:val="0"/>
        <w:autoSpaceDN w:val="0"/>
        <w:spacing w:before="0" w:after="0" w:line="360" w:lineRule="auto"/>
        <w:jc w:val="left"/>
        <w:rPr>
          <w:rFonts w:ascii="Times New Roman" w:hAnsi="Times New Roman" w:eastAsia="宋体"/>
          <w:kern w:val="0"/>
          <w:sz w:val="24"/>
          <w:szCs w:val="30"/>
          <w:lang w:val="en-US" w:bidi="zh-CN"/>
        </w:rPr>
      </w:pPr>
      <w:bookmarkStart w:id="883" w:name="_Toc16437"/>
      <w:r>
        <w:rPr>
          <w:rFonts w:hint="eastAsia" w:ascii="Times New Roman" w:hAnsi="Times New Roman" w:eastAsia="宋体"/>
          <w:kern w:val="0"/>
          <w:sz w:val="24"/>
          <w:szCs w:val="30"/>
          <w:lang w:val="en-US" w:bidi="zh-CN"/>
        </w:rPr>
        <w:t>10.2要求及建议</w:t>
      </w:r>
      <w:bookmarkEnd w:id="883"/>
    </w:p>
    <w:p w14:paraId="43C95410">
      <w:pPr>
        <w:widowControl/>
        <w:spacing w:line="360" w:lineRule="auto"/>
        <w:ind w:firstLine="480" w:firstLineChars="200"/>
        <w:rPr>
          <w:color w:val="000000"/>
          <w:kern w:val="0"/>
          <w:sz w:val="24"/>
          <w:szCs w:val="24"/>
        </w:rPr>
      </w:pPr>
      <w:r>
        <w:rPr>
          <w:color w:val="000000"/>
          <w:kern w:val="0"/>
          <w:sz w:val="24"/>
          <w:szCs w:val="24"/>
        </w:rPr>
        <w:t>（1）确保落实各项环保措施，加强环境管理，以保证污染防治达到预期效果。</w:t>
      </w:r>
    </w:p>
    <w:p w14:paraId="1DAAC4DA">
      <w:pPr>
        <w:widowControl/>
        <w:spacing w:line="360" w:lineRule="auto"/>
        <w:ind w:firstLine="480" w:firstLineChars="200"/>
        <w:rPr>
          <w:color w:val="000000"/>
          <w:kern w:val="0"/>
          <w:sz w:val="24"/>
          <w:szCs w:val="24"/>
        </w:rPr>
      </w:pPr>
      <w:r>
        <w:rPr>
          <w:color w:val="000000"/>
          <w:kern w:val="0"/>
          <w:sz w:val="24"/>
          <w:szCs w:val="24"/>
        </w:rPr>
        <w:t>（2）建立健全环境保护管理制度，配置相关人员负责本厂的环境保护工作，做好环境保护管理人员的培训工作，</w:t>
      </w:r>
      <w:r>
        <w:rPr>
          <w:rFonts w:hint="eastAsia"/>
          <w:color w:val="000000"/>
          <w:kern w:val="0"/>
          <w:sz w:val="24"/>
          <w:szCs w:val="24"/>
          <w:lang w:eastAsia="zh-CN"/>
        </w:rPr>
        <w:t>建立</w:t>
      </w:r>
      <w:r>
        <w:rPr>
          <w:color w:val="000000"/>
          <w:kern w:val="0"/>
          <w:sz w:val="24"/>
          <w:szCs w:val="24"/>
        </w:rPr>
        <w:t>完善的环境管理规章制度和环保档案。</w:t>
      </w:r>
    </w:p>
    <w:p w14:paraId="3B4EAD45">
      <w:pPr>
        <w:widowControl/>
        <w:spacing w:line="360" w:lineRule="auto"/>
        <w:ind w:firstLine="480" w:firstLineChars="200"/>
        <w:rPr>
          <w:color w:val="000000"/>
          <w:kern w:val="0"/>
          <w:sz w:val="24"/>
          <w:szCs w:val="24"/>
        </w:rPr>
      </w:pPr>
      <w:r>
        <w:rPr>
          <w:color w:val="000000"/>
          <w:kern w:val="0"/>
          <w:sz w:val="24"/>
          <w:szCs w:val="24"/>
        </w:rPr>
        <w:t>（3）应保持良好的通风环境，以便操作工人有良好的工作环境，</w:t>
      </w:r>
      <w:r>
        <w:rPr>
          <w:rFonts w:hint="eastAsia"/>
          <w:color w:val="000000"/>
          <w:kern w:val="0"/>
          <w:sz w:val="24"/>
          <w:szCs w:val="24"/>
          <w:lang w:eastAsia="zh-CN"/>
        </w:rPr>
        <w:t>给</w:t>
      </w:r>
      <w:r>
        <w:rPr>
          <w:color w:val="000000"/>
          <w:kern w:val="0"/>
          <w:sz w:val="24"/>
          <w:szCs w:val="24"/>
        </w:rPr>
        <w:t>作业人员适用、有效的防护用品，如面罩、手套、工作服等。</w:t>
      </w:r>
    </w:p>
    <w:p w14:paraId="545A143F">
      <w:pPr>
        <w:widowControl/>
        <w:spacing w:line="360" w:lineRule="auto"/>
        <w:ind w:firstLine="480" w:firstLineChars="200"/>
        <w:rPr>
          <w:color w:val="000000"/>
          <w:kern w:val="0"/>
          <w:sz w:val="24"/>
          <w:szCs w:val="24"/>
        </w:rPr>
      </w:pPr>
      <w:r>
        <w:rPr>
          <w:color w:val="000000"/>
          <w:kern w:val="0"/>
          <w:sz w:val="24"/>
          <w:szCs w:val="24"/>
        </w:rPr>
        <w:t>（4）加强管理，强化企业职工自身的环保意识和事故风险意识。</w:t>
      </w:r>
    </w:p>
    <w:p w14:paraId="1EC7891C">
      <w:pPr>
        <w:widowControl/>
        <w:spacing w:line="360" w:lineRule="auto"/>
        <w:ind w:firstLine="480" w:firstLineChars="200"/>
        <w:rPr>
          <w:color w:val="000000"/>
          <w:kern w:val="0"/>
          <w:sz w:val="24"/>
          <w:szCs w:val="24"/>
        </w:rPr>
      </w:pPr>
      <w:r>
        <w:rPr>
          <w:color w:val="000000"/>
          <w:kern w:val="0"/>
          <w:sz w:val="24"/>
          <w:szCs w:val="24"/>
        </w:rPr>
        <w:t>（5）各种固体废弃物要分类收集储存，及时清运处理。</w:t>
      </w:r>
    </w:p>
    <w:p w14:paraId="67E3B0F1">
      <w:pPr>
        <w:widowControl/>
        <w:spacing w:line="360" w:lineRule="auto"/>
        <w:ind w:firstLine="480" w:firstLineChars="200"/>
        <w:rPr>
          <w:color w:val="000000"/>
          <w:kern w:val="0"/>
          <w:sz w:val="24"/>
          <w:szCs w:val="24"/>
        </w:rPr>
      </w:pPr>
      <w:r>
        <w:rPr>
          <w:rFonts w:hint="eastAsia"/>
          <w:color w:val="000000"/>
          <w:kern w:val="0"/>
          <w:sz w:val="24"/>
          <w:szCs w:val="24"/>
        </w:rPr>
        <w:t>（6）</w:t>
      </w:r>
      <w:r>
        <w:rPr>
          <w:color w:val="000000"/>
          <w:kern w:val="0"/>
          <w:sz w:val="24"/>
          <w:szCs w:val="24"/>
        </w:rPr>
        <w:t>加强设备维护和保养，确保各项环保设施的正常运转。</w:t>
      </w:r>
    </w:p>
    <w:p w14:paraId="2507E91D">
      <w:pPr>
        <w:widowControl/>
        <w:spacing w:line="360" w:lineRule="auto"/>
        <w:ind w:firstLine="480" w:firstLineChars="200"/>
        <w:rPr>
          <w:color w:val="000000"/>
          <w:kern w:val="0"/>
          <w:sz w:val="24"/>
          <w:szCs w:val="24"/>
        </w:rPr>
      </w:pPr>
      <w:r>
        <w:rPr>
          <w:color w:val="000000"/>
          <w:kern w:val="0"/>
          <w:sz w:val="24"/>
          <w:szCs w:val="24"/>
        </w:rPr>
        <w:t>（</w:t>
      </w:r>
      <w:r>
        <w:rPr>
          <w:rFonts w:hint="eastAsia"/>
          <w:color w:val="000000"/>
          <w:kern w:val="0"/>
          <w:sz w:val="24"/>
          <w:szCs w:val="24"/>
        </w:rPr>
        <w:t>7</w:t>
      </w:r>
      <w:r>
        <w:rPr>
          <w:color w:val="000000"/>
          <w:kern w:val="0"/>
          <w:sz w:val="24"/>
          <w:szCs w:val="24"/>
        </w:rPr>
        <w:t>）加强厂区绿化工作，种植绿化林带。</w:t>
      </w:r>
    </w:p>
    <w:bookmarkEnd w:id="741"/>
    <w:bookmarkEnd w:id="742"/>
    <w:bookmarkEnd w:id="743"/>
    <w:bookmarkEnd w:id="744"/>
    <w:bookmarkEnd w:id="745"/>
    <w:bookmarkEnd w:id="746"/>
    <w:bookmarkEnd w:id="747"/>
    <w:bookmarkEnd w:id="748"/>
    <w:p w14:paraId="3B86D607">
      <w:pPr>
        <w:widowControl/>
        <w:spacing w:line="360" w:lineRule="auto"/>
        <w:ind w:firstLine="480" w:firstLineChars="200"/>
        <w:rPr>
          <w:color w:val="000000"/>
          <w:kern w:val="0"/>
          <w:sz w:val="24"/>
          <w:szCs w:val="24"/>
        </w:rPr>
      </w:pPr>
      <w:r>
        <w:rPr>
          <w:color w:val="000000"/>
          <w:kern w:val="0"/>
          <w:sz w:val="24"/>
          <w:szCs w:val="24"/>
        </w:rPr>
        <w:t>（</w:t>
      </w:r>
      <w:r>
        <w:rPr>
          <w:rFonts w:hint="eastAsia"/>
          <w:color w:val="000000"/>
          <w:kern w:val="0"/>
          <w:sz w:val="24"/>
          <w:szCs w:val="24"/>
        </w:rPr>
        <w:t>8</w:t>
      </w:r>
      <w:r>
        <w:rPr>
          <w:color w:val="000000"/>
          <w:kern w:val="0"/>
          <w:sz w:val="24"/>
          <w:szCs w:val="24"/>
        </w:rPr>
        <w:t>）根据工程的特点，进一步完善环境保护应急预案制度，对可能出现的隐患问题有相应的应急措施和应急设备。</w:t>
      </w:r>
      <w:bookmarkEnd w:id="749"/>
      <w:bookmarkEnd w:id="750"/>
    </w:p>
    <w:sectPr>
      <w:headerReference r:id="rId15" w:type="default"/>
      <w:footerReference r:id="rId16" w:type="default"/>
      <w:pgSz w:w="11906" w:h="16838"/>
      <w:pgMar w:top="1440" w:right="1797" w:bottom="1440" w:left="1797" w:header="851" w:footer="992" w:gutter="0"/>
      <w:pgBorders>
        <w:top w:val="none" w:sz="0" w:space="0"/>
        <w:left w:val="none" w:sz="0" w:space="0"/>
        <w:bottom w:val="none" w:sz="0" w:space="0"/>
        <w:right w:val="none" w:sz="0" w:space="0"/>
      </w:pgBorders>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1"/>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CA45C72F-BDAD-46FD-A4C7-F7577EE0A517}"/>
  </w:font>
  <w:font w:name="Arial">
    <w:panose1 w:val="020B0604020202020204"/>
    <w:charset w:val="01"/>
    <w:family w:val="swiss"/>
    <w:pitch w:val="default"/>
    <w:sig w:usb0="E0002EFF" w:usb1="C000785B" w:usb2="00000009" w:usb3="00000000" w:csb0="400001FF" w:csb1="FFFF0000"/>
    <w:embedRegular r:id="rId2" w:fontKey="{BBCC68EC-EE5E-4108-B21C-369ADD6C38F7}"/>
  </w:font>
  <w:font w:name="黑体">
    <w:panose1 w:val="02010609060101010101"/>
    <w:charset w:val="86"/>
    <w:family w:val="auto"/>
    <w:pitch w:val="default"/>
    <w:sig w:usb0="800002BF" w:usb1="38CF7CFA" w:usb2="00000016" w:usb3="00000000" w:csb0="00040001" w:csb1="00000000"/>
    <w:embedRegular r:id="rId3" w:fontKey="{912A5E4C-69D1-4E9A-A064-957DD86DEF47}"/>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4" w:fontKey="{89B1A7D0-99B5-4E20-A8BA-11B4B8650D61}"/>
  </w:font>
  <w:font w:name="等线">
    <w:panose1 w:val="02010600030101010101"/>
    <w:charset w:val="86"/>
    <w:family w:val="auto"/>
    <w:pitch w:val="default"/>
    <w:sig w:usb0="A00002BF" w:usb1="38CF7CFA" w:usb2="00000016" w:usb3="00000000" w:csb0="0004000F" w:csb1="00000000"/>
  </w:font>
  <w:font w:name="Arial Black">
    <w:panose1 w:val="020B0A04020102020204"/>
    <w:charset w:val="00"/>
    <w:family w:val="swiss"/>
    <w:pitch w:val="default"/>
    <w:sig w:usb0="A00002AF" w:usb1="400078FB" w:usb2="00000000" w:usb3="00000000" w:csb0="6000009F" w:csb1="DFD70000"/>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Verdana">
    <w:panose1 w:val="020B0604030504040204"/>
    <w:charset w:val="00"/>
    <w:family w:val="swiss"/>
    <w:pitch w:val="default"/>
    <w:sig w:usb0="A00006FF" w:usb1="4000205B" w:usb2="00000010" w:usb3="00000000" w:csb0="2000019F"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MingLiU">
    <w:altName w:val="PMingLiU-ExtB"/>
    <w:panose1 w:val="02020509000000000000"/>
    <w:charset w:val="88"/>
    <w:family w:val="modern"/>
    <w:pitch w:val="default"/>
    <w:sig w:usb0="00000000" w:usb1="00000000" w:usb2="00000016" w:usb3="00000000" w:csb0="00100001" w:csb1="00000000"/>
  </w:font>
  <w:font w:name="PMingLiU-ExtB">
    <w:panose1 w:val="02020500000000000000"/>
    <w:charset w:val="88"/>
    <w:family w:val="auto"/>
    <w:pitch w:val="default"/>
    <w:sig w:usb0="8000002F" w:usb1="02000008" w:usb2="00000000" w:usb3="00000000" w:csb0="00100001" w:csb1="00000000"/>
  </w:font>
  <w:font w:name="Franklin Gothic Medium">
    <w:panose1 w:val="020B0603020102020204"/>
    <w:charset w:val="00"/>
    <w:family w:val="swiss"/>
    <w:pitch w:val="default"/>
    <w:sig w:usb0="00000287" w:usb1="00000000" w:usb2="00000000" w:usb3="00000000" w:csb0="2000009F" w:csb1="DFD70000"/>
  </w:font>
  <w:font w:name="华文仿宋">
    <w:altName w:val="仿宋"/>
    <w:panose1 w:val="02010600040101010101"/>
    <w:charset w:val="86"/>
    <w:family w:val="auto"/>
    <w:pitch w:val="default"/>
    <w:sig w:usb0="00000000" w:usb1="00000000" w:usb2="00000000" w:usb3="00000000" w:csb0="0004009F" w:csb1="DFD70000"/>
  </w:font>
  <w:font w:name="微软雅黑">
    <w:panose1 w:val="020B0503020204020204"/>
    <w:charset w:val="86"/>
    <w:family w:val="swiss"/>
    <w:pitch w:val="default"/>
    <w:sig w:usb0="80000287" w:usb1="2ACF3C50" w:usb2="00000016" w:usb3="00000000" w:csb0="0004001F" w:csb1="00000000"/>
  </w:font>
  <w:font w:name="sans-serif">
    <w:altName w:val="Segoe Print"/>
    <w:panose1 w:val="00000000000000000000"/>
    <w:charset w:val="00"/>
    <w:family w:val="auto"/>
    <w:pitch w:val="default"/>
    <w:sig w:usb0="00000000" w:usb1="00000000" w:usb2="00000000" w:usb3="00000000" w:csb0="00000000" w:csb1="00000000"/>
    <w:embedRegular r:id="rId5" w:fontKey="{F4EF5469-919F-406B-80FC-4692D94039FC}"/>
  </w:font>
  <w:font w:name="Segoe Print">
    <w:panose1 w:val="02000600000000000000"/>
    <w:charset w:val="00"/>
    <w:family w:val="auto"/>
    <w:pitch w:val="default"/>
    <w:sig w:usb0="0000028F" w:usb1="00000000" w:usb2="00000000" w:usb3="00000000" w:csb0="2000009F" w:csb1="47010000"/>
  </w:font>
  <w:font w:name="MS Mincho">
    <w:altName w:val="Yu Gothic UI"/>
    <w:panose1 w:val="02020609040205080304"/>
    <w:charset w:val="80"/>
    <w:family w:val="modern"/>
    <w:pitch w:val="default"/>
    <w:sig w:usb0="00000000" w:usb1="00000000" w:usb2="00000012" w:usb3="00000000" w:csb0="4002009F" w:csb1="DFD70000"/>
    <w:embedRegular r:id="rId6" w:fontKey="{3FDFA7DB-C401-4B6E-B6D8-68E24EB63D8B}"/>
  </w:font>
  <w:font w:name="Yu Gothic UI">
    <w:panose1 w:val="020B0500000000000000"/>
    <w:charset w:val="80"/>
    <w:family w:val="auto"/>
    <w:pitch w:val="default"/>
    <w:sig w:usb0="E00002FF" w:usb1="2AC7FDFF" w:usb2="00000016" w:usb3="00000000" w:csb0="2002009F" w:csb1="00000000"/>
  </w:font>
  <w:font w:name="Wingdings 2">
    <w:altName w:val="Wingdings"/>
    <w:panose1 w:val="05020102010507070707"/>
    <w:charset w:val="02"/>
    <w:family w:val="roman"/>
    <w:pitch w:val="default"/>
    <w:sig w:usb0="00000000" w:usb1="00000000" w:usb2="00000000" w:usb3="00000000" w:csb0="80000000" w:csb1="00000000"/>
    <w:embedRegular r:id="rId7" w:fontKey="{7AD1C4DF-DE75-4BC1-B100-81CAF103FE44}"/>
  </w:font>
  <w:font w:name="华文中宋">
    <w:panose1 w:val="02010600040101010101"/>
    <w:charset w:val="86"/>
    <w:family w:val="auto"/>
    <w:pitch w:val="default"/>
    <w:sig w:usb0="00000287" w:usb1="080F0000" w:usb2="00000000" w:usb3="00000000" w:csb0="0004009F" w:csb1="DFD70000"/>
    <w:embedRegular r:id="rId8" w:fontKey="{5D072798-2C29-4004-8E39-670A44F35E04}"/>
  </w:font>
  <w:font w:name="Kingsoft UE">
    <w:panose1 w:val="02000100010000000000"/>
    <w:charset w:val="00"/>
    <w:family w:val="auto"/>
    <w:pitch w:val="default"/>
    <w:sig w:usb0="00000001" w:usb1="00004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790F81">
    <w:pPr>
      <w:pStyle w:val="3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DB8077">
    <w:pPr>
      <w:pStyle w:val="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A2FCF2">
    <w:pPr>
      <w:pStyle w:val="34"/>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78E2C2">
    <w:pPr>
      <w:pStyle w:val="34"/>
    </w:pPr>
    <w:r>
      <mc:AlternateContent>
        <mc:Choice Requires="wps">
          <w:drawing>
            <wp:anchor distT="0" distB="0" distL="114300" distR="114300" simplePos="0" relativeHeight="251683840" behindDoc="0" locked="0" layoutInCell="1" allowOverlap="1">
              <wp:simplePos x="0" y="0"/>
              <wp:positionH relativeFrom="margin">
                <wp:posOffset>2602230</wp:posOffset>
              </wp:positionH>
              <wp:positionV relativeFrom="paragraph">
                <wp:posOffset>-635</wp:posOffset>
              </wp:positionV>
              <wp:extent cx="262255" cy="131445"/>
              <wp:effectExtent l="0" t="0" r="5080" b="1905"/>
              <wp:wrapNone/>
              <wp:docPr id="718468915" name="Text Box 23"/>
              <wp:cNvGraphicFramePr/>
              <a:graphic xmlns:a="http://schemas.openxmlformats.org/drawingml/2006/main">
                <a:graphicData uri="http://schemas.microsoft.com/office/word/2010/wordprocessingShape">
                  <wps:wsp>
                    <wps:cNvSpPr txBox="1">
                      <a:spLocks noChangeArrowheads="1"/>
                    </wps:cNvSpPr>
                    <wps:spPr bwMode="auto">
                      <a:xfrm>
                        <a:off x="0" y="0"/>
                        <a:ext cx="261938" cy="131445"/>
                      </a:xfrm>
                      <a:prstGeom prst="rect">
                        <a:avLst/>
                      </a:prstGeom>
                      <a:noFill/>
                      <a:ln>
                        <a:noFill/>
                      </a:ln>
                    </wps:spPr>
                    <wps:txbx>
                      <w:txbxContent>
                        <w:p w14:paraId="5718DF39">
                          <w:pPr>
                            <w:pStyle w:val="34"/>
                          </w:pPr>
                          <w:r>
                            <w:fldChar w:fldCharType="begin"/>
                          </w:r>
                          <w:r>
                            <w:instrText xml:space="preserve"> PAGE  \* MERGEFORMAT </w:instrText>
                          </w:r>
                          <w:r>
                            <w:fldChar w:fldCharType="separate"/>
                          </w:r>
                          <w:r>
                            <w:t>I</w:t>
                          </w:r>
                          <w:r>
                            <w:fldChar w:fldCharType="end"/>
                          </w:r>
                        </w:p>
                      </w:txbxContent>
                    </wps:txbx>
                    <wps:bodyPr rot="0" vert="horz" wrap="square" lIns="0" tIns="0" rIns="0" bIns="0" anchor="t" anchorCtr="0" upright="1">
                      <a:spAutoFit/>
                    </wps:bodyPr>
                  </wps:wsp>
                </a:graphicData>
              </a:graphic>
            </wp:anchor>
          </w:drawing>
        </mc:Choice>
        <mc:Fallback>
          <w:pict>
            <v:shape id="Text Box 23" o:spid="_x0000_s1026" o:spt="202" type="#_x0000_t202" style="position:absolute;left:0pt;margin-left:204.9pt;margin-top:-0.05pt;height:10.35pt;width:20.65pt;mso-position-horizontal-relative:margin;z-index:251683840;mso-width-relative:page;mso-height-relative:page;" filled="f" stroked="f" coordsize="21600,21600" o:gfxdata="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UVZtF1gAAAAgBAAAPAAAAAAAAAAEAIAAAACIAAABkcnMv&#10;ZG93bnJldi54bWxQSwECFAAUAAAACACHTuJANocMlwUCAAAMBAAADgAAAAAAAAABACAAAAAlAQAA&#10;ZHJzL2Uyb0RvYy54bWxQSwUGAAAAAAYABgBZAQAAnAUAAAAA&#10;">
              <v:fill on="f" focussize="0,0"/>
              <v:stroke on="f"/>
              <v:imagedata o:title=""/>
              <o:lock v:ext="edit" aspectratio="f"/>
              <v:textbox inset="0mm,0mm,0mm,0mm" style="mso-fit-shape-to-text:t;">
                <w:txbxContent>
                  <w:p w14:paraId="5718DF39">
                    <w:pPr>
                      <w:pStyle w:val="34"/>
                    </w:pPr>
                    <w:r>
                      <w:fldChar w:fldCharType="begin"/>
                    </w:r>
                    <w:r>
                      <w:instrText xml:space="preserve"> PAGE  \* MERGEFORMAT </w:instrText>
                    </w:r>
                    <w:r>
                      <w:fldChar w:fldCharType="separate"/>
                    </w:r>
                    <w:r>
                      <w:t>I</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160109">
    <w:pPr>
      <w:pStyle w:val="34"/>
    </w:pPr>
    <w:r>
      <mc:AlternateContent>
        <mc:Choice Requires="wps">
          <w:drawing>
            <wp:anchor distT="0" distB="0" distL="114300" distR="114300" simplePos="0" relativeHeight="251678720" behindDoc="0" locked="0" layoutInCell="1" allowOverlap="1">
              <wp:simplePos x="0" y="0"/>
              <wp:positionH relativeFrom="margin">
                <wp:align>center</wp:align>
              </wp:positionH>
              <wp:positionV relativeFrom="paragraph">
                <wp:posOffset>0</wp:posOffset>
              </wp:positionV>
              <wp:extent cx="269875" cy="131445"/>
              <wp:effectExtent l="0" t="0" r="635" b="0"/>
              <wp:wrapNone/>
              <wp:docPr id="1492365072" name="Text Box 16"/>
              <wp:cNvGraphicFramePr/>
              <a:graphic xmlns:a="http://schemas.openxmlformats.org/drawingml/2006/main">
                <a:graphicData uri="http://schemas.microsoft.com/office/word/2010/wordprocessingShape">
                  <wps:wsp>
                    <wps:cNvSpPr txBox="1">
                      <a:spLocks noChangeArrowheads="1"/>
                    </wps:cNvSpPr>
                    <wps:spPr bwMode="auto">
                      <a:xfrm>
                        <a:off x="0" y="0"/>
                        <a:ext cx="269875" cy="131445"/>
                      </a:xfrm>
                      <a:prstGeom prst="rect">
                        <a:avLst/>
                      </a:prstGeom>
                      <a:noFill/>
                      <a:ln>
                        <a:noFill/>
                      </a:ln>
                    </wps:spPr>
                    <wps:txbx>
                      <w:txbxContent>
                        <w:p w14:paraId="4061C697">
                          <w:pPr>
                            <w:pStyle w:val="34"/>
                          </w:pPr>
                          <w:r>
                            <w:fldChar w:fldCharType="begin"/>
                          </w:r>
                          <w:r>
                            <w:instrText xml:space="preserve"> PAGE  \* MERGEFORMAT </w:instrText>
                          </w:r>
                          <w:r>
                            <w:fldChar w:fldCharType="separate"/>
                          </w:r>
                          <w:r>
                            <w:t>1</w:t>
                          </w:r>
                          <w:r>
                            <w:fldChar w:fldCharType="end"/>
                          </w:r>
                        </w:p>
                      </w:txbxContent>
                    </wps:txbx>
                    <wps:bodyPr rot="0" vert="horz" wrap="square" lIns="0" tIns="0" rIns="0" bIns="0" anchor="t" anchorCtr="0" upright="1">
                      <a:spAutoFit/>
                    </wps:bodyPr>
                  </wps:wsp>
                </a:graphicData>
              </a:graphic>
            </wp:anchor>
          </w:drawing>
        </mc:Choice>
        <mc:Fallback>
          <w:pict>
            <v:shape id="Text Box 16" o:spid="_x0000_s1026" o:spt="202" type="#_x0000_t202" style="position:absolute;left:0pt;margin-top:0pt;height:10.35pt;width:21.25pt;mso-position-horizontal:center;mso-position-horizontal-relative:margin;z-index:251678720;mso-width-relative:page;mso-height-relative:page;" filled="f" stroked="f" coordsize="21600,21600" o:gfxdata="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Irg5F7SAAAAAwEAAA8AAAAAAAAAAQAgAAAAIgAAAGRycy9kb3du&#10;cmV2LnhtbFBLAQIUABQAAAAIAIdO4kCjVQrUBQIAAA0EAAAOAAAAAAAAAAEAIAAAACEBAABkcnMv&#10;ZTJvRG9jLnhtbFBLBQYAAAAABgAGAFkBAACYBQAAAAA=&#10;">
              <v:fill on="f" focussize="0,0"/>
              <v:stroke on="f"/>
              <v:imagedata o:title=""/>
              <o:lock v:ext="edit" aspectratio="f"/>
              <v:textbox inset="0mm,0mm,0mm,0mm" style="mso-fit-shape-to-text:t;">
                <w:txbxContent>
                  <w:p w14:paraId="4061C697">
                    <w:pPr>
                      <w:pStyle w:val="34"/>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F8C29A">
    <w:pPr>
      <w:pStyle w:val="34"/>
      <w:ind w:right="360"/>
      <w:jc w:val="center"/>
    </w:pPr>
    <w:r>
      <mc:AlternateContent>
        <mc:Choice Requires="wps">
          <w:drawing>
            <wp:anchor distT="0" distB="0" distL="114300" distR="114300" simplePos="0" relativeHeight="251679744" behindDoc="0" locked="0" layoutInCell="1" allowOverlap="1">
              <wp:simplePos x="0" y="0"/>
              <wp:positionH relativeFrom="margin">
                <wp:align>center</wp:align>
              </wp:positionH>
              <wp:positionV relativeFrom="paragraph">
                <wp:posOffset>0</wp:posOffset>
              </wp:positionV>
              <wp:extent cx="114935" cy="131445"/>
              <wp:effectExtent l="0" t="0" r="635" b="0"/>
              <wp:wrapNone/>
              <wp:docPr id="420944439" name="Text Box 17"/>
              <wp:cNvGraphicFramePr/>
              <a:graphic xmlns:a="http://schemas.openxmlformats.org/drawingml/2006/main">
                <a:graphicData uri="http://schemas.microsoft.com/office/word/2010/wordprocessingShape">
                  <wps:wsp>
                    <wps:cNvSpPr txBox="1">
                      <a:spLocks noChangeArrowheads="1"/>
                    </wps:cNvSpPr>
                    <wps:spPr bwMode="auto">
                      <a:xfrm>
                        <a:off x="0" y="0"/>
                        <a:ext cx="114935" cy="131445"/>
                      </a:xfrm>
                      <a:prstGeom prst="rect">
                        <a:avLst/>
                      </a:prstGeom>
                      <a:noFill/>
                      <a:ln>
                        <a:noFill/>
                      </a:ln>
                    </wps:spPr>
                    <wps:txbx>
                      <w:txbxContent>
                        <w:p w14:paraId="30A08BC5">
                          <w:pPr>
                            <w:pStyle w:val="34"/>
                          </w:pPr>
                          <w:r>
                            <w:fldChar w:fldCharType="begin"/>
                          </w:r>
                          <w:r>
                            <w:instrText xml:space="preserve"> PAGE  \* MERGEFORMAT </w:instrText>
                          </w:r>
                          <w:r>
                            <w:fldChar w:fldCharType="separate"/>
                          </w:r>
                          <w:r>
                            <w:t>45</w:t>
                          </w:r>
                          <w:r>
                            <w:fldChar w:fldCharType="end"/>
                          </w:r>
                        </w:p>
                      </w:txbxContent>
                    </wps:txbx>
                    <wps:bodyPr rot="0" vert="horz" wrap="none" lIns="0" tIns="0" rIns="0" bIns="0" anchor="t" anchorCtr="0" upright="1">
                      <a:spAutoFit/>
                    </wps:bodyPr>
                  </wps:wsp>
                </a:graphicData>
              </a:graphic>
            </wp:anchor>
          </w:drawing>
        </mc:Choice>
        <mc:Fallback>
          <w:pict>
            <v:shape id="Text Box 17" o:spid="_x0000_s1026" o:spt="202" type="#_x0000_t202" style="position:absolute;left:0pt;margin-top:0pt;height:10.35pt;width:9.05pt;mso-position-horizontal:center;mso-position-horizontal-relative:margin;mso-wrap-style:none;z-index:251679744;mso-width-relative:page;mso-height-relative:page;" filled="f" stroked="f" coordsize="21600,21600" o:gfxdata="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BD5X5J0AAAAAMBAAAPAAAAAAAAAAEAIAAAACIAAABkcnMvZG93bnJldi54&#10;bWxQSwECFAAUAAAACACHTuJAjK2c9gICAAAKBAAADgAAAAAAAAABACAAAAAfAQAAZHJzL2Uyb0Rv&#10;Yy54bWxQSwUGAAAAAAYABgBZAQAAkwUAAAAA&#10;">
              <v:fill on="f" focussize="0,0"/>
              <v:stroke on="f"/>
              <v:imagedata o:title=""/>
              <o:lock v:ext="edit" aspectratio="f"/>
              <v:textbox inset="0mm,0mm,0mm,0mm" style="mso-fit-shape-to-text:t;">
                <w:txbxContent>
                  <w:p w14:paraId="30A08BC5">
                    <w:pPr>
                      <w:pStyle w:val="34"/>
                    </w:pPr>
                    <w:r>
                      <w:fldChar w:fldCharType="begin"/>
                    </w:r>
                    <w:r>
                      <w:instrText xml:space="preserve"> PAGE  \* MERGEFORMAT </w:instrText>
                    </w:r>
                    <w:r>
                      <w:fldChar w:fldCharType="separate"/>
                    </w:r>
                    <w:r>
                      <w:t>45</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08BCEB">
    <w:pPr>
      <w:tabs>
        <w:tab w:val="center" w:pos="4153"/>
        <w:tab w:val="right" w:pos="8306"/>
      </w:tabs>
      <w:ind w:firstLine="480"/>
    </w:pPr>
    <w:r>
      <mc:AlternateContent>
        <mc:Choice Requires="wps">
          <w:drawing>
            <wp:anchor distT="0" distB="0" distL="114300" distR="114300" simplePos="0" relativeHeight="251680768" behindDoc="0" locked="0" layoutInCell="1" allowOverlap="1">
              <wp:simplePos x="0" y="0"/>
              <wp:positionH relativeFrom="margin">
                <wp:align>center</wp:align>
              </wp:positionH>
              <wp:positionV relativeFrom="paragraph">
                <wp:posOffset>0</wp:posOffset>
              </wp:positionV>
              <wp:extent cx="114935" cy="131445"/>
              <wp:effectExtent l="1905" t="0" r="0" b="0"/>
              <wp:wrapNone/>
              <wp:docPr id="368080603" name="Text Box 18"/>
              <wp:cNvGraphicFramePr/>
              <a:graphic xmlns:a="http://schemas.openxmlformats.org/drawingml/2006/main">
                <a:graphicData uri="http://schemas.microsoft.com/office/word/2010/wordprocessingShape">
                  <wps:wsp>
                    <wps:cNvSpPr txBox="1">
                      <a:spLocks noChangeArrowheads="1"/>
                    </wps:cNvSpPr>
                    <wps:spPr bwMode="auto">
                      <a:xfrm>
                        <a:off x="0" y="0"/>
                        <a:ext cx="114935" cy="131445"/>
                      </a:xfrm>
                      <a:prstGeom prst="rect">
                        <a:avLst/>
                      </a:prstGeom>
                      <a:noFill/>
                      <a:ln>
                        <a:noFill/>
                      </a:ln>
                    </wps:spPr>
                    <wps:txbx>
                      <w:txbxContent>
                        <w:p w14:paraId="2A674591">
                          <w:pPr>
                            <w:pStyle w:val="34"/>
                          </w:pPr>
                          <w:r>
                            <w:fldChar w:fldCharType="begin"/>
                          </w:r>
                          <w:r>
                            <w:instrText xml:space="preserve"> PAGE  \* MERGEFORMAT </w:instrText>
                          </w:r>
                          <w:r>
                            <w:fldChar w:fldCharType="separate"/>
                          </w:r>
                          <w:r>
                            <w:t>68</w:t>
                          </w:r>
                          <w:r>
                            <w:fldChar w:fldCharType="end"/>
                          </w:r>
                        </w:p>
                      </w:txbxContent>
                    </wps:txbx>
                    <wps:bodyPr rot="0" vert="horz" wrap="none" lIns="0" tIns="0" rIns="0" bIns="0" anchor="t" anchorCtr="0" upright="1">
                      <a:spAutoFit/>
                    </wps:bodyPr>
                  </wps:wsp>
                </a:graphicData>
              </a:graphic>
            </wp:anchor>
          </w:drawing>
        </mc:Choice>
        <mc:Fallback>
          <w:pict>
            <v:shape id="Text Box 18" o:spid="_x0000_s1026" o:spt="202" type="#_x0000_t202" style="position:absolute;left:0pt;margin-top:0pt;height:10.35pt;width:9.05pt;mso-position-horizontal:center;mso-position-horizontal-relative:margin;mso-wrap-style:none;z-index:251680768;mso-width-relative:page;mso-height-relative:page;" filled="f" stroked="f" coordsize="21600,21600" o:gfxdata="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BD5X5J0AAAAAMBAAAPAAAAAAAAAAEAIAAAACIAAABkcnMvZG93bnJldi54&#10;bWxQSwECFAAUAAAACACHTuJAjuqPMAICAAAKBAAADgAAAAAAAAABACAAAAAfAQAAZHJzL2Uyb0Rv&#10;Yy54bWxQSwUGAAAAAAYABgBZAQAAkwUAAAAA&#10;">
              <v:fill on="f" focussize="0,0"/>
              <v:stroke on="f"/>
              <v:imagedata o:title=""/>
              <o:lock v:ext="edit" aspectratio="f"/>
              <v:textbox inset="0mm,0mm,0mm,0mm" style="mso-fit-shape-to-text:t;">
                <w:txbxContent>
                  <w:p w14:paraId="2A674591">
                    <w:pPr>
                      <w:pStyle w:val="34"/>
                    </w:pPr>
                    <w:r>
                      <w:fldChar w:fldCharType="begin"/>
                    </w:r>
                    <w:r>
                      <w:instrText xml:space="preserve"> PAGE  \* MERGEFORMAT </w:instrText>
                    </w:r>
                    <w:r>
                      <w:fldChar w:fldCharType="separate"/>
                    </w:r>
                    <w:r>
                      <w:t>68</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2C7226">
    <w:pPr>
      <w:snapToGrid w:val="0"/>
      <w:spacing w:line="360" w:lineRule="auto"/>
      <w:ind w:right="360" w:firstLine="360" w:firstLineChars="200"/>
      <w:jc w:val="center"/>
      <w:rPr>
        <w:sz w:val="18"/>
        <w:szCs w:val="18"/>
      </w:rPr>
    </w:pPr>
    <w:r>
      <w:rPr>
        <w:sz w:val="18"/>
      </w:rPr>
      <mc:AlternateContent>
        <mc:Choice Requires="wps">
          <w:drawing>
            <wp:anchor distT="0" distB="0" distL="114300" distR="114300" simplePos="0" relativeHeight="251681792" behindDoc="0" locked="0" layoutInCell="1" allowOverlap="1">
              <wp:simplePos x="0" y="0"/>
              <wp:positionH relativeFrom="margin">
                <wp:posOffset>2822575</wp:posOffset>
              </wp:positionH>
              <wp:positionV relativeFrom="paragraph">
                <wp:posOffset>-1905</wp:posOffset>
              </wp:positionV>
              <wp:extent cx="489585" cy="138430"/>
              <wp:effectExtent l="0" t="0" r="5715" b="13970"/>
              <wp:wrapNone/>
              <wp:docPr id="1907338160" name="Text Box 19"/>
              <wp:cNvGraphicFramePr/>
              <a:graphic xmlns:a="http://schemas.openxmlformats.org/drawingml/2006/main">
                <a:graphicData uri="http://schemas.microsoft.com/office/word/2010/wordprocessingShape">
                  <wps:wsp>
                    <wps:cNvSpPr txBox="1">
                      <a:spLocks noChangeArrowheads="1"/>
                    </wps:cNvSpPr>
                    <wps:spPr bwMode="auto">
                      <a:xfrm>
                        <a:off x="0" y="0"/>
                        <a:ext cx="489702" cy="138677"/>
                      </a:xfrm>
                      <a:prstGeom prst="rect">
                        <a:avLst/>
                      </a:prstGeom>
                      <a:noFill/>
                      <a:ln>
                        <a:noFill/>
                      </a:ln>
                    </wps:spPr>
                    <wps:txbx>
                      <w:txbxContent>
                        <w:p w14:paraId="18619C29">
                          <w:pPr>
                            <w:pStyle w:val="34"/>
                          </w:pPr>
                          <w:r>
                            <w:fldChar w:fldCharType="begin"/>
                          </w:r>
                          <w:r>
                            <w:instrText xml:space="preserve"> PAGE  \* MERGEFORMAT </w:instrText>
                          </w:r>
                          <w:r>
                            <w:fldChar w:fldCharType="separate"/>
                          </w:r>
                          <w:r>
                            <w:t>85</w:t>
                          </w:r>
                          <w:r>
                            <w:fldChar w:fldCharType="end"/>
                          </w:r>
                        </w:p>
                      </w:txbxContent>
                    </wps:txbx>
                    <wps:bodyPr rot="0" vert="horz" wrap="square" lIns="0" tIns="0" rIns="0" bIns="0" anchor="t" anchorCtr="0" upright="1">
                      <a:noAutofit/>
                    </wps:bodyPr>
                  </wps:wsp>
                </a:graphicData>
              </a:graphic>
            </wp:anchor>
          </w:drawing>
        </mc:Choice>
        <mc:Fallback>
          <w:pict>
            <v:shape id="Text Box 19" o:spid="_x0000_s1026" o:spt="202" type="#_x0000_t202" style="position:absolute;left:0pt;margin-left:222.25pt;margin-top:-0.15pt;height:10.9pt;width:38.55pt;mso-position-horizontal-relative:margin;z-index:251681792;mso-width-relative:page;mso-height-relative:page;" filled="f" stroked="f" coordsize="21600,21600" o:gfxdata="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&#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IXok4DYAAAACAEAAA8AAAAAAAAAAQAgAAAAIgAAAGRy&#10;cy9kb3ducmV2LnhtbFBLAQIUABQAAAAIAIdO4kAoJP2VBQIAAA0EAAAOAAAAAAAAAAEAIAAAACcB&#10;AABkcnMvZTJvRG9jLnhtbFBLBQYAAAAABgAGAFkBAACeBQAAAAA=&#10;">
              <v:fill on="f" focussize="0,0"/>
              <v:stroke on="f"/>
              <v:imagedata o:title=""/>
              <o:lock v:ext="edit" aspectratio="f"/>
              <v:textbox inset="0mm,0mm,0mm,0mm">
                <w:txbxContent>
                  <w:p w14:paraId="18619C29">
                    <w:pPr>
                      <w:pStyle w:val="34"/>
                    </w:pPr>
                    <w:r>
                      <w:fldChar w:fldCharType="begin"/>
                    </w:r>
                    <w:r>
                      <w:instrText xml:space="preserve"> PAGE  \* MERGEFORMAT </w:instrText>
                    </w:r>
                    <w:r>
                      <w:fldChar w:fldCharType="separate"/>
                    </w:r>
                    <w:r>
                      <w:t>85</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64DED9">
    <w:pPr>
      <w:pStyle w:val="34"/>
      <w:tabs>
        <w:tab w:val="left" w:pos="381"/>
        <w:tab w:val="center" w:pos="4215"/>
      </w:tabs>
      <w:jc w:val="center"/>
    </w:pPr>
    <w:r>
      <mc:AlternateContent>
        <mc:Choice Requires="wps">
          <w:drawing>
            <wp:anchor distT="0" distB="0" distL="114300" distR="114300" simplePos="0" relativeHeight="251682816" behindDoc="0" locked="0" layoutInCell="1" allowOverlap="1">
              <wp:simplePos x="0" y="0"/>
              <wp:positionH relativeFrom="margin">
                <wp:align>center</wp:align>
              </wp:positionH>
              <wp:positionV relativeFrom="paragraph">
                <wp:posOffset>0</wp:posOffset>
              </wp:positionV>
              <wp:extent cx="172085" cy="131445"/>
              <wp:effectExtent l="0" t="0" r="635" b="0"/>
              <wp:wrapNone/>
              <wp:docPr id="1239232696" name="Text Box 20"/>
              <wp:cNvGraphicFramePr/>
              <a:graphic xmlns:a="http://schemas.openxmlformats.org/drawingml/2006/main">
                <a:graphicData uri="http://schemas.microsoft.com/office/word/2010/wordprocessingShape">
                  <wps:wsp>
                    <wps:cNvSpPr txBox="1">
                      <a:spLocks noChangeArrowheads="1"/>
                    </wps:cNvSpPr>
                    <wps:spPr bwMode="auto">
                      <a:xfrm>
                        <a:off x="0" y="0"/>
                        <a:ext cx="172085" cy="131445"/>
                      </a:xfrm>
                      <a:prstGeom prst="rect">
                        <a:avLst/>
                      </a:prstGeom>
                      <a:noFill/>
                      <a:ln>
                        <a:noFill/>
                      </a:ln>
                    </wps:spPr>
                    <wps:txbx>
                      <w:txbxContent>
                        <w:p w14:paraId="56939985">
                          <w:pPr>
                            <w:pStyle w:val="34"/>
                          </w:pPr>
                          <w:r>
                            <w:fldChar w:fldCharType="begin"/>
                          </w:r>
                          <w:r>
                            <w:instrText xml:space="preserve"> PAGE  \* MERGEFORMAT </w:instrText>
                          </w:r>
                          <w:r>
                            <w:fldChar w:fldCharType="separate"/>
                          </w:r>
                          <w:r>
                            <w:t>173</w:t>
                          </w:r>
                          <w:r>
                            <w:fldChar w:fldCharType="end"/>
                          </w:r>
                        </w:p>
                      </w:txbxContent>
                    </wps:txbx>
                    <wps:bodyPr rot="0" vert="horz" wrap="none" lIns="0" tIns="0" rIns="0" bIns="0" anchor="t" anchorCtr="0" upright="1">
                      <a:spAutoFit/>
                    </wps:bodyPr>
                  </wps:wsp>
                </a:graphicData>
              </a:graphic>
            </wp:anchor>
          </w:drawing>
        </mc:Choice>
        <mc:Fallback>
          <w:pict>
            <v:shape id="Text Box 20" o:spid="_x0000_s1026" o:spt="202" type="#_x0000_t202" style="position:absolute;left:0pt;margin-top:0pt;height:10.35pt;width:13.55pt;mso-position-horizontal:center;mso-position-horizontal-relative:margin;mso-wrap-style:none;z-index:251682816;mso-width-relative:page;mso-height-relative:page;" filled="f" stroked="f" coordsize="21600,21600" o:gfxdata="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lJXQ5c8AAAADAQAADwAAAAAAAAABACAAAAAiAAAAZHJzL2Rvd25yZXYu&#10;eG1sUEsBAhQAFAAAAAgAh07iQCghmQsEAgAACwQAAA4AAAAAAAAAAQAgAAAAHgEAAGRycy9lMm9E&#10;b2MueG1sUEsFBgAAAAAGAAYAWQEAAJQFAAAAAA==&#10;">
              <v:fill on="f" focussize="0,0"/>
              <v:stroke on="f"/>
              <v:imagedata o:title=""/>
              <o:lock v:ext="edit" aspectratio="f"/>
              <v:textbox inset="0mm,0mm,0mm,0mm" style="mso-fit-shape-to-text:t;">
                <w:txbxContent>
                  <w:p w14:paraId="56939985">
                    <w:pPr>
                      <w:pStyle w:val="34"/>
                    </w:pPr>
                    <w:r>
                      <w:fldChar w:fldCharType="begin"/>
                    </w:r>
                    <w:r>
                      <w:instrText xml:space="preserve"> PAGE  \* MERGEFORMAT </w:instrText>
                    </w:r>
                    <w:r>
                      <w:fldChar w:fldCharType="separate"/>
                    </w:r>
                    <w:r>
                      <w:t>173</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F65D6A">
    <w:pPr>
      <w:pStyle w:val="35"/>
      <w:pBdr>
        <w:bottom w:val="single" w:color="auto" w:sz="4" w:space="1"/>
      </w:pBdr>
      <w:jc w:val="center"/>
    </w:pPr>
    <w:r>
      <w:rPr>
        <w:rFonts w:hint="eastAsia"/>
      </w:rPr>
      <w:t>库尔勒市新如兴环保科技有限公司库尔勒市废旧地膜加工建设项目环境影响报告书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ADB0D0">
    <w:pPr>
      <w:pStyle w:val="35"/>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9A6534">
    <w:pPr>
      <w:pStyle w:val="35"/>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4920AA">
    <w:pPr>
      <w:pStyle w:val="35"/>
      <w:pBdr>
        <w:bottom w:val="single" w:color="auto" w:sz="4" w:space="1"/>
      </w:pBdr>
      <w:jc w:val="center"/>
    </w:pPr>
    <w:r>
      <w:rPr>
        <w:rFonts w:hint="eastAsia"/>
      </w:rPr>
      <w:t>库尔勒市新如兴环保科技有限公司库尔勒市废旧地膜加工建设项目环境影响报告书</w:t>
    </w:r>
  </w:p>
  <w:p w14:paraId="0376E1D8">
    <w:pPr>
      <w:pStyle w:val="35"/>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4B58D3">
    <w:pPr>
      <w:pStyle w:val="35"/>
      <w:pBdr>
        <w:bottom w:val="single" w:color="auto" w:sz="4" w:space="1"/>
      </w:pBdr>
      <w:jc w:val="center"/>
    </w:pPr>
    <w:r>
      <w:rPr>
        <w:rFonts w:hint="eastAsia"/>
      </w:rPr>
      <w:t>库尔勒市新如兴环保科技有限公司库尔勒市废旧地膜加工建设项目环境影响报告书</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DA7C2C6"/>
    <w:multiLevelType w:val="singleLevel"/>
    <w:tmpl w:val="BDA7C2C6"/>
    <w:lvl w:ilvl="0" w:tentative="0">
      <w:start w:val="1"/>
      <w:numFmt w:val="decimal"/>
      <w:suff w:val="nothing"/>
      <w:lvlText w:val="（%1）"/>
      <w:lvlJc w:val="left"/>
    </w:lvl>
  </w:abstractNum>
  <w:abstractNum w:abstractNumId="1">
    <w:nsid w:val="00000005"/>
    <w:multiLevelType w:val="multilevel"/>
    <w:tmpl w:val="00000005"/>
    <w:lvl w:ilvl="0" w:tentative="0">
      <w:start w:val="1"/>
      <w:numFmt w:val="decimal"/>
      <w:pStyle w:val="160"/>
      <w:lvlText w:val="图 %1 "/>
      <w:lvlJc w:val="left"/>
      <w:pPr>
        <w:tabs>
          <w:tab w:val="left" w:pos="720"/>
        </w:tabs>
        <w:ind w:left="0" w:firstLine="0"/>
      </w:pPr>
      <w:rPr>
        <w:rFonts w:hint="eastAsia"/>
      </w:rPr>
    </w:lvl>
    <w:lvl w:ilvl="1" w:tentative="0">
      <w:start w:val="1"/>
      <w:numFmt w:val="decimalZero"/>
      <w:isLgl/>
      <w:lvlText w:val="节 %1.%2"/>
      <w:lvlJc w:val="left"/>
      <w:pPr>
        <w:tabs>
          <w:tab w:val="left" w:pos="720"/>
        </w:tabs>
        <w:ind w:left="0" w:firstLine="0"/>
      </w:pPr>
      <w:rPr>
        <w:rFonts w:hint="eastAsia"/>
      </w:rPr>
    </w:lvl>
    <w:lvl w:ilvl="2" w:tentative="0">
      <w:start w:val="1"/>
      <w:numFmt w:val="lowerLetter"/>
      <w:lvlText w:val="(%3)"/>
      <w:lvlJc w:val="left"/>
      <w:pPr>
        <w:tabs>
          <w:tab w:val="left" w:pos="720"/>
        </w:tabs>
        <w:ind w:left="720" w:hanging="432"/>
      </w:pPr>
      <w:rPr>
        <w:rFonts w:hint="eastAsia"/>
      </w:rPr>
    </w:lvl>
    <w:lvl w:ilvl="3" w:tentative="0">
      <w:start w:val="1"/>
      <w:numFmt w:val="lowerRoman"/>
      <w:lvlText w:val="(%4)"/>
      <w:lvlJc w:val="right"/>
      <w:pPr>
        <w:tabs>
          <w:tab w:val="left" w:pos="864"/>
        </w:tabs>
        <w:ind w:left="864" w:hanging="144"/>
      </w:pPr>
      <w:rPr>
        <w:rFonts w:hint="eastAsia"/>
      </w:rPr>
    </w:lvl>
    <w:lvl w:ilvl="4" w:tentative="0">
      <w:start w:val="1"/>
      <w:numFmt w:val="decimal"/>
      <w:lvlText w:val="%5)"/>
      <w:lvlJc w:val="left"/>
      <w:pPr>
        <w:tabs>
          <w:tab w:val="left" w:pos="1008"/>
        </w:tabs>
        <w:ind w:left="1008" w:hanging="432"/>
      </w:pPr>
      <w:rPr>
        <w:rFonts w:hint="eastAsia"/>
      </w:rPr>
    </w:lvl>
    <w:lvl w:ilvl="5" w:tentative="0">
      <w:start w:val="1"/>
      <w:numFmt w:val="lowerLetter"/>
      <w:lvlText w:val="%6)"/>
      <w:lvlJc w:val="left"/>
      <w:pPr>
        <w:tabs>
          <w:tab w:val="left" w:pos="1152"/>
        </w:tabs>
        <w:ind w:left="1152" w:hanging="432"/>
      </w:pPr>
      <w:rPr>
        <w:rFonts w:hint="eastAsia"/>
      </w:rPr>
    </w:lvl>
    <w:lvl w:ilvl="6" w:tentative="0">
      <w:start w:val="1"/>
      <w:numFmt w:val="lowerRoman"/>
      <w:lvlText w:val="%7)"/>
      <w:lvlJc w:val="right"/>
      <w:pPr>
        <w:tabs>
          <w:tab w:val="left" w:pos="1296"/>
        </w:tabs>
        <w:ind w:left="1296" w:hanging="288"/>
      </w:pPr>
      <w:rPr>
        <w:rFonts w:hint="eastAsia"/>
      </w:rPr>
    </w:lvl>
    <w:lvl w:ilvl="7" w:tentative="0">
      <w:start w:val="1"/>
      <w:numFmt w:val="lowerLetter"/>
      <w:lvlText w:val="%8."/>
      <w:lvlJc w:val="left"/>
      <w:pPr>
        <w:tabs>
          <w:tab w:val="left" w:pos="1440"/>
        </w:tabs>
        <w:ind w:left="1440" w:hanging="432"/>
      </w:pPr>
      <w:rPr>
        <w:rFonts w:hint="eastAsia"/>
      </w:rPr>
    </w:lvl>
    <w:lvl w:ilvl="8" w:tentative="0">
      <w:start w:val="1"/>
      <w:numFmt w:val="lowerRoman"/>
      <w:lvlText w:val="%9."/>
      <w:lvlJc w:val="right"/>
      <w:pPr>
        <w:tabs>
          <w:tab w:val="left" w:pos="1584"/>
        </w:tabs>
        <w:ind w:left="1584" w:hanging="144"/>
      </w:pPr>
      <w:rPr>
        <w:rFonts w:hint="eastAsia"/>
      </w:rPr>
    </w:lvl>
  </w:abstractNum>
  <w:abstractNum w:abstractNumId="2">
    <w:nsid w:val="00000008"/>
    <w:multiLevelType w:val="multilevel"/>
    <w:tmpl w:val="00000008"/>
    <w:lvl w:ilvl="0" w:tentative="0">
      <w:start w:val="1"/>
      <w:numFmt w:val="chineseCountingThousand"/>
      <w:lvlText w:val="第%1节"/>
      <w:legacy w:legacy="1" w:legacySpace="144" w:legacyIndent="0"/>
      <w:lvlJc w:val="left"/>
    </w:lvl>
    <w:lvl w:ilvl="1" w:tentative="0">
      <w:start w:val="1"/>
      <w:numFmt w:val="chineseCountingThousand"/>
      <w:lvlText w:val="%2 "/>
      <w:legacy w:legacy="1" w:legacySpace="144" w:legacyIndent="0"/>
      <w:lvlJc w:val="left"/>
    </w:lvl>
    <w:lvl w:ilvl="2" w:tentative="0">
      <w:start w:val="1"/>
      <w:numFmt w:val="decimal"/>
      <w:lvlText w:val=".%3"/>
      <w:legacy w:legacy="1" w:legacySpace="144" w:legacyIndent="0"/>
      <w:lvlJc w:val="left"/>
    </w:lvl>
    <w:lvl w:ilvl="3" w:tentative="0">
      <w:start w:val="1"/>
      <w:numFmt w:val="decimal"/>
      <w:lvlText w:val=".%4"/>
      <w:legacy w:legacy="1" w:legacySpace="144" w:legacyIndent="0"/>
      <w:lvlJc w:val="left"/>
    </w:lvl>
    <w:lvl w:ilvl="4" w:tentative="0">
      <w:start w:val="1"/>
      <w:numFmt w:val="decimal"/>
      <w:lvlText w:val=".%4.%5"/>
      <w:legacy w:legacy="1" w:legacySpace="144" w:legacyIndent="0"/>
      <w:lvlJc w:val="left"/>
    </w:lvl>
    <w:lvl w:ilvl="5" w:tentative="0">
      <w:start w:val="1"/>
      <w:numFmt w:val="decimal"/>
      <w:lvlText w:val=".%4.%5.%6"/>
      <w:legacy w:legacy="1" w:legacySpace="144" w:legacyIndent="0"/>
      <w:lvlJc w:val="left"/>
    </w:lvl>
    <w:lvl w:ilvl="6" w:tentative="0">
      <w:start w:val="1"/>
      <w:numFmt w:val="decimal"/>
      <w:lvlText w:val=".%4.%5.%6.%7"/>
      <w:legacy w:legacy="1" w:legacySpace="144" w:legacyIndent="0"/>
      <w:lvlJc w:val="left"/>
    </w:lvl>
    <w:lvl w:ilvl="7" w:tentative="0">
      <w:start w:val="1"/>
      <w:numFmt w:val="decimal"/>
      <w:pStyle w:val="9"/>
      <w:lvlText w:val=".%4.%5.%6.%7.%8"/>
      <w:legacy w:legacy="1" w:legacySpace="144" w:legacyIndent="0"/>
      <w:lvlJc w:val="left"/>
    </w:lvl>
    <w:lvl w:ilvl="8" w:tentative="0">
      <w:start w:val="1"/>
      <w:numFmt w:val="decimal"/>
      <w:pStyle w:val="10"/>
      <w:lvlText w:val=".%4.%5.%6.%7.%8.%9"/>
      <w:legacy w:legacy="1" w:legacySpace="144" w:legacyIndent="0"/>
      <w:lvlJc w:val="left"/>
    </w:lvl>
  </w:abstractNum>
  <w:abstractNum w:abstractNumId="3">
    <w:nsid w:val="0000000A"/>
    <w:multiLevelType w:val="multilevel"/>
    <w:tmpl w:val="0000000A"/>
    <w:lvl w:ilvl="0" w:tentative="0">
      <w:start w:val="1"/>
      <w:numFmt w:val="bullet"/>
      <w:pStyle w:val="146"/>
      <w:lvlText w:val=""/>
      <w:lvlJc w:val="left"/>
      <w:pPr>
        <w:tabs>
          <w:tab w:val="left" w:pos="600"/>
        </w:tabs>
        <w:ind w:left="600" w:hanging="420"/>
      </w:pPr>
      <w:rPr>
        <w:rFonts w:hint="default" w:ascii="Wingdings" w:hAnsi="Wingdings"/>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4">
    <w:nsid w:val="0444005B"/>
    <w:multiLevelType w:val="singleLevel"/>
    <w:tmpl w:val="0444005B"/>
    <w:lvl w:ilvl="0" w:tentative="0">
      <w:start w:val="1"/>
      <w:numFmt w:val="bullet"/>
      <w:pStyle w:val="23"/>
      <w:lvlText w:val=""/>
      <w:lvlJc w:val="left"/>
      <w:pPr>
        <w:tabs>
          <w:tab w:val="left" w:pos="780"/>
        </w:tabs>
        <w:ind w:left="780" w:hanging="360"/>
      </w:pPr>
      <w:rPr>
        <w:rFonts w:hint="default" w:ascii="Wingdings" w:hAnsi="Wingdings"/>
      </w:rPr>
    </w:lvl>
  </w:abstractNum>
  <w:abstractNum w:abstractNumId="5">
    <w:nsid w:val="0BD06D0D"/>
    <w:multiLevelType w:val="singleLevel"/>
    <w:tmpl w:val="0BD06D0D"/>
    <w:lvl w:ilvl="0" w:tentative="0">
      <w:start w:val="1"/>
      <w:numFmt w:val="lowerLetter"/>
      <w:suff w:val="nothing"/>
      <w:lvlText w:val="%1、"/>
      <w:lvlJc w:val="left"/>
    </w:lvl>
  </w:abstractNum>
  <w:abstractNum w:abstractNumId="6">
    <w:nsid w:val="680D0BDF"/>
    <w:multiLevelType w:val="multilevel"/>
    <w:tmpl w:val="680D0BDF"/>
    <w:lvl w:ilvl="0" w:tentative="0">
      <w:start w:val="1"/>
      <w:numFmt w:val="decimal"/>
      <w:lvlText w:val="%1、"/>
      <w:lvlJc w:val="left"/>
      <w:pPr>
        <w:ind w:left="850" w:hanging="368"/>
      </w:pPr>
      <w:rPr>
        <w:rFonts w:hint="default"/>
      </w:rPr>
    </w:lvl>
    <w:lvl w:ilvl="1" w:tentative="0">
      <w:start w:val="1"/>
      <w:numFmt w:val="lowerLetter"/>
      <w:lvlText w:val="%2)"/>
      <w:lvlJc w:val="left"/>
      <w:pPr>
        <w:ind w:left="1362" w:hanging="440"/>
      </w:pPr>
    </w:lvl>
    <w:lvl w:ilvl="2" w:tentative="0">
      <w:start w:val="1"/>
      <w:numFmt w:val="lowerRoman"/>
      <w:lvlText w:val="%3."/>
      <w:lvlJc w:val="right"/>
      <w:pPr>
        <w:ind w:left="1802" w:hanging="440"/>
      </w:pPr>
    </w:lvl>
    <w:lvl w:ilvl="3" w:tentative="0">
      <w:start w:val="1"/>
      <w:numFmt w:val="decimal"/>
      <w:lvlText w:val="%4."/>
      <w:lvlJc w:val="left"/>
      <w:pPr>
        <w:ind w:left="2242" w:hanging="440"/>
      </w:pPr>
    </w:lvl>
    <w:lvl w:ilvl="4" w:tentative="0">
      <w:start w:val="1"/>
      <w:numFmt w:val="lowerLetter"/>
      <w:lvlText w:val="%5)"/>
      <w:lvlJc w:val="left"/>
      <w:pPr>
        <w:ind w:left="2682" w:hanging="440"/>
      </w:pPr>
    </w:lvl>
    <w:lvl w:ilvl="5" w:tentative="0">
      <w:start w:val="1"/>
      <w:numFmt w:val="lowerRoman"/>
      <w:lvlText w:val="%6."/>
      <w:lvlJc w:val="right"/>
      <w:pPr>
        <w:ind w:left="3122" w:hanging="440"/>
      </w:pPr>
    </w:lvl>
    <w:lvl w:ilvl="6" w:tentative="0">
      <w:start w:val="1"/>
      <w:numFmt w:val="decimal"/>
      <w:lvlText w:val="%7."/>
      <w:lvlJc w:val="left"/>
      <w:pPr>
        <w:ind w:left="3562" w:hanging="440"/>
      </w:pPr>
    </w:lvl>
    <w:lvl w:ilvl="7" w:tentative="0">
      <w:start w:val="1"/>
      <w:numFmt w:val="lowerLetter"/>
      <w:lvlText w:val="%8)"/>
      <w:lvlJc w:val="left"/>
      <w:pPr>
        <w:ind w:left="4002" w:hanging="440"/>
      </w:pPr>
    </w:lvl>
    <w:lvl w:ilvl="8" w:tentative="0">
      <w:start w:val="1"/>
      <w:numFmt w:val="lowerRoman"/>
      <w:lvlText w:val="%9."/>
      <w:lvlJc w:val="right"/>
      <w:pPr>
        <w:ind w:left="4442" w:hanging="440"/>
      </w:pPr>
    </w:lvl>
  </w:abstractNum>
  <w:abstractNum w:abstractNumId="7">
    <w:nsid w:val="70634135"/>
    <w:multiLevelType w:val="singleLevel"/>
    <w:tmpl w:val="70634135"/>
    <w:lvl w:ilvl="0" w:tentative="0">
      <w:start w:val="1"/>
      <w:numFmt w:val="decimal"/>
      <w:suff w:val="nothing"/>
      <w:lvlText w:val="（%1）"/>
      <w:lvlJc w:val="left"/>
    </w:lvl>
  </w:abstractNum>
  <w:abstractNum w:abstractNumId="8">
    <w:nsid w:val="73C17B83"/>
    <w:multiLevelType w:val="multilevel"/>
    <w:tmpl w:val="73C17B83"/>
    <w:lvl w:ilvl="0" w:tentative="0">
      <w:start w:val="1"/>
      <w:numFmt w:val="decimalEnclosedCircle"/>
      <w:lvlText w:val="%1"/>
      <w:lvlJc w:val="left"/>
      <w:pPr>
        <w:ind w:left="840" w:hanging="360"/>
      </w:pPr>
      <w:rPr>
        <w:rFonts w:hint="default"/>
      </w:rPr>
    </w:lvl>
    <w:lvl w:ilvl="1" w:tentative="0">
      <w:start w:val="1"/>
      <w:numFmt w:val="lowerLetter"/>
      <w:lvlText w:val="%2)"/>
      <w:lvlJc w:val="left"/>
      <w:pPr>
        <w:ind w:left="1360" w:hanging="440"/>
      </w:pPr>
    </w:lvl>
    <w:lvl w:ilvl="2" w:tentative="0">
      <w:start w:val="1"/>
      <w:numFmt w:val="lowerRoman"/>
      <w:lvlText w:val="%3."/>
      <w:lvlJc w:val="right"/>
      <w:pPr>
        <w:ind w:left="1800" w:hanging="440"/>
      </w:pPr>
    </w:lvl>
    <w:lvl w:ilvl="3" w:tentative="0">
      <w:start w:val="1"/>
      <w:numFmt w:val="decimal"/>
      <w:lvlText w:val="%4."/>
      <w:lvlJc w:val="left"/>
      <w:pPr>
        <w:ind w:left="2240" w:hanging="440"/>
      </w:pPr>
    </w:lvl>
    <w:lvl w:ilvl="4" w:tentative="0">
      <w:start w:val="1"/>
      <w:numFmt w:val="lowerLetter"/>
      <w:lvlText w:val="%5)"/>
      <w:lvlJc w:val="left"/>
      <w:pPr>
        <w:ind w:left="2680" w:hanging="440"/>
      </w:pPr>
    </w:lvl>
    <w:lvl w:ilvl="5" w:tentative="0">
      <w:start w:val="1"/>
      <w:numFmt w:val="lowerRoman"/>
      <w:lvlText w:val="%6."/>
      <w:lvlJc w:val="right"/>
      <w:pPr>
        <w:ind w:left="3120" w:hanging="440"/>
      </w:pPr>
    </w:lvl>
    <w:lvl w:ilvl="6" w:tentative="0">
      <w:start w:val="1"/>
      <w:numFmt w:val="decimal"/>
      <w:lvlText w:val="%7."/>
      <w:lvlJc w:val="left"/>
      <w:pPr>
        <w:ind w:left="3560" w:hanging="440"/>
      </w:pPr>
    </w:lvl>
    <w:lvl w:ilvl="7" w:tentative="0">
      <w:start w:val="1"/>
      <w:numFmt w:val="lowerLetter"/>
      <w:lvlText w:val="%8)"/>
      <w:lvlJc w:val="left"/>
      <w:pPr>
        <w:ind w:left="4000" w:hanging="440"/>
      </w:pPr>
    </w:lvl>
    <w:lvl w:ilvl="8" w:tentative="0">
      <w:start w:val="1"/>
      <w:numFmt w:val="lowerRoman"/>
      <w:lvlText w:val="%9."/>
      <w:lvlJc w:val="right"/>
      <w:pPr>
        <w:ind w:left="4440" w:hanging="440"/>
      </w:pPr>
    </w:lvl>
  </w:abstractNum>
  <w:num w:numId="1">
    <w:abstractNumId w:val="2"/>
  </w:num>
  <w:num w:numId="2">
    <w:abstractNumId w:val="4"/>
  </w:num>
  <w:num w:numId="3">
    <w:abstractNumId w:val="3"/>
  </w:num>
  <w:num w:numId="4">
    <w:abstractNumId w:val="1"/>
  </w:num>
  <w:num w:numId="5">
    <w:abstractNumId w:val="0"/>
  </w:num>
  <w:num w:numId="6">
    <w:abstractNumId w:val="5"/>
  </w:num>
  <w:num w:numId="7">
    <w:abstractNumId w:val="8"/>
  </w:num>
  <w:num w:numId="8">
    <w:abstractNumId w:val="7"/>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oNotDisplayPageBoundaries w:val="1"/>
  <w:embedTrueTypeFonts/>
  <w:saveSubsetFonts/>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A27"/>
    <w:rsid w:val="0000072D"/>
    <w:rsid w:val="00000A46"/>
    <w:rsid w:val="00000F35"/>
    <w:rsid w:val="000010BA"/>
    <w:rsid w:val="00001191"/>
    <w:rsid w:val="000012BF"/>
    <w:rsid w:val="00001628"/>
    <w:rsid w:val="00001CCE"/>
    <w:rsid w:val="000020BA"/>
    <w:rsid w:val="00002656"/>
    <w:rsid w:val="00002859"/>
    <w:rsid w:val="00003BDB"/>
    <w:rsid w:val="00004396"/>
    <w:rsid w:val="00004E38"/>
    <w:rsid w:val="000069C8"/>
    <w:rsid w:val="00007CF3"/>
    <w:rsid w:val="00010DA1"/>
    <w:rsid w:val="00011FBE"/>
    <w:rsid w:val="00012766"/>
    <w:rsid w:val="00013076"/>
    <w:rsid w:val="00013571"/>
    <w:rsid w:val="00014754"/>
    <w:rsid w:val="0001487D"/>
    <w:rsid w:val="000156FF"/>
    <w:rsid w:val="00015C62"/>
    <w:rsid w:val="00016E91"/>
    <w:rsid w:val="00017322"/>
    <w:rsid w:val="00017F3F"/>
    <w:rsid w:val="00020435"/>
    <w:rsid w:val="00020DA8"/>
    <w:rsid w:val="00025234"/>
    <w:rsid w:val="0003025F"/>
    <w:rsid w:val="0003072F"/>
    <w:rsid w:val="00031B8B"/>
    <w:rsid w:val="000326B8"/>
    <w:rsid w:val="00032F61"/>
    <w:rsid w:val="00033E59"/>
    <w:rsid w:val="0003456A"/>
    <w:rsid w:val="0003475E"/>
    <w:rsid w:val="00034CC1"/>
    <w:rsid w:val="00034E5E"/>
    <w:rsid w:val="00035B25"/>
    <w:rsid w:val="00036FB1"/>
    <w:rsid w:val="0004022E"/>
    <w:rsid w:val="00040946"/>
    <w:rsid w:val="000414BA"/>
    <w:rsid w:val="0004360D"/>
    <w:rsid w:val="00044611"/>
    <w:rsid w:val="00044E0D"/>
    <w:rsid w:val="00045893"/>
    <w:rsid w:val="00045C30"/>
    <w:rsid w:val="00046BEC"/>
    <w:rsid w:val="00047204"/>
    <w:rsid w:val="000514DF"/>
    <w:rsid w:val="0005188E"/>
    <w:rsid w:val="00053FCC"/>
    <w:rsid w:val="00054652"/>
    <w:rsid w:val="000547A1"/>
    <w:rsid w:val="00054DB1"/>
    <w:rsid w:val="00060401"/>
    <w:rsid w:val="00060626"/>
    <w:rsid w:val="00061868"/>
    <w:rsid w:val="0006376C"/>
    <w:rsid w:val="00063E93"/>
    <w:rsid w:val="000640C7"/>
    <w:rsid w:val="00064990"/>
    <w:rsid w:val="00065C94"/>
    <w:rsid w:val="00065F4F"/>
    <w:rsid w:val="00066764"/>
    <w:rsid w:val="000668A5"/>
    <w:rsid w:val="00066BFE"/>
    <w:rsid w:val="00070511"/>
    <w:rsid w:val="0007091C"/>
    <w:rsid w:val="0007106E"/>
    <w:rsid w:val="0007113E"/>
    <w:rsid w:val="000719CD"/>
    <w:rsid w:val="00071E73"/>
    <w:rsid w:val="00072CBC"/>
    <w:rsid w:val="00072CD7"/>
    <w:rsid w:val="00073A20"/>
    <w:rsid w:val="00073CF2"/>
    <w:rsid w:val="00074C87"/>
    <w:rsid w:val="00074EE3"/>
    <w:rsid w:val="000752BA"/>
    <w:rsid w:val="00075319"/>
    <w:rsid w:val="00075989"/>
    <w:rsid w:val="000765C1"/>
    <w:rsid w:val="00077BE6"/>
    <w:rsid w:val="00080774"/>
    <w:rsid w:val="00080EBF"/>
    <w:rsid w:val="00081820"/>
    <w:rsid w:val="000826E0"/>
    <w:rsid w:val="00082EBC"/>
    <w:rsid w:val="000832BF"/>
    <w:rsid w:val="000837A1"/>
    <w:rsid w:val="00083DE0"/>
    <w:rsid w:val="00083F29"/>
    <w:rsid w:val="000857B2"/>
    <w:rsid w:val="00085B61"/>
    <w:rsid w:val="00086FC8"/>
    <w:rsid w:val="00091646"/>
    <w:rsid w:val="000917ED"/>
    <w:rsid w:val="00091B33"/>
    <w:rsid w:val="00091C67"/>
    <w:rsid w:val="00092C08"/>
    <w:rsid w:val="00093AFD"/>
    <w:rsid w:val="000958B9"/>
    <w:rsid w:val="000959C2"/>
    <w:rsid w:val="00096315"/>
    <w:rsid w:val="00097659"/>
    <w:rsid w:val="000A0241"/>
    <w:rsid w:val="000A06AF"/>
    <w:rsid w:val="000A1266"/>
    <w:rsid w:val="000A24C6"/>
    <w:rsid w:val="000A270B"/>
    <w:rsid w:val="000A2A36"/>
    <w:rsid w:val="000A2B54"/>
    <w:rsid w:val="000A3B60"/>
    <w:rsid w:val="000A3CFB"/>
    <w:rsid w:val="000A5DA2"/>
    <w:rsid w:val="000A66FB"/>
    <w:rsid w:val="000A7611"/>
    <w:rsid w:val="000A7970"/>
    <w:rsid w:val="000A79A5"/>
    <w:rsid w:val="000A7EBF"/>
    <w:rsid w:val="000B10C6"/>
    <w:rsid w:val="000B2E15"/>
    <w:rsid w:val="000B3207"/>
    <w:rsid w:val="000B4C29"/>
    <w:rsid w:val="000B50D4"/>
    <w:rsid w:val="000B5698"/>
    <w:rsid w:val="000B5C30"/>
    <w:rsid w:val="000B6F07"/>
    <w:rsid w:val="000B7327"/>
    <w:rsid w:val="000B73EC"/>
    <w:rsid w:val="000B744D"/>
    <w:rsid w:val="000C0093"/>
    <w:rsid w:val="000C06FB"/>
    <w:rsid w:val="000C0A50"/>
    <w:rsid w:val="000C0CA4"/>
    <w:rsid w:val="000C0DBA"/>
    <w:rsid w:val="000C3169"/>
    <w:rsid w:val="000C3175"/>
    <w:rsid w:val="000C5FFB"/>
    <w:rsid w:val="000C687D"/>
    <w:rsid w:val="000C72A7"/>
    <w:rsid w:val="000D0262"/>
    <w:rsid w:val="000D035F"/>
    <w:rsid w:val="000D04A9"/>
    <w:rsid w:val="000D147B"/>
    <w:rsid w:val="000D344B"/>
    <w:rsid w:val="000D4622"/>
    <w:rsid w:val="000D4802"/>
    <w:rsid w:val="000D6530"/>
    <w:rsid w:val="000D79E1"/>
    <w:rsid w:val="000E00EA"/>
    <w:rsid w:val="000E0300"/>
    <w:rsid w:val="000E091F"/>
    <w:rsid w:val="000E14F2"/>
    <w:rsid w:val="000E2411"/>
    <w:rsid w:val="000E260F"/>
    <w:rsid w:val="000E3939"/>
    <w:rsid w:val="000E417C"/>
    <w:rsid w:val="000E514D"/>
    <w:rsid w:val="000E5363"/>
    <w:rsid w:val="000E55F7"/>
    <w:rsid w:val="000E5A4E"/>
    <w:rsid w:val="000E5D8A"/>
    <w:rsid w:val="000E5DF7"/>
    <w:rsid w:val="000E5FE1"/>
    <w:rsid w:val="000E7522"/>
    <w:rsid w:val="000E7D32"/>
    <w:rsid w:val="000F03EA"/>
    <w:rsid w:val="000F15B3"/>
    <w:rsid w:val="000F2128"/>
    <w:rsid w:val="000F2AA4"/>
    <w:rsid w:val="000F35BE"/>
    <w:rsid w:val="000F3797"/>
    <w:rsid w:val="000F4B69"/>
    <w:rsid w:val="000F4ED1"/>
    <w:rsid w:val="000F67AE"/>
    <w:rsid w:val="000F6848"/>
    <w:rsid w:val="000F6C5B"/>
    <w:rsid w:val="000F7328"/>
    <w:rsid w:val="000F7CDF"/>
    <w:rsid w:val="00101575"/>
    <w:rsid w:val="00101A1E"/>
    <w:rsid w:val="00102136"/>
    <w:rsid w:val="001021B7"/>
    <w:rsid w:val="001032F8"/>
    <w:rsid w:val="00103D55"/>
    <w:rsid w:val="001051A5"/>
    <w:rsid w:val="001051B8"/>
    <w:rsid w:val="00106C74"/>
    <w:rsid w:val="0011029A"/>
    <w:rsid w:val="00110C0E"/>
    <w:rsid w:val="00110D01"/>
    <w:rsid w:val="001114F5"/>
    <w:rsid w:val="00111C55"/>
    <w:rsid w:val="00112248"/>
    <w:rsid w:val="001122E8"/>
    <w:rsid w:val="00112713"/>
    <w:rsid w:val="00114F5D"/>
    <w:rsid w:val="00115561"/>
    <w:rsid w:val="00117306"/>
    <w:rsid w:val="001213DF"/>
    <w:rsid w:val="00122443"/>
    <w:rsid w:val="00122957"/>
    <w:rsid w:val="00122D47"/>
    <w:rsid w:val="00124A33"/>
    <w:rsid w:val="00124BED"/>
    <w:rsid w:val="00125220"/>
    <w:rsid w:val="00126510"/>
    <w:rsid w:val="00127BD5"/>
    <w:rsid w:val="001319AE"/>
    <w:rsid w:val="00131B7A"/>
    <w:rsid w:val="00131E55"/>
    <w:rsid w:val="001322B4"/>
    <w:rsid w:val="001324DA"/>
    <w:rsid w:val="001345B1"/>
    <w:rsid w:val="0013495D"/>
    <w:rsid w:val="00134DAE"/>
    <w:rsid w:val="00134E12"/>
    <w:rsid w:val="00134EA6"/>
    <w:rsid w:val="0013614C"/>
    <w:rsid w:val="00136869"/>
    <w:rsid w:val="00137DAE"/>
    <w:rsid w:val="00137DC2"/>
    <w:rsid w:val="00140940"/>
    <w:rsid w:val="00140B3B"/>
    <w:rsid w:val="001417BF"/>
    <w:rsid w:val="00141910"/>
    <w:rsid w:val="00141993"/>
    <w:rsid w:val="00141D65"/>
    <w:rsid w:val="00142861"/>
    <w:rsid w:val="0014286D"/>
    <w:rsid w:val="001428FB"/>
    <w:rsid w:val="00143A60"/>
    <w:rsid w:val="001443EC"/>
    <w:rsid w:val="001448DC"/>
    <w:rsid w:val="001465B2"/>
    <w:rsid w:val="00146DD7"/>
    <w:rsid w:val="00147263"/>
    <w:rsid w:val="001472F2"/>
    <w:rsid w:val="00150091"/>
    <w:rsid w:val="00150B2A"/>
    <w:rsid w:val="00150E30"/>
    <w:rsid w:val="00150FAB"/>
    <w:rsid w:val="001511A1"/>
    <w:rsid w:val="00151301"/>
    <w:rsid w:val="001520AE"/>
    <w:rsid w:val="001539A8"/>
    <w:rsid w:val="001540FB"/>
    <w:rsid w:val="001542C3"/>
    <w:rsid w:val="00154983"/>
    <w:rsid w:val="00155188"/>
    <w:rsid w:val="00155962"/>
    <w:rsid w:val="00155DEC"/>
    <w:rsid w:val="0015659D"/>
    <w:rsid w:val="00156BC0"/>
    <w:rsid w:val="00161CCE"/>
    <w:rsid w:val="00162F0C"/>
    <w:rsid w:val="001637B2"/>
    <w:rsid w:val="00163B7B"/>
    <w:rsid w:val="001644A3"/>
    <w:rsid w:val="0016454D"/>
    <w:rsid w:val="00165696"/>
    <w:rsid w:val="00167650"/>
    <w:rsid w:val="00167A23"/>
    <w:rsid w:val="001706CF"/>
    <w:rsid w:val="00171617"/>
    <w:rsid w:val="00171A9D"/>
    <w:rsid w:val="00171C14"/>
    <w:rsid w:val="00172A27"/>
    <w:rsid w:val="00173361"/>
    <w:rsid w:val="00176F60"/>
    <w:rsid w:val="00177DDD"/>
    <w:rsid w:val="001806C3"/>
    <w:rsid w:val="00180728"/>
    <w:rsid w:val="00180F0C"/>
    <w:rsid w:val="00180F30"/>
    <w:rsid w:val="00180F49"/>
    <w:rsid w:val="001826FF"/>
    <w:rsid w:val="00183ED9"/>
    <w:rsid w:val="00184712"/>
    <w:rsid w:val="00185A2B"/>
    <w:rsid w:val="00186249"/>
    <w:rsid w:val="00186319"/>
    <w:rsid w:val="00186E1D"/>
    <w:rsid w:val="001875E8"/>
    <w:rsid w:val="0018762E"/>
    <w:rsid w:val="001879D5"/>
    <w:rsid w:val="00191996"/>
    <w:rsid w:val="00191F80"/>
    <w:rsid w:val="00195217"/>
    <w:rsid w:val="00195675"/>
    <w:rsid w:val="001956F0"/>
    <w:rsid w:val="00197176"/>
    <w:rsid w:val="00197D3B"/>
    <w:rsid w:val="001A13DD"/>
    <w:rsid w:val="001A1B78"/>
    <w:rsid w:val="001A1D7B"/>
    <w:rsid w:val="001A2B49"/>
    <w:rsid w:val="001A3B60"/>
    <w:rsid w:val="001A5FC6"/>
    <w:rsid w:val="001A6696"/>
    <w:rsid w:val="001A6BC0"/>
    <w:rsid w:val="001A711B"/>
    <w:rsid w:val="001B0245"/>
    <w:rsid w:val="001B0482"/>
    <w:rsid w:val="001B1F92"/>
    <w:rsid w:val="001B42D9"/>
    <w:rsid w:val="001B492E"/>
    <w:rsid w:val="001B4FDB"/>
    <w:rsid w:val="001B60A5"/>
    <w:rsid w:val="001C09BC"/>
    <w:rsid w:val="001C2392"/>
    <w:rsid w:val="001C46B5"/>
    <w:rsid w:val="001C6156"/>
    <w:rsid w:val="001C68A8"/>
    <w:rsid w:val="001C70A7"/>
    <w:rsid w:val="001C73A3"/>
    <w:rsid w:val="001D031A"/>
    <w:rsid w:val="001D07F7"/>
    <w:rsid w:val="001D1C54"/>
    <w:rsid w:val="001D1EF4"/>
    <w:rsid w:val="001D250A"/>
    <w:rsid w:val="001D3799"/>
    <w:rsid w:val="001D3C7F"/>
    <w:rsid w:val="001D41EE"/>
    <w:rsid w:val="001D429E"/>
    <w:rsid w:val="001D591E"/>
    <w:rsid w:val="001D5CD4"/>
    <w:rsid w:val="001D63A7"/>
    <w:rsid w:val="001D6678"/>
    <w:rsid w:val="001D77A5"/>
    <w:rsid w:val="001D797D"/>
    <w:rsid w:val="001D7A94"/>
    <w:rsid w:val="001E00B9"/>
    <w:rsid w:val="001E07F4"/>
    <w:rsid w:val="001E11DC"/>
    <w:rsid w:val="001E20C4"/>
    <w:rsid w:val="001E2B6C"/>
    <w:rsid w:val="001E31AD"/>
    <w:rsid w:val="001E388B"/>
    <w:rsid w:val="001E418D"/>
    <w:rsid w:val="001E487F"/>
    <w:rsid w:val="001E51D8"/>
    <w:rsid w:val="001E5A94"/>
    <w:rsid w:val="001E5B82"/>
    <w:rsid w:val="001E5C94"/>
    <w:rsid w:val="001F0949"/>
    <w:rsid w:val="001F171F"/>
    <w:rsid w:val="001F200D"/>
    <w:rsid w:val="001F2AEF"/>
    <w:rsid w:val="001F2BF7"/>
    <w:rsid w:val="001F3594"/>
    <w:rsid w:val="001F3E51"/>
    <w:rsid w:val="001F41B4"/>
    <w:rsid w:val="001F4CF4"/>
    <w:rsid w:val="001F4E1F"/>
    <w:rsid w:val="001F58AE"/>
    <w:rsid w:val="001F5C81"/>
    <w:rsid w:val="001F6576"/>
    <w:rsid w:val="002000B2"/>
    <w:rsid w:val="002003E5"/>
    <w:rsid w:val="00201581"/>
    <w:rsid w:val="00201836"/>
    <w:rsid w:val="00201FD2"/>
    <w:rsid w:val="002021D8"/>
    <w:rsid w:val="00202C68"/>
    <w:rsid w:val="00202E3B"/>
    <w:rsid w:val="0020354B"/>
    <w:rsid w:val="00203C77"/>
    <w:rsid w:val="00204C19"/>
    <w:rsid w:val="002067E5"/>
    <w:rsid w:val="0020799E"/>
    <w:rsid w:val="002079C6"/>
    <w:rsid w:val="002102FD"/>
    <w:rsid w:val="00210315"/>
    <w:rsid w:val="00210691"/>
    <w:rsid w:val="002115AF"/>
    <w:rsid w:val="00211E20"/>
    <w:rsid w:val="0021220B"/>
    <w:rsid w:val="002125CB"/>
    <w:rsid w:val="002136D6"/>
    <w:rsid w:val="002152BA"/>
    <w:rsid w:val="00215868"/>
    <w:rsid w:val="0022027D"/>
    <w:rsid w:val="00221454"/>
    <w:rsid w:val="00222F1B"/>
    <w:rsid w:val="0022476A"/>
    <w:rsid w:val="0022484B"/>
    <w:rsid w:val="0022570D"/>
    <w:rsid w:val="00230BC0"/>
    <w:rsid w:val="00230D0B"/>
    <w:rsid w:val="00231D20"/>
    <w:rsid w:val="00232772"/>
    <w:rsid w:val="002357A6"/>
    <w:rsid w:val="0023644C"/>
    <w:rsid w:val="00236B97"/>
    <w:rsid w:val="0023743D"/>
    <w:rsid w:val="00240349"/>
    <w:rsid w:val="00240781"/>
    <w:rsid w:val="00240816"/>
    <w:rsid w:val="0024094A"/>
    <w:rsid w:val="00242BB8"/>
    <w:rsid w:val="002438C2"/>
    <w:rsid w:val="00244FB9"/>
    <w:rsid w:val="00245859"/>
    <w:rsid w:val="00246B5C"/>
    <w:rsid w:val="0024731A"/>
    <w:rsid w:val="00250748"/>
    <w:rsid w:val="00251452"/>
    <w:rsid w:val="002519B8"/>
    <w:rsid w:val="0025347A"/>
    <w:rsid w:val="00253D8D"/>
    <w:rsid w:val="00253DA5"/>
    <w:rsid w:val="002542B9"/>
    <w:rsid w:val="002544C9"/>
    <w:rsid w:val="002545EA"/>
    <w:rsid w:val="002546B5"/>
    <w:rsid w:val="00254BC1"/>
    <w:rsid w:val="00254D54"/>
    <w:rsid w:val="0025509A"/>
    <w:rsid w:val="00255B95"/>
    <w:rsid w:val="002562B9"/>
    <w:rsid w:val="00256DDC"/>
    <w:rsid w:val="0025729E"/>
    <w:rsid w:val="00260156"/>
    <w:rsid w:val="002624EF"/>
    <w:rsid w:val="002626AE"/>
    <w:rsid w:val="0026304F"/>
    <w:rsid w:val="002641D9"/>
    <w:rsid w:val="002647AB"/>
    <w:rsid w:val="00264D55"/>
    <w:rsid w:val="0026512B"/>
    <w:rsid w:val="00266606"/>
    <w:rsid w:val="002677BA"/>
    <w:rsid w:val="00267BE1"/>
    <w:rsid w:val="00267BFC"/>
    <w:rsid w:val="002701ED"/>
    <w:rsid w:val="00271BE4"/>
    <w:rsid w:val="00271F5A"/>
    <w:rsid w:val="00273CCF"/>
    <w:rsid w:val="00274BF5"/>
    <w:rsid w:val="00274F67"/>
    <w:rsid w:val="002755E9"/>
    <w:rsid w:val="00275916"/>
    <w:rsid w:val="0027605E"/>
    <w:rsid w:val="00276160"/>
    <w:rsid w:val="00276C27"/>
    <w:rsid w:val="0027703C"/>
    <w:rsid w:val="00277496"/>
    <w:rsid w:val="00277BE0"/>
    <w:rsid w:val="00277D7F"/>
    <w:rsid w:val="00280032"/>
    <w:rsid w:val="00280E3D"/>
    <w:rsid w:val="00280F54"/>
    <w:rsid w:val="00280FA3"/>
    <w:rsid w:val="00281804"/>
    <w:rsid w:val="00282629"/>
    <w:rsid w:val="002833C9"/>
    <w:rsid w:val="00283C18"/>
    <w:rsid w:val="00283C64"/>
    <w:rsid w:val="002856B6"/>
    <w:rsid w:val="00286A11"/>
    <w:rsid w:val="00287641"/>
    <w:rsid w:val="00287BF5"/>
    <w:rsid w:val="00290DC1"/>
    <w:rsid w:val="00291D08"/>
    <w:rsid w:val="00291DE4"/>
    <w:rsid w:val="002920AC"/>
    <w:rsid w:val="0029346F"/>
    <w:rsid w:val="0029352F"/>
    <w:rsid w:val="002937FB"/>
    <w:rsid w:val="002938E8"/>
    <w:rsid w:val="00294011"/>
    <w:rsid w:val="00294EB3"/>
    <w:rsid w:val="002950F2"/>
    <w:rsid w:val="00296B9D"/>
    <w:rsid w:val="00297458"/>
    <w:rsid w:val="00297486"/>
    <w:rsid w:val="00297837"/>
    <w:rsid w:val="002A390B"/>
    <w:rsid w:val="002A4765"/>
    <w:rsid w:val="002A4DBD"/>
    <w:rsid w:val="002A535B"/>
    <w:rsid w:val="002A5890"/>
    <w:rsid w:val="002A62EE"/>
    <w:rsid w:val="002A67A6"/>
    <w:rsid w:val="002B03BB"/>
    <w:rsid w:val="002B18E1"/>
    <w:rsid w:val="002B3FFC"/>
    <w:rsid w:val="002B42E1"/>
    <w:rsid w:val="002B5190"/>
    <w:rsid w:val="002B6AE6"/>
    <w:rsid w:val="002B7516"/>
    <w:rsid w:val="002B7D07"/>
    <w:rsid w:val="002C0246"/>
    <w:rsid w:val="002C0A0E"/>
    <w:rsid w:val="002C16A6"/>
    <w:rsid w:val="002C2D38"/>
    <w:rsid w:val="002C2DA1"/>
    <w:rsid w:val="002C333A"/>
    <w:rsid w:val="002C37B2"/>
    <w:rsid w:val="002C44F9"/>
    <w:rsid w:val="002C49B1"/>
    <w:rsid w:val="002C4F72"/>
    <w:rsid w:val="002C64E9"/>
    <w:rsid w:val="002C66FD"/>
    <w:rsid w:val="002C67A9"/>
    <w:rsid w:val="002C6CD9"/>
    <w:rsid w:val="002C6F15"/>
    <w:rsid w:val="002C6FF9"/>
    <w:rsid w:val="002C7BA9"/>
    <w:rsid w:val="002C7FB0"/>
    <w:rsid w:val="002D0100"/>
    <w:rsid w:val="002D1586"/>
    <w:rsid w:val="002D32DF"/>
    <w:rsid w:val="002D4AAC"/>
    <w:rsid w:val="002D50B6"/>
    <w:rsid w:val="002E1245"/>
    <w:rsid w:val="002E14E1"/>
    <w:rsid w:val="002E2AEC"/>
    <w:rsid w:val="002E3ABA"/>
    <w:rsid w:val="002E3FC4"/>
    <w:rsid w:val="002E4250"/>
    <w:rsid w:val="002E4E11"/>
    <w:rsid w:val="002E5434"/>
    <w:rsid w:val="002E5831"/>
    <w:rsid w:val="002E7D63"/>
    <w:rsid w:val="002F1B37"/>
    <w:rsid w:val="002F2148"/>
    <w:rsid w:val="002F253A"/>
    <w:rsid w:val="002F2852"/>
    <w:rsid w:val="002F34CF"/>
    <w:rsid w:val="002F4A9A"/>
    <w:rsid w:val="002F4C5E"/>
    <w:rsid w:val="002F5FB7"/>
    <w:rsid w:val="002F6527"/>
    <w:rsid w:val="002F7420"/>
    <w:rsid w:val="0030064C"/>
    <w:rsid w:val="00301B85"/>
    <w:rsid w:val="003020DC"/>
    <w:rsid w:val="00302EDD"/>
    <w:rsid w:val="00303C5F"/>
    <w:rsid w:val="00303CDD"/>
    <w:rsid w:val="00303D8F"/>
    <w:rsid w:val="00303E1D"/>
    <w:rsid w:val="00304294"/>
    <w:rsid w:val="003047FA"/>
    <w:rsid w:val="003049DD"/>
    <w:rsid w:val="00306CA3"/>
    <w:rsid w:val="00306CF7"/>
    <w:rsid w:val="00310870"/>
    <w:rsid w:val="00311E0E"/>
    <w:rsid w:val="00311E13"/>
    <w:rsid w:val="00312069"/>
    <w:rsid w:val="00312CED"/>
    <w:rsid w:val="003132E5"/>
    <w:rsid w:val="00314F01"/>
    <w:rsid w:val="0031554E"/>
    <w:rsid w:val="0031596A"/>
    <w:rsid w:val="00315AC6"/>
    <w:rsid w:val="00315BBA"/>
    <w:rsid w:val="00315C0A"/>
    <w:rsid w:val="00316C87"/>
    <w:rsid w:val="00316EC8"/>
    <w:rsid w:val="003179DC"/>
    <w:rsid w:val="00320D1E"/>
    <w:rsid w:val="00321B0C"/>
    <w:rsid w:val="00321BB7"/>
    <w:rsid w:val="00322593"/>
    <w:rsid w:val="00322C28"/>
    <w:rsid w:val="003235AE"/>
    <w:rsid w:val="003238DC"/>
    <w:rsid w:val="00323DFF"/>
    <w:rsid w:val="003244DA"/>
    <w:rsid w:val="003255F3"/>
    <w:rsid w:val="003256CD"/>
    <w:rsid w:val="00325862"/>
    <w:rsid w:val="0032590F"/>
    <w:rsid w:val="00325981"/>
    <w:rsid w:val="003302C5"/>
    <w:rsid w:val="00331C31"/>
    <w:rsid w:val="00332847"/>
    <w:rsid w:val="00333C63"/>
    <w:rsid w:val="0033419E"/>
    <w:rsid w:val="003353DE"/>
    <w:rsid w:val="00335579"/>
    <w:rsid w:val="003368E2"/>
    <w:rsid w:val="00337A0E"/>
    <w:rsid w:val="00337D11"/>
    <w:rsid w:val="00340CC7"/>
    <w:rsid w:val="00341873"/>
    <w:rsid w:val="00342113"/>
    <w:rsid w:val="00342DD6"/>
    <w:rsid w:val="003430D2"/>
    <w:rsid w:val="00344836"/>
    <w:rsid w:val="00345B34"/>
    <w:rsid w:val="00345F4A"/>
    <w:rsid w:val="00346417"/>
    <w:rsid w:val="00346CD6"/>
    <w:rsid w:val="003477FB"/>
    <w:rsid w:val="003509AD"/>
    <w:rsid w:val="003511B8"/>
    <w:rsid w:val="003520D8"/>
    <w:rsid w:val="003533B6"/>
    <w:rsid w:val="0035404B"/>
    <w:rsid w:val="003543BC"/>
    <w:rsid w:val="00354616"/>
    <w:rsid w:val="00355581"/>
    <w:rsid w:val="0035578F"/>
    <w:rsid w:val="00355B84"/>
    <w:rsid w:val="00356443"/>
    <w:rsid w:val="00357522"/>
    <w:rsid w:val="003577E0"/>
    <w:rsid w:val="00357AE6"/>
    <w:rsid w:val="003602F3"/>
    <w:rsid w:val="003606F3"/>
    <w:rsid w:val="00360B68"/>
    <w:rsid w:val="00360FFD"/>
    <w:rsid w:val="00361922"/>
    <w:rsid w:val="00362446"/>
    <w:rsid w:val="003635C5"/>
    <w:rsid w:val="00364499"/>
    <w:rsid w:val="003650F4"/>
    <w:rsid w:val="003654FD"/>
    <w:rsid w:val="00365762"/>
    <w:rsid w:val="00365B38"/>
    <w:rsid w:val="0036710A"/>
    <w:rsid w:val="00367719"/>
    <w:rsid w:val="003705AD"/>
    <w:rsid w:val="00370AF7"/>
    <w:rsid w:val="0037139E"/>
    <w:rsid w:val="003714C3"/>
    <w:rsid w:val="00371613"/>
    <w:rsid w:val="00372173"/>
    <w:rsid w:val="00372D58"/>
    <w:rsid w:val="003731F0"/>
    <w:rsid w:val="003732C6"/>
    <w:rsid w:val="00373704"/>
    <w:rsid w:val="003740C7"/>
    <w:rsid w:val="00374583"/>
    <w:rsid w:val="00374920"/>
    <w:rsid w:val="00375362"/>
    <w:rsid w:val="00375547"/>
    <w:rsid w:val="00375FC6"/>
    <w:rsid w:val="00376CF8"/>
    <w:rsid w:val="003773C3"/>
    <w:rsid w:val="00377BEB"/>
    <w:rsid w:val="0038002C"/>
    <w:rsid w:val="0038003F"/>
    <w:rsid w:val="003801A4"/>
    <w:rsid w:val="00380A95"/>
    <w:rsid w:val="00381739"/>
    <w:rsid w:val="003825D0"/>
    <w:rsid w:val="003829D2"/>
    <w:rsid w:val="00382E0E"/>
    <w:rsid w:val="00382EB4"/>
    <w:rsid w:val="0038330A"/>
    <w:rsid w:val="00383653"/>
    <w:rsid w:val="003841F0"/>
    <w:rsid w:val="003846D7"/>
    <w:rsid w:val="00384ADB"/>
    <w:rsid w:val="00385CD1"/>
    <w:rsid w:val="00390801"/>
    <w:rsid w:val="0039092B"/>
    <w:rsid w:val="003912BE"/>
    <w:rsid w:val="003915EE"/>
    <w:rsid w:val="003924C5"/>
    <w:rsid w:val="0039268A"/>
    <w:rsid w:val="00392A8A"/>
    <w:rsid w:val="00392E36"/>
    <w:rsid w:val="003938B9"/>
    <w:rsid w:val="00393DF3"/>
    <w:rsid w:val="003961FE"/>
    <w:rsid w:val="0039673D"/>
    <w:rsid w:val="003A0034"/>
    <w:rsid w:val="003A077B"/>
    <w:rsid w:val="003A113F"/>
    <w:rsid w:val="003A1317"/>
    <w:rsid w:val="003A1B4B"/>
    <w:rsid w:val="003A1F42"/>
    <w:rsid w:val="003A3E20"/>
    <w:rsid w:val="003A437A"/>
    <w:rsid w:val="003A5291"/>
    <w:rsid w:val="003A53B0"/>
    <w:rsid w:val="003A6A7B"/>
    <w:rsid w:val="003A7711"/>
    <w:rsid w:val="003A7BD3"/>
    <w:rsid w:val="003A7C55"/>
    <w:rsid w:val="003B0AD4"/>
    <w:rsid w:val="003B1743"/>
    <w:rsid w:val="003B2BCF"/>
    <w:rsid w:val="003B32B8"/>
    <w:rsid w:val="003B385C"/>
    <w:rsid w:val="003B5CFB"/>
    <w:rsid w:val="003B69ED"/>
    <w:rsid w:val="003B6A60"/>
    <w:rsid w:val="003B721A"/>
    <w:rsid w:val="003C0A56"/>
    <w:rsid w:val="003C0A7E"/>
    <w:rsid w:val="003C1328"/>
    <w:rsid w:val="003C1807"/>
    <w:rsid w:val="003C242B"/>
    <w:rsid w:val="003C26B9"/>
    <w:rsid w:val="003C2ABB"/>
    <w:rsid w:val="003C2D5F"/>
    <w:rsid w:val="003C2F2E"/>
    <w:rsid w:val="003C3A52"/>
    <w:rsid w:val="003C4575"/>
    <w:rsid w:val="003C5125"/>
    <w:rsid w:val="003C670B"/>
    <w:rsid w:val="003C6800"/>
    <w:rsid w:val="003C6AFD"/>
    <w:rsid w:val="003C76F7"/>
    <w:rsid w:val="003C7885"/>
    <w:rsid w:val="003D0B77"/>
    <w:rsid w:val="003D1AB6"/>
    <w:rsid w:val="003D20FB"/>
    <w:rsid w:val="003D245E"/>
    <w:rsid w:val="003D2E73"/>
    <w:rsid w:val="003D31C9"/>
    <w:rsid w:val="003D32D5"/>
    <w:rsid w:val="003D365F"/>
    <w:rsid w:val="003D4C8D"/>
    <w:rsid w:val="003D4DCE"/>
    <w:rsid w:val="003D5632"/>
    <w:rsid w:val="003D6073"/>
    <w:rsid w:val="003D62B9"/>
    <w:rsid w:val="003D651F"/>
    <w:rsid w:val="003D73C7"/>
    <w:rsid w:val="003D73FD"/>
    <w:rsid w:val="003E1A18"/>
    <w:rsid w:val="003E2CA4"/>
    <w:rsid w:val="003E330E"/>
    <w:rsid w:val="003E349F"/>
    <w:rsid w:val="003E5E0D"/>
    <w:rsid w:val="003E7490"/>
    <w:rsid w:val="003E7A56"/>
    <w:rsid w:val="003E7E5F"/>
    <w:rsid w:val="003F07B2"/>
    <w:rsid w:val="003F0E07"/>
    <w:rsid w:val="003F0F73"/>
    <w:rsid w:val="003F0F80"/>
    <w:rsid w:val="003F152A"/>
    <w:rsid w:val="003F1776"/>
    <w:rsid w:val="003F2846"/>
    <w:rsid w:val="003F2F5A"/>
    <w:rsid w:val="003F3944"/>
    <w:rsid w:val="003F3D1B"/>
    <w:rsid w:val="003F4AB3"/>
    <w:rsid w:val="003F4EE1"/>
    <w:rsid w:val="003F6202"/>
    <w:rsid w:val="003F6435"/>
    <w:rsid w:val="003F6D06"/>
    <w:rsid w:val="003F6EC4"/>
    <w:rsid w:val="003F7941"/>
    <w:rsid w:val="00400550"/>
    <w:rsid w:val="00400E68"/>
    <w:rsid w:val="00401E76"/>
    <w:rsid w:val="00402534"/>
    <w:rsid w:val="00403BDA"/>
    <w:rsid w:val="004041D7"/>
    <w:rsid w:val="00404956"/>
    <w:rsid w:val="00404BDD"/>
    <w:rsid w:val="0040579D"/>
    <w:rsid w:val="00405948"/>
    <w:rsid w:val="00405DBB"/>
    <w:rsid w:val="00406824"/>
    <w:rsid w:val="00406B2C"/>
    <w:rsid w:val="0040798B"/>
    <w:rsid w:val="0041091A"/>
    <w:rsid w:val="00410ABE"/>
    <w:rsid w:val="00411837"/>
    <w:rsid w:val="00411B5C"/>
    <w:rsid w:val="00412DB5"/>
    <w:rsid w:val="00413190"/>
    <w:rsid w:val="00413BC8"/>
    <w:rsid w:val="0041416C"/>
    <w:rsid w:val="00414E01"/>
    <w:rsid w:val="00416AD0"/>
    <w:rsid w:val="00417D8B"/>
    <w:rsid w:val="00420620"/>
    <w:rsid w:val="0042171C"/>
    <w:rsid w:val="00423CCB"/>
    <w:rsid w:val="00424DBA"/>
    <w:rsid w:val="00424E64"/>
    <w:rsid w:val="00426371"/>
    <w:rsid w:val="00426464"/>
    <w:rsid w:val="00426668"/>
    <w:rsid w:val="00426C12"/>
    <w:rsid w:val="00426C2F"/>
    <w:rsid w:val="00430078"/>
    <w:rsid w:val="00430710"/>
    <w:rsid w:val="004319FC"/>
    <w:rsid w:val="004331B1"/>
    <w:rsid w:val="004352A1"/>
    <w:rsid w:val="004357AC"/>
    <w:rsid w:val="004360B2"/>
    <w:rsid w:val="004368E6"/>
    <w:rsid w:val="00436BD2"/>
    <w:rsid w:val="00436C10"/>
    <w:rsid w:val="004370FA"/>
    <w:rsid w:val="004377BC"/>
    <w:rsid w:val="00437A6F"/>
    <w:rsid w:val="00437EA7"/>
    <w:rsid w:val="0044070F"/>
    <w:rsid w:val="00440AE6"/>
    <w:rsid w:val="00441029"/>
    <w:rsid w:val="0044198D"/>
    <w:rsid w:val="004419CC"/>
    <w:rsid w:val="00441A68"/>
    <w:rsid w:val="00441CA5"/>
    <w:rsid w:val="00441E16"/>
    <w:rsid w:val="00442E7F"/>
    <w:rsid w:val="00442EFB"/>
    <w:rsid w:val="00443A23"/>
    <w:rsid w:val="00443F27"/>
    <w:rsid w:val="00444688"/>
    <w:rsid w:val="004448B4"/>
    <w:rsid w:val="00444D16"/>
    <w:rsid w:val="00444DA5"/>
    <w:rsid w:val="00444EFE"/>
    <w:rsid w:val="004451A6"/>
    <w:rsid w:val="004451FE"/>
    <w:rsid w:val="00445995"/>
    <w:rsid w:val="00446860"/>
    <w:rsid w:val="00447CCF"/>
    <w:rsid w:val="004500EA"/>
    <w:rsid w:val="004501DB"/>
    <w:rsid w:val="004509E1"/>
    <w:rsid w:val="0045109E"/>
    <w:rsid w:val="00451202"/>
    <w:rsid w:val="004515B5"/>
    <w:rsid w:val="00451692"/>
    <w:rsid w:val="00451C24"/>
    <w:rsid w:val="004520AE"/>
    <w:rsid w:val="0045438F"/>
    <w:rsid w:val="004550D3"/>
    <w:rsid w:val="00455623"/>
    <w:rsid w:val="0045586F"/>
    <w:rsid w:val="00455B9C"/>
    <w:rsid w:val="004565F0"/>
    <w:rsid w:val="00456A32"/>
    <w:rsid w:val="00456AB0"/>
    <w:rsid w:val="00457958"/>
    <w:rsid w:val="0046021B"/>
    <w:rsid w:val="0046135A"/>
    <w:rsid w:val="00461879"/>
    <w:rsid w:val="00461BB4"/>
    <w:rsid w:val="00462B6B"/>
    <w:rsid w:val="004634FC"/>
    <w:rsid w:val="004638FE"/>
    <w:rsid w:val="004647ED"/>
    <w:rsid w:val="00464EEB"/>
    <w:rsid w:val="004651BD"/>
    <w:rsid w:val="0046551E"/>
    <w:rsid w:val="00465A3F"/>
    <w:rsid w:val="00465B9C"/>
    <w:rsid w:val="0046603F"/>
    <w:rsid w:val="0046771D"/>
    <w:rsid w:val="004702AA"/>
    <w:rsid w:val="00470F54"/>
    <w:rsid w:val="004713A2"/>
    <w:rsid w:val="00471802"/>
    <w:rsid w:val="00471BC0"/>
    <w:rsid w:val="00473739"/>
    <w:rsid w:val="00474056"/>
    <w:rsid w:val="00475703"/>
    <w:rsid w:val="0047610B"/>
    <w:rsid w:val="00477FBF"/>
    <w:rsid w:val="00481860"/>
    <w:rsid w:val="0048239F"/>
    <w:rsid w:val="004828BF"/>
    <w:rsid w:val="004850BB"/>
    <w:rsid w:val="00485501"/>
    <w:rsid w:val="004856C6"/>
    <w:rsid w:val="00485842"/>
    <w:rsid w:val="00485D06"/>
    <w:rsid w:val="00486116"/>
    <w:rsid w:val="00486190"/>
    <w:rsid w:val="00486BA9"/>
    <w:rsid w:val="0048717C"/>
    <w:rsid w:val="004872C8"/>
    <w:rsid w:val="004900F9"/>
    <w:rsid w:val="00491463"/>
    <w:rsid w:val="004922A0"/>
    <w:rsid w:val="00493530"/>
    <w:rsid w:val="00494B78"/>
    <w:rsid w:val="00494D1A"/>
    <w:rsid w:val="00494DD7"/>
    <w:rsid w:val="00495195"/>
    <w:rsid w:val="00495651"/>
    <w:rsid w:val="00495E36"/>
    <w:rsid w:val="00496569"/>
    <w:rsid w:val="00496984"/>
    <w:rsid w:val="00497919"/>
    <w:rsid w:val="004A0CB2"/>
    <w:rsid w:val="004A116F"/>
    <w:rsid w:val="004A125B"/>
    <w:rsid w:val="004A17F3"/>
    <w:rsid w:val="004A1954"/>
    <w:rsid w:val="004A1E88"/>
    <w:rsid w:val="004A3E1B"/>
    <w:rsid w:val="004A4B44"/>
    <w:rsid w:val="004A4BCD"/>
    <w:rsid w:val="004A4C74"/>
    <w:rsid w:val="004A52CE"/>
    <w:rsid w:val="004A62F7"/>
    <w:rsid w:val="004A7071"/>
    <w:rsid w:val="004A7668"/>
    <w:rsid w:val="004B223A"/>
    <w:rsid w:val="004B38E8"/>
    <w:rsid w:val="004B39DF"/>
    <w:rsid w:val="004B3AE7"/>
    <w:rsid w:val="004B450C"/>
    <w:rsid w:val="004B47E1"/>
    <w:rsid w:val="004B7065"/>
    <w:rsid w:val="004C0AC7"/>
    <w:rsid w:val="004C0BBB"/>
    <w:rsid w:val="004C274B"/>
    <w:rsid w:val="004C3E79"/>
    <w:rsid w:val="004C3FC2"/>
    <w:rsid w:val="004C4AD7"/>
    <w:rsid w:val="004C59E3"/>
    <w:rsid w:val="004C60B3"/>
    <w:rsid w:val="004C6742"/>
    <w:rsid w:val="004C6F6B"/>
    <w:rsid w:val="004D16B5"/>
    <w:rsid w:val="004D1773"/>
    <w:rsid w:val="004D1D01"/>
    <w:rsid w:val="004D21DE"/>
    <w:rsid w:val="004D2659"/>
    <w:rsid w:val="004D2751"/>
    <w:rsid w:val="004D3086"/>
    <w:rsid w:val="004D3F38"/>
    <w:rsid w:val="004D4848"/>
    <w:rsid w:val="004D50A6"/>
    <w:rsid w:val="004D5501"/>
    <w:rsid w:val="004D5A40"/>
    <w:rsid w:val="004D5E33"/>
    <w:rsid w:val="004D7F93"/>
    <w:rsid w:val="004E0FB5"/>
    <w:rsid w:val="004E1BC0"/>
    <w:rsid w:val="004E24DA"/>
    <w:rsid w:val="004E4EBD"/>
    <w:rsid w:val="004E4F53"/>
    <w:rsid w:val="004E5CEF"/>
    <w:rsid w:val="004E6C9A"/>
    <w:rsid w:val="004E70D3"/>
    <w:rsid w:val="004E71F6"/>
    <w:rsid w:val="004E7265"/>
    <w:rsid w:val="004E76A6"/>
    <w:rsid w:val="004E77E1"/>
    <w:rsid w:val="004F0377"/>
    <w:rsid w:val="004F05F6"/>
    <w:rsid w:val="004F0BB1"/>
    <w:rsid w:val="004F14AA"/>
    <w:rsid w:val="004F1D8A"/>
    <w:rsid w:val="004F225F"/>
    <w:rsid w:val="004F24F6"/>
    <w:rsid w:val="004F3E82"/>
    <w:rsid w:val="004F4DFF"/>
    <w:rsid w:val="004F6363"/>
    <w:rsid w:val="004F713C"/>
    <w:rsid w:val="0050178A"/>
    <w:rsid w:val="00501D49"/>
    <w:rsid w:val="00501F6E"/>
    <w:rsid w:val="00503911"/>
    <w:rsid w:val="00503B35"/>
    <w:rsid w:val="00503C93"/>
    <w:rsid w:val="00503F10"/>
    <w:rsid w:val="00504281"/>
    <w:rsid w:val="005047D5"/>
    <w:rsid w:val="00510FDE"/>
    <w:rsid w:val="0051195A"/>
    <w:rsid w:val="005124C9"/>
    <w:rsid w:val="00512595"/>
    <w:rsid w:val="005134D5"/>
    <w:rsid w:val="005147AE"/>
    <w:rsid w:val="005151D9"/>
    <w:rsid w:val="00516DD5"/>
    <w:rsid w:val="00516EE1"/>
    <w:rsid w:val="00520500"/>
    <w:rsid w:val="0052092D"/>
    <w:rsid w:val="0052098F"/>
    <w:rsid w:val="00520A0A"/>
    <w:rsid w:val="005211F1"/>
    <w:rsid w:val="00522FC1"/>
    <w:rsid w:val="00523591"/>
    <w:rsid w:val="0052437A"/>
    <w:rsid w:val="0052469A"/>
    <w:rsid w:val="0052647F"/>
    <w:rsid w:val="005273A8"/>
    <w:rsid w:val="0052780B"/>
    <w:rsid w:val="00527E83"/>
    <w:rsid w:val="00530132"/>
    <w:rsid w:val="00530EC7"/>
    <w:rsid w:val="005316B4"/>
    <w:rsid w:val="005318D5"/>
    <w:rsid w:val="00531A9C"/>
    <w:rsid w:val="00531DF6"/>
    <w:rsid w:val="0053317B"/>
    <w:rsid w:val="00533D64"/>
    <w:rsid w:val="00533D69"/>
    <w:rsid w:val="00533DC0"/>
    <w:rsid w:val="005345EB"/>
    <w:rsid w:val="00535486"/>
    <w:rsid w:val="005358DE"/>
    <w:rsid w:val="00535966"/>
    <w:rsid w:val="0053660F"/>
    <w:rsid w:val="00540AFA"/>
    <w:rsid w:val="0054123D"/>
    <w:rsid w:val="00541E60"/>
    <w:rsid w:val="005432C4"/>
    <w:rsid w:val="00543758"/>
    <w:rsid w:val="00544072"/>
    <w:rsid w:val="005458E5"/>
    <w:rsid w:val="005465D8"/>
    <w:rsid w:val="00547844"/>
    <w:rsid w:val="005516AC"/>
    <w:rsid w:val="00551789"/>
    <w:rsid w:val="00552900"/>
    <w:rsid w:val="00554E60"/>
    <w:rsid w:val="00557466"/>
    <w:rsid w:val="005577C7"/>
    <w:rsid w:val="0056123E"/>
    <w:rsid w:val="00561899"/>
    <w:rsid w:val="00561E9C"/>
    <w:rsid w:val="00563124"/>
    <w:rsid w:val="00563445"/>
    <w:rsid w:val="00563960"/>
    <w:rsid w:val="005640D6"/>
    <w:rsid w:val="00564157"/>
    <w:rsid w:val="00565D7A"/>
    <w:rsid w:val="00565E8F"/>
    <w:rsid w:val="00566470"/>
    <w:rsid w:val="00567AB4"/>
    <w:rsid w:val="005704B3"/>
    <w:rsid w:val="00570604"/>
    <w:rsid w:val="00570674"/>
    <w:rsid w:val="0057108E"/>
    <w:rsid w:val="00571BD0"/>
    <w:rsid w:val="00572559"/>
    <w:rsid w:val="005725B6"/>
    <w:rsid w:val="00572FBA"/>
    <w:rsid w:val="005731FD"/>
    <w:rsid w:val="0057358D"/>
    <w:rsid w:val="00573B4B"/>
    <w:rsid w:val="00574715"/>
    <w:rsid w:val="005751D9"/>
    <w:rsid w:val="005753E2"/>
    <w:rsid w:val="00576155"/>
    <w:rsid w:val="005768C8"/>
    <w:rsid w:val="00577211"/>
    <w:rsid w:val="005775E7"/>
    <w:rsid w:val="00581D51"/>
    <w:rsid w:val="00581FC4"/>
    <w:rsid w:val="005820E7"/>
    <w:rsid w:val="005821B0"/>
    <w:rsid w:val="00582FDB"/>
    <w:rsid w:val="005834DE"/>
    <w:rsid w:val="00583D12"/>
    <w:rsid w:val="00584206"/>
    <w:rsid w:val="005844F0"/>
    <w:rsid w:val="005845F8"/>
    <w:rsid w:val="005849A0"/>
    <w:rsid w:val="00585A56"/>
    <w:rsid w:val="00586340"/>
    <w:rsid w:val="005908B9"/>
    <w:rsid w:val="00590BD3"/>
    <w:rsid w:val="00590CEB"/>
    <w:rsid w:val="005918E2"/>
    <w:rsid w:val="00591F9A"/>
    <w:rsid w:val="005925CB"/>
    <w:rsid w:val="00592ADE"/>
    <w:rsid w:val="00592EBE"/>
    <w:rsid w:val="00594B1C"/>
    <w:rsid w:val="00594C99"/>
    <w:rsid w:val="005956D6"/>
    <w:rsid w:val="0059643D"/>
    <w:rsid w:val="0059682F"/>
    <w:rsid w:val="00597578"/>
    <w:rsid w:val="005A0064"/>
    <w:rsid w:val="005A0FC8"/>
    <w:rsid w:val="005A2C32"/>
    <w:rsid w:val="005A2DE8"/>
    <w:rsid w:val="005A2FF6"/>
    <w:rsid w:val="005A32DC"/>
    <w:rsid w:val="005A4639"/>
    <w:rsid w:val="005A4938"/>
    <w:rsid w:val="005A4C7A"/>
    <w:rsid w:val="005A72F6"/>
    <w:rsid w:val="005A77CA"/>
    <w:rsid w:val="005A7A0B"/>
    <w:rsid w:val="005A7CBD"/>
    <w:rsid w:val="005B1A55"/>
    <w:rsid w:val="005B25E0"/>
    <w:rsid w:val="005B2A1E"/>
    <w:rsid w:val="005B2EDC"/>
    <w:rsid w:val="005B304B"/>
    <w:rsid w:val="005B53D3"/>
    <w:rsid w:val="005B576C"/>
    <w:rsid w:val="005B62FE"/>
    <w:rsid w:val="005C061A"/>
    <w:rsid w:val="005C0F19"/>
    <w:rsid w:val="005C161E"/>
    <w:rsid w:val="005C1829"/>
    <w:rsid w:val="005C2875"/>
    <w:rsid w:val="005C3132"/>
    <w:rsid w:val="005C353E"/>
    <w:rsid w:val="005C37E3"/>
    <w:rsid w:val="005C3889"/>
    <w:rsid w:val="005C3C7F"/>
    <w:rsid w:val="005C47E5"/>
    <w:rsid w:val="005C4F2D"/>
    <w:rsid w:val="005C68A7"/>
    <w:rsid w:val="005C704E"/>
    <w:rsid w:val="005C7AE0"/>
    <w:rsid w:val="005D0738"/>
    <w:rsid w:val="005D0D36"/>
    <w:rsid w:val="005D1068"/>
    <w:rsid w:val="005D1336"/>
    <w:rsid w:val="005D15F6"/>
    <w:rsid w:val="005D30FD"/>
    <w:rsid w:val="005D3D8F"/>
    <w:rsid w:val="005D4A77"/>
    <w:rsid w:val="005D543E"/>
    <w:rsid w:val="005D5760"/>
    <w:rsid w:val="005D60F0"/>
    <w:rsid w:val="005D622B"/>
    <w:rsid w:val="005D6563"/>
    <w:rsid w:val="005D676C"/>
    <w:rsid w:val="005D6ED7"/>
    <w:rsid w:val="005D7959"/>
    <w:rsid w:val="005D7BB8"/>
    <w:rsid w:val="005D7E36"/>
    <w:rsid w:val="005E03CE"/>
    <w:rsid w:val="005E111A"/>
    <w:rsid w:val="005E163C"/>
    <w:rsid w:val="005E2A2F"/>
    <w:rsid w:val="005E3FEC"/>
    <w:rsid w:val="005E4FEE"/>
    <w:rsid w:val="005E5A56"/>
    <w:rsid w:val="005E6B6C"/>
    <w:rsid w:val="005E6F9B"/>
    <w:rsid w:val="005E6FD3"/>
    <w:rsid w:val="005E7310"/>
    <w:rsid w:val="005E793A"/>
    <w:rsid w:val="005E7F89"/>
    <w:rsid w:val="005F11B4"/>
    <w:rsid w:val="005F1219"/>
    <w:rsid w:val="005F1E43"/>
    <w:rsid w:val="005F2FD1"/>
    <w:rsid w:val="005F3190"/>
    <w:rsid w:val="005F3A44"/>
    <w:rsid w:val="005F4C04"/>
    <w:rsid w:val="005F4FDA"/>
    <w:rsid w:val="005F67EB"/>
    <w:rsid w:val="005F6C11"/>
    <w:rsid w:val="005F7077"/>
    <w:rsid w:val="005F7913"/>
    <w:rsid w:val="00600AA9"/>
    <w:rsid w:val="00600F22"/>
    <w:rsid w:val="00602044"/>
    <w:rsid w:val="00602C62"/>
    <w:rsid w:val="00603E52"/>
    <w:rsid w:val="00604FE8"/>
    <w:rsid w:val="00606555"/>
    <w:rsid w:val="00606BF3"/>
    <w:rsid w:val="00607AC8"/>
    <w:rsid w:val="00607C4E"/>
    <w:rsid w:val="00610F0A"/>
    <w:rsid w:val="006113C1"/>
    <w:rsid w:val="006119DB"/>
    <w:rsid w:val="00611B52"/>
    <w:rsid w:val="00611D06"/>
    <w:rsid w:val="006128DD"/>
    <w:rsid w:val="006140C8"/>
    <w:rsid w:val="006159FB"/>
    <w:rsid w:val="00616306"/>
    <w:rsid w:val="00616DE0"/>
    <w:rsid w:val="006174C5"/>
    <w:rsid w:val="00620100"/>
    <w:rsid w:val="0062042E"/>
    <w:rsid w:val="00620CA1"/>
    <w:rsid w:val="0062115B"/>
    <w:rsid w:val="00621210"/>
    <w:rsid w:val="006213BE"/>
    <w:rsid w:val="00621AE6"/>
    <w:rsid w:val="0062253E"/>
    <w:rsid w:val="00623DB0"/>
    <w:rsid w:val="006240E8"/>
    <w:rsid w:val="0062447E"/>
    <w:rsid w:val="00624779"/>
    <w:rsid w:val="006247C6"/>
    <w:rsid w:val="00624B9F"/>
    <w:rsid w:val="00624CD6"/>
    <w:rsid w:val="00625AB5"/>
    <w:rsid w:val="00625B69"/>
    <w:rsid w:val="006300EF"/>
    <w:rsid w:val="00631513"/>
    <w:rsid w:val="0063203F"/>
    <w:rsid w:val="0063396F"/>
    <w:rsid w:val="00636D58"/>
    <w:rsid w:val="00640D2A"/>
    <w:rsid w:val="00642CD9"/>
    <w:rsid w:val="00642F94"/>
    <w:rsid w:val="006437B4"/>
    <w:rsid w:val="006441BF"/>
    <w:rsid w:val="0064454C"/>
    <w:rsid w:val="00644AA5"/>
    <w:rsid w:val="0064566E"/>
    <w:rsid w:val="0064586A"/>
    <w:rsid w:val="006459CE"/>
    <w:rsid w:val="00645A2E"/>
    <w:rsid w:val="00646E1A"/>
    <w:rsid w:val="00647CDB"/>
    <w:rsid w:val="00647D9E"/>
    <w:rsid w:val="00653144"/>
    <w:rsid w:val="0065368F"/>
    <w:rsid w:val="00654A3F"/>
    <w:rsid w:val="00655301"/>
    <w:rsid w:val="00655F10"/>
    <w:rsid w:val="00656CE3"/>
    <w:rsid w:val="00656E1D"/>
    <w:rsid w:val="00657B07"/>
    <w:rsid w:val="0066070D"/>
    <w:rsid w:val="00660DA3"/>
    <w:rsid w:val="00660EB9"/>
    <w:rsid w:val="00663155"/>
    <w:rsid w:val="0066413A"/>
    <w:rsid w:val="0066540A"/>
    <w:rsid w:val="006655C3"/>
    <w:rsid w:val="00665627"/>
    <w:rsid w:val="00667107"/>
    <w:rsid w:val="006676CE"/>
    <w:rsid w:val="00667804"/>
    <w:rsid w:val="006707F5"/>
    <w:rsid w:val="0067125D"/>
    <w:rsid w:val="00671BA3"/>
    <w:rsid w:val="00672834"/>
    <w:rsid w:val="006734E7"/>
    <w:rsid w:val="00673E5D"/>
    <w:rsid w:val="006745D0"/>
    <w:rsid w:val="00674632"/>
    <w:rsid w:val="0067499E"/>
    <w:rsid w:val="0067543D"/>
    <w:rsid w:val="00675972"/>
    <w:rsid w:val="00680096"/>
    <w:rsid w:val="006803AC"/>
    <w:rsid w:val="006803C6"/>
    <w:rsid w:val="006804FB"/>
    <w:rsid w:val="00680751"/>
    <w:rsid w:val="00680C7C"/>
    <w:rsid w:val="00680CC1"/>
    <w:rsid w:val="006814BB"/>
    <w:rsid w:val="00682513"/>
    <w:rsid w:val="00682FA4"/>
    <w:rsid w:val="00683209"/>
    <w:rsid w:val="006837C8"/>
    <w:rsid w:val="00683A35"/>
    <w:rsid w:val="006847F2"/>
    <w:rsid w:val="00684A25"/>
    <w:rsid w:val="00691113"/>
    <w:rsid w:val="0069244E"/>
    <w:rsid w:val="006927F7"/>
    <w:rsid w:val="00693D61"/>
    <w:rsid w:val="00694357"/>
    <w:rsid w:val="006944C6"/>
    <w:rsid w:val="00694848"/>
    <w:rsid w:val="00695357"/>
    <w:rsid w:val="006953E2"/>
    <w:rsid w:val="006A004B"/>
    <w:rsid w:val="006A1374"/>
    <w:rsid w:val="006A1BC5"/>
    <w:rsid w:val="006A1C66"/>
    <w:rsid w:val="006A2519"/>
    <w:rsid w:val="006A25C6"/>
    <w:rsid w:val="006A4383"/>
    <w:rsid w:val="006A478D"/>
    <w:rsid w:val="006A5A83"/>
    <w:rsid w:val="006A6ABD"/>
    <w:rsid w:val="006A6AD2"/>
    <w:rsid w:val="006A6F5A"/>
    <w:rsid w:val="006A74F9"/>
    <w:rsid w:val="006A7B2B"/>
    <w:rsid w:val="006B098D"/>
    <w:rsid w:val="006B27FC"/>
    <w:rsid w:val="006B51A6"/>
    <w:rsid w:val="006B5640"/>
    <w:rsid w:val="006B6B52"/>
    <w:rsid w:val="006B6FAB"/>
    <w:rsid w:val="006B7366"/>
    <w:rsid w:val="006B76FE"/>
    <w:rsid w:val="006B7AA6"/>
    <w:rsid w:val="006C0D75"/>
    <w:rsid w:val="006C168E"/>
    <w:rsid w:val="006C253F"/>
    <w:rsid w:val="006C27F9"/>
    <w:rsid w:val="006C2E1D"/>
    <w:rsid w:val="006C32CA"/>
    <w:rsid w:val="006C5781"/>
    <w:rsid w:val="006C682D"/>
    <w:rsid w:val="006C6F11"/>
    <w:rsid w:val="006C738C"/>
    <w:rsid w:val="006D03CD"/>
    <w:rsid w:val="006D0966"/>
    <w:rsid w:val="006D0AE7"/>
    <w:rsid w:val="006D0E20"/>
    <w:rsid w:val="006D1228"/>
    <w:rsid w:val="006D124B"/>
    <w:rsid w:val="006D18CB"/>
    <w:rsid w:val="006D1DAF"/>
    <w:rsid w:val="006D2737"/>
    <w:rsid w:val="006D28EB"/>
    <w:rsid w:val="006D2AB2"/>
    <w:rsid w:val="006D366D"/>
    <w:rsid w:val="006D3DC9"/>
    <w:rsid w:val="006D5891"/>
    <w:rsid w:val="006D6F09"/>
    <w:rsid w:val="006E0C78"/>
    <w:rsid w:val="006E1235"/>
    <w:rsid w:val="006E12E0"/>
    <w:rsid w:val="006E1FD1"/>
    <w:rsid w:val="006E32BE"/>
    <w:rsid w:val="006E32EF"/>
    <w:rsid w:val="006E3FD7"/>
    <w:rsid w:val="006E4AC7"/>
    <w:rsid w:val="006E59EA"/>
    <w:rsid w:val="006E7765"/>
    <w:rsid w:val="006F010C"/>
    <w:rsid w:val="006F0B1E"/>
    <w:rsid w:val="006F1418"/>
    <w:rsid w:val="006F1BBD"/>
    <w:rsid w:val="006F23BF"/>
    <w:rsid w:val="006F34E4"/>
    <w:rsid w:val="006F44A6"/>
    <w:rsid w:val="006F4DB4"/>
    <w:rsid w:val="006F570E"/>
    <w:rsid w:val="006F5ACB"/>
    <w:rsid w:val="006F61B8"/>
    <w:rsid w:val="006F68B2"/>
    <w:rsid w:val="006F747E"/>
    <w:rsid w:val="006F7840"/>
    <w:rsid w:val="00700E6E"/>
    <w:rsid w:val="00700F85"/>
    <w:rsid w:val="00701EDB"/>
    <w:rsid w:val="007025E3"/>
    <w:rsid w:val="00702CBF"/>
    <w:rsid w:val="00702E3C"/>
    <w:rsid w:val="00704126"/>
    <w:rsid w:val="007046D3"/>
    <w:rsid w:val="00706E1D"/>
    <w:rsid w:val="0070716A"/>
    <w:rsid w:val="00707414"/>
    <w:rsid w:val="00707C48"/>
    <w:rsid w:val="00710126"/>
    <w:rsid w:val="007119B6"/>
    <w:rsid w:val="00712018"/>
    <w:rsid w:val="0071400B"/>
    <w:rsid w:val="00714717"/>
    <w:rsid w:val="00715203"/>
    <w:rsid w:val="00716B5B"/>
    <w:rsid w:val="00717C00"/>
    <w:rsid w:val="00720367"/>
    <w:rsid w:val="00720CE6"/>
    <w:rsid w:val="0072109A"/>
    <w:rsid w:val="00721D2A"/>
    <w:rsid w:val="007224B0"/>
    <w:rsid w:val="0072297B"/>
    <w:rsid w:val="00723500"/>
    <w:rsid w:val="007243E6"/>
    <w:rsid w:val="0072462A"/>
    <w:rsid w:val="00724AAE"/>
    <w:rsid w:val="00724C80"/>
    <w:rsid w:val="007259A5"/>
    <w:rsid w:val="00725FEF"/>
    <w:rsid w:val="007267C4"/>
    <w:rsid w:val="0072720C"/>
    <w:rsid w:val="007273DC"/>
    <w:rsid w:val="00727AE2"/>
    <w:rsid w:val="0073096F"/>
    <w:rsid w:val="00730B4A"/>
    <w:rsid w:val="00731305"/>
    <w:rsid w:val="0073135F"/>
    <w:rsid w:val="0073185D"/>
    <w:rsid w:val="007320AA"/>
    <w:rsid w:val="007325C3"/>
    <w:rsid w:val="00732ACB"/>
    <w:rsid w:val="00732B39"/>
    <w:rsid w:val="00733536"/>
    <w:rsid w:val="0073371E"/>
    <w:rsid w:val="00734267"/>
    <w:rsid w:val="00735CDD"/>
    <w:rsid w:val="00735F63"/>
    <w:rsid w:val="0073626F"/>
    <w:rsid w:val="007363ED"/>
    <w:rsid w:val="00737616"/>
    <w:rsid w:val="007377BF"/>
    <w:rsid w:val="00737B3A"/>
    <w:rsid w:val="00737C04"/>
    <w:rsid w:val="007400A9"/>
    <w:rsid w:val="00741554"/>
    <w:rsid w:val="00741676"/>
    <w:rsid w:val="007417D9"/>
    <w:rsid w:val="00742071"/>
    <w:rsid w:val="0074247C"/>
    <w:rsid w:val="00744032"/>
    <w:rsid w:val="0074506E"/>
    <w:rsid w:val="00745476"/>
    <w:rsid w:val="00745E9C"/>
    <w:rsid w:val="00746269"/>
    <w:rsid w:val="00746A53"/>
    <w:rsid w:val="00746B41"/>
    <w:rsid w:val="00747A34"/>
    <w:rsid w:val="00747DE0"/>
    <w:rsid w:val="007512F9"/>
    <w:rsid w:val="00751441"/>
    <w:rsid w:val="00751460"/>
    <w:rsid w:val="007519D8"/>
    <w:rsid w:val="00752152"/>
    <w:rsid w:val="00753ADA"/>
    <w:rsid w:val="00754D21"/>
    <w:rsid w:val="0075561F"/>
    <w:rsid w:val="00756845"/>
    <w:rsid w:val="00756DF7"/>
    <w:rsid w:val="007600CE"/>
    <w:rsid w:val="00760100"/>
    <w:rsid w:val="007606E9"/>
    <w:rsid w:val="00761816"/>
    <w:rsid w:val="00761CF9"/>
    <w:rsid w:val="00762063"/>
    <w:rsid w:val="00762067"/>
    <w:rsid w:val="007621A3"/>
    <w:rsid w:val="0076254B"/>
    <w:rsid w:val="00762B56"/>
    <w:rsid w:val="007638CE"/>
    <w:rsid w:val="00765695"/>
    <w:rsid w:val="00765FC2"/>
    <w:rsid w:val="00766061"/>
    <w:rsid w:val="007663BF"/>
    <w:rsid w:val="0076688B"/>
    <w:rsid w:val="00766F97"/>
    <w:rsid w:val="007671D0"/>
    <w:rsid w:val="00767361"/>
    <w:rsid w:val="00767ACF"/>
    <w:rsid w:val="007700D4"/>
    <w:rsid w:val="0077047A"/>
    <w:rsid w:val="0077048F"/>
    <w:rsid w:val="00770FFF"/>
    <w:rsid w:val="00772C38"/>
    <w:rsid w:val="0077307D"/>
    <w:rsid w:val="007741A2"/>
    <w:rsid w:val="007755DA"/>
    <w:rsid w:val="007768D8"/>
    <w:rsid w:val="00777433"/>
    <w:rsid w:val="0077775B"/>
    <w:rsid w:val="00777A7A"/>
    <w:rsid w:val="00777BF5"/>
    <w:rsid w:val="00780066"/>
    <w:rsid w:val="00780343"/>
    <w:rsid w:val="00780BB3"/>
    <w:rsid w:val="00780F61"/>
    <w:rsid w:val="0078190A"/>
    <w:rsid w:val="00781FA2"/>
    <w:rsid w:val="007847FB"/>
    <w:rsid w:val="007861EE"/>
    <w:rsid w:val="0078695D"/>
    <w:rsid w:val="00787813"/>
    <w:rsid w:val="00787D3B"/>
    <w:rsid w:val="00787D73"/>
    <w:rsid w:val="007900BA"/>
    <w:rsid w:val="0079068D"/>
    <w:rsid w:val="00791424"/>
    <w:rsid w:val="007917B4"/>
    <w:rsid w:val="00791A0C"/>
    <w:rsid w:val="00792114"/>
    <w:rsid w:val="00793A35"/>
    <w:rsid w:val="00795C90"/>
    <w:rsid w:val="0079657F"/>
    <w:rsid w:val="00796A78"/>
    <w:rsid w:val="007970B3"/>
    <w:rsid w:val="00797CEA"/>
    <w:rsid w:val="007A197E"/>
    <w:rsid w:val="007A1D77"/>
    <w:rsid w:val="007A2340"/>
    <w:rsid w:val="007A2A23"/>
    <w:rsid w:val="007A30A9"/>
    <w:rsid w:val="007A4021"/>
    <w:rsid w:val="007A57FA"/>
    <w:rsid w:val="007A6089"/>
    <w:rsid w:val="007A61AB"/>
    <w:rsid w:val="007A7659"/>
    <w:rsid w:val="007B05D5"/>
    <w:rsid w:val="007B08FB"/>
    <w:rsid w:val="007B0E3B"/>
    <w:rsid w:val="007B1BFE"/>
    <w:rsid w:val="007B1EAC"/>
    <w:rsid w:val="007B211F"/>
    <w:rsid w:val="007B3F19"/>
    <w:rsid w:val="007B486D"/>
    <w:rsid w:val="007B4A23"/>
    <w:rsid w:val="007B4A26"/>
    <w:rsid w:val="007B612D"/>
    <w:rsid w:val="007B630B"/>
    <w:rsid w:val="007B7DCA"/>
    <w:rsid w:val="007C0A51"/>
    <w:rsid w:val="007C1BA4"/>
    <w:rsid w:val="007C1FBD"/>
    <w:rsid w:val="007C34FE"/>
    <w:rsid w:val="007C37A9"/>
    <w:rsid w:val="007C4B04"/>
    <w:rsid w:val="007C527A"/>
    <w:rsid w:val="007D0D8C"/>
    <w:rsid w:val="007D59DD"/>
    <w:rsid w:val="007D5EBE"/>
    <w:rsid w:val="007D7886"/>
    <w:rsid w:val="007D78AC"/>
    <w:rsid w:val="007D798B"/>
    <w:rsid w:val="007E1449"/>
    <w:rsid w:val="007E14C6"/>
    <w:rsid w:val="007E1869"/>
    <w:rsid w:val="007E1FFE"/>
    <w:rsid w:val="007E32DE"/>
    <w:rsid w:val="007E5131"/>
    <w:rsid w:val="007E5133"/>
    <w:rsid w:val="007E52D1"/>
    <w:rsid w:val="007E596A"/>
    <w:rsid w:val="007E6299"/>
    <w:rsid w:val="007E7002"/>
    <w:rsid w:val="007E7783"/>
    <w:rsid w:val="007E7F4C"/>
    <w:rsid w:val="007F011A"/>
    <w:rsid w:val="007F01BC"/>
    <w:rsid w:val="007F0D78"/>
    <w:rsid w:val="007F3230"/>
    <w:rsid w:val="007F3F11"/>
    <w:rsid w:val="007F4A1D"/>
    <w:rsid w:val="007F4D4F"/>
    <w:rsid w:val="007F557D"/>
    <w:rsid w:val="007F57B6"/>
    <w:rsid w:val="007F65FA"/>
    <w:rsid w:val="00800566"/>
    <w:rsid w:val="0080075B"/>
    <w:rsid w:val="008010F4"/>
    <w:rsid w:val="00802E10"/>
    <w:rsid w:val="00803175"/>
    <w:rsid w:val="00804220"/>
    <w:rsid w:val="008045D9"/>
    <w:rsid w:val="00804BA3"/>
    <w:rsid w:val="0080531C"/>
    <w:rsid w:val="00807258"/>
    <w:rsid w:val="0080764B"/>
    <w:rsid w:val="00810FE5"/>
    <w:rsid w:val="00811430"/>
    <w:rsid w:val="00813A45"/>
    <w:rsid w:val="00813C99"/>
    <w:rsid w:val="00814294"/>
    <w:rsid w:val="00814993"/>
    <w:rsid w:val="00814CC0"/>
    <w:rsid w:val="00814F98"/>
    <w:rsid w:val="00815369"/>
    <w:rsid w:val="00815D71"/>
    <w:rsid w:val="0081605B"/>
    <w:rsid w:val="00816992"/>
    <w:rsid w:val="00817EA0"/>
    <w:rsid w:val="00820E23"/>
    <w:rsid w:val="008210D0"/>
    <w:rsid w:val="00822256"/>
    <w:rsid w:val="00826EAA"/>
    <w:rsid w:val="00827705"/>
    <w:rsid w:val="00827F6B"/>
    <w:rsid w:val="00830750"/>
    <w:rsid w:val="00831562"/>
    <w:rsid w:val="00832DD4"/>
    <w:rsid w:val="008333AF"/>
    <w:rsid w:val="008359D9"/>
    <w:rsid w:val="00835B40"/>
    <w:rsid w:val="008360BD"/>
    <w:rsid w:val="00837953"/>
    <w:rsid w:val="00837F88"/>
    <w:rsid w:val="008405B2"/>
    <w:rsid w:val="008411C9"/>
    <w:rsid w:val="00841F52"/>
    <w:rsid w:val="00843055"/>
    <w:rsid w:val="00843EC7"/>
    <w:rsid w:val="00845AD2"/>
    <w:rsid w:val="008465BC"/>
    <w:rsid w:val="008465EC"/>
    <w:rsid w:val="00847840"/>
    <w:rsid w:val="00850C44"/>
    <w:rsid w:val="00850DD0"/>
    <w:rsid w:val="00851433"/>
    <w:rsid w:val="00853191"/>
    <w:rsid w:val="0085336C"/>
    <w:rsid w:val="0085376C"/>
    <w:rsid w:val="00854510"/>
    <w:rsid w:val="00854B4E"/>
    <w:rsid w:val="00854D37"/>
    <w:rsid w:val="008554A3"/>
    <w:rsid w:val="00855AE7"/>
    <w:rsid w:val="008577AD"/>
    <w:rsid w:val="00857AB0"/>
    <w:rsid w:val="00857D41"/>
    <w:rsid w:val="00861528"/>
    <w:rsid w:val="00861DFD"/>
    <w:rsid w:val="00861F2B"/>
    <w:rsid w:val="008631D5"/>
    <w:rsid w:val="00863F13"/>
    <w:rsid w:val="00864920"/>
    <w:rsid w:val="00865A14"/>
    <w:rsid w:val="00866F83"/>
    <w:rsid w:val="00867DC3"/>
    <w:rsid w:val="00867EDE"/>
    <w:rsid w:val="00867FF0"/>
    <w:rsid w:val="008703AE"/>
    <w:rsid w:val="00870725"/>
    <w:rsid w:val="00870775"/>
    <w:rsid w:val="00870CF6"/>
    <w:rsid w:val="0087105E"/>
    <w:rsid w:val="008711CC"/>
    <w:rsid w:val="008715E8"/>
    <w:rsid w:val="0087160A"/>
    <w:rsid w:val="008718FF"/>
    <w:rsid w:val="00872CD8"/>
    <w:rsid w:val="00873459"/>
    <w:rsid w:val="00873A75"/>
    <w:rsid w:val="00874777"/>
    <w:rsid w:val="008763A0"/>
    <w:rsid w:val="00881901"/>
    <w:rsid w:val="00881AE4"/>
    <w:rsid w:val="008822AC"/>
    <w:rsid w:val="008823AE"/>
    <w:rsid w:val="0088315C"/>
    <w:rsid w:val="0088348F"/>
    <w:rsid w:val="00884AF9"/>
    <w:rsid w:val="0088521C"/>
    <w:rsid w:val="0088572A"/>
    <w:rsid w:val="00885A3E"/>
    <w:rsid w:val="00885D6E"/>
    <w:rsid w:val="00885F71"/>
    <w:rsid w:val="008860E6"/>
    <w:rsid w:val="00886AFC"/>
    <w:rsid w:val="00887645"/>
    <w:rsid w:val="0088774B"/>
    <w:rsid w:val="00891BAB"/>
    <w:rsid w:val="008927FF"/>
    <w:rsid w:val="00892AB4"/>
    <w:rsid w:val="008932F7"/>
    <w:rsid w:val="008937E2"/>
    <w:rsid w:val="00896D98"/>
    <w:rsid w:val="00897314"/>
    <w:rsid w:val="0089734D"/>
    <w:rsid w:val="008978E7"/>
    <w:rsid w:val="00897B48"/>
    <w:rsid w:val="00897EFC"/>
    <w:rsid w:val="008A0340"/>
    <w:rsid w:val="008A0886"/>
    <w:rsid w:val="008A0D78"/>
    <w:rsid w:val="008A1545"/>
    <w:rsid w:val="008A1AD7"/>
    <w:rsid w:val="008A1CCE"/>
    <w:rsid w:val="008A21D0"/>
    <w:rsid w:val="008A2AD8"/>
    <w:rsid w:val="008A373B"/>
    <w:rsid w:val="008A4174"/>
    <w:rsid w:val="008A4C2F"/>
    <w:rsid w:val="008A4E36"/>
    <w:rsid w:val="008A4F8C"/>
    <w:rsid w:val="008A69C9"/>
    <w:rsid w:val="008A752A"/>
    <w:rsid w:val="008A7E37"/>
    <w:rsid w:val="008A7F30"/>
    <w:rsid w:val="008B016F"/>
    <w:rsid w:val="008B1437"/>
    <w:rsid w:val="008B14D1"/>
    <w:rsid w:val="008B162E"/>
    <w:rsid w:val="008B22D4"/>
    <w:rsid w:val="008B27D5"/>
    <w:rsid w:val="008B3C9C"/>
    <w:rsid w:val="008B4462"/>
    <w:rsid w:val="008B5401"/>
    <w:rsid w:val="008B5F84"/>
    <w:rsid w:val="008B6C37"/>
    <w:rsid w:val="008B6E4C"/>
    <w:rsid w:val="008B723E"/>
    <w:rsid w:val="008B7319"/>
    <w:rsid w:val="008C0754"/>
    <w:rsid w:val="008C2460"/>
    <w:rsid w:val="008C2689"/>
    <w:rsid w:val="008C2B7E"/>
    <w:rsid w:val="008C2C7A"/>
    <w:rsid w:val="008C2DB8"/>
    <w:rsid w:val="008C308D"/>
    <w:rsid w:val="008C4015"/>
    <w:rsid w:val="008C466A"/>
    <w:rsid w:val="008C52C3"/>
    <w:rsid w:val="008C535F"/>
    <w:rsid w:val="008C544E"/>
    <w:rsid w:val="008C5BAE"/>
    <w:rsid w:val="008C6E17"/>
    <w:rsid w:val="008C74BB"/>
    <w:rsid w:val="008C7F1B"/>
    <w:rsid w:val="008C7F65"/>
    <w:rsid w:val="008D063E"/>
    <w:rsid w:val="008D2E8B"/>
    <w:rsid w:val="008D2F04"/>
    <w:rsid w:val="008D508F"/>
    <w:rsid w:val="008D52C4"/>
    <w:rsid w:val="008D550E"/>
    <w:rsid w:val="008D5E1E"/>
    <w:rsid w:val="008D5F7F"/>
    <w:rsid w:val="008D61E9"/>
    <w:rsid w:val="008D632A"/>
    <w:rsid w:val="008D745D"/>
    <w:rsid w:val="008E02D0"/>
    <w:rsid w:val="008E0A54"/>
    <w:rsid w:val="008E1BAB"/>
    <w:rsid w:val="008E1C96"/>
    <w:rsid w:val="008E2312"/>
    <w:rsid w:val="008E2D56"/>
    <w:rsid w:val="008E30A0"/>
    <w:rsid w:val="008E3685"/>
    <w:rsid w:val="008E47E6"/>
    <w:rsid w:val="008E576F"/>
    <w:rsid w:val="008E57F8"/>
    <w:rsid w:val="008E5FD7"/>
    <w:rsid w:val="008E62D6"/>
    <w:rsid w:val="008E6A18"/>
    <w:rsid w:val="008E7BB9"/>
    <w:rsid w:val="008E7E26"/>
    <w:rsid w:val="008E7E3A"/>
    <w:rsid w:val="008F0094"/>
    <w:rsid w:val="008F0397"/>
    <w:rsid w:val="008F0AD8"/>
    <w:rsid w:val="008F2179"/>
    <w:rsid w:val="008F3C75"/>
    <w:rsid w:val="008F3F4E"/>
    <w:rsid w:val="008F4014"/>
    <w:rsid w:val="008F45A5"/>
    <w:rsid w:val="008F48C3"/>
    <w:rsid w:val="008F56FF"/>
    <w:rsid w:val="008F657B"/>
    <w:rsid w:val="008F6895"/>
    <w:rsid w:val="00900516"/>
    <w:rsid w:val="009009B6"/>
    <w:rsid w:val="0090121A"/>
    <w:rsid w:val="0090394B"/>
    <w:rsid w:val="00903A5F"/>
    <w:rsid w:val="00905122"/>
    <w:rsid w:val="009052ED"/>
    <w:rsid w:val="00905E0A"/>
    <w:rsid w:val="00906CA5"/>
    <w:rsid w:val="00907FC5"/>
    <w:rsid w:val="00910609"/>
    <w:rsid w:val="009112E3"/>
    <w:rsid w:val="00911613"/>
    <w:rsid w:val="00911AF8"/>
    <w:rsid w:val="00911EEB"/>
    <w:rsid w:val="009123F8"/>
    <w:rsid w:val="00912833"/>
    <w:rsid w:val="009131DC"/>
    <w:rsid w:val="0091447B"/>
    <w:rsid w:val="0091523F"/>
    <w:rsid w:val="00915361"/>
    <w:rsid w:val="00915978"/>
    <w:rsid w:val="0091625D"/>
    <w:rsid w:val="009165F5"/>
    <w:rsid w:val="00916AC2"/>
    <w:rsid w:val="009171BD"/>
    <w:rsid w:val="00917FF4"/>
    <w:rsid w:val="009205ED"/>
    <w:rsid w:val="00920B38"/>
    <w:rsid w:val="00921FDD"/>
    <w:rsid w:val="0092269B"/>
    <w:rsid w:val="009229EC"/>
    <w:rsid w:val="00922D6F"/>
    <w:rsid w:val="0092320A"/>
    <w:rsid w:val="009235EC"/>
    <w:rsid w:val="0092504F"/>
    <w:rsid w:val="00925314"/>
    <w:rsid w:val="00925713"/>
    <w:rsid w:val="00926401"/>
    <w:rsid w:val="00926C5B"/>
    <w:rsid w:val="00927DF4"/>
    <w:rsid w:val="009314EB"/>
    <w:rsid w:val="00931622"/>
    <w:rsid w:val="00931AA7"/>
    <w:rsid w:val="00931C71"/>
    <w:rsid w:val="00931D55"/>
    <w:rsid w:val="0093209E"/>
    <w:rsid w:val="00932F1D"/>
    <w:rsid w:val="00933FCA"/>
    <w:rsid w:val="009343AD"/>
    <w:rsid w:val="00934699"/>
    <w:rsid w:val="009349CB"/>
    <w:rsid w:val="00935847"/>
    <w:rsid w:val="00935A3F"/>
    <w:rsid w:val="00935F6D"/>
    <w:rsid w:val="00936E34"/>
    <w:rsid w:val="009379CE"/>
    <w:rsid w:val="009403F1"/>
    <w:rsid w:val="00940C70"/>
    <w:rsid w:val="00940E16"/>
    <w:rsid w:val="00941C14"/>
    <w:rsid w:val="00943721"/>
    <w:rsid w:val="00943B22"/>
    <w:rsid w:val="00945084"/>
    <w:rsid w:val="009463A8"/>
    <w:rsid w:val="009465AE"/>
    <w:rsid w:val="00946BD8"/>
    <w:rsid w:val="00947131"/>
    <w:rsid w:val="0095003E"/>
    <w:rsid w:val="00950125"/>
    <w:rsid w:val="00950964"/>
    <w:rsid w:val="00951958"/>
    <w:rsid w:val="00951F7D"/>
    <w:rsid w:val="0095221E"/>
    <w:rsid w:val="00952B23"/>
    <w:rsid w:val="00952C48"/>
    <w:rsid w:val="00953005"/>
    <w:rsid w:val="009536C3"/>
    <w:rsid w:val="009537B9"/>
    <w:rsid w:val="00953958"/>
    <w:rsid w:val="00953A42"/>
    <w:rsid w:val="00953B42"/>
    <w:rsid w:val="00953DD7"/>
    <w:rsid w:val="009540D1"/>
    <w:rsid w:val="0095434C"/>
    <w:rsid w:val="009547B7"/>
    <w:rsid w:val="00954AEB"/>
    <w:rsid w:val="00954D1E"/>
    <w:rsid w:val="00954D38"/>
    <w:rsid w:val="009553B4"/>
    <w:rsid w:val="009555CE"/>
    <w:rsid w:val="00955EF9"/>
    <w:rsid w:val="00955F01"/>
    <w:rsid w:val="00956681"/>
    <w:rsid w:val="00956B1B"/>
    <w:rsid w:val="00956B40"/>
    <w:rsid w:val="00957130"/>
    <w:rsid w:val="0096037A"/>
    <w:rsid w:val="009618D0"/>
    <w:rsid w:val="00961C3B"/>
    <w:rsid w:val="009628D8"/>
    <w:rsid w:val="009635CE"/>
    <w:rsid w:val="00963836"/>
    <w:rsid w:val="0096532D"/>
    <w:rsid w:val="009654BB"/>
    <w:rsid w:val="009657F7"/>
    <w:rsid w:val="00965B70"/>
    <w:rsid w:val="00965FFF"/>
    <w:rsid w:val="00967E3B"/>
    <w:rsid w:val="00970222"/>
    <w:rsid w:val="0097023C"/>
    <w:rsid w:val="00970F1D"/>
    <w:rsid w:val="00971301"/>
    <w:rsid w:val="009732ED"/>
    <w:rsid w:val="009735CB"/>
    <w:rsid w:val="009736AE"/>
    <w:rsid w:val="00973C29"/>
    <w:rsid w:val="00973FC0"/>
    <w:rsid w:val="00974100"/>
    <w:rsid w:val="009742FE"/>
    <w:rsid w:val="009745C8"/>
    <w:rsid w:val="00975457"/>
    <w:rsid w:val="00975ACD"/>
    <w:rsid w:val="00975CBC"/>
    <w:rsid w:val="009764D1"/>
    <w:rsid w:val="009770BC"/>
    <w:rsid w:val="009774DE"/>
    <w:rsid w:val="00977FFA"/>
    <w:rsid w:val="009804ED"/>
    <w:rsid w:val="00980CAB"/>
    <w:rsid w:val="00980DE2"/>
    <w:rsid w:val="0098109E"/>
    <w:rsid w:val="00981106"/>
    <w:rsid w:val="00981593"/>
    <w:rsid w:val="00981DEB"/>
    <w:rsid w:val="009836A3"/>
    <w:rsid w:val="0098429B"/>
    <w:rsid w:val="00990F97"/>
    <w:rsid w:val="0099137A"/>
    <w:rsid w:val="00992149"/>
    <w:rsid w:val="0099258B"/>
    <w:rsid w:val="009930AF"/>
    <w:rsid w:val="00993932"/>
    <w:rsid w:val="00993BF9"/>
    <w:rsid w:val="0099481C"/>
    <w:rsid w:val="00995829"/>
    <w:rsid w:val="00995AFD"/>
    <w:rsid w:val="00996262"/>
    <w:rsid w:val="0099639C"/>
    <w:rsid w:val="00997CE8"/>
    <w:rsid w:val="00997D5C"/>
    <w:rsid w:val="00997FE3"/>
    <w:rsid w:val="009A06ED"/>
    <w:rsid w:val="009A08D0"/>
    <w:rsid w:val="009A0DB9"/>
    <w:rsid w:val="009A1608"/>
    <w:rsid w:val="009A166B"/>
    <w:rsid w:val="009A283D"/>
    <w:rsid w:val="009A3BD1"/>
    <w:rsid w:val="009A40D8"/>
    <w:rsid w:val="009A4782"/>
    <w:rsid w:val="009A48DE"/>
    <w:rsid w:val="009A48FC"/>
    <w:rsid w:val="009A7C55"/>
    <w:rsid w:val="009B146A"/>
    <w:rsid w:val="009B17B7"/>
    <w:rsid w:val="009B2DDF"/>
    <w:rsid w:val="009B378E"/>
    <w:rsid w:val="009B39E6"/>
    <w:rsid w:val="009B3ACB"/>
    <w:rsid w:val="009B5D9C"/>
    <w:rsid w:val="009B5E6A"/>
    <w:rsid w:val="009B62AD"/>
    <w:rsid w:val="009B6E0C"/>
    <w:rsid w:val="009B791A"/>
    <w:rsid w:val="009C0144"/>
    <w:rsid w:val="009C094D"/>
    <w:rsid w:val="009C10A8"/>
    <w:rsid w:val="009C1B53"/>
    <w:rsid w:val="009C350C"/>
    <w:rsid w:val="009C3738"/>
    <w:rsid w:val="009C3B1B"/>
    <w:rsid w:val="009C4F1A"/>
    <w:rsid w:val="009C5274"/>
    <w:rsid w:val="009C5A51"/>
    <w:rsid w:val="009C6816"/>
    <w:rsid w:val="009C74DD"/>
    <w:rsid w:val="009D0AAA"/>
    <w:rsid w:val="009D1B0D"/>
    <w:rsid w:val="009D1C4C"/>
    <w:rsid w:val="009D1F23"/>
    <w:rsid w:val="009D22DF"/>
    <w:rsid w:val="009D244E"/>
    <w:rsid w:val="009D2B52"/>
    <w:rsid w:val="009D314D"/>
    <w:rsid w:val="009D3225"/>
    <w:rsid w:val="009D3476"/>
    <w:rsid w:val="009D36E1"/>
    <w:rsid w:val="009D3EA3"/>
    <w:rsid w:val="009D498E"/>
    <w:rsid w:val="009D5B2F"/>
    <w:rsid w:val="009D5B8F"/>
    <w:rsid w:val="009D6B35"/>
    <w:rsid w:val="009D6F47"/>
    <w:rsid w:val="009E0035"/>
    <w:rsid w:val="009E0191"/>
    <w:rsid w:val="009E0277"/>
    <w:rsid w:val="009E0C5F"/>
    <w:rsid w:val="009E13A8"/>
    <w:rsid w:val="009E1A1B"/>
    <w:rsid w:val="009E26C9"/>
    <w:rsid w:val="009E4B20"/>
    <w:rsid w:val="009E516D"/>
    <w:rsid w:val="009E56F0"/>
    <w:rsid w:val="009E7005"/>
    <w:rsid w:val="009F16BD"/>
    <w:rsid w:val="009F1C29"/>
    <w:rsid w:val="009F3FC8"/>
    <w:rsid w:val="009F4F07"/>
    <w:rsid w:val="009F57EF"/>
    <w:rsid w:val="009F669D"/>
    <w:rsid w:val="009F68EF"/>
    <w:rsid w:val="00A016C0"/>
    <w:rsid w:val="00A02696"/>
    <w:rsid w:val="00A03474"/>
    <w:rsid w:val="00A039B4"/>
    <w:rsid w:val="00A04032"/>
    <w:rsid w:val="00A04C77"/>
    <w:rsid w:val="00A05BC7"/>
    <w:rsid w:val="00A068C5"/>
    <w:rsid w:val="00A10AF0"/>
    <w:rsid w:val="00A11B9C"/>
    <w:rsid w:val="00A120AD"/>
    <w:rsid w:val="00A121A6"/>
    <w:rsid w:val="00A12276"/>
    <w:rsid w:val="00A12529"/>
    <w:rsid w:val="00A127D4"/>
    <w:rsid w:val="00A12D18"/>
    <w:rsid w:val="00A13E2D"/>
    <w:rsid w:val="00A142FF"/>
    <w:rsid w:val="00A146C3"/>
    <w:rsid w:val="00A151BE"/>
    <w:rsid w:val="00A15767"/>
    <w:rsid w:val="00A15EC9"/>
    <w:rsid w:val="00A16B98"/>
    <w:rsid w:val="00A16CEC"/>
    <w:rsid w:val="00A20CC3"/>
    <w:rsid w:val="00A21BF5"/>
    <w:rsid w:val="00A21D6F"/>
    <w:rsid w:val="00A231CF"/>
    <w:rsid w:val="00A23A88"/>
    <w:rsid w:val="00A253A2"/>
    <w:rsid w:val="00A25B03"/>
    <w:rsid w:val="00A30FC7"/>
    <w:rsid w:val="00A31388"/>
    <w:rsid w:val="00A31E63"/>
    <w:rsid w:val="00A31F2B"/>
    <w:rsid w:val="00A32A41"/>
    <w:rsid w:val="00A32D0D"/>
    <w:rsid w:val="00A32D51"/>
    <w:rsid w:val="00A3408D"/>
    <w:rsid w:val="00A34C2B"/>
    <w:rsid w:val="00A3513A"/>
    <w:rsid w:val="00A35ED4"/>
    <w:rsid w:val="00A3619E"/>
    <w:rsid w:val="00A37487"/>
    <w:rsid w:val="00A3785D"/>
    <w:rsid w:val="00A414CD"/>
    <w:rsid w:val="00A41D28"/>
    <w:rsid w:val="00A4287F"/>
    <w:rsid w:val="00A429C9"/>
    <w:rsid w:val="00A42F1A"/>
    <w:rsid w:val="00A43702"/>
    <w:rsid w:val="00A45756"/>
    <w:rsid w:val="00A45B34"/>
    <w:rsid w:val="00A45DFD"/>
    <w:rsid w:val="00A463AC"/>
    <w:rsid w:val="00A46412"/>
    <w:rsid w:val="00A4702B"/>
    <w:rsid w:val="00A475AC"/>
    <w:rsid w:val="00A4769A"/>
    <w:rsid w:val="00A476E2"/>
    <w:rsid w:val="00A50125"/>
    <w:rsid w:val="00A50DDE"/>
    <w:rsid w:val="00A50FF0"/>
    <w:rsid w:val="00A51709"/>
    <w:rsid w:val="00A51718"/>
    <w:rsid w:val="00A517F3"/>
    <w:rsid w:val="00A51C48"/>
    <w:rsid w:val="00A52122"/>
    <w:rsid w:val="00A52516"/>
    <w:rsid w:val="00A5289B"/>
    <w:rsid w:val="00A53738"/>
    <w:rsid w:val="00A556B5"/>
    <w:rsid w:val="00A569FC"/>
    <w:rsid w:val="00A56B4C"/>
    <w:rsid w:val="00A56EB8"/>
    <w:rsid w:val="00A577F8"/>
    <w:rsid w:val="00A601FD"/>
    <w:rsid w:val="00A6089B"/>
    <w:rsid w:val="00A60E31"/>
    <w:rsid w:val="00A61165"/>
    <w:rsid w:val="00A61D78"/>
    <w:rsid w:val="00A6223D"/>
    <w:rsid w:val="00A62755"/>
    <w:rsid w:val="00A62904"/>
    <w:rsid w:val="00A62D5A"/>
    <w:rsid w:val="00A6377A"/>
    <w:rsid w:val="00A63C84"/>
    <w:rsid w:val="00A644A6"/>
    <w:rsid w:val="00A64BB7"/>
    <w:rsid w:val="00A65306"/>
    <w:rsid w:val="00A654EF"/>
    <w:rsid w:val="00A65CA0"/>
    <w:rsid w:val="00A65FBA"/>
    <w:rsid w:val="00A6678E"/>
    <w:rsid w:val="00A7034F"/>
    <w:rsid w:val="00A70F4D"/>
    <w:rsid w:val="00A723F0"/>
    <w:rsid w:val="00A72520"/>
    <w:rsid w:val="00A72AAF"/>
    <w:rsid w:val="00A72D75"/>
    <w:rsid w:val="00A73D22"/>
    <w:rsid w:val="00A740C1"/>
    <w:rsid w:val="00A7465D"/>
    <w:rsid w:val="00A74BFA"/>
    <w:rsid w:val="00A759F8"/>
    <w:rsid w:val="00A76A51"/>
    <w:rsid w:val="00A77182"/>
    <w:rsid w:val="00A77CF1"/>
    <w:rsid w:val="00A810DB"/>
    <w:rsid w:val="00A81B42"/>
    <w:rsid w:val="00A827E4"/>
    <w:rsid w:val="00A82CF5"/>
    <w:rsid w:val="00A830E4"/>
    <w:rsid w:val="00A83A68"/>
    <w:rsid w:val="00A840CE"/>
    <w:rsid w:val="00A844DF"/>
    <w:rsid w:val="00A84AD8"/>
    <w:rsid w:val="00A84FD4"/>
    <w:rsid w:val="00A8581D"/>
    <w:rsid w:val="00A85F0B"/>
    <w:rsid w:val="00A871D7"/>
    <w:rsid w:val="00A90550"/>
    <w:rsid w:val="00A90A86"/>
    <w:rsid w:val="00A93DF0"/>
    <w:rsid w:val="00A93FF0"/>
    <w:rsid w:val="00A9409E"/>
    <w:rsid w:val="00A9417A"/>
    <w:rsid w:val="00A946DF"/>
    <w:rsid w:val="00A94CF7"/>
    <w:rsid w:val="00A94FD1"/>
    <w:rsid w:val="00A958DA"/>
    <w:rsid w:val="00A9624D"/>
    <w:rsid w:val="00A96EB6"/>
    <w:rsid w:val="00A97082"/>
    <w:rsid w:val="00A9717D"/>
    <w:rsid w:val="00AA0162"/>
    <w:rsid w:val="00AA068D"/>
    <w:rsid w:val="00AA0E23"/>
    <w:rsid w:val="00AA1AC1"/>
    <w:rsid w:val="00AA245F"/>
    <w:rsid w:val="00AA25F2"/>
    <w:rsid w:val="00AA4936"/>
    <w:rsid w:val="00AA6106"/>
    <w:rsid w:val="00AA75C8"/>
    <w:rsid w:val="00AA7714"/>
    <w:rsid w:val="00AA7C09"/>
    <w:rsid w:val="00AB0D0F"/>
    <w:rsid w:val="00AB1C8C"/>
    <w:rsid w:val="00AB2ACA"/>
    <w:rsid w:val="00AB3D27"/>
    <w:rsid w:val="00AB3ED9"/>
    <w:rsid w:val="00AB450D"/>
    <w:rsid w:val="00AB4780"/>
    <w:rsid w:val="00AB67C8"/>
    <w:rsid w:val="00AB7C96"/>
    <w:rsid w:val="00AC0EA9"/>
    <w:rsid w:val="00AC2697"/>
    <w:rsid w:val="00AC2822"/>
    <w:rsid w:val="00AC4818"/>
    <w:rsid w:val="00AC5610"/>
    <w:rsid w:val="00AC6749"/>
    <w:rsid w:val="00AC6A5A"/>
    <w:rsid w:val="00AC7E8E"/>
    <w:rsid w:val="00AD0DB5"/>
    <w:rsid w:val="00AD0DC2"/>
    <w:rsid w:val="00AD167E"/>
    <w:rsid w:val="00AD19FE"/>
    <w:rsid w:val="00AD1D60"/>
    <w:rsid w:val="00AD1F5D"/>
    <w:rsid w:val="00AD2053"/>
    <w:rsid w:val="00AD2162"/>
    <w:rsid w:val="00AD235E"/>
    <w:rsid w:val="00AD4068"/>
    <w:rsid w:val="00AD4206"/>
    <w:rsid w:val="00AD4E92"/>
    <w:rsid w:val="00AD5DAC"/>
    <w:rsid w:val="00AD68D5"/>
    <w:rsid w:val="00AD7652"/>
    <w:rsid w:val="00AE02DF"/>
    <w:rsid w:val="00AE0576"/>
    <w:rsid w:val="00AE0966"/>
    <w:rsid w:val="00AE1002"/>
    <w:rsid w:val="00AE1280"/>
    <w:rsid w:val="00AE23CE"/>
    <w:rsid w:val="00AE28E7"/>
    <w:rsid w:val="00AE346E"/>
    <w:rsid w:val="00AE482F"/>
    <w:rsid w:val="00AE5380"/>
    <w:rsid w:val="00AE542D"/>
    <w:rsid w:val="00AE544A"/>
    <w:rsid w:val="00AE5AEC"/>
    <w:rsid w:val="00AE5F91"/>
    <w:rsid w:val="00AE61D8"/>
    <w:rsid w:val="00AE62BA"/>
    <w:rsid w:val="00AE74B2"/>
    <w:rsid w:val="00AE7A4D"/>
    <w:rsid w:val="00AF135D"/>
    <w:rsid w:val="00AF18D7"/>
    <w:rsid w:val="00AF21A6"/>
    <w:rsid w:val="00AF2388"/>
    <w:rsid w:val="00AF2C07"/>
    <w:rsid w:val="00AF33E0"/>
    <w:rsid w:val="00AF3A0A"/>
    <w:rsid w:val="00AF482A"/>
    <w:rsid w:val="00AF5760"/>
    <w:rsid w:val="00AF5D46"/>
    <w:rsid w:val="00B01528"/>
    <w:rsid w:val="00B02C14"/>
    <w:rsid w:val="00B02F29"/>
    <w:rsid w:val="00B04F86"/>
    <w:rsid w:val="00B05391"/>
    <w:rsid w:val="00B055C9"/>
    <w:rsid w:val="00B06356"/>
    <w:rsid w:val="00B0672B"/>
    <w:rsid w:val="00B10BE4"/>
    <w:rsid w:val="00B10EA2"/>
    <w:rsid w:val="00B11010"/>
    <w:rsid w:val="00B11D06"/>
    <w:rsid w:val="00B120B8"/>
    <w:rsid w:val="00B128DC"/>
    <w:rsid w:val="00B14FB9"/>
    <w:rsid w:val="00B15D6F"/>
    <w:rsid w:val="00B15E6A"/>
    <w:rsid w:val="00B21572"/>
    <w:rsid w:val="00B217CC"/>
    <w:rsid w:val="00B2407D"/>
    <w:rsid w:val="00B24D7F"/>
    <w:rsid w:val="00B25DB1"/>
    <w:rsid w:val="00B2727C"/>
    <w:rsid w:val="00B303D3"/>
    <w:rsid w:val="00B31AE5"/>
    <w:rsid w:val="00B32180"/>
    <w:rsid w:val="00B3349E"/>
    <w:rsid w:val="00B337DD"/>
    <w:rsid w:val="00B3395F"/>
    <w:rsid w:val="00B3500B"/>
    <w:rsid w:val="00B36B40"/>
    <w:rsid w:val="00B37F19"/>
    <w:rsid w:val="00B4005C"/>
    <w:rsid w:val="00B40988"/>
    <w:rsid w:val="00B40F96"/>
    <w:rsid w:val="00B4109C"/>
    <w:rsid w:val="00B42578"/>
    <w:rsid w:val="00B428E6"/>
    <w:rsid w:val="00B42D76"/>
    <w:rsid w:val="00B44313"/>
    <w:rsid w:val="00B4444F"/>
    <w:rsid w:val="00B457F4"/>
    <w:rsid w:val="00B4692B"/>
    <w:rsid w:val="00B46D1D"/>
    <w:rsid w:val="00B47338"/>
    <w:rsid w:val="00B47A7F"/>
    <w:rsid w:val="00B47B79"/>
    <w:rsid w:val="00B510AF"/>
    <w:rsid w:val="00B517E2"/>
    <w:rsid w:val="00B51BFE"/>
    <w:rsid w:val="00B52C91"/>
    <w:rsid w:val="00B53053"/>
    <w:rsid w:val="00B54499"/>
    <w:rsid w:val="00B54F4A"/>
    <w:rsid w:val="00B56148"/>
    <w:rsid w:val="00B5666E"/>
    <w:rsid w:val="00B56D32"/>
    <w:rsid w:val="00B57B08"/>
    <w:rsid w:val="00B61833"/>
    <w:rsid w:val="00B61D1A"/>
    <w:rsid w:val="00B6251C"/>
    <w:rsid w:val="00B6261C"/>
    <w:rsid w:val="00B62836"/>
    <w:rsid w:val="00B62971"/>
    <w:rsid w:val="00B62B22"/>
    <w:rsid w:val="00B62CF9"/>
    <w:rsid w:val="00B639AE"/>
    <w:rsid w:val="00B63FAF"/>
    <w:rsid w:val="00B65015"/>
    <w:rsid w:val="00B653AA"/>
    <w:rsid w:val="00B66021"/>
    <w:rsid w:val="00B66467"/>
    <w:rsid w:val="00B670D9"/>
    <w:rsid w:val="00B6778C"/>
    <w:rsid w:val="00B7066B"/>
    <w:rsid w:val="00B70E66"/>
    <w:rsid w:val="00B71318"/>
    <w:rsid w:val="00B71B99"/>
    <w:rsid w:val="00B72421"/>
    <w:rsid w:val="00B72E41"/>
    <w:rsid w:val="00B73234"/>
    <w:rsid w:val="00B738E8"/>
    <w:rsid w:val="00B73BD3"/>
    <w:rsid w:val="00B73C59"/>
    <w:rsid w:val="00B74CAF"/>
    <w:rsid w:val="00B76094"/>
    <w:rsid w:val="00B7644B"/>
    <w:rsid w:val="00B772E2"/>
    <w:rsid w:val="00B77555"/>
    <w:rsid w:val="00B809D3"/>
    <w:rsid w:val="00B81195"/>
    <w:rsid w:val="00B8139A"/>
    <w:rsid w:val="00B8168E"/>
    <w:rsid w:val="00B81A60"/>
    <w:rsid w:val="00B835CB"/>
    <w:rsid w:val="00B837BE"/>
    <w:rsid w:val="00B83C05"/>
    <w:rsid w:val="00B842D7"/>
    <w:rsid w:val="00B8484B"/>
    <w:rsid w:val="00B84A3A"/>
    <w:rsid w:val="00B84A9D"/>
    <w:rsid w:val="00B85B74"/>
    <w:rsid w:val="00B870AA"/>
    <w:rsid w:val="00B91795"/>
    <w:rsid w:val="00B922EE"/>
    <w:rsid w:val="00B930D5"/>
    <w:rsid w:val="00B9383F"/>
    <w:rsid w:val="00B93BDA"/>
    <w:rsid w:val="00B94896"/>
    <w:rsid w:val="00B953FE"/>
    <w:rsid w:val="00B954AD"/>
    <w:rsid w:val="00B95B4A"/>
    <w:rsid w:val="00B974C1"/>
    <w:rsid w:val="00B97BDE"/>
    <w:rsid w:val="00B97D99"/>
    <w:rsid w:val="00BA0CA8"/>
    <w:rsid w:val="00BA16B5"/>
    <w:rsid w:val="00BA16D4"/>
    <w:rsid w:val="00BA2869"/>
    <w:rsid w:val="00BA40E8"/>
    <w:rsid w:val="00BA568F"/>
    <w:rsid w:val="00BA7043"/>
    <w:rsid w:val="00BA74EA"/>
    <w:rsid w:val="00BA77BD"/>
    <w:rsid w:val="00BB066C"/>
    <w:rsid w:val="00BB12B1"/>
    <w:rsid w:val="00BB1E75"/>
    <w:rsid w:val="00BB245B"/>
    <w:rsid w:val="00BB3200"/>
    <w:rsid w:val="00BB3260"/>
    <w:rsid w:val="00BB4072"/>
    <w:rsid w:val="00BB4121"/>
    <w:rsid w:val="00BB44CB"/>
    <w:rsid w:val="00BB4D96"/>
    <w:rsid w:val="00BB5312"/>
    <w:rsid w:val="00BB5A55"/>
    <w:rsid w:val="00BB5E96"/>
    <w:rsid w:val="00BB673B"/>
    <w:rsid w:val="00BB69D2"/>
    <w:rsid w:val="00BB7A9C"/>
    <w:rsid w:val="00BB7D1D"/>
    <w:rsid w:val="00BC0B8E"/>
    <w:rsid w:val="00BC0EC0"/>
    <w:rsid w:val="00BC1300"/>
    <w:rsid w:val="00BC19A8"/>
    <w:rsid w:val="00BC255B"/>
    <w:rsid w:val="00BC3DCD"/>
    <w:rsid w:val="00BC3E95"/>
    <w:rsid w:val="00BC4C01"/>
    <w:rsid w:val="00BC5763"/>
    <w:rsid w:val="00BC7074"/>
    <w:rsid w:val="00BC7E1C"/>
    <w:rsid w:val="00BD0C1A"/>
    <w:rsid w:val="00BD1972"/>
    <w:rsid w:val="00BD2441"/>
    <w:rsid w:val="00BD2871"/>
    <w:rsid w:val="00BD2A34"/>
    <w:rsid w:val="00BD3F29"/>
    <w:rsid w:val="00BD42B4"/>
    <w:rsid w:val="00BD5104"/>
    <w:rsid w:val="00BD54A5"/>
    <w:rsid w:val="00BD5934"/>
    <w:rsid w:val="00BD71DF"/>
    <w:rsid w:val="00BD7CC0"/>
    <w:rsid w:val="00BE0153"/>
    <w:rsid w:val="00BE0F01"/>
    <w:rsid w:val="00BE1892"/>
    <w:rsid w:val="00BE3379"/>
    <w:rsid w:val="00BE3E20"/>
    <w:rsid w:val="00BE3F5E"/>
    <w:rsid w:val="00BE417B"/>
    <w:rsid w:val="00BE525F"/>
    <w:rsid w:val="00BE5448"/>
    <w:rsid w:val="00BE5640"/>
    <w:rsid w:val="00BE5F4C"/>
    <w:rsid w:val="00BE6771"/>
    <w:rsid w:val="00BE7279"/>
    <w:rsid w:val="00BE7EF1"/>
    <w:rsid w:val="00BF07A5"/>
    <w:rsid w:val="00BF1049"/>
    <w:rsid w:val="00BF204F"/>
    <w:rsid w:val="00BF2EF2"/>
    <w:rsid w:val="00BF2F6B"/>
    <w:rsid w:val="00BF3ADC"/>
    <w:rsid w:val="00BF46D5"/>
    <w:rsid w:val="00BF55E3"/>
    <w:rsid w:val="00BF568B"/>
    <w:rsid w:val="00BF5997"/>
    <w:rsid w:val="00BF59E4"/>
    <w:rsid w:val="00BF5C77"/>
    <w:rsid w:val="00BF5C9F"/>
    <w:rsid w:val="00BF6BFD"/>
    <w:rsid w:val="00BF764B"/>
    <w:rsid w:val="00C003DE"/>
    <w:rsid w:val="00C0124D"/>
    <w:rsid w:val="00C02DF1"/>
    <w:rsid w:val="00C02E14"/>
    <w:rsid w:val="00C04898"/>
    <w:rsid w:val="00C052CE"/>
    <w:rsid w:val="00C05B2B"/>
    <w:rsid w:val="00C06B01"/>
    <w:rsid w:val="00C06FA1"/>
    <w:rsid w:val="00C07481"/>
    <w:rsid w:val="00C07FD4"/>
    <w:rsid w:val="00C101FC"/>
    <w:rsid w:val="00C10606"/>
    <w:rsid w:val="00C11177"/>
    <w:rsid w:val="00C111B5"/>
    <w:rsid w:val="00C11F9D"/>
    <w:rsid w:val="00C129AE"/>
    <w:rsid w:val="00C146D4"/>
    <w:rsid w:val="00C15625"/>
    <w:rsid w:val="00C159E2"/>
    <w:rsid w:val="00C15CB1"/>
    <w:rsid w:val="00C16F37"/>
    <w:rsid w:val="00C1773F"/>
    <w:rsid w:val="00C178D6"/>
    <w:rsid w:val="00C2016A"/>
    <w:rsid w:val="00C20312"/>
    <w:rsid w:val="00C20B81"/>
    <w:rsid w:val="00C212DB"/>
    <w:rsid w:val="00C21D0E"/>
    <w:rsid w:val="00C22906"/>
    <w:rsid w:val="00C22B6E"/>
    <w:rsid w:val="00C245A9"/>
    <w:rsid w:val="00C24A17"/>
    <w:rsid w:val="00C24A3B"/>
    <w:rsid w:val="00C24B3A"/>
    <w:rsid w:val="00C2539E"/>
    <w:rsid w:val="00C25511"/>
    <w:rsid w:val="00C2613F"/>
    <w:rsid w:val="00C30363"/>
    <w:rsid w:val="00C305F1"/>
    <w:rsid w:val="00C3166B"/>
    <w:rsid w:val="00C31E0E"/>
    <w:rsid w:val="00C3287B"/>
    <w:rsid w:val="00C33629"/>
    <w:rsid w:val="00C338CE"/>
    <w:rsid w:val="00C34B43"/>
    <w:rsid w:val="00C3507B"/>
    <w:rsid w:val="00C3684A"/>
    <w:rsid w:val="00C379F5"/>
    <w:rsid w:val="00C409C0"/>
    <w:rsid w:val="00C41994"/>
    <w:rsid w:val="00C41D02"/>
    <w:rsid w:val="00C41D5F"/>
    <w:rsid w:val="00C42099"/>
    <w:rsid w:val="00C4244C"/>
    <w:rsid w:val="00C42664"/>
    <w:rsid w:val="00C42AAF"/>
    <w:rsid w:val="00C44562"/>
    <w:rsid w:val="00C45A9F"/>
    <w:rsid w:val="00C45AA4"/>
    <w:rsid w:val="00C46163"/>
    <w:rsid w:val="00C468A9"/>
    <w:rsid w:val="00C46C5D"/>
    <w:rsid w:val="00C46FCC"/>
    <w:rsid w:val="00C47255"/>
    <w:rsid w:val="00C473B7"/>
    <w:rsid w:val="00C47430"/>
    <w:rsid w:val="00C47865"/>
    <w:rsid w:val="00C5096E"/>
    <w:rsid w:val="00C523E3"/>
    <w:rsid w:val="00C5241B"/>
    <w:rsid w:val="00C52F37"/>
    <w:rsid w:val="00C5320C"/>
    <w:rsid w:val="00C53C1D"/>
    <w:rsid w:val="00C5476A"/>
    <w:rsid w:val="00C54D04"/>
    <w:rsid w:val="00C553D4"/>
    <w:rsid w:val="00C55C6F"/>
    <w:rsid w:val="00C55F05"/>
    <w:rsid w:val="00C55F6C"/>
    <w:rsid w:val="00C56B9F"/>
    <w:rsid w:val="00C5749D"/>
    <w:rsid w:val="00C57848"/>
    <w:rsid w:val="00C57DEC"/>
    <w:rsid w:val="00C60045"/>
    <w:rsid w:val="00C60273"/>
    <w:rsid w:val="00C60438"/>
    <w:rsid w:val="00C6086A"/>
    <w:rsid w:val="00C6091E"/>
    <w:rsid w:val="00C60A97"/>
    <w:rsid w:val="00C64AD3"/>
    <w:rsid w:val="00C679FF"/>
    <w:rsid w:val="00C67E8E"/>
    <w:rsid w:val="00C704DB"/>
    <w:rsid w:val="00C7126F"/>
    <w:rsid w:val="00C71911"/>
    <w:rsid w:val="00C72553"/>
    <w:rsid w:val="00C7297C"/>
    <w:rsid w:val="00C72C12"/>
    <w:rsid w:val="00C73C6F"/>
    <w:rsid w:val="00C74898"/>
    <w:rsid w:val="00C74CED"/>
    <w:rsid w:val="00C75E24"/>
    <w:rsid w:val="00C75ECC"/>
    <w:rsid w:val="00C76B86"/>
    <w:rsid w:val="00C7742F"/>
    <w:rsid w:val="00C775CE"/>
    <w:rsid w:val="00C80BD5"/>
    <w:rsid w:val="00C80EAD"/>
    <w:rsid w:val="00C81679"/>
    <w:rsid w:val="00C81EB0"/>
    <w:rsid w:val="00C84ADF"/>
    <w:rsid w:val="00C85069"/>
    <w:rsid w:val="00C87CD3"/>
    <w:rsid w:val="00C87DB8"/>
    <w:rsid w:val="00C87FBB"/>
    <w:rsid w:val="00C911EB"/>
    <w:rsid w:val="00C911EE"/>
    <w:rsid w:val="00C91ADC"/>
    <w:rsid w:val="00C91C5C"/>
    <w:rsid w:val="00C925EF"/>
    <w:rsid w:val="00C92FA9"/>
    <w:rsid w:val="00C939C5"/>
    <w:rsid w:val="00C94CF5"/>
    <w:rsid w:val="00C95885"/>
    <w:rsid w:val="00C969D1"/>
    <w:rsid w:val="00C972ED"/>
    <w:rsid w:val="00C973A6"/>
    <w:rsid w:val="00C9799D"/>
    <w:rsid w:val="00C97ADC"/>
    <w:rsid w:val="00CA0E53"/>
    <w:rsid w:val="00CA1E17"/>
    <w:rsid w:val="00CA1FE7"/>
    <w:rsid w:val="00CA27DC"/>
    <w:rsid w:val="00CA2B06"/>
    <w:rsid w:val="00CA2F09"/>
    <w:rsid w:val="00CA2FFB"/>
    <w:rsid w:val="00CA31DB"/>
    <w:rsid w:val="00CA3239"/>
    <w:rsid w:val="00CA33C6"/>
    <w:rsid w:val="00CA3B49"/>
    <w:rsid w:val="00CA4E8A"/>
    <w:rsid w:val="00CA4F69"/>
    <w:rsid w:val="00CA5F17"/>
    <w:rsid w:val="00CA6C6F"/>
    <w:rsid w:val="00CA6F3F"/>
    <w:rsid w:val="00CA7028"/>
    <w:rsid w:val="00CA7266"/>
    <w:rsid w:val="00CA7957"/>
    <w:rsid w:val="00CB103C"/>
    <w:rsid w:val="00CB15C9"/>
    <w:rsid w:val="00CB1828"/>
    <w:rsid w:val="00CB185B"/>
    <w:rsid w:val="00CB4942"/>
    <w:rsid w:val="00CB498F"/>
    <w:rsid w:val="00CB60B4"/>
    <w:rsid w:val="00CB70B8"/>
    <w:rsid w:val="00CC0142"/>
    <w:rsid w:val="00CC0629"/>
    <w:rsid w:val="00CC081B"/>
    <w:rsid w:val="00CC0B61"/>
    <w:rsid w:val="00CC0D0A"/>
    <w:rsid w:val="00CC15E9"/>
    <w:rsid w:val="00CC1772"/>
    <w:rsid w:val="00CC25A4"/>
    <w:rsid w:val="00CC2E1C"/>
    <w:rsid w:val="00CC4EB3"/>
    <w:rsid w:val="00CC5ED0"/>
    <w:rsid w:val="00CC666E"/>
    <w:rsid w:val="00CC68E4"/>
    <w:rsid w:val="00CC6A35"/>
    <w:rsid w:val="00CD07D8"/>
    <w:rsid w:val="00CD17CB"/>
    <w:rsid w:val="00CD2EA8"/>
    <w:rsid w:val="00CD366E"/>
    <w:rsid w:val="00CD38B4"/>
    <w:rsid w:val="00CD414E"/>
    <w:rsid w:val="00CD42B6"/>
    <w:rsid w:val="00CD4C07"/>
    <w:rsid w:val="00CD4D52"/>
    <w:rsid w:val="00CD5163"/>
    <w:rsid w:val="00CD56CA"/>
    <w:rsid w:val="00CD6949"/>
    <w:rsid w:val="00CD6FDC"/>
    <w:rsid w:val="00CD7D19"/>
    <w:rsid w:val="00CD7E57"/>
    <w:rsid w:val="00CE021E"/>
    <w:rsid w:val="00CE08C0"/>
    <w:rsid w:val="00CE230D"/>
    <w:rsid w:val="00CE253E"/>
    <w:rsid w:val="00CE2FB1"/>
    <w:rsid w:val="00CE3561"/>
    <w:rsid w:val="00CE3B24"/>
    <w:rsid w:val="00CE4A44"/>
    <w:rsid w:val="00CE5B1B"/>
    <w:rsid w:val="00CE60FE"/>
    <w:rsid w:val="00CE6991"/>
    <w:rsid w:val="00CE6FBA"/>
    <w:rsid w:val="00CF0159"/>
    <w:rsid w:val="00CF047A"/>
    <w:rsid w:val="00CF1457"/>
    <w:rsid w:val="00CF19C0"/>
    <w:rsid w:val="00CF2045"/>
    <w:rsid w:val="00CF251E"/>
    <w:rsid w:val="00CF3EF0"/>
    <w:rsid w:val="00CF50D2"/>
    <w:rsid w:val="00CF567D"/>
    <w:rsid w:val="00CF6328"/>
    <w:rsid w:val="00CF6F6E"/>
    <w:rsid w:val="00D001AB"/>
    <w:rsid w:val="00D00216"/>
    <w:rsid w:val="00D01283"/>
    <w:rsid w:val="00D02364"/>
    <w:rsid w:val="00D02C6E"/>
    <w:rsid w:val="00D0402E"/>
    <w:rsid w:val="00D042AE"/>
    <w:rsid w:val="00D04EC1"/>
    <w:rsid w:val="00D04F9B"/>
    <w:rsid w:val="00D05F38"/>
    <w:rsid w:val="00D064EE"/>
    <w:rsid w:val="00D06CE4"/>
    <w:rsid w:val="00D0711F"/>
    <w:rsid w:val="00D07315"/>
    <w:rsid w:val="00D0749D"/>
    <w:rsid w:val="00D0770D"/>
    <w:rsid w:val="00D078F9"/>
    <w:rsid w:val="00D079A3"/>
    <w:rsid w:val="00D100E0"/>
    <w:rsid w:val="00D1099E"/>
    <w:rsid w:val="00D10F7C"/>
    <w:rsid w:val="00D114A0"/>
    <w:rsid w:val="00D115F3"/>
    <w:rsid w:val="00D12667"/>
    <w:rsid w:val="00D12A91"/>
    <w:rsid w:val="00D14368"/>
    <w:rsid w:val="00D1673D"/>
    <w:rsid w:val="00D17AB6"/>
    <w:rsid w:val="00D17CC3"/>
    <w:rsid w:val="00D20760"/>
    <w:rsid w:val="00D20FB8"/>
    <w:rsid w:val="00D214A0"/>
    <w:rsid w:val="00D22B7F"/>
    <w:rsid w:val="00D22C9F"/>
    <w:rsid w:val="00D22D9C"/>
    <w:rsid w:val="00D23D18"/>
    <w:rsid w:val="00D2447D"/>
    <w:rsid w:val="00D24AB6"/>
    <w:rsid w:val="00D26DFA"/>
    <w:rsid w:val="00D26E68"/>
    <w:rsid w:val="00D27B4D"/>
    <w:rsid w:val="00D30D12"/>
    <w:rsid w:val="00D3180D"/>
    <w:rsid w:val="00D32AC3"/>
    <w:rsid w:val="00D333ED"/>
    <w:rsid w:val="00D33EBC"/>
    <w:rsid w:val="00D33EF5"/>
    <w:rsid w:val="00D34524"/>
    <w:rsid w:val="00D34647"/>
    <w:rsid w:val="00D365EE"/>
    <w:rsid w:val="00D376A4"/>
    <w:rsid w:val="00D376DA"/>
    <w:rsid w:val="00D37DEF"/>
    <w:rsid w:val="00D402A7"/>
    <w:rsid w:val="00D40310"/>
    <w:rsid w:val="00D40C83"/>
    <w:rsid w:val="00D4173A"/>
    <w:rsid w:val="00D42181"/>
    <w:rsid w:val="00D42CE5"/>
    <w:rsid w:val="00D42FE9"/>
    <w:rsid w:val="00D430D0"/>
    <w:rsid w:val="00D44332"/>
    <w:rsid w:val="00D465B5"/>
    <w:rsid w:val="00D510E7"/>
    <w:rsid w:val="00D517CC"/>
    <w:rsid w:val="00D51CFB"/>
    <w:rsid w:val="00D52A91"/>
    <w:rsid w:val="00D52B7C"/>
    <w:rsid w:val="00D53AC7"/>
    <w:rsid w:val="00D5415F"/>
    <w:rsid w:val="00D55325"/>
    <w:rsid w:val="00D55413"/>
    <w:rsid w:val="00D55494"/>
    <w:rsid w:val="00D56F3D"/>
    <w:rsid w:val="00D578DD"/>
    <w:rsid w:val="00D57938"/>
    <w:rsid w:val="00D57CE0"/>
    <w:rsid w:val="00D60CFE"/>
    <w:rsid w:val="00D61E2D"/>
    <w:rsid w:val="00D6235C"/>
    <w:rsid w:val="00D627CA"/>
    <w:rsid w:val="00D6483A"/>
    <w:rsid w:val="00D65241"/>
    <w:rsid w:val="00D65B8D"/>
    <w:rsid w:val="00D65FEA"/>
    <w:rsid w:val="00D671A4"/>
    <w:rsid w:val="00D674B2"/>
    <w:rsid w:val="00D67782"/>
    <w:rsid w:val="00D71700"/>
    <w:rsid w:val="00D719E0"/>
    <w:rsid w:val="00D72314"/>
    <w:rsid w:val="00D75AE8"/>
    <w:rsid w:val="00D801B5"/>
    <w:rsid w:val="00D805E7"/>
    <w:rsid w:val="00D80A74"/>
    <w:rsid w:val="00D80F3F"/>
    <w:rsid w:val="00D81137"/>
    <w:rsid w:val="00D81765"/>
    <w:rsid w:val="00D82A4D"/>
    <w:rsid w:val="00D83746"/>
    <w:rsid w:val="00D83E57"/>
    <w:rsid w:val="00D8585E"/>
    <w:rsid w:val="00D85BF5"/>
    <w:rsid w:val="00D87196"/>
    <w:rsid w:val="00D912E5"/>
    <w:rsid w:val="00D91A96"/>
    <w:rsid w:val="00D9284A"/>
    <w:rsid w:val="00D9382C"/>
    <w:rsid w:val="00D951EE"/>
    <w:rsid w:val="00D952B7"/>
    <w:rsid w:val="00D958E2"/>
    <w:rsid w:val="00D965C8"/>
    <w:rsid w:val="00D96F7C"/>
    <w:rsid w:val="00DA0B59"/>
    <w:rsid w:val="00DA0CC3"/>
    <w:rsid w:val="00DA1C37"/>
    <w:rsid w:val="00DA1CB5"/>
    <w:rsid w:val="00DA2AD4"/>
    <w:rsid w:val="00DA352A"/>
    <w:rsid w:val="00DA50FA"/>
    <w:rsid w:val="00DA548A"/>
    <w:rsid w:val="00DA6ACA"/>
    <w:rsid w:val="00DA6C7F"/>
    <w:rsid w:val="00DA75FC"/>
    <w:rsid w:val="00DA7FB4"/>
    <w:rsid w:val="00DB0C9E"/>
    <w:rsid w:val="00DB1329"/>
    <w:rsid w:val="00DB1591"/>
    <w:rsid w:val="00DB22C6"/>
    <w:rsid w:val="00DB2DF1"/>
    <w:rsid w:val="00DB32DA"/>
    <w:rsid w:val="00DB3B5B"/>
    <w:rsid w:val="00DB4B14"/>
    <w:rsid w:val="00DB527B"/>
    <w:rsid w:val="00DB59BB"/>
    <w:rsid w:val="00DB5C12"/>
    <w:rsid w:val="00DB605E"/>
    <w:rsid w:val="00DB6546"/>
    <w:rsid w:val="00DB7A7A"/>
    <w:rsid w:val="00DC0159"/>
    <w:rsid w:val="00DC0D03"/>
    <w:rsid w:val="00DC101B"/>
    <w:rsid w:val="00DC22E8"/>
    <w:rsid w:val="00DC2A1E"/>
    <w:rsid w:val="00DC2DA8"/>
    <w:rsid w:val="00DC2E8E"/>
    <w:rsid w:val="00DC3354"/>
    <w:rsid w:val="00DC40B9"/>
    <w:rsid w:val="00DC4331"/>
    <w:rsid w:val="00DC64A8"/>
    <w:rsid w:val="00DC680B"/>
    <w:rsid w:val="00DC6F91"/>
    <w:rsid w:val="00DD0AE9"/>
    <w:rsid w:val="00DD0CF5"/>
    <w:rsid w:val="00DD107E"/>
    <w:rsid w:val="00DD11F1"/>
    <w:rsid w:val="00DD156B"/>
    <w:rsid w:val="00DD17D4"/>
    <w:rsid w:val="00DD1CE2"/>
    <w:rsid w:val="00DD2052"/>
    <w:rsid w:val="00DD5888"/>
    <w:rsid w:val="00DD58DD"/>
    <w:rsid w:val="00DD6503"/>
    <w:rsid w:val="00DD71B6"/>
    <w:rsid w:val="00DD7363"/>
    <w:rsid w:val="00DD7A9C"/>
    <w:rsid w:val="00DD7C96"/>
    <w:rsid w:val="00DE14CD"/>
    <w:rsid w:val="00DE1A26"/>
    <w:rsid w:val="00DE2A80"/>
    <w:rsid w:val="00DE2EE0"/>
    <w:rsid w:val="00DE34FB"/>
    <w:rsid w:val="00DE388B"/>
    <w:rsid w:val="00DE3915"/>
    <w:rsid w:val="00DE54F5"/>
    <w:rsid w:val="00DE66AA"/>
    <w:rsid w:val="00DF136B"/>
    <w:rsid w:val="00DF2CB2"/>
    <w:rsid w:val="00DF3050"/>
    <w:rsid w:val="00DF32B7"/>
    <w:rsid w:val="00DF3317"/>
    <w:rsid w:val="00DF385E"/>
    <w:rsid w:val="00DF3F3D"/>
    <w:rsid w:val="00DF4D43"/>
    <w:rsid w:val="00DF5150"/>
    <w:rsid w:val="00DF6AF4"/>
    <w:rsid w:val="00DF6D50"/>
    <w:rsid w:val="00DF78F6"/>
    <w:rsid w:val="00E02D34"/>
    <w:rsid w:val="00E03D0F"/>
    <w:rsid w:val="00E04EDF"/>
    <w:rsid w:val="00E0570E"/>
    <w:rsid w:val="00E05FCA"/>
    <w:rsid w:val="00E0680C"/>
    <w:rsid w:val="00E07EFE"/>
    <w:rsid w:val="00E100C6"/>
    <w:rsid w:val="00E10EF3"/>
    <w:rsid w:val="00E10F00"/>
    <w:rsid w:val="00E12128"/>
    <w:rsid w:val="00E12575"/>
    <w:rsid w:val="00E1359D"/>
    <w:rsid w:val="00E1379C"/>
    <w:rsid w:val="00E139A9"/>
    <w:rsid w:val="00E14533"/>
    <w:rsid w:val="00E15B42"/>
    <w:rsid w:val="00E16034"/>
    <w:rsid w:val="00E16694"/>
    <w:rsid w:val="00E166DA"/>
    <w:rsid w:val="00E1703C"/>
    <w:rsid w:val="00E1781B"/>
    <w:rsid w:val="00E17915"/>
    <w:rsid w:val="00E21C2C"/>
    <w:rsid w:val="00E21D40"/>
    <w:rsid w:val="00E21EB0"/>
    <w:rsid w:val="00E222B9"/>
    <w:rsid w:val="00E22C90"/>
    <w:rsid w:val="00E2332E"/>
    <w:rsid w:val="00E254DF"/>
    <w:rsid w:val="00E26CB8"/>
    <w:rsid w:val="00E270B8"/>
    <w:rsid w:val="00E27725"/>
    <w:rsid w:val="00E27F28"/>
    <w:rsid w:val="00E32E97"/>
    <w:rsid w:val="00E33636"/>
    <w:rsid w:val="00E345FA"/>
    <w:rsid w:val="00E34848"/>
    <w:rsid w:val="00E354E7"/>
    <w:rsid w:val="00E35A49"/>
    <w:rsid w:val="00E376F2"/>
    <w:rsid w:val="00E40382"/>
    <w:rsid w:val="00E40DA0"/>
    <w:rsid w:val="00E411AC"/>
    <w:rsid w:val="00E419C8"/>
    <w:rsid w:val="00E42696"/>
    <w:rsid w:val="00E42EC3"/>
    <w:rsid w:val="00E43A5F"/>
    <w:rsid w:val="00E43E90"/>
    <w:rsid w:val="00E44586"/>
    <w:rsid w:val="00E5026E"/>
    <w:rsid w:val="00E50CA2"/>
    <w:rsid w:val="00E51D81"/>
    <w:rsid w:val="00E52AF0"/>
    <w:rsid w:val="00E53603"/>
    <w:rsid w:val="00E5416E"/>
    <w:rsid w:val="00E54571"/>
    <w:rsid w:val="00E5777B"/>
    <w:rsid w:val="00E57EEE"/>
    <w:rsid w:val="00E60137"/>
    <w:rsid w:val="00E601BC"/>
    <w:rsid w:val="00E6112B"/>
    <w:rsid w:val="00E615F3"/>
    <w:rsid w:val="00E61BDE"/>
    <w:rsid w:val="00E628A7"/>
    <w:rsid w:val="00E62B33"/>
    <w:rsid w:val="00E63148"/>
    <w:rsid w:val="00E63BA0"/>
    <w:rsid w:val="00E66D16"/>
    <w:rsid w:val="00E66EF4"/>
    <w:rsid w:val="00E67409"/>
    <w:rsid w:val="00E70234"/>
    <w:rsid w:val="00E70DBC"/>
    <w:rsid w:val="00E716DD"/>
    <w:rsid w:val="00E717A1"/>
    <w:rsid w:val="00E717CD"/>
    <w:rsid w:val="00E730DF"/>
    <w:rsid w:val="00E73655"/>
    <w:rsid w:val="00E74C54"/>
    <w:rsid w:val="00E750BF"/>
    <w:rsid w:val="00E759DC"/>
    <w:rsid w:val="00E75B59"/>
    <w:rsid w:val="00E75FA4"/>
    <w:rsid w:val="00E7695A"/>
    <w:rsid w:val="00E769E1"/>
    <w:rsid w:val="00E76B99"/>
    <w:rsid w:val="00E77494"/>
    <w:rsid w:val="00E80294"/>
    <w:rsid w:val="00E8111F"/>
    <w:rsid w:val="00E814D1"/>
    <w:rsid w:val="00E8162C"/>
    <w:rsid w:val="00E824B3"/>
    <w:rsid w:val="00E82986"/>
    <w:rsid w:val="00E82AAA"/>
    <w:rsid w:val="00E83FA0"/>
    <w:rsid w:val="00E84215"/>
    <w:rsid w:val="00E84D5B"/>
    <w:rsid w:val="00E874A8"/>
    <w:rsid w:val="00E87C2C"/>
    <w:rsid w:val="00E902C9"/>
    <w:rsid w:val="00E92154"/>
    <w:rsid w:val="00E92EE8"/>
    <w:rsid w:val="00E9313A"/>
    <w:rsid w:val="00E93A26"/>
    <w:rsid w:val="00E9627E"/>
    <w:rsid w:val="00E97223"/>
    <w:rsid w:val="00E97821"/>
    <w:rsid w:val="00E97E05"/>
    <w:rsid w:val="00EA002A"/>
    <w:rsid w:val="00EA0E6D"/>
    <w:rsid w:val="00EA2959"/>
    <w:rsid w:val="00EA52DA"/>
    <w:rsid w:val="00EA630C"/>
    <w:rsid w:val="00EA68B1"/>
    <w:rsid w:val="00EA6A06"/>
    <w:rsid w:val="00EA78A2"/>
    <w:rsid w:val="00EB03BF"/>
    <w:rsid w:val="00EB0DFB"/>
    <w:rsid w:val="00EB10DF"/>
    <w:rsid w:val="00EB110A"/>
    <w:rsid w:val="00EB140F"/>
    <w:rsid w:val="00EB1A49"/>
    <w:rsid w:val="00EB3B50"/>
    <w:rsid w:val="00EB3EF9"/>
    <w:rsid w:val="00EB484F"/>
    <w:rsid w:val="00EB5460"/>
    <w:rsid w:val="00EB55F1"/>
    <w:rsid w:val="00EB5756"/>
    <w:rsid w:val="00EB5AAE"/>
    <w:rsid w:val="00EB5EA5"/>
    <w:rsid w:val="00EC2EA4"/>
    <w:rsid w:val="00EC440E"/>
    <w:rsid w:val="00EC7D4D"/>
    <w:rsid w:val="00ED20FC"/>
    <w:rsid w:val="00ED2C80"/>
    <w:rsid w:val="00ED4D91"/>
    <w:rsid w:val="00ED5B0F"/>
    <w:rsid w:val="00ED5EF4"/>
    <w:rsid w:val="00ED735D"/>
    <w:rsid w:val="00ED799B"/>
    <w:rsid w:val="00EE0869"/>
    <w:rsid w:val="00EE0875"/>
    <w:rsid w:val="00EE1380"/>
    <w:rsid w:val="00EE212A"/>
    <w:rsid w:val="00EE22F2"/>
    <w:rsid w:val="00EE2895"/>
    <w:rsid w:val="00EE2D31"/>
    <w:rsid w:val="00EE35F5"/>
    <w:rsid w:val="00EE4189"/>
    <w:rsid w:val="00EE4D8F"/>
    <w:rsid w:val="00EE56FD"/>
    <w:rsid w:val="00EE57D7"/>
    <w:rsid w:val="00EE57DB"/>
    <w:rsid w:val="00EE68D3"/>
    <w:rsid w:val="00EE7530"/>
    <w:rsid w:val="00EE764E"/>
    <w:rsid w:val="00EE7890"/>
    <w:rsid w:val="00EF2C9D"/>
    <w:rsid w:val="00EF3610"/>
    <w:rsid w:val="00EF372D"/>
    <w:rsid w:val="00EF3BC5"/>
    <w:rsid w:val="00EF42E3"/>
    <w:rsid w:val="00EF5586"/>
    <w:rsid w:val="00EF5818"/>
    <w:rsid w:val="00EF5ED0"/>
    <w:rsid w:val="00EF73C4"/>
    <w:rsid w:val="00F005EC"/>
    <w:rsid w:val="00F008B0"/>
    <w:rsid w:val="00F01262"/>
    <w:rsid w:val="00F03759"/>
    <w:rsid w:val="00F0530D"/>
    <w:rsid w:val="00F06399"/>
    <w:rsid w:val="00F11323"/>
    <w:rsid w:val="00F11850"/>
    <w:rsid w:val="00F1334F"/>
    <w:rsid w:val="00F13FB3"/>
    <w:rsid w:val="00F14607"/>
    <w:rsid w:val="00F14692"/>
    <w:rsid w:val="00F16192"/>
    <w:rsid w:val="00F16719"/>
    <w:rsid w:val="00F16C16"/>
    <w:rsid w:val="00F20BF6"/>
    <w:rsid w:val="00F20C24"/>
    <w:rsid w:val="00F21C6D"/>
    <w:rsid w:val="00F240D9"/>
    <w:rsid w:val="00F26A6F"/>
    <w:rsid w:val="00F26D5E"/>
    <w:rsid w:val="00F26FBC"/>
    <w:rsid w:val="00F27193"/>
    <w:rsid w:val="00F274D8"/>
    <w:rsid w:val="00F27C7E"/>
    <w:rsid w:val="00F3021A"/>
    <w:rsid w:val="00F3038E"/>
    <w:rsid w:val="00F30970"/>
    <w:rsid w:val="00F30CE9"/>
    <w:rsid w:val="00F32587"/>
    <w:rsid w:val="00F3267B"/>
    <w:rsid w:val="00F326E7"/>
    <w:rsid w:val="00F32769"/>
    <w:rsid w:val="00F327EF"/>
    <w:rsid w:val="00F3393E"/>
    <w:rsid w:val="00F33A52"/>
    <w:rsid w:val="00F33C23"/>
    <w:rsid w:val="00F33E5C"/>
    <w:rsid w:val="00F342A6"/>
    <w:rsid w:val="00F34CAD"/>
    <w:rsid w:val="00F34D17"/>
    <w:rsid w:val="00F35278"/>
    <w:rsid w:val="00F352B3"/>
    <w:rsid w:val="00F36131"/>
    <w:rsid w:val="00F363BD"/>
    <w:rsid w:val="00F37B38"/>
    <w:rsid w:val="00F40237"/>
    <w:rsid w:val="00F40FFD"/>
    <w:rsid w:val="00F41374"/>
    <w:rsid w:val="00F43214"/>
    <w:rsid w:val="00F439EE"/>
    <w:rsid w:val="00F43AE7"/>
    <w:rsid w:val="00F43FF9"/>
    <w:rsid w:val="00F44977"/>
    <w:rsid w:val="00F46FFF"/>
    <w:rsid w:val="00F50123"/>
    <w:rsid w:val="00F50179"/>
    <w:rsid w:val="00F508EE"/>
    <w:rsid w:val="00F5117F"/>
    <w:rsid w:val="00F52067"/>
    <w:rsid w:val="00F52F92"/>
    <w:rsid w:val="00F5441B"/>
    <w:rsid w:val="00F547F9"/>
    <w:rsid w:val="00F5492B"/>
    <w:rsid w:val="00F569BC"/>
    <w:rsid w:val="00F56C1D"/>
    <w:rsid w:val="00F56C97"/>
    <w:rsid w:val="00F56FCB"/>
    <w:rsid w:val="00F57C2F"/>
    <w:rsid w:val="00F57C86"/>
    <w:rsid w:val="00F616AA"/>
    <w:rsid w:val="00F621C4"/>
    <w:rsid w:val="00F625C3"/>
    <w:rsid w:val="00F629C2"/>
    <w:rsid w:val="00F629E7"/>
    <w:rsid w:val="00F639E2"/>
    <w:rsid w:val="00F64655"/>
    <w:rsid w:val="00F65132"/>
    <w:rsid w:val="00F65940"/>
    <w:rsid w:val="00F65D77"/>
    <w:rsid w:val="00F65FC7"/>
    <w:rsid w:val="00F66091"/>
    <w:rsid w:val="00F678C3"/>
    <w:rsid w:val="00F678D6"/>
    <w:rsid w:val="00F702D3"/>
    <w:rsid w:val="00F71224"/>
    <w:rsid w:val="00F715C0"/>
    <w:rsid w:val="00F72DE7"/>
    <w:rsid w:val="00F761A8"/>
    <w:rsid w:val="00F76BD0"/>
    <w:rsid w:val="00F76D5E"/>
    <w:rsid w:val="00F77152"/>
    <w:rsid w:val="00F77CB4"/>
    <w:rsid w:val="00F77CFA"/>
    <w:rsid w:val="00F80B76"/>
    <w:rsid w:val="00F81564"/>
    <w:rsid w:val="00F81750"/>
    <w:rsid w:val="00F821DE"/>
    <w:rsid w:val="00F83338"/>
    <w:rsid w:val="00F849D1"/>
    <w:rsid w:val="00F85D50"/>
    <w:rsid w:val="00F86B4E"/>
    <w:rsid w:val="00F87227"/>
    <w:rsid w:val="00F87AC6"/>
    <w:rsid w:val="00F9129A"/>
    <w:rsid w:val="00F916E2"/>
    <w:rsid w:val="00F91A0A"/>
    <w:rsid w:val="00F923CC"/>
    <w:rsid w:val="00F935E0"/>
    <w:rsid w:val="00F93EE8"/>
    <w:rsid w:val="00F940E8"/>
    <w:rsid w:val="00F953F1"/>
    <w:rsid w:val="00F95DB8"/>
    <w:rsid w:val="00F972BC"/>
    <w:rsid w:val="00F9763D"/>
    <w:rsid w:val="00F97809"/>
    <w:rsid w:val="00FA072D"/>
    <w:rsid w:val="00FA089E"/>
    <w:rsid w:val="00FA10F1"/>
    <w:rsid w:val="00FA16C7"/>
    <w:rsid w:val="00FA2432"/>
    <w:rsid w:val="00FA287E"/>
    <w:rsid w:val="00FA2C01"/>
    <w:rsid w:val="00FA2CC4"/>
    <w:rsid w:val="00FA3349"/>
    <w:rsid w:val="00FA3D66"/>
    <w:rsid w:val="00FA430E"/>
    <w:rsid w:val="00FA480C"/>
    <w:rsid w:val="00FA5EA7"/>
    <w:rsid w:val="00FA5F3E"/>
    <w:rsid w:val="00FA63A2"/>
    <w:rsid w:val="00FB1A32"/>
    <w:rsid w:val="00FB269E"/>
    <w:rsid w:val="00FB2902"/>
    <w:rsid w:val="00FB3385"/>
    <w:rsid w:val="00FB3FCD"/>
    <w:rsid w:val="00FB5252"/>
    <w:rsid w:val="00FB6220"/>
    <w:rsid w:val="00FB6B87"/>
    <w:rsid w:val="00FC00BE"/>
    <w:rsid w:val="00FC082E"/>
    <w:rsid w:val="00FC0AE5"/>
    <w:rsid w:val="00FC1E77"/>
    <w:rsid w:val="00FC2FEE"/>
    <w:rsid w:val="00FC3BAA"/>
    <w:rsid w:val="00FC5010"/>
    <w:rsid w:val="00FC53BB"/>
    <w:rsid w:val="00FC5F47"/>
    <w:rsid w:val="00FC7CBE"/>
    <w:rsid w:val="00FD04C6"/>
    <w:rsid w:val="00FD06A3"/>
    <w:rsid w:val="00FD1680"/>
    <w:rsid w:val="00FD1CEA"/>
    <w:rsid w:val="00FD2E41"/>
    <w:rsid w:val="00FD2EE4"/>
    <w:rsid w:val="00FD395E"/>
    <w:rsid w:val="00FD41F4"/>
    <w:rsid w:val="00FD6426"/>
    <w:rsid w:val="00FD782F"/>
    <w:rsid w:val="00FE057A"/>
    <w:rsid w:val="00FE0D47"/>
    <w:rsid w:val="00FE31D6"/>
    <w:rsid w:val="00FE3539"/>
    <w:rsid w:val="00FE3A8C"/>
    <w:rsid w:val="00FE40FF"/>
    <w:rsid w:val="00FE4B0F"/>
    <w:rsid w:val="00FE6C9A"/>
    <w:rsid w:val="00FF0B4C"/>
    <w:rsid w:val="00FF1582"/>
    <w:rsid w:val="00FF164E"/>
    <w:rsid w:val="00FF2E2C"/>
    <w:rsid w:val="00FF3313"/>
    <w:rsid w:val="00FF46DF"/>
    <w:rsid w:val="00FF674D"/>
    <w:rsid w:val="00FF7100"/>
    <w:rsid w:val="010A67FB"/>
    <w:rsid w:val="01204945"/>
    <w:rsid w:val="018C11BF"/>
    <w:rsid w:val="01B51764"/>
    <w:rsid w:val="01D35E86"/>
    <w:rsid w:val="02240524"/>
    <w:rsid w:val="02AA3F94"/>
    <w:rsid w:val="02B16BE1"/>
    <w:rsid w:val="031D0894"/>
    <w:rsid w:val="03655DEA"/>
    <w:rsid w:val="03DF1EFE"/>
    <w:rsid w:val="041651F4"/>
    <w:rsid w:val="041D1331"/>
    <w:rsid w:val="043A5387"/>
    <w:rsid w:val="04DD6937"/>
    <w:rsid w:val="054A15F9"/>
    <w:rsid w:val="06093C41"/>
    <w:rsid w:val="06B156A8"/>
    <w:rsid w:val="06C433B9"/>
    <w:rsid w:val="06EA39DF"/>
    <w:rsid w:val="07E3356F"/>
    <w:rsid w:val="09B32B18"/>
    <w:rsid w:val="09B6531C"/>
    <w:rsid w:val="0AF11B51"/>
    <w:rsid w:val="0B6643CE"/>
    <w:rsid w:val="0B9A724A"/>
    <w:rsid w:val="0C0A1020"/>
    <w:rsid w:val="0CEE5872"/>
    <w:rsid w:val="0D3C2A57"/>
    <w:rsid w:val="0D5648B3"/>
    <w:rsid w:val="0D704567"/>
    <w:rsid w:val="0D725B91"/>
    <w:rsid w:val="0D7567E1"/>
    <w:rsid w:val="0D9A6E96"/>
    <w:rsid w:val="0E6C5547"/>
    <w:rsid w:val="0F247CAD"/>
    <w:rsid w:val="0FA75FCD"/>
    <w:rsid w:val="0FF25C3A"/>
    <w:rsid w:val="10167D41"/>
    <w:rsid w:val="104809C2"/>
    <w:rsid w:val="104A2647"/>
    <w:rsid w:val="10A45AC6"/>
    <w:rsid w:val="10B64447"/>
    <w:rsid w:val="10E21B3A"/>
    <w:rsid w:val="110E3C8D"/>
    <w:rsid w:val="116C43AA"/>
    <w:rsid w:val="127203E1"/>
    <w:rsid w:val="12851EC3"/>
    <w:rsid w:val="128A10FD"/>
    <w:rsid w:val="13362AA7"/>
    <w:rsid w:val="13D717F0"/>
    <w:rsid w:val="14971541"/>
    <w:rsid w:val="1537321C"/>
    <w:rsid w:val="1632015A"/>
    <w:rsid w:val="1637664F"/>
    <w:rsid w:val="1677593D"/>
    <w:rsid w:val="169916CA"/>
    <w:rsid w:val="174340FA"/>
    <w:rsid w:val="176B4106"/>
    <w:rsid w:val="17A4103D"/>
    <w:rsid w:val="17A55BBC"/>
    <w:rsid w:val="17B75715"/>
    <w:rsid w:val="1862257C"/>
    <w:rsid w:val="18A40931"/>
    <w:rsid w:val="18F81445"/>
    <w:rsid w:val="19E534FA"/>
    <w:rsid w:val="1A163D48"/>
    <w:rsid w:val="1AB75F10"/>
    <w:rsid w:val="1B2B306C"/>
    <w:rsid w:val="1B9A62B3"/>
    <w:rsid w:val="1BA67172"/>
    <w:rsid w:val="1BF67D57"/>
    <w:rsid w:val="1C1425F4"/>
    <w:rsid w:val="1CD85D79"/>
    <w:rsid w:val="1CF54E48"/>
    <w:rsid w:val="1D05332B"/>
    <w:rsid w:val="1D392227"/>
    <w:rsid w:val="1DA04CFC"/>
    <w:rsid w:val="1DB1168D"/>
    <w:rsid w:val="1DC87107"/>
    <w:rsid w:val="1DE851CA"/>
    <w:rsid w:val="1DF634B9"/>
    <w:rsid w:val="1E0345E3"/>
    <w:rsid w:val="1E3E2A75"/>
    <w:rsid w:val="1E7948A6"/>
    <w:rsid w:val="1E890CC7"/>
    <w:rsid w:val="1E9A401B"/>
    <w:rsid w:val="1F4A2117"/>
    <w:rsid w:val="1F755F7D"/>
    <w:rsid w:val="1F770DE5"/>
    <w:rsid w:val="1FC75F9E"/>
    <w:rsid w:val="203B3FFD"/>
    <w:rsid w:val="208D7369"/>
    <w:rsid w:val="20C1277E"/>
    <w:rsid w:val="212261A4"/>
    <w:rsid w:val="21734E1F"/>
    <w:rsid w:val="21893052"/>
    <w:rsid w:val="21930183"/>
    <w:rsid w:val="21F660E4"/>
    <w:rsid w:val="2272749C"/>
    <w:rsid w:val="23793D2F"/>
    <w:rsid w:val="23870E88"/>
    <w:rsid w:val="24084702"/>
    <w:rsid w:val="24994F68"/>
    <w:rsid w:val="24E4302B"/>
    <w:rsid w:val="259432C4"/>
    <w:rsid w:val="266D726E"/>
    <w:rsid w:val="26F448C7"/>
    <w:rsid w:val="26FF489F"/>
    <w:rsid w:val="27EF099B"/>
    <w:rsid w:val="2815563F"/>
    <w:rsid w:val="28364348"/>
    <w:rsid w:val="284C720B"/>
    <w:rsid w:val="28BB0DD7"/>
    <w:rsid w:val="28C74804"/>
    <w:rsid w:val="28F33FB6"/>
    <w:rsid w:val="290C04B1"/>
    <w:rsid w:val="29194652"/>
    <w:rsid w:val="2A495D0E"/>
    <w:rsid w:val="2AA71F5D"/>
    <w:rsid w:val="2ADF73BF"/>
    <w:rsid w:val="2B1A132E"/>
    <w:rsid w:val="2BDD234C"/>
    <w:rsid w:val="2C562F12"/>
    <w:rsid w:val="2D495609"/>
    <w:rsid w:val="2DD2208F"/>
    <w:rsid w:val="2F4D4742"/>
    <w:rsid w:val="2FCD1ADC"/>
    <w:rsid w:val="30661012"/>
    <w:rsid w:val="30741271"/>
    <w:rsid w:val="30744F5E"/>
    <w:rsid w:val="31152809"/>
    <w:rsid w:val="3195334D"/>
    <w:rsid w:val="31EF37DA"/>
    <w:rsid w:val="31FF2A48"/>
    <w:rsid w:val="3281440D"/>
    <w:rsid w:val="32CD4DB3"/>
    <w:rsid w:val="32CE6B16"/>
    <w:rsid w:val="336724D1"/>
    <w:rsid w:val="33C65A3F"/>
    <w:rsid w:val="33CD330B"/>
    <w:rsid w:val="34095A55"/>
    <w:rsid w:val="34540EB4"/>
    <w:rsid w:val="34794913"/>
    <w:rsid w:val="34F92A4C"/>
    <w:rsid w:val="3516724B"/>
    <w:rsid w:val="352944D8"/>
    <w:rsid w:val="353D196B"/>
    <w:rsid w:val="35700C83"/>
    <w:rsid w:val="3691533E"/>
    <w:rsid w:val="36B86701"/>
    <w:rsid w:val="37BE35FD"/>
    <w:rsid w:val="37DE3C9F"/>
    <w:rsid w:val="37EC053C"/>
    <w:rsid w:val="38C7746E"/>
    <w:rsid w:val="38E86E08"/>
    <w:rsid w:val="3A9A7F39"/>
    <w:rsid w:val="3AF85078"/>
    <w:rsid w:val="3B1750ED"/>
    <w:rsid w:val="3B5129DA"/>
    <w:rsid w:val="3C8F22EA"/>
    <w:rsid w:val="3CB23005"/>
    <w:rsid w:val="3D951B09"/>
    <w:rsid w:val="3DC0089A"/>
    <w:rsid w:val="3DF30E05"/>
    <w:rsid w:val="3E6D6118"/>
    <w:rsid w:val="3F100628"/>
    <w:rsid w:val="3F2567F6"/>
    <w:rsid w:val="3F7D3FF6"/>
    <w:rsid w:val="3F8E730D"/>
    <w:rsid w:val="3FC027B2"/>
    <w:rsid w:val="3FC7326B"/>
    <w:rsid w:val="3FCB4638"/>
    <w:rsid w:val="40511888"/>
    <w:rsid w:val="412040DE"/>
    <w:rsid w:val="415502E8"/>
    <w:rsid w:val="41894C7C"/>
    <w:rsid w:val="419929E5"/>
    <w:rsid w:val="41E369F7"/>
    <w:rsid w:val="42123736"/>
    <w:rsid w:val="42764AE6"/>
    <w:rsid w:val="42A6520E"/>
    <w:rsid w:val="43400846"/>
    <w:rsid w:val="4573642F"/>
    <w:rsid w:val="45AB5245"/>
    <w:rsid w:val="479A35EA"/>
    <w:rsid w:val="481B5EDD"/>
    <w:rsid w:val="48403C32"/>
    <w:rsid w:val="48442370"/>
    <w:rsid w:val="48B92134"/>
    <w:rsid w:val="48D11F79"/>
    <w:rsid w:val="492404DF"/>
    <w:rsid w:val="493F02C9"/>
    <w:rsid w:val="4A252F67"/>
    <w:rsid w:val="4A39058E"/>
    <w:rsid w:val="4A7B58EE"/>
    <w:rsid w:val="4B5C0D0B"/>
    <w:rsid w:val="4B80232E"/>
    <w:rsid w:val="4C0343D2"/>
    <w:rsid w:val="4CF371FC"/>
    <w:rsid w:val="4D847056"/>
    <w:rsid w:val="4E10402F"/>
    <w:rsid w:val="4ED207A4"/>
    <w:rsid w:val="4FB8497E"/>
    <w:rsid w:val="50267D35"/>
    <w:rsid w:val="502C74CA"/>
    <w:rsid w:val="50C35389"/>
    <w:rsid w:val="50C53D87"/>
    <w:rsid w:val="51F404AA"/>
    <w:rsid w:val="52702646"/>
    <w:rsid w:val="52741030"/>
    <w:rsid w:val="528A5C52"/>
    <w:rsid w:val="52E7166C"/>
    <w:rsid w:val="530131B5"/>
    <w:rsid w:val="53121FBD"/>
    <w:rsid w:val="5344709C"/>
    <w:rsid w:val="53A55DC7"/>
    <w:rsid w:val="53A81423"/>
    <w:rsid w:val="53CB0985"/>
    <w:rsid w:val="540B5459"/>
    <w:rsid w:val="54883BD2"/>
    <w:rsid w:val="556C5FEF"/>
    <w:rsid w:val="55A5651A"/>
    <w:rsid w:val="55A56C57"/>
    <w:rsid w:val="56BA0FDC"/>
    <w:rsid w:val="57C40364"/>
    <w:rsid w:val="57F92B2B"/>
    <w:rsid w:val="58415BDE"/>
    <w:rsid w:val="587E3EB0"/>
    <w:rsid w:val="59376914"/>
    <w:rsid w:val="5938519C"/>
    <w:rsid w:val="5A100070"/>
    <w:rsid w:val="5A127E0F"/>
    <w:rsid w:val="5B0B0058"/>
    <w:rsid w:val="5C4C3B0B"/>
    <w:rsid w:val="5C574FC7"/>
    <w:rsid w:val="5C5C6A09"/>
    <w:rsid w:val="5C6235D0"/>
    <w:rsid w:val="5D4444EF"/>
    <w:rsid w:val="5D5028B3"/>
    <w:rsid w:val="5E112DA9"/>
    <w:rsid w:val="5E4A1219"/>
    <w:rsid w:val="5E5A4831"/>
    <w:rsid w:val="5EE25E30"/>
    <w:rsid w:val="5F6263CB"/>
    <w:rsid w:val="6098413C"/>
    <w:rsid w:val="60EF3F5B"/>
    <w:rsid w:val="61DC2EAA"/>
    <w:rsid w:val="61FD4D8E"/>
    <w:rsid w:val="62760E51"/>
    <w:rsid w:val="62AC0373"/>
    <w:rsid w:val="630409C0"/>
    <w:rsid w:val="63B5077F"/>
    <w:rsid w:val="645B3DFE"/>
    <w:rsid w:val="64626443"/>
    <w:rsid w:val="64D94D3E"/>
    <w:rsid w:val="65A832E1"/>
    <w:rsid w:val="65C14D81"/>
    <w:rsid w:val="66504D40"/>
    <w:rsid w:val="6659615C"/>
    <w:rsid w:val="667B0788"/>
    <w:rsid w:val="66B312D6"/>
    <w:rsid w:val="67236729"/>
    <w:rsid w:val="68177959"/>
    <w:rsid w:val="6856186C"/>
    <w:rsid w:val="68D66288"/>
    <w:rsid w:val="6A4F6EBD"/>
    <w:rsid w:val="6ACD3E24"/>
    <w:rsid w:val="6ADD62AD"/>
    <w:rsid w:val="6B397A9B"/>
    <w:rsid w:val="6B70394D"/>
    <w:rsid w:val="6B853AF3"/>
    <w:rsid w:val="6BA9164D"/>
    <w:rsid w:val="6BD83FA1"/>
    <w:rsid w:val="6BFD579B"/>
    <w:rsid w:val="6C3B02B4"/>
    <w:rsid w:val="6CDE7806"/>
    <w:rsid w:val="6D23648C"/>
    <w:rsid w:val="6D735702"/>
    <w:rsid w:val="6DB65361"/>
    <w:rsid w:val="6DCA37BA"/>
    <w:rsid w:val="6DE85F45"/>
    <w:rsid w:val="6E8852A5"/>
    <w:rsid w:val="6EC30469"/>
    <w:rsid w:val="6F96218E"/>
    <w:rsid w:val="6FA13CD7"/>
    <w:rsid w:val="7048164A"/>
    <w:rsid w:val="70DF114A"/>
    <w:rsid w:val="70E1247D"/>
    <w:rsid w:val="712927CE"/>
    <w:rsid w:val="713A7934"/>
    <w:rsid w:val="71421940"/>
    <w:rsid w:val="72135A07"/>
    <w:rsid w:val="726F6CC7"/>
    <w:rsid w:val="72792AC9"/>
    <w:rsid w:val="72D81E0D"/>
    <w:rsid w:val="72D97B15"/>
    <w:rsid w:val="72F052AF"/>
    <w:rsid w:val="733406FB"/>
    <w:rsid w:val="73B623D1"/>
    <w:rsid w:val="73FC6452"/>
    <w:rsid w:val="74526B01"/>
    <w:rsid w:val="748F2DAF"/>
    <w:rsid w:val="76564426"/>
    <w:rsid w:val="766025AF"/>
    <w:rsid w:val="76664F67"/>
    <w:rsid w:val="76D03797"/>
    <w:rsid w:val="784C77B5"/>
    <w:rsid w:val="78A91123"/>
    <w:rsid w:val="78C064CE"/>
    <w:rsid w:val="79024FE9"/>
    <w:rsid w:val="793D04C4"/>
    <w:rsid w:val="795167AD"/>
    <w:rsid w:val="796141C1"/>
    <w:rsid w:val="79761F3D"/>
    <w:rsid w:val="7A30625E"/>
    <w:rsid w:val="7A41719B"/>
    <w:rsid w:val="7A922676"/>
    <w:rsid w:val="7AD0265E"/>
    <w:rsid w:val="7AD46261"/>
    <w:rsid w:val="7B0A1E12"/>
    <w:rsid w:val="7B3563A3"/>
    <w:rsid w:val="7BB404C8"/>
    <w:rsid w:val="7BBE2AF4"/>
    <w:rsid w:val="7C1B30B1"/>
    <w:rsid w:val="7C935D81"/>
    <w:rsid w:val="7CEE3304"/>
    <w:rsid w:val="7D92021B"/>
    <w:rsid w:val="7DE95B7F"/>
    <w:rsid w:val="7EB02C08"/>
    <w:rsid w:val="7F230690"/>
    <w:rsid w:val="7F364F70"/>
    <w:rsid w:val="7F433478"/>
    <w:rsid w:val="7F5E434B"/>
    <w:rsid w:val="7FE93897"/>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weight="1.5pt" color="#000000" dashstyle="dash" endarrow="block"/>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iPriority="0" w:semiHidden="0" w:name="toc 3"/>
    <w:lsdException w:qFormat="1" w:uiPriority="0" w:semiHidden="0" w:name="toc 4"/>
    <w:lsdException w:qFormat="1" w:uiPriority="0" w:semiHidden="0" w:name="toc 5"/>
    <w:lsdException w:qFormat="1" w:uiPriority="0" w:semiHidden="0" w:name="toc 6"/>
    <w:lsdException w:qFormat="1" w:uiPriority="0" w:semiHidden="0" w:name="toc 7"/>
    <w:lsdException w:qFormat="1" w:uiPriority="0" w:semiHidden="0" w:name="toc 8"/>
    <w:lsdException w:qFormat="1" w:uiPriority="0" w:semiHidden="0" w:name="toc 9"/>
    <w:lsdException w:qFormat="1" w:unhideWhenUsed="0" w:uiPriority="0" w:semiHidden="0" w:name="Normal Indent"/>
    <w:lsdException w:qFormat="1" w:unhideWhenUsed="0" w:uiPriority="0" w:semiHidden="0" w:name="footnote text"/>
    <w:lsdException w:qFormat="1" w:uiPriority="99" w:semiHidden="0" w:name="annotation text"/>
    <w:lsdException w:qFormat="1" w:unhideWhenUsed="0" w:uiPriority="0" w:semiHidden="0" w:name="header"/>
    <w:lsdException w:qFormat="1" w:unhideWhenUsed="0" w:uiPriority="0" w:semiHidden="0" w:name="footer"/>
    <w:lsdException w:uiPriority="0" w:name="index heading"/>
    <w:lsdException w:qFormat="1" w:unhideWhenUsed="0" w:uiPriority="0" w:semiHidden="0" w:name="caption"/>
    <w:lsdException w:uiPriority="0" w:name="table of figures"/>
    <w:lsdException w:uiPriority="99" w:name="envelope address"/>
    <w:lsdException w:uiPriority="99" w:name="envelope return"/>
    <w:lsdException w:uiPriority="0" w:name="footnote reference"/>
    <w:lsdException w:qFormat="1" w:unhideWhenUsed="0" w:uiPriority="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qFormat="1" w:unhideWhenUsed="0" w:uiPriority="99"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qFormat="1" w:uiPriority="0"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iPriority="99" w:semiHidden="0" w:name="Body Text"/>
    <w:lsdException w:qFormat="1" w:unhideWhenUsed="0" w:uiPriority="0" w:semiHidden="0" w:name="Body Text Indent"/>
    <w:lsdException w:uiPriority="0"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qFormat="1"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iPriority="0" w:name="Block Text"/>
    <w:lsdException w:qFormat="1" w:unhideWhenUsed="0" w:uiPriority="99" w:semiHidden="0" w:name="Hyperlink"/>
    <w:lsdException w:uiPriority="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paragraph" w:styleId="2">
    <w:name w:val="heading 1"/>
    <w:basedOn w:val="1"/>
    <w:next w:val="1"/>
    <w:link w:val="67"/>
    <w:qFormat/>
    <w:uiPriority w:val="0"/>
    <w:pPr>
      <w:keepNext/>
      <w:keepLines/>
      <w:spacing w:before="100" w:beforeAutospacing="1" w:after="100" w:afterAutospacing="1"/>
      <w:outlineLvl w:val="0"/>
    </w:pPr>
    <w:rPr>
      <w:b/>
      <w:bCs/>
      <w:kern w:val="44"/>
      <w:sz w:val="30"/>
      <w:szCs w:val="44"/>
      <w:lang w:val="zh-CN"/>
    </w:rPr>
  </w:style>
  <w:style w:type="paragraph" w:styleId="3">
    <w:name w:val="heading 2"/>
    <w:basedOn w:val="1"/>
    <w:next w:val="1"/>
    <w:link w:val="58"/>
    <w:qFormat/>
    <w:uiPriority w:val="0"/>
    <w:pPr>
      <w:keepNext/>
      <w:keepLines/>
      <w:spacing w:before="260" w:after="260" w:line="416" w:lineRule="auto"/>
      <w:outlineLvl w:val="1"/>
    </w:pPr>
    <w:rPr>
      <w:rFonts w:ascii="Arial" w:hAnsi="Arial" w:eastAsia="黑体"/>
      <w:b/>
      <w:bCs/>
      <w:sz w:val="32"/>
      <w:szCs w:val="32"/>
      <w:lang w:val="zh-CN"/>
    </w:rPr>
  </w:style>
  <w:style w:type="paragraph" w:styleId="4">
    <w:name w:val="heading 3"/>
    <w:basedOn w:val="1"/>
    <w:next w:val="1"/>
    <w:link w:val="68"/>
    <w:qFormat/>
    <w:uiPriority w:val="0"/>
    <w:pPr>
      <w:keepNext/>
      <w:keepLines/>
      <w:spacing w:before="260" w:after="260" w:line="416" w:lineRule="auto"/>
      <w:outlineLvl w:val="2"/>
    </w:pPr>
    <w:rPr>
      <w:b/>
      <w:bCs/>
      <w:sz w:val="32"/>
      <w:szCs w:val="32"/>
      <w:lang w:val="zh-CN"/>
    </w:rPr>
  </w:style>
  <w:style w:type="paragraph" w:styleId="5">
    <w:name w:val="heading 4"/>
    <w:basedOn w:val="1"/>
    <w:next w:val="1"/>
    <w:link w:val="69"/>
    <w:qFormat/>
    <w:uiPriority w:val="0"/>
    <w:pPr>
      <w:keepNext/>
      <w:keepLines/>
      <w:spacing w:line="360" w:lineRule="auto"/>
      <w:outlineLvl w:val="3"/>
    </w:pPr>
    <w:rPr>
      <w:rFonts w:ascii="Arial" w:hAnsi="Arial"/>
      <w:b/>
      <w:sz w:val="24"/>
      <w:szCs w:val="24"/>
      <w:lang w:val="zh-CN"/>
    </w:rPr>
  </w:style>
  <w:style w:type="paragraph" w:styleId="6">
    <w:name w:val="heading 5"/>
    <w:basedOn w:val="1"/>
    <w:next w:val="1"/>
    <w:link w:val="70"/>
    <w:qFormat/>
    <w:uiPriority w:val="0"/>
    <w:pPr>
      <w:keepNext/>
      <w:ind w:firstLine="2349" w:firstLineChars="900"/>
      <w:outlineLvl w:val="4"/>
    </w:pPr>
    <w:rPr>
      <w:rFonts w:ascii="Arial" w:hAnsi="Arial"/>
      <w:sz w:val="28"/>
      <w:lang w:val="zh-CN"/>
    </w:rPr>
  </w:style>
  <w:style w:type="paragraph" w:styleId="7">
    <w:name w:val="heading 6"/>
    <w:basedOn w:val="1"/>
    <w:next w:val="1"/>
    <w:link w:val="71"/>
    <w:qFormat/>
    <w:uiPriority w:val="0"/>
    <w:pPr>
      <w:keepNext/>
      <w:keepLines/>
      <w:spacing w:before="240" w:after="64" w:line="320" w:lineRule="auto"/>
      <w:outlineLvl w:val="5"/>
    </w:pPr>
    <w:rPr>
      <w:rFonts w:ascii="Arial" w:hAnsi="Arial" w:eastAsia="黑体"/>
      <w:b/>
      <w:bCs/>
      <w:sz w:val="24"/>
      <w:lang w:val="zh-CN"/>
    </w:rPr>
  </w:style>
  <w:style w:type="paragraph" w:styleId="8">
    <w:name w:val="heading 7"/>
    <w:basedOn w:val="1"/>
    <w:next w:val="1"/>
    <w:link w:val="72"/>
    <w:qFormat/>
    <w:uiPriority w:val="0"/>
    <w:pPr>
      <w:keepNext/>
      <w:keepLines/>
      <w:adjustRightInd w:val="0"/>
      <w:spacing w:line="440" w:lineRule="exact"/>
      <w:textAlignment w:val="baseline"/>
      <w:outlineLvl w:val="6"/>
    </w:pPr>
    <w:rPr>
      <w:b/>
      <w:sz w:val="24"/>
      <w:lang w:val="zh-CN"/>
    </w:rPr>
  </w:style>
  <w:style w:type="paragraph" w:styleId="9">
    <w:name w:val="heading 8"/>
    <w:basedOn w:val="1"/>
    <w:next w:val="1"/>
    <w:link w:val="73"/>
    <w:qFormat/>
    <w:uiPriority w:val="0"/>
    <w:pPr>
      <w:keepNext/>
      <w:keepLines/>
      <w:numPr>
        <w:ilvl w:val="7"/>
        <w:numId w:val="1"/>
      </w:numPr>
      <w:adjustRightInd w:val="0"/>
      <w:spacing w:before="240" w:after="64" w:line="320" w:lineRule="atLeast"/>
      <w:textAlignment w:val="baseline"/>
      <w:outlineLvl w:val="7"/>
    </w:pPr>
    <w:rPr>
      <w:rFonts w:ascii="Arial" w:hAnsi="Arial" w:eastAsia="黑体"/>
      <w:sz w:val="24"/>
      <w:lang w:val="zh-CN"/>
    </w:rPr>
  </w:style>
  <w:style w:type="paragraph" w:styleId="10">
    <w:name w:val="heading 9"/>
    <w:basedOn w:val="1"/>
    <w:next w:val="1"/>
    <w:link w:val="74"/>
    <w:qFormat/>
    <w:uiPriority w:val="0"/>
    <w:pPr>
      <w:keepNext/>
      <w:keepLines/>
      <w:numPr>
        <w:ilvl w:val="8"/>
        <w:numId w:val="1"/>
      </w:numPr>
      <w:adjustRightInd w:val="0"/>
      <w:spacing w:before="240" w:after="64" w:line="320" w:lineRule="atLeast"/>
      <w:textAlignment w:val="baseline"/>
      <w:outlineLvl w:val="8"/>
    </w:pPr>
    <w:rPr>
      <w:rFonts w:ascii="Arial" w:hAnsi="Arial" w:eastAsia="黑体"/>
      <w:kern w:val="0"/>
      <w:lang w:val="zh-CN"/>
    </w:rPr>
  </w:style>
  <w:style w:type="character" w:default="1" w:styleId="51">
    <w:name w:val="Default Paragraph Font"/>
    <w:semiHidden/>
    <w:unhideWhenUsed/>
    <w:qFormat/>
    <w:uiPriority w:val="1"/>
  </w:style>
  <w:style w:type="table" w:default="1" w:styleId="49">
    <w:name w:val="Normal Table"/>
    <w:semiHidden/>
    <w:unhideWhenUsed/>
    <w:qFormat/>
    <w:uiPriority w:val="99"/>
    <w:tblPr>
      <w:tblCellMar>
        <w:top w:w="0" w:type="dxa"/>
        <w:left w:w="108" w:type="dxa"/>
        <w:bottom w:w="0" w:type="dxa"/>
        <w:right w:w="108" w:type="dxa"/>
      </w:tblCellMar>
    </w:tblPr>
  </w:style>
  <w:style w:type="paragraph" w:styleId="11">
    <w:name w:val="toc 7"/>
    <w:basedOn w:val="1"/>
    <w:next w:val="1"/>
    <w:unhideWhenUsed/>
    <w:qFormat/>
    <w:uiPriority w:val="0"/>
    <w:pPr>
      <w:ind w:left="1260"/>
      <w:jc w:val="left"/>
    </w:pPr>
    <w:rPr>
      <w:rFonts w:asciiTheme="minorHAnsi" w:eastAsiaTheme="minorHAnsi"/>
      <w:sz w:val="18"/>
      <w:szCs w:val="18"/>
    </w:rPr>
  </w:style>
  <w:style w:type="paragraph" w:styleId="12">
    <w:name w:val="Note Heading"/>
    <w:basedOn w:val="1"/>
    <w:next w:val="1"/>
    <w:link w:val="168"/>
    <w:qFormat/>
    <w:uiPriority w:val="0"/>
    <w:pPr>
      <w:spacing w:beforeLines="50" w:afterLines="50"/>
      <w:jc w:val="center"/>
    </w:pPr>
    <w:rPr>
      <w:rFonts w:eastAsia="黑体"/>
      <w:sz w:val="24"/>
      <w:lang w:val="zh-CN"/>
    </w:rPr>
  </w:style>
  <w:style w:type="paragraph" w:styleId="13">
    <w:name w:val="Normal Indent"/>
    <w:basedOn w:val="1"/>
    <w:next w:val="14"/>
    <w:link w:val="99"/>
    <w:qFormat/>
    <w:uiPriority w:val="0"/>
    <w:pPr>
      <w:adjustRightInd w:val="0"/>
      <w:spacing w:line="360" w:lineRule="atLeast"/>
      <w:ind w:firstLine="420"/>
      <w:jc w:val="left"/>
      <w:textAlignment w:val="baseline"/>
    </w:pPr>
    <w:rPr>
      <w:kern w:val="0"/>
      <w:sz w:val="24"/>
      <w:lang w:val="zh-CN"/>
    </w:rPr>
  </w:style>
  <w:style w:type="paragraph" w:customStyle="1" w:styleId="14">
    <w:name w:val="Char Char Char Char Char Char Char Char Char1 Char"/>
    <w:basedOn w:val="1"/>
    <w:next w:val="15"/>
    <w:qFormat/>
    <w:uiPriority w:val="0"/>
    <w:pPr>
      <w:spacing w:line="360" w:lineRule="auto"/>
      <w:ind w:firstLine="200" w:firstLineChars="200"/>
    </w:pPr>
    <w:rPr>
      <w:rFonts w:hAnsi="宋体" w:cs="宋体"/>
      <w:sz w:val="24"/>
      <w:szCs w:val="24"/>
    </w:rPr>
  </w:style>
  <w:style w:type="paragraph" w:customStyle="1" w:styleId="15">
    <w:name w:val="Body Text First Indent1"/>
    <w:basedOn w:val="16"/>
    <w:next w:val="1"/>
    <w:qFormat/>
    <w:uiPriority w:val="0"/>
    <w:pPr>
      <w:widowControl w:val="0"/>
      <w:tabs>
        <w:tab w:val="left" w:pos="480"/>
      </w:tabs>
      <w:spacing w:after="120"/>
      <w:ind w:firstLine="420"/>
      <w:jc w:val="both"/>
    </w:pPr>
    <w:rPr>
      <w:sz w:val="21"/>
      <w:szCs w:val="22"/>
      <w:lang w:val="en-US" w:eastAsia="zh-CN" w:bidi="ar-SA"/>
    </w:rPr>
  </w:style>
  <w:style w:type="paragraph" w:styleId="16">
    <w:name w:val="Body Text"/>
    <w:basedOn w:val="1"/>
    <w:next w:val="1"/>
    <w:link w:val="156"/>
    <w:unhideWhenUsed/>
    <w:qFormat/>
    <w:uiPriority w:val="99"/>
    <w:pPr>
      <w:spacing w:after="120"/>
    </w:pPr>
    <w:rPr>
      <w:lang w:val="zh-CN"/>
    </w:rPr>
  </w:style>
  <w:style w:type="paragraph" w:styleId="17">
    <w:name w:val="caption"/>
    <w:basedOn w:val="1"/>
    <w:next w:val="1"/>
    <w:link w:val="96"/>
    <w:qFormat/>
    <w:uiPriority w:val="0"/>
    <w:pPr>
      <w:jc w:val="center"/>
    </w:pPr>
    <w:rPr>
      <w:rFonts w:ascii="宋体" w:hAnsi="Arial"/>
      <w:lang w:val="zh-CN"/>
    </w:rPr>
  </w:style>
  <w:style w:type="paragraph" w:styleId="18">
    <w:name w:val="Document Map"/>
    <w:basedOn w:val="1"/>
    <w:link w:val="144"/>
    <w:qFormat/>
    <w:uiPriority w:val="0"/>
    <w:pPr>
      <w:shd w:val="clear" w:color="auto" w:fill="000080"/>
    </w:pPr>
    <w:rPr>
      <w:szCs w:val="24"/>
      <w:lang w:val="zh-CN"/>
    </w:rPr>
  </w:style>
  <w:style w:type="paragraph" w:styleId="19">
    <w:name w:val="annotation text"/>
    <w:basedOn w:val="1"/>
    <w:link w:val="166"/>
    <w:unhideWhenUsed/>
    <w:qFormat/>
    <w:uiPriority w:val="99"/>
    <w:pPr>
      <w:jc w:val="left"/>
    </w:pPr>
    <w:rPr>
      <w:lang w:val="zh-CN"/>
    </w:rPr>
  </w:style>
  <w:style w:type="paragraph" w:styleId="20">
    <w:name w:val="Body Text 3"/>
    <w:basedOn w:val="1"/>
    <w:link w:val="171"/>
    <w:qFormat/>
    <w:uiPriority w:val="0"/>
    <w:pPr>
      <w:spacing w:after="120"/>
    </w:pPr>
    <w:rPr>
      <w:sz w:val="16"/>
      <w:szCs w:val="16"/>
      <w:lang w:val="zh-CN"/>
    </w:rPr>
  </w:style>
  <w:style w:type="paragraph" w:styleId="21">
    <w:name w:val="Body Text Indent"/>
    <w:basedOn w:val="1"/>
    <w:next w:val="22"/>
    <w:link w:val="86"/>
    <w:qFormat/>
    <w:uiPriority w:val="0"/>
    <w:pPr>
      <w:spacing w:after="120"/>
      <w:ind w:left="420" w:leftChars="200"/>
    </w:pPr>
    <w:rPr>
      <w:szCs w:val="24"/>
      <w:lang w:val="zh-CN"/>
    </w:rPr>
  </w:style>
  <w:style w:type="paragraph" w:customStyle="1" w:styleId="22">
    <w:name w:val="样式 正文文本缩进 + 行距: 1.5 倍行距"/>
    <w:basedOn w:val="1"/>
    <w:qFormat/>
    <w:uiPriority w:val="0"/>
    <w:pPr>
      <w:spacing w:after="120" w:line="360" w:lineRule="auto"/>
      <w:ind w:left="90" w:leftChars="32" w:firstLine="560" w:firstLineChars="200"/>
    </w:pPr>
    <w:rPr>
      <w:rFonts w:cs="宋体"/>
      <w:sz w:val="24"/>
    </w:rPr>
  </w:style>
  <w:style w:type="paragraph" w:styleId="23">
    <w:name w:val="List Bullet 2"/>
    <w:basedOn w:val="1"/>
    <w:next w:val="24"/>
    <w:semiHidden/>
    <w:unhideWhenUsed/>
    <w:qFormat/>
    <w:uiPriority w:val="0"/>
    <w:pPr>
      <w:numPr>
        <w:ilvl w:val="0"/>
        <w:numId w:val="2"/>
      </w:numPr>
    </w:pPr>
  </w:style>
  <w:style w:type="paragraph" w:customStyle="1" w:styleId="24">
    <w:name w:val="xl70"/>
    <w:basedOn w:val="1"/>
    <w:next w:val="25"/>
    <w:qFormat/>
    <w:uiPriority w:val="0"/>
    <w:pPr>
      <w:widowControl/>
      <w:spacing w:before="280" w:after="280"/>
    </w:pPr>
    <w:rPr>
      <w:rFonts w:ascii="宋体"/>
      <w:sz w:val="24"/>
    </w:rPr>
  </w:style>
  <w:style w:type="paragraph" w:customStyle="1" w:styleId="25">
    <w:name w:val="正文缩进1"/>
    <w:basedOn w:val="1"/>
    <w:next w:val="26"/>
    <w:qFormat/>
    <w:uiPriority w:val="0"/>
    <w:pPr>
      <w:spacing w:line="360" w:lineRule="auto"/>
      <w:ind w:firstLine="420"/>
    </w:pPr>
    <w:rPr>
      <w:rFonts w:ascii="宋体"/>
      <w:sz w:val="28"/>
    </w:rPr>
  </w:style>
  <w:style w:type="paragraph" w:customStyle="1" w:styleId="26">
    <w:name w:val="td1"/>
    <w:basedOn w:val="1"/>
    <w:next w:val="1"/>
    <w:qFormat/>
    <w:uiPriority w:val="0"/>
    <w:pPr>
      <w:widowControl/>
      <w:spacing w:before="280" w:after="280" w:line="300" w:lineRule="atLeast"/>
      <w:ind w:firstLine="200"/>
    </w:pPr>
    <w:rPr>
      <w:color w:val="000000"/>
      <w:sz w:val="18"/>
    </w:rPr>
  </w:style>
  <w:style w:type="paragraph" w:styleId="27">
    <w:name w:val="toc 5"/>
    <w:basedOn w:val="1"/>
    <w:next w:val="1"/>
    <w:unhideWhenUsed/>
    <w:qFormat/>
    <w:uiPriority w:val="0"/>
    <w:pPr>
      <w:ind w:left="840"/>
      <w:jc w:val="left"/>
    </w:pPr>
    <w:rPr>
      <w:rFonts w:asciiTheme="minorHAnsi" w:eastAsiaTheme="minorHAnsi"/>
      <w:sz w:val="18"/>
      <w:szCs w:val="18"/>
    </w:rPr>
  </w:style>
  <w:style w:type="paragraph" w:styleId="28">
    <w:name w:val="toc 3"/>
    <w:basedOn w:val="1"/>
    <w:next w:val="1"/>
    <w:unhideWhenUsed/>
    <w:qFormat/>
    <w:uiPriority w:val="0"/>
    <w:pPr>
      <w:ind w:left="420"/>
      <w:jc w:val="left"/>
    </w:pPr>
    <w:rPr>
      <w:rFonts w:asciiTheme="minorHAnsi" w:eastAsiaTheme="minorHAnsi"/>
      <w:i/>
      <w:iCs/>
      <w:sz w:val="20"/>
    </w:rPr>
  </w:style>
  <w:style w:type="paragraph" w:styleId="29">
    <w:name w:val="Plain Text"/>
    <w:basedOn w:val="1"/>
    <w:link w:val="116"/>
    <w:qFormat/>
    <w:uiPriority w:val="0"/>
    <w:rPr>
      <w:rFonts w:ascii="宋体" w:hAnsi="Courier New"/>
      <w:szCs w:val="21"/>
      <w:lang w:val="zh-CN"/>
    </w:rPr>
  </w:style>
  <w:style w:type="paragraph" w:styleId="30">
    <w:name w:val="toc 8"/>
    <w:basedOn w:val="1"/>
    <w:next w:val="1"/>
    <w:unhideWhenUsed/>
    <w:qFormat/>
    <w:uiPriority w:val="0"/>
    <w:pPr>
      <w:ind w:left="1470"/>
      <w:jc w:val="left"/>
    </w:pPr>
    <w:rPr>
      <w:rFonts w:asciiTheme="minorHAnsi" w:eastAsiaTheme="minorHAnsi"/>
      <w:sz w:val="18"/>
      <w:szCs w:val="18"/>
    </w:rPr>
  </w:style>
  <w:style w:type="paragraph" w:styleId="31">
    <w:name w:val="Date"/>
    <w:basedOn w:val="1"/>
    <w:next w:val="1"/>
    <w:link w:val="165"/>
    <w:qFormat/>
    <w:uiPriority w:val="0"/>
    <w:pPr>
      <w:ind w:left="100" w:leftChars="2500"/>
    </w:pPr>
    <w:rPr>
      <w:sz w:val="24"/>
      <w:lang w:val="zh-CN"/>
    </w:rPr>
  </w:style>
  <w:style w:type="paragraph" w:styleId="32">
    <w:name w:val="Body Text Indent 2"/>
    <w:basedOn w:val="1"/>
    <w:link w:val="83"/>
    <w:qFormat/>
    <w:uiPriority w:val="0"/>
    <w:pPr>
      <w:spacing w:after="120" w:line="480" w:lineRule="auto"/>
      <w:ind w:left="420" w:leftChars="200"/>
    </w:pPr>
    <w:rPr>
      <w:szCs w:val="24"/>
      <w:lang w:val="zh-CN"/>
    </w:rPr>
  </w:style>
  <w:style w:type="paragraph" w:styleId="33">
    <w:name w:val="Balloon Text"/>
    <w:basedOn w:val="1"/>
    <w:link w:val="107"/>
    <w:qFormat/>
    <w:uiPriority w:val="0"/>
    <w:rPr>
      <w:szCs w:val="24"/>
      <w:lang w:val="zh-CN"/>
    </w:rPr>
  </w:style>
  <w:style w:type="paragraph" w:styleId="34">
    <w:name w:val="footer"/>
    <w:basedOn w:val="1"/>
    <w:next w:val="35"/>
    <w:link w:val="75"/>
    <w:qFormat/>
    <w:uiPriority w:val="0"/>
    <w:pPr>
      <w:tabs>
        <w:tab w:val="center" w:pos="4153"/>
        <w:tab w:val="right" w:pos="8306"/>
      </w:tabs>
      <w:snapToGrid w:val="0"/>
      <w:jc w:val="left"/>
    </w:pPr>
    <w:rPr>
      <w:sz w:val="18"/>
      <w:lang w:val="zh-CN"/>
    </w:rPr>
  </w:style>
  <w:style w:type="paragraph" w:styleId="35">
    <w:name w:val="header"/>
    <w:basedOn w:val="1"/>
    <w:next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36">
    <w:name w:val="toc 1"/>
    <w:basedOn w:val="1"/>
    <w:next w:val="1"/>
    <w:qFormat/>
    <w:uiPriority w:val="39"/>
    <w:pPr>
      <w:spacing w:before="120" w:after="120"/>
      <w:jc w:val="left"/>
    </w:pPr>
    <w:rPr>
      <w:rFonts w:asciiTheme="minorHAnsi" w:eastAsiaTheme="minorHAnsi"/>
      <w:b/>
      <w:bCs/>
      <w:caps/>
      <w:sz w:val="20"/>
    </w:rPr>
  </w:style>
  <w:style w:type="paragraph" w:styleId="37">
    <w:name w:val="toc 4"/>
    <w:basedOn w:val="1"/>
    <w:next w:val="1"/>
    <w:unhideWhenUsed/>
    <w:qFormat/>
    <w:uiPriority w:val="0"/>
    <w:pPr>
      <w:ind w:left="630"/>
      <w:jc w:val="left"/>
    </w:pPr>
    <w:rPr>
      <w:rFonts w:asciiTheme="minorHAnsi" w:eastAsiaTheme="minorHAnsi"/>
      <w:sz w:val="18"/>
      <w:szCs w:val="18"/>
    </w:rPr>
  </w:style>
  <w:style w:type="paragraph" w:styleId="38">
    <w:name w:val="List"/>
    <w:basedOn w:val="1"/>
    <w:next w:val="1"/>
    <w:qFormat/>
    <w:uiPriority w:val="99"/>
    <w:pPr>
      <w:spacing w:line="360" w:lineRule="auto"/>
      <w:ind w:left="420" w:hanging="420"/>
    </w:pPr>
    <w:rPr>
      <w:rFonts w:ascii="宋体" w:hAnsi="Arial Black" w:cs="宋体"/>
      <w:kern w:val="21"/>
      <w:sz w:val="24"/>
      <w:szCs w:val="24"/>
    </w:rPr>
  </w:style>
  <w:style w:type="paragraph" w:styleId="39">
    <w:name w:val="footnote text"/>
    <w:basedOn w:val="1"/>
    <w:link w:val="163"/>
    <w:qFormat/>
    <w:uiPriority w:val="0"/>
    <w:pPr>
      <w:snapToGrid w:val="0"/>
      <w:jc w:val="left"/>
    </w:pPr>
    <w:rPr>
      <w:rFonts w:ascii="Calibri" w:hAnsi="Calibri"/>
      <w:sz w:val="18"/>
      <w:szCs w:val="18"/>
      <w:lang w:val="zh-CN"/>
    </w:rPr>
  </w:style>
  <w:style w:type="paragraph" w:styleId="40">
    <w:name w:val="toc 6"/>
    <w:basedOn w:val="1"/>
    <w:next w:val="1"/>
    <w:unhideWhenUsed/>
    <w:qFormat/>
    <w:uiPriority w:val="0"/>
    <w:pPr>
      <w:ind w:left="1050"/>
      <w:jc w:val="left"/>
    </w:pPr>
    <w:rPr>
      <w:rFonts w:asciiTheme="minorHAnsi" w:eastAsiaTheme="minorHAnsi"/>
      <w:sz w:val="18"/>
      <w:szCs w:val="18"/>
    </w:rPr>
  </w:style>
  <w:style w:type="paragraph" w:styleId="41">
    <w:name w:val="Body Text Indent 3"/>
    <w:basedOn w:val="1"/>
    <w:link w:val="125"/>
    <w:qFormat/>
    <w:uiPriority w:val="0"/>
    <w:pPr>
      <w:spacing w:line="360" w:lineRule="auto"/>
      <w:ind w:firstLine="480" w:firstLineChars="200"/>
    </w:pPr>
    <w:rPr>
      <w:sz w:val="24"/>
      <w:szCs w:val="24"/>
      <w:lang w:val="zh-CN"/>
    </w:rPr>
  </w:style>
  <w:style w:type="paragraph" w:styleId="42">
    <w:name w:val="toc 2"/>
    <w:basedOn w:val="1"/>
    <w:next w:val="1"/>
    <w:qFormat/>
    <w:uiPriority w:val="39"/>
    <w:pPr>
      <w:ind w:left="210"/>
      <w:jc w:val="left"/>
    </w:pPr>
    <w:rPr>
      <w:rFonts w:asciiTheme="minorHAnsi" w:eastAsiaTheme="minorHAnsi"/>
      <w:smallCaps/>
      <w:sz w:val="20"/>
    </w:rPr>
  </w:style>
  <w:style w:type="paragraph" w:styleId="43">
    <w:name w:val="toc 9"/>
    <w:basedOn w:val="1"/>
    <w:next w:val="1"/>
    <w:unhideWhenUsed/>
    <w:qFormat/>
    <w:uiPriority w:val="0"/>
    <w:pPr>
      <w:ind w:left="1680"/>
      <w:jc w:val="left"/>
    </w:pPr>
    <w:rPr>
      <w:rFonts w:asciiTheme="minorHAnsi" w:eastAsiaTheme="minorHAnsi"/>
      <w:sz w:val="18"/>
      <w:szCs w:val="18"/>
    </w:rPr>
  </w:style>
  <w:style w:type="paragraph" w:styleId="44">
    <w:name w:val="Body Text 2"/>
    <w:basedOn w:val="1"/>
    <w:link w:val="82"/>
    <w:qFormat/>
    <w:uiPriority w:val="0"/>
    <w:pPr>
      <w:spacing w:after="120" w:line="480" w:lineRule="auto"/>
    </w:pPr>
    <w:rPr>
      <w:szCs w:val="24"/>
      <w:lang w:val="zh-CN"/>
    </w:rPr>
  </w:style>
  <w:style w:type="paragraph" w:styleId="45">
    <w:name w:val="Normal (Web)"/>
    <w:basedOn w:val="1"/>
    <w:qFormat/>
    <w:uiPriority w:val="99"/>
    <w:pPr>
      <w:widowControl/>
      <w:spacing w:before="100" w:beforeAutospacing="1" w:after="100" w:afterAutospacing="1"/>
      <w:jc w:val="left"/>
    </w:pPr>
    <w:rPr>
      <w:rFonts w:ascii="宋体" w:hAnsi="宋体" w:cs="宋体"/>
      <w:kern w:val="0"/>
      <w:sz w:val="24"/>
    </w:rPr>
  </w:style>
  <w:style w:type="paragraph" w:styleId="46">
    <w:name w:val="Title"/>
    <w:basedOn w:val="1"/>
    <w:next w:val="1"/>
    <w:qFormat/>
    <w:uiPriority w:val="0"/>
    <w:pPr>
      <w:spacing w:before="240" w:after="60"/>
      <w:jc w:val="center"/>
      <w:outlineLvl w:val="0"/>
    </w:pPr>
    <w:rPr>
      <w:rFonts w:ascii="Arial" w:hAnsi="Arial"/>
      <w:b/>
      <w:sz w:val="32"/>
    </w:rPr>
  </w:style>
  <w:style w:type="paragraph" w:styleId="47">
    <w:name w:val="annotation subject"/>
    <w:basedOn w:val="19"/>
    <w:next w:val="19"/>
    <w:link w:val="167"/>
    <w:qFormat/>
    <w:uiPriority w:val="0"/>
    <w:rPr>
      <w:b/>
      <w:bCs/>
    </w:rPr>
  </w:style>
  <w:style w:type="paragraph" w:styleId="48">
    <w:name w:val="Body Text First Indent 2"/>
    <w:basedOn w:val="21"/>
    <w:next w:val="21"/>
    <w:qFormat/>
    <w:uiPriority w:val="0"/>
    <w:pPr>
      <w:ind w:firstLine="420"/>
    </w:pPr>
  </w:style>
  <w:style w:type="table" w:styleId="50">
    <w:name w:val="Table Grid"/>
    <w:basedOn w:val="4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52">
    <w:name w:val="Strong"/>
    <w:basedOn w:val="51"/>
    <w:qFormat/>
    <w:uiPriority w:val="0"/>
    <w:rPr>
      <w:bCs/>
    </w:rPr>
  </w:style>
  <w:style w:type="character" w:styleId="53">
    <w:name w:val="page number"/>
    <w:basedOn w:val="51"/>
    <w:qFormat/>
    <w:uiPriority w:val="0"/>
  </w:style>
  <w:style w:type="character" w:styleId="54">
    <w:name w:val="Emphasis"/>
    <w:qFormat/>
    <w:uiPriority w:val="0"/>
    <w:rPr>
      <w:rFonts w:ascii="Arial" w:hAnsi="Arial"/>
      <w:b/>
      <w:spacing w:val="-10"/>
      <w:sz w:val="18"/>
      <w:lang w:eastAsia="zh-CN"/>
    </w:rPr>
  </w:style>
  <w:style w:type="character" w:styleId="55">
    <w:name w:val="Hyperlink"/>
    <w:qFormat/>
    <w:uiPriority w:val="99"/>
    <w:rPr>
      <w:color w:val="0000FF"/>
      <w:u w:val="single"/>
    </w:rPr>
  </w:style>
  <w:style w:type="character" w:styleId="56">
    <w:name w:val="annotation reference"/>
    <w:semiHidden/>
    <w:qFormat/>
    <w:uiPriority w:val="0"/>
    <w:rPr>
      <w:sz w:val="21"/>
      <w:szCs w:val="21"/>
    </w:rPr>
  </w:style>
  <w:style w:type="paragraph" w:customStyle="1" w:styleId="57">
    <w:name w:val="默认段落"/>
    <w:basedOn w:val="1"/>
    <w:qFormat/>
    <w:uiPriority w:val="0"/>
  </w:style>
  <w:style w:type="character" w:customStyle="1" w:styleId="58">
    <w:name w:val="标题 2 字符"/>
    <w:link w:val="3"/>
    <w:qFormat/>
    <w:uiPriority w:val="0"/>
    <w:rPr>
      <w:rFonts w:ascii="Arial" w:hAnsi="Arial" w:eastAsia="黑体"/>
      <w:b/>
      <w:bCs/>
      <w:kern w:val="2"/>
      <w:sz w:val="32"/>
      <w:szCs w:val="32"/>
    </w:rPr>
  </w:style>
  <w:style w:type="paragraph" w:customStyle="1" w:styleId="59">
    <w:name w:val="样式5"/>
    <w:basedOn w:val="60"/>
    <w:qFormat/>
    <w:uiPriority w:val="0"/>
    <w:pPr>
      <w:tabs>
        <w:tab w:val="left" w:pos="480"/>
      </w:tabs>
      <w:spacing w:line="360" w:lineRule="auto"/>
      <w:ind w:firstLine="480"/>
    </w:pPr>
    <w:rPr>
      <w:rFonts w:eastAsia="仿宋_GB2312"/>
      <w:sz w:val="24"/>
    </w:rPr>
  </w:style>
  <w:style w:type="paragraph" w:customStyle="1" w:styleId="60">
    <w:name w:val="样式2"/>
    <w:basedOn w:val="61"/>
    <w:qFormat/>
    <w:uiPriority w:val="0"/>
    <w:pPr>
      <w:ind w:firstLine="533" w:firstLineChars="200"/>
    </w:pPr>
    <w:rPr>
      <w:bCs/>
      <w:color w:val="0000FF"/>
    </w:rPr>
  </w:style>
  <w:style w:type="paragraph" w:customStyle="1" w:styleId="61">
    <w:name w:val="正文 + 宋体"/>
    <w:basedOn w:val="1"/>
    <w:qFormat/>
    <w:uiPriority w:val="0"/>
    <w:pPr>
      <w:snapToGrid w:val="0"/>
      <w:ind w:firstLine="648" w:firstLineChars="245"/>
    </w:pPr>
    <w:rPr>
      <w:rFonts w:ascii="宋体" w:hAnsi="宋体"/>
    </w:rPr>
  </w:style>
  <w:style w:type="paragraph" w:customStyle="1" w:styleId="62">
    <w:name w:val="Body Text 21"/>
    <w:basedOn w:val="1"/>
    <w:qFormat/>
    <w:uiPriority w:val="0"/>
    <w:pPr>
      <w:spacing w:after="120" w:line="480" w:lineRule="auto"/>
    </w:pPr>
  </w:style>
  <w:style w:type="paragraph" w:customStyle="1" w:styleId="63">
    <w:name w:val="Default"/>
    <w:basedOn w:val="64"/>
    <w:qFormat/>
    <w:uiPriority w:val="0"/>
    <w:pPr>
      <w:autoSpaceDE w:val="0"/>
      <w:autoSpaceDN w:val="0"/>
    </w:pPr>
    <w:rPr>
      <w:rFonts w:hAnsi="Times New Roman" w:eastAsia="宋体" w:cs="宋体"/>
      <w:color w:val="000000"/>
      <w:sz w:val="24"/>
      <w:szCs w:val="24"/>
    </w:rPr>
  </w:style>
  <w:style w:type="paragraph" w:customStyle="1" w:styleId="64">
    <w:name w:val="1 表头"/>
    <w:basedOn w:val="1"/>
    <w:qFormat/>
    <w:uiPriority w:val="0"/>
    <w:pPr>
      <w:jc w:val="center"/>
    </w:pPr>
    <w:rPr>
      <w:b/>
      <w:color w:val="000000"/>
      <w:szCs w:val="21"/>
    </w:rPr>
  </w:style>
  <w:style w:type="paragraph" w:customStyle="1" w:styleId="65">
    <w:name w:val="纯文本1"/>
    <w:basedOn w:val="1"/>
    <w:qFormat/>
    <w:uiPriority w:val="0"/>
    <w:pPr>
      <w:adjustRightInd w:val="0"/>
      <w:textAlignment w:val="baseline"/>
    </w:pPr>
    <w:rPr>
      <w:rFonts w:ascii="宋体" w:hAnsi="Courier New" w:eastAsia="仿宋_GB2312"/>
      <w:sz w:val="28"/>
    </w:rPr>
  </w:style>
  <w:style w:type="paragraph" w:customStyle="1" w:styleId="66">
    <w:name w:val="Char"/>
    <w:basedOn w:val="1"/>
    <w:qFormat/>
    <w:uiPriority w:val="0"/>
    <w:pPr>
      <w:spacing w:after="160" w:line="240" w:lineRule="exact"/>
      <w:jc w:val="left"/>
    </w:pPr>
    <w:rPr>
      <w:rFonts w:ascii="Arial" w:hAnsi="Arial" w:eastAsia="Times New Roman" w:cs="Verdana"/>
      <w:b/>
      <w:kern w:val="0"/>
      <w:sz w:val="24"/>
      <w:lang w:eastAsia="en-US"/>
    </w:rPr>
  </w:style>
  <w:style w:type="character" w:customStyle="1" w:styleId="67">
    <w:name w:val="标题 1 字符"/>
    <w:link w:val="2"/>
    <w:qFormat/>
    <w:uiPriority w:val="0"/>
    <w:rPr>
      <w:b/>
      <w:bCs/>
      <w:kern w:val="44"/>
      <w:sz w:val="30"/>
      <w:szCs w:val="44"/>
    </w:rPr>
  </w:style>
  <w:style w:type="character" w:customStyle="1" w:styleId="68">
    <w:name w:val="标题 3 字符"/>
    <w:link w:val="4"/>
    <w:qFormat/>
    <w:uiPriority w:val="0"/>
    <w:rPr>
      <w:b/>
      <w:bCs/>
      <w:kern w:val="2"/>
      <w:sz w:val="32"/>
      <w:szCs w:val="32"/>
    </w:rPr>
  </w:style>
  <w:style w:type="character" w:customStyle="1" w:styleId="69">
    <w:name w:val="标题 4 字符"/>
    <w:link w:val="5"/>
    <w:qFormat/>
    <w:uiPriority w:val="0"/>
    <w:rPr>
      <w:rFonts w:ascii="Arial" w:hAnsi="Arial" w:cs="Arial"/>
      <w:b/>
      <w:kern w:val="2"/>
      <w:sz w:val="24"/>
      <w:szCs w:val="24"/>
    </w:rPr>
  </w:style>
  <w:style w:type="character" w:customStyle="1" w:styleId="70">
    <w:name w:val="标题 5 字符"/>
    <w:link w:val="6"/>
    <w:qFormat/>
    <w:uiPriority w:val="0"/>
    <w:rPr>
      <w:rFonts w:ascii="Arial" w:hAnsi="Arial"/>
      <w:kern w:val="2"/>
      <w:sz w:val="28"/>
    </w:rPr>
  </w:style>
  <w:style w:type="character" w:customStyle="1" w:styleId="71">
    <w:name w:val="标题 6 字符"/>
    <w:link w:val="7"/>
    <w:qFormat/>
    <w:uiPriority w:val="0"/>
    <w:rPr>
      <w:rFonts w:ascii="Arial" w:hAnsi="Arial" w:eastAsia="黑体" w:cs="Arial"/>
      <w:b/>
      <w:bCs/>
      <w:kern w:val="2"/>
      <w:sz w:val="24"/>
    </w:rPr>
  </w:style>
  <w:style w:type="character" w:customStyle="1" w:styleId="72">
    <w:name w:val="标题 7 字符"/>
    <w:link w:val="8"/>
    <w:qFormat/>
    <w:uiPriority w:val="0"/>
    <w:rPr>
      <w:b/>
      <w:kern w:val="2"/>
      <w:sz w:val="24"/>
    </w:rPr>
  </w:style>
  <w:style w:type="character" w:customStyle="1" w:styleId="73">
    <w:name w:val="标题 8 字符"/>
    <w:link w:val="9"/>
    <w:qFormat/>
    <w:uiPriority w:val="0"/>
    <w:rPr>
      <w:rFonts w:ascii="Arial" w:hAnsi="Arial" w:eastAsia="黑体"/>
      <w:kern w:val="2"/>
      <w:sz w:val="24"/>
    </w:rPr>
  </w:style>
  <w:style w:type="character" w:customStyle="1" w:styleId="74">
    <w:name w:val="标题 9 字符"/>
    <w:link w:val="10"/>
    <w:qFormat/>
    <w:uiPriority w:val="0"/>
    <w:rPr>
      <w:rFonts w:ascii="Arial" w:hAnsi="Arial" w:eastAsia="黑体"/>
      <w:sz w:val="21"/>
    </w:rPr>
  </w:style>
  <w:style w:type="character" w:customStyle="1" w:styleId="75">
    <w:name w:val="页脚 字符"/>
    <w:link w:val="34"/>
    <w:qFormat/>
    <w:uiPriority w:val="0"/>
    <w:rPr>
      <w:kern w:val="2"/>
      <w:sz w:val="18"/>
    </w:rPr>
  </w:style>
  <w:style w:type="character" w:customStyle="1" w:styleId="76">
    <w:name w:val="标题 3 Char"/>
    <w:qFormat/>
    <w:uiPriority w:val="0"/>
    <w:rPr>
      <w:b/>
      <w:bCs/>
      <w:kern w:val="2"/>
      <w:sz w:val="32"/>
      <w:szCs w:val="32"/>
    </w:rPr>
  </w:style>
  <w:style w:type="character" w:customStyle="1" w:styleId="77">
    <w:name w:val="表 Char Char"/>
    <w:link w:val="78"/>
    <w:qFormat/>
    <w:uiPriority w:val="0"/>
    <w:rPr>
      <w:rFonts w:ascii="Arial" w:hAnsi="Arial" w:cs="Arial"/>
      <w:sz w:val="21"/>
      <w:szCs w:val="21"/>
    </w:rPr>
  </w:style>
  <w:style w:type="paragraph" w:customStyle="1" w:styleId="78">
    <w:name w:val="表"/>
    <w:basedOn w:val="1"/>
    <w:link w:val="77"/>
    <w:qFormat/>
    <w:uiPriority w:val="0"/>
    <w:pPr>
      <w:autoSpaceDE w:val="0"/>
      <w:autoSpaceDN w:val="0"/>
      <w:adjustRightInd w:val="0"/>
      <w:spacing w:line="360" w:lineRule="exact"/>
      <w:jc w:val="center"/>
    </w:pPr>
    <w:rPr>
      <w:rFonts w:ascii="Arial" w:hAnsi="Arial"/>
      <w:kern w:val="0"/>
      <w:szCs w:val="21"/>
      <w:lang w:val="zh-CN"/>
    </w:rPr>
  </w:style>
  <w:style w:type="character" w:customStyle="1" w:styleId="79">
    <w:name w:val="段落1 Char1"/>
    <w:link w:val="80"/>
    <w:qFormat/>
    <w:uiPriority w:val="0"/>
    <w:rPr>
      <w:rFonts w:hAnsi="宋体"/>
      <w:iCs/>
      <w:color w:val="000000"/>
      <w:spacing w:val="6"/>
      <w:sz w:val="24"/>
      <w:szCs w:val="24"/>
    </w:rPr>
  </w:style>
  <w:style w:type="paragraph" w:customStyle="1" w:styleId="80">
    <w:name w:val="段落1"/>
    <w:basedOn w:val="1"/>
    <w:link w:val="79"/>
    <w:qFormat/>
    <w:uiPriority w:val="0"/>
    <w:pPr>
      <w:adjustRightInd w:val="0"/>
      <w:spacing w:line="360" w:lineRule="auto"/>
      <w:ind w:firstLine="504" w:firstLineChars="200"/>
      <w:jc w:val="left"/>
    </w:pPr>
    <w:rPr>
      <w:rFonts w:hAnsi="宋体"/>
      <w:iCs/>
      <w:color w:val="000000"/>
      <w:spacing w:val="6"/>
      <w:kern w:val="0"/>
      <w:sz w:val="24"/>
      <w:szCs w:val="24"/>
      <w:lang w:val="zh-CN"/>
    </w:rPr>
  </w:style>
  <w:style w:type="character" w:customStyle="1" w:styleId="81">
    <w:name w:val="标题 3[858D7CFB-ED40-4347-BF05-701D383B685F]"/>
    <w:qFormat/>
    <w:uiPriority w:val="0"/>
    <w:rPr>
      <w:b/>
      <w:sz w:val="32"/>
    </w:rPr>
  </w:style>
  <w:style w:type="character" w:customStyle="1" w:styleId="82">
    <w:name w:val="正文文本 2 字符"/>
    <w:link w:val="44"/>
    <w:qFormat/>
    <w:uiPriority w:val="0"/>
    <w:rPr>
      <w:kern w:val="2"/>
      <w:sz w:val="21"/>
      <w:szCs w:val="24"/>
    </w:rPr>
  </w:style>
  <w:style w:type="character" w:customStyle="1" w:styleId="83">
    <w:name w:val="正文文本缩进 2 字符"/>
    <w:link w:val="32"/>
    <w:qFormat/>
    <w:uiPriority w:val="0"/>
    <w:rPr>
      <w:kern w:val="2"/>
      <w:sz w:val="21"/>
      <w:szCs w:val="24"/>
    </w:rPr>
  </w:style>
  <w:style w:type="character" w:customStyle="1" w:styleId="84">
    <w:name w:val="表格1 Char Char"/>
    <w:link w:val="85"/>
    <w:qFormat/>
    <w:uiPriority w:val="0"/>
    <w:rPr>
      <w:bCs/>
      <w:color w:val="000000"/>
      <w:sz w:val="21"/>
      <w:szCs w:val="19"/>
    </w:rPr>
  </w:style>
  <w:style w:type="paragraph" w:customStyle="1" w:styleId="85">
    <w:name w:val="表格1"/>
    <w:basedOn w:val="1"/>
    <w:link w:val="84"/>
    <w:qFormat/>
    <w:uiPriority w:val="0"/>
    <w:pPr>
      <w:spacing w:line="320" w:lineRule="exact"/>
      <w:jc w:val="center"/>
    </w:pPr>
    <w:rPr>
      <w:bCs/>
      <w:color w:val="000000"/>
      <w:kern w:val="0"/>
      <w:szCs w:val="19"/>
      <w:lang w:val="zh-CN"/>
    </w:rPr>
  </w:style>
  <w:style w:type="character" w:customStyle="1" w:styleId="86">
    <w:name w:val="正文文本缩进 字符"/>
    <w:link w:val="21"/>
    <w:qFormat/>
    <w:uiPriority w:val="0"/>
    <w:rPr>
      <w:kern w:val="2"/>
      <w:sz w:val="21"/>
      <w:szCs w:val="24"/>
    </w:rPr>
  </w:style>
  <w:style w:type="character" w:customStyle="1" w:styleId="87">
    <w:name w:val="表文字 Char Char"/>
    <w:link w:val="88"/>
    <w:qFormat/>
    <w:uiPriority w:val="0"/>
    <w:rPr>
      <w:rFonts w:eastAsia="仿宋_GB2312"/>
      <w:sz w:val="24"/>
      <w:szCs w:val="24"/>
    </w:rPr>
  </w:style>
  <w:style w:type="paragraph" w:customStyle="1" w:styleId="88">
    <w:name w:val="表文字"/>
    <w:basedOn w:val="1"/>
    <w:link w:val="87"/>
    <w:qFormat/>
    <w:uiPriority w:val="0"/>
    <w:pPr>
      <w:overflowPunct w:val="0"/>
      <w:autoSpaceDE w:val="0"/>
      <w:autoSpaceDN w:val="0"/>
      <w:adjustRightInd w:val="0"/>
      <w:spacing w:line="240" w:lineRule="atLeast"/>
      <w:jc w:val="center"/>
      <w:textAlignment w:val="baseline"/>
    </w:pPr>
    <w:rPr>
      <w:rFonts w:eastAsia="仿宋_GB2312"/>
      <w:kern w:val="0"/>
      <w:sz w:val="24"/>
      <w:szCs w:val="24"/>
      <w:lang w:val="zh-CN"/>
    </w:rPr>
  </w:style>
  <w:style w:type="character" w:customStyle="1" w:styleId="89">
    <w:name w:val="标题 3[858D7CFB-ED40-4347-BF05-701D383B685F]1"/>
    <w:qFormat/>
    <w:uiPriority w:val="0"/>
    <w:rPr>
      <w:b/>
      <w:sz w:val="32"/>
    </w:rPr>
  </w:style>
  <w:style w:type="character" w:customStyle="1" w:styleId="90">
    <w:name w:val="标题33 Char Char"/>
    <w:link w:val="91"/>
    <w:qFormat/>
    <w:uiPriority w:val="0"/>
    <w:rPr>
      <w:rFonts w:ascii="Arial" w:hAnsi="Arial" w:eastAsia="楷体_GB2312" w:cs="宋体"/>
      <w:b/>
      <w:bCs/>
      <w:kern w:val="2"/>
      <w:sz w:val="24"/>
      <w:szCs w:val="24"/>
    </w:rPr>
  </w:style>
  <w:style w:type="paragraph" w:customStyle="1" w:styleId="91">
    <w:name w:val="标题33"/>
    <w:basedOn w:val="1"/>
    <w:link w:val="90"/>
    <w:qFormat/>
    <w:uiPriority w:val="0"/>
    <w:pPr>
      <w:tabs>
        <w:tab w:val="left" w:pos="1247"/>
        <w:tab w:val="left" w:pos="1808"/>
      </w:tabs>
      <w:spacing w:beforeLines="50" w:line="360" w:lineRule="auto"/>
      <w:ind w:left="1808" w:hanging="420"/>
    </w:pPr>
    <w:rPr>
      <w:rFonts w:ascii="Arial" w:hAnsi="Arial" w:eastAsia="楷体_GB2312"/>
      <w:b/>
      <w:bCs/>
      <w:sz w:val="24"/>
      <w:szCs w:val="24"/>
      <w:lang w:val="zh-CN"/>
    </w:rPr>
  </w:style>
  <w:style w:type="character" w:customStyle="1" w:styleId="92">
    <w:name w:val="表头1 Char Char"/>
    <w:link w:val="93"/>
    <w:qFormat/>
    <w:uiPriority w:val="0"/>
    <w:rPr>
      <w:rFonts w:eastAsia="黑体"/>
      <w:sz w:val="21"/>
      <w:szCs w:val="21"/>
    </w:rPr>
  </w:style>
  <w:style w:type="paragraph" w:customStyle="1" w:styleId="93">
    <w:name w:val="表头1"/>
    <w:basedOn w:val="1"/>
    <w:next w:val="1"/>
    <w:link w:val="92"/>
    <w:qFormat/>
    <w:uiPriority w:val="0"/>
    <w:pPr>
      <w:tabs>
        <w:tab w:val="left" w:pos="605"/>
      </w:tabs>
      <w:adjustRightInd w:val="0"/>
      <w:snapToGrid w:val="0"/>
      <w:jc w:val="center"/>
    </w:pPr>
    <w:rPr>
      <w:rFonts w:eastAsia="黑体"/>
      <w:kern w:val="0"/>
      <w:szCs w:val="21"/>
      <w:lang w:val="zh-CN"/>
    </w:rPr>
  </w:style>
  <w:style w:type="character" w:customStyle="1" w:styleId="94">
    <w:name w:val="正文-ls Char Char"/>
    <w:link w:val="95"/>
    <w:qFormat/>
    <w:uiPriority w:val="0"/>
    <w:rPr>
      <w:rFonts w:hAnsi="宋体" w:cs="宋体"/>
      <w:kern w:val="2"/>
      <w:sz w:val="24"/>
    </w:rPr>
  </w:style>
  <w:style w:type="paragraph" w:customStyle="1" w:styleId="95">
    <w:name w:val="正文-ls"/>
    <w:basedOn w:val="1"/>
    <w:link w:val="94"/>
    <w:qFormat/>
    <w:uiPriority w:val="0"/>
    <w:pPr>
      <w:spacing w:line="360" w:lineRule="auto"/>
      <w:ind w:firstLine="200" w:firstLineChars="200"/>
    </w:pPr>
    <w:rPr>
      <w:rFonts w:hAnsi="宋体"/>
      <w:sz w:val="24"/>
      <w:lang w:val="zh-CN"/>
    </w:rPr>
  </w:style>
  <w:style w:type="character" w:customStyle="1" w:styleId="96">
    <w:name w:val="题注 字符"/>
    <w:link w:val="17"/>
    <w:qFormat/>
    <w:uiPriority w:val="0"/>
    <w:rPr>
      <w:rFonts w:ascii="宋体" w:hAnsi="Arial" w:cs="Arial"/>
      <w:kern w:val="2"/>
      <w:sz w:val="21"/>
    </w:rPr>
  </w:style>
  <w:style w:type="character" w:customStyle="1" w:styleId="97">
    <w:name w:val="正文（首行缩进两字） Char Char1 Char"/>
    <w:link w:val="98"/>
    <w:qFormat/>
    <w:uiPriority w:val="0"/>
    <w:rPr>
      <w:rFonts w:ascii="Arial" w:hAnsi="Arial" w:cs="Arial"/>
      <w:color w:val="000000"/>
      <w:kern w:val="2"/>
      <w:sz w:val="24"/>
      <w:szCs w:val="24"/>
    </w:rPr>
  </w:style>
  <w:style w:type="paragraph" w:customStyle="1" w:styleId="98">
    <w:name w:val="正文（首行缩进两字） Char Char Char2"/>
    <w:basedOn w:val="1"/>
    <w:next w:val="13"/>
    <w:link w:val="97"/>
    <w:qFormat/>
    <w:uiPriority w:val="0"/>
    <w:pPr>
      <w:spacing w:line="440" w:lineRule="exact"/>
      <w:ind w:firstLine="200" w:firstLineChars="200"/>
    </w:pPr>
    <w:rPr>
      <w:rFonts w:ascii="Arial" w:hAnsi="Arial"/>
      <w:color w:val="000000"/>
      <w:sz w:val="24"/>
      <w:szCs w:val="24"/>
      <w:lang w:val="zh-CN"/>
    </w:rPr>
  </w:style>
  <w:style w:type="character" w:customStyle="1" w:styleId="99">
    <w:name w:val="正文缩进 字符"/>
    <w:link w:val="13"/>
    <w:qFormat/>
    <w:uiPriority w:val="0"/>
    <w:rPr>
      <w:sz w:val="24"/>
    </w:rPr>
  </w:style>
  <w:style w:type="character" w:customStyle="1" w:styleId="100">
    <w:name w:val="环评正文 Char Char"/>
    <w:link w:val="101"/>
    <w:qFormat/>
    <w:uiPriority w:val="0"/>
    <w:rPr>
      <w:rFonts w:eastAsia="仿宋_GB2312"/>
      <w:kern w:val="44"/>
      <w:sz w:val="24"/>
    </w:rPr>
  </w:style>
  <w:style w:type="paragraph" w:customStyle="1" w:styleId="101">
    <w:name w:val="环评正文"/>
    <w:basedOn w:val="2"/>
    <w:link w:val="100"/>
    <w:qFormat/>
    <w:uiPriority w:val="0"/>
    <w:pPr>
      <w:keepNext w:val="0"/>
      <w:keepLines w:val="0"/>
      <w:spacing w:beforeLines="100" w:beforeAutospacing="0" w:afterLines="50" w:afterAutospacing="0" w:line="400" w:lineRule="exact"/>
      <w:ind w:firstLine="480"/>
      <w:outlineLvl w:val="9"/>
    </w:pPr>
    <w:rPr>
      <w:rFonts w:eastAsia="仿宋_GB2312"/>
      <w:b w:val="0"/>
      <w:bCs w:val="0"/>
      <w:sz w:val="24"/>
      <w:szCs w:val="20"/>
    </w:rPr>
  </w:style>
  <w:style w:type="character" w:customStyle="1" w:styleId="102">
    <w:name w:val="标题1"/>
    <w:basedOn w:val="51"/>
    <w:qFormat/>
    <w:uiPriority w:val="0"/>
  </w:style>
  <w:style w:type="character" w:customStyle="1" w:styleId="103">
    <w:name w:val="样式 首行缩进:  2 字符 Char Char"/>
    <w:link w:val="104"/>
    <w:qFormat/>
    <w:uiPriority w:val="0"/>
    <w:rPr>
      <w:rFonts w:cs="宋体"/>
      <w:kern w:val="2"/>
      <w:sz w:val="24"/>
      <w:szCs w:val="24"/>
    </w:rPr>
  </w:style>
  <w:style w:type="paragraph" w:customStyle="1" w:styleId="104">
    <w:name w:val="样式 首行缩进:  2 字符"/>
    <w:basedOn w:val="1"/>
    <w:link w:val="103"/>
    <w:qFormat/>
    <w:uiPriority w:val="0"/>
    <w:pPr>
      <w:spacing w:line="460" w:lineRule="exact"/>
      <w:ind w:firstLine="471"/>
    </w:pPr>
    <w:rPr>
      <w:sz w:val="24"/>
      <w:szCs w:val="24"/>
      <w:lang w:val="zh-CN"/>
    </w:rPr>
  </w:style>
  <w:style w:type="character" w:customStyle="1" w:styleId="105">
    <w:name w:val="样式 标题 2节H2节标题 1.1二级标题标题 lxb21.1h2第一层条二级标题 Char表标题单位名... Char Char Char"/>
    <w:link w:val="106"/>
    <w:qFormat/>
    <w:uiPriority w:val="0"/>
    <w:rPr>
      <w:rFonts w:ascii="黑体" w:hAnsi="宋体" w:eastAsia="黑体"/>
      <w:bCs/>
      <w:color w:val="000000"/>
      <w:kern w:val="2"/>
      <w:sz w:val="28"/>
      <w:szCs w:val="28"/>
    </w:rPr>
  </w:style>
  <w:style w:type="paragraph" w:customStyle="1" w:styleId="106">
    <w:name w:val="样式 标题 2节H2节标题 1.1二级标题标题 lxb21.1h2第一层条二级标题 Char表标题单位名... Char"/>
    <w:basedOn w:val="3"/>
    <w:next w:val="1"/>
    <w:link w:val="105"/>
    <w:qFormat/>
    <w:uiPriority w:val="0"/>
    <w:pPr>
      <w:keepNext w:val="0"/>
      <w:keepLines w:val="0"/>
      <w:overflowPunct w:val="0"/>
      <w:autoSpaceDE w:val="0"/>
      <w:autoSpaceDN w:val="0"/>
      <w:adjustRightInd w:val="0"/>
      <w:spacing w:before="0" w:after="0" w:line="360" w:lineRule="auto"/>
      <w:ind w:left="314" w:hanging="314"/>
      <w:textAlignment w:val="baseline"/>
    </w:pPr>
    <w:rPr>
      <w:rFonts w:ascii="黑体" w:hAnsi="宋体"/>
      <w:b w:val="0"/>
      <w:color w:val="000000"/>
      <w:sz w:val="28"/>
      <w:szCs w:val="28"/>
    </w:rPr>
  </w:style>
  <w:style w:type="character" w:customStyle="1" w:styleId="107">
    <w:name w:val="批注框文本 字符"/>
    <w:link w:val="33"/>
    <w:qFormat/>
    <w:uiPriority w:val="0"/>
    <w:rPr>
      <w:kern w:val="2"/>
      <w:sz w:val="21"/>
      <w:szCs w:val="24"/>
    </w:rPr>
  </w:style>
  <w:style w:type="character" w:customStyle="1" w:styleId="108">
    <w:name w:val="表题 Char Char Char Char"/>
    <w:link w:val="109"/>
    <w:qFormat/>
    <w:uiPriority w:val="0"/>
    <w:rPr>
      <w:rFonts w:ascii="宋体" w:hAnsi="宋体"/>
      <w:bCs/>
      <w:kern w:val="2"/>
      <w:sz w:val="24"/>
      <w:szCs w:val="24"/>
    </w:rPr>
  </w:style>
  <w:style w:type="paragraph" w:customStyle="1" w:styleId="109">
    <w:name w:val="表题 Char Char"/>
    <w:basedOn w:val="1"/>
    <w:link w:val="108"/>
    <w:qFormat/>
    <w:uiPriority w:val="0"/>
    <w:pPr>
      <w:spacing w:line="360" w:lineRule="auto"/>
      <w:ind w:firstLine="480" w:firstLineChars="200"/>
    </w:pPr>
    <w:rPr>
      <w:rFonts w:ascii="宋体" w:hAnsi="宋体"/>
      <w:bCs/>
      <w:sz w:val="24"/>
      <w:szCs w:val="24"/>
      <w:lang w:val="zh-CN"/>
    </w:rPr>
  </w:style>
  <w:style w:type="character" w:customStyle="1" w:styleId="110">
    <w:name w:val="表、图名 Char1"/>
    <w:link w:val="111"/>
    <w:qFormat/>
    <w:uiPriority w:val="0"/>
    <w:rPr>
      <w:rFonts w:ascii="黑体" w:eastAsia="黑体"/>
      <w:b/>
      <w:color w:val="000000"/>
      <w:kern w:val="2"/>
      <w:sz w:val="21"/>
    </w:rPr>
  </w:style>
  <w:style w:type="paragraph" w:customStyle="1" w:styleId="111">
    <w:name w:val="表、图名"/>
    <w:basedOn w:val="1"/>
    <w:link w:val="110"/>
    <w:qFormat/>
    <w:uiPriority w:val="0"/>
    <w:pPr>
      <w:adjustRightInd w:val="0"/>
      <w:snapToGrid w:val="0"/>
      <w:spacing w:beforeLines="50"/>
      <w:ind w:left="-42" w:leftChars="-20" w:firstLine="413" w:firstLineChars="196"/>
    </w:pPr>
    <w:rPr>
      <w:rFonts w:ascii="黑体" w:eastAsia="黑体"/>
      <w:b/>
      <w:color w:val="000000"/>
      <w:lang w:val="zh-CN"/>
    </w:rPr>
  </w:style>
  <w:style w:type="character" w:customStyle="1" w:styleId="112">
    <w:name w:val="表头及表尾 Char Char"/>
    <w:link w:val="113"/>
    <w:qFormat/>
    <w:uiPriority w:val="0"/>
    <w:rPr>
      <w:b/>
      <w:sz w:val="21"/>
      <w:szCs w:val="21"/>
      <w:lang w:val="en-US" w:eastAsia="zh-CN" w:bidi="ar-SA"/>
    </w:rPr>
  </w:style>
  <w:style w:type="paragraph" w:customStyle="1" w:styleId="113">
    <w:name w:val="表头及表尾"/>
    <w:link w:val="112"/>
    <w:qFormat/>
    <w:uiPriority w:val="0"/>
    <w:pPr>
      <w:tabs>
        <w:tab w:val="center" w:pos="4200"/>
        <w:tab w:val="right" w:pos="8400"/>
      </w:tabs>
      <w:adjustRightInd w:val="0"/>
      <w:snapToGrid w:val="0"/>
      <w:spacing w:line="360" w:lineRule="auto"/>
      <w:jc w:val="center"/>
    </w:pPr>
    <w:rPr>
      <w:rFonts w:ascii="Times New Roman" w:hAnsi="Times New Roman" w:eastAsia="宋体" w:cs="Times New Roman"/>
      <w:b/>
      <w:sz w:val="21"/>
      <w:szCs w:val="21"/>
      <w:lang w:val="en-US" w:eastAsia="zh-CN" w:bidi="ar-SA"/>
    </w:rPr>
  </w:style>
  <w:style w:type="character" w:customStyle="1" w:styleId="114">
    <w:name w:val="报告书正文 Char Char"/>
    <w:link w:val="115"/>
    <w:qFormat/>
    <w:uiPriority w:val="0"/>
    <w:rPr>
      <w:kern w:val="2"/>
      <w:sz w:val="24"/>
      <w:szCs w:val="24"/>
    </w:rPr>
  </w:style>
  <w:style w:type="paragraph" w:customStyle="1" w:styleId="115">
    <w:name w:val="报告书正文"/>
    <w:basedOn w:val="1"/>
    <w:link w:val="114"/>
    <w:qFormat/>
    <w:uiPriority w:val="0"/>
    <w:pPr>
      <w:spacing w:line="360" w:lineRule="auto"/>
      <w:ind w:firstLine="480" w:firstLineChars="200"/>
    </w:pPr>
    <w:rPr>
      <w:sz w:val="24"/>
      <w:szCs w:val="24"/>
      <w:lang w:val="zh-CN"/>
    </w:rPr>
  </w:style>
  <w:style w:type="character" w:customStyle="1" w:styleId="116">
    <w:name w:val="纯文本 字符"/>
    <w:link w:val="29"/>
    <w:qFormat/>
    <w:uiPriority w:val="0"/>
    <w:rPr>
      <w:rFonts w:ascii="宋体" w:hAnsi="Courier New" w:cs="Courier New"/>
      <w:kern w:val="2"/>
      <w:sz w:val="21"/>
      <w:szCs w:val="21"/>
    </w:rPr>
  </w:style>
  <w:style w:type="character" w:customStyle="1" w:styleId="117">
    <w:name w:val="缩进 Char Char"/>
    <w:link w:val="118"/>
    <w:qFormat/>
    <w:uiPriority w:val="0"/>
    <w:rPr>
      <w:kern w:val="2"/>
      <w:sz w:val="24"/>
      <w:szCs w:val="24"/>
    </w:rPr>
  </w:style>
  <w:style w:type="paragraph" w:customStyle="1" w:styleId="118">
    <w:name w:val="缩进"/>
    <w:basedOn w:val="1"/>
    <w:link w:val="117"/>
    <w:qFormat/>
    <w:uiPriority w:val="0"/>
    <w:pPr>
      <w:spacing w:line="360" w:lineRule="auto"/>
      <w:ind w:firstLine="200" w:firstLineChars="200"/>
    </w:pPr>
    <w:rPr>
      <w:sz w:val="24"/>
      <w:szCs w:val="24"/>
      <w:lang w:val="zh-CN"/>
    </w:rPr>
  </w:style>
  <w:style w:type="character" w:customStyle="1" w:styleId="119">
    <w:name w:val="书籍标题1"/>
    <w:qFormat/>
    <w:uiPriority w:val="0"/>
    <w:rPr>
      <w:b/>
      <w:smallCaps/>
      <w:spacing w:val="5"/>
    </w:rPr>
  </w:style>
  <w:style w:type="character" w:customStyle="1" w:styleId="120">
    <w:name w:val="样式4 Char Char Char Char"/>
    <w:link w:val="121"/>
    <w:qFormat/>
    <w:uiPriority w:val="0"/>
    <w:rPr>
      <w:rFonts w:ascii="Arial" w:hAnsi="Arial" w:eastAsia="宋体"/>
      <w:kern w:val="2"/>
      <w:sz w:val="24"/>
      <w:szCs w:val="24"/>
      <w:lang w:val="en-US" w:eastAsia="zh-CN" w:bidi="ar-SA"/>
    </w:rPr>
  </w:style>
  <w:style w:type="paragraph" w:customStyle="1" w:styleId="121">
    <w:name w:val="样式4 Char Char"/>
    <w:basedOn w:val="13"/>
    <w:link w:val="120"/>
    <w:qFormat/>
    <w:uiPriority w:val="0"/>
    <w:pPr>
      <w:adjustRightInd/>
      <w:spacing w:line="460" w:lineRule="exact"/>
      <w:jc w:val="both"/>
      <w:textAlignment w:val="auto"/>
    </w:pPr>
    <w:rPr>
      <w:rFonts w:ascii="Arial" w:hAnsi="Arial"/>
      <w:kern w:val="2"/>
      <w:szCs w:val="24"/>
      <w:lang w:val="en-US"/>
    </w:rPr>
  </w:style>
  <w:style w:type="character" w:customStyle="1" w:styleId="122">
    <w:name w:val="正文缩进41"/>
    <w:qFormat/>
    <w:uiPriority w:val="0"/>
    <w:rPr>
      <w:rFonts w:ascii="Arial" w:hAnsi="Arial" w:eastAsia="宋体"/>
      <w:kern w:val="2"/>
      <w:sz w:val="24"/>
      <w:lang w:val="en-US" w:eastAsia="zh-CN" w:bidi="ar-SA"/>
    </w:rPr>
  </w:style>
  <w:style w:type="character" w:customStyle="1" w:styleId="123">
    <w:name w:val="表格 Char"/>
    <w:link w:val="124"/>
    <w:qFormat/>
    <w:uiPriority w:val="0"/>
    <w:rPr>
      <w:rFonts w:ascii="Arial" w:hAnsi="Arial" w:eastAsia="仿宋_GB2312" w:cs="Arial"/>
      <w:sz w:val="24"/>
      <w:szCs w:val="24"/>
    </w:rPr>
  </w:style>
  <w:style w:type="paragraph" w:customStyle="1" w:styleId="124">
    <w:name w:val="表格"/>
    <w:basedOn w:val="38"/>
    <w:link w:val="123"/>
    <w:qFormat/>
    <w:uiPriority w:val="0"/>
    <w:pPr>
      <w:keepNext/>
      <w:tabs>
        <w:tab w:val="left" w:pos="737"/>
      </w:tabs>
      <w:adjustRightInd w:val="0"/>
      <w:snapToGrid w:val="0"/>
      <w:spacing w:before="60" w:after="60" w:line="240" w:lineRule="atLeast"/>
      <w:jc w:val="center"/>
    </w:pPr>
    <w:rPr>
      <w:rFonts w:ascii="Arial" w:hAnsi="Arial" w:eastAsia="仿宋_GB2312"/>
      <w:szCs w:val="24"/>
      <w:lang w:val="zh-CN"/>
    </w:rPr>
  </w:style>
  <w:style w:type="character" w:customStyle="1" w:styleId="125">
    <w:name w:val="正文文本缩进 3 字符"/>
    <w:link w:val="41"/>
    <w:qFormat/>
    <w:uiPriority w:val="0"/>
    <w:rPr>
      <w:kern w:val="2"/>
      <w:sz w:val="24"/>
      <w:szCs w:val="24"/>
    </w:rPr>
  </w:style>
  <w:style w:type="character" w:customStyle="1" w:styleId="126">
    <w:name w:val="正文    首行缩进:  2 字符1 + 首行缩进:  2 字符1 Char Char"/>
    <w:link w:val="127"/>
    <w:qFormat/>
    <w:uiPriority w:val="0"/>
    <w:rPr>
      <w:rFonts w:ascii="宋体" w:hAnsi="宋体" w:cs="宋体"/>
      <w:kern w:val="24"/>
      <w:sz w:val="21"/>
      <w:szCs w:val="21"/>
      <w:lang w:val="pt-BR"/>
    </w:rPr>
  </w:style>
  <w:style w:type="paragraph" w:customStyle="1" w:styleId="127">
    <w:name w:val="正文    首行缩进:  2 字符1 + 首行缩进:  2 字符1"/>
    <w:basedOn w:val="1"/>
    <w:link w:val="126"/>
    <w:qFormat/>
    <w:uiPriority w:val="0"/>
    <w:pPr>
      <w:widowControl/>
      <w:tabs>
        <w:tab w:val="left" w:pos="2835"/>
        <w:tab w:val="left" w:pos="4725"/>
      </w:tabs>
      <w:adjustRightInd w:val="0"/>
      <w:snapToGrid w:val="0"/>
      <w:spacing w:line="360" w:lineRule="auto"/>
      <w:ind w:firstLine="420" w:firstLineChars="200"/>
      <w:jc w:val="center"/>
    </w:pPr>
    <w:rPr>
      <w:rFonts w:ascii="宋体" w:hAnsi="宋体"/>
      <w:kern w:val="24"/>
      <w:szCs w:val="21"/>
      <w:shd w:val="clear" w:color="auto" w:fill="FFFFFF"/>
      <w:lang w:val="pt-BR"/>
    </w:rPr>
  </w:style>
  <w:style w:type="character" w:customStyle="1" w:styleId="128">
    <w:name w:val="正文宋体小四1.5行 Char Char1"/>
    <w:qFormat/>
    <w:uiPriority w:val="0"/>
    <w:rPr>
      <w:rFonts w:eastAsia="宋体"/>
      <w:kern w:val="2"/>
      <w:sz w:val="21"/>
      <w:szCs w:val="21"/>
      <w:lang w:val="en-US" w:eastAsia="zh-CN" w:bidi="ar-SA"/>
    </w:rPr>
  </w:style>
  <w:style w:type="character" w:customStyle="1" w:styleId="129">
    <w:name w:val="燕山正文 Char Char"/>
    <w:link w:val="130"/>
    <w:qFormat/>
    <w:uiPriority w:val="0"/>
    <w:rPr>
      <w:rFonts w:ascii="宋体" w:hAnsi="宋体"/>
      <w:color w:val="000000"/>
      <w:kern w:val="2"/>
      <w:sz w:val="24"/>
      <w:szCs w:val="28"/>
    </w:rPr>
  </w:style>
  <w:style w:type="paragraph" w:customStyle="1" w:styleId="130">
    <w:name w:val="燕山正文"/>
    <w:basedOn w:val="1"/>
    <w:link w:val="129"/>
    <w:qFormat/>
    <w:uiPriority w:val="0"/>
    <w:pPr>
      <w:tabs>
        <w:tab w:val="left" w:pos="4680"/>
      </w:tabs>
      <w:adjustRightInd w:val="0"/>
      <w:snapToGrid w:val="0"/>
      <w:spacing w:beforeLines="50" w:line="360" w:lineRule="auto"/>
      <w:ind w:firstLine="480" w:firstLineChars="200"/>
    </w:pPr>
    <w:rPr>
      <w:rFonts w:ascii="宋体" w:hAnsi="宋体"/>
      <w:color w:val="000000"/>
      <w:sz w:val="24"/>
      <w:szCs w:val="28"/>
      <w:lang w:val="zh-CN"/>
    </w:rPr>
  </w:style>
  <w:style w:type="character" w:customStyle="1" w:styleId="131">
    <w:name w:val="正文格式 Char Char"/>
    <w:link w:val="132"/>
    <w:qFormat/>
    <w:uiPriority w:val="0"/>
    <w:rPr>
      <w:rFonts w:ascii="宋体" w:hAnsi="宋体"/>
      <w:kern w:val="2"/>
      <w:sz w:val="24"/>
      <w:szCs w:val="24"/>
    </w:rPr>
  </w:style>
  <w:style w:type="paragraph" w:customStyle="1" w:styleId="132">
    <w:name w:val="正文格式"/>
    <w:basedOn w:val="1"/>
    <w:link w:val="131"/>
    <w:qFormat/>
    <w:uiPriority w:val="0"/>
    <w:pPr>
      <w:spacing w:line="360" w:lineRule="auto"/>
      <w:ind w:firstLine="482"/>
    </w:pPr>
    <w:rPr>
      <w:rFonts w:ascii="宋体" w:hAnsi="宋体"/>
      <w:sz w:val="24"/>
      <w:szCs w:val="24"/>
      <w:lang w:val="zh-CN"/>
    </w:rPr>
  </w:style>
  <w:style w:type="character" w:customStyle="1" w:styleId="133">
    <w:name w:val="无节款 Char"/>
    <w:qFormat/>
    <w:uiPriority w:val="0"/>
    <w:rPr>
      <w:rFonts w:ascii="Arial" w:hAnsi="Arial" w:eastAsia="黑体"/>
      <w:sz w:val="24"/>
      <w:lang w:val="en-US" w:eastAsia="zh-CN" w:bidi="ar-SA"/>
    </w:rPr>
  </w:style>
  <w:style w:type="character" w:customStyle="1" w:styleId="134">
    <w:name w:val="我的表格 Char Char"/>
    <w:link w:val="135"/>
    <w:qFormat/>
    <w:uiPriority w:val="0"/>
    <w:rPr>
      <w:sz w:val="21"/>
    </w:rPr>
  </w:style>
  <w:style w:type="paragraph" w:customStyle="1" w:styleId="135">
    <w:name w:val="我的表格"/>
    <w:basedOn w:val="1"/>
    <w:link w:val="134"/>
    <w:qFormat/>
    <w:uiPriority w:val="0"/>
    <w:pPr>
      <w:adjustRightInd w:val="0"/>
      <w:jc w:val="center"/>
      <w:textAlignment w:val="baseline"/>
    </w:pPr>
    <w:rPr>
      <w:kern w:val="0"/>
      <w:lang w:val="zh-CN"/>
    </w:rPr>
  </w:style>
  <w:style w:type="character" w:customStyle="1" w:styleId="136">
    <w:name w:val="hhcwt表头 Char Char"/>
    <w:link w:val="137"/>
    <w:qFormat/>
    <w:uiPriority w:val="0"/>
    <w:rPr>
      <w:rFonts w:ascii="楷体_GB2312" w:eastAsia="楷体_GB2312" w:cs="宋体"/>
      <w:b/>
      <w:bCs/>
      <w:sz w:val="24"/>
    </w:rPr>
  </w:style>
  <w:style w:type="paragraph" w:customStyle="1" w:styleId="137">
    <w:name w:val="hhcwt表头"/>
    <w:basedOn w:val="1"/>
    <w:link w:val="136"/>
    <w:qFormat/>
    <w:uiPriority w:val="0"/>
    <w:pPr>
      <w:spacing w:after="120"/>
      <w:ind w:left="100" w:leftChars="100" w:right="100" w:rightChars="100"/>
      <w:jc w:val="center"/>
    </w:pPr>
    <w:rPr>
      <w:rFonts w:ascii="楷体_GB2312" w:eastAsia="楷体_GB2312"/>
      <w:b/>
      <w:bCs/>
      <w:kern w:val="0"/>
      <w:sz w:val="24"/>
      <w:lang w:val="zh-CN"/>
    </w:rPr>
  </w:style>
  <w:style w:type="character" w:customStyle="1" w:styleId="138">
    <w:name w:val="正文(首行缩进) Char Char"/>
    <w:link w:val="139"/>
    <w:qFormat/>
    <w:uiPriority w:val="0"/>
    <w:rPr>
      <w:color w:val="000000"/>
      <w:kern w:val="2"/>
      <w:sz w:val="24"/>
      <w:szCs w:val="24"/>
    </w:rPr>
  </w:style>
  <w:style w:type="paragraph" w:customStyle="1" w:styleId="139">
    <w:name w:val="正文(首行缩进)"/>
    <w:basedOn w:val="1"/>
    <w:link w:val="138"/>
    <w:qFormat/>
    <w:uiPriority w:val="0"/>
    <w:pPr>
      <w:adjustRightInd w:val="0"/>
      <w:snapToGrid w:val="0"/>
      <w:spacing w:line="360" w:lineRule="auto"/>
      <w:ind w:firstLine="480" w:firstLineChars="200"/>
    </w:pPr>
    <w:rPr>
      <w:color w:val="000000"/>
      <w:sz w:val="24"/>
      <w:szCs w:val="24"/>
      <w:lang w:val="zh-CN"/>
    </w:rPr>
  </w:style>
  <w:style w:type="character" w:customStyle="1" w:styleId="140">
    <w:name w:val="headline-content2"/>
    <w:basedOn w:val="51"/>
    <w:qFormat/>
    <w:uiPriority w:val="0"/>
  </w:style>
  <w:style w:type="character" w:customStyle="1" w:styleId="141">
    <w:name w:val="表头 Char Char Char Char"/>
    <w:link w:val="142"/>
    <w:qFormat/>
    <w:uiPriority w:val="0"/>
    <w:rPr>
      <w:rFonts w:eastAsia="黑体"/>
      <w:kern w:val="2"/>
      <w:sz w:val="21"/>
      <w:szCs w:val="24"/>
    </w:rPr>
  </w:style>
  <w:style w:type="paragraph" w:customStyle="1" w:styleId="142">
    <w:name w:val="表头"/>
    <w:basedOn w:val="13"/>
    <w:next w:val="1"/>
    <w:link w:val="141"/>
    <w:qFormat/>
    <w:uiPriority w:val="0"/>
    <w:pPr>
      <w:tabs>
        <w:tab w:val="center" w:pos="4153"/>
        <w:tab w:val="right" w:pos="8306"/>
      </w:tabs>
      <w:spacing w:beforeLines="50" w:line="400" w:lineRule="exact"/>
      <w:ind w:firstLine="200" w:firstLineChars="200"/>
    </w:pPr>
    <w:rPr>
      <w:rFonts w:eastAsia="黑体"/>
      <w:szCs w:val="24"/>
    </w:rPr>
  </w:style>
  <w:style w:type="paragraph" w:customStyle="1" w:styleId="143">
    <w:name w:val="标题3"/>
    <w:basedOn w:val="1"/>
    <w:autoRedefine/>
    <w:qFormat/>
    <w:uiPriority w:val="0"/>
    <w:rPr>
      <w:b/>
    </w:rPr>
  </w:style>
  <w:style w:type="character" w:customStyle="1" w:styleId="144">
    <w:name w:val="文档结构图 字符"/>
    <w:link w:val="18"/>
    <w:qFormat/>
    <w:uiPriority w:val="0"/>
    <w:rPr>
      <w:kern w:val="2"/>
      <w:sz w:val="21"/>
      <w:szCs w:val="24"/>
      <w:shd w:val="clear" w:color="auto" w:fill="000080"/>
    </w:rPr>
  </w:style>
  <w:style w:type="character" w:customStyle="1" w:styleId="145">
    <w:name w:val="5级正文 Char Char"/>
    <w:link w:val="146"/>
    <w:qFormat/>
    <w:uiPriority w:val="0"/>
    <w:rPr>
      <w:b/>
      <w:kern w:val="2"/>
      <w:sz w:val="24"/>
      <w:szCs w:val="24"/>
    </w:rPr>
  </w:style>
  <w:style w:type="paragraph" w:customStyle="1" w:styleId="146">
    <w:name w:val="5级正文"/>
    <w:basedOn w:val="1"/>
    <w:next w:val="118"/>
    <w:link w:val="145"/>
    <w:qFormat/>
    <w:uiPriority w:val="0"/>
    <w:pPr>
      <w:numPr>
        <w:ilvl w:val="0"/>
        <w:numId w:val="3"/>
      </w:numPr>
      <w:spacing w:line="360" w:lineRule="auto"/>
      <w:outlineLvl w:val="4"/>
    </w:pPr>
    <w:rPr>
      <w:b/>
      <w:sz w:val="24"/>
      <w:szCs w:val="24"/>
      <w:lang w:val="zh-CN"/>
    </w:rPr>
  </w:style>
  <w:style w:type="character" w:customStyle="1" w:styleId="147">
    <w:name w:val="1正文段落 Char Char"/>
    <w:link w:val="148"/>
    <w:qFormat/>
    <w:uiPriority w:val="0"/>
    <w:rPr>
      <w:snapToGrid w:val="0"/>
      <w:sz w:val="24"/>
      <w:szCs w:val="24"/>
    </w:rPr>
  </w:style>
  <w:style w:type="paragraph" w:customStyle="1" w:styleId="148">
    <w:name w:val="1正文段落"/>
    <w:basedOn w:val="1"/>
    <w:link w:val="147"/>
    <w:qFormat/>
    <w:uiPriority w:val="0"/>
    <w:pPr>
      <w:spacing w:line="360" w:lineRule="auto"/>
      <w:ind w:firstLine="480" w:firstLineChars="200"/>
      <w:jc w:val="left"/>
    </w:pPr>
    <w:rPr>
      <w:snapToGrid w:val="0"/>
      <w:kern w:val="0"/>
      <w:sz w:val="24"/>
      <w:szCs w:val="24"/>
      <w:lang w:val="zh-CN"/>
    </w:rPr>
  </w:style>
  <w:style w:type="character" w:customStyle="1" w:styleId="149">
    <w:name w:val="表格注 Char Char"/>
    <w:link w:val="150"/>
    <w:qFormat/>
    <w:uiPriority w:val="0"/>
    <w:rPr>
      <w:kern w:val="2"/>
      <w:sz w:val="18"/>
      <w:szCs w:val="24"/>
    </w:rPr>
  </w:style>
  <w:style w:type="paragraph" w:customStyle="1" w:styleId="150">
    <w:name w:val="表格注"/>
    <w:basedOn w:val="1"/>
    <w:next w:val="1"/>
    <w:link w:val="149"/>
    <w:qFormat/>
    <w:uiPriority w:val="0"/>
    <w:pPr>
      <w:spacing w:line="240" w:lineRule="exact"/>
      <w:jc w:val="left"/>
    </w:pPr>
    <w:rPr>
      <w:sz w:val="18"/>
      <w:szCs w:val="24"/>
      <w:lang w:val="zh-CN"/>
    </w:rPr>
  </w:style>
  <w:style w:type="character" w:customStyle="1" w:styleId="151">
    <w:name w:val="正正文 Char Char"/>
    <w:link w:val="152"/>
    <w:qFormat/>
    <w:uiPriority w:val="0"/>
    <w:rPr>
      <w:rFonts w:ascii="宋体" w:hAnsi="宋体"/>
      <w:snapToGrid w:val="0"/>
      <w:kern w:val="2"/>
      <w:sz w:val="24"/>
      <w:szCs w:val="24"/>
    </w:rPr>
  </w:style>
  <w:style w:type="paragraph" w:customStyle="1" w:styleId="152">
    <w:name w:val="正正文"/>
    <w:basedOn w:val="1"/>
    <w:link w:val="151"/>
    <w:qFormat/>
    <w:uiPriority w:val="0"/>
    <w:pPr>
      <w:spacing w:before="240" w:after="120" w:line="360" w:lineRule="auto"/>
      <w:ind w:firstLine="480" w:firstLineChars="200"/>
    </w:pPr>
    <w:rPr>
      <w:rFonts w:ascii="宋体" w:hAnsi="宋体"/>
      <w:snapToGrid w:val="0"/>
      <w:sz w:val="24"/>
      <w:szCs w:val="24"/>
      <w:lang w:val="zh-CN"/>
    </w:rPr>
  </w:style>
  <w:style w:type="character" w:customStyle="1" w:styleId="153">
    <w:name w:val="谏壁正文chen Char Char"/>
    <w:link w:val="154"/>
    <w:qFormat/>
    <w:uiPriority w:val="0"/>
    <w:rPr>
      <w:kern w:val="2"/>
      <w:sz w:val="24"/>
      <w:szCs w:val="24"/>
    </w:rPr>
  </w:style>
  <w:style w:type="paragraph" w:customStyle="1" w:styleId="154">
    <w:name w:val="谏壁正文chen"/>
    <w:basedOn w:val="1"/>
    <w:link w:val="153"/>
    <w:qFormat/>
    <w:uiPriority w:val="0"/>
    <w:pPr>
      <w:spacing w:line="360" w:lineRule="auto"/>
      <w:ind w:firstLine="200" w:firstLineChars="200"/>
    </w:pPr>
    <w:rPr>
      <w:sz w:val="24"/>
      <w:szCs w:val="24"/>
      <w:lang w:val="zh-CN"/>
    </w:rPr>
  </w:style>
  <w:style w:type="character" w:customStyle="1" w:styleId="155">
    <w:name w:val="正文文本 2 Char1"/>
    <w:semiHidden/>
    <w:qFormat/>
    <w:uiPriority w:val="99"/>
    <w:rPr>
      <w:kern w:val="2"/>
      <w:sz w:val="21"/>
    </w:rPr>
  </w:style>
  <w:style w:type="character" w:customStyle="1" w:styleId="156">
    <w:name w:val="正文文本 字符"/>
    <w:link w:val="16"/>
    <w:semiHidden/>
    <w:qFormat/>
    <w:uiPriority w:val="99"/>
    <w:rPr>
      <w:kern w:val="2"/>
      <w:sz w:val="21"/>
    </w:rPr>
  </w:style>
  <w:style w:type="character" w:customStyle="1" w:styleId="157">
    <w:name w:val="正文文本首行缩进 字符"/>
    <w:qFormat/>
    <w:uiPriority w:val="0"/>
    <w:rPr>
      <w:kern w:val="2"/>
      <w:sz w:val="21"/>
      <w:szCs w:val="21"/>
    </w:rPr>
  </w:style>
  <w:style w:type="paragraph" w:customStyle="1" w:styleId="158">
    <w:name w:val="谏壁标题3（chen）"/>
    <w:basedOn w:val="1"/>
    <w:qFormat/>
    <w:uiPriority w:val="0"/>
    <w:pPr>
      <w:keepNext/>
      <w:keepLines/>
      <w:spacing w:before="100" w:after="120" w:line="360" w:lineRule="auto"/>
      <w:outlineLvl w:val="2"/>
    </w:pPr>
    <w:rPr>
      <w:rFonts w:eastAsia="黑体"/>
      <w:sz w:val="30"/>
      <w:szCs w:val="32"/>
    </w:rPr>
  </w:style>
  <w:style w:type="character" w:customStyle="1" w:styleId="159">
    <w:name w:val="正文文本缩进 Char1"/>
    <w:semiHidden/>
    <w:qFormat/>
    <w:uiPriority w:val="99"/>
    <w:rPr>
      <w:kern w:val="2"/>
      <w:sz w:val="21"/>
    </w:rPr>
  </w:style>
  <w:style w:type="paragraph" w:customStyle="1" w:styleId="160">
    <w:name w:val="图表名称"/>
    <w:basedOn w:val="1"/>
    <w:qFormat/>
    <w:uiPriority w:val="0"/>
    <w:pPr>
      <w:numPr>
        <w:ilvl w:val="0"/>
        <w:numId w:val="4"/>
      </w:numPr>
      <w:tabs>
        <w:tab w:val="clear" w:pos="720"/>
      </w:tabs>
      <w:jc w:val="center"/>
    </w:pPr>
    <w:rPr>
      <w:b/>
      <w:szCs w:val="21"/>
    </w:rPr>
  </w:style>
  <w:style w:type="character" w:customStyle="1" w:styleId="161">
    <w:name w:val="正文文本缩进 3 Char1"/>
    <w:semiHidden/>
    <w:qFormat/>
    <w:uiPriority w:val="99"/>
    <w:rPr>
      <w:kern w:val="2"/>
      <w:sz w:val="16"/>
      <w:szCs w:val="16"/>
    </w:rPr>
  </w:style>
  <w:style w:type="paragraph" w:customStyle="1" w:styleId="162">
    <w:name w:val="样式 标题 3 + 黑体 非加粗"/>
    <w:basedOn w:val="4"/>
    <w:qFormat/>
    <w:uiPriority w:val="0"/>
    <w:pPr>
      <w:adjustRightInd w:val="0"/>
      <w:spacing w:before="0" w:after="0" w:line="360" w:lineRule="auto"/>
      <w:jc w:val="left"/>
    </w:pPr>
    <w:rPr>
      <w:bCs w:val="0"/>
      <w:sz w:val="28"/>
      <w:szCs w:val="28"/>
    </w:rPr>
  </w:style>
  <w:style w:type="character" w:customStyle="1" w:styleId="163">
    <w:name w:val="脚注文本 字符"/>
    <w:link w:val="39"/>
    <w:qFormat/>
    <w:uiPriority w:val="0"/>
    <w:rPr>
      <w:rFonts w:ascii="Calibri" w:hAnsi="Calibri"/>
      <w:kern w:val="2"/>
      <w:sz w:val="18"/>
      <w:szCs w:val="18"/>
    </w:rPr>
  </w:style>
  <w:style w:type="character" w:customStyle="1" w:styleId="164">
    <w:name w:val="文档结构图 Char1"/>
    <w:semiHidden/>
    <w:qFormat/>
    <w:uiPriority w:val="99"/>
    <w:rPr>
      <w:rFonts w:ascii="宋体"/>
      <w:kern w:val="2"/>
      <w:sz w:val="18"/>
      <w:szCs w:val="18"/>
    </w:rPr>
  </w:style>
  <w:style w:type="character" w:customStyle="1" w:styleId="165">
    <w:name w:val="日期 字符"/>
    <w:link w:val="31"/>
    <w:qFormat/>
    <w:uiPriority w:val="0"/>
    <w:rPr>
      <w:kern w:val="2"/>
      <w:sz w:val="24"/>
    </w:rPr>
  </w:style>
  <w:style w:type="character" w:customStyle="1" w:styleId="166">
    <w:name w:val="批注文字 字符"/>
    <w:link w:val="19"/>
    <w:semiHidden/>
    <w:qFormat/>
    <w:uiPriority w:val="99"/>
    <w:rPr>
      <w:kern w:val="2"/>
      <w:sz w:val="21"/>
    </w:rPr>
  </w:style>
  <w:style w:type="character" w:customStyle="1" w:styleId="167">
    <w:name w:val="批注主题 字符"/>
    <w:link w:val="47"/>
    <w:qFormat/>
    <w:uiPriority w:val="0"/>
    <w:rPr>
      <w:b/>
      <w:bCs/>
      <w:kern w:val="2"/>
      <w:sz w:val="21"/>
    </w:rPr>
  </w:style>
  <w:style w:type="character" w:customStyle="1" w:styleId="168">
    <w:name w:val="注释标题 字符"/>
    <w:link w:val="12"/>
    <w:qFormat/>
    <w:uiPriority w:val="0"/>
    <w:rPr>
      <w:rFonts w:eastAsia="黑体"/>
      <w:kern w:val="2"/>
      <w:sz w:val="24"/>
    </w:rPr>
  </w:style>
  <w:style w:type="character" w:customStyle="1" w:styleId="169">
    <w:name w:val="正文文本缩进 2 Char1"/>
    <w:semiHidden/>
    <w:qFormat/>
    <w:uiPriority w:val="99"/>
    <w:rPr>
      <w:kern w:val="2"/>
      <w:sz w:val="21"/>
    </w:rPr>
  </w:style>
  <w:style w:type="character" w:customStyle="1" w:styleId="170">
    <w:name w:val="批注框文本 Char1"/>
    <w:semiHidden/>
    <w:qFormat/>
    <w:uiPriority w:val="99"/>
    <w:rPr>
      <w:kern w:val="2"/>
      <w:sz w:val="18"/>
      <w:szCs w:val="18"/>
    </w:rPr>
  </w:style>
  <w:style w:type="character" w:customStyle="1" w:styleId="171">
    <w:name w:val="正文文本 3 字符"/>
    <w:link w:val="20"/>
    <w:qFormat/>
    <w:uiPriority w:val="0"/>
    <w:rPr>
      <w:kern w:val="2"/>
      <w:sz w:val="16"/>
      <w:szCs w:val="16"/>
    </w:rPr>
  </w:style>
  <w:style w:type="character" w:customStyle="1" w:styleId="172">
    <w:name w:val="纯文本 Char1"/>
    <w:semiHidden/>
    <w:qFormat/>
    <w:uiPriority w:val="99"/>
    <w:rPr>
      <w:rFonts w:ascii="宋体" w:hAnsi="Courier New" w:cs="Courier New"/>
      <w:kern w:val="2"/>
      <w:sz w:val="21"/>
      <w:szCs w:val="21"/>
    </w:rPr>
  </w:style>
  <w:style w:type="paragraph" w:customStyle="1" w:styleId="173">
    <w:name w:val="样式 小四 首行缩进:  1.01 厘米 行距: 1.5 倍行距"/>
    <w:basedOn w:val="1"/>
    <w:qFormat/>
    <w:uiPriority w:val="0"/>
    <w:pPr>
      <w:adjustRightInd w:val="0"/>
      <w:snapToGrid w:val="0"/>
      <w:spacing w:line="360" w:lineRule="auto"/>
      <w:ind w:firstLine="200" w:firstLineChars="200"/>
    </w:pPr>
    <w:rPr>
      <w:rFonts w:cs="宋体"/>
      <w:snapToGrid w:val="0"/>
      <w:kern w:val="24"/>
      <w:sz w:val="24"/>
    </w:rPr>
  </w:style>
  <w:style w:type="paragraph" w:customStyle="1" w:styleId="174">
    <w:name w:val="封面标准文稿编辑信息"/>
    <w:qFormat/>
    <w:uiPriority w:val="0"/>
    <w:pPr>
      <w:spacing w:before="180" w:line="180" w:lineRule="exact"/>
      <w:jc w:val="center"/>
    </w:pPr>
    <w:rPr>
      <w:rFonts w:ascii="宋体" w:hAnsi="Times New Roman" w:eastAsia="宋体" w:cs="Times New Roman"/>
      <w:sz w:val="21"/>
      <w:lang w:val="en-US" w:eastAsia="zh-CN" w:bidi="ar-SA"/>
    </w:rPr>
  </w:style>
  <w:style w:type="paragraph" w:customStyle="1" w:styleId="175">
    <w:name w:val="表格内容居中"/>
    <w:qFormat/>
    <w:uiPriority w:val="0"/>
    <w:pPr>
      <w:adjustRightInd w:val="0"/>
      <w:snapToGrid w:val="0"/>
      <w:jc w:val="center"/>
    </w:pPr>
    <w:rPr>
      <w:rFonts w:ascii="Times New Roman" w:hAnsi="Times New Roman" w:eastAsia="宋体" w:cs="Times New Roman"/>
      <w:snapToGrid w:val="0"/>
      <w:sz w:val="21"/>
      <w:szCs w:val="21"/>
      <w:lang w:val="en-US" w:eastAsia="zh-CN" w:bidi="ar-SA"/>
    </w:rPr>
  </w:style>
  <w:style w:type="paragraph" w:customStyle="1" w:styleId="176">
    <w:name w:val="列出段落1"/>
    <w:basedOn w:val="1"/>
    <w:qFormat/>
    <w:uiPriority w:val="0"/>
    <w:pPr>
      <w:ind w:firstLine="420" w:firstLineChars="200"/>
    </w:pPr>
    <w:rPr>
      <w:rFonts w:ascii="Calibri" w:hAnsi="Calibri" w:cs="Arial"/>
      <w:szCs w:val="22"/>
    </w:rPr>
  </w:style>
  <w:style w:type="paragraph" w:customStyle="1" w:styleId="177">
    <w:name w:val="表中"/>
    <w:qFormat/>
    <w:uiPriority w:val="0"/>
    <w:pPr>
      <w:widowControl w:val="0"/>
      <w:spacing w:before="156" w:line="280" w:lineRule="exact"/>
      <w:ind w:firstLine="60"/>
      <w:jc w:val="center"/>
    </w:pPr>
    <w:rPr>
      <w:rFonts w:ascii="Times New Roman" w:hAnsi="Times New Roman" w:eastAsia="宋体" w:cs="Times New Roman"/>
      <w:color w:val="000000"/>
      <w:kern w:val="44"/>
      <w:sz w:val="18"/>
      <w:szCs w:val="18"/>
      <w:lang w:val="en-US" w:eastAsia="zh-CN" w:bidi="ar-SA"/>
    </w:rPr>
  </w:style>
  <w:style w:type="paragraph" w:customStyle="1" w:styleId="178">
    <w:name w:val="表格文字"/>
    <w:basedOn w:val="1"/>
    <w:qFormat/>
    <w:uiPriority w:val="0"/>
    <w:pPr>
      <w:adjustRightInd w:val="0"/>
      <w:spacing w:line="400" w:lineRule="exact"/>
      <w:jc w:val="center"/>
      <w:textAlignment w:val="baseline"/>
    </w:pPr>
    <w:rPr>
      <w:szCs w:val="21"/>
    </w:rPr>
  </w:style>
  <w:style w:type="paragraph" w:customStyle="1" w:styleId="179">
    <w:name w:val="表格内容"/>
    <w:basedOn w:val="1"/>
    <w:qFormat/>
    <w:uiPriority w:val="0"/>
    <w:pPr>
      <w:adjustRightInd w:val="0"/>
      <w:snapToGrid w:val="0"/>
      <w:spacing w:line="280" w:lineRule="exact"/>
      <w:ind w:left="-31" w:leftChars="-15" w:right="-31" w:rightChars="-15"/>
      <w:jc w:val="center"/>
      <w:textAlignment w:val="baseline"/>
    </w:pPr>
    <w:rPr>
      <w:color w:val="000000"/>
      <w:sz w:val="18"/>
      <w:szCs w:val="18"/>
    </w:rPr>
  </w:style>
  <w:style w:type="paragraph" w:customStyle="1" w:styleId="180">
    <w:name w:val="正文1"/>
    <w:basedOn w:val="20"/>
    <w:qFormat/>
    <w:uiPriority w:val="0"/>
    <w:pPr>
      <w:tabs>
        <w:tab w:val="left" w:pos="794"/>
      </w:tabs>
      <w:spacing w:after="0" w:line="400" w:lineRule="exact"/>
      <w:ind w:left="794" w:hanging="624"/>
    </w:pPr>
    <w:rPr>
      <w:sz w:val="24"/>
    </w:rPr>
  </w:style>
  <w:style w:type="paragraph" w:customStyle="1" w:styleId="181">
    <w:name w:val="表格格式"/>
    <w:basedOn w:val="1"/>
    <w:qFormat/>
    <w:uiPriority w:val="0"/>
    <w:pPr>
      <w:adjustRightInd w:val="0"/>
      <w:snapToGrid w:val="0"/>
      <w:spacing w:line="300" w:lineRule="exact"/>
      <w:jc w:val="center"/>
    </w:pPr>
    <w:rPr>
      <w:rFonts w:cs="宋体"/>
      <w:kern w:val="21"/>
    </w:rPr>
  </w:style>
  <w:style w:type="paragraph" w:customStyle="1" w:styleId="182">
    <w:name w:val="样式 正文文本缩进 2 + 首行缩进:  2 字符"/>
    <w:next w:val="36"/>
    <w:qFormat/>
    <w:uiPriority w:val="0"/>
    <w:pPr>
      <w:widowControl w:val="0"/>
      <w:tabs>
        <w:tab w:val="left" w:pos="1440"/>
      </w:tabs>
      <w:spacing w:line="460" w:lineRule="exact"/>
      <w:ind w:firstLine="200" w:firstLineChars="200"/>
    </w:pPr>
    <w:rPr>
      <w:rFonts w:ascii="Times New Roman" w:hAnsi="Times New Roman" w:eastAsia="宋体" w:cs="Times New Roman"/>
      <w:bCs/>
      <w:kern w:val="2"/>
      <w:sz w:val="24"/>
      <w:szCs w:val="24"/>
      <w:lang w:val="en-US" w:eastAsia="zh-CN" w:bidi="ar-SA"/>
    </w:rPr>
  </w:style>
  <w:style w:type="paragraph" w:customStyle="1" w:styleId="183">
    <w:name w:val="正文2"/>
    <w:basedOn w:val="1"/>
    <w:qFormat/>
    <w:uiPriority w:val="0"/>
    <w:pPr>
      <w:tabs>
        <w:tab w:val="left" w:pos="720"/>
      </w:tabs>
      <w:spacing w:line="360" w:lineRule="atLeast"/>
      <w:ind w:firstLine="480" w:firstLineChars="200"/>
    </w:pPr>
    <w:rPr>
      <w:rFonts w:ascii="宋体" w:hAnsi="宋体"/>
      <w:sz w:val="24"/>
      <w:szCs w:val="28"/>
    </w:rPr>
  </w:style>
  <w:style w:type="paragraph" w:customStyle="1" w:styleId="184">
    <w:name w:val="Char11"/>
    <w:basedOn w:val="1"/>
    <w:qFormat/>
    <w:uiPriority w:val="0"/>
    <w:pPr>
      <w:spacing w:after="160" w:line="240" w:lineRule="exact"/>
      <w:jc w:val="left"/>
    </w:pPr>
    <w:rPr>
      <w:rFonts w:eastAsia="仿宋_GB2312"/>
      <w:sz w:val="32"/>
    </w:rPr>
  </w:style>
  <w:style w:type="character" w:customStyle="1" w:styleId="185">
    <w:name w:val="正文 + 四号 Char Char Char Char"/>
    <w:link w:val="186"/>
    <w:qFormat/>
    <w:uiPriority w:val="0"/>
    <w:rPr>
      <w:sz w:val="28"/>
      <w:lang w:val="en-US" w:eastAsia="zh-CN" w:bidi="ar-SA"/>
    </w:rPr>
  </w:style>
  <w:style w:type="paragraph" w:customStyle="1" w:styleId="186">
    <w:name w:val="正文 + 四号 Char Char"/>
    <w:link w:val="185"/>
    <w:unhideWhenUsed/>
    <w:qFormat/>
    <w:uiPriority w:val="0"/>
    <w:pPr>
      <w:spacing w:line="500" w:lineRule="exact"/>
      <w:ind w:firstLine="480" w:firstLineChars="200"/>
    </w:pPr>
    <w:rPr>
      <w:rFonts w:ascii="Times New Roman" w:hAnsi="Times New Roman" w:eastAsia="宋体" w:cs="Times New Roman"/>
      <w:sz w:val="28"/>
      <w:lang w:val="en-US" w:eastAsia="zh-CN" w:bidi="ar-SA"/>
    </w:rPr>
  </w:style>
  <w:style w:type="paragraph" w:customStyle="1" w:styleId="187">
    <w:name w:val="主体文字"/>
    <w:basedOn w:val="29"/>
    <w:unhideWhenUsed/>
    <w:qFormat/>
    <w:uiPriority w:val="0"/>
    <w:pPr>
      <w:spacing w:line="360" w:lineRule="auto"/>
      <w:ind w:firstLine="540" w:firstLineChars="225"/>
    </w:pPr>
    <w:rPr>
      <w:rFonts w:hint="eastAsia" w:hAnsi="Times New Roman"/>
      <w:color w:val="000000"/>
      <w:sz w:val="24"/>
      <w:szCs w:val="20"/>
    </w:rPr>
  </w:style>
  <w:style w:type="paragraph" w:customStyle="1" w:styleId="188">
    <w:name w:val="表格2"/>
    <w:basedOn w:val="1"/>
    <w:unhideWhenUsed/>
    <w:qFormat/>
    <w:uiPriority w:val="0"/>
    <w:pPr>
      <w:spacing w:line="320" w:lineRule="exact"/>
      <w:jc w:val="center"/>
    </w:pPr>
    <w:rPr>
      <w:rFonts w:hint="eastAsia"/>
      <w:sz w:val="24"/>
    </w:rPr>
  </w:style>
  <w:style w:type="paragraph" w:customStyle="1" w:styleId="189">
    <w:name w:val="Char Char Char Char Char Char Char Char Char Char Char Char Char Char Char Char"/>
    <w:basedOn w:val="1"/>
    <w:qFormat/>
    <w:uiPriority w:val="0"/>
    <w:pPr>
      <w:widowControl/>
      <w:spacing w:after="160" w:line="240" w:lineRule="exact"/>
      <w:jc w:val="left"/>
    </w:pPr>
  </w:style>
  <w:style w:type="character" w:customStyle="1" w:styleId="190">
    <w:name w:val="h3 Char1"/>
    <w:qFormat/>
    <w:uiPriority w:val="0"/>
    <w:rPr>
      <w:rFonts w:eastAsia="宋体"/>
      <w:b/>
      <w:bCs/>
      <w:kern w:val="2"/>
      <w:sz w:val="32"/>
      <w:szCs w:val="32"/>
      <w:lang w:val="en-US" w:eastAsia="zh-CN" w:bidi="ar-SA"/>
    </w:rPr>
  </w:style>
  <w:style w:type="character" w:customStyle="1" w:styleId="191">
    <w:name w:val="我的四级标题 Char"/>
    <w:qFormat/>
    <w:uiPriority w:val="0"/>
    <w:rPr>
      <w:rFonts w:ascii="Arial" w:hAnsi="Arial" w:eastAsia="宋体" w:cs="Arial"/>
      <w:b/>
      <w:kern w:val="2"/>
      <w:sz w:val="24"/>
      <w:szCs w:val="24"/>
      <w:lang w:val="en-US" w:eastAsia="zh-CN" w:bidi="ar-SA"/>
    </w:rPr>
  </w:style>
  <w:style w:type="character" w:customStyle="1" w:styleId="192">
    <w:name w:val="正文文本_"/>
    <w:qFormat/>
    <w:uiPriority w:val="0"/>
    <w:rPr>
      <w:rFonts w:ascii="宋体" w:hAnsi="宋体" w:cs="宋体"/>
      <w:sz w:val="26"/>
      <w:szCs w:val="26"/>
      <w:u w:val="none"/>
    </w:rPr>
  </w:style>
  <w:style w:type="character" w:customStyle="1" w:styleId="193">
    <w:name w:val="正文文本 + 12 pt"/>
    <w:qFormat/>
    <w:uiPriority w:val="0"/>
    <w:rPr>
      <w:rFonts w:ascii="宋体" w:hAnsi="宋体" w:cs="宋体"/>
      <w:spacing w:val="-20"/>
      <w:sz w:val="24"/>
      <w:szCs w:val="24"/>
      <w:u w:val="none"/>
      <w:lang w:val="en-US" w:eastAsia="en-US"/>
    </w:rPr>
  </w:style>
  <w:style w:type="character" w:customStyle="1" w:styleId="194">
    <w:name w:val="正文文本 + 10 pt"/>
    <w:qFormat/>
    <w:uiPriority w:val="0"/>
    <w:rPr>
      <w:rFonts w:ascii="宋体" w:hAnsi="宋体" w:cs="宋体"/>
      <w:sz w:val="20"/>
      <w:szCs w:val="20"/>
      <w:u w:val="none"/>
    </w:rPr>
  </w:style>
  <w:style w:type="character" w:customStyle="1" w:styleId="195">
    <w:name w:val="表格标题_"/>
    <w:link w:val="196"/>
    <w:qFormat/>
    <w:uiPriority w:val="0"/>
    <w:rPr>
      <w:rFonts w:ascii="宋体" w:hAnsi="宋体"/>
      <w:sz w:val="23"/>
      <w:szCs w:val="23"/>
      <w:lang w:bidi="ar-SA"/>
    </w:rPr>
  </w:style>
  <w:style w:type="paragraph" w:customStyle="1" w:styleId="196">
    <w:name w:val="表格标题"/>
    <w:basedOn w:val="1"/>
    <w:link w:val="195"/>
    <w:qFormat/>
    <w:uiPriority w:val="0"/>
    <w:pPr>
      <w:shd w:val="clear" w:color="auto" w:fill="FFFFFF"/>
      <w:spacing w:line="240" w:lineRule="atLeast"/>
      <w:jc w:val="left"/>
    </w:pPr>
    <w:rPr>
      <w:rFonts w:ascii="宋体" w:hAnsi="宋体"/>
      <w:kern w:val="0"/>
      <w:sz w:val="23"/>
      <w:szCs w:val="23"/>
      <w:lang w:val="zh-CN"/>
    </w:rPr>
  </w:style>
  <w:style w:type="character" w:customStyle="1" w:styleId="197">
    <w:name w:val="正文文本 (6) + 9.5 pt"/>
    <w:qFormat/>
    <w:uiPriority w:val="0"/>
    <w:rPr>
      <w:b/>
      <w:bCs/>
      <w:sz w:val="19"/>
      <w:szCs w:val="19"/>
      <w:lang w:val="en-US" w:eastAsia="en-US" w:bidi="ar-SA"/>
    </w:rPr>
  </w:style>
  <w:style w:type="character" w:customStyle="1" w:styleId="198">
    <w:name w:val="表格标题 (5)_"/>
    <w:link w:val="199"/>
    <w:qFormat/>
    <w:uiPriority w:val="0"/>
    <w:rPr>
      <w:sz w:val="23"/>
      <w:szCs w:val="23"/>
      <w:lang w:val="en-US" w:eastAsia="en-US" w:bidi="ar-SA"/>
    </w:rPr>
  </w:style>
  <w:style w:type="paragraph" w:customStyle="1" w:styleId="199">
    <w:name w:val="表格标题 (5)"/>
    <w:basedOn w:val="1"/>
    <w:link w:val="198"/>
    <w:qFormat/>
    <w:uiPriority w:val="0"/>
    <w:pPr>
      <w:shd w:val="clear" w:color="auto" w:fill="FFFFFF"/>
      <w:spacing w:line="240" w:lineRule="atLeast"/>
      <w:jc w:val="left"/>
    </w:pPr>
    <w:rPr>
      <w:kern w:val="0"/>
      <w:sz w:val="23"/>
      <w:szCs w:val="23"/>
      <w:lang w:eastAsia="en-US"/>
    </w:rPr>
  </w:style>
  <w:style w:type="character" w:customStyle="1" w:styleId="200">
    <w:name w:val="表格标题 (6)_"/>
    <w:link w:val="201"/>
    <w:qFormat/>
    <w:uiPriority w:val="0"/>
    <w:rPr>
      <w:sz w:val="22"/>
      <w:szCs w:val="22"/>
      <w:lang w:val="en-US" w:eastAsia="en-US" w:bidi="ar-SA"/>
    </w:rPr>
  </w:style>
  <w:style w:type="paragraph" w:customStyle="1" w:styleId="201">
    <w:name w:val="表格标题 (6)"/>
    <w:basedOn w:val="1"/>
    <w:link w:val="200"/>
    <w:qFormat/>
    <w:uiPriority w:val="0"/>
    <w:pPr>
      <w:shd w:val="clear" w:color="auto" w:fill="FFFFFF"/>
      <w:spacing w:line="240" w:lineRule="atLeast"/>
      <w:jc w:val="left"/>
    </w:pPr>
    <w:rPr>
      <w:kern w:val="0"/>
      <w:sz w:val="22"/>
      <w:szCs w:val="22"/>
      <w:lang w:eastAsia="en-US"/>
    </w:rPr>
  </w:style>
  <w:style w:type="character" w:customStyle="1" w:styleId="202">
    <w:name w:val="表格标题 (6) + SimSun"/>
    <w:qFormat/>
    <w:uiPriority w:val="0"/>
    <w:rPr>
      <w:rFonts w:ascii="宋体" w:hAnsi="宋体" w:cs="宋体"/>
      <w:sz w:val="21"/>
      <w:szCs w:val="21"/>
      <w:lang w:val="en-US" w:eastAsia="zh-CN" w:bidi="ar-SA"/>
    </w:rPr>
  </w:style>
  <w:style w:type="character" w:customStyle="1" w:styleId="203">
    <w:name w:val="正文文本 + MingLiU8"/>
    <w:qFormat/>
    <w:uiPriority w:val="0"/>
    <w:rPr>
      <w:rFonts w:ascii="MingLiU" w:hAnsi="宋体" w:eastAsia="MingLiU" w:cs="MingLiU"/>
      <w:spacing w:val="-20"/>
      <w:sz w:val="19"/>
      <w:szCs w:val="19"/>
      <w:u w:val="none"/>
      <w:lang w:val="en-US" w:eastAsia="en-US"/>
    </w:rPr>
  </w:style>
  <w:style w:type="character" w:customStyle="1" w:styleId="204">
    <w:name w:val="正文文本 + Franklin Gothic Medium"/>
    <w:qFormat/>
    <w:uiPriority w:val="0"/>
    <w:rPr>
      <w:rFonts w:ascii="Franklin Gothic Medium" w:hAnsi="Franklin Gothic Medium" w:cs="Franklin Gothic Medium"/>
      <w:sz w:val="24"/>
      <w:szCs w:val="24"/>
      <w:u w:val="none"/>
      <w:lang w:val="en-US" w:eastAsia="zh-CN"/>
    </w:rPr>
  </w:style>
  <w:style w:type="character" w:customStyle="1" w:styleId="205">
    <w:name w:val="正文文字缩进 2 Char Char"/>
    <w:qFormat/>
    <w:uiPriority w:val="0"/>
    <w:rPr>
      <w:rFonts w:eastAsia="宋体"/>
      <w:kern w:val="2"/>
      <w:sz w:val="21"/>
      <w:szCs w:val="24"/>
      <w:lang w:val="en-US" w:eastAsia="zh-CN" w:bidi="ar-SA"/>
    </w:rPr>
  </w:style>
  <w:style w:type="character" w:customStyle="1" w:styleId="206">
    <w:name w:val="缩进 Char"/>
    <w:qFormat/>
    <w:uiPriority w:val="0"/>
    <w:rPr>
      <w:rFonts w:eastAsia="宋体"/>
      <w:kern w:val="2"/>
      <w:sz w:val="24"/>
      <w:szCs w:val="24"/>
      <w:lang w:val="en-US" w:eastAsia="zh-CN" w:bidi="ar-SA"/>
    </w:rPr>
  </w:style>
  <w:style w:type="character" w:customStyle="1" w:styleId="207">
    <w:name w:val="4 Char Char"/>
    <w:qFormat/>
    <w:uiPriority w:val="0"/>
    <w:rPr>
      <w:rFonts w:eastAsia="宋体"/>
      <w:kern w:val="2"/>
      <w:sz w:val="21"/>
      <w:szCs w:val="21"/>
      <w:lang w:val="en-US" w:eastAsia="zh-CN" w:bidi="ar-SA"/>
    </w:rPr>
  </w:style>
  <w:style w:type="paragraph" w:customStyle="1" w:styleId="208">
    <w:name w:val="Char1"/>
    <w:basedOn w:val="1"/>
    <w:qFormat/>
    <w:uiPriority w:val="0"/>
    <w:pPr>
      <w:adjustRightInd w:val="0"/>
      <w:spacing w:after="160" w:line="240" w:lineRule="exact"/>
      <w:jc w:val="left"/>
      <w:textAlignment w:val="baseline"/>
    </w:pPr>
    <w:rPr>
      <w:rFonts w:ascii="Arial" w:hAnsi="Arial" w:eastAsia="Times New Roman" w:cs="Verdana"/>
      <w:b/>
      <w:kern w:val="0"/>
      <w:sz w:val="24"/>
      <w:szCs w:val="24"/>
      <w:lang w:eastAsia="en-US"/>
    </w:rPr>
  </w:style>
  <w:style w:type="paragraph" w:customStyle="1" w:styleId="209">
    <w:name w:val="样式1"/>
    <w:basedOn w:val="1"/>
    <w:qFormat/>
    <w:uiPriority w:val="0"/>
    <w:pPr>
      <w:adjustRightInd w:val="0"/>
      <w:spacing w:line="360" w:lineRule="auto"/>
      <w:ind w:firstLine="510"/>
      <w:textAlignment w:val="baseline"/>
    </w:pPr>
    <w:rPr>
      <w:sz w:val="24"/>
    </w:rPr>
  </w:style>
  <w:style w:type="paragraph" w:customStyle="1" w:styleId="210">
    <w:name w:val="正文 + 四号 Char"/>
    <w:basedOn w:val="1"/>
    <w:qFormat/>
    <w:uiPriority w:val="0"/>
    <w:pPr>
      <w:spacing w:line="360" w:lineRule="auto"/>
      <w:ind w:firstLine="420" w:firstLineChars="200"/>
    </w:pPr>
    <w:rPr>
      <w:sz w:val="28"/>
      <w:szCs w:val="28"/>
    </w:rPr>
  </w:style>
  <w:style w:type="character" w:customStyle="1" w:styleId="211">
    <w:name w:val="标题 1 Char Char Char Char"/>
    <w:qFormat/>
    <w:uiPriority w:val="0"/>
    <w:rPr>
      <w:rFonts w:eastAsia="宋体"/>
      <w:b/>
      <w:kern w:val="44"/>
      <w:sz w:val="44"/>
      <w:lang w:val="en-US" w:eastAsia="zh-CN" w:bidi="ar-SA"/>
    </w:rPr>
  </w:style>
  <w:style w:type="character" w:customStyle="1" w:styleId="212">
    <w:name w:val="4号宋体左齐行距1.5倍 Char"/>
    <w:qFormat/>
    <w:uiPriority w:val="0"/>
    <w:rPr>
      <w:rFonts w:eastAsia="宋体"/>
      <w:b/>
      <w:kern w:val="2"/>
      <w:sz w:val="32"/>
      <w:lang w:val="en-US" w:eastAsia="zh-CN" w:bidi="ar-SA"/>
    </w:rPr>
  </w:style>
  <w:style w:type="character" w:customStyle="1" w:styleId="213">
    <w:name w:val="标题 a Char"/>
    <w:qFormat/>
    <w:uiPriority w:val="0"/>
    <w:rPr>
      <w:rFonts w:ascii="Arial" w:hAnsi="Arial" w:eastAsia="黑体"/>
      <w:b/>
      <w:kern w:val="2"/>
      <w:sz w:val="28"/>
      <w:lang w:val="en-US" w:eastAsia="zh-CN" w:bidi="ar-SA"/>
    </w:rPr>
  </w:style>
  <w:style w:type="paragraph" w:customStyle="1" w:styleId="214">
    <w:name w:val="xl55"/>
    <w:basedOn w:val="1"/>
    <w:qFormat/>
    <w:uiPriority w:val="0"/>
    <w:pPr>
      <w:widowControl/>
      <w:pBdr>
        <w:left w:val="single" w:color="auto" w:sz="4" w:space="0"/>
        <w:right w:val="single" w:color="auto" w:sz="4" w:space="0"/>
      </w:pBdr>
      <w:spacing w:before="100" w:beforeAutospacing="1" w:after="100" w:afterAutospacing="1"/>
      <w:jc w:val="center"/>
      <w:textAlignment w:val="center"/>
    </w:pPr>
    <w:rPr>
      <w:rFonts w:ascii="宋体" w:hAnsi="宋体"/>
      <w:kern w:val="0"/>
      <w:sz w:val="24"/>
      <w:szCs w:val="24"/>
    </w:rPr>
  </w:style>
  <w:style w:type="paragraph" w:customStyle="1" w:styleId="215">
    <w:name w:val="表格后"/>
    <w:basedOn w:val="1"/>
    <w:next w:val="1"/>
    <w:qFormat/>
    <w:uiPriority w:val="0"/>
    <w:pPr>
      <w:spacing w:beforeLines="50" w:line="360" w:lineRule="auto"/>
      <w:ind w:firstLine="482"/>
    </w:pPr>
    <w:rPr>
      <w:kern w:val="24"/>
      <w:sz w:val="24"/>
      <w:szCs w:val="24"/>
    </w:rPr>
  </w:style>
  <w:style w:type="character" w:customStyle="1" w:styleId="216">
    <w:name w:val="表头 Char2"/>
    <w:qFormat/>
    <w:uiPriority w:val="0"/>
    <w:rPr>
      <w:rFonts w:ascii="Arial" w:hAnsi="Arial" w:eastAsia="黑体"/>
      <w:kern w:val="2"/>
      <w:sz w:val="21"/>
      <w:lang w:val="en-US" w:eastAsia="zh-CN" w:bidi="ar-SA"/>
    </w:rPr>
  </w:style>
  <w:style w:type="character" w:customStyle="1" w:styleId="217">
    <w:name w:val="big1"/>
    <w:qFormat/>
    <w:uiPriority w:val="0"/>
    <w:rPr>
      <w:spacing w:val="360"/>
      <w:sz w:val="30"/>
    </w:rPr>
  </w:style>
  <w:style w:type="character" w:customStyle="1" w:styleId="218">
    <w:name w:val="1正文段落 Char"/>
    <w:qFormat/>
    <w:uiPriority w:val="0"/>
    <w:rPr>
      <w:rFonts w:eastAsia="宋体"/>
      <w:snapToGrid w:val="0"/>
      <w:kern w:val="2"/>
      <w:sz w:val="24"/>
      <w:lang w:val="en-US" w:eastAsia="zh-CN" w:bidi="ar-SA"/>
    </w:rPr>
  </w:style>
  <w:style w:type="character" w:customStyle="1" w:styleId="219">
    <w:name w:val="普通文字 Char Char2"/>
    <w:qFormat/>
    <w:uiPriority w:val="0"/>
    <w:rPr>
      <w:rFonts w:eastAsia="宋体"/>
      <w:kern w:val="2"/>
      <w:sz w:val="24"/>
      <w:lang w:val="en-US" w:eastAsia="zh-CN" w:bidi="ar-SA"/>
    </w:rPr>
  </w:style>
  <w:style w:type="character" w:customStyle="1" w:styleId="220">
    <w:name w:val="ymnr"/>
    <w:basedOn w:val="51"/>
    <w:qFormat/>
    <w:uiPriority w:val="0"/>
  </w:style>
  <w:style w:type="paragraph" w:customStyle="1" w:styleId="221">
    <w:name w:val="正文 小四 行距: 1.5 倍行距"/>
    <w:basedOn w:val="1"/>
    <w:qFormat/>
    <w:uiPriority w:val="0"/>
    <w:pPr>
      <w:spacing w:line="360" w:lineRule="auto"/>
      <w:ind w:firstLine="480" w:firstLineChars="200"/>
    </w:pPr>
    <w:rPr>
      <w:sz w:val="24"/>
    </w:rPr>
  </w:style>
  <w:style w:type="character" w:customStyle="1" w:styleId="222">
    <w:name w:val="正文文本 2 Char"/>
    <w:qFormat/>
    <w:uiPriority w:val="0"/>
    <w:rPr>
      <w:rFonts w:eastAsia="宋体"/>
      <w:kern w:val="2"/>
      <w:sz w:val="21"/>
      <w:szCs w:val="24"/>
      <w:lang w:val="en-US" w:eastAsia="zh-CN" w:bidi="ar-SA"/>
    </w:rPr>
  </w:style>
  <w:style w:type="character" w:customStyle="1" w:styleId="223">
    <w:name w:val="图标 Char"/>
    <w:link w:val="224"/>
    <w:qFormat/>
    <w:locked/>
    <w:uiPriority w:val="0"/>
    <w:rPr>
      <w:rFonts w:ascii="宋体" w:hAnsi="宋体"/>
      <w:b/>
      <w:kern w:val="2"/>
      <w:sz w:val="21"/>
      <w:szCs w:val="21"/>
    </w:rPr>
  </w:style>
  <w:style w:type="paragraph" w:customStyle="1" w:styleId="224">
    <w:name w:val="图标"/>
    <w:basedOn w:val="1"/>
    <w:link w:val="223"/>
    <w:qFormat/>
    <w:uiPriority w:val="0"/>
    <w:pPr>
      <w:spacing w:line="500" w:lineRule="exact"/>
      <w:jc w:val="center"/>
    </w:pPr>
    <w:rPr>
      <w:rFonts w:ascii="宋体" w:hAnsi="宋体"/>
      <w:b/>
      <w:szCs w:val="21"/>
    </w:rPr>
  </w:style>
  <w:style w:type="paragraph" w:customStyle="1" w:styleId="225">
    <w:name w:val="正文01"/>
    <w:basedOn w:val="1"/>
    <w:qFormat/>
    <w:uiPriority w:val="0"/>
    <w:pPr>
      <w:widowControl/>
      <w:spacing w:before="60" w:line="460" w:lineRule="exact"/>
      <w:ind w:firstLine="200" w:firstLineChars="200"/>
      <w:jc w:val="left"/>
    </w:pPr>
    <w:rPr>
      <w:rFonts w:ascii="宋体" w:hAnsi="宋体" w:cs="宋体"/>
      <w:bCs/>
      <w:kern w:val="0"/>
      <w:sz w:val="24"/>
      <w:szCs w:val="24"/>
    </w:rPr>
  </w:style>
  <w:style w:type="paragraph" w:customStyle="1" w:styleId="226">
    <w:name w:val="样式 样式 (中文) 楷体_GB2312 四号 行距: 固定值 26 磅 +"/>
    <w:basedOn w:val="1"/>
    <w:qFormat/>
    <w:uiPriority w:val="0"/>
    <w:pPr>
      <w:spacing w:line="360" w:lineRule="auto"/>
      <w:ind w:firstLine="480" w:firstLineChars="200"/>
    </w:pPr>
    <w:rPr>
      <w:kern w:val="0"/>
      <w:sz w:val="24"/>
    </w:rPr>
  </w:style>
  <w:style w:type="paragraph" w:customStyle="1" w:styleId="227">
    <w:name w:val="_Style 2"/>
    <w:basedOn w:val="1"/>
    <w:qFormat/>
    <w:uiPriority w:val="0"/>
    <w:pPr>
      <w:ind w:firstLine="420" w:firstLineChars="200"/>
    </w:pPr>
    <w:rPr>
      <w:rFonts w:ascii="Calibri" w:hAnsi="Calibri" w:cs="Arial"/>
      <w:szCs w:val="22"/>
    </w:rPr>
  </w:style>
  <w:style w:type="paragraph" w:customStyle="1" w:styleId="228">
    <w:name w:val="Table Paragraph"/>
    <w:basedOn w:val="1"/>
    <w:qFormat/>
    <w:uiPriority w:val="1"/>
    <w:pPr>
      <w:jc w:val="center"/>
    </w:pPr>
  </w:style>
  <w:style w:type="paragraph" w:customStyle="1" w:styleId="229">
    <w:name w:val="正文A"/>
    <w:basedOn w:val="230"/>
    <w:qFormat/>
    <w:uiPriority w:val="0"/>
    <w:pPr>
      <w:spacing w:line="600" w:lineRule="exact"/>
      <w:ind w:firstLine="200"/>
    </w:pPr>
    <w:rPr>
      <w:rFonts w:ascii="Times New Roman" w:hAnsi="Times New Roman"/>
      <w:sz w:val="28"/>
    </w:rPr>
  </w:style>
  <w:style w:type="paragraph" w:customStyle="1" w:styleId="230">
    <w:name w:val="正文!!!!!!!!!!!"/>
    <w:basedOn w:val="231"/>
    <w:qFormat/>
    <w:uiPriority w:val="0"/>
    <w:pPr>
      <w:ind w:firstLine="480"/>
    </w:pPr>
    <w:rPr>
      <w:rFonts w:ascii="华文仿宋" w:hAnsi="华文仿宋" w:eastAsia="华文仿宋" w:cs="华文仿宋"/>
    </w:rPr>
  </w:style>
  <w:style w:type="paragraph" w:customStyle="1" w:styleId="231">
    <w:name w:val="正文 楷体"/>
    <w:basedOn w:val="1"/>
    <w:qFormat/>
    <w:uiPriority w:val="0"/>
    <w:pPr>
      <w:spacing w:line="500" w:lineRule="exact"/>
      <w:ind w:firstLine="200" w:firstLineChars="200"/>
    </w:pPr>
    <w:rPr>
      <w:rFonts w:ascii="楷体_GB2312" w:hAnsi="楷体_GB2312" w:eastAsia="楷体_GB2312" w:cs="宋体"/>
      <w:sz w:val="24"/>
    </w:rPr>
  </w:style>
  <w:style w:type="paragraph" w:styleId="232">
    <w:name w:val="List Paragraph"/>
    <w:basedOn w:val="1"/>
    <w:qFormat/>
    <w:uiPriority w:val="1"/>
    <w:pPr>
      <w:ind w:left="1217" w:hanging="281"/>
    </w:pPr>
  </w:style>
  <w:style w:type="paragraph" w:customStyle="1" w:styleId="233">
    <w:name w:val="【正文】"/>
    <w:basedOn w:val="1"/>
    <w:autoRedefine/>
    <w:qFormat/>
    <w:uiPriority w:val="0"/>
    <w:pPr>
      <w:ind w:firstLine="200"/>
    </w:pPr>
    <w:rPr>
      <w:rFonts w:cs="宋体"/>
      <w:kern w:val="0"/>
    </w:rPr>
  </w:style>
  <w:style w:type="paragraph" w:customStyle="1" w:styleId="234">
    <w:name w:val="Other|1"/>
    <w:basedOn w:val="1"/>
    <w:qFormat/>
    <w:uiPriority w:val="0"/>
    <w:pPr>
      <w:spacing w:after="160"/>
      <w:ind w:firstLine="400"/>
    </w:pPr>
    <w:rPr>
      <w:rFonts w:ascii="宋体" w:hAnsi="宋体" w:cs="宋体"/>
      <w:sz w:val="19"/>
      <w:szCs w:val="19"/>
      <w:lang w:val="zh-TW" w:eastAsia="zh-TW" w:bidi="zh-TW"/>
    </w:rPr>
  </w:style>
  <w:style w:type="paragraph" w:customStyle="1" w:styleId="235">
    <w:name w:val="正本文字"/>
    <w:basedOn w:val="1"/>
    <w:qFormat/>
    <w:uiPriority w:val="0"/>
    <w:pPr>
      <w:adjustRightInd w:val="0"/>
      <w:snapToGrid w:val="0"/>
      <w:ind w:firstLine="480"/>
    </w:pPr>
    <w:rPr>
      <w:rFonts w:ascii="Calibri" w:hAnsi="Calibri"/>
      <w:kern w:val="18"/>
    </w:rPr>
  </w:style>
  <w:style w:type="paragraph" w:customStyle="1" w:styleId="236">
    <w:name w:val="2表格"/>
    <w:basedOn w:val="1"/>
    <w:next w:val="1"/>
    <w:qFormat/>
    <w:uiPriority w:val="0"/>
    <w:pPr>
      <w:jc w:val="center"/>
    </w:pPr>
  </w:style>
  <w:style w:type="paragraph" w:customStyle="1" w:styleId="237">
    <w:name w:val="任表头"/>
    <w:basedOn w:val="1"/>
    <w:next w:val="1"/>
    <w:qFormat/>
    <w:uiPriority w:val="0"/>
    <w:pPr>
      <w:jc w:val="center"/>
    </w:pPr>
    <w:rPr>
      <w:b/>
      <w:bCs/>
    </w:rPr>
  </w:style>
  <w:style w:type="paragraph" w:customStyle="1" w:styleId="238">
    <w:name w:val="任表格文字"/>
    <w:basedOn w:val="1"/>
    <w:next w:val="1"/>
    <w:qFormat/>
    <w:uiPriority w:val="0"/>
    <w:pPr>
      <w:widowControl/>
      <w:spacing w:line="360" w:lineRule="exact"/>
      <w:jc w:val="center"/>
    </w:pPr>
    <w:rPr>
      <w:rFonts w:hint="eastAsia"/>
      <w:szCs w:val="21"/>
    </w:rPr>
  </w:style>
  <w:style w:type="paragraph" w:customStyle="1" w:styleId="239">
    <w:name w:val="表内文字"/>
    <w:basedOn w:val="1"/>
    <w:qFormat/>
    <w:uiPriority w:val="0"/>
    <w:pPr>
      <w:spacing w:line="320" w:lineRule="exact"/>
      <w:jc w:val="center"/>
    </w:pPr>
    <w:rPr>
      <w:szCs w:val="21"/>
    </w:rPr>
  </w:style>
  <w:style w:type="paragraph" w:customStyle="1" w:styleId="240">
    <w:name w:val="表格样式"/>
    <w:basedOn w:val="1"/>
    <w:qFormat/>
    <w:uiPriority w:val="0"/>
    <w:pPr>
      <w:tabs>
        <w:tab w:val="left" w:leader="dot" w:pos="8770"/>
      </w:tabs>
      <w:jc w:val="center"/>
    </w:pPr>
    <w:rPr>
      <w:rFonts w:hint="eastAsia"/>
      <w:bCs/>
      <w:color w:val="000000"/>
      <w:szCs w:val="21"/>
    </w:rPr>
  </w:style>
  <w:style w:type="paragraph" w:customStyle="1" w:styleId="241">
    <w:name w:val="表格图标题30"/>
    <w:basedOn w:val="1"/>
    <w:next w:val="1"/>
    <w:autoRedefine/>
    <w:qFormat/>
    <w:uiPriority w:val="0"/>
    <w:pPr>
      <w:jc w:val="center"/>
    </w:pPr>
    <w:rPr>
      <w:b/>
      <w:bCs/>
    </w:rPr>
  </w:style>
  <w:style w:type="paragraph" w:customStyle="1" w:styleId="242">
    <w:name w:val="表格内容30"/>
    <w:basedOn w:val="1"/>
    <w:autoRedefine/>
    <w:qFormat/>
    <w:uiPriority w:val="0"/>
    <w:pPr>
      <w:jc w:val="center"/>
    </w:pPr>
    <w:rPr>
      <w:bCs/>
    </w:rPr>
  </w:style>
  <w:style w:type="table" w:customStyle="1" w:styleId="243">
    <w:name w:val="Table Normal"/>
    <w:autoRedefine/>
    <w:semiHidden/>
    <w:unhideWhenUsed/>
    <w:qFormat/>
    <w:uiPriority w:val="0"/>
    <w:tblPr>
      <w:tblCellMar>
        <w:top w:w="0" w:type="dxa"/>
        <w:left w:w="0" w:type="dxa"/>
        <w:bottom w:w="0" w:type="dxa"/>
        <w:right w:w="0" w:type="dxa"/>
      </w:tblCellMar>
    </w:tblPr>
  </w:style>
  <w:style w:type="character" w:customStyle="1" w:styleId="244">
    <w:name w:val="textbig1"/>
    <w:basedOn w:val="51"/>
    <w:qFormat/>
    <w:uiPriority w:val="0"/>
    <w:rPr>
      <w:sz w:val="18"/>
      <w:szCs w:val="18"/>
    </w:rPr>
  </w:style>
  <w:style w:type="paragraph" w:customStyle="1" w:styleId="245">
    <w:name w:val="Char Char16"/>
    <w:basedOn w:val="1"/>
    <w:qFormat/>
    <w:uiPriority w:val="0"/>
  </w:style>
  <w:style w:type="paragraph" w:customStyle="1" w:styleId="246">
    <w:name w:val="1正文"/>
    <w:qFormat/>
    <w:uiPriority w:val="0"/>
    <w:pPr>
      <w:widowControl w:val="0"/>
      <w:spacing w:line="360" w:lineRule="auto"/>
      <w:ind w:firstLine="200" w:firstLineChars="200"/>
      <w:jc w:val="both"/>
    </w:pPr>
    <w:rPr>
      <w:rFonts w:ascii="Times New Roman" w:hAnsi="Times New Roman" w:eastAsia="宋体" w:cs="Times New Roman"/>
      <w:kern w:val="2"/>
      <w:sz w:val="24"/>
      <w:szCs w:val="24"/>
      <w:lang w:val="en-US" w:eastAsia="zh-CN" w:bidi="ar-SA"/>
    </w:rPr>
  </w:style>
  <w:style w:type="paragraph" w:customStyle="1" w:styleId="247">
    <w:name w:val="表头、图号"/>
    <w:basedOn w:val="1"/>
    <w:autoRedefine/>
    <w:unhideWhenUsed/>
    <w:qFormat/>
    <w:uiPriority w:val="0"/>
    <w:pPr>
      <w:widowControl/>
    </w:pPr>
    <w:rPr>
      <w:rFonts w:eastAsia="黑体"/>
      <w:kern w:val="0"/>
    </w:rPr>
  </w:style>
  <w:style w:type="paragraph" w:customStyle="1" w:styleId="248">
    <w:name w:val="li_正文"/>
    <w:basedOn w:val="1"/>
    <w:qFormat/>
    <w:uiPriority w:val="0"/>
    <w:pPr>
      <w:tabs>
        <w:tab w:val="left" w:pos="2574"/>
      </w:tabs>
      <w:overflowPunct w:val="0"/>
      <w:topLinePunct/>
      <w:ind w:firstLine="480"/>
      <w:jc w:val="left"/>
    </w:pPr>
    <w:rPr>
      <w:rFonts w:ascii="Calibri" w:hAnsi="Calibri"/>
      <w:sz w:val="28"/>
      <w:szCs w:val="28"/>
    </w:rPr>
  </w:style>
  <w:style w:type="paragraph" w:customStyle="1" w:styleId="249">
    <w:name w:val="表中文字"/>
    <w:basedOn w:val="1"/>
    <w:qFormat/>
    <w:uiPriority w:val="0"/>
    <w:pPr>
      <w:snapToGrid w:val="0"/>
      <w:jc w:val="center"/>
    </w:pPr>
    <w:rPr>
      <w:rFonts w:cs="黑体"/>
      <w:szCs w:val="24"/>
    </w:rPr>
  </w:style>
  <w:style w:type="paragraph" w:customStyle="1" w:styleId="250">
    <w:name w:val="正文部分"/>
    <w:semiHidden/>
    <w:qFormat/>
    <w:uiPriority w:val="99"/>
    <w:pPr>
      <w:widowControl w:val="0"/>
      <w:ind w:firstLine="200" w:firstLineChars="200"/>
      <w:jc w:val="both"/>
    </w:pPr>
    <w:rPr>
      <w:rFonts w:ascii="宋体" w:hAnsi="宋体" w:eastAsia="宋体" w:cs="Times New Roman"/>
      <w:sz w:val="24"/>
      <w:szCs w:val="24"/>
      <w:lang w:val="en-US" w:eastAsia="zh-CN" w:bidi="ar-SA"/>
    </w:rPr>
  </w:style>
  <w:style w:type="paragraph" w:customStyle="1" w:styleId="251">
    <w:name w:val="正文（首行缩进） Char"/>
    <w:basedOn w:val="1"/>
    <w:qFormat/>
    <w:uiPriority w:val="0"/>
    <w:pPr>
      <w:widowControl/>
      <w:overflowPunct w:val="0"/>
      <w:topLinePunct/>
      <w:autoSpaceDE w:val="0"/>
      <w:autoSpaceDN w:val="0"/>
      <w:adjustRightInd w:val="0"/>
      <w:snapToGrid w:val="0"/>
      <w:spacing w:line="360" w:lineRule="auto"/>
      <w:ind w:firstLine="480" w:firstLineChars="200"/>
      <w:textAlignment w:val="baseline"/>
    </w:pPr>
    <w:rPr>
      <w:kern w:val="0"/>
      <w:sz w:val="24"/>
      <w:szCs w:val="24"/>
    </w:rPr>
  </w:style>
  <w:style w:type="paragraph" w:customStyle="1" w:styleId="252">
    <w:name w:val="+正文"/>
    <w:basedOn w:val="1"/>
    <w:qFormat/>
    <w:uiPriority w:val="0"/>
    <w:pPr>
      <w:ind w:firstLine="200" w:firstLineChars="200"/>
    </w:pPr>
    <w:rPr>
      <w:sz w:val="28"/>
      <w:szCs w:val="28"/>
    </w:rPr>
  </w:style>
  <w:style w:type="paragraph" w:customStyle="1" w:styleId="253">
    <w:name w:val="表格内"/>
    <w:basedOn w:val="1"/>
    <w:qFormat/>
    <w:uiPriority w:val="0"/>
    <w:pPr>
      <w:widowControl/>
      <w:adjustRightInd w:val="0"/>
      <w:snapToGrid w:val="0"/>
      <w:spacing w:after="200" w:line="360" w:lineRule="exact"/>
      <w:jc w:val="center"/>
    </w:pPr>
    <w:rPr>
      <w:rFonts w:eastAsia="微软雅黑"/>
      <w:snapToGrid w:val="0"/>
      <w:kern w:val="0"/>
      <w:sz w:val="22"/>
    </w:rPr>
  </w:style>
  <w:style w:type="paragraph" w:customStyle="1" w:styleId="254">
    <w:name w:val="付正文"/>
    <w:basedOn w:val="1"/>
    <w:semiHidden/>
    <w:qFormat/>
    <w:uiPriority w:val="99"/>
    <w:pPr>
      <w:spacing w:line="360" w:lineRule="auto"/>
      <w:ind w:firstLine="200" w:firstLineChars="200"/>
    </w:pPr>
    <w:rPr>
      <w:rFonts w:ascii="宋体"/>
      <w:color w:val="000000"/>
      <w:sz w:val="24"/>
      <w:szCs w:val="21"/>
    </w:rPr>
  </w:style>
  <w:style w:type="paragraph" w:customStyle="1" w:styleId="255">
    <w:name w:val="我的正文"/>
    <w:basedOn w:val="1"/>
    <w:qFormat/>
    <w:uiPriority w:val="0"/>
    <w:pPr>
      <w:spacing w:line="480" w:lineRule="auto"/>
      <w:ind w:firstLine="480" w:firstLineChars="200"/>
    </w:pPr>
    <w:rPr>
      <w:color w:val="000000"/>
      <w:sz w:val="24"/>
      <w:szCs w:val="24"/>
    </w:rPr>
  </w:style>
  <w:style w:type="paragraph" w:customStyle="1" w:styleId="256">
    <w:name w:val="0正文"/>
    <w:basedOn w:val="1"/>
    <w:next w:val="1"/>
    <w:qFormat/>
    <w:uiPriority w:val="0"/>
    <w:pPr>
      <w:suppressAutoHyphens/>
      <w:ind w:firstLine="480" w:firstLineChars="200"/>
    </w:pPr>
    <w:rPr>
      <w:kern w:val="24"/>
      <w:sz w:val="20"/>
      <w:lang w:bidi="en-US"/>
    </w:rPr>
  </w:style>
  <w:style w:type="paragraph" w:customStyle="1" w:styleId="257">
    <w:name w:val="A1表头"/>
    <w:basedOn w:val="1"/>
    <w:qFormat/>
    <w:uiPriority w:val="0"/>
    <w:pPr>
      <w:jc w:val="center"/>
    </w:pPr>
    <w:rPr>
      <w:rFonts w:ascii="黑体" w:hAnsi="黑体" w:eastAsia="黑体"/>
      <w:b/>
    </w:rPr>
  </w:style>
  <w:style w:type="paragraph" w:customStyle="1" w:styleId="258">
    <w:name w:val="A.表中文字 用"/>
    <w:basedOn w:val="1"/>
    <w:next w:val="1"/>
    <w:qFormat/>
    <w:uiPriority w:val="0"/>
    <w:pPr>
      <w:spacing w:line="360" w:lineRule="exact"/>
      <w:jc w:val="center"/>
    </w:pPr>
    <w:rPr>
      <w:snapToGrid w:val="0"/>
      <w:kern w:val="0"/>
    </w:rPr>
  </w:style>
  <w:style w:type="paragraph" w:customStyle="1" w:styleId="259">
    <w:name w:val="样式 正文首行缩进 + 首行缩进:  2 字符1"/>
    <w:qFormat/>
    <w:uiPriority w:val="0"/>
    <w:pPr>
      <w:spacing w:after="0" w:line="360" w:lineRule="auto"/>
      <w:ind w:firstLine="480" w:firstLineChars="200"/>
    </w:pPr>
    <w:rPr>
      <w:rFonts w:ascii="Times New Roman" w:hAnsi="Times New Roman" w:eastAsia="宋体" w:cs="Times New Roman"/>
      <w:sz w:val="24"/>
    </w:rPr>
  </w:style>
  <w:style w:type="paragraph" w:customStyle="1" w:styleId="260">
    <w:name w:val="表内字"/>
    <w:basedOn w:val="1"/>
    <w:qFormat/>
    <w:uiPriority w:val="0"/>
    <w:pPr>
      <w:autoSpaceDE w:val="0"/>
      <w:autoSpaceDN w:val="0"/>
      <w:jc w:val="center"/>
    </w:pPr>
    <w:rPr>
      <w:kern w:val="0"/>
      <w:szCs w:val="24"/>
      <w:lang w:val="zh-CN" w:bidi="zh-CN"/>
    </w:rPr>
  </w:style>
  <w:style w:type="character" w:customStyle="1" w:styleId="261">
    <w:name w:val="Unresolved Mention"/>
    <w:basedOn w:val="51"/>
    <w:semiHidden/>
    <w:unhideWhenUsed/>
    <w:qFormat/>
    <w:uiPriority w:val="99"/>
    <w:rPr>
      <w:color w:val="605E5C"/>
      <w:shd w:val="clear" w:color="auto" w:fill="E1DFDD"/>
    </w:rPr>
  </w:style>
  <w:style w:type="paragraph" w:customStyle="1" w:styleId="262">
    <w:name w:val="样式 正文缩进正文缩进2正文缩进 Char Char正文缩进 Char Char Char Char正文缩进 Char ..."/>
    <w:basedOn w:val="13"/>
    <w:qFormat/>
    <w:uiPriority w:val="0"/>
    <w:pPr>
      <w:autoSpaceDE w:val="0"/>
      <w:autoSpaceDN w:val="0"/>
      <w:adjustRightInd/>
      <w:spacing w:line="360" w:lineRule="auto"/>
      <w:ind w:firstLine="200" w:firstLineChars="200"/>
      <w:textAlignment w:val="auto"/>
    </w:pPr>
    <w:rPr>
      <w:rFonts w:cs="宋体"/>
      <w:lang w:bidi="zh-CN"/>
    </w:rPr>
  </w:style>
  <w:style w:type="paragraph" w:customStyle="1" w:styleId="263">
    <w:name w:val="【表中文字】"/>
    <w:basedOn w:val="1"/>
    <w:qFormat/>
    <w:uiPriority w:val="0"/>
    <w:pPr>
      <w:adjustRightInd/>
      <w:snapToGrid/>
      <w:spacing w:line="240" w:lineRule="auto"/>
      <w:ind w:firstLine="0" w:firstLineChars="0"/>
      <w:jc w:val="center"/>
    </w:pPr>
    <w:rPr>
      <w:sz w:val="21"/>
      <w:lang w:val="zh-CN"/>
    </w:rPr>
  </w:style>
  <w:style w:type="paragraph" w:customStyle="1" w:styleId="264">
    <w:name w:val="正文邓"/>
    <w:basedOn w:val="1"/>
    <w:qFormat/>
    <w:uiPriority w:val="0"/>
    <w:pPr>
      <w:widowControl w:val="0"/>
      <w:adjustRightInd w:val="0"/>
      <w:snapToGrid w:val="0"/>
      <w:spacing w:line="360" w:lineRule="auto"/>
      <w:ind w:firstLine="480" w:firstLineChars="200"/>
    </w:pPr>
    <w:rPr>
      <w:bCs/>
      <w:color w:val="000000"/>
      <w:sz w:val="24"/>
      <w:szCs w:val="26"/>
    </w:rPr>
  </w:style>
  <w:style w:type="paragraph" w:customStyle="1" w:styleId="265">
    <w:name w:val="A图表标题"/>
    <w:basedOn w:val="1"/>
    <w:next w:val="32"/>
    <w:qFormat/>
    <w:uiPriority w:val="0"/>
    <w:pPr>
      <w:widowControl/>
      <w:autoSpaceDE/>
      <w:autoSpaceDN/>
      <w:spacing w:line="360" w:lineRule="auto"/>
      <w:jc w:val="center"/>
    </w:pPr>
    <w:rPr>
      <w:rFonts w:ascii="黑体" w:hAnsi="黑体" w:eastAsia="黑体" w:cs="Times New Roman"/>
      <w:b/>
      <w:sz w:val="24"/>
      <w:szCs w:val="28"/>
      <w:lang w:val="en-US" w:bidi="ar-SA"/>
    </w:rPr>
  </w:style>
  <w:style w:type="paragraph" w:styleId="266">
    <w:name w:val="No Spacing"/>
    <w:basedOn w:val="1"/>
    <w:next w:val="1"/>
    <w:qFormat/>
    <w:uiPriority w:val="0"/>
    <w:pPr>
      <w:widowControl w:val="0"/>
      <w:jc w:val="both"/>
    </w:pPr>
    <w:rPr>
      <w:rFonts w:ascii="Calibri" w:hAnsi="Calibri" w:eastAsia="宋体" w:cs="Times New Roman"/>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2" Type="http://schemas.openxmlformats.org/officeDocument/2006/relationships/fontTable" Target="fontTable.xml"/><Relationship Id="rId71" Type="http://schemas.openxmlformats.org/officeDocument/2006/relationships/customXml" Target="../customXml/item3.xml"/><Relationship Id="rId70" Type="http://schemas.openxmlformats.org/officeDocument/2006/relationships/customXml" Target="../customXml/item2.xml"/><Relationship Id="rId7" Type="http://schemas.openxmlformats.org/officeDocument/2006/relationships/footer" Target="footer2.xml"/><Relationship Id="rId69" Type="http://schemas.openxmlformats.org/officeDocument/2006/relationships/numbering" Target="numbering.xml"/><Relationship Id="rId68" Type="http://schemas.openxmlformats.org/officeDocument/2006/relationships/customXml" Target="../customXml/item1.xml"/><Relationship Id="rId67" Type="http://schemas.openxmlformats.org/officeDocument/2006/relationships/image" Target="media/image36.png"/><Relationship Id="rId66" Type="http://schemas.openxmlformats.org/officeDocument/2006/relationships/image" Target="media/image35.jpeg"/><Relationship Id="rId65" Type="http://schemas.openxmlformats.org/officeDocument/2006/relationships/image" Target="media/image34.jpeg"/><Relationship Id="rId64" Type="http://schemas.openxmlformats.org/officeDocument/2006/relationships/image" Target="media/image33.png"/><Relationship Id="rId63" Type="http://schemas.openxmlformats.org/officeDocument/2006/relationships/image" Target="media/image32.png"/><Relationship Id="rId62" Type="http://schemas.openxmlformats.org/officeDocument/2006/relationships/image" Target="media/image31.wmf"/><Relationship Id="rId61" Type="http://schemas.openxmlformats.org/officeDocument/2006/relationships/oleObject" Target="embeddings/oleObject11.bin"/><Relationship Id="rId60" Type="http://schemas.openxmlformats.org/officeDocument/2006/relationships/image" Target="media/image30.png"/><Relationship Id="rId6" Type="http://schemas.openxmlformats.org/officeDocument/2006/relationships/footer" Target="footer1.xml"/><Relationship Id="rId59" Type="http://schemas.openxmlformats.org/officeDocument/2006/relationships/image" Target="media/image29.png"/><Relationship Id="rId58" Type="http://schemas.openxmlformats.org/officeDocument/2006/relationships/image" Target="media/image28.png"/><Relationship Id="rId57" Type="http://schemas.openxmlformats.org/officeDocument/2006/relationships/image" Target="media/image27.png"/><Relationship Id="rId56" Type="http://schemas.openxmlformats.org/officeDocument/2006/relationships/image" Target="media/image26.png"/><Relationship Id="rId55" Type="http://schemas.openxmlformats.org/officeDocument/2006/relationships/image" Target="media/image25.png"/><Relationship Id="rId54" Type="http://schemas.openxmlformats.org/officeDocument/2006/relationships/image" Target="media/image24.png"/><Relationship Id="rId53" Type="http://schemas.openxmlformats.org/officeDocument/2006/relationships/image" Target="media/image23.png"/><Relationship Id="rId52" Type="http://schemas.openxmlformats.org/officeDocument/2006/relationships/image" Target="media/image22.png"/><Relationship Id="rId51" Type="http://schemas.openxmlformats.org/officeDocument/2006/relationships/image" Target="media/image21.wmf"/><Relationship Id="rId50" Type="http://schemas.openxmlformats.org/officeDocument/2006/relationships/oleObject" Target="embeddings/oleObject10.bin"/><Relationship Id="rId5" Type="http://schemas.openxmlformats.org/officeDocument/2006/relationships/header" Target="header3.xml"/><Relationship Id="rId49" Type="http://schemas.openxmlformats.org/officeDocument/2006/relationships/image" Target="media/image20.wmf"/><Relationship Id="rId48" Type="http://schemas.openxmlformats.org/officeDocument/2006/relationships/oleObject" Target="embeddings/oleObject9.bin"/><Relationship Id="rId47" Type="http://schemas.openxmlformats.org/officeDocument/2006/relationships/image" Target="media/image19.wmf"/><Relationship Id="rId46" Type="http://schemas.openxmlformats.org/officeDocument/2006/relationships/oleObject" Target="embeddings/oleObject8.bin"/><Relationship Id="rId45" Type="http://schemas.openxmlformats.org/officeDocument/2006/relationships/image" Target="media/image18.wmf"/><Relationship Id="rId44" Type="http://schemas.openxmlformats.org/officeDocument/2006/relationships/oleObject" Target="embeddings/oleObject7.bin"/><Relationship Id="rId43" Type="http://schemas.openxmlformats.org/officeDocument/2006/relationships/image" Target="media/image17.wmf"/><Relationship Id="rId42" Type="http://schemas.openxmlformats.org/officeDocument/2006/relationships/oleObject" Target="embeddings/oleObject6.bin"/><Relationship Id="rId41" Type="http://schemas.openxmlformats.org/officeDocument/2006/relationships/image" Target="media/image16.wmf"/><Relationship Id="rId40" Type="http://schemas.openxmlformats.org/officeDocument/2006/relationships/image" Target="media/image15.wmf"/><Relationship Id="rId4" Type="http://schemas.openxmlformats.org/officeDocument/2006/relationships/header" Target="header2.xml"/><Relationship Id="rId39" Type="http://schemas.openxmlformats.org/officeDocument/2006/relationships/oleObject" Target="embeddings/oleObject5.bin"/><Relationship Id="rId38" Type="http://schemas.openxmlformats.org/officeDocument/2006/relationships/image" Target="media/image14.png"/><Relationship Id="rId37" Type="http://schemas.openxmlformats.org/officeDocument/2006/relationships/image" Target="media/image13.png"/><Relationship Id="rId36" Type="http://schemas.openxmlformats.org/officeDocument/2006/relationships/image" Target="media/image12.png"/><Relationship Id="rId35" Type="http://schemas.openxmlformats.org/officeDocument/2006/relationships/image" Target="media/image11.png"/><Relationship Id="rId34" Type="http://schemas.openxmlformats.org/officeDocument/2006/relationships/image" Target="media/image10.wmf"/><Relationship Id="rId33" Type="http://schemas.openxmlformats.org/officeDocument/2006/relationships/oleObject" Target="embeddings/oleObject4.bin"/><Relationship Id="rId32" Type="http://schemas.openxmlformats.org/officeDocument/2006/relationships/chart" Target="charts/chart3.xml"/><Relationship Id="rId31" Type="http://schemas.openxmlformats.org/officeDocument/2006/relationships/chart" Target="charts/chart2.xml"/><Relationship Id="rId30" Type="http://schemas.openxmlformats.org/officeDocument/2006/relationships/chart" Target="charts/chart1.xml"/><Relationship Id="rId3" Type="http://schemas.openxmlformats.org/officeDocument/2006/relationships/header" Target="header1.xml"/><Relationship Id="rId29" Type="http://schemas.openxmlformats.org/officeDocument/2006/relationships/image" Target="media/image9.png"/><Relationship Id="rId28" Type="http://schemas.openxmlformats.org/officeDocument/2006/relationships/image" Target="media/image8.png"/><Relationship Id="rId27" Type="http://schemas.openxmlformats.org/officeDocument/2006/relationships/image" Target="media/image7.png"/><Relationship Id="rId26" Type="http://schemas.openxmlformats.org/officeDocument/2006/relationships/image" Target="media/image6.wmf"/><Relationship Id="rId25" Type="http://schemas.openxmlformats.org/officeDocument/2006/relationships/oleObject" Target="embeddings/oleObject3.bin"/><Relationship Id="rId24" Type="http://schemas.openxmlformats.org/officeDocument/2006/relationships/image" Target="media/image5.wmf"/><Relationship Id="rId23" Type="http://schemas.openxmlformats.org/officeDocument/2006/relationships/oleObject" Target="embeddings/oleObject2.bin"/><Relationship Id="rId22" Type="http://schemas.openxmlformats.org/officeDocument/2006/relationships/image" Target="media/image4.wmf"/><Relationship Id="rId21" Type="http://schemas.openxmlformats.org/officeDocument/2006/relationships/oleObject" Target="embeddings/oleObject1.bin"/><Relationship Id="rId20" Type="http://schemas.openxmlformats.org/officeDocument/2006/relationships/image" Target="media/image3.png"/><Relationship Id="rId2" Type="http://schemas.openxmlformats.org/officeDocument/2006/relationships/settings" Target="settings.xml"/><Relationship Id="rId19" Type="http://schemas.openxmlformats.org/officeDocument/2006/relationships/image" Target="media/image2.png"/><Relationship Id="rId18" Type="http://schemas.openxmlformats.org/officeDocument/2006/relationships/image" Target="media/image1.png"/><Relationship Id="rId17" Type="http://schemas.openxmlformats.org/officeDocument/2006/relationships/theme" Target="theme/theme1.xml"/><Relationship Id="rId16" Type="http://schemas.openxmlformats.org/officeDocument/2006/relationships/footer" Target="footer9.xml"/><Relationship Id="rId15" Type="http://schemas.openxmlformats.org/officeDocument/2006/relationships/header" Target="header5.xml"/><Relationship Id="rId14" Type="http://schemas.openxmlformats.org/officeDocument/2006/relationships/footer" Target="footer8.xml"/><Relationship Id="rId13" Type="http://schemas.openxmlformats.org/officeDocument/2006/relationships/footer" Target="footer7.xml"/><Relationship Id="rId12" Type="http://schemas.openxmlformats.org/officeDocument/2006/relationships/header" Target="header4.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charts/_rels/chart1.xml.rels><?xml version="1.0" encoding="UTF-8" standalone="yes"?>
<Relationships xmlns="http://schemas.openxmlformats.org/package/2006/relationships"><Relationship Id="rId2" Type="http://schemas.openxmlformats.org/officeDocument/2006/relationships/themeOverride" Target="../theme/themeOverride3.xml"/><Relationship Id="rId1" Type="http://schemas.openxmlformats.org/officeDocument/2006/relationships/oleObject" Target="file:///E:\&#29615;&#35780;&#39033;&#30446;\2021\202105-&#20013;&#26118;&#20057;&#20108;&#37255;\1-&#24211;&#23572;&#21202;&#27668;&#35937;&#25968;&#25454;\1-&#24211;&#23572;&#21202;&#27668;&#35937;&#25968;&#25454;\2020&#24180;&#27668;&#35937;&#36164;&#26009;&#32479;&#35745;.XLS" TargetMode="External"/></Relationships>
</file>

<file path=word/charts/_rels/chart2.xml.rels><?xml version="1.0" encoding="UTF-8" standalone="yes"?>
<Relationships xmlns="http://schemas.openxmlformats.org/package/2006/relationships"><Relationship Id="rId2" Type="http://schemas.openxmlformats.org/officeDocument/2006/relationships/themeOverride" Target="../theme/themeOverride1.xml"/><Relationship Id="rId1" Type="http://schemas.openxmlformats.org/officeDocument/2006/relationships/oleObject" Target="file:///E:\&#29615;&#35780;&#39033;&#30446;\2021\202105-&#20013;&#26118;&#20057;&#20108;&#37255;\1-&#24211;&#23572;&#21202;&#27668;&#35937;&#25968;&#25454;\1-&#24211;&#23572;&#21202;&#27668;&#35937;&#25968;&#25454;\2020&#24180;&#27668;&#35937;&#36164;&#26009;&#32479;&#35745;.XLS" TargetMode="External"/></Relationships>
</file>

<file path=word/charts/_rels/chart3.xml.rels><?xml version="1.0" encoding="UTF-8" standalone="yes"?>
<Relationships xmlns="http://schemas.openxmlformats.org/package/2006/relationships"><Relationship Id="rId2" Type="http://schemas.openxmlformats.org/officeDocument/2006/relationships/themeOverride" Target="../theme/themeOverride2.xml"/><Relationship Id="rId1" Type="http://schemas.openxmlformats.org/officeDocument/2006/relationships/oleObject" Target="file:///E:\&#29615;&#35780;&#39033;&#30446;\2021\202105-&#20013;&#26118;&#20057;&#20108;&#37255;\1-&#24211;&#23572;&#21202;&#27668;&#35937;&#25968;&#25454;\1-&#24211;&#23572;&#21202;&#27668;&#35937;&#25968;&#25454;\2020&#24180;&#27668;&#35937;&#36164;&#26009;&#32479;&#35745;.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7397345487309"/>
          <c:y val="0.213523131672598"/>
          <c:w val="0.820548494052664"/>
          <c:h val="0.619217081850534"/>
        </c:manualLayout>
      </c:layout>
      <c:lineChart>
        <c:grouping val="standard"/>
        <c:varyColors val="0"/>
        <c:ser>
          <c:idx val="0"/>
          <c:order val="0"/>
          <c:tx>
            <c:strRef>
              <c:f>数据!$A$7</c:f>
              <c:strCache>
                <c:ptCount val="1"/>
                <c:pt idx="0">
                  <c:v> 风速(m/s)  </c:v>
                </c:pt>
              </c:strCache>
            </c:strRef>
          </c:tx>
          <c:spPr>
            <a:ln w="12700" cap="rnd" cmpd="sng" algn="ctr">
              <a:solidFill>
                <a:srgbClr val="000080"/>
              </a:solidFill>
              <a:prstDash val="solid"/>
              <a:round/>
            </a:ln>
          </c:spPr>
          <c:marker>
            <c:symbol val="diamond"/>
            <c:size val="5"/>
            <c:spPr>
              <a:solidFill>
                <a:srgbClr val="000080"/>
              </a:solidFill>
              <a:ln w="9525" cap="flat" cmpd="sng" algn="ctr">
                <a:solidFill>
                  <a:srgbClr val="000080"/>
                </a:solidFill>
                <a:prstDash val="solid"/>
                <a:round/>
              </a:ln>
            </c:spPr>
          </c:marker>
          <c:dLbls>
            <c:delete val="1"/>
          </c:dLbls>
          <c:cat>
            <c:strRef>
              <c:f>数据!$B$6:$M$6</c:f>
              <c:strCache>
                <c:ptCount val="12"/>
                <c:pt idx="0">
                  <c:v>1月</c:v>
                </c:pt>
                <c:pt idx="1">
                  <c:v>2月</c:v>
                </c:pt>
                <c:pt idx="2">
                  <c:v>3月</c:v>
                </c:pt>
                <c:pt idx="3">
                  <c:v>4月</c:v>
                </c:pt>
                <c:pt idx="4">
                  <c:v>5月</c:v>
                </c:pt>
                <c:pt idx="5">
                  <c:v>6月</c:v>
                </c:pt>
                <c:pt idx="6">
                  <c:v>7月</c:v>
                </c:pt>
                <c:pt idx="7">
                  <c:v>8月</c:v>
                </c:pt>
                <c:pt idx="8">
                  <c:v>9月</c:v>
                </c:pt>
                <c:pt idx="9">
                  <c:v>10月</c:v>
                </c:pt>
                <c:pt idx="10">
                  <c:v>11月</c:v>
                </c:pt>
                <c:pt idx="11">
                  <c:v>12月</c:v>
                </c:pt>
              </c:strCache>
            </c:strRef>
          </c:cat>
          <c:val>
            <c:numRef>
              <c:f>数据!$B$7:$M$7</c:f>
              <c:numCache>
                <c:formatCode>0.00_ </c:formatCode>
                <c:ptCount val="12"/>
                <c:pt idx="0">
                  <c:v>1.76999998092651</c:v>
                </c:pt>
                <c:pt idx="1">
                  <c:v>2.30999994277954</c:v>
                </c:pt>
                <c:pt idx="2">
                  <c:v>2.81999993324279</c:v>
                </c:pt>
                <c:pt idx="3">
                  <c:v>3.20000004768372</c:v>
                </c:pt>
                <c:pt idx="4">
                  <c:v>3.53999996185303</c:v>
                </c:pt>
                <c:pt idx="5">
                  <c:v>3.15000009536743</c:v>
                </c:pt>
                <c:pt idx="6">
                  <c:v>2.88000011444092</c:v>
                </c:pt>
                <c:pt idx="7">
                  <c:v>2.40000009536743</c:v>
                </c:pt>
                <c:pt idx="8">
                  <c:v>2.72000002861023</c:v>
                </c:pt>
                <c:pt idx="9">
                  <c:v>2.07999992370605</c:v>
                </c:pt>
                <c:pt idx="10">
                  <c:v>1.9099999666214</c:v>
                </c:pt>
                <c:pt idx="11">
                  <c:v>1.72000002861023</c:v>
                </c:pt>
              </c:numCache>
            </c:numRef>
          </c:val>
          <c:smooth val="0"/>
        </c:ser>
        <c:dLbls>
          <c:showLegendKey val="0"/>
          <c:showVal val="0"/>
          <c:showCatName val="0"/>
          <c:showSerName val="0"/>
          <c:showPercent val="0"/>
          <c:showBubbleSize val="0"/>
        </c:dLbls>
        <c:marker val="1"/>
        <c:smooth val="0"/>
        <c:axId val="357168256"/>
        <c:axId val="357170176"/>
      </c:lineChart>
      <c:catAx>
        <c:axId val="357168256"/>
        <c:scaling>
          <c:orientation val="minMax"/>
        </c:scaling>
        <c:delete val="0"/>
        <c:axPos val="b"/>
        <c:numFmt formatCode="General" sourceLinked="1"/>
        <c:majorTickMark val="in"/>
        <c:minorTickMark val="none"/>
        <c:tickLblPos val="nextTo"/>
        <c:spPr>
          <a:ln w="3175" cap="flat" cmpd="sng" algn="ctr">
            <a:solidFill>
              <a:srgbClr val="000000"/>
            </a:solidFill>
            <a:prstDash val="solid"/>
            <a:round/>
          </a:ln>
        </c:spPr>
        <c:txPr>
          <a:bodyPr rot="0" spcFirstLastPara="0" vertOverflow="ellipsis" vert="horz" wrap="square" anchor="ctr" anchorCtr="1"/>
          <a:lstStyle/>
          <a:p>
            <a:pPr>
              <a:defRPr lang="zh-CN" sz="1200" b="0" i="0" u="none" strike="noStrike" kern="1200" baseline="0">
                <a:solidFill>
                  <a:srgbClr val="000000"/>
                </a:solidFill>
                <a:latin typeface="宋体" panose="02010600030101010101" charset="-122"/>
                <a:ea typeface="宋体" panose="02010600030101010101" charset="-122"/>
                <a:cs typeface="宋体" panose="02010600030101010101" charset="-122"/>
              </a:defRPr>
            </a:pPr>
          </a:p>
        </c:txPr>
        <c:crossAx val="357170176"/>
        <c:crosses val="autoZero"/>
        <c:auto val="1"/>
        <c:lblAlgn val="ctr"/>
        <c:lblOffset val="100"/>
        <c:tickLblSkip val="1"/>
        <c:noMultiLvlLbl val="0"/>
      </c:catAx>
      <c:valAx>
        <c:axId val="357170176"/>
        <c:scaling>
          <c:orientation val="minMax"/>
        </c:scaling>
        <c:delete val="0"/>
        <c:axPos val="l"/>
        <c:majorGridlines>
          <c:spPr>
            <a:ln w="3175" cap="flat" cmpd="sng" algn="ctr">
              <a:solidFill>
                <a:srgbClr val="000000"/>
              </a:solidFill>
              <a:prstDash val="solid"/>
              <a:round/>
            </a:ln>
          </c:spPr>
        </c:majorGridlines>
        <c:title>
          <c:tx>
            <c:rich>
              <a:bodyPr rot="-5400000" spcFirstLastPara="0" vertOverflow="ellipsis" vert="horz" wrap="square" anchor="ctr" anchorCtr="1"/>
              <a:lstStyle/>
              <a:p>
                <a:pPr>
                  <a:defRPr lang="zh-CN" sz="1200" b="0" i="0" u="none" strike="noStrike" kern="1200" baseline="0">
                    <a:solidFill>
                      <a:srgbClr val="000000"/>
                    </a:solidFill>
                    <a:latin typeface="宋体" panose="02010600030101010101" charset="-122"/>
                    <a:ea typeface="宋体" panose="02010600030101010101" charset="-122"/>
                    <a:cs typeface="宋体" panose="02010600030101010101" charset="-122"/>
                  </a:defRPr>
                </a:pPr>
                <a:r>
                  <a:rPr lang="zh-CN" altLang="en-US"/>
                  <a:t>风速</a:t>
                </a:r>
                <a:r>
                  <a:rPr lang="en-US" altLang="zh-CN"/>
                  <a:t>(</a:t>
                </a:r>
                <a:r>
                  <a:rPr lang="en-US" altLang="en-US"/>
                  <a:t>m/s) </a:t>
                </a:r>
                <a:endParaRPr lang="en-US" altLang="en-US"/>
              </a:p>
            </c:rich>
          </c:tx>
          <c:layout>
            <c:manualLayout>
              <c:xMode val="edge"/>
              <c:yMode val="edge"/>
              <c:x val="0.00502283105022831"/>
              <c:y val="0.281138790035587"/>
            </c:manualLayout>
          </c:layout>
          <c:overlay val="0"/>
          <c:spPr>
            <a:noFill/>
            <a:ln w="25400">
              <a:noFill/>
            </a:ln>
          </c:spPr>
        </c:title>
        <c:numFmt formatCode="0.0_ " sourceLinked="0"/>
        <c:majorTickMark val="in"/>
        <c:minorTickMark val="none"/>
        <c:tickLblPos val="nextTo"/>
        <c:spPr>
          <a:ln w="3175" cap="flat" cmpd="sng" algn="ctr">
            <a:solidFill>
              <a:srgbClr val="000000"/>
            </a:solidFill>
            <a:prstDash val="solid"/>
            <a:round/>
          </a:ln>
        </c:spPr>
        <c:txPr>
          <a:bodyPr rot="0" spcFirstLastPara="0" vertOverflow="ellipsis" vert="horz" wrap="square" anchor="ctr" anchorCtr="1"/>
          <a:lstStyle/>
          <a:p>
            <a:pPr algn="r">
              <a:defRPr lang="zh-CN" sz="1000" b="0" i="0" u="none" strike="noStrike" kern="1200" baseline="0">
                <a:solidFill>
                  <a:srgbClr val="000000"/>
                </a:solidFill>
                <a:latin typeface="宋体" panose="02010600030101010101" charset="-122"/>
                <a:ea typeface="宋体" panose="02010600030101010101" charset="-122"/>
                <a:cs typeface="宋体" panose="02010600030101010101" charset="-122"/>
              </a:defRPr>
            </a:pPr>
          </a:p>
        </c:txPr>
        <c:crossAx val="357168256"/>
        <c:crosses val="autoZero"/>
        <c:crossBetween val="between"/>
      </c:valAx>
      <c:spPr>
        <a:solidFill>
          <a:srgbClr val="C0C0C0"/>
        </a:solidFill>
        <a:ln w="12700">
          <a:solidFill>
            <a:srgbClr val="808080"/>
          </a:solidFill>
          <a:prstDash val="solid"/>
        </a:ln>
      </c:spPr>
    </c:plotArea>
    <c:plotVisOnly val="1"/>
    <c:dispBlanksAs val="gap"/>
    <c:showDLblsOverMax val="0"/>
    <c:extLst>
      <c:ext uri="{0b15fc19-7d7d-44ad-8c2d-2c3a37ce22c3}">
        <chartProps xmlns="https://web.wps.cn/et/2018/main" chartId="{51efae86-43e3-478f-a723-06b6645fd22c}"/>
      </c:ext>
    </c:extLst>
  </c:chart>
  <c:spPr>
    <a:solidFill>
      <a:srgbClr val="FFFFFF"/>
    </a:solidFill>
    <a:ln w="3175" cap="flat" cmpd="sng" algn="ctr">
      <a:solidFill>
        <a:srgbClr val="000000"/>
      </a:solidFill>
      <a:prstDash val="solid"/>
      <a:round/>
    </a:ln>
  </c:spPr>
  <c:txPr>
    <a:bodyPr/>
    <a:lstStyle/>
    <a:p>
      <a:pPr>
        <a:defRPr lang="zh-CN" sz="1200" b="0" i="0" u="none" strike="noStrike" baseline="0">
          <a:solidFill>
            <a:srgbClr val="000000"/>
          </a:solidFill>
          <a:latin typeface="宋体" panose="02010600030101010101" charset="-122"/>
          <a:ea typeface="宋体" panose="02010600030101010101" charset="-122"/>
          <a:cs typeface="宋体" panose="02010600030101010101" charset="-122"/>
        </a:defRPr>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5854993160055"/>
          <c:y val="0.154098360655738"/>
          <c:w val="0.719562243502052"/>
          <c:h val="0.691803278688526"/>
        </c:manualLayout>
      </c:layout>
      <c:lineChart>
        <c:grouping val="standard"/>
        <c:varyColors val="0"/>
        <c:ser>
          <c:idx val="0"/>
          <c:order val="0"/>
          <c:tx>
            <c:strRef>
              <c:f>图形!$A$167</c:f>
              <c:strCache>
                <c:ptCount val="1"/>
                <c:pt idx="0">
                  <c:v>春季                </c:v>
                </c:pt>
              </c:strCache>
            </c:strRef>
          </c:tx>
          <c:spPr>
            <a:ln w="12700" cap="rnd" cmpd="sng" algn="ctr">
              <a:solidFill>
                <a:srgbClr val="000080"/>
              </a:solidFill>
              <a:prstDash val="solid"/>
              <a:round/>
            </a:ln>
          </c:spPr>
          <c:marker>
            <c:symbol val="diamond"/>
            <c:size val="5"/>
            <c:spPr>
              <a:solidFill>
                <a:srgbClr val="000080"/>
              </a:solidFill>
              <a:ln w="9525" cap="flat" cmpd="sng" algn="ctr">
                <a:solidFill>
                  <a:srgbClr val="000080"/>
                </a:solidFill>
                <a:prstDash val="solid"/>
                <a:round/>
              </a:ln>
            </c:spPr>
          </c:marker>
          <c:dLbls>
            <c:delete val="1"/>
          </c:dLbls>
          <c:val>
            <c:numRef>
              <c:f>图形!$B$167:$Y$167</c:f>
              <c:numCache>
                <c:formatCode>General</c:formatCode>
                <c:ptCount val="24"/>
                <c:pt idx="0">
                  <c:v>2.9300000667572</c:v>
                </c:pt>
                <c:pt idx="1">
                  <c:v>3.03999996185303</c:v>
                </c:pt>
                <c:pt idx="2">
                  <c:v>3.04999995231628</c:v>
                </c:pt>
                <c:pt idx="3">
                  <c:v>2.81999993324279</c:v>
                </c:pt>
                <c:pt idx="4">
                  <c:v>2.70000004768372</c:v>
                </c:pt>
                <c:pt idx="5">
                  <c:v>2.60999989509582</c:v>
                </c:pt>
                <c:pt idx="6">
                  <c:v>2.91000008583069</c:v>
                </c:pt>
                <c:pt idx="7">
                  <c:v>2.81999993324279</c:v>
                </c:pt>
                <c:pt idx="8">
                  <c:v>2.76999998092652</c:v>
                </c:pt>
                <c:pt idx="9">
                  <c:v>2.97000002861023</c:v>
                </c:pt>
                <c:pt idx="10">
                  <c:v>3.35999989509582</c:v>
                </c:pt>
                <c:pt idx="11">
                  <c:v>3.63000011444092</c:v>
                </c:pt>
                <c:pt idx="12">
                  <c:v>3.60999989509582</c:v>
                </c:pt>
                <c:pt idx="13">
                  <c:v>3.6800000667572</c:v>
                </c:pt>
                <c:pt idx="14">
                  <c:v>3.88000011444092</c:v>
                </c:pt>
                <c:pt idx="15">
                  <c:v>3.99000000953674</c:v>
                </c:pt>
                <c:pt idx="16">
                  <c:v>4.05000019073487</c:v>
                </c:pt>
                <c:pt idx="17">
                  <c:v>3.98000001907349</c:v>
                </c:pt>
                <c:pt idx="18">
                  <c:v>3.55999994277954</c:v>
                </c:pt>
                <c:pt idx="19">
                  <c:v>2.99000000953674</c:v>
                </c:pt>
                <c:pt idx="20">
                  <c:v>2.60999989509582</c:v>
                </c:pt>
                <c:pt idx="21">
                  <c:v>2.73000001907349</c:v>
                </c:pt>
                <c:pt idx="22">
                  <c:v>2.88000011444092</c:v>
                </c:pt>
                <c:pt idx="23">
                  <c:v>2.86999988555908</c:v>
                </c:pt>
              </c:numCache>
            </c:numRef>
          </c:val>
          <c:smooth val="0"/>
        </c:ser>
        <c:ser>
          <c:idx val="1"/>
          <c:order val="1"/>
          <c:tx>
            <c:strRef>
              <c:f>图形!$A$168</c:f>
              <c:strCache>
                <c:ptCount val="1"/>
                <c:pt idx="0">
                  <c:v>夏季                </c:v>
                </c:pt>
              </c:strCache>
            </c:strRef>
          </c:tx>
          <c:spPr>
            <a:ln w="12700" cap="rnd" cmpd="sng" algn="ctr">
              <a:solidFill>
                <a:srgbClr val="FF00FF"/>
              </a:solidFill>
              <a:prstDash val="solid"/>
              <a:round/>
            </a:ln>
          </c:spPr>
          <c:marker>
            <c:symbol val="square"/>
            <c:size val="5"/>
            <c:spPr>
              <a:solidFill>
                <a:srgbClr val="FF00FF"/>
              </a:solidFill>
              <a:ln w="9525" cap="flat" cmpd="sng" algn="ctr">
                <a:solidFill>
                  <a:srgbClr val="FF00FF"/>
                </a:solidFill>
                <a:prstDash val="solid"/>
                <a:round/>
              </a:ln>
            </c:spPr>
          </c:marker>
          <c:dLbls>
            <c:delete val="1"/>
          </c:dLbls>
          <c:val>
            <c:numRef>
              <c:f>图形!$B$168:$Y$168</c:f>
              <c:numCache>
                <c:formatCode>General</c:formatCode>
                <c:ptCount val="24"/>
                <c:pt idx="0">
                  <c:v>2.60999989509582</c:v>
                </c:pt>
                <c:pt idx="1">
                  <c:v>2.72000002861023</c:v>
                </c:pt>
                <c:pt idx="2">
                  <c:v>2.73000001907349</c:v>
                </c:pt>
                <c:pt idx="3">
                  <c:v>2.46000003814698</c:v>
                </c:pt>
                <c:pt idx="4">
                  <c:v>2.71000003814698</c:v>
                </c:pt>
                <c:pt idx="5">
                  <c:v>2.79999995231628</c:v>
                </c:pt>
                <c:pt idx="6">
                  <c:v>2.60999989509582</c:v>
                </c:pt>
                <c:pt idx="7">
                  <c:v>2.40000009536743</c:v>
                </c:pt>
                <c:pt idx="8">
                  <c:v>2.36999988555908</c:v>
                </c:pt>
                <c:pt idx="9">
                  <c:v>2.83999991416931</c:v>
                </c:pt>
                <c:pt idx="10">
                  <c:v>3</c:v>
                </c:pt>
                <c:pt idx="11">
                  <c:v>3.38000011444092</c:v>
                </c:pt>
                <c:pt idx="12">
                  <c:v>3.26999998092652</c:v>
                </c:pt>
                <c:pt idx="13">
                  <c:v>3.23000001907349</c:v>
                </c:pt>
                <c:pt idx="14">
                  <c:v>3.11999988555908</c:v>
                </c:pt>
                <c:pt idx="15">
                  <c:v>2.9300000667572</c:v>
                </c:pt>
                <c:pt idx="16">
                  <c:v>2.91000008583069</c:v>
                </c:pt>
                <c:pt idx="17">
                  <c:v>2.99000000953674</c:v>
                </c:pt>
                <c:pt idx="18">
                  <c:v>2.81999993324279</c:v>
                </c:pt>
                <c:pt idx="19">
                  <c:v>2.99000000953674</c:v>
                </c:pt>
                <c:pt idx="20">
                  <c:v>2.57999992370605</c:v>
                </c:pt>
                <c:pt idx="21">
                  <c:v>2.55999994277954</c:v>
                </c:pt>
                <c:pt idx="22">
                  <c:v>2.66000008583069</c:v>
                </c:pt>
                <c:pt idx="23">
                  <c:v>2.73000001907349</c:v>
                </c:pt>
              </c:numCache>
            </c:numRef>
          </c:val>
          <c:smooth val="0"/>
        </c:ser>
        <c:ser>
          <c:idx val="2"/>
          <c:order val="2"/>
          <c:tx>
            <c:strRef>
              <c:f>图形!$A$169</c:f>
              <c:strCache>
                <c:ptCount val="1"/>
                <c:pt idx="0">
                  <c:v>秋季                </c:v>
                </c:pt>
              </c:strCache>
            </c:strRef>
          </c:tx>
          <c:spPr>
            <a:ln w="12700" cap="rnd" cmpd="sng" algn="ctr">
              <a:solidFill>
                <a:srgbClr val="FFFF00"/>
              </a:solidFill>
              <a:prstDash val="solid"/>
              <a:round/>
            </a:ln>
          </c:spPr>
          <c:marker>
            <c:symbol val="triangle"/>
            <c:size val="5"/>
            <c:spPr>
              <a:solidFill>
                <a:srgbClr val="FFFF00"/>
              </a:solidFill>
              <a:ln w="9525" cap="flat" cmpd="sng" algn="ctr">
                <a:solidFill>
                  <a:srgbClr val="FFFF00"/>
                </a:solidFill>
                <a:prstDash val="solid"/>
                <a:round/>
              </a:ln>
            </c:spPr>
          </c:marker>
          <c:dLbls>
            <c:delete val="1"/>
          </c:dLbls>
          <c:val>
            <c:numRef>
              <c:f>图形!$B$169:$Y$169</c:f>
              <c:numCache>
                <c:formatCode>General</c:formatCode>
                <c:ptCount val="24"/>
                <c:pt idx="0">
                  <c:v>2.17000007629395</c:v>
                </c:pt>
                <c:pt idx="1">
                  <c:v>2.24000000953674</c:v>
                </c:pt>
                <c:pt idx="2">
                  <c:v>2.08999991416931</c:v>
                </c:pt>
                <c:pt idx="3">
                  <c:v>2.03999996185303</c:v>
                </c:pt>
                <c:pt idx="4">
                  <c:v>2</c:v>
                </c:pt>
                <c:pt idx="5">
                  <c:v>2.04999995231628</c:v>
                </c:pt>
                <c:pt idx="6">
                  <c:v>2.08999991416931</c:v>
                </c:pt>
                <c:pt idx="7">
                  <c:v>2.14000010490417</c:v>
                </c:pt>
                <c:pt idx="8">
                  <c:v>2.11999988555908</c:v>
                </c:pt>
                <c:pt idx="9">
                  <c:v>1.8400000333786</c:v>
                </c:pt>
                <c:pt idx="10">
                  <c:v>2.05999994277954</c:v>
                </c:pt>
                <c:pt idx="11">
                  <c:v>2.14000010490417</c:v>
                </c:pt>
                <c:pt idx="12">
                  <c:v>2.22000002861023</c:v>
                </c:pt>
                <c:pt idx="13">
                  <c:v>2.42000007629395</c:v>
                </c:pt>
                <c:pt idx="14">
                  <c:v>2.67000007629395</c:v>
                </c:pt>
                <c:pt idx="15">
                  <c:v>3.04999995231628</c:v>
                </c:pt>
                <c:pt idx="16">
                  <c:v>3.15000009536743</c:v>
                </c:pt>
                <c:pt idx="17">
                  <c:v>2.77999997138977</c:v>
                </c:pt>
                <c:pt idx="18">
                  <c:v>2.15000009536743</c:v>
                </c:pt>
                <c:pt idx="19">
                  <c:v>1.85000002384186</c:v>
                </c:pt>
                <c:pt idx="20">
                  <c:v>2.03999996185303</c:v>
                </c:pt>
                <c:pt idx="21">
                  <c:v>2.08999991416931</c:v>
                </c:pt>
                <c:pt idx="22">
                  <c:v>2.09999990463257</c:v>
                </c:pt>
                <c:pt idx="23">
                  <c:v>2.11999988555908</c:v>
                </c:pt>
              </c:numCache>
            </c:numRef>
          </c:val>
          <c:smooth val="0"/>
        </c:ser>
        <c:ser>
          <c:idx val="3"/>
          <c:order val="3"/>
          <c:tx>
            <c:strRef>
              <c:f>图形!$A$170</c:f>
              <c:strCache>
                <c:ptCount val="1"/>
                <c:pt idx="0">
                  <c:v>冬季                </c:v>
                </c:pt>
              </c:strCache>
            </c:strRef>
          </c:tx>
          <c:spPr>
            <a:ln w="12700" cap="rnd" cmpd="sng" algn="ctr">
              <a:solidFill>
                <a:srgbClr val="00FFFF"/>
              </a:solidFill>
              <a:prstDash val="solid"/>
              <a:round/>
            </a:ln>
          </c:spPr>
          <c:marker>
            <c:symbol val="x"/>
            <c:size val="5"/>
            <c:spPr>
              <a:noFill/>
              <a:ln w="9525" cap="flat" cmpd="sng" algn="ctr">
                <a:solidFill>
                  <a:srgbClr val="00FFFF"/>
                </a:solidFill>
                <a:prstDash val="solid"/>
                <a:round/>
              </a:ln>
            </c:spPr>
          </c:marker>
          <c:dLbls>
            <c:delete val="1"/>
          </c:dLbls>
          <c:val>
            <c:numRef>
              <c:f>图形!$B$170:$Y$170</c:f>
              <c:numCache>
                <c:formatCode>General</c:formatCode>
                <c:ptCount val="24"/>
                <c:pt idx="0">
                  <c:v>1.94000005722046</c:v>
                </c:pt>
                <c:pt idx="1">
                  <c:v>1.82000005245209</c:v>
                </c:pt>
                <c:pt idx="2">
                  <c:v>1.67999994754791</c:v>
                </c:pt>
                <c:pt idx="3">
                  <c:v>1.63999998569488</c:v>
                </c:pt>
                <c:pt idx="4">
                  <c:v>1.64999997615814</c:v>
                </c:pt>
                <c:pt idx="5">
                  <c:v>1.60000002384186</c:v>
                </c:pt>
                <c:pt idx="6">
                  <c:v>1.62000000476837</c:v>
                </c:pt>
                <c:pt idx="7">
                  <c:v>1.57000005245209</c:v>
                </c:pt>
                <c:pt idx="8">
                  <c:v>1.52999997138977</c:v>
                </c:pt>
                <c:pt idx="9">
                  <c:v>1.58000004291534</c:v>
                </c:pt>
                <c:pt idx="10">
                  <c:v>1.52999997138977</c:v>
                </c:pt>
                <c:pt idx="11">
                  <c:v>1.72000002861023</c:v>
                </c:pt>
                <c:pt idx="12">
                  <c:v>1.8400000333786</c:v>
                </c:pt>
                <c:pt idx="13">
                  <c:v>2.02999997138977</c:v>
                </c:pt>
                <c:pt idx="14">
                  <c:v>2.38000011444092</c:v>
                </c:pt>
                <c:pt idx="15">
                  <c:v>2.75999999046326</c:v>
                </c:pt>
                <c:pt idx="16">
                  <c:v>2.75</c:v>
                </c:pt>
                <c:pt idx="17">
                  <c:v>2.5</c:v>
                </c:pt>
                <c:pt idx="18">
                  <c:v>2.09999990463257</c:v>
                </c:pt>
                <c:pt idx="19">
                  <c:v>1.94000005722046</c:v>
                </c:pt>
                <c:pt idx="20">
                  <c:v>1.96000003814697</c:v>
                </c:pt>
                <c:pt idx="21">
                  <c:v>2.01999998092651</c:v>
                </c:pt>
                <c:pt idx="22">
                  <c:v>2.02999997138977</c:v>
                </c:pt>
                <c:pt idx="23">
                  <c:v>2.02999997138977</c:v>
                </c:pt>
              </c:numCache>
            </c:numRef>
          </c:val>
          <c:smooth val="0"/>
        </c:ser>
        <c:dLbls>
          <c:showLegendKey val="0"/>
          <c:showVal val="0"/>
          <c:showCatName val="0"/>
          <c:showSerName val="0"/>
          <c:showPercent val="0"/>
          <c:showBubbleSize val="0"/>
        </c:dLbls>
        <c:marker val="1"/>
        <c:smooth val="0"/>
        <c:axId val="357105664"/>
        <c:axId val="357107584"/>
      </c:lineChart>
      <c:catAx>
        <c:axId val="357105664"/>
        <c:scaling>
          <c:orientation val="minMax"/>
        </c:scaling>
        <c:delete val="0"/>
        <c:axPos val="b"/>
        <c:numFmt formatCode="General" sourceLinked="1"/>
        <c:majorTickMark val="in"/>
        <c:minorTickMark val="none"/>
        <c:tickLblPos val="nextTo"/>
        <c:spPr>
          <a:ln w="3175" cap="flat" cmpd="sng" algn="ctr">
            <a:solidFill>
              <a:srgbClr val="000000"/>
            </a:solidFill>
            <a:prstDash val="solid"/>
            <a:round/>
          </a:ln>
        </c:spPr>
        <c:txPr>
          <a:bodyPr rot="0" spcFirstLastPara="0" vertOverflow="ellipsis" vert="horz" wrap="square" anchor="ctr" anchorCtr="1"/>
          <a:lstStyle/>
          <a:p>
            <a:pPr>
              <a:defRPr lang="zh-CN" sz="1200" b="0" i="0" u="none" strike="noStrike" kern="1200" baseline="0">
                <a:solidFill>
                  <a:srgbClr val="000000"/>
                </a:solidFill>
                <a:latin typeface="宋体" panose="02010600030101010101" charset="-122"/>
                <a:ea typeface="宋体" panose="02010600030101010101" charset="-122"/>
                <a:cs typeface="宋体" panose="02010600030101010101" charset="-122"/>
              </a:defRPr>
            </a:pPr>
          </a:p>
        </c:txPr>
        <c:crossAx val="357107584"/>
        <c:crosses val="autoZero"/>
        <c:auto val="1"/>
        <c:lblAlgn val="ctr"/>
        <c:lblOffset val="100"/>
        <c:tickLblSkip val="1"/>
        <c:noMultiLvlLbl val="0"/>
      </c:catAx>
      <c:valAx>
        <c:axId val="357107584"/>
        <c:scaling>
          <c:orientation val="minMax"/>
        </c:scaling>
        <c:delete val="0"/>
        <c:axPos val="l"/>
        <c:majorGridlines>
          <c:spPr>
            <a:ln w="3175" cap="flat" cmpd="sng" algn="ctr">
              <a:solidFill>
                <a:srgbClr val="000000"/>
              </a:solidFill>
              <a:prstDash val="solid"/>
              <a:round/>
            </a:ln>
          </c:spPr>
        </c:majorGridlines>
        <c:title>
          <c:tx>
            <c:rich>
              <a:bodyPr rot="-5400000" spcFirstLastPara="0" vertOverflow="ellipsis" vert="horz" wrap="square" anchor="ctr" anchorCtr="1"/>
              <a:lstStyle/>
              <a:p>
                <a:pPr>
                  <a:defRPr lang="zh-CN" sz="1200" b="0" i="0" u="none" strike="noStrike" kern="1200" baseline="0">
                    <a:solidFill>
                      <a:srgbClr val="000000"/>
                    </a:solidFill>
                    <a:latin typeface="宋体" panose="02010600030101010101" charset="-122"/>
                    <a:ea typeface="宋体" panose="02010600030101010101" charset="-122"/>
                    <a:cs typeface="宋体" panose="02010600030101010101" charset="-122"/>
                  </a:defRPr>
                </a:pPr>
                <a:r>
                  <a:rPr lang="zh-CN" altLang="en-US"/>
                  <a:t>风速</a:t>
                </a:r>
                <a:r>
                  <a:rPr lang="en-US" altLang="zh-CN"/>
                  <a:t>(</a:t>
                </a:r>
                <a:r>
                  <a:rPr lang="en-US" altLang="en-US"/>
                  <a:t>m/s)</a:t>
                </a:r>
                <a:endParaRPr lang="en-US" altLang="en-US"/>
              </a:p>
            </c:rich>
          </c:tx>
          <c:layout>
            <c:manualLayout>
              <c:xMode val="edge"/>
              <c:yMode val="edge"/>
              <c:x val="0.00759995116889459"/>
              <c:y val="0.347403847246367"/>
            </c:manualLayout>
          </c:layout>
          <c:overlay val="0"/>
          <c:spPr>
            <a:noFill/>
            <a:ln w="25400">
              <a:noFill/>
            </a:ln>
          </c:spPr>
        </c:title>
        <c:numFmt formatCode="0.0_ " sourceLinked="0"/>
        <c:majorTickMark val="in"/>
        <c:minorTickMark val="none"/>
        <c:tickLblPos val="nextTo"/>
        <c:spPr>
          <a:ln w="3175" cap="flat" cmpd="sng" algn="ctr">
            <a:solidFill>
              <a:srgbClr val="000000"/>
            </a:solidFill>
            <a:prstDash val="solid"/>
            <a:round/>
          </a:ln>
        </c:spPr>
        <c:txPr>
          <a:bodyPr rot="0" spcFirstLastPara="0" vertOverflow="ellipsis" vert="horz" wrap="square" anchor="ctr" anchorCtr="1"/>
          <a:lstStyle/>
          <a:p>
            <a:pPr>
              <a:defRPr lang="zh-CN" sz="1000" b="0" i="0" u="none" strike="noStrike" kern="1200" baseline="0">
                <a:solidFill>
                  <a:srgbClr val="000000"/>
                </a:solidFill>
                <a:latin typeface="宋体" panose="02010600030101010101" charset="-122"/>
                <a:ea typeface="宋体" panose="02010600030101010101" charset="-122"/>
                <a:cs typeface="宋体" panose="02010600030101010101" charset="-122"/>
              </a:defRPr>
            </a:pPr>
          </a:p>
        </c:txPr>
        <c:crossAx val="357105664"/>
        <c:crosses val="autoZero"/>
        <c:crossBetween val="between"/>
      </c:valAx>
      <c:spPr>
        <a:solidFill>
          <a:srgbClr val="C0C0C0"/>
        </a:solidFill>
        <a:ln w="12700">
          <a:solidFill>
            <a:srgbClr val="808080"/>
          </a:solidFill>
          <a:prstDash val="solid"/>
        </a:ln>
      </c:spPr>
    </c:plotArea>
    <c:legend>
      <c:legendPos val="r"/>
      <c:layout>
        <c:manualLayout>
          <c:xMode val="edge"/>
          <c:yMode val="edge"/>
          <c:x val="0.856361149110807"/>
          <c:y val="0.19672131147541"/>
          <c:w val="0.125854993160055"/>
          <c:h val="0.511475409836065"/>
        </c:manualLayout>
      </c:layout>
      <c:overlay val="0"/>
      <c:spPr>
        <a:solidFill>
          <a:srgbClr val="FFFFFF"/>
        </a:solidFill>
        <a:ln w="3175">
          <a:solidFill>
            <a:srgbClr val="000000"/>
          </a:solidFill>
          <a:prstDash val="solid"/>
        </a:ln>
      </c:spPr>
      <c:txPr>
        <a:bodyPr rot="0" spcFirstLastPara="0" vertOverflow="ellipsis" vert="horz" wrap="square" anchor="ctr" anchorCtr="1"/>
        <a:lstStyle/>
        <a:p>
          <a:pPr>
            <a:defRPr lang="zh-CN" sz="1100" b="0" i="0" u="none" strike="noStrike" kern="1200" baseline="0">
              <a:solidFill>
                <a:srgbClr val="000000"/>
              </a:solidFill>
              <a:latin typeface="宋体" panose="02010600030101010101" charset="-122"/>
              <a:ea typeface="宋体" panose="02010600030101010101" charset="-122"/>
              <a:cs typeface="宋体" panose="02010600030101010101" charset="-122"/>
            </a:defRPr>
          </a:pPr>
        </a:p>
      </c:txPr>
    </c:legend>
    <c:plotVisOnly val="1"/>
    <c:dispBlanksAs val="gap"/>
    <c:showDLblsOverMax val="0"/>
    <c:extLst>
      <c:ext uri="{0b15fc19-7d7d-44ad-8c2d-2c3a37ce22c3}">
        <chartProps xmlns="https://web.wps.cn/et/2018/main" chartId="{a7ffc27a-18a1-48f2-8624-9447f8763f95}"/>
      </c:ext>
    </c:extLst>
  </c:chart>
  <c:spPr>
    <a:solidFill>
      <a:srgbClr val="FFFFFF"/>
    </a:solidFill>
    <a:ln w="3175" cap="flat" cmpd="sng" algn="ctr">
      <a:solidFill>
        <a:srgbClr val="000000"/>
      </a:solidFill>
      <a:prstDash val="solid"/>
      <a:round/>
    </a:ln>
  </c:spPr>
  <c:txPr>
    <a:bodyPr/>
    <a:lstStyle/>
    <a:p>
      <a:pPr>
        <a:defRPr lang="zh-CN" sz="1200" b="0" i="0" u="none" strike="noStrike" baseline="0">
          <a:solidFill>
            <a:srgbClr val="000000"/>
          </a:solidFill>
          <a:latin typeface="宋体" panose="02010600030101010101" charset="-122"/>
          <a:ea typeface="宋体" panose="02010600030101010101" charset="-122"/>
          <a:cs typeface="宋体" panose="02010600030101010101" charset="-122"/>
        </a:defRPr>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9344448194758"/>
          <c:y val="0.213523131672598"/>
          <c:w val="0.800547516099295"/>
          <c:h val="0.619217081850534"/>
        </c:manualLayout>
      </c:layout>
      <c:lineChart>
        <c:grouping val="standard"/>
        <c:varyColors val="0"/>
        <c:ser>
          <c:idx val="0"/>
          <c:order val="0"/>
          <c:tx>
            <c:strRef>
              <c:f>数据!$A$3</c:f>
              <c:strCache>
                <c:ptCount val="1"/>
                <c:pt idx="0">
                  <c:v>  温度(℃)  </c:v>
                </c:pt>
              </c:strCache>
            </c:strRef>
          </c:tx>
          <c:spPr>
            <a:ln w="12700" cap="rnd" cmpd="sng" algn="ctr">
              <a:solidFill>
                <a:srgbClr val="000080"/>
              </a:solidFill>
              <a:prstDash val="solid"/>
              <a:round/>
            </a:ln>
          </c:spPr>
          <c:marker>
            <c:symbol val="diamond"/>
            <c:size val="5"/>
            <c:spPr>
              <a:solidFill>
                <a:srgbClr val="000080"/>
              </a:solidFill>
              <a:ln w="9525" cap="flat" cmpd="sng" algn="ctr">
                <a:solidFill>
                  <a:srgbClr val="000080"/>
                </a:solidFill>
                <a:prstDash val="solid"/>
                <a:round/>
              </a:ln>
            </c:spPr>
          </c:marker>
          <c:dLbls>
            <c:delete val="1"/>
          </c:dLbls>
          <c:cat>
            <c:strRef>
              <c:f>数据!$B$2:$M$2</c:f>
              <c:strCache>
                <c:ptCount val="12"/>
                <c:pt idx="0">
                  <c:v>1月</c:v>
                </c:pt>
                <c:pt idx="1">
                  <c:v>2月</c:v>
                </c:pt>
                <c:pt idx="2">
                  <c:v>3月</c:v>
                </c:pt>
                <c:pt idx="3">
                  <c:v>4月</c:v>
                </c:pt>
                <c:pt idx="4">
                  <c:v>5月</c:v>
                </c:pt>
                <c:pt idx="5">
                  <c:v>6月</c:v>
                </c:pt>
                <c:pt idx="6">
                  <c:v>7月</c:v>
                </c:pt>
                <c:pt idx="7">
                  <c:v>8月</c:v>
                </c:pt>
                <c:pt idx="8">
                  <c:v>9月</c:v>
                </c:pt>
                <c:pt idx="9">
                  <c:v>10月</c:v>
                </c:pt>
                <c:pt idx="10">
                  <c:v>11月</c:v>
                </c:pt>
                <c:pt idx="11">
                  <c:v>12月</c:v>
                </c:pt>
              </c:strCache>
            </c:strRef>
          </c:cat>
          <c:val>
            <c:numRef>
              <c:f>数据!$B$3:$M$3</c:f>
              <c:numCache>
                <c:formatCode>0.00_ </c:formatCode>
                <c:ptCount val="12"/>
                <c:pt idx="0">
                  <c:v>-6.73999977111817</c:v>
                </c:pt>
                <c:pt idx="1">
                  <c:v>-0.25</c:v>
                </c:pt>
                <c:pt idx="2">
                  <c:v>8.09000015258789</c:v>
                </c:pt>
                <c:pt idx="3">
                  <c:v>18.2000007629395</c:v>
                </c:pt>
                <c:pt idx="4">
                  <c:v>23.1800003051758</c:v>
                </c:pt>
                <c:pt idx="5">
                  <c:v>23.6100006103516</c:v>
                </c:pt>
                <c:pt idx="6">
                  <c:v>24.5100002288818</c:v>
                </c:pt>
                <c:pt idx="7">
                  <c:v>24.1499996185303</c:v>
                </c:pt>
                <c:pt idx="8">
                  <c:v>19.6499996185303</c:v>
                </c:pt>
                <c:pt idx="9">
                  <c:v>9.55000019073486</c:v>
                </c:pt>
                <c:pt idx="10">
                  <c:v>0.589999973773956</c:v>
                </c:pt>
                <c:pt idx="11">
                  <c:v>-6.76000022888184</c:v>
                </c:pt>
              </c:numCache>
            </c:numRef>
          </c:val>
          <c:smooth val="0"/>
        </c:ser>
        <c:dLbls>
          <c:showLegendKey val="0"/>
          <c:showVal val="0"/>
          <c:showCatName val="0"/>
          <c:showSerName val="0"/>
          <c:showPercent val="0"/>
          <c:showBubbleSize val="0"/>
        </c:dLbls>
        <c:marker val="1"/>
        <c:smooth val="0"/>
        <c:axId val="385597824"/>
        <c:axId val="385599744"/>
      </c:lineChart>
      <c:catAx>
        <c:axId val="385597824"/>
        <c:scaling>
          <c:orientation val="minMax"/>
        </c:scaling>
        <c:delete val="0"/>
        <c:axPos val="b"/>
        <c:numFmt formatCode="General" sourceLinked="1"/>
        <c:majorTickMark val="in"/>
        <c:minorTickMark val="none"/>
        <c:tickLblPos val="nextTo"/>
        <c:spPr>
          <a:ln w="3175" cap="flat" cmpd="sng" algn="ctr">
            <a:solidFill>
              <a:srgbClr val="000000"/>
            </a:solidFill>
            <a:prstDash val="solid"/>
            <a:round/>
          </a:ln>
        </c:spPr>
        <c:txPr>
          <a:bodyPr rot="0" spcFirstLastPara="0" vertOverflow="ellipsis" vert="horz" wrap="square" anchor="ctr" anchorCtr="1"/>
          <a:lstStyle/>
          <a:p>
            <a:pPr>
              <a:defRPr lang="zh-CN" sz="1200" b="0" i="0" u="none" strike="noStrike" kern="1200" baseline="0">
                <a:solidFill>
                  <a:srgbClr val="000000"/>
                </a:solidFill>
                <a:latin typeface="宋体" panose="02010600030101010101" charset="-122"/>
                <a:ea typeface="宋体" panose="02010600030101010101" charset="-122"/>
                <a:cs typeface="宋体" panose="02010600030101010101" charset="-122"/>
              </a:defRPr>
            </a:pPr>
          </a:p>
        </c:txPr>
        <c:crossAx val="385599744"/>
        <c:crosses val="autoZero"/>
        <c:auto val="1"/>
        <c:lblAlgn val="ctr"/>
        <c:lblOffset val="100"/>
        <c:tickLblSkip val="1"/>
        <c:noMultiLvlLbl val="0"/>
      </c:catAx>
      <c:valAx>
        <c:axId val="385599744"/>
        <c:scaling>
          <c:orientation val="minMax"/>
        </c:scaling>
        <c:delete val="0"/>
        <c:axPos val="l"/>
        <c:majorGridlines>
          <c:spPr>
            <a:ln w="3175" cap="flat" cmpd="sng" algn="ctr">
              <a:solidFill>
                <a:srgbClr val="000000"/>
              </a:solidFill>
              <a:prstDash val="solid"/>
              <a:round/>
            </a:ln>
          </c:spPr>
        </c:majorGridlines>
        <c:title>
          <c:tx>
            <c:rich>
              <a:bodyPr rot="-5400000" spcFirstLastPara="0" vertOverflow="ellipsis" vert="horz" wrap="square" anchor="ctr" anchorCtr="1"/>
              <a:lstStyle/>
              <a:p>
                <a:pPr>
                  <a:defRPr lang="zh-CN" sz="1200" b="0" i="0" u="none" strike="noStrike" kern="1200" baseline="0">
                    <a:solidFill>
                      <a:srgbClr val="000000"/>
                    </a:solidFill>
                    <a:latin typeface="宋体" panose="02010600030101010101" charset="-122"/>
                    <a:ea typeface="宋体" panose="02010600030101010101" charset="-122"/>
                    <a:cs typeface="宋体" panose="02010600030101010101" charset="-122"/>
                  </a:defRPr>
                </a:pPr>
                <a:r>
                  <a:rPr lang="zh-CN" altLang="en-US"/>
                  <a:t>温度</a:t>
                </a:r>
                <a:r>
                  <a:rPr lang="en-US" altLang="zh-CN"/>
                  <a:t>(℃) </a:t>
                </a:r>
                <a:endParaRPr lang="en-US" altLang="zh-CN"/>
              </a:p>
            </c:rich>
          </c:tx>
          <c:layout>
            <c:manualLayout>
              <c:xMode val="edge"/>
              <c:yMode val="edge"/>
              <c:x val="0.00358054521163195"/>
              <c:y val="0.329702921388278"/>
            </c:manualLayout>
          </c:layout>
          <c:overlay val="0"/>
          <c:spPr>
            <a:noFill/>
            <a:ln w="25400">
              <a:noFill/>
            </a:ln>
          </c:spPr>
        </c:title>
        <c:numFmt formatCode="0.0_ " sourceLinked="0"/>
        <c:majorTickMark val="in"/>
        <c:minorTickMark val="none"/>
        <c:tickLblPos val="nextTo"/>
        <c:spPr>
          <a:ln w="3175" cap="flat" cmpd="sng" algn="ctr">
            <a:solidFill>
              <a:srgbClr val="000000"/>
            </a:solidFill>
            <a:prstDash val="solid"/>
            <a:round/>
          </a:ln>
        </c:spPr>
        <c:txPr>
          <a:bodyPr rot="0" spcFirstLastPara="0" vertOverflow="ellipsis" vert="horz" wrap="square" anchor="ctr" anchorCtr="1"/>
          <a:lstStyle/>
          <a:p>
            <a:pPr>
              <a:defRPr lang="zh-CN" sz="1000" b="0" i="0" u="none" strike="noStrike" kern="1200" baseline="0">
                <a:solidFill>
                  <a:srgbClr val="000000"/>
                </a:solidFill>
                <a:latin typeface="宋体" panose="02010600030101010101" charset="-122"/>
                <a:ea typeface="宋体" panose="02010600030101010101" charset="-122"/>
                <a:cs typeface="宋体" panose="02010600030101010101" charset="-122"/>
              </a:defRPr>
            </a:pPr>
          </a:p>
        </c:txPr>
        <c:crossAx val="385597824"/>
        <c:crosses val="autoZero"/>
        <c:crossBetween val="between"/>
      </c:valAx>
      <c:spPr>
        <a:solidFill>
          <a:srgbClr val="C0C0C0"/>
        </a:solidFill>
        <a:ln w="12700">
          <a:solidFill>
            <a:srgbClr val="808080"/>
          </a:solidFill>
          <a:prstDash val="solid"/>
        </a:ln>
      </c:spPr>
    </c:plotArea>
    <c:plotVisOnly val="1"/>
    <c:dispBlanksAs val="gap"/>
    <c:showDLblsOverMax val="0"/>
    <c:extLst>
      <c:ext uri="{0b15fc19-7d7d-44ad-8c2d-2c3a37ce22c3}">
        <chartProps xmlns="https://web.wps.cn/et/2018/main" chartId="{32f457d0-2da0-459a-8a4e-a0b51014a137}"/>
      </c:ext>
    </c:extLst>
  </c:chart>
  <c:spPr>
    <a:solidFill>
      <a:srgbClr val="FFFFFF"/>
    </a:solidFill>
    <a:ln w="3175" cap="flat" cmpd="sng" algn="ctr">
      <a:solidFill>
        <a:srgbClr val="000000"/>
      </a:solidFill>
      <a:prstDash val="solid"/>
      <a:round/>
    </a:ln>
  </c:spPr>
  <c:txPr>
    <a:bodyPr/>
    <a:lstStyle/>
    <a:p>
      <a:pPr>
        <a:defRPr lang="zh-CN" sz="1200" b="0" i="0" u="none" strike="noStrike" baseline="0">
          <a:solidFill>
            <a:srgbClr val="000000"/>
          </a:solidFill>
          <a:latin typeface="宋体" panose="02010600030101010101" charset="-122"/>
          <a:ea typeface="宋体" panose="02010600030101010101" charset="-122"/>
          <a:cs typeface="宋体" panose="02010600030101010101" charset="-122"/>
        </a:defRPr>
      </a:pPr>
    </a:p>
  </c:txPr>
  <c:externalData r:id="rId1">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rgbClr val="FFFFFF"/>
      </a:solidFill>
      <a:gradFill rotWithShape="1">
        <a:gsLst>
          <a:gs pos="0">
            <a:srgbClr val="FFFFFF">
              <a:tint val="50000"/>
              <a:satMod val="300000"/>
            </a:srgbClr>
          </a:gs>
          <a:gs pos="35000">
            <a:srgbClr val="FFFFFF">
              <a:tint val="37000"/>
              <a:satMod val="300000"/>
            </a:srgbClr>
          </a:gs>
          <a:gs pos="100000">
            <a:srgbClr val="FFFFFF">
              <a:tint val="15000"/>
              <a:satMod val="350000"/>
            </a:srgbClr>
          </a:gs>
        </a:gsLst>
        <a:lin ang="16200000" scaled="1"/>
      </a:gradFill>
      <a:gradFill rotWithShape="1">
        <a:gsLst>
          <a:gs pos="0">
            <a:srgbClr val="BDBDBD">
              <a:shade val="51000"/>
              <a:satMod val="130000"/>
            </a:srgbClr>
          </a:gs>
          <a:gs pos="80000">
            <a:srgbClr val="F7F7F7">
              <a:shade val="93000"/>
              <a:satMod val="130000"/>
            </a:srgbClr>
          </a:gs>
          <a:gs pos="100000">
            <a:srgbClr val="F8F8F8">
              <a:shade val="94000"/>
              <a:satMod val="135000"/>
            </a:srgbClr>
          </a:gs>
        </a:gsLst>
        <a:lin ang="16200000" scaled="0"/>
      </a:gradFill>
    </a:fillStyleLst>
    <a:lnStyleLst>
      <a:ln w="9525" cap="flat" cmpd="sng" algn="ctr">
        <a:solidFill>
          <a:srgbClr val="F9F9F9">
            <a:shade val="95000"/>
            <a:satMod val="105000"/>
          </a:srgbClr>
        </a:solidFill>
        <a:prstDash val="solid"/>
      </a:ln>
      <a:ln w="25400" cap="flat" cmpd="sng" algn="ctr">
        <a:solidFill>
          <a:srgbClr val="FFFFFF"/>
        </a:solidFill>
        <a:prstDash val="solid"/>
      </a:ln>
      <a:ln w="38100" cap="flat" cmpd="sng" algn="ctr">
        <a:solidFill>
          <a:srgbClr val="FFFFFF"/>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rgbClr val="FFFFFF"/>
      </a:solidFill>
      <a:gradFill rotWithShape="1">
        <a:gsLst>
          <a:gs pos="0">
            <a:srgbClr val="FFFFFF">
              <a:tint val="40000"/>
              <a:satMod val="350000"/>
            </a:srgbClr>
          </a:gs>
          <a:gs pos="40000">
            <a:srgbClr val="FEFEFE">
              <a:tint val="45000"/>
              <a:shade val="99000"/>
              <a:satMod val="350000"/>
            </a:srgbClr>
          </a:gs>
          <a:gs pos="100000">
            <a:srgbClr val="7C7C7C">
              <a:shade val="20000"/>
              <a:satMod val="255000"/>
            </a:srgbClr>
          </a:gs>
        </a:gsLst>
        <a:path path="circle">
          <a:fillToRect l="50000" t="-80000" r="50000" b="180000"/>
        </a:path>
      </a:gradFill>
      <a:gradFill rotWithShape="1">
        <a:gsLst>
          <a:gs pos="0">
            <a:srgbClr val="FFFFFF">
              <a:tint val="80000"/>
              <a:satMod val="300000"/>
            </a:srgbClr>
          </a:gs>
          <a:gs pos="100000">
            <a:srgbClr val="959595">
              <a:shade val="30000"/>
              <a:satMod val="200000"/>
            </a:srgb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rgbClr val="FFFFFF"/>
      </a:solidFill>
      <a:gradFill rotWithShape="1">
        <a:gsLst>
          <a:gs pos="0">
            <a:srgbClr val="FFFFFF">
              <a:tint val="50000"/>
              <a:satMod val="300000"/>
            </a:srgbClr>
          </a:gs>
          <a:gs pos="35000">
            <a:srgbClr val="FFFFFF">
              <a:tint val="37000"/>
              <a:satMod val="300000"/>
            </a:srgbClr>
          </a:gs>
          <a:gs pos="100000">
            <a:srgbClr val="FFFFFF">
              <a:tint val="15000"/>
              <a:satMod val="350000"/>
            </a:srgbClr>
          </a:gs>
        </a:gsLst>
        <a:lin ang="16200000" scaled="1"/>
      </a:gradFill>
      <a:gradFill rotWithShape="1">
        <a:gsLst>
          <a:gs pos="0">
            <a:srgbClr val="BDBDBD">
              <a:shade val="51000"/>
              <a:satMod val="130000"/>
            </a:srgbClr>
          </a:gs>
          <a:gs pos="80000">
            <a:srgbClr val="F7F7F7">
              <a:shade val="93000"/>
              <a:satMod val="130000"/>
            </a:srgbClr>
          </a:gs>
          <a:gs pos="100000">
            <a:srgbClr val="F8F8F8">
              <a:shade val="94000"/>
              <a:satMod val="135000"/>
            </a:srgbClr>
          </a:gs>
        </a:gsLst>
        <a:lin ang="16200000" scaled="0"/>
      </a:gradFill>
    </a:fillStyleLst>
    <a:lnStyleLst>
      <a:ln w="9525" cap="flat" cmpd="sng" algn="ctr">
        <a:solidFill>
          <a:srgbClr val="F9F9F9">
            <a:shade val="95000"/>
            <a:satMod val="105000"/>
          </a:srgbClr>
        </a:solidFill>
        <a:prstDash val="solid"/>
      </a:ln>
      <a:ln w="25400" cap="flat" cmpd="sng" algn="ctr">
        <a:solidFill>
          <a:srgbClr val="FFFFFF"/>
        </a:solidFill>
        <a:prstDash val="solid"/>
      </a:ln>
      <a:ln w="38100" cap="flat" cmpd="sng" algn="ctr">
        <a:solidFill>
          <a:srgbClr val="FFFFFF"/>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rgbClr val="FFFFFF"/>
      </a:solidFill>
      <a:gradFill rotWithShape="1">
        <a:gsLst>
          <a:gs pos="0">
            <a:srgbClr val="FFFFFF">
              <a:tint val="40000"/>
              <a:satMod val="350000"/>
            </a:srgbClr>
          </a:gs>
          <a:gs pos="40000">
            <a:srgbClr val="FEFEFE">
              <a:tint val="45000"/>
              <a:shade val="99000"/>
              <a:satMod val="350000"/>
            </a:srgbClr>
          </a:gs>
          <a:gs pos="100000">
            <a:srgbClr val="7C7C7C">
              <a:shade val="20000"/>
              <a:satMod val="255000"/>
            </a:srgbClr>
          </a:gs>
        </a:gsLst>
        <a:path path="circle">
          <a:fillToRect l="50000" t="-80000" r="50000" b="180000"/>
        </a:path>
      </a:gradFill>
      <a:gradFill rotWithShape="1">
        <a:gsLst>
          <a:gs pos="0">
            <a:srgbClr val="FFFFFF">
              <a:tint val="80000"/>
              <a:satMod val="300000"/>
            </a:srgbClr>
          </a:gs>
          <a:gs pos="100000">
            <a:srgbClr val="959595">
              <a:shade val="30000"/>
              <a:satMod val="200000"/>
            </a:srgb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rgbClr val="FFFFFF"/>
      </a:solidFill>
      <a:gradFill rotWithShape="1">
        <a:gsLst>
          <a:gs pos="0">
            <a:srgbClr val="FFFFFF">
              <a:tint val="50000"/>
              <a:satMod val="300000"/>
            </a:srgbClr>
          </a:gs>
          <a:gs pos="35000">
            <a:srgbClr val="FFFFFF">
              <a:tint val="37000"/>
              <a:satMod val="300000"/>
            </a:srgbClr>
          </a:gs>
          <a:gs pos="100000">
            <a:srgbClr val="FFFFFF">
              <a:tint val="15000"/>
              <a:satMod val="350000"/>
            </a:srgbClr>
          </a:gs>
        </a:gsLst>
        <a:lin ang="16200000" scaled="1"/>
      </a:gradFill>
      <a:gradFill rotWithShape="1">
        <a:gsLst>
          <a:gs pos="0">
            <a:srgbClr val="BDBDBD">
              <a:shade val="51000"/>
              <a:satMod val="130000"/>
            </a:srgbClr>
          </a:gs>
          <a:gs pos="80000">
            <a:srgbClr val="F7F7F7">
              <a:shade val="93000"/>
              <a:satMod val="130000"/>
            </a:srgbClr>
          </a:gs>
          <a:gs pos="100000">
            <a:srgbClr val="F8F8F8">
              <a:shade val="94000"/>
              <a:satMod val="135000"/>
            </a:srgbClr>
          </a:gs>
        </a:gsLst>
        <a:lin ang="16200000" scaled="0"/>
      </a:gradFill>
    </a:fillStyleLst>
    <a:lnStyleLst>
      <a:ln w="9525" cap="flat" cmpd="sng" algn="ctr">
        <a:solidFill>
          <a:srgbClr val="F9F9F9">
            <a:shade val="95000"/>
            <a:satMod val="105000"/>
          </a:srgbClr>
        </a:solidFill>
        <a:prstDash val="solid"/>
      </a:ln>
      <a:ln w="25400" cap="flat" cmpd="sng" algn="ctr">
        <a:solidFill>
          <a:srgbClr val="FFFFFF"/>
        </a:solidFill>
        <a:prstDash val="solid"/>
      </a:ln>
      <a:ln w="38100" cap="flat" cmpd="sng" algn="ctr">
        <a:solidFill>
          <a:srgbClr val="FFFFFF"/>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rgbClr val="FFFFFF"/>
      </a:solidFill>
      <a:gradFill rotWithShape="1">
        <a:gsLst>
          <a:gs pos="0">
            <a:srgbClr val="FFFFFF">
              <a:tint val="40000"/>
              <a:satMod val="350000"/>
            </a:srgbClr>
          </a:gs>
          <a:gs pos="40000">
            <a:srgbClr val="FEFEFE">
              <a:tint val="45000"/>
              <a:shade val="99000"/>
              <a:satMod val="350000"/>
            </a:srgbClr>
          </a:gs>
          <a:gs pos="100000">
            <a:srgbClr val="7C7C7C">
              <a:shade val="20000"/>
              <a:satMod val="255000"/>
            </a:srgbClr>
          </a:gs>
        </a:gsLst>
        <a:path path="circle">
          <a:fillToRect l="50000" t="-80000" r="50000" b="180000"/>
        </a:path>
      </a:gradFill>
      <a:gradFill rotWithShape="1">
        <a:gsLst>
          <a:gs pos="0">
            <a:srgbClr val="FFFFFF">
              <a:tint val="80000"/>
              <a:satMod val="300000"/>
            </a:srgbClr>
          </a:gs>
          <a:gs pos="100000">
            <a:srgbClr val="959595">
              <a:shade val="30000"/>
              <a:satMod val="200000"/>
            </a:srgb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ops>
  <customShpExts>
    <customShpInfo spid="_x0000_s1026" textRotate="1"/>
    <customShpInfo spid="_x0000_s2098"/>
    <customShpInfo spid="_x0000_s2099"/>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ontractReview xmlns="http://schemas.wps.cn/vas-ai-hub/contract-review">
  <reviewItems>
    <reviewItem>
      <errorID>83eb0bce-0731-4269-9b5c-56ff3736901a</errorID>
      <errorWord>2月29日</errorWord>
      <group>L1_Other</group>
      <groupName>其他问题</groupName>
      <ability>L2_UserTypo</ability>
      <abilityName>自定义错误</abilityName>
      <candidateList>
        <item>建议核实</item>
      </candidateList>
      <explain>来自自定义错词库。</explain>
      <paraID>54C5D65D</paraID>
      <start>26</start>
      <end>31</end>
      <status>ignored</status>
      <modifiedWord/>
      <trackRevisions>false</trackRevisions>
    </reviewItem>
    <reviewItem>
      <errorID>efea1359-48fd-4fdb-8c28-659d6b12455c</errorID>
      <errorWord>、及</errorWord>
      <group>L1_Other</group>
      <groupName>其他问题</groupName>
      <ability>L2_UserTypo</ability>
      <abilityName>自定义错误</abilityName>
      <candidateList>
        <item>及</item>
      </candidateList>
      <explain>来自自定义错词库。</explain>
      <paraID>19B42E0D</paraID>
      <start>32</start>
      <end>33</end>
      <status>modified</status>
      <modifiedWord>及</modifiedWord>
      <trackRevisions>false</trackRevisions>
    </reviewItem>
    <reviewItem>
      <errorID>69e689a9-2ec1-4b23-b374-dcd3626e71b3</errorID>
      <errorWord>、及</errorWord>
      <group>L1_Other</group>
      <groupName>其他问题</groupName>
      <ability>L2_UserTypo</ability>
      <abilityName>自定义错误</abilityName>
      <candidateList>
        <item>及</item>
      </candidateList>
      <explain>来自自定义错词库。</explain>
      <paraID>2F4C58E4</paraID>
      <start>47</start>
      <end>49</end>
      <status>ignored</status>
      <modifiedWord/>
      <trackRevisions>false</trackRevisions>
    </reviewItem>
    <reviewItem>
      <errorID>c1347304-e534-45f7-b5f2-00e67d7bb9ff</errorID>
      <errorWord>2月31日</errorWord>
      <group>L1_Other</group>
      <groupName>其他问题</groupName>
      <ability>L2_UserTypo</ability>
      <abilityName>自定义错误</abilityName>
      <candidateList>
        <item>建议核实</item>
      </candidateList>
      <explain>来自自定义错词库。</explain>
      <paraID>1C450CAA</paraID>
      <start>37</start>
      <end>42</end>
      <status>ignored</status>
      <modifiedWord/>
      <trackRevisions>false</trackRevisions>
    </reviewItem>
  </reviewItems>
  <config/>
</contractReview>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641D93F-6AB3-472C-A514-B886EA336C0D}">
  <ds:schemaRefs/>
</ds:datastoreItem>
</file>

<file path=customXml/itemProps3.xml><?xml version="1.0" encoding="utf-8"?>
<ds:datastoreItem xmlns:ds="http://schemas.openxmlformats.org/officeDocument/2006/customXml" ds:itemID="{33623b5f-ec65-4ee0-aa22-15c539b37e49}">
  <ds:schemaRefs/>
</ds:datastoreItem>
</file>

<file path=docProps/app.xml><?xml version="1.0" encoding="utf-8"?>
<Properties xmlns="http://schemas.openxmlformats.org/officeDocument/2006/extended-properties" xmlns:vt="http://schemas.openxmlformats.org/officeDocument/2006/docPropsVTypes">
  <Template>Normal</Template>
  <Company>Company</Company>
  <Pages>202</Pages>
  <Words>8727</Words>
  <Characters>9762</Characters>
  <Lines>7865</Lines>
  <Paragraphs>8087</Paragraphs>
  <TotalTime>11</TotalTime>
  <ScaleCrop>false</ScaleCrop>
  <LinksUpToDate>false</LinksUpToDate>
  <CharactersWithSpaces>9922</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2025-07-22T02:16:00Z</dcterms:created>
  <dc:creator>bigwall</dc:creator>
  <cp:lastModifiedBy>WPS_1562320662</cp:lastModifiedBy>
  <cp:lastPrinted>2025-12-27T05:12:00Z</cp:lastPrinted>
  <dcterms:modified xsi:type="dcterms:W3CDTF">2026-01-19T02:33:48Z</dcterms:modified>
  <dc:title>目      录</dc:title>
  <cp:revision>121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KSOTemplateDocerSaveRecord">
    <vt:lpwstr>eyJoZGlkIjoiNGRhODgyNjQ5YTE5ZjFmYjE2NDEwOTU4OTE2MjU0N2MiLCJ1c2VySWQiOiI2MDE2NTE5NzkifQ==</vt:lpwstr>
  </property>
  <property fmtid="{D5CDD505-2E9C-101B-9397-08002B2CF9AE}" pid="4" name="ICV">
    <vt:lpwstr>A5BDCD5FAA3E4267BDE502871F637D1B_12</vt:lpwstr>
  </property>
</Properties>
</file>